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3"/>
        <w:rPr>
          <w:rFonts w:ascii="Times New Roman"/>
          <w:sz w:val="34"/>
        </w:rPr>
      </w:pPr>
    </w:p>
    <w:p>
      <w:pPr>
        <w:spacing w:before="1"/>
        <w:ind w:left="960" w:right="0" w:firstLine="0"/>
        <w:jc w:val="left"/>
        <w:rPr>
          <w:rFonts w:ascii="微软雅黑" w:eastAsia="微软雅黑" w:hint="eastAsia"/>
          <w:b/>
          <w:sz w:val="28"/>
        </w:rPr>
      </w:pPr>
      <w:r>
        <w:rPr>
          <w:rFonts w:ascii="微软雅黑" w:eastAsia="微软雅黑" w:hint="eastAsia"/>
          <w:b/>
          <w:w w:val="95"/>
          <w:sz w:val="28"/>
        </w:rPr>
        <w:t>附件 3-2</w:t>
      </w:r>
    </w:p>
    <w:p>
      <w:pPr>
        <w:pStyle w:val="BodyText"/>
        <w:rPr>
          <w:rFonts w:ascii="微软雅黑"/>
          <w:b/>
          <w:sz w:val="32"/>
        </w:rPr>
      </w:pPr>
      <w:r>
        <w:rPr/>
        <w:br w:type="column"/>
      </w:r>
      <w:r>
        <w:rPr>
          <w:rFonts w:ascii="微软雅黑"/>
          <w:b/>
          <w:sz w:val="32"/>
        </w:rPr>
      </w:r>
    </w:p>
    <w:p>
      <w:pPr>
        <w:pStyle w:val="BodyText"/>
        <w:spacing w:before="5"/>
        <w:rPr>
          <w:rFonts w:ascii="微软雅黑"/>
          <w:b/>
          <w:sz w:val="26"/>
        </w:rPr>
      </w:pPr>
    </w:p>
    <w:p>
      <w:pPr>
        <w:pStyle w:val="Heading1"/>
        <w:spacing w:line="223" w:lineRule="auto"/>
        <w:ind w:hanging="1369"/>
      </w:pPr>
      <w:r>
        <w:rPr/>
        <w:t>渤海人寿附加重大疾病保险条款阅  读  指  引</w:t>
      </w:r>
    </w:p>
    <w:p>
      <w:pPr>
        <w:spacing w:before="23"/>
        <w:ind w:left="126" w:right="46" w:firstLine="0"/>
        <w:jc w:val="center"/>
        <w:rPr>
          <w:sz w:val="18"/>
        </w:rPr>
      </w:pPr>
      <w:r>
        <w:rPr/>
        <w:br w:type="column"/>
      </w:r>
      <w:r>
        <w:rPr>
          <w:sz w:val="18"/>
        </w:rPr>
        <w:t>渤海人寿[2015]疾病保险 004 号</w:t>
      </w:r>
    </w:p>
    <w:p>
      <w:pPr>
        <w:pStyle w:val="BodyText"/>
        <w:spacing w:before="9"/>
        <w:rPr>
          <w:sz w:val="5"/>
        </w:rPr>
      </w:pPr>
    </w:p>
    <w:p>
      <w:pPr>
        <w:pStyle w:val="BodyText"/>
        <w:ind w:left="878"/>
        <w:rPr>
          <w:sz w:val="20"/>
        </w:rPr>
      </w:pPr>
      <w:r>
        <w:rPr>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inline>
        </w:drawing>
      </w:r>
      <w:r>
        <w:rPr>
          <w:sz w:val="20"/>
        </w:rPr>
      </w:r>
    </w:p>
    <w:p>
      <w:pPr>
        <w:spacing w:before="57"/>
        <w:ind w:left="96" w:right="46" w:firstLine="0"/>
        <w:jc w:val="center"/>
        <w:rPr>
          <w:sz w:val="18"/>
        </w:rPr>
      </w:pPr>
      <w:r>
        <w:rPr>
          <w:sz w:val="18"/>
        </w:rPr>
        <w:t>请扫描以查询验证条款</w:t>
      </w:r>
    </w:p>
    <w:p>
      <w:pPr>
        <w:spacing w:after="0"/>
        <w:jc w:val="center"/>
        <w:rPr>
          <w:sz w:val="18"/>
        </w:rPr>
        <w:sectPr>
          <w:footerReference w:type="default" r:id="rId5"/>
          <w:type w:val="continuous"/>
          <w:pgSz w:w="11910" w:h="16840"/>
          <w:pgMar w:footer="346" w:top="300" w:bottom="540" w:left="840" w:right="840"/>
          <w:pgNumType w:start="1"/>
          <w:cols w:num="3" w:equalWidth="0">
            <w:col w:w="2018" w:space="40"/>
            <w:col w:w="5310" w:space="39"/>
            <w:col w:w="2823"/>
          </w:cols>
        </w:sectPr>
      </w:pPr>
    </w:p>
    <w:p>
      <w:pPr>
        <w:pStyle w:val="BodyText"/>
        <w:spacing w:before="4"/>
        <w:rPr>
          <w:sz w:val="13"/>
        </w:rPr>
      </w:pPr>
    </w:p>
    <w:p>
      <w:pPr>
        <w:pStyle w:val="BodyText"/>
        <w:spacing w:line="336" w:lineRule="exact" w:before="37"/>
        <w:ind w:left="1858"/>
      </w:pPr>
      <w:r>
        <w:rPr>
          <w:spacing w:val="-149"/>
          <w:w w:val="100"/>
        </w:rPr>
        <w:t>本</w:t>
      </w:r>
      <w:r>
        <w:rPr>
          <w:spacing w:val="-63"/>
          <w:w w:val="100"/>
          <w:position w:val="-7"/>
        </w:rPr>
        <w:t>．</w:t>
      </w:r>
      <w:r>
        <w:rPr>
          <w:spacing w:val="-149"/>
          <w:w w:val="100"/>
        </w:rPr>
        <w:t>阅</w:t>
      </w:r>
      <w:r>
        <w:rPr>
          <w:spacing w:val="-63"/>
          <w:w w:val="100"/>
          <w:position w:val="-7"/>
        </w:rPr>
        <w:t>．</w:t>
      </w:r>
      <w:r>
        <w:rPr>
          <w:spacing w:val="-149"/>
          <w:w w:val="100"/>
        </w:rPr>
        <w:t>读</w:t>
      </w:r>
      <w:r>
        <w:rPr>
          <w:spacing w:val="-63"/>
          <w:w w:val="100"/>
          <w:position w:val="-7"/>
        </w:rPr>
        <w:t>．</w:t>
      </w:r>
      <w:r>
        <w:rPr>
          <w:spacing w:val="-149"/>
          <w:w w:val="100"/>
        </w:rPr>
        <w:t>指</w:t>
      </w:r>
      <w:r>
        <w:rPr>
          <w:spacing w:val="-63"/>
          <w:w w:val="100"/>
          <w:position w:val="-7"/>
        </w:rPr>
        <w:t>．</w:t>
      </w:r>
      <w:r>
        <w:rPr>
          <w:spacing w:val="-154"/>
          <w:w w:val="100"/>
        </w:rPr>
        <w:t>引</w:t>
      </w:r>
      <w:r>
        <w:rPr>
          <w:spacing w:val="-63"/>
          <w:w w:val="100"/>
          <w:position w:val="-7"/>
        </w:rPr>
        <w:t>．</w:t>
      </w:r>
      <w:r>
        <w:rPr>
          <w:spacing w:val="-149"/>
          <w:w w:val="100"/>
        </w:rPr>
        <w:t>有</w:t>
      </w:r>
      <w:r>
        <w:rPr>
          <w:spacing w:val="-63"/>
          <w:w w:val="100"/>
          <w:position w:val="-7"/>
        </w:rPr>
        <w:t>．</w:t>
      </w:r>
      <w:r>
        <w:rPr>
          <w:spacing w:val="-149"/>
          <w:w w:val="100"/>
        </w:rPr>
        <w:t>助</w:t>
      </w:r>
      <w:r>
        <w:rPr>
          <w:spacing w:val="-63"/>
          <w:w w:val="100"/>
          <w:position w:val="-7"/>
        </w:rPr>
        <w:t>．</w:t>
      </w:r>
      <w:r>
        <w:rPr>
          <w:spacing w:val="-149"/>
          <w:w w:val="100"/>
        </w:rPr>
        <w:t>于</w:t>
      </w:r>
      <w:r>
        <w:rPr>
          <w:spacing w:val="-62"/>
          <w:w w:val="100"/>
          <w:position w:val="-7"/>
        </w:rPr>
        <w:t>．</w:t>
      </w:r>
      <w:r>
        <w:rPr>
          <w:spacing w:val="-154"/>
          <w:w w:val="100"/>
        </w:rPr>
        <w:t>您</w:t>
      </w:r>
      <w:r>
        <w:rPr>
          <w:spacing w:val="-63"/>
          <w:w w:val="100"/>
          <w:position w:val="-7"/>
        </w:rPr>
        <w:t>．</w:t>
      </w:r>
      <w:r>
        <w:rPr>
          <w:spacing w:val="-149"/>
          <w:w w:val="100"/>
        </w:rPr>
        <w:t>理</w:t>
      </w:r>
      <w:r>
        <w:rPr>
          <w:spacing w:val="-63"/>
          <w:w w:val="100"/>
          <w:position w:val="-7"/>
        </w:rPr>
        <w:t>．</w:t>
      </w:r>
      <w:r>
        <w:rPr>
          <w:spacing w:val="-149"/>
          <w:w w:val="100"/>
        </w:rPr>
        <w:t>解</w:t>
      </w:r>
      <w:r>
        <w:rPr>
          <w:spacing w:val="-63"/>
          <w:w w:val="100"/>
          <w:position w:val="-7"/>
        </w:rPr>
        <w:t>．</w:t>
      </w:r>
      <w:r>
        <w:rPr>
          <w:spacing w:val="-149"/>
          <w:w w:val="100"/>
        </w:rPr>
        <w:t>条</w:t>
      </w:r>
      <w:r>
        <w:rPr>
          <w:spacing w:val="-63"/>
          <w:w w:val="100"/>
          <w:position w:val="-7"/>
        </w:rPr>
        <w:t>．</w:t>
      </w:r>
      <w:r>
        <w:rPr>
          <w:spacing w:val="-154"/>
          <w:w w:val="100"/>
        </w:rPr>
        <w:t>款</w:t>
      </w:r>
      <w:r>
        <w:rPr>
          <w:spacing w:val="-63"/>
          <w:w w:val="100"/>
          <w:position w:val="-7"/>
        </w:rPr>
        <w:t>．</w:t>
      </w:r>
      <w:r>
        <w:rPr>
          <w:spacing w:val="-149"/>
          <w:w w:val="100"/>
        </w:rPr>
        <w:t>，</w:t>
      </w:r>
      <w:r>
        <w:rPr>
          <w:spacing w:val="-63"/>
          <w:w w:val="100"/>
          <w:position w:val="-7"/>
        </w:rPr>
        <w:t>．</w:t>
      </w:r>
      <w:r>
        <w:rPr>
          <w:spacing w:val="-149"/>
          <w:w w:val="100"/>
        </w:rPr>
        <w:t>对</w:t>
      </w:r>
      <w:r>
        <w:rPr>
          <w:spacing w:val="-63"/>
          <w:w w:val="100"/>
          <w:position w:val="-7"/>
        </w:rPr>
        <w:t>．</w:t>
      </w:r>
      <w:r>
        <w:rPr>
          <w:spacing w:val="-149"/>
          <w:w w:val="100"/>
        </w:rPr>
        <w:t>本</w:t>
      </w:r>
      <w:r>
        <w:rPr>
          <w:spacing w:val="-63"/>
          <w:w w:val="100"/>
          <w:position w:val="-7"/>
        </w:rPr>
        <w:t>．</w:t>
      </w:r>
      <w:r>
        <w:rPr>
          <w:spacing w:val="-154"/>
          <w:w w:val="100"/>
        </w:rPr>
        <w:t>附</w:t>
      </w:r>
      <w:r>
        <w:rPr>
          <w:spacing w:val="-63"/>
          <w:w w:val="100"/>
          <w:position w:val="-7"/>
        </w:rPr>
        <w:t>．</w:t>
      </w:r>
      <w:r>
        <w:rPr>
          <w:spacing w:val="-149"/>
          <w:w w:val="100"/>
        </w:rPr>
        <w:t>加</w:t>
      </w:r>
      <w:r>
        <w:rPr>
          <w:spacing w:val="-63"/>
          <w:w w:val="100"/>
          <w:position w:val="-7"/>
        </w:rPr>
        <w:t>．</w:t>
      </w:r>
      <w:r>
        <w:rPr>
          <w:spacing w:val="-149"/>
          <w:w w:val="100"/>
        </w:rPr>
        <w:t>合</w:t>
      </w:r>
      <w:r>
        <w:rPr>
          <w:spacing w:val="-63"/>
          <w:w w:val="100"/>
          <w:position w:val="-7"/>
        </w:rPr>
        <w:t>．</w:t>
      </w:r>
      <w:r>
        <w:rPr>
          <w:spacing w:val="-149"/>
          <w:w w:val="100"/>
        </w:rPr>
        <w:t>同</w:t>
      </w:r>
      <w:r>
        <w:rPr>
          <w:spacing w:val="-63"/>
          <w:w w:val="100"/>
          <w:position w:val="-7"/>
        </w:rPr>
        <w:t>．</w:t>
      </w:r>
      <w:r>
        <w:rPr>
          <w:spacing w:val="-154"/>
          <w:w w:val="100"/>
        </w:rPr>
        <w:t>内</w:t>
      </w:r>
      <w:r>
        <w:rPr>
          <w:spacing w:val="-63"/>
          <w:w w:val="100"/>
          <w:position w:val="-7"/>
        </w:rPr>
        <w:t>．</w:t>
      </w:r>
      <w:r>
        <w:rPr>
          <w:spacing w:val="-149"/>
          <w:w w:val="100"/>
        </w:rPr>
        <w:t>容</w:t>
      </w:r>
      <w:r>
        <w:rPr>
          <w:spacing w:val="-63"/>
          <w:w w:val="100"/>
          <w:position w:val="-7"/>
        </w:rPr>
        <w:t>．</w:t>
      </w:r>
      <w:r>
        <w:rPr>
          <w:spacing w:val="-154"/>
          <w:w w:val="100"/>
        </w:rPr>
        <w:t>的</w:t>
      </w:r>
      <w:r>
        <w:rPr>
          <w:spacing w:val="-63"/>
          <w:w w:val="100"/>
          <w:position w:val="-7"/>
        </w:rPr>
        <w:t>．</w:t>
      </w:r>
      <w:r>
        <w:rPr>
          <w:spacing w:val="-149"/>
          <w:w w:val="100"/>
        </w:rPr>
        <w:t>解</w:t>
      </w:r>
      <w:r>
        <w:rPr>
          <w:spacing w:val="-63"/>
          <w:w w:val="100"/>
          <w:position w:val="-7"/>
        </w:rPr>
        <w:t>．</w:t>
      </w:r>
      <w:r>
        <w:rPr>
          <w:spacing w:val="-149"/>
          <w:w w:val="100"/>
        </w:rPr>
        <w:t>释</w:t>
      </w:r>
      <w:r>
        <w:rPr>
          <w:spacing w:val="-63"/>
          <w:w w:val="100"/>
          <w:position w:val="-7"/>
        </w:rPr>
        <w:t>．</w:t>
      </w:r>
      <w:r>
        <w:rPr>
          <w:spacing w:val="-148"/>
          <w:w w:val="100"/>
        </w:rPr>
        <w:t>以</w:t>
      </w:r>
      <w:r>
        <w:rPr>
          <w:spacing w:val="-64"/>
          <w:w w:val="100"/>
          <w:position w:val="-7"/>
        </w:rPr>
        <w:t>．</w:t>
      </w:r>
      <w:r>
        <w:rPr>
          <w:spacing w:val="-148"/>
          <w:w w:val="100"/>
        </w:rPr>
        <w:t>条</w:t>
      </w:r>
      <w:r>
        <w:rPr>
          <w:spacing w:val="-64"/>
          <w:w w:val="100"/>
          <w:position w:val="-7"/>
        </w:rPr>
        <w:t>．</w:t>
      </w:r>
      <w:r>
        <w:rPr>
          <w:spacing w:val="-153"/>
          <w:w w:val="100"/>
        </w:rPr>
        <w:t>款</w:t>
      </w:r>
      <w:r>
        <w:rPr>
          <w:spacing w:val="-64"/>
          <w:w w:val="100"/>
          <w:position w:val="-7"/>
        </w:rPr>
        <w:t>．</w:t>
      </w:r>
      <w:r>
        <w:rPr>
          <w:spacing w:val="-148"/>
          <w:w w:val="100"/>
        </w:rPr>
        <w:t>为</w:t>
      </w:r>
      <w:r>
        <w:rPr>
          <w:spacing w:val="-64"/>
          <w:w w:val="100"/>
          <w:position w:val="-7"/>
        </w:rPr>
        <w:t>．</w:t>
      </w:r>
      <w:r>
        <w:rPr>
          <w:spacing w:val="-148"/>
          <w:w w:val="100"/>
        </w:rPr>
        <w:t>准</w:t>
      </w:r>
      <w:r>
        <w:rPr>
          <w:spacing w:val="-64"/>
          <w:w w:val="100"/>
          <w:position w:val="-7"/>
        </w:rPr>
        <w:t>．</w:t>
      </w:r>
      <w:r>
        <w:rPr>
          <w:spacing w:val="-153"/>
          <w:w w:val="100"/>
        </w:rPr>
        <w:t>。</w:t>
      </w:r>
      <w:r>
        <w:rPr>
          <w:w w:val="100"/>
          <w:position w:val="-7"/>
        </w:rPr>
        <w:t>．</w:t>
      </w:r>
    </w:p>
    <w:p>
      <w:pPr>
        <w:pStyle w:val="ListParagraph"/>
        <w:numPr>
          <w:ilvl w:val="0"/>
          <w:numId w:val="1"/>
        </w:numPr>
        <w:tabs>
          <w:tab w:pos="681" w:val="left" w:leader="none"/>
          <w:tab w:pos="683" w:val="left" w:leader="none"/>
        </w:tabs>
        <w:spacing w:line="347" w:lineRule="exact" w:before="0" w:after="0"/>
        <w:ind w:left="682" w:right="0" w:hanging="423"/>
        <w:jc w:val="left"/>
        <w:rPr>
          <w:b/>
          <w:sz w:val="21"/>
        </w:rPr>
      </w:pPr>
      <w:r>
        <w:rPr/>
        <w:pict>
          <v:group style="position:absolute;margin-left:49.464001pt;margin-top:2.663924pt;width:496.8pt;height:581.950pt;mso-position-horizontal-relative:page;mso-position-vertical-relative:paragraph;z-index:-35224" coordorigin="989,53" coordsize="9936,11639">
            <v:line style="position:absolute" from="999,58" to="10915,58" stroked="true" strokeweight=".48pt" strokecolor="#000000">
              <v:stroke dashstyle="solid"/>
            </v:line>
            <v:line style="position:absolute" from="994,53" to="994,11692" stroked="true" strokeweight=".48pt" strokecolor="#000000">
              <v:stroke dashstyle="solid"/>
            </v:line>
            <v:line style="position:absolute" from="999,11687" to="10915,11687" stroked="true" strokeweight=".48004pt" strokecolor="#000000">
              <v:stroke dashstyle="solid"/>
            </v:line>
            <v:line style="position:absolute" from="10920,53" to="10920,11692" stroked="true" strokeweight=".47998pt" strokecolor="#000000">
              <v:stroke dashstyle="solid"/>
            </v:line>
            <w10:wrap type="none"/>
          </v:group>
        </w:pict>
      </w:r>
      <w:r>
        <w:rPr>
          <w:b/>
          <w:sz w:val="21"/>
        </w:rPr>
        <w:t>您拥有的重要权益</w:t>
      </w:r>
    </w:p>
    <w:p>
      <w:pPr>
        <w:pStyle w:val="BodyText"/>
        <w:tabs>
          <w:tab w:pos="9370" w:val="left" w:leader="dot"/>
        </w:tabs>
        <w:spacing w:line="273" w:lineRule="auto" w:before="13"/>
        <w:ind w:left="1388" w:right="533"/>
      </w:pPr>
      <w:r>
        <w:rPr/>
        <w:t>签收本附</w:t>
      </w:r>
      <w:r>
        <w:rPr>
          <w:spacing w:val="-5"/>
        </w:rPr>
        <w:t>加</w:t>
      </w:r>
      <w:r>
        <w:rPr/>
        <w:t>合同的</w:t>
      </w:r>
      <w:r>
        <w:rPr>
          <w:spacing w:val="-5"/>
        </w:rPr>
        <w:t>次</w:t>
      </w:r>
      <w:r>
        <w:rPr/>
        <w:t>日零时起</w:t>
      </w:r>
      <w:r>
        <w:rPr>
          <w:spacing w:val="-36"/>
        </w:rPr>
        <w:t> </w:t>
      </w:r>
      <w:r>
        <w:rPr/>
        <w:t>10</w:t>
      </w:r>
      <w:r>
        <w:rPr>
          <w:spacing w:val="-32"/>
        </w:rPr>
        <w:t> </w:t>
      </w:r>
      <w:r>
        <w:rPr/>
        <w:t>日（</w:t>
      </w:r>
      <w:r>
        <w:rPr>
          <w:spacing w:val="-5"/>
        </w:rPr>
        <w:t>即</w:t>
      </w:r>
      <w:r>
        <w:rPr/>
        <w:t>犹豫</w:t>
      </w:r>
      <w:r>
        <w:rPr>
          <w:spacing w:val="-5"/>
        </w:rPr>
        <w:t>期</w:t>
      </w:r>
      <w:r>
        <w:rPr/>
        <w:t>）</w:t>
      </w:r>
      <w:r>
        <w:rPr>
          <w:spacing w:val="-5"/>
        </w:rPr>
        <w:t>内</w:t>
      </w:r>
      <w:r>
        <w:rPr/>
        <w:t>您若要求</w:t>
      </w:r>
      <w:r>
        <w:rPr>
          <w:spacing w:val="-5"/>
        </w:rPr>
        <w:t>退</w:t>
      </w:r>
      <w:r>
        <w:rPr/>
        <w:t>保，我</w:t>
      </w:r>
      <w:r>
        <w:rPr>
          <w:spacing w:val="-5"/>
        </w:rPr>
        <w:t>们</w:t>
      </w:r>
      <w:r>
        <w:rPr/>
        <w:t>向您无</w:t>
      </w:r>
      <w:r>
        <w:rPr>
          <w:spacing w:val="-5"/>
        </w:rPr>
        <w:t>息</w:t>
      </w:r>
      <w:r>
        <w:rPr/>
        <w:t>退还保险费</w:t>
        <w:tab/>
        <w:t>1.4</w:t>
      </w:r>
    </w:p>
    <w:p>
      <w:pPr>
        <w:pStyle w:val="BodyText"/>
        <w:tabs>
          <w:tab w:pos="9371" w:val="left" w:leader="dot"/>
        </w:tabs>
        <w:spacing w:before="7"/>
        <w:ind w:left="1388"/>
      </w:pPr>
      <w:r>
        <w:rPr/>
        <w:t>本附加合</w:t>
      </w:r>
      <w:r>
        <w:rPr>
          <w:spacing w:val="-5"/>
        </w:rPr>
        <w:t>同</w:t>
      </w:r>
      <w:r>
        <w:rPr/>
        <w:t>提供的</w:t>
      </w:r>
      <w:r>
        <w:rPr>
          <w:spacing w:val="-5"/>
        </w:rPr>
        <w:t>保</w:t>
      </w:r>
      <w:r>
        <w:rPr/>
        <w:t>障在保</w:t>
      </w:r>
      <w:r>
        <w:rPr>
          <w:spacing w:val="-5"/>
        </w:rPr>
        <w:t>险</w:t>
      </w:r>
      <w:r>
        <w:rPr/>
        <w:t>责任条</w:t>
      </w:r>
      <w:r>
        <w:rPr>
          <w:spacing w:val="-5"/>
        </w:rPr>
        <w:t>款</w:t>
      </w:r>
      <w:r>
        <w:rPr/>
        <w:t>中列明</w:t>
        <w:tab/>
        <w:t>2.3</w:t>
      </w:r>
    </w:p>
    <w:p>
      <w:pPr>
        <w:pStyle w:val="BodyText"/>
        <w:tabs>
          <w:tab w:pos="9371" w:val="left" w:leader="dot"/>
        </w:tabs>
        <w:spacing w:before="36"/>
        <w:ind w:left="1388"/>
      </w:pPr>
      <w:r>
        <w:rPr/>
        <w:t>您有按本</w:t>
      </w:r>
      <w:r>
        <w:rPr>
          <w:spacing w:val="-5"/>
        </w:rPr>
        <w:t>附</w:t>
      </w:r>
      <w:r>
        <w:rPr/>
        <w:t>加合同</w:t>
      </w:r>
      <w:r>
        <w:rPr>
          <w:spacing w:val="-5"/>
        </w:rPr>
        <w:t>约</w:t>
      </w:r>
      <w:r>
        <w:rPr/>
        <w:t>定申请</w:t>
      </w:r>
      <w:r>
        <w:rPr>
          <w:spacing w:val="-5"/>
        </w:rPr>
        <w:t>保</w:t>
      </w:r>
      <w:r>
        <w:rPr/>
        <w:t>单贷款</w:t>
      </w:r>
      <w:r>
        <w:rPr>
          <w:spacing w:val="-5"/>
        </w:rPr>
        <w:t>的</w:t>
      </w:r>
      <w:r>
        <w:rPr/>
        <w:t>权利</w:t>
        <w:tab/>
        <w:t>5.2</w:t>
      </w:r>
    </w:p>
    <w:p>
      <w:pPr>
        <w:pStyle w:val="BodyText"/>
        <w:tabs>
          <w:tab w:pos="9370" w:val="left" w:leader="dot"/>
        </w:tabs>
        <w:spacing w:line="260" w:lineRule="exact" w:before="36"/>
        <w:ind w:left="1388"/>
      </w:pPr>
      <w:r>
        <w:rPr/>
        <w:t>您有退保</w:t>
      </w:r>
      <w:r>
        <w:rPr>
          <w:spacing w:val="-5"/>
        </w:rPr>
        <w:t>的</w:t>
      </w:r>
      <w:r>
        <w:rPr/>
        <w:t>权利</w:t>
        <w:tab/>
        <w:t>7.1</w:t>
      </w:r>
    </w:p>
    <w:p>
      <w:pPr>
        <w:pStyle w:val="ListParagraph"/>
        <w:numPr>
          <w:ilvl w:val="0"/>
          <w:numId w:val="1"/>
        </w:numPr>
        <w:tabs>
          <w:tab w:pos="681" w:val="left" w:leader="none"/>
          <w:tab w:pos="683" w:val="left" w:leader="none"/>
        </w:tabs>
        <w:spacing w:line="351" w:lineRule="exact" w:before="0" w:after="0"/>
        <w:ind w:left="682" w:right="0" w:hanging="423"/>
        <w:jc w:val="left"/>
        <w:rPr>
          <w:b/>
          <w:sz w:val="21"/>
        </w:rPr>
      </w:pPr>
      <w:r>
        <w:rPr>
          <w:b/>
          <w:sz w:val="21"/>
        </w:rPr>
        <w:t>您应当特别注意的事项</w:t>
      </w:r>
    </w:p>
    <w:p>
      <w:pPr>
        <w:pStyle w:val="BodyText"/>
        <w:tabs>
          <w:tab w:pos="9371" w:val="left" w:leader="dot"/>
        </w:tabs>
        <w:spacing w:before="14"/>
        <w:ind w:left="1388"/>
      </w:pPr>
      <w:r>
        <w:rPr/>
        <w:t>在某些情</w:t>
      </w:r>
      <w:r>
        <w:rPr>
          <w:spacing w:val="-5"/>
        </w:rPr>
        <w:t>况</w:t>
      </w:r>
      <w:r>
        <w:rPr/>
        <w:t>下，我</w:t>
      </w:r>
      <w:r>
        <w:rPr>
          <w:spacing w:val="-5"/>
        </w:rPr>
        <w:t>们</w:t>
      </w:r>
      <w:r>
        <w:rPr/>
        <w:t>不承担</w:t>
      </w:r>
      <w:r>
        <w:rPr>
          <w:spacing w:val="-5"/>
        </w:rPr>
        <w:t>保</w:t>
      </w:r>
      <w:r>
        <w:rPr/>
        <w:t>险责任</w:t>
        <w:tab/>
        <w:t>2.4</w:t>
      </w:r>
    </w:p>
    <w:p>
      <w:pPr>
        <w:pStyle w:val="BodyText"/>
        <w:tabs>
          <w:tab w:pos="9371" w:val="left" w:leader="dot"/>
        </w:tabs>
        <w:spacing w:before="37"/>
        <w:ind w:left="1388"/>
      </w:pPr>
      <w:r>
        <w:rPr/>
        <w:t>保险事故</w:t>
      </w:r>
      <w:r>
        <w:rPr>
          <w:spacing w:val="-5"/>
        </w:rPr>
        <w:t>发</w:t>
      </w:r>
      <w:r>
        <w:rPr/>
        <w:t>生后请</w:t>
      </w:r>
      <w:r>
        <w:rPr>
          <w:spacing w:val="-5"/>
        </w:rPr>
        <w:t>您</w:t>
      </w:r>
      <w:r>
        <w:rPr/>
        <w:t>及时通</w:t>
      </w:r>
      <w:r>
        <w:rPr>
          <w:spacing w:val="-5"/>
        </w:rPr>
        <w:t>知</w:t>
      </w:r>
      <w:r>
        <w:rPr/>
        <w:t>我们</w:t>
        <w:tab/>
        <w:t>3.2</w:t>
      </w:r>
    </w:p>
    <w:p>
      <w:pPr>
        <w:pStyle w:val="BodyText"/>
        <w:tabs>
          <w:tab w:pos="9371" w:val="left" w:leader="dot"/>
        </w:tabs>
        <w:spacing w:before="36"/>
        <w:ind w:left="1388"/>
      </w:pPr>
      <w:r>
        <w:rPr/>
        <w:t>您应当按</w:t>
      </w:r>
      <w:r>
        <w:rPr>
          <w:spacing w:val="-5"/>
        </w:rPr>
        <w:t>时</w:t>
      </w:r>
      <w:r>
        <w:rPr/>
        <w:t>交纳保</w:t>
      </w:r>
      <w:r>
        <w:rPr>
          <w:spacing w:val="-5"/>
        </w:rPr>
        <w:t>险</w:t>
      </w:r>
      <w:r>
        <w:rPr/>
        <w:t>费</w:t>
        <w:tab/>
        <w:t>4.1</w:t>
      </w:r>
    </w:p>
    <w:p>
      <w:pPr>
        <w:pStyle w:val="BodyText"/>
        <w:tabs>
          <w:tab w:pos="9371" w:val="left" w:leader="dot"/>
        </w:tabs>
        <w:spacing w:before="36"/>
        <w:ind w:left="1388"/>
      </w:pPr>
      <w:r>
        <w:rPr/>
        <w:t>退保会给</w:t>
      </w:r>
      <w:r>
        <w:rPr>
          <w:spacing w:val="-5"/>
        </w:rPr>
        <w:t>您</w:t>
      </w:r>
      <w:r>
        <w:rPr/>
        <w:t>造成一</w:t>
      </w:r>
      <w:r>
        <w:rPr>
          <w:spacing w:val="-5"/>
        </w:rPr>
        <w:t>定</w:t>
      </w:r>
      <w:r>
        <w:rPr/>
        <w:t>的损失</w:t>
      </w:r>
      <w:r>
        <w:rPr>
          <w:spacing w:val="-5"/>
        </w:rPr>
        <w:t>，</w:t>
      </w:r>
      <w:r>
        <w:rPr/>
        <w:t>请您慎</w:t>
      </w:r>
      <w:r>
        <w:rPr>
          <w:spacing w:val="-5"/>
        </w:rPr>
        <w:t>重</w:t>
      </w:r>
      <w:r>
        <w:rPr/>
        <w:t>决策</w:t>
        <w:tab/>
        <w:t>7.1</w:t>
      </w:r>
    </w:p>
    <w:p>
      <w:pPr>
        <w:pStyle w:val="BodyText"/>
        <w:tabs>
          <w:tab w:pos="9372" w:val="left" w:leader="dot"/>
        </w:tabs>
        <w:spacing w:before="36"/>
        <w:ind w:left="1388"/>
      </w:pPr>
      <w:r>
        <w:rPr/>
        <w:t>主合同中</w:t>
      </w:r>
      <w:r>
        <w:rPr>
          <w:spacing w:val="-5"/>
        </w:rPr>
        <w:t>的</w:t>
      </w:r>
      <w:r>
        <w:rPr/>
        <w:t>部分条</w:t>
      </w:r>
      <w:r>
        <w:rPr>
          <w:spacing w:val="-5"/>
        </w:rPr>
        <w:t>款</w:t>
      </w:r>
      <w:r>
        <w:rPr/>
        <w:t>适用于</w:t>
      </w:r>
      <w:r>
        <w:rPr>
          <w:spacing w:val="-5"/>
        </w:rPr>
        <w:t>本</w:t>
      </w:r>
      <w:r>
        <w:rPr/>
        <w:t>附加合</w:t>
      </w:r>
      <w:r>
        <w:rPr>
          <w:spacing w:val="-5"/>
        </w:rPr>
        <w:t>同</w:t>
      </w:r>
      <w:r>
        <w:rPr/>
        <w:t>，请您</w:t>
      </w:r>
      <w:r>
        <w:rPr>
          <w:spacing w:val="-5"/>
        </w:rPr>
        <w:t>仔</w:t>
      </w:r>
      <w:r>
        <w:rPr/>
        <w:t>细</w:t>
      </w:r>
      <w:r>
        <w:rPr>
          <w:spacing w:val="-5"/>
        </w:rPr>
        <w:t>阅</w:t>
      </w:r>
      <w:r>
        <w:rPr/>
        <w:t>读</w:t>
        <w:tab/>
        <w:t>8.2</w:t>
      </w:r>
    </w:p>
    <w:p>
      <w:pPr>
        <w:pStyle w:val="BodyText"/>
        <w:tabs>
          <w:tab w:pos="9372" w:val="left" w:leader="dot"/>
        </w:tabs>
        <w:spacing w:line="260" w:lineRule="exact" w:before="36"/>
        <w:ind w:left="1388"/>
      </w:pPr>
      <w:r>
        <w:rPr/>
        <w:t>本附加合</w:t>
      </w:r>
      <w:r>
        <w:rPr>
          <w:spacing w:val="-5"/>
        </w:rPr>
        <w:t>同</w:t>
      </w:r>
      <w:r>
        <w:rPr/>
        <w:t>对重大</w:t>
      </w:r>
      <w:r>
        <w:rPr>
          <w:spacing w:val="-5"/>
        </w:rPr>
        <w:t>疾</w:t>
      </w:r>
      <w:r>
        <w:rPr/>
        <w:t>病进行</w:t>
      </w:r>
      <w:r>
        <w:rPr>
          <w:spacing w:val="-5"/>
        </w:rPr>
        <w:t>了</w:t>
      </w:r>
      <w:r>
        <w:rPr/>
        <w:t>明确定</w:t>
      </w:r>
      <w:r>
        <w:rPr>
          <w:spacing w:val="-5"/>
        </w:rPr>
        <w:t>义</w:t>
      </w:r>
      <w:r>
        <w:rPr/>
        <w:t>，请您</w:t>
      </w:r>
      <w:r>
        <w:rPr>
          <w:spacing w:val="-5"/>
        </w:rPr>
        <w:t>仔</w:t>
      </w:r>
      <w:r>
        <w:rPr/>
        <w:t>细</w:t>
      </w:r>
      <w:r>
        <w:rPr>
          <w:spacing w:val="-5"/>
        </w:rPr>
        <w:t>阅</w:t>
      </w:r>
      <w:r>
        <w:rPr/>
        <w:t>读</w:t>
        <w:tab/>
        <w:t>9</w:t>
      </w:r>
    </w:p>
    <w:p>
      <w:pPr>
        <w:tabs>
          <w:tab w:pos="9411" w:val="left" w:leader="dot"/>
        </w:tabs>
        <w:spacing w:line="324" w:lineRule="exact" w:before="0"/>
        <w:ind w:left="1388" w:right="0" w:firstLine="0"/>
        <w:jc w:val="left"/>
        <w:rPr>
          <w:rFonts w:ascii="Microsoft JhengHei" w:eastAsia="Microsoft JhengHei" w:hint="eastAsia"/>
          <w:b/>
          <w:sz w:val="21"/>
        </w:rPr>
      </w:pPr>
      <w:r>
        <w:rPr>
          <w:rFonts w:ascii="Microsoft JhengHei" w:eastAsia="Microsoft JhengHei" w:hint="eastAsia"/>
          <w:b/>
          <w:sz w:val="21"/>
        </w:rPr>
        <w:t>我们对一些重要术语进行了解释，并</w:t>
      </w:r>
      <w:r>
        <w:rPr>
          <w:rFonts w:ascii="Microsoft JhengHei" w:eastAsia="Microsoft JhengHei" w:hint="eastAsia"/>
          <w:b/>
          <w:spacing w:val="-5"/>
          <w:sz w:val="21"/>
        </w:rPr>
        <w:t>作</w:t>
      </w:r>
      <w:r>
        <w:rPr>
          <w:rFonts w:ascii="Microsoft JhengHei" w:eastAsia="Microsoft JhengHei" w:hint="eastAsia"/>
          <w:b/>
          <w:sz w:val="21"/>
        </w:rPr>
        <w:t>了显著标识</w:t>
      </w:r>
      <w:r>
        <w:rPr>
          <w:rFonts w:ascii="Microsoft JhengHei" w:eastAsia="Microsoft JhengHei" w:hint="eastAsia"/>
          <w:b/>
          <w:spacing w:val="-5"/>
          <w:sz w:val="21"/>
        </w:rPr>
        <w:t>，</w:t>
      </w:r>
      <w:r>
        <w:rPr>
          <w:rFonts w:ascii="Microsoft JhengHei" w:eastAsia="Microsoft JhengHei" w:hint="eastAsia"/>
          <w:b/>
          <w:sz w:val="21"/>
        </w:rPr>
        <w:t>请您注意</w:t>
        <w:tab/>
        <w:t>10</w:t>
      </w:r>
    </w:p>
    <w:p>
      <w:pPr>
        <w:pStyle w:val="ListParagraph"/>
        <w:numPr>
          <w:ilvl w:val="0"/>
          <w:numId w:val="1"/>
        </w:numPr>
        <w:tabs>
          <w:tab w:pos="681" w:val="left" w:leader="none"/>
          <w:tab w:pos="683" w:val="left" w:leader="none"/>
        </w:tabs>
        <w:spacing w:line="312" w:lineRule="exact" w:before="0" w:after="0"/>
        <w:ind w:left="682" w:right="0" w:hanging="423"/>
        <w:jc w:val="left"/>
        <w:rPr>
          <w:b/>
          <w:sz w:val="21"/>
        </w:rPr>
      </w:pPr>
      <w:r>
        <w:rPr>
          <w:b/>
          <w:spacing w:val="-2"/>
          <w:sz w:val="21"/>
        </w:rPr>
        <w:t>条款是保险合同的重要内容，为充分保障您的权益，请仔细阅读本条款。</w:t>
      </w:r>
    </w:p>
    <w:p>
      <w:pPr>
        <w:pStyle w:val="ListParagraph"/>
        <w:numPr>
          <w:ilvl w:val="0"/>
          <w:numId w:val="1"/>
        </w:numPr>
        <w:tabs>
          <w:tab w:pos="681" w:val="left" w:leader="none"/>
          <w:tab w:pos="683" w:val="left" w:leader="none"/>
        </w:tabs>
        <w:spacing w:line="339" w:lineRule="exact" w:before="0" w:after="0"/>
        <w:ind w:left="682" w:right="0" w:hanging="423"/>
        <w:jc w:val="left"/>
        <w:rPr>
          <w:b/>
          <w:sz w:val="21"/>
        </w:rPr>
      </w:pPr>
      <w:r>
        <w:rPr>
          <w:b/>
          <w:sz w:val="21"/>
        </w:rPr>
        <w:t>条款目录</w:t>
      </w:r>
    </w:p>
    <w:p>
      <w:pPr>
        <w:pStyle w:val="BodyText"/>
        <w:spacing w:before="8"/>
        <w:rPr>
          <w:rFonts w:ascii="Microsoft JhengHei"/>
          <w:b/>
          <w:sz w:val="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23"/>
        <w:gridCol w:w="3409"/>
        <w:gridCol w:w="3828"/>
      </w:tblGrid>
      <w:tr>
        <w:trPr>
          <w:trHeight w:val="5829" w:hRule="atLeast"/>
        </w:trPr>
        <w:tc>
          <w:tcPr>
            <w:tcW w:w="2723" w:type="dxa"/>
          </w:tcPr>
          <w:p>
            <w:pPr>
              <w:pStyle w:val="TableParagraph"/>
              <w:numPr>
                <w:ilvl w:val="0"/>
                <w:numId w:val="2"/>
              </w:numPr>
              <w:tabs>
                <w:tab w:pos="517" w:val="left" w:leader="none"/>
              </w:tabs>
              <w:spacing w:line="235" w:lineRule="exact" w:before="0" w:after="0"/>
              <w:ind w:left="516" w:right="0" w:hanging="316"/>
              <w:jc w:val="left"/>
              <w:rPr>
                <w:rFonts w:ascii="Microsoft JhengHei" w:eastAsia="Microsoft JhengHei" w:hint="eastAsia"/>
                <w:b/>
                <w:sz w:val="21"/>
              </w:rPr>
            </w:pPr>
            <w:r>
              <w:rPr>
                <w:rFonts w:ascii="Microsoft JhengHei" w:eastAsia="Microsoft JhengHei" w:hint="eastAsia"/>
                <w:b/>
                <w:sz w:val="21"/>
              </w:rPr>
              <w:t>您与我们订立的合同</w:t>
            </w:r>
          </w:p>
          <w:p>
            <w:pPr>
              <w:pStyle w:val="TableParagraph"/>
              <w:numPr>
                <w:ilvl w:val="1"/>
                <w:numId w:val="2"/>
              </w:numPr>
              <w:tabs>
                <w:tab w:pos="728" w:val="left" w:leader="none"/>
              </w:tabs>
              <w:spacing w:line="240" w:lineRule="auto" w:before="13" w:after="0"/>
              <w:ind w:left="728" w:right="0" w:hanging="423"/>
              <w:jc w:val="left"/>
              <w:rPr>
                <w:sz w:val="21"/>
              </w:rPr>
            </w:pPr>
            <w:r>
              <w:rPr>
                <w:spacing w:val="-2"/>
                <w:sz w:val="21"/>
              </w:rPr>
              <w:t>合同构成</w:t>
            </w:r>
          </w:p>
          <w:p>
            <w:pPr>
              <w:pStyle w:val="TableParagraph"/>
              <w:numPr>
                <w:ilvl w:val="1"/>
                <w:numId w:val="2"/>
              </w:numPr>
              <w:tabs>
                <w:tab w:pos="728" w:val="left" w:leader="none"/>
              </w:tabs>
              <w:spacing w:line="240" w:lineRule="auto" w:before="37" w:after="0"/>
              <w:ind w:left="728" w:right="0" w:hanging="423"/>
              <w:jc w:val="left"/>
              <w:rPr>
                <w:sz w:val="21"/>
              </w:rPr>
            </w:pPr>
            <w:r>
              <w:rPr>
                <w:spacing w:val="-2"/>
                <w:sz w:val="21"/>
              </w:rPr>
              <w:t>合同成立及生效</w:t>
            </w:r>
          </w:p>
          <w:p>
            <w:pPr>
              <w:pStyle w:val="TableParagraph"/>
              <w:numPr>
                <w:ilvl w:val="1"/>
                <w:numId w:val="2"/>
              </w:numPr>
              <w:tabs>
                <w:tab w:pos="728" w:val="left" w:leader="none"/>
              </w:tabs>
              <w:spacing w:line="240" w:lineRule="auto" w:before="37" w:after="0"/>
              <w:ind w:left="728" w:right="0" w:hanging="423"/>
              <w:jc w:val="left"/>
              <w:rPr>
                <w:sz w:val="21"/>
              </w:rPr>
            </w:pPr>
            <w:r>
              <w:rPr>
                <w:spacing w:val="-2"/>
                <w:sz w:val="21"/>
              </w:rPr>
              <w:t>投保年龄</w:t>
            </w:r>
          </w:p>
          <w:p>
            <w:pPr>
              <w:pStyle w:val="TableParagraph"/>
              <w:numPr>
                <w:ilvl w:val="1"/>
                <w:numId w:val="2"/>
              </w:numPr>
              <w:tabs>
                <w:tab w:pos="728" w:val="left" w:leader="none"/>
              </w:tabs>
              <w:spacing w:line="260" w:lineRule="exact" w:before="36" w:after="0"/>
              <w:ind w:left="728" w:right="0" w:hanging="423"/>
              <w:jc w:val="left"/>
              <w:rPr>
                <w:sz w:val="21"/>
              </w:rPr>
            </w:pPr>
            <w:r>
              <w:rPr>
                <w:sz w:val="21"/>
              </w:rPr>
              <w:t>犹豫期</w:t>
            </w:r>
          </w:p>
          <w:p>
            <w:pPr>
              <w:pStyle w:val="TableParagraph"/>
              <w:numPr>
                <w:ilvl w:val="0"/>
                <w:numId w:val="2"/>
              </w:numPr>
              <w:tabs>
                <w:tab w:pos="517" w:val="left" w:leader="none"/>
              </w:tabs>
              <w:spacing w:line="351" w:lineRule="exact" w:before="0" w:after="0"/>
              <w:ind w:left="516" w:right="0" w:hanging="316"/>
              <w:jc w:val="left"/>
              <w:rPr>
                <w:rFonts w:ascii="Microsoft JhengHei" w:eastAsia="Microsoft JhengHei" w:hint="eastAsia"/>
                <w:b/>
                <w:sz w:val="21"/>
              </w:rPr>
            </w:pPr>
            <w:r>
              <w:rPr>
                <w:rFonts w:ascii="Microsoft JhengHei" w:eastAsia="Microsoft JhengHei" w:hint="eastAsia"/>
                <w:b/>
                <w:sz w:val="21"/>
              </w:rPr>
              <w:t>我们提供的保障</w:t>
            </w:r>
          </w:p>
          <w:p>
            <w:pPr>
              <w:pStyle w:val="TableParagraph"/>
              <w:numPr>
                <w:ilvl w:val="1"/>
                <w:numId w:val="2"/>
              </w:numPr>
              <w:tabs>
                <w:tab w:pos="728" w:val="left" w:leader="none"/>
              </w:tabs>
              <w:spacing w:line="240" w:lineRule="auto" w:before="13" w:after="0"/>
              <w:ind w:left="728" w:right="0" w:hanging="423"/>
              <w:jc w:val="left"/>
              <w:rPr>
                <w:sz w:val="21"/>
              </w:rPr>
            </w:pPr>
            <w:r>
              <w:rPr>
                <w:spacing w:val="-2"/>
                <w:sz w:val="21"/>
              </w:rPr>
              <w:t>基本保险金额</w:t>
            </w:r>
          </w:p>
          <w:p>
            <w:pPr>
              <w:pStyle w:val="TableParagraph"/>
              <w:numPr>
                <w:ilvl w:val="1"/>
                <w:numId w:val="2"/>
              </w:numPr>
              <w:tabs>
                <w:tab w:pos="728" w:val="left" w:leader="none"/>
              </w:tabs>
              <w:spacing w:line="240" w:lineRule="auto" w:before="36" w:after="0"/>
              <w:ind w:left="728" w:right="0" w:hanging="423"/>
              <w:jc w:val="left"/>
              <w:rPr>
                <w:sz w:val="21"/>
              </w:rPr>
            </w:pPr>
            <w:r>
              <w:rPr>
                <w:spacing w:val="-2"/>
                <w:sz w:val="21"/>
              </w:rPr>
              <w:t>保险期间</w:t>
            </w:r>
          </w:p>
          <w:p>
            <w:pPr>
              <w:pStyle w:val="TableParagraph"/>
              <w:numPr>
                <w:ilvl w:val="1"/>
                <w:numId w:val="2"/>
              </w:numPr>
              <w:tabs>
                <w:tab w:pos="728" w:val="left" w:leader="none"/>
              </w:tabs>
              <w:spacing w:line="240" w:lineRule="auto" w:before="37" w:after="0"/>
              <w:ind w:left="728" w:right="0" w:hanging="423"/>
              <w:jc w:val="left"/>
              <w:rPr>
                <w:sz w:val="21"/>
              </w:rPr>
            </w:pPr>
            <w:r>
              <w:rPr>
                <w:spacing w:val="-2"/>
                <w:sz w:val="21"/>
              </w:rPr>
              <w:t>保险责任</w:t>
            </w:r>
          </w:p>
          <w:p>
            <w:pPr>
              <w:pStyle w:val="TableParagraph"/>
              <w:numPr>
                <w:ilvl w:val="1"/>
                <w:numId w:val="2"/>
              </w:numPr>
              <w:tabs>
                <w:tab w:pos="728" w:val="left" w:leader="none"/>
              </w:tabs>
              <w:spacing w:line="260" w:lineRule="exact" w:before="37" w:after="0"/>
              <w:ind w:left="728" w:right="0" w:hanging="423"/>
              <w:jc w:val="left"/>
              <w:rPr>
                <w:sz w:val="21"/>
              </w:rPr>
            </w:pPr>
            <w:r>
              <w:rPr>
                <w:spacing w:val="-2"/>
                <w:sz w:val="21"/>
              </w:rPr>
              <w:t>责任免除</w:t>
            </w:r>
          </w:p>
          <w:p>
            <w:pPr>
              <w:pStyle w:val="TableParagraph"/>
              <w:numPr>
                <w:ilvl w:val="0"/>
                <w:numId w:val="2"/>
              </w:numPr>
              <w:tabs>
                <w:tab w:pos="517" w:val="left" w:leader="none"/>
              </w:tabs>
              <w:spacing w:line="351" w:lineRule="exact" w:before="0" w:after="0"/>
              <w:ind w:left="516" w:right="0" w:hanging="316"/>
              <w:jc w:val="left"/>
              <w:rPr>
                <w:rFonts w:ascii="Microsoft JhengHei" w:eastAsia="Microsoft JhengHei" w:hint="eastAsia"/>
                <w:b/>
                <w:sz w:val="21"/>
              </w:rPr>
            </w:pPr>
            <w:r>
              <w:rPr>
                <w:rFonts w:ascii="Microsoft JhengHei" w:eastAsia="Microsoft JhengHei" w:hint="eastAsia"/>
                <w:b/>
                <w:sz w:val="21"/>
              </w:rPr>
              <w:t>保险金的申请</w:t>
            </w:r>
          </w:p>
          <w:p>
            <w:pPr>
              <w:pStyle w:val="TableParagraph"/>
              <w:numPr>
                <w:ilvl w:val="1"/>
                <w:numId w:val="2"/>
              </w:numPr>
              <w:tabs>
                <w:tab w:pos="728" w:val="left" w:leader="none"/>
              </w:tabs>
              <w:spacing w:line="240" w:lineRule="auto" w:before="13" w:after="0"/>
              <w:ind w:left="728" w:right="0" w:hanging="423"/>
              <w:jc w:val="left"/>
              <w:rPr>
                <w:sz w:val="21"/>
              </w:rPr>
            </w:pPr>
            <w:r>
              <w:rPr>
                <w:sz w:val="21"/>
              </w:rPr>
              <w:t>受益人</w:t>
            </w:r>
          </w:p>
          <w:p>
            <w:pPr>
              <w:pStyle w:val="TableParagraph"/>
              <w:numPr>
                <w:ilvl w:val="1"/>
                <w:numId w:val="2"/>
              </w:numPr>
              <w:tabs>
                <w:tab w:pos="728" w:val="left" w:leader="none"/>
              </w:tabs>
              <w:spacing w:line="240" w:lineRule="auto" w:before="37" w:after="0"/>
              <w:ind w:left="728" w:right="0" w:hanging="423"/>
              <w:jc w:val="left"/>
              <w:rPr>
                <w:sz w:val="21"/>
              </w:rPr>
            </w:pPr>
            <w:r>
              <w:rPr>
                <w:spacing w:val="-2"/>
                <w:sz w:val="21"/>
              </w:rPr>
              <w:t>保险事故通知</w:t>
            </w:r>
          </w:p>
          <w:p>
            <w:pPr>
              <w:pStyle w:val="TableParagraph"/>
              <w:numPr>
                <w:ilvl w:val="1"/>
                <w:numId w:val="2"/>
              </w:numPr>
              <w:tabs>
                <w:tab w:pos="728" w:val="left" w:leader="none"/>
              </w:tabs>
              <w:spacing w:line="240" w:lineRule="auto" w:before="37" w:after="0"/>
              <w:ind w:left="728" w:right="0" w:hanging="423"/>
              <w:jc w:val="left"/>
              <w:rPr>
                <w:sz w:val="21"/>
              </w:rPr>
            </w:pPr>
            <w:r>
              <w:rPr>
                <w:spacing w:val="-2"/>
                <w:sz w:val="21"/>
              </w:rPr>
              <w:t>保险金申请</w:t>
            </w:r>
          </w:p>
          <w:p>
            <w:pPr>
              <w:pStyle w:val="TableParagraph"/>
              <w:numPr>
                <w:ilvl w:val="1"/>
                <w:numId w:val="2"/>
              </w:numPr>
              <w:tabs>
                <w:tab w:pos="728" w:val="left" w:leader="none"/>
              </w:tabs>
              <w:spacing w:line="240" w:lineRule="auto" w:before="36" w:after="0"/>
              <w:ind w:left="728" w:right="0" w:hanging="423"/>
              <w:jc w:val="left"/>
              <w:rPr>
                <w:sz w:val="21"/>
              </w:rPr>
            </w:pPr>
            <w:r>
              <w:rPr>
                <w:spacing w:val="-2"/>
                <w:sz w:val="21"/>
              </w:rPr>
              <w:t>保险金给付</w:t>
            </w:r>
          </w:p>
          <w:p>
            <w:pPr>
              <w:pStyle w:val="TableParagraph"/>
              <w:numPr>
                <w:ilvl w:val="1"/>
                <w:numId w:val="2"/>
              </w:numPr>
              <w:tabs>
                <w:tab w:pos="728" w:val="left" w:leader="none"/>
              </w:tabs>
              <w:spacing w:line="260" w:lineRule="exact" w:before="36" w:after="0"/>
              <w:ind w:left="728" w:right="0" w:hanging="423"/>
              <w:jc w:val="left"/>
              <w:rPr>
                <w:sz w:val="21"/>
              </w:rPr>
            </w:pPr>
            <w:r>
              <w:rPr>
                <w:spacing w:val="-2"/>
                <w:sz w:val="21"/>
              </w:rPr>
              <w:t>诉讼时效</w:t>
            </w:r>
          </w:p>
          <w:p>
            <w:pPr>
              <w:pStyle w:val="TableParagraph"/>
              <w:numPr>
                <w:ilvl w:val="0"/>
                <w:numId w:val="2"/>
              </w:numPr>
              <w:tabs>
                <w:tab w:pos="517" w:val="left" w:leader="none"/>
              </w:tabs>
              <w:spacing w:line="351" w:lineRule="exact" w:before="0" w:after="0"/>
              <w:ind w:left="516" w:right="0" w:hanging="316"/>
              <w:jc w:val="left"/>
              <w:rPr>
                <w:rFonts w:ascii="Microsoft JhengHei" w:eastAsia="Microsoft JhengHei" w:hint="eastAsia"/>
                <w:b/>
                <w:sz w:val="21"/>
              </w:rPr>
            </w:pPr>
            <w:r>
              <w:rPr>
                <w:rFonts w:ascii="Microsoft JhengHei" w:eastAsia="Microsoft JhengHei" w:hint="eastAsia"/>
                <w:b/>
                <w:sz w:val="21"/>
              </w:rPr>
              <w:t>保险费的交纳</w:t>
            </w:r>
          </w:p>
          <w:p>
            <w:pPr>
              <w:pStyle w:val="TableParagraph"/>
              <w:numPr>
                <w:ilvl w:val="1"/>
                <w:numId w:val="2"/>
              </w:numPr>
              <w:tabs>
                <w:tab w:pos="728" w:val="left" w:leader="none"/>
              </w:tabs>
              <w:spacing w:line="240" w:lineRule="auto" w:before="14" w:after="0"/>
              <w:ind w:left="728" w:right="0" w:hanging="423"/>
              <w:jc w:val="left"/>
              <w:rPr>
                <w:sz w:val="21"/>
              </w:rPr>
            </w:pPr>
            <w:r>
              <w:rPr>
                <w:spacing w:val="-2"/>
                <w:sz w:val="21"/>
              </w:rPr>
              <w:t>保险费的交纳</w:t>
            </w:r>
          </w:p>
          <w:p>
            <w:pPr>
              <w:pStyle w:val="TableParagraph"/>
              <w:numPr>
                <w:ilvl w:val="1"/>
                <w:numId w:val="2"/>
              </w:numPr>
              <w:tabs>
                <w:tab w:pos="728" w:val="left" w:leader="none"/>
              </w:tabs>
              <w:spacing w:line="255" w:lineRule="exact" w:before="38" w:after="0"/>
              <w:ind w:left="728" w:right="0" w:hanging="423"/>
              <w:jc w:val="left"/>
              <w:rPr>
                <w:sz w:val="21"/>
              </w:rPr>
            </w:pPr>
            <w:r>
              <w:rPr>
                <w:sz w:val="21"/>
              </w:rPr>
              <w:t>宽限期</w:t>
            </w:r>
          </w:p>
        </w:tc>
        <w:tc>
          <w:tcPr>
            <w:tcW w:w="3409" w:type="dxa"/>
          </w:tcPr>
          <w:p>
            <w:pPr>
              <w:pStyle w:val="TableParagraph"/>
              <w:numPr>
                <w:ilvl w:val="0"/>
                <w:numId w:val="3"/>
              </w:numPr>
              <w:tabs>
                <w:tab w:pos="623" w:val="left" w:leader="none"/>
              </w:tabs>
              <w:spacing w:line="235" w:lineRule="exact" w:before="0" w:after="0"/>
              <w:ind w:left="622" w:right="0" w:hanging="317"/>
              <w:jc w:val="left"/>
              <w:rPr>
                <w:rFonts w:ascii="Microsoft JhengHei" w:eastAsia="Microsoft JhengHei" w:hint="eastAsia"/>
                <w:b/>
                <w:sz w:val="21"/>
              </w:rPr>
            </w:pPr>
            <w:r>
              <w:rPr>
                <w:rFonts w:ascii="Microsoft JhengHei" w:eastAsia="Microsoft JhengHei" w:hint="eastAsia"/>
                <w:b/>
                <w:sz w:val="21"/>
              </w:rPr>
              <w:t>现金价值权益</w:t>
            </w:r>
          </w:p>
          <w:p>
            <w:pPr>
              <w:pStyle w:val="TableParagraph"/>
              <w:numPr>
                <w:ilvl w:val="1"/>
                <w:numId w:val="3"/>
              </w:numPr>
              <w:tabs>
                <w:tab w:pos="834" w:val="left" w:leader="none"/>
              </w:tabs>
              <w:spacing w:line="240" w:lineRule="auto" w:before="13" w:after="0"/>
              <w:ind w:left="833" w:right="0" w:hanging="423"/>
              <w:jc w:val="left"/>
              <w:rPr>
                <w:sz w:val="21"/>
              </w:rPr>
            </w:pPr>
            <w:r>
              <w:rPr>
                <w:spacing w:val="-2"/>
                <w:sz w:val="21"/>
              </w:rPr>
              <w:t>现金价值</w:t>
            </w:r>
          </w:p>
          <w:p>
            <w:pPr>
              <w:pStyle w:val="TableParagraph"/>
              <w:numPr>
                <w:ilvl w:val="1"/>
                <w:numId w:val="3"/>
              </w:numPr>
              <w:tabs>
                <w:tab w:pos="834" w:val="left" w:leader="none"/>
              </w:tabs>
              <w:spacing w:line="260" w:lineRule="exact" w:before="37" w:after="0"/>
              <w:ind w:left="833" w:right="0" w:hanging="423"/>
              <w:jc w:val="left"/>
              <w:rPr>
                <w:sz w:val="21"/>
              </w:rPr>
            </w:pPr>
            <w:r>
              <w:rPr>
                <w:spacing w:val="-2"/>
                <w:sz w:val="21"/>
              </w:rPr>
              <w:t>保单贷款</w:t>
            </w:r>
          </w:p>
          <w:p>
            <w:pPr>
              <w:pStyle w:val="TableParagraph"/>
              <w:numPr>
                <w:ilvl w:val="0"/>
                <w:numId w:val="3"/>
              </w:numPr>
              <w:tabs>
                <w:tab w:pos="623" w:val="left" w:leader="none"/>
              </w:tabs>
              <w:spacing w:line="351" w:lineRule="exact" w:before="0" w:after="0"/>
              <w:ind w:left="622" w:right="0" w:hanging="317"/>
              <w:jc w:val="left"/>
              <w:rPr>
                <w:rFonts w:ascii="Microsoft JhengHei" w:eastAsia="Microsoft JhengHei" w:hint="eastAsia"/>
                <w:b/>
                <w:sz w:val="21"/>
              </w:rPr>
            </w:pPr>
            <w:r>
              <w:rPr>
                <w:rFonts w:ascii="Microsoft JhengHei" w:eastAsia="Microsoft JhengHei" w:hint="eastAsia"/>
                <w:b/>
                <w:sz w:val="21"/>
              </w:rPr>
              <w:t>合同效力的中止及恢复</w:t>
            </w:r>
          </w:p>
          <w:p>
            <w:pPr>
              <w:pStyle w:val="TableParagraph"/>
              <w:numPr>
                <w:ilvl w:val="1"/>
                <w:numId w:val="3"/>
              </w:numPr>
              <w:tabs>
                <w:tab w:pos="839" w:val="left" w:leader="none"/>
              </w:tabs>
              <w:spacing w:line="240" w:lineRule="auto" w:before="13" w:after="0"/>
              <w:ind w:left="838" w:right="0" w:hanging="423"/>
              <w:jc w:val="left"/>
              <w:rPr>
                <w:sz w:val="21"/>
              </w:rPr>
            </w:pPr>
            <w:r>
              <w:rPr>
                <w:spacing w:val="-2"/>
                <w:sz w:val="21"/>
              </w:rPr>
              <w:t>效力中止</w:t>
            </w:r>
          </w:p>
          <w:p>
            <w:pPr>
              <w:pStyle w:val="TableParagraph"/>
              <w:numPr>
                <w:ilvl w:val="1"/>
                <w:numId w:val="3"/>
              </w:numPr>
              <w:tabs>
                <w:tab w:pos="834" w:val="left" w:leader="none"/>
              </w:tabs>
              <w:spacing w:line="260" w:lineRule="exact" w:before="37" w:after="0"/>
              <w:ind w:left="833" w:right="0" w:hanging="423"/>
              <w:jc w:val="left"/>
              <w:rPr>
                <w:sz w:val="21"/>
              </w:rPr>
            </w:pPr>
            <w:r>
              <w:rPr>
                <w:spacing w:val="-2"/>
                <w:sz w:val="21"/>
              </w:rPr>
              <w:t>效力恢复</w:t>
            </w:r>
          </w:p>
          <w:p>
            <w:pPr>
              <w:pStyle w:val="TableParagraph"/>
              <w:numPr>
                <w:ilvl w:val="0"/>
                <w:numId w:val="3"/>
              </w:numPr>
              <w:tabs>
                <w:tab w:pos="623" w:val="left" w:leader="none"/>
              </w:tabs>
              <w:spacing w:line="351" w:lineRule="exact" w:before="0" w:after="0"/>
              <w:ind w:left="622" w:right="0" w:hanging="317"/>
              <w:jc w:val="left"/>
              <w:rPr>
                <w:rFonts w:ascii="Microsoft JhengHei" w:eastAsia="Microsoft JhengHei" w:hint="eastAsia"/>
                <w:b/>
                <w:sz w:val="21"/>
              </w:rPr>
            </w:pPr>
            <w:r>
              <w:rPr>
                <w:rFonts w:ascii="Microsoft JhengHei" w:eastAsia="Microsoft JhengHei" w:hint="eastAsia"/>
                <w:b/>
                <w:sz w:val="21"/>
              </w:rPr>
              <w:t>合同解除</w:t>
            </w:r>
          </w:p>
          <w:p>
            <w:pPr>
              <w:pStyle w:val="TableParagraph"/>
              <w:numPr>
                <w:ilvl w:val="1"/>
                <w:numId w:val="3"/>
              </w:numPr>
              <w:tabs>
                <w:tab w:pos="834" w:val="left" w:leader="none"/>
              </w:tabs>
              <w:spacing w:line="260" w:lineRule="exact" w:before="13" w:after="0"/>
              <w:ind w:left="833" w:right="0" w:hanging="423"/>
              <w:jc w:val="left"/>
              <w:rPr>
                <w:sz w:val="21"/>
              </w:rPr>
            </w:pPr>
            <w:r>
              <w:rPr>
                <w:spacing w:val="-3"/>
                <w:sz w:val="21"/>
              </w:rPr>
              <w:t>您解除合同的手续及风险</w:t>
            </w:r>
          </w:p>
          <w:p>
            <w:pPr>
              <w:pStyle w:val="TableParagraph"/>
              <w:numPr>
                <w:ilvl w:val="0"/>
                <w:numId w:val="3"/>
              </w:numPr>
              <w:tabs>
                <w:tab w:pos="623" w:val="left" w:leader="none"/>
              </w:tabs>
              <w:spacing w:line="351" w:lineRule="exact" w:before="0" w:after="0"/>
              <w:ind w:left="622" w:right="0" w:hanging="317"/>
              <w:jc w:val="left"/>
              <w:rPr>
                <w:rFonts w:ascii="Microsoft JhengHei" w:eastAsia="Microsoft JhengHei" w:hint="eastAsia"/>
                <w:b/>
                <w:sz w:val="21"/>
              </w:rPr>
            </w:pPr>
            <w:r>
              <w:rPr>
                <w:rFonts w:ascii="Microsoft JhengHei" w:eastAsia="Microsoft JhengHei" w:hint="eastAsia"/>
                <w:b/>
                <w:sz w:val="21"/>
              </w:rPr>
              <w:t>其它需要关注的事项</w:t>
            </w:r>
          </w:p>
          <w:p>
            <w:pPr>
              <w:pStyle w:val="TableParagraph"/>
              <w:numPr>
                <w:ilvl w:val="1"/>
                <w:numId w:val="3"/>
              </w:numPr>
              <w:tabs>
                <w:tab w:pos="834" w:val="left" w:leader="none"/>
              </w:tabs>
              <w:spacing w:line="240" w:lineRule="auto" w:before="13" w:after="0"/>
              <w:ind w:left="833" w:right="0" w:hanging="423"/>
              <w:jc w:val="left"/>
              <w:rPr>
                <w:sz w:val="21"/>
              </w:rPr>
            </w:pPr>
            <w:r>
              <w:rPr>
                <w:spacing w:val="-2"/>
                <w:sz w:val="21"/>
              </w:rPr>
              <w:t>效力终止</w:t>
            </w:r>
          </w:p>
          <w:p>
            <w:pPr>
              <w:pStyle w:val="TableParagraph"/>
              <w:numPr>
                <w:ilvl w:val="1"/>
                <w:numId w:val="3"/>
              </w:numPr>
              <w:tabs>
                <w:tab w:pos="834" w:val="left" w:leader="none"/>
              </w:tabs>
              <w:spacing w:line="260" w:lineRule="exact" w:before="36" w:after="0"/>
              <w:ind w:left="833" w:right="0" w:hanging="423"/>
              <w:jc w:val="left"/>
              <w:rPr>
                <w:sz w:val="21"/>
              </w:rPr>
            </w:pPr>
            <w:r>
              <w:rPr>
                <w:spacing w:val="-2"/>
                <w:sz w:val="21"/>
              </w:rPr>
              <w:t>适用主合同条款</w:t>
            </w:r>
          </w:p>
          <w:p>
            <w:pPr>
              <w:pStyle w:val="TableParagraph"/>
              <w:numPr>
                <w:ilvl w:val="0"/>
                <w:numId w:val="3"/>
              </w:numPr>
              <w:tabs>
                <w:tab w:pos="623" w:val="left" w:leader="none"/>
              </w:tabs>
              <w:spacing w:line="324" w:lineRule="exact" w:before="0" w:after="0"/>
              <w:ind w:left="622" w:right="0" w:hanging="317"/>
              <w:jc w:val="left"/>
              <w:rPr>
                <w:rFonts w:ascii="Microsoft JhengHei" w:eastAsia="Microsoft JhengHei" w:hint="eastAsia"/>
                <w:b/>
                <w:sz w:val="21"/>
              </w:rPr>
            </w:pPr>
            <w:r>
              <w:rPr>
                <w:rFonts w:ascii="Microsoft JhengHei" w:eastAsia="Microsoft JhengHei" w:hint="eastAsia"/>
                <w:b/>
                <w:sz w:val="21"/>
              </w:rPr>
              <w:t>重大疾病定义</w:t>
            </w:r>
          </w:p>
          <w:p>
            <w:pPr>
              <w:pStyle w:val="TableParagraph"/>
              <w:spacing w:line="339" w:lineRule="exact" w:before="0"/>
              <w:ind w:left="305"/>
              <w:rPr>
                <w:rFonts w:ascii="Microsoft JhengHei" w:eastAsia="Microsoft JhengHei" w:hint="eastAsia"/>
                <w:b/>
                <w:sz w:val="21"/>
              </w:rPr>
            </w:pPr>
            <w:r>
              <w:rPr>
                <w:rFonts w:ascii="Microsoft JhengHei" w:eastAsia="Microsoft JhengHei" w:hint="eastAsia"/>
                <w:b/>
                <w:w w:val="84"/>
                <w:sz w:val="21"/>
              </w:rPr>
              <w:t>10</w:t>
            </w:r>
            <w:r>
              <w:rPr>
                <w:rFonts w:ascii="Microsoft JhengHei" w:eastAsia="Microsoft JhengHei" w:hint="eastAsia"/>
                <w:b/>
                <w:w w:val="197"/>
                <w:sz w:val="21"/>
              </w:rPr>
              <w:t>.</w:t>
            </w:r>
            <w:r>
              <w:rPr>
                <w:rFonts w:ascii="Microsoft JhengHei" w:eastAsia="Microsoft JhengHei" w:hint="eastAsia"/>
                <w:b/>
                <w:w w:val="100"/>
                <w:sz w:val="21"/>
              </w:rPr>
              <w:t>释义</w:t>
            </w:r>
          </w:p>
          <w:p>
            <w:pPr>
              <w:pStyle w:val="TableParagraph"/>
              <w:numPr>
                <w:ilvl w:val="1"/>
                <w:numId w:val="4"/>
              </w:numPr>
              <w:tabs>
                <w:tab w:pos="887" w:val="left" w:leader="none"/>
              </w:tabs>
              <w:spacing w:line="240" w:lineRule="auto" w:before="13" w:after="0"/>
              <w:ind w:left="886" w:right="0" w:hanging="476"/>
              <w:jc w:val="left"/>
              <w:rPr>
                <w:sz w:val="21"/>
              </w:rPr>
            </w:pPr>
            <w:r>
              <w:rPr>
                <w:spacing w:val="-2"/>
                <w:sz w:val="21"/>
              </w:rPr>
              <w:t>合法有效</w:t>
            </w:r>
          </w:p>
          <w:p>
            <w:pPr>
              <w:pStyle w:val="TableParagraph"/>
              <w:numPr>
                <w:ilvl w:val="1"/>
                <w:numId w:val="4"/>
              </w:numPr>
              <w:tabs>
                <w:tab w:pos="887" w:val="left" w:leader="none"/>
              </w:tabs>
              <w:spacing w:line="240" w:lineRule="auto" w:before="37" w:after="0"/>
              <w:ind w:left="886" w:right="0" w:hanging="476"/>
              <w:jc w:val="left"/>
              <w:rPr>
                <w:sz w:val="21"/>
              </w:rPr>
            </w:pPr>
            <w:r>
              <w:rPr>
                <w:spacing w:val="-2"/>
                <w:sz w:val="21"/>
              </w:rPr>
              <w:t>保单年度</w:t>
            </w:r>
          </w:p>
          <w:p>
            <w:pPr>
              <w:pStyle w:val="TableParagraph"/>
              <w:numPr>
                <w:ilvl w:val="1"/>
                <w:numId w:val="4"/>
              </w:numPr>
              <w:tabs>
                <w:tab w:pos="887" w:val="left" w:leader="none"/>
              </w:tabs>
              <w:spacing w:line="240" w:lineRule="auto" w:before="37" w:after="0"/>
              <w:ind w:left="886" w:right="0" w:hanging="476"/>
              <w:jc w:val="left"/>
              <w:rPr>
                <w:sz w:val="21"/>
              </w:rPr>
            </w:pPr>
            <w:r>
              <w:rPr>
                <w:spacing w:val="-3"/>
                <w:sz w:val="21"/>
              </w:rPr>
              <w:t>保险费约定交纳日</w:t>
            </w:r>
          </w:p>
          <w:p>
            <w:pPr>
              <w:pStyle w:val="TableParagraph"/>
              <w:numPr>
                <w:ilvl w:val="1"/>
                <w:numId w:val="4"/>
              </w:numPr>
              <w:tabs>
                <w:tab w:pos="887" w:val="left" w:leader="none"/>
              </w:tabs>
              <w:spacing w:line="240" w:lineRule="auto" w:before="37" w:after="0"/>
              <w:ind w:left="886" w:right="0" w:hanging="476"/>
              <w:jc w:val="left"/>
              <w:rPr>
                <w:sz w:val="21"/>
              </w:rPr>
            </w:pPr>
            <w:r>
              <w:rPr>
                <w:sz w:val="21"/>
              </w:rPr>
              <w:t>周岁</w:t>
            </w:r>
          </w:p>
          <w:p>
            <w:pPr>
              <w:pStyle w:val="TableParagraph"/>
              <w:numPr>
                <w:ilvl w:val="1"/>
                <w:numId w:val="4"/>
              </w:numPr>
              <w:tabs>
                <w:tab w:pos="887" w:val="left" w:leader="none"/>
              </w:tabs>
              <w:spacing w:line="240" w:lineRule="auto" w:before="37" w:after="0"/>
              <w:ind w:left="886" w:right="0" w:hanging="476"/>
              <w:jc w:val="left"/>
              <w:rPr>
                <w:sz w:val="21"/>
              </w:rPr>
            </w:pPr>
            <w:r>
              <w:rPr>
                <w:spacing w:val="-2"/>
                <w:sz w:val="21"/>
              </w:rPr>
              <w:t>有效身份证件</w:t>
            </w:r>
          </w:p>
          <w:p>
            <w:pPr>
              <w:pStyle w:val="TableParagraph"/>
              <w:numPr>
                <w:ilvl w:val="1"/>
                <w:numId w:val="4"/>
              </w:numPr>
              <w:tabs>
                <w:tab w:pos="887" w:val="left" w:leader="none"/>
              </w:tabs>
              <w:spacing w:line="255" w:lineRule="exact" w:before="37" w:after="0"/>
              <w:ind w:left="886" w:right="0" w:hanging="476"/>
              <w:jc w:val="left"/>
              <w:rPr>
                <w:sz w:val="21"/>
              </w:rPr>
            </w:pPr>
            <w:r>
              <w:rPr>
                <w:sz w:val="21"/>
              </w:rPr>
              <w:t>医院</w:t>
            </w:r>
          </w:p>
        </w:tc>
        <w:tc>
          <w:tcPr>
            <w:tcW w:w="3828" w:type="dxa"/>
          </w:tcPr>
          <w:p>
            <w:pPr>
              <w:pStyle w:val="TableParagraph"/>
              <w:numPr>
                <w:ilvl w:val="1"/>
                <w:numId w:val="5"/>
              </w:numPr>
              <w:tabs>
                <w:tab w:pos="896" w:val="left" w:leader="none"/>
                <w:tab w:pos="897" w:val="left" w:leader="none"/>
              </w:tabs>
              <w:spacing w:line="211" w:lineRule="exact" w:before="0" w:after="0"/>
              <w:ind w:left="891" w:right="0" w:hanging="629"/>
              <w:jc w:val="left"/>
              <w:rPr>
                <w:sz w:val="21"/>
              </w:rPr>
            </w:pPr>
            <w:r>
              <w:rPr>
                <w:spacing w:val="-2"/>
                <w:sz w:val="21"/>
              </w:rPr>
              <w:t>初次确诊</w:t>
            </w:r>
          </w:p>
          <w:p>
            <w:pPr>
              <w:pStyle w:val="TableParagraph"/>
              <w:numPr>
                <w:ilvl w:val="1"/>
                <w:numId w:val="5"/>
              </w:numPr>
              <w:tabs>
                <w:tab w:pos="896" w:val="left" w:leader="none"/>
                <w:tab w:pos="897" w:val="left" w:leader="none"/>
              </w:tabs>
              <w:spacing w:line="240" w:lineRule="auto" w:before="37" w:after="0"/>
              <w:ind w:left="891" w:right="0" w:hanging="629"/>
              <w:jc w:val="left"/>
              <w:rPr>
                <w:sz w:val="21"/>
              </w:rPr>
            </w:pPr>
            <w:r>
              <w:rPr>
                <w:sz w:val="21"/>
              </w:rPr>
              <w:t>毒品</w:t>
            </w:r>
          </w:p>
          <w:p>
            <w:pPr>
              <w:pStyle w:val="TableParagraph"/>
              <w:numPr>
                <w:ilvl w:val="1"/>
                <w:numId w:val="5"/>
              </w:numPr>
              <w:tabs>
                <w:tab w:pos="896" w:val="left" w:leader="none"/>
                <w:tab w:pos="897" w:val="left" w:leader="none"/>
              </w:tabs>
              <w:spacing w:line="240" w:lineRule="auto" w:before="37" w:after="0"/>
              <w:ind w:left="891" w:right="0" w:hanging="629"/>
              <w:jc w:val="left"/>
              <w:rPr>
                <w:sz w:val="21"/>
              </w:rPr>
            </w:pPr>
            <w:r>
              <w:rPr>
                <w:spacing w:val="-2"/>
                <w:sz w:val="21"/>
              </w:rPr>
              <w:t>酒后驾驶</w:t>
            </w:r>
          </w:p>
          <w:p>
            <w:pPr>
              <w:pStyle w:val="TableParagraph"/>
              <w:numPr>
                <w:ilvl w:val="1"/>
                <w:numId w:val="5"/>
              </w:numPr>
              <w:tabs>
                <w:tab w:pos="897" w:val="left" w:leader="none"/>
              </w:tabs>
              <w:spacing w:line="240" w:lineRule="auto" w:before="37" w:after="0"/>
              <w:ind w:left="891" w:right="0" w:hanging="629"/>
              <w:jc w:val="left"/>
              <w:rPr>
                <w:sz w:val="21"/>
              </w:rPr>
            </w:pPr>
            <w:r>
              <w:rPr>
                <w:spacing w:val="-3"/>
                <w:sz w:val="21"/>
              </w:rPr>
              <w:t>无合法有效驾驶证驾驶</w:t>
            </w:r>
          </w:p>
          <w:p>
            <w:pPr>
              <w:pStyle w:val="TableParagraph"/>
              <w:numPr>
                <w:ilvl w:val="1"/>
                <w:numId w:val="5"/>
              </w:numPr>
              <w:tabs>
                <w:tab w:pos="897" w:val="left" w:leader="none"/>
              </w:tabs>
              <w:spacing w:line="240" w:lineRule="auto" w:before="36" w:after="0"/>
              <w:ind w:left="891" w:right="0" w:hanging="629"/>
              <w:jc w:val="left"/>
              <w:rPr>
                <w:sz w:val="21"/>
              </w:rPr>
            </w:pPr>
            <w:r>
              <w:rPr>
                <w:spacing w:val="-3"/>
                <w:sz w:val="21"/>
              </w:rPr>
              <w:t>无合法有效行驶证</w:t>
            </w:r>
          </w:p>
          <w:p>
            <w:pPr>
              <w:pStyle w:val="TableParagraph"/>
              <w:numPr>
                <w:ilvl w:val="1"/>
                <w:numId w:val="5"/>
              </w:numPr>
              <w:tabs>
                <w:tab w:pos="897" w:val="left" w:leader="none"/>
              </w:tabs>
              <w:spacing w:line="240" w:lineRule="auto" w:before="36" w:after="0"/>
              <w:ind w:left="891" w:right="0" w:hanging="629"/>
              <w:jc w:val="left"/>
              <w:rPr>
                <w:sz w:val="21"/>
              </w:rPr>
            </w:pPr>
            <w:r>
              <w:rPr>
                <w:spacing w:val="-2"/>
                <w:sz w:val="21"/>
              </w:rPr>
              <w:t>机动车</w:t>
            </w:r>
          </w:p>
          <w:p>
            <w:pPr>
              <w:pStyle w:val="TableParagraph"/>
              <w:numPr>
                <w:ilvl w:val="1"/>
                <w:numId w:val="5"/>
              </w:numPr>
              <w:tabs>
                <w:tab w:pos="897" w:val="left" w:leader="none"/>
              </w:tabs>
              <w:spacing w:line="240" w:lineRule="auto" w:before="36" w:after="0"/>
              <w:ind w:left="891" w:right="0" w:hanging="629"/>
              <w:jc w:val="left"/>
              <w:rPr>
                <w:sz w:val="21"/>
              </w:rPr>
            </w:pPr>
            <w:r>
              <w:rPr>
                <w:spacing w:val="-4"/>
                <w:sz w:val="21"/>
              </w:rPr>
              <w:t>感染艾滋病病毒或者患艾滋病</w:t>
            </w:r>
          </w:p>
          <w:p>
            <w:pPr>
              <w:pStyle w:val="TableParagraph"/>
              <w:numPr>
                <w:ilvl w:val="1"/>
                <w:numId w:val="5"/>
              </w:numPr>
              <w:tabs>
                <w:tab w:pos="897" w:val="left" w:leader="none"/>
              </w:tabs>
              <w:spacing w:line="240" w:lineRule="auto" w:before="36" w:after="0"/>
              <w:ind w:left="891" w:right="0" w:hanging="629"/>
              <w:jc w:val="left"/>
              <w:rPr>
                <w:sz w:val="21"/>
              </w:rPr>
            </w:pPr>
            <w:r>
              <w:rPr>
                <w:spacing w:val="-2"/>
                <w:sz w:val="21"/>
              </w:rPr>
              <w:t>遗传性疾病</w:t>
            </w:r>
          </w:p>
          <w:p>
            <w:pPr>
              <w:pStyle w:val="TableParagraph"/>
              <w:numPr>
                <w:ilvl w:val="1"/>
                <w:numId w:val="5"/>
              </w:numPr>
              <w:tabs>
                <w:tab w:pos="897" w:val="left" w:leader="none"/>
              </w:tabs>
              <w:spacing w:line="273" w:lineRule="auto" w:before="37" w:after="0"/>
              <w:ind w:left="891" w:right="197" w:hanging="629"/>
              <w:jc w:val="left"/>
              <w:rPr>
                <w:sz w:val="21"/>
              </w:rPr>
            </w:pPr>
            <w:r>
              <w:rPr>
                <w:spacing w:val="-4"/>
                <w:sz w:val="21"/>
              </w:rPr>
              <w:t>先天性畸形、变形或者染色体异常</w:t>
            </w:r>
          </w:p>
          <w:p>
            <w:pPr>
              <w:pStyle w:val="TableParagraph"/>
              <w:numPr>
                <w:ilvl w:val="1"/>
                <w:numId w:val="5"/>
              </w:numPr>
              <w:tabs>
                <w:tab w:pos="897" w:val="left" w:leader="none"/>
              </w:tabs>
              <w:spacing w:line="240" w:lineRule="auto" w:before="7" w:after="0"/>
              <w:ind w:left="891" w:right="0" w:hanging="629"/>
              <w:jc w:val="left"/>
              <w:rPr>
                <w:sz w:val="21"/>
              </w:rPr>
            </w:pPr>
            <w:r>
              <w:rPr>
                <w:spacing w:val="-2"/>
                <w:sz w:val="21"/>
              </w:rPr>
              <w:t>现金价值</w:t>
            </w:r>
          </w:p>
          <w:p>
            <w:pPr>
              <w:pStyle w:val="TableParagraph"/>
              <w:numPr>
                <w:ilvl w:val="1"/>
                <w:numId w:val="5"/>
              </w:numPr>
              <w:tabs>
                <w:tab w:pos="897" w:val="left" w:leader="none"/>
              </w:tabs>
              <w:spacing w:line="240" w:lineRule="auto" w:before="36" w:after="0"/>
              <w:ind w:left="891" w:right="0" w:hanging="629"/>
              <w:jc w:val="left"/>
              <w:rPr>
                <w:sz w:val="21"/>
              </w:rPr>
            </w:pPr>
            <w:r>
              <w:rPr>
                <w:spacing w:val="-2"/>
                <w:sz w:val="21"/>
              </w:rPr>
              <w:t>专科医生</w:t>
            </w:r>
          </w:p>
          <w:p>
            <w:pPr>
              <w:pStyle w:val="TableParagraph"/>
              <w:numPr>
                <w:ilvl w:val="1"/>
                <w:numId w:val="5"/>
              </w:numPr>
              <w:tabs>
                <w:tab w:pos="897" w:val="left" w:leader="none"/>
              </w:tabs>
              <w:spacing w:line="240" w:lineRule="auto" w:before="36" w:after="0"/>
              <w:ind w:left="891" w:right="0" w:hanging="629"/>
              <w:jc w:val="left"/>
              <w:rPr>
                <w:sz w:val="21"/>
              </w:rPr>
            </w:pPr>
            <w:r>
              <w:rPr>
                <w:spacing w:val="-3"/>
                <w:sz w:val="21"/>
              </w:rPr>
              <w:t>肢体机能完全丧失</w:t>
            </w:r>
          </w:p>
          <w:p>
            <w:pPr>
              <w:pStyle w:val="TableParagraph"/>
              <w:numPr>
                <w:ilvl w:val="1"/>
                <w:numId w:val="5"/>
              </w:numPr>
              <w:tabs>
                <w:tab w:pos="897" w:val="left" w:leader="none"/>
              </w:tabs>
              <w:spacing w:line="273" w:lineRule="auto" w:before="37" w:after="0"/>
              <w:ind w:left="891" w:right="198" w:hanging="629"/>
              <w:jc w:val="left"/>
              <w:rPr>
                <w:sz w:val="21"/>
              </w:rPr>
            </w:pPr>
            <w:r>
              <w:rPr>
                <w:spacing w:val="-4"/>
                <w:sz w:val="21"/>
              </w:rPr>
              <w:t>语言能力或咀嚼吞咽能力完全丧失</w:t>
            </w:r>
          </w:p>
          <w:p>
            <w:pPr>
              <w:pStyle w:val="TableParagraph"/>
              <w:numPr>
                <w:ilvl w:val="1"/>
                <w:numId w:val="5"/>
              </w:numPr>
              <w:tabs>
                <w:tab w:pos="897" w:val="left" w:leader="none"/>
              </w:tabs>
              <w:spacing w:line="240" w:lineRule="auto" w:before="7" w:after="0"/>
              <w:ind w:left="891" w:right="0" w:hanging="629"/>
              <w:jc w:val="left"/>
              <w:rPr>
                <w:sz w:val="21"/>
              </w:rPr>
            </w:pPr>
            <w:r>
              <w:rPr>
                <w:spacing w:val="-3"/>
                <w:sz w:val="21"/>
              </w:rPr>
              <w:t>六项基本日常生活活动</w:t>
            </w:r>
          </w:p>
          <w:p>
            <w:pPr>
              <w:pStyle w:val="TableParagraph"/>
              <w:numPr>
                <w:ilvl w:val="1"/>
                <w:numId w:val="5"/>
              </w:numPr>
              <w:tabs>
                <w:tab w:pos="897" w:val="left" w:leader="none"/>
              </w:tabs>
              <w:spacing w:line="240" w:lineRule="auto" w:before="36" w:after="0"/>
              <w:ind w:left="891" w:right="0" w:hanging="629"/>
              <w:jc w:val="left"/>
              <w:rPr>
                <w:sz w:val="21"/>
              </w:rPr>
            </w:pPr>
            <w:r>
              <w:rPr>
                <w:spacing w:val="-2"/>
                <w:sz w:val="21"/>
              </w:rPr>
              <w:t>永久不可逆</w:t>
            </w:r>
          </w:p>
        </w:tc>
      </w:tr>
    </w:tbl>
    <w:p>
      <w:pPr>
        <w:spacing w:after="0" w:line="240" w:lineRule="auto"/>
        <w:jc w:val="left"/>
        <w:rPr>
          <w:sz w:val="21"/>
        </w:rPr>
        <w:sectPr>
          <w:type w:val="continuous"/>
          <w:pgSz w:w="11910" w:h="16840"/>
          <w:pgMar w:top="300" w:bottom="540" w:left="840" w:right="840"/>
        </w:sectPr>
      </w:pPr>
    </w:p>
    <w:p>
      <w:pPr>
        <w:pStyle w:val="Heading1"/>
        <w:spacing w:line="441" w:lineRule="exact"/>
        <w:ind w:left="3083"/>
      </w:pPr>
      <w:r>
        <w:rPr/>
        <w:t>渤海人寿保险股份有限公司</w:t>
      </w:r>
    </w:p>
    <w:p>
      <w:pPr>
        <w:spacing w:before="67"/>
        <w:ind w:left="2762" w:right="0" w:firstLine="0"/>
        <w:jc w:val="left"/>
        <w:rPr>
          <w:rFonts w:ascii="Microsoft JhengHei" w:eastAsia="Microsoft JhengHei" w:hint="eastAsia"/>
          <w:b/>
          <w:sz w:val="32"/>
        </w:rPr>
      </w:pPr>
      <w:r>
        <w:rPr>
          <w:rFonts w:ascii="Microsoft JhengHei" w:eastAsia="Microsoft JhengHei" w:hint="eastAsia"/>
          <w:b/>
          <w:sz w:val="32"/>
        </w:rPr>
        <w:t>渤海人寿附加重大疾病保险条款</w:t>
      </w:r>
    </w:p>
    <w:p>
      <w:pPr>
        <w:pStyle w:val="BodyText"/>
        <w:spacing w:before="12"/>
        <w:rPr>
          <w:rFonts w:ascii="Microsoft JhengHei"/>
          <w:b/>
          <w:sz w:val="23"/>
        </w:rPr>
      </w:pPr>
    </w:p>
    <w:p>
      <w:pPr>
        <w:pStyle w:val="BodyText"/>
        <w:spacing w:line="273" w:lineRule="auto"/>
        <w:ind w:left="860" w:right="849"/>
      </w:pPr>
      <w:r>
        <w:rPr>
          <w:spacing w:val="-25"/>
          <w:w w:val="100"/>
        </w:rPr>
        <w:t>在本条款中，“您”指投保人，“我们”、“本公司”均指渤海人寿保险股份有限公司，“本附</w:t>
      </w:r>
      <w:r>
        <w:rPr>
          <w:spacing w:val="-15"/>
        </w:rPr>
        <w:t>加合同”指您与我们之间订立的“渤海人寿附加重大疾病保险合同”。</w:t>
      </w:r>
    </w:p>
    <w:p>
      <w:pPr>
        <w:pStyle w:val="BodyText"/>
        <w:rPr>
          <w:sz w:val="20"/>
        </w:rPr>
      </w:pPr>
    </w:p>
    <w:p>
      <w:pPr>
        <w:pStyle w:val="BodyText"/>
        <w:spacing w:before="11"/>
        <w:rPr>
          <w:sz w:val="2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3"/>
        <w:gridCol w:w="1185"/>
        <w:gridCol w:w="7976"/>
      </w:tblGrid>
      <w:tr>
        <w:trPr>
          <w:trHeight w:val="325" w:hRule="atLeast"/>
        </w:trPr>
        <w:tc>
          <w:tcPr>
            <w:tcW w:w="643" w:type="dxa"/>
            <w:tcBorders>
              <w:bottom w:val="single" w:sz="8" w:space="0" w:color="000000"/>
            </w:tcBorders>
          </w:tcPr>
          <w:p>
            <w:pPr>
              <w:pStyle w:val="TableParagraph"/>
              <w:spacing w:line="267" w:lineRule="exact" w:before="0"/>
              <w:ind w:left="110"/>
              <w:rPr>
                <w:rFonts w:ascii="Microsoft JhengHei"/>
                <w:b/>
                <w:sz w:val="24"/>
              </w:rPr>
            </w:pPr>
            <w:r>
              <w:rPr>
                <w:rFonts w:ascii="Microsoft JhengHei"/>
                <w:b/>
                <w:w w:val="120"/>
                <w:sz w:val="24"/>
              </w:rPr>
              <w:t>1.</w:t>
            </w:r>
          </w:p>
        </w:tc>
        <w:tc>
          <w:tcPr>
            <w:tcW w:w="9161" w:type="dxa"/>
            <w:gridSpan w:val="2"/>
            <w:tcBorders>
              <w:bottom w:val="single" w:sz="8" w:space="0" w:color="000000"/>
            </w:tcBorders>
          </w:tcPr>
          <w:p>
            <w:pPr>
              <w:pStyle w:val="TableParagraph"/>
              <w:spacing w:line="267" w:lineRule="exact" w:before="0"/>
              <w:ind w:left="216"/>
              <w:rPr>
                <w:rFonts w:ascii="Microsoft JhengHei" w:eastAsia="Microsoft JhengHei" w:hint="eastAsia"/>
                <w:b/>
                <w:sz w:val="24"/>
              </w:rPr>
            </w:pPr>
            <w:r>
              <w:rPr>
                <w:rFonts w:ascii="Microsoft JhengHei" w:eastAsia="Microsoft JhengHei" w:hint="eastAsia"/>
                <w:b/>
                <w:sz w:val="24"/>
              </w:rPr>
              <w:t>您与我们订立的合同</w:t>
            </w:r>
          </w:p>
        </w:tc>
      </w:tr>
      <w:tr>
        <w:trPr>
          <w:trHeight w:val="2185" w:hRule="atLeast"/>
        </w:trPr>
        <w:tc>
          <w:tcPr>
            <w:tcW w:w="643" w:type="dxa"/>
            <w:tcBorders>
              <w:top w:val="single" w:sz="8" w:space="0" w:color="000000"/>
            </w:tcBorders>
          </w:tcPr>
          <w:p>
            <w:pPr>
              <w:pStyle w:val="TableParagraph"/>
              <w:spacing w:before="3"/>
              <w:rPr>
                <w:sz w:val="17"/>
              </w:rPr>
            </w:pPr>
          </w:p>
          <w:p>
            <w:pPr>
              <w:pStyle w:val="TableParagraph"/>
              <w:spacing w:before="0"/>
              <w:ind w:left="110"/>
              <w:rPr>
                <w:rFonts w:ascii="Microsoft JhengHei"/>
                <w:b/>
                <w:sz w:val="21"/>
              </w:rPr>
            </w:pPr>
            <w:r>
              <w:rPr>
                <w:rFonts w:ascii="Microsoft JhengHei"/>
                <w:b/>
                <w:w w:val="105"/>
                <w:sz w:val="21"/>
              </w:rPr>
              <w:t>1.1</w:t>
            </w:r>
          </w:p>
        </w:tc>
        <w:tc>
          <w:tcPr>
            <w:tcW w:w="1185" w:type="dxa"/>
            <w:tcBorders>
              <w:top w:val="single" w:sz="8" w:space="0" w:color="000000"/>
            </w:tcBorders>
          </w:tcPr>
          <w:p>
            <w:pPr>
              <w:pStyle w:val="TableParagraph"/>
              <w:spacing w:before="3"/>
              <w:rPr>
                <w:sz w:val="17"/>
              </w:rPr>
            </w:pPr>
          </w:p>
          <w:p>
            <w:pPr>
              <w:pStyle w:val="TableParagraph"/>
              <w:spacing w:before="0"/>
              <w:ind w:left="216"/>
              <w:rPr>
                <w:rFonts w:ascii="Microsoft JhengHei" w:eastAsia="Microsoft JhengHei" w:hint="eastAsia"/>
                <w:b/>
                <w:sz w:val="21"/>
              </w:rPr>
            </w:pPr>
            <w:r>
              <w:rPr>
                <w:rFonts w:ascii="Microsoft JhengHei" w:eastAsia="Microsoft JhengHei" w:hint="eastAsia"/>
                <w:b/>
                <w:sz w:val="21"/>
              </w:rPr>
              <w:t>合同构成</w:t>
            </w:r>
          </w:p>
        </w:tc>
        <w:tc>
          <w:tcPr>
            <w:tcW w:w="7976" w:type="dxa"/>
            <w:tcBorders>
              <w:top w:val="single" w:sz="8" w:space="0" w:color="000000"/>
            </w:tcBorders>
          </w:tcPr>
          <w:p>
            <w:pPr>
              <w:pStyle w:val="TableParagraph"/>
              <w:spacing w:before="4"/>
              <w:rPr>
                <w:sz w:val="22"/>
              </w:rPr>
            </w:pPr>
          </w:p>
          <w:p>
            <w:pPr>
              <w:pStyle w:val="TableParagraph"/>
              <w:spacing w:line="273" w:lineRule="auto" w:before="0"/>
              <w:ind w:left="126" w:right="103"/>
              <w:jc w:val="both"/>
              <w:rPr>
                <w:sz w:val="21"/>
              </w:rPr>
            </w:pPr>
            <w:r>
              <w:rPr>
                <w:spacing w:val="-4"/>
                <w:sz w:val="21"/>
              </w:rPr>
              <w:t>本附加合同由主保险合同</w:t>
            </w:r>
            <w:r>
              <w:rPr>
                <w:sz w:val="21"/>
              </w:rPr>
              <w:t>（</w:t>
            </w:r>
            <w:r>
              <w:rPr>
                <w:spacing w:val="-4"/>
                <w:sz w:val="21"/>
              </w:rPr>
              <w:t>以下简称“主合同” </w:t>
            </w:r>
            <w:r>
              <w:rPr>
                <w:spacing w:val="-29"/>
                <w:sz w:val="21"/>
              </w:rPr>
              <w:t>）</w:t>
            </w:r>
            <w:r>
              <w:rPr>
                <w:spacing w:val="-8"/>
                <w:sz w:val="21"/>
              </w:rPr>
              <w:t>的投保人申请，经我们同意，附加于主合同。</w:t>
            </w:r>
          </w:p>
          <w:p>
            <w:pPr>
              <w:pStyle w:val="TableParagraph"/>
              <w:spacing w:line="232" w:lineRule="auto" w:before="174"/>
              <w:ind w:left="126" w:right="98"/>
              <w:jc w:val="both"/>
              <w:rPr>
                <w:sz w:val="21"/>
              </w:rPr>
            </w:pPr>
            <w:r>
              <w:rPr>
                <w:spacing w:val="-7"/>
                <w:sz w:val="21"/>
              </w:rPr>
              <w:t>本附加合同是您与我们约定保险权利义务关系的协议，包括本保险条款、保险单或者</w:t>
            </w:r>
            <w:r>
              <w:rPr>
                <w:spacing w:val="-9"/>
                <w:sz w:val="21"/>
              </w:rPr>
              <w:t>其他保险凭证、投保单、与本附加合同有关的投保文件、 </w:t>
            </w:r>
            <w:r>
              <w:rPr>
                <w:rFonts w:ascii="微软雅黑" w:eastAsia="微软雅黑" w:hint="eastAsia"/>
                <w:b/>
                <w:sz w:val="21"/>
              </w:rPr>
              <w:t>合法有效</w:t>
            </w:r>
            <w:r>
              <w:rPr>
                <w:spacing w:val="-10"/>
                <w:sz w:val="21"/>
              </w:rPr>
              <w:t>的声明、批注、批</w:t>
            </w:r>
            <w:r>
              <w:rPr>
                <w:spacing w:val="-7"/>
                <w:sz w:val="21"/>
              </w:rPr>
              <w:t>单及其他您与我们共同认可的书面协议。</w:t>
            </w:r>
          </w:p>
        </w:tc>
      </w:tr>
      <w:tr>
        <w:trPr>
          <w:trHeight w:val="1418" w:hRule="atLeast"/>
        </w:trPr>
        <w:tc>
          <w:tcPr>
            <w:tcW w:w="643" w:type="dxa"/>
          </w:tcPr>
          <w:p>
            <w:pPr>
              <w:pStyle w:val="TableParagraph"/>
              <w:spacing w:before="85"/>
              <w:ind w:left="110"/>
              <w:rPr>
                <w:rFonts w:ascii="Microsoft JhengHei"/>
                <w:b/>
                <w:sz w:val="21"/>
              </w:rPr>
            </w:pPr>
            <w:r>
              <w:rPr>
                <w:rFonts w:ascii="Microsoft JhengHei"/>
                <w:b/>
                <w:w w:val="105"/>
                <w:sz w:val="21"/>
              </w:rPr>
              <w:t>1.2</w:t>
            </w:r>
          </w:p>
        </w:tc>
        <w:tc>
          <w:tcPr>
            <w:tcW w:w="1185" w:type="dxa"/>
          </w:tcPr>
          <w:p>
            <w:pPr>
              <w:pStyle w:val="TableParagraph"/>
              <w:spacing w:line="201" w:lineRule="auto" w:before="144"/>
              <w:ind w:left="216" w:right="121"/>
              <w:rPr>
                <w:rFonts w:ascii="Microsoft JhengHei" w:eastAsia="Microsoft JhengHei" w:hint="eastAsia"/>
                <w:b/>
                <w:sz w:val="21"/>
              </w:rPr>
            </w:pPr>
            <w:r>
              <w:rPr>
                <w:rFonts w:ascii="Microsoft JhengHei" w:eastAsia="Microsoft JhengHei" w:hint="eastAsia"/>
                <w:b/>
                <w:sz w:val="21"/>
              </w:rPr>
              <w:t>合同成立及生效</w:t>
            </w:r>
          </w:p>
        </w:tc>
        <w:tc>
          <w:tcPr>
            <w:tcW w:w="7976" w:type="dxa"/>
          </w:tcPr>
          <w:p>
            <w:pPr>
              <w:pStyle w:val="TableParagraph"/>
              <w:spacing w:line="268" w:lineRule="auto" w:before="152"/>
              <w:ind w:left="126" w:right="-15"/>
              <w:rPr>
                <w:sz w:val="21"/>
              </w:rPr>
            </w:pPr>
            <w:r>
              <w:rPr>
                <w:spacing w:val="-12"/>
                <w:sz w:val="21"/>
              </w:rPr>
              <w:t>除另有约定外，本附加合同须与主合同同时投保，本附加合同的生效日与主合同相同， </w:t>
            </w:r>
            <w:r>
              <w:rPr>
                <w:spacing w:val="-8"/>
                <w:sz w:val="21"/>
              </w:rPr>
              <w:t>并在保险单上载明。</w:t>
            </w:r>
          </w:p>
          <w:p>
            <w:pPr>
              <w:pStyle w:val="TableParagraph"/>
              <w:spacing w:before="107"/>
              <w:ind w:left="126"/>
              <w:rPr>
                <w:sz w:val="21"/>
              </w:rPr>
            </w:pPr>
            <w:r>
              <w:rPr>
                <w:rFonts w:ascii="微软雅黑" w:eastAsia="微软雅黑" w:hint="eastAsia"/>
                <w:b/>
                <w:sz w:val="21"/>
              </w:rPr>
              <w:t>保单年度</w:t>
            </w:r>
            <w:r>
              <w:rPr>
                <w:sz w:val="21"/>
              </w:rPr>
              <w:t>、 </w:t>
            </w:r>
            <w:r>
              <w:rPr>
                <w:rFonts w:ascii="微软雅黑" w:eastAsia="微软雅黑" w:hint="eastAsia"/>
                <w:b/>
                <w:sz w:val="21"/>
              </w:rPr>
              <w:t>保险费约定交纳日</w:t>
            </w:r>
            <w:r>
              <w:rPr>
                <w:sz w:val="21"/>
              </w:rPr>
              <w:t>均依据本附加合同的生效日为基础进行计算。</w:t>
            </w:r>
          </w:p>
        </w:tc>
      </w:tr>
      <w:tr>
        <w:trPr>
          <w:trHeight w:val="638" w:hRule="atLeast"/>
        </w:trPr>
        <w:tc>
          <w:tcPr>
            <w:tcW w:w="643" w:type="dxa"/>
          </w:tcPr>
          <w:p>
            <w:pPr>
              <w:pStyle w:val="TableParagraph"/>
              <w:spacing w:before="83"/>
              <w:ind w:left="110"/>
              <w:rPr>
                <w:rFonts w:ascii="Microsoft JhengHei"/>
                <w:b/>
                <w:sz w:val="21"/>
              </w:rPr>
            </w:pPr>
            <w:r>
              <w:rPr>
                <w:rFonts w:ascii="Microsoft JhengHei"/>
                <w:b/>
                <w:w w:val="105"/>
                <w:sz w:val="21"/>
              </w:rPr>
              <w:t>1.3</w:t>
            </w:r>
          </w:p>
        </w:tc>
        <w:tc>
          <w:tcPr>
            <w:tcW w:w="1185" w:type="dxa"/>
          </w:tcPr>
          <w:p>
            <w:pPr>
              <w:pStyle w:val="TableParagraph"/>
              <w:spacing w:before="83"/>
              <w:ind w:left="216"/>
              <w:rPr>
                <w:rFonts w:ascii="Microsoft JhengHei" w:eastAsia="Microsoft JhengHei" w:hint="eastAsia"/>
                <w:b/>
                <w:sz w:val="21"/>
              </w:rPr>
            </w:pPr>
            <w:r>
              <w:rPr>
                <w:rFonts w:ascii="Microsoft JhengHei" w:eastAsia="Microsoft JhengHei" w:hint="eastAsia"/>
                <w:b/>
                <w:sz w:val="21"/>
              </w:rPr>
              <w:t>投保年龄</w:t>
            </w:r>
          </w:p>
        </w:tc>
        <w:tc>
          <w:tcPr>
            <w:tcW w:w="7976" w:type="dxa"/>
          </w:tcPr>
          <w:p>
            <w:pPr>
              <w:pStyle w:val="TableParagraph"/>
              <w:spacing w:before="87"/>
              <w:ind w:left="126"/>
              <w:rPr>
                <w:sz w:val="21"/>
              </w:rPr>
            </w:pPr>
            <w:r>
              <w:rPr>
                <w:sz w:val="21"/>
              </w:rPr>
              <w:t>投保年龄指您投保时被保险人的年龄，以</w:t>
            </w:r>
            <w:r>
              <w:rPr>
                <w:rFonts w:ascii="微软雅黑" w:eastAsia="微软雅黑" w:hint="eastAsia"/>
                <w:b/>
                <w:sz w:val="21"/>
              </w:rPr>
              <w:t>周岁</w:t>
            </w:r>
            <w:r>
              <w:rPr>
                <w:sz w:val="21"/>
              </w:rPr>
              <w:t>计算。</w:t>
            </w:r>
          </w:p>
        </w:tc>
      </w:tr>
      <w:tr>
        <w:trPr>
          <w:trHeight w:val="2683" w:hRule="atLeast"/>
        </w:trPr>
        <w:tc>
          <w:tcPr>
            <w:tcW w:w="643" w:type="dxa"/>
          </w:tcPr>
          <w:p>
            <w:pPr>
              <w:pStyle w:val="TableParagraph"/>
              <w:spacing w:before="83"/>
              <w:ind w:left="110"/>
              <w:rPr>
                <w:rFonts w:ascii="Microsoft JhengHei"/>
                <w:b/>
                <w:sz w:val="21"/>
              </w:rPr>
            </w:pPr>
            <w:r>
              <w:rPr>
                <w:rFonts w:ascii="Microsoft JhengHei"/>
                <w:b/>
                <w:w w:val="105"/>
                <w:sz w:val="21"/>
              </w:rPr>
              <w:t>1.4</w:t>
            </w:r>
          </w:p>
        </w:tc>
        <w:tc>
          <w:tcPr>
            <w:tcW w:w="1185" w:type="dxa"/>
          </w:tcPr>
          <w:p>
            <w:pPr>
              <w:pStyle w:val="TableParagraph"/>
              <w:spacing w:before="83"/>
              <w:ind w:left="216"/>
              <w:rPr>
                <w:rFonts w:ascii="Microsoft JhengHei" w:eastAsia="Microsoft JhengHei" w:hint="eastAsia"/>
                <w:b/>
                <w:sz w:val="21"/>
              </w:rPr>
            </w:pPr>
            <w:r>
              <w:rPr>
                <w:rFonts w:ascii="Microsoft JhengHei" w:eastAsia="Microsoft JhengHei" w:hint="eastAsia"/>
                <w:b/>
                <w:sz w:val="21"/>
              </w:rPr>
              <w:t>犹豫期</w:t>
            </w:r>
          </w:p>
        </w:tc>
        <w:tc>
          <w:tcPr>
            <w:tcW w:w="7976" w:type="dxa"/>
          </w:tcPr>
          <w:p>
            <w:pPr>
              <w:pStyle w:val="TableParagraph"/>
              <w:spacing w:line="271" w:lineRule="auto" w:before="150"/>
              <w:ind w:left="126" w:right="99"/>
              <w:jc w:val="both"/>
              <w:rPr>
                <w:sz w:val="21"/>
              </w:rPr>
            </w:pPr>
            <w:r>
              <w:rPr>
                <w:spacing w:val="-8"/>
                <w:sz w:val="21"/>
              </w:rPr>
              <w:t>自您签收本附加合同的次日零时起，有 </w:t>
            </w:r>
            <w:r>
              <w:rPr>
                <w:sz w:val="21"/>
              </w:rPr>
              <w:t>10</w:t>
            </w:r>
            <w:r>
              <w:rPr>
                <w:spacing w:val="-13"/>
                <w:sz w:val="21"/>
              </w:rPr>
              <w:t> 日的犹豫期。在此期间，请您认真审视本附</w:t>
            </w:r>
            <w:r>
              <w:rPr>
                <w:spacing w:val="-9"/>
                <w:sz w:val="21"/>
              </w:rPr>
              <w:t>加合同，如果您认为本附加合同与您的需求不相符，您可以在此期间提出解除本附加</w:t>
            </w:r>
            <w:r>
              <w:rPr>
                <w:spacing w:val="-7"/>
                <w:sz w:val="21"/>
              </w:rPr>
              <w:t>合同，我们将向您无息退还保险费。</w:t>
            </w:r>
          </w:p>
          <w:p>
            <w:pPr>
              <w:pStyle w:val="TableParagraph"/>
              <w:spacing w:line="235" w:lineRule="auto" w:before="174"/>
              <w:ind w:left="126" w:right="99"/>
              <w:jc w:val="both"/>
              <w:rPr>
                <w:sz w:val="21"/>
              </w:rPr>
            </w:pPr>
            <w:r>
              <w:rPr>
                <w:spacing w:val="-7"/>
                <w:sz w:val="21"/>
              </w:rPr>
              <w:t>在犹豫期内解除本附加合同时，您须填写解除合同申请书，并提供本附加合同、您的</w:t>
            </w:r>
            <w:r>
              <w:rPr>
                <w:rFonts w:ascii="微软雅黑" w:eastAsia="微软雅黑" w:hint="eastAsia"/>
                <w:b/>
                <w:spacing w:val="-7"/>
                <w:sz w:val="21"/>
              </w:rPr>
              <w:t>有效身份证件</w:t>
            </w:r>
            <w:r>
              <w:rPr>
                <w:spacing w:val="-7"/>
                <w:sz w:val="21"/>
              </w:rPr>
              <w:t>及您所交保险费的发票。自我们收到您的解除合同申请书时起，本附加合同即被解除，对于本附加合同解除前发</w:t>
            </w:r>
            <w:r>
              <w:rPr>
                <w:sz w:val="21"/>
              </w:rPr>
              <w:t>Th</w:t>
            </w:r>
            <w:r>
              <w:rPr>
                <w:spacing w:val="-5"/>
                <w:sz w:val="21"/>
              </w:rPr>
              <w:t>的保险事故，我们不承担给付保险金的责</w:t>
            </w:r>
          </w:p>
          <w:p>
            <w:pPr>
              <w:pStyle w:val="TableParagraph"/>
              <w:spacing w:before="38"/>
              <w:ind w:left="126"/>
              <w:jc w:val="both"/>
              <w:rPr>
                <w:sz w:val="21"/>
              </w:rPr>
            </w:pPr>
            <w:r>
              <w:rPr>
                <w:sz w:val="21"/>
              </w:rPr>
              <w:t>任。</w:t>
            </w:r>
          </w:p>
        </w:tc>
      </w:tr>
      <w:tr>
        <w:trPr>
          <w:trHeight w:val="558" w:hRule="atLeast"/>
        </w:trPr>
        <w:tc>
          <w:tcPr>
            <w:tcW w:w="643" w:type="dxa"/>
            <w:tcBorders>
              <w:bottom w:val="single" w:sz="8" w:space="0" w:color="000000"/>
            </w:tcBorders>
          </w:tcPr>
          <w:p>
            <w:pPr>
              <w:pStyle w:val="TableParagraph"/>
              <w:spacing w:before="82"/>
              <w:ind w:left="110"/>
              <w:rPr>
                <w:rFonts w:ascii="Microsoft JhengHei"/>
                <w:b/>
                <w:sz w:val="24"/>
              </w:rPr>
            </w:pPr>
            <w:r>
              <w:rPr>
                <w:rFonts w:ascii="Microsoft JhengHei"/>
                <w:b/>
                <w:w w:val="120"/>
                <w:sz w:val="24"/>
              </w:rPr>
              <w:t>2.</w:t>
            </w:r>
          </w:p>
        </w:tc>
        <w:tc>
          <w:tcPr>
            <w:tcW w:w="9161" w:type="dxa"/>
            <w:gridSpan w:val="2"/>
            <w:tcBorders>
              <w:bottom w:val="single" w:sz="8" w:space="0" w:color="000000"/>
            </w:tcBorders>
          </w:tcPr>
          <w:p>
            <w:pPr>
              <w:pStyle w:val="TableParagraph"/>
              <w:spacing w:before="82"/>
              <w:ind w:left="216"/>
              <w:rPr>
                <w:rFonts w:ascii="Microsoft JhengHei" w:eastAsia="Microsoft JhengHei" w:hint="eastAsia"/>
                <w:b/>
                <w:sz w:val="24"/>
              </w:rPr>
            </w:pPr>
            <w:r>
              <w:rPr>
                <w:rFonts w:ascii="Microsoft JhengHei" w:eastAsia="Microsoft JhengHei" w:hint="eastAsia"/>
                <w:b/>
                <w:sz w:val="24"/>
              </w:rPr>
              <w:t>我们提供的保障</w:t>
            </w:r>
          </w:p>
        </w:tc>
      </w:tr>
      <w:tr>
        <w:trPr>
          <w:trHeight w:val="1090" w:hRule="atLeast"/>
        </w:trPr>
        <w:tc>
          <w:tcPr>
            <w:tcW w:w="643" w:type="dxa"/>
            <w:tcBorders>
              <w:top w:val="single" w:sz="8" w:space="0" w:color="000000"/>
            </w:tcBorders>
          </w:tcPr>
          <w:p>
            <w:pPr>
              <w:pStyle w:val="TableParagraph"/>
              <w:spacing w:before="2"/>
              <w:rPr>
                <w:sz w:val="17"/>
              </w:rPr>
            </w:pPr>
          </w:p>
          <w:p>
            <w:pPr>
              <w:pStyle w:val="TableParagraph"/>
              <w:spacing w:before="0"/>
              <w:ind w:left="110"/>
              <w:rPr>
                <w:rFonts w:ascii="Microsoft JhengHei"/>
                <w:b/>
                <w:sz w:val="21"/>
              </w:rPr>
            </w:pPr>
            <w:r>
              <w:rPr>
                <w:rFonts w:ascii="Microsoft JhengHei"/>
                <w:b/>
                <w:w w:val="105"/>
                <w:sz w:val="21"/>
              </w:rPr>
              <w:t>2.1</w:t>
            </w:r>
          </w:p>
        </w:tc>
        <w:tc>
          <w:tcPr>
            <w:tcW w:w="1185" w:type="dxa"/>
            <w:tcBorders>
              <w:top w:val="single" w:sz="8" w:space="0" w:color="000000"/>
            </w:tcBorders>
          </w:tcPr>
          <w:p>
            <w:pPr>
              <w:pStyle w:val="TableParagraph"/>
              <w:spacing w:before="8"/>
              <w:rPr>
                <w:sz w:val="21"/>
              </w:rPr>
            </w:pPr>
          </w:p>
          <w:p>
            <w:pPr>
              <w:pStyle w:val="TableParagraph"/>
              <w:spacing w:line="201" w:lineRule="auto" w:before="0"/>
              <w:ind w:left="216" w:right="121"/>
              <w:rPr>
                <w:rFonts w:ascii="Microsoft JhengHei" w:eastAsia="Microsoft JhengHei" w:hint="eastAsia"/>
                <w:b/>
                <w:sz w:val="21"/>
              </w:rPr>
            </w:pPr>
            <w:r>
              <w:rPr>
                <w:rFonts w:ascii="Microsoft JhengHei" w:eastAsia="Microsoft JhengHei" w:hint="eastAsia"/>
                <w:b/>
                <w:sz w:val="21"/>
              </w:rPr>
              <w:t>基本保险金额</w:t>
            </w:r>
          </w:p>
        </w:tc>
        <w:tc>
          <w:tcPr>
            <w:tcW w:w="7976" w:type="dxa"/>
            <w:tcBorders>
              <w:top w:val="single" w:sz="8" w:space="0" w:color="000000"/>
            </w:tcBorders>
          </w:tcPr>
          <w:p>
            <w:pPr>
              <w:pStyle w:val="TableParagraph"/>
              <w:spacing w:before="11"/>
              <w:rPr>
                <w:sz w:val="20"/>
              </w:rPr>
            </w:pPr>
          </w:p>
          <w:p>
            <w:pPr>
              <w:pStyle w:val="TableParagraph"/>
              <w:spacing w:line="235" w:lineRule="auto" w:before="0"/>
              <w:ind w:left="126" w:right="97"/>
              <w:rPr>
                <w:sz w:val="21"/>
              </w:rPr>
            </w:pPr>
            <w:r>
              <w:rPr>
                <w:spacing w:val="-7"/>
                <w:sz w:val="21"/>
              </w:rPr>
              <w:t>本附加合同的基本保险金额由您在投保时与我们约定，并在保险单上载明。若该金额</w:t>
            </w:r>
            <w:r>
              <w:rPr>
                <w:spacing w:val="-6"/>
                <w:sz w:val="21"/>
              </w:rPr>
              <w:t>发生变更，则以变更后的金额为基本保险金额。</w:t>
            </w:r>
          </w:p>
        </w:tc>
      </w:tr>
      <w:tr>
        <w:trPr>
          <w:trHeight w:val="640" w:hRule="atLeast"/>
        </w:trPr>
        <w:tc>
          <w:tcPr>
            <w:tcW w:w="643" w:type="dxa"/>
          </w:tcPr>
          <w:p>
            <w:pPr>
              <w:pStyle w:val="TableParagraph"/>
              <w:spacing w:before="85"/>
              <w:ind w:left="110"/>
              <w:rPr>
                <w:rFonts w:ascii="Microsoft JhengHei"/>
                <w:b/>
                <w:sz w:val="21"/>
              </w:rPr>
            </w:pPr>
            <w:r>
              <w:rPr>
                <w:rFonts w:ascii="Microsoft JhengHei"/>
                <w:b/>
                <w:w w:val="105"/>
                <w:sz w:val="21"/>
              </w:rPr>
              <w:t>2.2</w:t>
            </w:r>
          </w:p>
        </w:tc>
        <w:tc>
          <w:tcPr>
            <w:tcW w:w="1185" w:type="dxa"/>
          </w:tcPr>
          <w:p>
            <w:pPr>
              <w:pStyle w:val="TableParagraph"/>
              <w:spacing w:before="85"/>
              <w:ind w:left="216"/>
              <w:rPr>
                <w:rFonts w:ascii="Microsoft JhengHei" w:eastAsia="Microsoft JhengHei" w:hint="eastAsia"/>
                <w:b/>
                <w:sz w:val="21"/>
              </w:rPr>
            </w:pPr>
            <w:r>
              <w:rPr>
                <w:rFonts w:ascii="Microsoft JhengHei" w:eastAsia="Microsoft JhengHei" w:hint="eastAsia"/>
                <w:b/>
                <w:sz w:val="21"/>
              </w:rPr>
              <w:t>保险期间</w:t>
            </w:r>
          </w:p>
        </w:tc>
        <w:tc>
          <w:tcPr>
            <w:tcW w:w="7976" w:type="dxa"/>
          </w:tcPr>
          <w:p>
            <w:pPr>
              <w:pStyle w:val="TableParagraph"/>
              <w:spacing w:before="152"/>
              <w:ind w:left="126"/>
              <w:rPr>
                <w:sz w:val="21"/>
              </w:rPr>
            </w:pPr>
            <w:r>
              <w:rPr>
                <w:sz w:val="21"/>
              </w:rPr>
              <w:t>本附加合同的保险期间与主合同的保险期间相同，并在保险单上载明。</w:t>
            </w:r>
          </w:p>
        </w:tc>
      </w:tr>
      <w:tr>
        <w:trPr>
          <w:trHeight w:val="638" w:hRule="atLeast"/>
        </w:trPr>
        <w:tc>
          <w:tcPr>
            <w:tcW w:w="643" w:type="dxa"/>
          </w:tcPr>
          <w:p>
            <w:pPr>
              <w:pStyle w:val="TableParagraph"/>
              <w:spacing w:before="83"/>
              <w:ind w:left="110"/>
              <w:rPr>
                <w:rFonts w:ascii="Microsoft JhengHei"/>
                <w:b/>
                <w:sz w:val="21"/>
              </w:rPr>
            </w:pPr>
            <w:r>
              <w:rPr>
                <w:rFonts w:ascii="Microsoft JhengHei"/>
                <w:b/>
                <w:w w:val="105"/>
                <w:sz w:val="21"/>
              </w:rPr>
              <w:t>2.3</w:t>
            </w:r>
          </w:p>
        </w:tc>
        <w:tc>
          <w:tcPr>
            <w:tcW w:w="1185" w:type="dxa"/>
          </w:tcPr>
          <w:p>
            <w:pPr>
              <w:pStyle w:val="TableParagraph"/>
              <w:spacing w:before="83"/>
              <w:ind w:left="216"/>
              <w:rPr>
                <w:rFonts w:ascii="Microsoft JhengHei" w:eastAsia="Microsoft JhengHei" w:hint="eastAsia"/>
                <w:b/>
                <w:sz w:val="21"/>
              </w:rPr>
            </w:pPr>
            <w:r>
              <w:rPr>
                <w:rFonts w:ascii="Microsoft JhengHei" w:eastAsia="Microsoft JhengHei" w:hint="eastAsia"/>
                <w:b/>
                <w:sz w:val="21"/>
              </w:rPr>
              <w:t>保险责任</w:t>
            </w:r>
          </w:p>
        </w:tc>
        <w:tc>
          <w:tcPr>
            <w:tcW w:w="7976" w:type="dxa"/>
          </w:tcPr>
          <w:p>
            <w:pPr>
              <w:pStyle w:val="TableParagraph"/>
              <w:spacing w:before="150"/>
              <w:ind w:left="126"/>
              <w:rPr>
                <w:sz w:val="21"/>
              </w:rPr>
            </w:pPr>
            <w:r>
              <w:rPr>
                <w:sz w:val="21"/>
              </w:rPr>
              <w:t>在本附加合同保险期间内，我们承担下列保险责任：</w:t>
            </w:r>
          </w:p>
        </w:tc>
      </w:tr>
      <w:tr>
        <w:trPr>
          <w:trHeight w:val="2139" w:hRule="atLeast"/>
        </w:trPr>
        <w:tc>
          <w:tcPr>
            <w:tcW w:w="643" w:type="dxa"/>
          </w:tcPr>
          <w:p>
            <w:pPr>
              <w:pStyle w:val="TableParagraph"/>
              <w:spacing w:before="0"/>
              <w:rPr>
                <w:rFonts w:ascii="Times New Roman"/>
                <w:sz w:val="20"/>
              </w:rPr>
            </w:pPr>
          </w:p>
        </w:tc>
        <w:tc>
          <w:tcPr>
            <w:tcW w:w="1185" w:type="dxa"/>
          </w:tcPr>
          <w:p>
            <w:pPr>
              <w:pStyle w:val="TableParagraph"/>
              <w:spacing w:line="201" w:lineRule="auto" w:before="141"/>
              <w:ind w:left="216" w:right="121"/>
              <w:rPr>
                <w:rFonts w:ascii="Microsoft JhengHei" w:eastAsia="Microsoft JhengHei" w:hint="eastAsia"/>
                <w:b/>
                <w:sz w:val="21"/>
              </w:rPr>
            </w:pPr>
            <w:r>
              <w:rPr>
                <w:rFonts w:ascii="Microsoft JhengHei" w:eastAsia="Microsoft JhengHei" w:hint="eastAsia"/>
                <w:b/>
                <w:sz w:val="21"/>
              </w:rPr>
              <w:t>重大疾病保险金</w:t>
            </w:r>
          </w:p>
        </w:tc>
        <w:tc>
          <w:tcPr>
            <w:tcW w:w="7976" w:type="dxa"/>
          </w:tcPr>
          <w:p>
            <w:pPr>
              <w:pStyle w:val="TableParagraph"/>
              <w:spacing w:line="232" w:lineRule="auto" w:before="158"/>
              <w:ind w:left="126" w:right="97"/>
              <w:jc w:val="both"/>
              <w:rPr>
                <w:sz w:val="21"/>
              </w:rPr>
            </w:pPr>
            <w:r>
              <w:rPr>
                <w:spacing w:val="-1"/>
                <w:sz w:val="21"/>
              </w:rPr>
              <w:t>本附加合同生效</w:t>
            </w:r>
            <w:r>
              <w:rPr>
                <w:sz w:val="21"/>
              </w:rPr>
              <w:t>（</w:t>
            </w:r>
            <w:r>
              <w:rPr>
                <w:spacing w:val="-5"/>
                <w:sz w:val="21"/>
              </w:rPr>
              <w:t>若曾复效，则自本附加合同最后复效</w:t>
            </w:r>
            <w:r>
              <w:rPr>
                <w:sz w:val="21"/>
              </w:rPr>
              <w:t>）</w:t>
            </w:r>
            <w:r>
              <w:rPr>
                <w:spacing w:val="-8"/>
                <w:sz w:val="21"/>
              </w:rPr>
              <w:t>之日起 </w:t>
            </w:r>
            <w:r>
              <w:rPr>
                <w:sz w:val="21"/>
              </w:rPr>
              <w:t>180</w:t>
            </w:r>
            <w:r>
              <w:rPr>
                <w:spacing w:val="-12"/>
                <w:sz w:val="21"/>
              </w:rPr>
              <w:t> 日内</w:t>
            </w:r>
            <w:r>
              <w:rPr>
                <w:sz w:val="21"/>
              </w:rPr>
              <w:t>（</w:t>
            </w:r>
            <w:r>
              <w:rPr>
                <w:spacing w:val="-12"/>
                <w:sz w:val="21"/>
              </w:rPr>
              <w:t>含第 </w:t>
            </w:r>
            <w:r>
              <w:rPr>
                <w:sz w:val="21"/>
              </w:rPr>
              <w:t>180 </w:t>
            </w:r>
            <w:r>
              <w:rPr>
                <w:w w:val="100"/>
                <w:sz w:val="21"/>
              </w:rPr>
              <w:t>日</w:t>
            </w:r>
            <w:r>
              <w:rPr>
                <w:spacing w:val="-101"/>
                <w:w w:val="100"/>
                <w:sz w:val="21"/>
              </w:rPr>
              <w:t>）</w:t>
            </w:r>
            <w:r>
              <w:rPr>
                <w:w w:val="100"/>
                <w:sz w:val="21"/>
              </w:rPr>
              <w:t>，被保险人经</w:t>
            </w:r>
            <w:r>
              <w:rPr>
                <w:rFonts w:ascii="微软雅黑" w:eastAsia="微软雅黑" w:hint="eastAsia"/>
                <w:b/>
                <w:w w:val="100"/>
                <w:sz w:val="21"/>
              </w:rPr>
              <w:t>医院初次确诊</w:t>
            </w:r>
            <w:r>
              <w:rPr>
                <w:w w:val="100"/>
                <w:sz w:val="21"/>
              </w:rPr>
              <w:t>罹患本附加合同所定义的重大疾病（无论一种或者多</w:t>
            </w:r>
            <w:r>
              <w:rPr>
                <w:sz w:val="21"/>
              </w:rPr>
              <w:t>种</w:t>
            </w:r>
            <w:r>
              <w:rPr>
                <w:spacing w:val="-75"/>
                <w:sz w:val="21"/>
              </w:rPr>
              <w:t>）</w:t>
            </w:r>
            <w:r>
              <w:rPr>
                <w:spacing w:val="-14"/>
                <w:sz w:val="21"/>
              </w:rPr>
              <w:t>，我们向您无息返还您已交纳的本附加合同的保险费，本附加合同终止，主合同继</w:t>
            </w:r>
          </w:p>
          <w:p>
            <w:pPr>
              <w:pStyle w:val="TableParagraph"/>
              <w:spacing w:before="36"/>
              <w:ind w:left="126"/>
              <w:rPr>
                <w:sz w:val="21"/>
              </w:rPr>
            </w:pPr>
            <w:r>
              <w:rPr>
                <w:sz w:val="21"/>
              </w:rPr>
              <w:t>续有效。</w:t>
            </w:r>
          </w:p>
          <w:p>
            <w:pPr>
              <w:pStyle w:val="TableParagraph"/>
              <w:spacing w:line="310" w:lineRule="atLeast" w:before="160"/>
              <w:ind w:left="126" w:right="102"/>
              <w:jc w:val="both"/>
              <w:rPr>
                <w:sz w:val="21"/>
              </w:rPr>
            </w:pPr>
            <w:r>
              <w:rPr>
                <w:spacing w:val="-6"/>
                <w:sz w:val="21"/>
              </w:rPr>
              <w:t>本附加合同生效</w:t>
            </w:r>
            <w:r>
              <w:rPr>
                <w:sz w:val="21"/>
              </w:rPr>
              <w:t>（</w:t>
            </w:r>
            <w:r>
              <w:rPr>
                <w:spacing w:val="-7"/>
                <w:sz w:val="21"/>
              </w:rPr>
              <w:t>若曾复效，则自本附加合同最后复效</w:t>
            </w:r>
            <w:r>
              <w:rPr>
                <w:spacing w:val="-34"/>
                <w:sz w:val="21"/>
              </w:rPr>
              <w:t>）</w:t>
            </w:r>
            <w:r>
              <w:rPr>
                <w:spacing w:val="5"/>
                <w:sz w:val="21"/>
              </w:rPr>
              <w:t>之日起 </w:t>
            </w:r>
            <w:r>
              <w:rPr>
                <w:sz w:val="21"/>
              </w:rPr>
              <w:t>180</w:t>
            </w:r>
            <w:r>
              <w:rPr>
                <w:spacing w:val="-5"/>
                <w:sz w:val="21"/>
              </w:rPr>
              <w:t> 日后，被保险人</w:t>
            </w:r>
            <w:r>
              <w:rPr>
                <w:spacing w:val="-8"/>
                <w:sz w:val="21"/>
              </w:rPr>
              <w:t>经医院初次确诊罹患本附加合同所定义的重大疾病</w:t>
            </w:r>
            <w:r>
              <w:rPr>
                <w:spacing w:val="-5"/>
                <w:sz w:val="21"/>
              </w:rPr>
              <w:t>（</w:t>
            </w:r>
            <w:r>
              <w:rPr>
                <w:spacing w:val="-1"/>
                <w:sz w:val="21"/>
              </w:rPr>
              <w:t>无论一种或者多种</w:t>
            </w:r>
            <w:r>
              <w:rPr>
                <w:spacing w:val="-90"/>
                <w:sz w:val="21"/>
              </w:rPr>
              <w:t>）</w:t>
            </w:r>
            <w:r>
              <w:rPr>
                <w:spacing w:val="-17"/>
                <w:sz w:val="21"/>
              </w:rPr>
              <w:t>，我们将向重</w:t>
            </w:r>
          </w:p>
        </w:tc>
      </w:tr>
    </w:tbl>
    <w:p>
      <w:pPr>
        <w:spacing w:after="0" w:line="310" w:lineRule="atLeast"/>
        <w:jc w:val="both"/>
        <w:rPr>
          <w:sz w:val="21"/>
        </w:rPr>
        <w:sectPr>
          <w:pgSz w:w="11910" w:h="16840"/>
          <w:pgMar w:header="0" w:footer="346" w:top="760" w:bottom="620" w:left="940" w:right="94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3"/>
        <w:gridCol w:w="1185"/>
        <w:gridCol w:w="7975"/>
      </w:tblGrid>
      <w:tr>
        <w:trPr>
          <w:trHeight w:val="1519" w:hRule="atLeast"/>
        </w:trPr>
        <w:tc>
          <w:tcPr>
            <w:tcW w:w="643" w:type="dxa"/>
          </w:tcPr>
          <w:p>
            <w:pPr>
              <w:pStyle w:val="TableParagraph"/>
              <w:spacing w:before="0"/>
              <w:rPr>
                <w:rFonts w:ascii="Times New Roman"/>
                <w:sz w:val="20"/>
              </w:rPr>
            </w:pPr>
          </w:p>
        </w:tc>
        <w:tc>
          <w:tcPr>
            <w:tcW w:w="1185" w:type="dxa"/>
          </w:tcPr>
          <w:p>
            <w:pPr>
              <w:pStyle w:val="TableParagraph"/>
              <w:spacing w:before="0"/>
              <w:rPr>
                <w:rFonts w:ascii="Times New Roman"/>
                <w:sz w:val="20"/>
              </w:rPr>
            </w:pPr>
          </w:p>
        </w:tc>
        <w:tc>
          <w:tcPr>
            <w:tcW w:w="7975" w:type="dxa"/>
          </w:tcPr>
          <w:p>
            <w:pPr>
              <w:pStyle w:val="TableParagraph"/>
              <w:spacing w:line="211" w:lineRule="exact" w:before="0"/>
              <w:ind w:left="126"/>
              <w:rPr>
                <w:sz w:val="21"/>
              </w:rPr>
            </w:pPr>
            <w:r>
              <w:rPr>
                <w:sz w:val="21"/>
              </w:rPr>
              <w:t>大疾病保险金受益人给付重大疾病保险金，本附加合同终止，主合同继续有效。重大</w:t>
            </w:r>
          </w:p>
          <w:p>
            <w:pPr>
              <w:pStyle w:val="TableParagraph"/>
              <w:spacing w:line="273" w:lineRule="auto"/>
              <w:ind w:left="126" w:right="102"/>
              <w:rPr>
                <w:sz w:val="21"/>
              </w:rPr>
            </w:pPr>
            <w:r>
              <w:rPr>
                <w:spacing w:val="-7"/>
                <w:sz w:val="21"/>
              </w:rPr>
              <w:t>疾病保险金数额为被保险人重大疾病初次确诊之日，本附加合同项下在保险单上载明</w:t>
            </w:r>
            <w:r>
              <w:rPr>
                <w:spacing w:val="-6"/>
                <w:sz w:val="21"/>
              </w:rPr>
              <w:t>的基本保险金额。</w:t>
            </w:r>
          </w:p>
          <w:p>
            <w:pPr>
              <w:pStyle w:val="TableParagraph"/>
              <w:spacing w:before="166"/>
              <w:ind w:left="126"/>
              <w:rPr>
                <w:sz w:val="21"/>
              </w:rPr>
            </w:pPr>
            <w:r>
              <w:rPr>
                <w:sz w:val="21"/>
              </w:rPr>
              <w:t>本附加合同定义的重大疾病载明于本附加合同“9.重大疾病定义”。</w:t>
            </w:r>
          </w:p>
        </w:tc>
      </w:tr>
      <w:tr>
        <w:trPr>
          <w:trHeight w:val="1260" w:hRule="atLeast"/>
        </w:trPr>
        <w:tc>
          <w:tcPr>
            <w:tcW w:w="643" w:type="dxa"/>
          </w:tcPr>
          <w:p>
            <w:pPr>
              <w:pStyle w:val="TableParagraph"/>
              <w:spacing w:before="0"/>
              <w:rPr>
                <w:rFonts w:ascii="Times New Roman"/>
                <w:sz w:val="20"/>
              </w:rPr>
            </w:pPr>
          </w:p>
        </w:tc>
        <w:tc>
          <w:tcPr>
            <w:tcW w:w="1185" w:type="dxa"/>
          </w:tcPr>
          <w:p>
            <w:pPr>
              <w:pStyle w:val="TableParagraph"/>
              <w:spacing w:line="201" w:lineRule="auto" w:before="141"/>
              <w:ind w:left="216" w:right="121"/>
              <w:rPr>
                <w:rFonts w:ascii="Microsoft JhengHei" w:eastAsia="Microsoft JhengHei" w:hint="eastAsia"/>
                <w:b/>
                <w:sz w:val="21"/>
              </w:rPr>
            </w:pPr>
            <w:r>
              <w:rPr>
                <w:rFonts w:ascii="Microsoft JhengHei" w:eastAsia="Microsoft JhengHei" w:hint="eastAsia"/>
                <w:b/>
                <w:sz w:val="21"/>
              </w:rPr>
              <w:t>特别注意事项</w:t>
            </w:r>
          </w:p>
        </w:tc>
        <w:tc>
          <w:tcPr>
            <w:tcW w:w="7975" w:type="dxa"/>
          </w:tcPr>
          <w:p>
            <w:pPr>
              <w:pStyle w:val="TableParagraph"/>
              <w:spacing w:before="150"/>
              <w:ind w:left="126"/>
              <w:rPr>
                <w:sz w:val="21"/>
              </w:rPr>
            </w:pPr>
            <w:r>
              <w:rPr>
                <w:sz w:val="21"/>
              </w:rPr>
              <w:t>如果主合同项下有借款或者其他未还款项，则我们在给付重大疾病保险金时依主合同</w:t>
            </w:r>
          </w:p>
          <w:p>
            <w:pPr>
              <w:pStyle w:val="TableParagraph"/>
              <w:spacing w:line="273" w:lineRule="auto" w:before="32"/>
              <w:ind w:left="126" w:right="66"/>
              <w:rPr>
                <w:sz w:val="21"/>
              </w:rPr>
            </w:pPr>
            <w:r>
              <w:rPr>
                <w:sz w:val="21"/>
              </w:rPr>
              <w:t>8.4 的有关规定从本附加合同项下的重大疾病保险金中扣除主合同项下的所有欠款及应付利息。</w:t>
            </w:r>
          </w:p>
        </w:tc>
      </w:tr>
      <w:tr>
        <w:trPr>
          <w:trHeight w:val="6428" w:hRule="atLeast"/>
        </w:trPr>
        <w:tc>
          <w:tcPr>
            <w:tcW w:w="643" w:type="dxa"/>
          </w:tcPr>
          <w:p>
            <w:pPr>
              <w:pStyle w:val="TableParagraph"/>
              <w:spacing w:before="85"/>
              <w:ind w:left="110"/>
              <w:rPr>
                <w:rFonts w:ascii="Microsoft JhengHei"/>
                <w:b/>
                <w:sz w:val="21"/>
              </w:rPr>
            </w:pPr>
            <w:r>
              <w:rPr>
                <w:rFonts w:ascii="Microsoft JhengHei"/>
                <w:b/>
                <w:w w:val="105"/>
                <w:sz w:val="21"/>
              </w:rPr>
              <w:t>2.4</w:t>
            </w:r>
          </w:p>
        </w:tc>
        <w:tc>
          <w:tcPr>
            <w:tcW w:w="1185" w:type="dxa"/>
          </w:tcPr>
          <w:p>
            <w:pPr>
              <w:pStyle w:val="TableParagraph"/>
              <w:spacing w:before="152"/>
              <w:ind w:left="216"/>
              <w:rPr>
                <w:sz w:val="21"/>
              </w:rPr>
            </w:pPr>
            <w:r>
              <w:rPr>
                <w:sz w:val="21"/>
              </w:rPr>
              <w:t>责任免除</w:t>
            </w:r>
          </w:p>
        </w:tc>
        <w:tc>
          <w:tcPr>
            <w:tcW w:w="7975" w:type="dxa"/>
          </w:tcPr>
          <w:p>
            <w:pPr>
              <w:pStyle w:val="TableParagraph"/>
              <w:spacing w:line="268" w:lineRule="auto" w:before="152"/>
              <w:ind w:left="126" w:right="74"/>
              <w:rPr>
                <w:sz w:val="21"/>
              </w:rPr>
            </w:pPr>
            <w:r>
              <w:rPr>
                <w:sz w:val="21"/>
              </w:rPr>
              <w:t>因下列情形之一导致被保险人发Th本附加合同定义的重大疾病的，我们不承担给付保险金的责任：</w:t>
            </w:r>
          </w:p>
          <w:p>
            <w:pPr>
              <w:pStyle w:val="TableParagraph"/>
              <w:numPr>
                <w:ilvl w:val="0"/>
                <w:numId w:val="6"/>
              </w:numPr>
              <w:tabs>
                <w:tab w:pos="549" w:val="left" w:leader="none"/>
              </w:tabs>
              <w:spacing w:line="240" w:lineRule="auto" w:before="170" w:after="0"/>
              <w:ind w:left="548" w:right="0" w:hanging="422"/>
              <w:jc w:val="left"/>
              <w:rPr>
                <w:sz w:val="21"/>
              </w:rPr>
            </w:pPr>
            <w:r>
              <w:rPr>
                <w:spacing w:val="-4"/>
                <w:sz w:val="21"/>
              </w:rPr>
              <w:t>投保人对被保险人的故意杀害、故意伤害；</w:t>
            </w:r>
          </w:p>
          <w:p>
            <w:pPr>
              <w:pStyle w:val="TableParagraph"/>
              <w:numPr>
                <w:ilvl w:val="0"/>
                <w:numId w:val="6"/>
              </w:numPr>
              <w:tabs>
                <w:tab w:pos="549" w:val="left" w:leader="none"/>
              </w:tabs>
              <w:spacing w:line="260" w:lineRule="exact" w:before="37" w:after="0"/>
              <w:ind w:left="548" w:right="0" w:hanging="422"/>
              <w:jc w:val="left"/>
              <w:rPr>
                <w:sz w:val="21"/>
              </w:rPr>
            </w:pPr>
            <w:r>
              <w:rPr>
                <w:spacing w:val="-5"/>
                <w:sz w:val="21"/>
              </w:rPr>
              <w:t>被保险人故意自伤、故意犯罪或者抗拒依法采取的刑事强制措施；</w:t>
            </w:r>
          </w:p>
          <w:p>
            <w:pPr>
              <w:pStyle w:val="TableParagraph"/>
              <w:numPr>
                <w:ilvl w:val="0"/>
                <w:numId w:val="6"/>
              </w:numPr>
              <w:tabs>
                <w:tab w:pos="549" w:val="left" w:leader="none"/>
              </w:tabs>
              <w:spacing w:line="324" w:lineRule="exact" w:before="0" w:after="0"/>
              <w:ind w:left="548" w:right="0" w:hanging="422"/>
              <w:jc w:val="left"/>
              <w:rPr>
                <w:sz w:val="21"/>
              </w:rPr>
            </w:pPr>
            <w:r>
              <w:rPr>
                <w:spacing w:val="-3"/>
                <w:sz w:val="21"/>
              </w:rPr>
              <w:t>被保险人主动吸食或者注射</w:t>
            </w:r>
            <w:r>
              <w:rPr>
                <w:rFonts w:ascii="Microsoft JhengHei" w:eastAsia="Microsoft JhengHei" w:hint="eastAsia"/>
                <w:b/>
                <w:sz w:val="21"/>
              </w:rPr>
              <w:t>毒品</w:t>
            </w:r>
            <w:r>
              <w:rPr>
                <w:sz w:val="21"/>
              </w:rPr>
              <w:t>；</w:t>
            </w:r>
          </w:p>
          <w:p>
            <w:pPr>
              <w:pStyle w:val="TableParagraph"/>
              <w:numPr>
                <w:ilvl w:val="0"/>
                <w:numId w:val="6"/>
              </w:numPr>
              <w:tabs>
                <w:tab w:pos="549" w:val="left" w:leader="none"/>
              </w:tabs>
              <w:spacing w:line="204" w:lineRule="auto" w:before="28" w:after="0"/>
              <w:ind w:left="548" w:right="96" w:hanging="422"/>
              <w:jc w:val="left"/>
              <w:rPr>
                <w:sz w:val="21"/>
              </w:rPr>
            </w:pPr>
            <w:r>
              <w:rPr>
                <w:spacing w:val="-2"/>
                <w:sz w:val="21"/>
              </w:rPr>
              <w:t>被保险人</w:t>
            </w:r>
            <w:r>
              <w:rPr>
                <w:rFonts w:ascii="Microsoft JhengHei" w:eastAsia="Microsoft JhengHei" w:hint="eastAsia"/>
                <w:b/>
                <w:sz w:val="21"/>
              </w:rPr>
              <w:t>酒后驾驶</w:t>
            </w:r>
            <w:r>
              <w:rPr>
                <w:spacing w:val="-29"/>
                <w:sz w:val="21"/>
              </w:rPr>
              <w:t>、</w:t>
            </w:r>
            <w:r>
              <w:rPr>
                <w:rFonts w:ascii="Microsoft JhengHei" w:eastAsia="Microsoft JhengHei" w:hint="eastAsia"/>
                <w:b/>
                <w:sz w:val="21"/>
              </w:rPr>
              <w:t>无合法有效驾驶证驾驶</w:t>
            </w:r>
            <w:r>
              <w:rPr>
                <w:spacing w:val="-7"/>
                <w:sz w:val="21"/>
              </w:rPr>
              <w:t>，或者驾驶</w:t>
            </w:r>
            <w:r>
              <w:rPr>
                <w:rFonts w:ascii="Microsoft JhengHei" w:eastAsia="Microsoft JhengHei" w:hint="eastAsia"/>
                <w:b/>
                <w:sz w:val="21"/>
              </w:rPr>
              <w:t>无合法有效行驶证</w:t>
            </w:r>
            <w:r>
              <w:rPr>
                <w:spacing w:val="-5"/>
                <w:sz w:val="21"/>
              </w:rPr>
              <w:t>的</w:t>
            </w:r>
            <w:r>
              <w:rPr>
                <w:rFonts w:ascii="Microsoft JhengHei" w:eastAsia="Microsoft JhengHei" w:hint="eastAsia"/>
                <w:b/>
                <w:sz w:val="21"/>
              </w:rPr>
              <w:t>机动</w:t>
            </w:r>
            <w:r>
              <w:rPr>
                <w:rFonts w:ascii="Microsoft JhengHei" w:eastAsia="Microsoft JhengHei" w:hint="eastAsia"/>
                <w:b/>
                <w:spacing w:val="2"/>
                <w:sz w:val="21"/>
              </w:rPr>
              <w:t>车</w:t>
            </w:r>
            <w:r>
              <w:rPr>
                <w:sz w:val="21"/>
              </w:rPr>
              <w:t>；</w:t>
            </w:r>
          </w:p>
          <w:p>
            <w:pPr>
              <w:pStyle w:val="TableParagraph"/>
              <w:numPr>
                <w:ilvl w:val="0"/>
                <w:numId w:val="6"/>
              </w:numPr>
              <w:tabs>
                <w:tab w:pos="549" w:val="left" w:leader="none"/>
              </w:tabs>
              <w:spacing w:line="312" w:lineRule="exact" w:before="8" w:after="0"/>
              <w:ind w:left="548" w:right="97" w:hanging="422"/>
              <w:jc w:val="left"/>
              <w:rPr>
                <w:sz w:val="21"/>
              </w:rPr>
            </w:pPr>
            <w:r>
              <w:rPr>
                <w:spacing w:val="-2"/>
                <w:sz w:val="21"/>
              </w:rPr>
              <w:t>被保险人</w:t>
            </w:r>
            <w:r>
              <w:rPr>
                <w:rFonts w:ascii="Microsoft JhengHei" w:hAnsi="Microsoft JhengHei" w:eastAsia="Microsoft JhengHei" w:hint="eastAsia"/>
                <w:b/>
                <w:spacing w:val="-3"/>
                <w:sz w:val="21"/>
              </w:rPr>
              <w:t>感染艾滋病病毒或者患艾滋病</w:t>
            </w:r>
            <w:r>
              <w:rPr>
                <w:spacing w:val="-5"/>
                <w:sz w:val="21"/>
              </w:rPr>
              <w:t>（但符合本附加合同“经输血导致的感染</w:t>
            </w:r>
            <w:r>
              <w:rPr>
                <w:spacing w:val="-5"/>
                <w:w w:val="100"/>
                <w:sz w:val="21"/>
              </w:rPr>
              <w:t>艾滋病病毒或者患艾滋病”定义的不在此限</w:t>
            </w:r>
            <w:r>
              <w:rPr>
                <w:spacing w:val="-106"/>
                <w:w w:val="100"/>
                <w:sz w:val="21"/>
              </w:rPr>
              <w:t>）</w:t>
            </w:r>
            <w:r>
              <w:rPr>
                <w:w w:val="100"/>
                <w:sz w:val="21"/>
              </w:rPr>
              <w:t>；</w:t>
            </w:r>
          </w:p>
          <w:p>
            <w:pPr>
              <w:pStyle w:val="TableParagraph"/>
              <w:numPr>
                <w:ilvl w:val="0"/>
                <w:numId w:val="6"/>
              </w:numPr>
              <w:tabs>
                <w:tab w:pos="549" w:val="left" w:leader="none"/>
              </w:tabs>
              <w:spacing w:line="240" w:lineRule="auto" w:before="3" w:after="0"/>
              <w:ind w:left="548" w:right="0" w:hanging="422"/>
              <w:jc w:val="left"/>
              <w:rPr>
                <w:sz w:val="21"/>
              </w:rPr>
            </w:pPr>
            <w:r>
              <w:rPr>
                <w:spacing w:val="-3"/>
                <w:sz w:val="21"/>
              </w:rPr>
              <w:t>战争、军事冲突、暴乱或者武装叛乱；</w:t>
            </w:r>
          </w:p>
          <w:p>
            <w:pPr>
              <w:pStyle w:val="TableParagraph"/>
              <w:numPr>
                <w:ilvl w:val="0"/>
                <w:numId w:val="6"/>
              </w:numPr>
              <w:tabs>
                <w:tab w:pos="549" w:val="left" w:leader="none"/>
              </w:tabs>
              <w:spacing w:line="260" w:lineRule="exact" w:before="37" w:after="0"/>
              <w:ind w:left="548" w:right="0" w:hanging="422"/>
              <w:jc w:val="left"/>
              <w:rPr>
                <w:sz w:val="21"/>
              </w:rPr>
            </w:pPr>
            <w:r>
              <w:rPr>
                <w:spacing w:val="-2"/>
                <w:sz w:val="21"/>
              </w:rPr>
              <w:t>核爆炸、核辐射或者核污染；</w:t>
            </w:r>
          </w:p>
          <w:p>
            <w:pPr>
              <w:pStyle w:val="TableParagraph"/>
              <w:numPr>
                <w:ilvl w:val="0"/>
                <w:numId w:val="6"/>
              </w:numPr>
              <w:tabs>
                <w:tab w:pos="549" w:val="left" w:leader="none"/>
              </w:tabs>
              <w:spacing w:line="351" w:lineRule="exact" w:before="0" w:after="0"/>
              <w:ind w:left="548" w:right="0" w:hanging="422"/>
              <w:jc w:val="left"/>
              <w:rPr>
                <w:sz w:val="21"/>
              </w:rPr>
            </w:pPr>
            <w:r>
              <w:rPr>
                <w:rFonts w:ascii="Microsoft JhengHei" w:eastAsia="Microsoft JhengHei" w:hint="eastAsia"/>
                <w:b/>
                <w:sz w:val="21"/>
              </w:rPr>
              <w:t>遗传性疾病</w:t>
            </w:r>
            <w:r>
              <w:rPr>
                <w:spacing w:val="-5"/>
                <w:sz w:val="21"/>
              </w:rPr>
              <w:t>，</w:t>
            </w:r>
            <w:r>
              <w:rPr>
                <w:rFonts w:ascii="Microsoft JhengHei" w:eastAsia="Microsoft JhengHei" w:hint="eastAsia"/>
                <w:b/>
                <w:sz w:val="21"/>
              </w:rPr>
              <w:t>先天性畸形、变形或者染色体异常</w:t>
            </w:r>
            <w:r>
              <w:rPr>
                <w:sz w:val="21"/>
              </w:rPr>
              <w:t>。</w:t>
            </w:r>
          </w:p>
          <w:p>
            <w:pPr>
              <w:pStyle w:val="TableParagraph"/>
              <w:spacing w:line="232" w:lineRule="auto" w:before="179"/>
              <w:ind w:left="126" w:right="96"/>
              <w:jc w:val="both"/>
              <w:rPr>
                <w:sz w:val="21"/>
              </w:rPr>
            </w:pPr>
            <w:r>
              <w:rPr>
                <w:spacing w:val="-12"/>
                <w:sz w:val="21"/>
              </w:rPr>
              <w:t>因上述第</w:t>
            </w:r>
            <w:r>
              <w:rPr>
                <w:spacing w:val="-15"/>
                <w:sz w:val="21"/>
              </w:rPr>
              <w:t>（1）</w:t>
            </w:r>
            <w:r>
              <w:rPr>
                <w:spacing w:val="-4"/>
                <w:sz w:val="21"/>
              </w:rPr>
              <w:t>项情形导致被保险人发</w:t>
            </w:r>
            <w:r>
              <w:rPr>
                <w:sz w:val="21"/>
              </w:rPr>
              <w:t>Th</w:t>
            </w:r>
            <w:r>
              <w:rPr>
                <w:spacing w:val="-9"/>
                <w:sz w:val="21"/>
              </w:rPr>
              <w:t>本附加合同定义的重大疾病的，本附加合同终</w:t>
            </w:r>
            <w:r>
              <w:rPr>
                <w:spacing w:val="-6"/>
                <w:sz w:val="21"/>
              </w:rPr>
              <w:t>止，我们向重大疾病保险金受益人给付本附加合同终止时的</w:t>
            </w:r>
            <w:r>
              <w:rPr>
                <w:rFonts w:ascii="Microsoft JhengHei" w:eastAsia="Microsoft JhengHei" w:hint="eastAsia"/>
                <w:b/>
                <w:sz w:val="21"/>
              </w:rPr>
              <w:t>现金价值</w:t>
            </w:r>
            <w:r>
              <w:rPr>
                <w:spacing w:val="-5"/>
                <w:sz w:val="21"/>
              </w:rPr>
              <w:t>；若无重大疾病</w:t>
            </w:r>
            <w:r>
              <w:rPr>
                <w:spacing w:val="-6"/>
                <w:sz w:val="21"/>
              </w:rPr>
              <w:t>保险金受益人或重大疾病保险金受益人依法丧失</w:t>
            </w:r>
            <w:r>
              <w:rPr>
                <w:sz w:val="21"/>
              </w:rPr>
              <w:t>（</w:t>
            </w:r>
            <w:r>
              <w:rPr>
                <w:spacing w:val="-2"/>
                <w:sz w:val="21"/>
              </w:rPr>
              <w:t>或放弃</w:t>
            </w:r>
            <w:r>
              <w:rPr>
                <w:spacing w:val="-9"/>
                <w:sz w:val="21"/>
              </w:rPr>
              <w:t>）</w:t>
            </w:r>
            <w:r>
              <w:rPr>
                <w:spacing w:val="-5"/>
                <w:sz w:val="21"/>
              </w:rPr>
              <w:t>受益权的，我们向被保险</w:t>
            </w:r>
          </w:p>
          <w:p>
            <w:pPr>
              <w:pStyle w:val="TableParagraph"/>
              <w:spacing w:before="36"/>
              <w:ind w:left="126"/>
              <w:rPr>
                <w:sz w:val="21"/>
              </w:rPr>
            </w:pPr>
            <w:r>
              <w:rPr>
                <w:sz w:val="21"/>
              </w:rPr>
              <w:t>人的继承人给付本附加合同终止时的现金价值。</w:t>
            </w:r>
          </w:p>
          <w:p>
            <w:pPr>
              <w:pStyle w:val="TableParagraph"/>
              <w:spacing w:before="11"/>
              <w:rPr>
                <w:sz w:val="14"/>
              </w:rPr>
            </w:pPr>
          </w:p>
          <w:p>
            <w:pPr>
              <w:pStyle w:val="TableParagraph"/>
              <w:spacing w:line="273" w:lineRule="auto" w:before="0"/>
              <w:ind w:left="126" w:right="71"/>
              <w:rPr>
                <w:sz w:val="21"/>
              </w:rPr>
            </w:pPr>
            <w:r>
              <w:rPr>
                <w:sz w:val="21"/>
              </w:rPr>
              <w:t>因上述其他情形导致被保险人发Th本附加合同定义的重大疾病的，本附加合同终止， 我们向您退还本附加合同终止时的现金价值。</w:t>
            </w:r>
          </w:p>
        </w:tc>
      </w:tr>
      <w:tr>
        <w:trPr>
          <w:trHeight w:val="556" w:hRule="atLeast"/>
        </w:trPr>
        <w:tc>
          <w:tcPr>
            <w:tcW w:w="643" w:type="dxa"/>
            <w:tcBorders>
              <w:bottom w:val="single" w:sz="8" w:space="0" w:color="000000"/>
            </w:tcBorders>
          </w:tcPr>
          <w:p>
            <w:pPr>
              <w:pStyle w:val="TableParagraph"/>
              <w:spacing w:before="79"/>
              <w:ind w:left="110"/>
              <w:rPr>
                <w:rFonts w:ascii="Microsoft JhengHei"/>
                <w:b/>
                <w:sz w:val="24"/>
              </w:rPr>
            </w:pPr>
            <w:r>
              <w:rPr>
                <w:rFonts w:ascii="Microsoft JhengHei"/>
                <w:b/>
                <w:w w:val="120"/>
                <w:sz w:val="24"/>
              </w:rPr>
              <w:t>3.</w:t>
            </w:r>
          </w:p>
        </w:tc>
        <w:tc>
          <w:tcPr>
            <w:tcW w:w="9160" w:type="dxa"/>
            <w:gridSpan w:val="2"/>
            <w:tcBorders>
              <w:bottom w:val="single" w:sz="8" w:space="0" w:color="000000"/>
            </w:tcBorders>
          </w:tcPr>
          <w:p>
            <w:pPr>
              <w:pStyle w:val="TableParagraph"/>
              <w:spacing w:before="79"/>
              <w:ind w:left="216"/>
              <w:rPr>
                <w:rFonts w:ascii="Microsoft JhengHei" w:eastAsia="Microsoft JhengHei" w:hint="eastAsia"/>
                <w:b/>
                <w:sz w:val="24"/>
              </w:rPr>
            </w:pPr>
            <w:r>
              <w:rPr>
                <w:rFonts w:ascii="Microsoft JhengHei" w:eastAsia="Microsoft JhengHei" w:hint="eastAsia"/>
                <w:b/>
                <w:sz w:val="24"/>
              </w:rPr>
              <w:t>保险金的申请</w:t>
            </w:r>
          </w:p>
        </w:tc>
      </w:tr>
      <w:tr>
        <w:trPr>
          <w:trHeight w:val="780" w:hRule="atLeast"/>
        </w:trPr>
        <w:tc>
          <w:tcPr>
            <w:tcW w:w="643" w:type="dxa"/>
            <w:tcBorders>
              <w:top w:val="single" w:sz="8" w:space="0" w:color="000000"/>
            </w:tcBorders>
          </w:tcPr>
          <w:p>
            <w:pPr>
              <w:pStyle w:val="TableParagraph"/>
              <w:spacing w:before="2"/>
              <w:rPr>
                <w:sz w:val="17"/>
              </w:rPr>
            </w:pPr>
          </w:p>
          <w:p>
            <w:pPr>
              <w:pStyle w:val="TableParagraph"/>
              <w:spacing w:before="0"/>
              <w:ind w:left="110"/>
              <w:rPr>
                <w:rFonts w:ascii="Microsoft JhengHei"/>
                <w:b/>
                <w:sz w:val="21"/>
              </w:rPr>
            </w:pPr>
            <w:r>
              <w:rPr>
                <w:rFonts w:ascii="Microsoft JhengHei"/>
                <w:b/>
                <w:w w:val="105"/>
                <w:sz w:val="21"/>
              </w:rPr>
              <w:t>3.1</w:t>
            </w:r>
          </w:p>
        </w:tc>
        <w:tc>
          <w:tcPr>
            <w:tcW w:w="1185" w:type="dxa"/>
            <w:tcBorders>
              <w:top w:val="single" w:sz="8" w:space="0" w:color="000000"/>
            </w:tcBorders>
          </w:tcPr>
          <w:p>
            <w:pPr>
              <w:pStyle w:val="TableParagraph"/>
              <w:spacing w:before="2"/>
              <w:rPr>
                <w:sz w:val="17"/>
              </w:rPr>
            </w:pPr>
          </w:p>
          <w:p>
            <w:pPr>
              <w:pStyle w:val="TableParagraph"/>
              <w:spacing w:before="0"/>
              <w:ind w:left="216"/>
              <w:rPr>
                <w:rFonts w:ascii="Microsoft JhengHei" w:eastAsia="Microsoft JhengHei" w:hint="eastAsia"/>
                <w:b/>
                <w:sz w:val="21"/>
              </w:rPr>
            </w:pPr>
            <w:r>
              <w:rPr>
                <w:rFonts w:ascii="Microsoft JhengHei" w:eastAsia="Microsoft JhengHei" w:hint="eastAsia"/>
                <w:b/>
                <w:sz w:val="21"/>
              </w:rPr>
              <w:t>受益人</w:t>
            </w:r>
          </w:p>
        </w:tc>
        <w:tc>
          <w:tcPr>
            <w:tcW w:w="7975" w:type="dxa"/>
            <w:tcBorders>
              <w:top w:val="single" w:sz="8" w:space="0" w:color="000000"/>
            </w:tcBorders>
          </w:tcPr>
          <w:p>
            <w:pPr>
              <w:pStyle w:val="TableParagraph"/>
              <w:spacing w:before="4"/>
              <w:rPr>
                <w:sz w:val="22"/>
              </w:rPr>
            </w:pPr>
          </w:p>
          <w:p>
            <w:pPr>
              <w:pStyle w:val="TableParagraph"/>
              <w:spacing w:before="0"/>
              <w:ind w:left="126"/>
              <w:rPr>
                <w:sz w:val="21"/>
              </w:rPr>
            </w:pPr>
            <w:r>
              <w:rPr>
                <w:sz w:val="21"/>
              </w:rPr>
              <w:t>除另有指定外，重大疾病保险金的受益人为被保险人本人。</w:t>
            </w:r>
          </w:p>
        </w:tc>
      </w:tr>
      <w:tr>
        <w:trPr>
          <w:trHeight w:val="1886" w:hRule="atLeast"/>
        </w:trPr>
        <w:tc>
          <w:tcPr>
            <w:tcW w:w="643" w:type="dxa"/>
          </w:tcPr>
          <w:p>
            <w:pPr>
              <w:pStyle w:val="TableParagraph"/>
              <w:spacing w:before="83"/>
              <w:ind w:left="110"/>
              <w:rPr>
                <w:rFonts w:ascii="Microsoft JhengHei"/>
                <w:b/>
                <w:sz w:val="21"/>
              </w:rPr>
            </w:pPr>
            <w:r>
              <w:rPr>
                <w:rFonts w:ascii="Microsoft JhengHei"/>
                <w:b/>
                <w:w w:val="105"/>
                <w:sz w:val="21"/>
              </w:rPr>
              <w:t>3.2</w:t>
            </w:r>
          </w:p>
        </w:tc>
        <w:tc>
          <w:tcPr>
            <w:tcW w:w="1185" w:type="dxa"/>
          </w:tcPr>
          <w:p>
            <w:pPr>
              <w:pStyle w:val="TableParagraph"/>
              <w:spacing w:line="204" w:lineRule="auto" w:before="138"/>
              <w:ind w:left="216" w:right="121"/>
              <w:rPr>
                <w:rFonts w:ascii="Microsoft JhengHei" w:eastAsia="Microsoft JhengHei" w:hint="eastAsia"/>
                <w:b/>
                <w:sz w:val="21"/>
              </w:rPr>
            </w:pPr>
            <w:r>
              <w:rPr>
                <w:rFonts w:ascii="Microsoft JhengHei" w:eastAsia="Microsoft JhengHei" w:hint="eastAsia"/>
                <w:b/>
                <w:sz w:val="21"/>
              </w:rPr>
              <w:t>保险事故通知</w:t>
            </w:r>
          </w:p>
        </w:tc>
        <w:tc>
          <w:tcPr>
            <w:tcW w:w="7975" w:type="dxa"/>
          </w:tcPr>
          <w:p>
            <w:pPr>
              <w:pStyle w:val="TableParagraph"/>
              <w:spacing w:line="273" w:lineRule="auto" w:before="150"/>
              <w:ind w:left="126" w:right="100"/>
              <w:jc w:val="both"/>
              <w:rPr>
                <w:sz w:val="21"/>
              </w:rPr>
            </w:pPr>
            <w:r>
              <w:rPr>
                <w:spacing w:val="-4"/>
                <w:sz w:val="21"/>
              </w:rPr>
              <w:t>您或者受益人知道保险事故发生后应当在 </w:t>
            </w:r>
            <w:r>
              <w:rPr>
                <w:sz w:val="21"/>
              </w:rPr>
              <w:t>10</w:t>
            </w:r>
            <w:r>
              <w:rPr>
                <w:spacing w:val="-5"/>
                <w:sz w:val="21"/>
              </w:rPr>
              <w:t> 日内通知我们。故意或者因重大过失未及时通知，致使保险事故的性质、原因、损失程度等难以确定的，我们对无法确定的</w:t>
            </w:r>
            <w:r>
              <w:rPr>
                <w:spacing w:val="-7"/>
                <w:sz w:val="21"/>
              </w:rPr>
              <w:t>部分不承担给付保险金的责任，但我们通过其他途径已经及时知道或者应当及时知道</w:t>
            </w:r>
            <w:r>
              <w:rPr>
                <w:spacing w:val="-8"/>
                <w:sz w:val="21"/>
              </w:rPr>
              <w:t>保险事故发生或者虽未及时通知但不影响我们确定保险事故的性质、原因、损失程度的除外。</w:t>
            </w:r>
          </w:p>
        </w:tc>
      </w:tr>
      <w:tr>
        <w:trPr>
          <w:trHeight w:val="2297" w:hRule="atLeast"/>
        </w:trPr>
        <w:tc>
          <w:tcPr>
            <w:tcW w:w="643" w:type="dxa"/>
          </w:tcPr>
          <w:p>
            <w:pPr>
              <w:pStyle w:val="TableParagraph"/>
              <w:spacing w:before="83"/>
              <w:ind w:left="110"/>
              <w:rPr>
                <w:rFonts w:ascii="Microsoft JhengHei"/>
                <w:b/>
                <w:sz w:val="21"/>
              </w:rPr>
            </w:pPr>
            <w:r>
              <w:rPr>
                <w:rFonts w:ascii="Microsoft JhengHei"/>
                <w:b/>
                <w:w w:val="105"/>
                <w:sz w:val="21"/>
              </w:rPr>
              <w:t>3.3</w:t>
            </w:r>
          </w:p>
        </w:tc>
        <w:tc>
          <w:tcPr>
            <w:tcW w:w="1185" w:type="dxa"/>
          </w:tcPr>
          <w:p>
            <w:pPr>
              <w:pStyle w:val="TableParagraph"/>
              <w:spacing w:line="206" w:lineRule="auto" w:before="134"/>
              <w:ind w:left="216" w:right="121"/>
              <w:rPr>
                <w:rFonts w:ascii="Microsoft JhengHei" w:eastAsia="Microsoft JhengHei" w:hint="eastAsia"/>
                <w:b/>
                <w:sz w:val="21"/>
              </w:rPr>
            </w:pPr>
            <w:r>
              <w:rPr>
                <w:rFonts w:ascii="Microsoft JhengHei" w:eastAsia="Microsoft JhengHei" w:hint="eastAsia"/>
                <w:b/>
                <w:sz w:val="21"/>
              </w:rPr>
              <w:t>保险金申请</w:t>
            </w:r>
          </w:p>
        </w:tc>
        <w:tc>
          <w:tcPr>
            <w:tcW w:w="7975" w:type="dxa"/>
          </w:tcPr>
          <w:p>
            <w:pPr>
              <w:pStyle w:val="TableParagraph"/>
              <w:spacing w:line="273" w:lineRule="auto" w:before="150"/>
              <w:ind w:left="126" w:right="104"/>
              <w:rPr>
                <w:sz w:val="21"/>
              </w:rPr>
            </w:pPr>
            <w:r>
              <w:rPr>
                <w:spacing w:val="-6"/>
                <w:sz w:val="21"/>
              </w:rPr>
              <w:t>在申请保险金时，重大疾病保险金受益人作为申请人须填写领取保险金申请书，并须</w:t>
            </w:r>
            <w:r>
              <w:rPr>
                <w:spacing w:val="-5"/>
                <w:sz w:val="21"/>
              </w:rPr>
              <w:t>提供下列证明和资料的原件：</w:t>
            </w:r>
          </w:p>
          <w:p>
            <w:pPr>
              <w:pStyle w:val="TableParagraph"/>
              <w:numPr>
                <w:ilvl w:val="0"/>
                <w:numId w:val="7"/>
              </w:numPr>
              <w:tabs>
                <w:tab w:pos="549" w:val="left" w:leader="none"/>
              </w:tabs>
              <w:spacing w:line="240" w:lineRule="auto" w:before="8" w:after="0"/>
              <w:ind w:left="548" w:right="0" w:hanging="422"/>
              <w:jc w:val="left"/>
              <w:rPr>
                <w:sz w:val="21"/>
              </w:rPr>
            </w:pPr>
            <w:r>
              <w:rPr>
                <w:spacing w:val="-1"/>
                <w:sz w:val="21"/>
              </w:rPr>
              <w:t>本附加合同；</w:t>
            </w:r>
          </w:p>
          <w:p>
            <w:pPr>
              <w:pStyle w:val="TableParagraph"/>
              <w:numPr>
                <w:ilvl w:val="0"/>
                <w:numId w:val="7"/>
              </w:numPr>
              <w:tabs>
                <w:tab w:pos="549" w:val="left" w:leader="none"/>
              </w:tabs>
              <w:spacing w:line="262" w:lineRule="exact" w:before="37" w:after="0"/>
              <w:ind w:left="548" w:right="0" w:hanging="422"/>
              <w:jc w:val="left"/>
              <w:rPr>
                <w:sz w:val="21"/>
              </w:rPr>
            </w:pPr>
            <w:r>
              <w:rPr>
                <w:spacing w:val="-4"/>
                <w:sz w:val="21"/>
              </w:rPr>
              <w:t>重大疾病保险金受益人的有效身份证件；</w:t>
            </w:r>
          </w:p>
          <w:p>
            <w:pPr>
              <w:pStyle w:val="TableParagraph"/>
              <w:numPr>
                <w:ilvl w:val="0"/>
                <w:numId w:val="7"/>
              </w:numPr>
              <w:tabs>
                <w:tab w:pos="549" w:val="left" w:leader="none"/>
              </w:tabs>
              <w:spacing w:line="312" w:lineRule="exact" w:before="45" w:after="0"/>
              <w:ind w:left="548" w:right="99" w:hanging="422"/>
              <w:jc w:val="left"/>
              <w:rPr>
                <w:sz w:val="21"/>
              </w:rPr>
            </w:pPr>
            <w:r>
              <w:rPr>
                <w:spacing w:val="-2"/>
                <w:sz w:val="21"/>
              </w:rPr>
              <w:t>由医院</w:t>
            </w:r>
            <w:r>
              <w:rPr>
                <w:rFonts w:ascii="微软雅黑" w:eastAsia="微软雅黑" w:hint="eastAsia"/>
                <w:b/>
                <w:spacing w:val="0"/>
                <w:sz w:val="21"/>
              </w:rPr>
              <w:t>专科医生</w:t>
            </w:r>
            <w:r>
              <w:rPr>
                <w:spacing w:val="-8"/>
                <w:sz w:val="21"/>
              </w:rPr>
              <w:t>出具的被保险人的疾病诊断证明书，以及由医院出具的与该疾病</w:t>
            </w:r>
            <w:r>
              <w:rPr>
                <w:spacing w:val="-6"/>
                <w:sz w:val="21"/>
              </w:rPr>
              <w:t>诊断证明书相关的病理显微镜检查、血液检验及其他科学方法检验报告；</w:t>
            </w:r>
          </w:p>
          <w:p>
            <w:pPr>
              <w:pStyle w:val="TableParagraph"/>
              <w:numPr>
                <w:ilvl w:val="0"/>
                <w:numId w:val="7"/>
              </w:numPr>
              <w:tabs>
                <w:tab w:pos="549" w:val="left" w:leader="none"/>
              </w:tabs>
              <w:spacing w:line="255" w:lineRule="exact" w:before="4" w:after="0"/>
              <w:ind w:left="548" w:right="0" w:hanging="422"/>
              <w:jc w:val="left"/>
              <w:rPr>
                <w:sz w:val="21"/>
              </w:rPr>
            </w:pPr>
            <w:r>
              <w:rPr>
                <w:spacing w:val="-5"/>
                <w:sz w:val="21"/>
              </w:rPr>
              <w:t>所能提供的与确认保险事故的性质、原因等有关的其他证明和资料。</w:t>
            </w:r>
          </w:p>
        </w:tc>
      </w:tr>
    </w:tbl>
    <w:p>
      <w:pPr>
        <w:spacing w:after="0" w:line="255" w:lineRule="exact"/>
        <w:jc w:val="left"/>
        <w:rPr>
          <w:sz w:val="21"/>
        </w:rPr>
        <w:sectPr>
          <w:pgSz w:w="11910" w:h="16840"/>
          <w:pgMar w:header="0" w:footer="346" w:top="740" w:bottom="540" w:left="940" w:right="94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3"/>
        <w:gridCol w:w="1185"/>
        <w:gridCol w:w="7975"/>
      </w:tblGrid>
      <w:tr>
        <w:trPr>
          <w:trHeight w:val="3387" w:hRule="atLeast"/>
        </w:trPr>
        <w:tc>
          <w:tcPr>
            <w:tcW w:w="643" w:type="dxa"/>
          </w:tcPr>
          <w:p>
            <w:pPr>
              <w:pStyle w:val="TableParagraph"/>
              <w:spacing w:before="0"/>
              <w:rPr>
                <w:rFonts w:ascii="Times New Roman"/>
                <w:sz w:val="20"/>
              </w:rPr>
            </w:pPr>
          </w:p>
        </w:tc>
        <w:tc>
          <w:tcPr>
            <w:tcW w:w="1185" w:type="dxa"/>
          </w:tcPr>
          <w:p>
            <w:pPr>
              <w:pStyle w:val="TableParagraph"/>
              <w:spacing w:before="0"/>
              <w:rPr>
                <w:rFonts w:ascii="Times New Roman"/>
                <w:sz w:val="20"/>
              </w:rPr>
            </w:pPr>
          </w:p>
        </w:tc>
        <w:tc>
          <w:tcPr>
            <w:tcW w:w="7975" w:type="dxa"/>
          </w:tcPr>
          <w:p>
            <w:pPr>
              <w:pStyle w:val="TableParagraph"/>
              <w:spacing w:line="211" w:lineRule="exact" w:before="0"/>
              <w:ind w:left="126"/>
              <w:rPr>
                <w:sz w:val="21"/>
              </w:rPr>
            </w:pPr>
            <w:r>
              <w:rPr>
                <w:sz w:val="21"/>
              </w:rPr>
              <w:t>以上证明和资料不完整的，我们将及时一次性通知受益人补充提供有关的证明和资</w:t>
            </w:r>
          </w:p>
          <w:p>
            <w:pPr>
              <w:pStyle w:val="TableParagraph"/>
              <w:spacing w:before="32"/>
              <w:ind w:left="126"/>
              <w:rPr>
                <w:sz w:val="21"/>
              </w:rPr>
            </w:pPr>
            <w:r>
              <w:rPr>
                <w:sz w:val="21"/>
              </w:rPr>
              <w:t>料。</w:t>
            </w:r>
          </w:p>
          <w:p>
            <w:pPr>
              <w:pStyle w:val="TableParagraph"/>
              <w:spacing w:before="11"/>
              <w:rPr>
                <w:sz w:val="14"/>
              </w:rPr>
            </w:pPr>
          </w:p>
          <w:p>
            <w:pPr>
              <w:pStyle w:val="TableParagraph"/>
              <w:spacing w:line="273" w:lineRule="auto" w:before="1"/>
              <w:ind w:left="126" w:right="104"/>
              <w:jc w:val="both"/>
              <w:rPr>
                <w:sz w:val="21"/>
              </w:rPr>
            </w:pPr>
            <w:r>
              <w:rPr>
                <w:spacing w:val="-5"/>
                <w:sz w:val="21"/>
              </w:rPr>
              <w:t>委托他人领取保险金时，受托人还必须提供本人的有效身份证件及委托人亲笔签名的授权委托书。</w:t>
            </w:r>
          </w:p>
          <w:p>
            <w:pPr>
              <w:pStyle w:val="TableParagraph"/>
              <w:spacing w:line="268" w:lineRule="auto" w:before="166"/>
              <w:ind w:left="126" w:right="104"/>
              <w:jc w:val="both"/>
              <w:rPr>
                <w:sz w:val="21"/>
              </w:rPr>
            </w:pPr>
            <w:r>
              <w:rPr>
                <w:sz w:val="21"/>
              </w:rPr>
              <w:t>保险金作为被保险人遗产时，继承人还必须提供可证明其合法继承权的相关权利文件。</w:t>
            </w:r>
          </w:p>
          <w:p>
            <w:pPr>
              <w:pStyle w:val="TableParagraph"/>
              <w:spacing w:line="273" w:lineRule="auto" w:before="169"/>
              <w:ind w:left="126" w:right="100"/>
              <w:jc w:val="both"/>
              <w:rPr>
                <w:sz w:val="21"/>
              </w:rPr>
            </w:pPr>
            <w:r>
              <w:rPr>
                <w:spacing w:val="-6"/>
                <w:sz w:val="21"/>
              </w:rPr>
              <w:t>受益人或者继承人为无民事行为能力人或者限制民事行为能力人时，由其合法监护人</w:t>
            </w:r>
            <w:r>
              <w:rPr>
                <w:spacing w:val="-8"/>
                <w:sz w:val="21"/>
              </w:rPr>
              <w:t>代其申请领取保险金，其合法监护人还必须提供受益人或者继承人为无民事行为能力</w:t>
            </w:r>
            <w:r>
              <w:rPr>
                <w:spacing w:val="-6"/>
                <w:sz w:val="21"/>
              </w:rPr>
              <w:t>人或者限制民事行为能力人的证明和监护人具有合法监护权的证明。</w:t>
            </w:r>
          </w:p>
        </w:tc>
      </w:tr>
      <w:tr>
        <w:trPr>
          <w:trHeight w:val="4227" w:hRule="atLeast"/>
        </w:trPr>
        <w:tc>
          <w:tcPr>
            <w:tcW w:w="643" w:type="dxa"/>
          </w:tcPr>
          <w:p>
            <w:pPr>
              <w:pStyle w:val="TableParagraph"/>
              <w:spacing w:before="83"/>
              <w:ind w:left="110"/>
              <w:rPr>
                <w:rFonts w:ascii="Microsoft JhengHei"/>
                <w:b/>
                <w:sz w:val="21"/>
              </w:rPr>
            </w:pPr>
            <w:r>
              <w:rPr>
                <w:rFonts w:ascii="Microsoft JhengHei"/>
                <w:b/>
                <w:w w:val="105"/>
                <w:sz w:val="21"/>
              </w:rPr>
              <w:t>3.4</w:t>
            </w:r>
          </w:p>
        </w:tc>
        <w:tc>
          <w:tcPr>
            <w:tcW w:w="1185" w:type="dxa"/>
          </w:tcPr>
          <w:p>
            <w:pPr>
              <w:pStyle w:val="TableParagraph"/>
              <w:spacing w:line="204" w:lineRule="auto" w:before="138"/>
              <w:ind w:left="216" w:right="121"/>
              <w:rPr>
                <w:rFonts w:ascii="Microsoft JhengHei" w:eastAsia="Microsoft JhengHei" w:hint="eastAsia"/>
                <w:b/>
                <w:sz w:val="21"/>
              </w:rPr>
            </w:pPr>
            <w:r>
              <w:rPr>
                <w:rFonts w:ascii="Microsoft JhengHei" w:eastAsia="Microsoft JhengHei" w:hint="eastAsia"/>
                <w:b/>
                <w:sz w:val="21"/>
              </w:rPr>
              <w:t>保险金给付</w:t>
            </w:r>
          </w:p>
        </w:tc>
        <w:tc>
          <w:tcPr>
            <w:tcW w:w="7975" w:type="dxa"/>
          </w:tcPr>
          <w:p>
            <w:pPr>
              <w:pStyle w:val="TableParagraph"/>
              <w:spacing w:before="150"/>
              <w:ind w:left="126"/>
              <w:rPr>
                <w:sz w:val="21"/>
              </w:rPr>
            </w:pPr>
            <w:r>
              <w:rPr>
                <w:spacing w:val="-7"/>
                <w:sz w:val="21"/>
              </w:rPr>
              <w:t>我们在收到领取保险金申请书及本附加合同约定的证明和资料后，将在 </w:t>
            </w:r>
            <w:r>
              <w:rPr>
                <w:sz w:val="21"/>
              </w:rPr>
              <w:t>5</w:t>
            </w:r>
            <w:r>
              <w:rPr>
                <w:spacing w:val="-7"/>
                <w:sz w:val="21"/>
              </w:rPr>
              <w:t> 日内作出核</w:t>
            </w:r>
          </w:p>
          <w:p>
            <w:pPr>
              <w:pStyle w:val="TableParagraph"/>
              <w:ind w:left="126"/>
              <w:rPr>
                <w:sz w:val="21"/>
              </w:rPr>
            </w:pPr>
            <w:r>
              <w:rPr>
                <w:spacing w:val="-12"/>
                <w:sz w:val="21"/>
              </w:rPr>
              <w:t>定；情形复杂的，在 </w:t>
            </w:r>
            <w:r>
              <w:rPr>
                <w:spacing w:val="-3"/>
                <w:sz w:val="21"/>
              </w:rPr>
              <w:t>30</w:t>
            </w:r>
            <w:r>
              <w:rPr>
                <w:spacing w:val="-11"/>
                <w:sz w:val="21"/>
              </w:rPr>
              <w:t> 日内作出核定。对属于保险责任的，我们在与受益人达成给付</w:t>
            </w:r>
          </w:p>
          <w:p>
            <w:pPr>
              <w:pStyle w:val="TableParagraph"/>
              <w:ind w:left="126"/>
              <w:rPr>
                <w:sz w:val="21"/>
              </w:rPr>
            </w:pPr>
            <w:r>
              <w:rPr>
                <w:sz w:val="21"/>
              </w:rPr>
              <w:t>保险金的协议后 10 日内，履行给付保险金义务。</w:t>
            </w:r>
          </w:p>
          <w:p>
            <w:pPr>
              <w:pStyle w:val="TableParagraph"/>
              <w:spacing w:before="0"/>
              <w:rPr>
                <w:sz w:val="15"/>
              </w:rPr>
            </w:pPr>
          </w:p>
          <w:p>
            <w:pPr>
              <w:pStyle w:val="TableParagraph"/>
              <w:spacing w:line="271" w:lineRule="auto" w:before="0"/>
              <w:ind w:left="126" w:right="99"/>
              <w:jc w:val="both"/>
              <w:rPr>
                <w:sz w:val="21"/>
              </w:rPr>
            </w:pPr>
            <w:r>
              <w:rPr>
                <w:spacing w:val="-7"/>
                <w:sz w:val="21"/>
              </w:rPr>
              <w:t>我们未及时履行前款规定义务的，对属于保险责任的，除支付保险金外，应当赔偿受</w:t>
            </w:r>
            <w:r>
              <w:rPr>
                <w:spacing w:val="-9"/>
                <w:sz w:val="21"/>
              </w:rPr>
              <w:t>益人因此受到的利息损失。前述“损失”是指按照中国人民银行公布的同时期的人民</w:t>
            </w:r>
            <w:r>
              <w:rPr>
                <w:spacing w:val="-7"/>
                <w:sz w:val="21"/>
              </w:rPr>
              <w:t>币活期存款基准利率、以复利方式计算的利息损失。</w:t>
            </w:r>
          </w:p>
          <w:p>
            <w:pPr>
              <w:pStyle w:val="TableParagraph"/>
              <w:spacing w:line="273" w:lineRule="auto" w:before="168"/>
              <w:ind w:left="126" w:right="102"/>
              <w:jc w:val="both"/>
              <w:rPr>
                <w:sz w:val="21"/>
              </w:rPr>
            </w:pPr>
            <w:r>
              <w:rPr>
                <w:spacing w:val="-7"/>
                <w:sz w:val="21"/>
              </w:rPr>
              <w:t>对不属于保险责任的，我们自作出核定之日起 </w:t>
            </w:r>
            <w:r>
              <w:rPr>
                <w:sz w:val="21"/>
              </w:rPr>
              <w:t>3</w:t>
            </w:r>
            <w:r>
              <w:rPr>
                <w:spacing w:val="-8"/>
                <w:sz w:val="21"/>
              </w:rPr>
              <w:t> 日内向受益人发出拒绝给付保险金通</w:t>
            </w:r>
            <w:r>
              <w:rPr>
                <w:spacing w:val="-6"/>
                <w:sz w:val="21"/>
              </w:rPr>
              <w:t>知书并说明理由。</w:t>
            </w:r>
          </w:p>
          <w:p>
            <w:pPr>
              <w:pStyle w:val="TableParagraph"/>
              <w:spacing w:line="271" w:lineRule="auto" w:before="166"/>
              <w:ind w:left="126" w:right="97"/>
              <w:jc w:val="both"/>
              <w:rPr>
                <w:sz w:val="21"/>
              </w:rPr>
            </w:pPr>
            <w:r>
              <w:rPr>
                <w:spacing w:val="-5"/>
                <w:sz w:val="21"/>
              </w:rPr>
              <w:t>我们在收到领取保险金申请书及有关证明和资料之日起 </w:t>
            </w:r>
            <w:r>
              <w:rPr>
                <w:sz w:val="21"/>
              </w:rPr>
              <w:t>60</w:t>
            </w:r>
            <w:r>
              <w:rPr>
                <w:spacing w:val="-2"/>
                <w:sz w:val="21"/>
              </w:rPr>
              <w:t> 日内，对给付保险金的数</w:t>
            </w:r>
            <w:r>
              <w:rPr>
                <w:spacing w:val="-6"/>
                <w:sz w:val="21"/>
              </w:rPr>
              <w:t>额不能确定的，根据已有证明和资料可以确定的数额先予支付；我们最终确定给付保</w:t>
            </w:r>
            <w:r>
              <w:rPr>
                <w:spacing w:val="-5"/>
                <w:sz w:val="21"/>
              </w:rPr>
              <w:t>险金的数额后，将支付相应的差额。</w:t>
            </w:r>
          </w:p>
        </w:tc>
      </w:tr>
      <w:tr>
        <w:trPr>
          <w:trHeight w:val="967" w:hRule="atLeast"/>
        </w:trPr>
        <w:tc>
          <w:tcPr>
            <w:tcW w:w="643" w:type="dxa"/>
          </w:tcPr>
          <w:p>
            <w:pPr>
              <w:pStyle w:val="TableParagraph"/>
              <w:spacing w:before="85"/>
              <w:ind w:left="110"/>
              <w:rPr>
                <w:rFonts w:ascii="Microsoft JhengHei"/>
                <w:b/>
                <w:sz w:val="21"/>
              </w:rPr>
            </w:pPr>
            <w:r>
              <w:rPr>
                <w:rFonts w:ascii="Microsoft JhengHei"/>
                <w:b/>
                <w:w w:val="105"/>
                <w:sz w:val="21"/>
              </w:rPr>
              <w:t>3.5</w:t>
            </w:r>
          </w:p>
        </w:tc>
        <w:tc>
          <w:tcPr>
            <w:tcW w:w="1185" w:type="dxa"/>
          </w:tcPr>
          <w:p>
            <w:pPr>
              <w:pStyle w:val="TableParagraph"/>
              <w:spacing w:before="85"/>
              <w:ind w:left="216"/>
              <w:rPr>
                <w:rFonts w:ascii="Microsoft JhengHei" w:eastAsia="Microsoft JhengHei" w:hint="eastAsia"/>
                <w:b/>
                <w:sz w:val="21"/>
              </w:rPr>
            </w:pPr>
            <w:r>
              <w:rPr>
                <w:rFonts w:ascii="Microsoft JhengHei" w:eastAsia="Microsoft JhengHei" w:hint="eastAsia"/>
                <w:b/>
                <w:sz w:val="21"/>
              </w:rPr>
              <w:t>诉讼时效</w:t>
            </w:r>
          </w:p>
        </w:tc>
        <w:tc>
          <w:tcPr>
            <w:tcW w:w="7975" w:type="dxa"/>
          </w:tcPr>
          <w:p>
            <w:pPr>
              <w:pStyle w:val="TableParagraph"/>
              <w:spacing w:line="268" w:lineRule="auto" w:before="152"/>
              <w:ind w:left="126" w:right="97"/>
              <w:rPr>
                <w:sz w:val="21"/>
              </w:rPr>
            </w:pPr>
            <w:r>
              <w:rPr>
                <w:spacing w:val="-6"/>
                <w:sz w:val="21"/>
              </w:rPr>
              <w:t>权利人向我们申请给付保险金的诉讼时效期间为 </w:t>
            </w:r>
            <w:r>
              <w:rPr>
                <w:sz w:val="21"/>
              </w:rPr>
              <w:t>2</w:t>
            </w:r>
            <w:r>
              <w:rPr>
                <w:spacing w:val="-10"/>
                <w:sz w:val="21"/>
              </w:rPr>
              <w:t> 年，自其知道或者应当知道保险事</w:t>
            </w:r>
            <w:r>
              <w:rPr>
                <w:spacing w:val="-7"/>
                <w:sz w:val="21"/>
              </w:rPr>
              <w:t>故发生之日起计算。</w:t>
            </w:r>
          </w:p>
        </w:tc>
      </w:tr>
      <w:tr>
        <w:trPr>
          <w:trHeight w:val="558" w:hRule="atLeast"/>
        </w:trPr>
        <w:tc>
          <w:tcPr>
            <w:tcW w:w="643" w:type="dxa"/>
            <w:tcBorders>
              <w:bottom w:val="single" w:sz="8" w:space="0" w:color="000000"/>
            </w:tcBorders>
          </w:tcPr>
          <w:p>
            <w:pPr>
              <w:pStyle w:val="TableParagraph"/>
              <w:spacing w:before="82"/>
              <w:ind w:left="110"/>
              <w:rPr>
                <w:rFonts w:ascii="Microsoft JhengHei"/>
                <w:b/>
                <w:sz w:val="24"/>
              </w:rPr>
            </w:pPr>
            <w:r>
              <w:rPr>
                <w:rFonts w:ascii="Microsoft JhengHei"/>
                <w:b/>
                <w:w w:val="120"/>
                <w:sz w:val="24"/>
              </w:rPr>
              <w:t>4.</w:t>
            </w:r>
          </w:p>
        </w:tc>
        <w:tc>
          <w:tcPr>
            <w:tcW w:w="9160" w:type="dxa"/>
            <w:gridSpan w:val="2"/>
            <w:tcBorders>
              <w:bottom w:val="single" w:sz="8" w:space="0" w:color="000000"/>
            </w:tcBorders>
          </w:tcPr>
          <w:p>
            <w:pPr>
              <w:pStyle w:val="TableParagraph"/>
              <w:spacing w:before="82"/>
              <w:ind w:left="216"/>
              <w:rPr>
                <w:rFonts w:ascii="Microsoft JhengHei" w:eastAsia="Microsoft JhengHei" w:hint="eastAsia"/>
                <w:b/>
                <w:sz w:val="24"/>
              </w:rPr>
            </w:pPr>
            <w:r>
              <w:rPr>
                <w:rFonts w:ascii="Microsoft JhengHei" w:eastAsia="Microsoft JhengHei" w:hint="eastAsia"/>
                <w:b/>
                <w:sz w:val="24"/>
              </w:rPr>
              <w:t>保险费的交纳</w:t>
            </w:r>
          </w:p>
        </w:tc>
      </w:tr>
      <w:tr>
        <w:trPr>
          <w:trHeight w:val="1520" w:hRule="atLeast"/>
        </w:trPr>
        <w:tc>
          <w:tcPr>
            <w:tcW w:w="643" w:type="dxa"/>
            <w:tcBorders>
              <w:top w:val="single" w:sz="8" w:space="0" w:color="000000"/>
            </w:tcBorders>
          </w:tcPr>
          <w:p>
            <w:pPr>
              <w:pStyle w:val="TableParagraph"/>
              <w:spacing w:before="3"/>
              <w:rPr>
                <w:sz w:val="17"/>
              </w:rPr>
            </w:pPr>
          </w:p>
          <w:p>
            <w:pPr>
              <w:pStyle w:val="TableParagraph"/>
              <w:spacing w:before="0"/>
              <w:ind w:left="110"/>
              <w:rPr>
                <w:rFonts w:ascii="Microsoft JhengHei"/>
                <w:b/>
                <w:sz w:val="21"/>
              </w:rPr>
            </w:pPr>
            <w:r>
              <w:rPr>
                <w:rFonts w:ascii="Microsoft JhengHei"/>
                <w:b/>
                <w:w w:val="105"/>
                <w:sz w:val="21"/>
              </w:rPr>
              <w:t>4.1</w:t>
            </w:r>
          </w:p>
        </w:tc>
        <w:tc>
          <w:tcPr>
            <w:tcW w:w="1185" w:type="dxa"/>
            <w:tcBorders>
              <w:top w:val="single" w:sz="8" w:space="0" w:color="000000"/>
            </w:tcBorders>
          </w:tcPr>
          <w:p>
            <w:pPr>
              <w:pStyle w:val="TableParagraph"/>
              <w:spacing w:before="9"/>
              <w:rPr>
                <w:sz w:val="21"/>
              </w:rPr>
            </w:pPr>
          </w:p>
          <w:p>
            <w:pPr>
              <w:pStyle w:val="TableParagraph"/>
              <w:spacing w:line="201" w:lineRule="auto" w:before="0"/>
              <w:ind w:left="216" w:right="121"/>
              <w:rPr>
                <w:rFonts w:ascii="Microsoft JhengHei" w:eastAsia="Microsoft JhengHei" w:hint="eastAsia"/>
                <w:b/>
                <w:sz w:val="21"/>
              </w:rPr>
            </w:pPr>
            <w:r>
              <w:rPr>
                <w:rFonts w:ascii="Microsoft JhengHei" w:eastAsia="Microsoft JhengHei" w:hint="eastAsia"/>
                <w:b/>
                <w:sz w:val="21"/>
              </w:rPr>
              <w:t>保险费的交纳</w:t>
            </w:r>
          </w:p>
        </w:tc>
        <w:tc>
          <w:tcPr>
            <w:tcW w:w="7975" w:type="dxa"/>
            <w:tcBorders>
              <w:top w:val="single" w:sz="8" w:space="0" w:color="000000"/>
            </w:tcBorders>
          </w:tcPr>
          <w:p>
            <w:pPr>
              <w:pStyle w:val="TableParagraph"/>
              <w:spacing w:before="4"/>
              <w:rPr>
                <w:sz w:val="22"/>
              </w:rPr>
            </w:pPr>
          </w:p>
          <w:p>
            <w:pPr>
              <w:pStyle w:val="TableParagraph"/>
              <w:spacing w:before="0"/>
              <w:ind w:left="126"/>
              <w:rPr>
                <w:sz w:val="21"/>
              </w:rPr>
            </w:pPr>
            <w:r>
              <w:rPr>
                <w:sz w:val="21"/>
              </w:rPr>
              <w:t>本附加合同的交费方式和交费期间由您在投保时与我们约定，并在保险单上载明。</w:t>
            </w:r>
          </w:p>
          <w:p>
            <w:pPr>
              <w:pStyle w:val="TableParagraph"/>
              <w:spacing w:before="6"/>
              <w:rPr>
                <w:sz w:val="14"/>
              </w:rPr>
            </w:pPr>
          </w:p>
          <w:p>
            <w:pPr>
              <w:pStyle w:val="TableParagraph"/>
              <w:spacing w:line="273" w:lineRule="auto" w:before="1"/>
              <w:ind w:left="126" w:right="104"/>
              <w:rPr>
                <w:sz w:val="21"/>
              </w:rPr>
            </w:pPr>
            <w:r>
              <w:rPr>
                <w:spacing w:val="-6"/>
                <w:sz w:val="21"/>
              </w:rPr>
              <w:t>分期支付保险费的，在交纳首期保险费后，您应当在每个保险费约定交纳日交纳其余</w:t>
            </w:r>
            <w:r>
              <w:rPr>
                <w:spacing w:val="-5"/>
                <w:sz w:val="21"/>
              </w:rPr>
              <w:t>各期的保险费。</w:t>
            </w:r>
          </w:p>
        </w:tc>
      </w:tr>
      <w:tr>
        <w:trPr>
          <w:trHeight w:val="2021" w:hRule="atLeast"/>
        </w:trPr>
        <w:tc>
          <w:tcPr>
            <w:tcW w:w="643" w:type="dxa"/>
          </w:tcPr>
          <w:p>
            <w:pPr>
              <w:pStyle w:val="TableParagraph"/>
              <w:spacing w:before="121"/>
              <w:ind w:left="110"/>
              <w:rPr>
                <w:rFonts w:ascii="Microsoft JhengHei"/>
                <w:b/>
                <w:sz w:val="21"/>
              </w:rPr>
            </w:pPr>
            <w:r>
              <w:rPr>
                <w:rFonts w:ascii="Microsoft JhengHei"/>
                <w:b/>
                <w:w w:val="105"/>
                <w:sz w:val="21"/>
              </w:rPr>
              <w:t>4.2</w:t>
            </w:r>
          </w:p>
        </w:tc>
        <w:tc>
          <w:tcPr>
            <w:tcW w:w="1185" w:type="dxa"/>
          </w:tcPr>
          <w:p>
            <w:pPr>
              <w:pStyle w:val="TableParagraph"/>
              <w:spacing w:before="121"/>
              <w:ind w:left="216"/>
              <w:rPr>
                <w:rFonts w:ascii="Microsoft JhengHei" w:eastAsia="Microsoft JhengHei" w:hint="eastAsia"/>
                <w:b/>
                <w:sz w:val="21"/>
              </w:rPr>
            </w:pPr>
            <w:r>
              <w:rPr>
                <w:rFonts w:ascii="Microsoft JhengHei" w:eastAsia="Microsoft JhengHei" w:hint="eastAsia"/>
                <w:b/>
                <w:sz w:val="21"/>
              </w:rPr>
              <w:t>宽限期</w:t>
            </w:r>
          </w:p>
        </w:tc>
        <w:tc>
          <w:tcPr>
            <w:tcW w:w="7975" w:type="dxa"/>
          </w:tcPr>
          <w:p>
            <w:pPr>
              <w:pStyle w:val="TableParagraph"/>
              <w:spacing w:line="273" w:lineRule="auto" w:before="111"/>
              <w:ind w:left="126" w:right="97"/>
              <w:jc w:val="both"/>
              <w:rPr>
                <w:sz w:val="21"/>
              </w:rPr>
            </w:pPr>
            <w:r>
              <w:rPr>
                <w:spacing w:val="-5"/>
                <w:sz w:val="21"/>
              </w:rPr>
              <w:t>如果您到期未交纳保险费，自保险费约定交纳日的次日零时起 </w:t>
            </w:r>
            <w:r>
              <w:rPr>
                <w:sz w:val="21"/>
              </w:rPr>
              <w:t>60</w:t>
            </w:r>
            <w:r>
              <w:rPr>
                <w:spacing w:val="-1"/>
                <w:sz w:val="21"/>
              </w:rPr>
              <w:t> 日为保险费交纳的</w:t>
            </w:r>
            <w:r>
              <w:rPr>
                <w:spacing w:val="-7"/>
                <w:sz w:val="21"/>
              </w:rPr>
              <w:t>宽限期。宽限期内发生的保险事故，我们仍承担保险责任，但在给付保险金时会扣除</w:t>
            </w:r>
            <w:r>
              <w:rPr>
                <w:spacing w:val="-6"/>
                <w:sz w:val="21"/>
              </w:rPr>
              <w:t>您欠交的保险费。</w:t>
            </w:r>
          </w:p>
          <w:p>
            <w:pPr>
              <w:pStyle w:val="TableParagraph"/>
              <w:spacing w:line="268" w:lineRule="auto" w:before="165"/>
              <w:ind w:left="126" w:right="96"/>
              <w:jc w:val="both"/>
              <w:rPr>
                <w:sz w:val="21"/>
              </w:rPr>
            </w:pPr>
            <w:r>
              <w:rPr>
                <w:spacing w:val="-5"/>
                <w:sz w:val="21"/>
              </w:rPr>
              <w:t>如果您在宽限期届满时仍未交纳保险费，则本附加合同自宽限期满日的 </w:t>
            </w:r>
            <w:r>
              <w:rPr>
                <w:sz w:val="21"/>
              </w:rPr>
              <w:t>24 时起效力</w:t>
            </w:r>
            <w:r>
              <w:rPr>
                <w:spacing w:val="-3"/>
                <w:sz w:val="21"/>
              </w:rPr>
              <w:t>中止，但本附加合同另有约定的除外。</w:t>
            </w:r>
          </w:p>
        </w:tc>
      </w:tr>
      <w:tr>
        <w:trPr>
          <w:trHeight w:val="558" w:hRule="atLeast"/>
        </w:trPr>
        <w:tc>
          <w:tcPr>
            <w:tcW w:w="643" w:type="dxa"/>
            <w:tcBorders>
              <w:bottom w:val="single" w:sz="8" w:space="0" w:color="000000"/>
            </w:tcBorders>
          </w:tcPr>
          <w:p>
            <w:pPr>
              <w:pStyle w:val="TableParagraph"/>
              <w:spacing w:before="82"/>
              <w:ind w:left="110"/>
              <w:rPr>
                <w:rFonts w:ascii="Microsoft JhengHei"/>
                <w:b/>
                <w:sz w:val="24"/>
              </w:rPr>
            </w:pPr>
            <w:r>
              <w:rPr>
                <w:rFonts w:ascii="Microsoft JhengHei"/>
                <w:b/>
                <w:w w:val="120"/>
                <w:sz w:val="24"/>
              </w:rPr>
              <w:t>5.</w:t>
            </w:r>
          </w:p>
        </w:tc>
        <w:tc>
          <w:tcPr>
            <w:tcW w:w="9160" w:type="dxa"/>
            <w:gridSpan w:val="2"/>
            <w:tcBorders>
              <w:bottom w:val="single" w:sz="8" w:space="0" w:color="000000"/>
            </w:tcBorders>
          </w:tcPr>
          <w:p>
            <w:pPr>
              <w:pStyle w:val="TableParagraph"/>
              <w:spacing w:before="82"/>
              <w:ind w:left="216"/>
              <w:rPr>
                <w:rFonts w:ascii="Microsoft JhengHei" w:eastAsia="Microsoft JhengHei" w:hint="eastAsia"/>
                <w:b/>
                <w:sz w:val="24"/>
              </w:rPr>
            </w:pPr>
            <w:r>
              <w:rPr>
                <w:rFonts w:ascii="Microsoft JhengHei" w:eastAsia="Microsoft JhengHei" w:hint="eastAsia"/>
                <w:b/>
                <w:sz w:val="24"/>
              </w:rPr>
              <w:t>现金价值权益</w:t>
            </w:r>
          </w:p>
        </w:tc>
      </w:tr>
      <w:tr>
        <w:trPr>
          <w:trHeight w:val="1092" w:hRule="atLeast"/>
        </w:trPr>
        <w:tc>
          <w:tcPr>
            <w:tcW w:w="643" w:type="dxa"/>
            <w:tcBorders>
              <w:top w:val="single" w:sz="8" w:space="0" w:color="000000"/>
            </w:tcBorders>
          </w:tcPr>
          <w:p>
            <w:pPr>
              <w:pStyle w:val="TableParagraph"/>
              <w:spacing w:before="2"/>
              <w:rPr>
                <w:sz w:val="17"/>
              </w:rPr>
            </w:pPr>
          </w:p>
          <w:p>
            <w:pPr>
              <w:pStyle w:val="TableParagraph"/>
              <w:spacing w:before="0"/>
              <w:ind w:left="110"/>
              <w:rPr>
                <w:rFonts w:ascii="Microsoft JhengHei"/>
                <w:b/>
                <w:sz w:val="21"/>
              </w:rPr>
            </w:pPr>
            <w:r>
              <w:rPr>
                <w:rFonts w:ascii="Microsoft JhengHei"/>
                <w:b/>
                <w:w w:val="105"/>
                <w:sz w:val="21"/>
              </w:rPr>
              <w:t>5.1</w:t>
            </w:r>
          </w:p>
        </w:tc>
        <w:tc>
          <w:tcPr>
            <w:tcW w:w="1185" w:type="dxa"/>
            <w:tcBorders>
              <w:top w:val="single" w:sz="8" w:space="0" w:color="000000"/>
            </w:tcBorders>
          </w:tcPr>
          <w:p>
            <w:pPr>
              <w:pStyle w:val="TableParagraph"/>
              <w:spacing w:before="2"/>
              <w:rPr>
                <w:sz w:val="17"/>
              </w:rPr>
            </w:pPr>
          </w:p>
          <w:p>
            <w:pPr>
              <w:pStyle w:val="TableParagraph"/>
              <w:spacing w:before="0"/>
              <w:ind w:left="216"/>
              <w:rPr>
                <w:rFonts w:ascii="Microsoft JhengHei" w:eastAsia="Microsoft JhengHei" w:hint="eastAsia"/>
                <w:b/>
                <w:sz w:val="21"/>
              </w:rPr>
            </w:pPr>
            <w:r>
              <w:rPr>
                <w:rFonts w:ascii="Microsoft JhengHei" w:eastAsia="Microsoft JhengHei" w:hint="eastAsia"/>
                <w:b/>
                <w:sz w:val="21"/>
              </w:rPr>
              <w:t>现金价值</w:t>
            </w:r>
          </w:p>
        </w:tc>
        <w:tc>
          <w:tcPr>
            <w:tcW w:w="7975" w:type="dxa"/>
            <w:tcBorders>
              <w:top w:val="single" w:sz="8" w:space="0" w:color="000000"/>
            </w:tcBorders>
          </w:tcPr>
          <w:p>
            <w:pPr>
              <w:pStyle w:val="TableParagraph"/>
              <w:spacing w:before="4"/>
              <w:rPr>
                <w:sz w:val="22"/>
              </w:rPr>
            </w:pPr>
          </w:p>
          <w:p>
            <w:pPr>
              <w:pStyle w:val="TableParagraph"/>
              <w:spacing w:line="273" w:lineRule="auto" w:before="0"/>
              <w:ind w:left="126" w:right="104"/>
              <w:rPr>
                <w:sz w:val="21"/>
              </w:rPr>
            </w:pPr>
            <w:r>
              <w:rPr>
                <w:spacing w:val="-7"/>
                <w:sz w:val="21"/>
              </w:rPr>
              <w:t>本附加合同保单年度末的现金价值在保险单上载明，保单年度内的现金价值您可以向我们咨询。</w:t>
            </w:r>
          </w:p>
        </w:tc>
      </w:tr>
      <w:tr>
        <w:trPr>
          <w:trHeight w:val="737" w:hRule="atLeast"/>
        </w:trPr>
        <w:tc>
          <w:tcPr>
            <w:tcW w:w="643" w:type="dxa"/>
          </w:tcPr>
          <w:p>
            <w:pPr>
              <w:pStyle w:val="TableParagraph"/>
              <w:spacing w:before="83"/>
              <w:ind w:left="110"/>
              <w:rPr>
                <w:rFonts w:ascii="Microsoft JhengHei"/>
                <w:b/>
                <w:sz w:val="21"/>
              </w:rPr>
            </w:pPr>
            <w:r>
              <w:rPr>
                <w:rFonts w:ascii="Microsoft JhengHei"/>
                <w:b/>
                <w:w w:val="105"/>
                <w:sz w:val="21"/>
              </w:rPr>
              <w:t>5.2</w:t>
            </w:r>
          </w:p>
        </w:tc>
        <w:tc>
          <w:tcPr>
            <w:tcW w:w="1185" w:type="dxa"/>
          </w:tcPr>
          <w:p>
            <w:pPr>
              <w:pStyle w:val="TableParagraph"/>
              <w:spacing w:before="83"/>
              <w:ind w:left="216"/>
              <w:rPr>
                <w:rFonts w:ascii="Microsoft JhengHei" w:eastAsia="Microsoft JhengHei" w:hint="eastAsia"/>
                <w:b/>
                <w:sz w:val="21"/>
              </w:rPr>
            </w:pPr>
            <w:r>
              <w:rPr>
                <w:rFonts w:ascii="Microsoft JhengHei" w:eastAsia="Microsoft JhengHei" w:hint="eastAsia"/>
                <w:b/>
                <w:sz w:val="21"/>
              </w:rPr>
              <w:t>保单贷款</w:t>
            </w:r>
          </w:p>
        </w:tc>
        <w:tc>
          <w:tcPr>
            <w:tcW w:w="7975" w:type="dxa"/>
          </w:tcPr>
          <w:p>
            <w:pPr>
              <w:pStyle w:val="TableParagraph"/>
              <w:spacing w:line="310" w:lineRule="atLeast" w:before="115"/>
              <w:ind w:left="126" w:right="103"/>
              <w:rPr>
                <w:sz w:val="21"/>
              </w:rPr>
            </w:pPr>
            <w:r>
              <w:rPr>
                <w:spacing w:val="-6"/>
                <w:sz w:val="21"/>
              </w:rPr>
              <w:t>在本附加合同和主合同有效期内，您可以申请并经我们审核同意后办理保单贷款。最</w:t>
            </w:r>
            <w:r>
              <w:rPr>
                <w:sz w:val="21"/>
              </w:rPr>
              <w:t>高贷款金额不得超过您申请时本附加合同和主合同的现金价值之和扣除各项欠款及</w:t>
            </w:r>
          </w:p>
        </w:tc>
      </w:tr>
    </w:tbl>
    <w:p>
      <w:pPr>
        <w:spacing w:after="0" w:line="310" w:lineRule="atLeast"/>
        <w:rPr>
          <w:sz w:val="21"/>
        </w:rPr>
        <w:sectPr>
          <w:pgSz w:w="11910" w:h="16840"/>
          <w:pgMar w:header="0" w:footer="346" w:top="900" w:bottom="540" w:left="940" w:right="94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3"/>
        <w:gridCol w:w="1185"/>
        <w:gridCol w:w="7976"/>
      </w:tblGrid>
      <w:tr>
        <w:trPr>
          <w:trHeight w:val="2625" w:hRule="atLeast"/>
        </w:trPr>
        <w:tc>
          <w:tcPr>
            <w:tcW w:w="643" w:type="dxa"/>
          </w:tcPr>
          <w:p>
            <w:pPr>
              <w:pStyle w:val="TableParagraph"/>
              <w:spacing w:before="0"/>
              <w:rPr>
                <w:rFonts w:ascii="Times New Roman"/>
                <w:sz w:val="20"/>
              </w:rPr>
            </w:pPr>
          </w:p>
        </w:tc>
        <w:tc>
          <w:tcPr>
            <w:tcW w:w="1185" w:type="dxa"/>
          </w:tcPr>
          <w:p>
            <w:pPr>
              <w:pStyle w:val="TableParagraph"/>
              <w:spacing w:before="0"/>
              <w:rPr>
                <w:rFonts w:ascii="Times New Roman"/>
                <w:sz w:val="20"/>
              </w:rPr>
            </w:pPr>
          </w:p>
        </w:tc>
        <w:tc>
          <w:tcPr>
            <w:tcW w:w="7976" w:type="dxa"/>
          </w:tcPr>
          <w:p>
            <w:pPr>
              <w:pStyle w:val="TableParagraph"/>
              <w:spacing w:line="211" w:lineRule="exact" w:before="0"/>
              <w:ind w:left="126" w:right="-15"/>
              <w:rPr>
                <w:sz w:val="21"/>
              </w:rPr>
            </w:pPr>
            <w:r>
              <w:rPr>
                <w:spacing w:val="-2"/>
                <w:sz w:val="21"/>
              </w:rPr>
              <w:t>应付利息后余额的 </w:t>
            </w:r>
            <w:r>
              <w:rPr>
                <w:spacing w:val="-22"/>
                <w:sz w:val="21"/>
              </w:rPr>
              <w:t>80</w:t>
            </w:r>
            <w:r>
              <w:rPr>
                <w:spacing w:val="-8"/>
                <w:sz w:val="21"/>
              </w:rPr>
              <w:t>%，且具体的贷款金额以您与我们签订的贷款协议中的约定为准。</w:t>
            </w:r>
          </w:p>
          <w:p>
            <w:pPr>
              <w:pStyle w:val="TableParagraph"/>
              <w:spacing w:line="273" w:lineRule="auto"/>
              <w:ind w:left="126" w:right="104"/>
              <w:jc w:val="both"/>
              <w:rPr>
                <w:sz w:val="21"/>
              </w:rPr>
            </w:pPr>
            <w:r>
              <w:rPr>
                <w:spacing w:val="-5"/>
                <w:sz w:val="21"/>
              </w:rPr>
              <w:t>每次贷款期限最长不超过 </w:t>
            </w:r>
            <w:r>
              <w:rPr>
                <w:sz w:val="21"/>
              </w:rPr>
              <w:t>180</w:t>
            </w:r>
            <w:r>
              <w:rPr>
                <w:spacing w:val="-10"/>
                <w:sz w:val="21"/>
              </w:rPr>
              <w:t> 日，贷款利率按您与我们签订的贷款协议中约定的利率</w:t>
            </w:r>
            <w:r>
              <w:rPr>
                <w:spacing w:val="-8"/>
                <w:sz w:val="21"/>
              </w:rPr>
              <w:t>执行。贷款本息在贷款到期时一并归还。若您到期未足额偿还贷款本息，则您所欠的</w:t>
            </w:r>
            <w:r>
              <w:rPr>
                <w:spacing w:val="-6"/>
                <w:sz w:val="21"/>
              </w:rPr>
              <w:t>贷款本金及利息将作为新的贷款本金进行计息。</w:t>
            </w:r>
          </w:p>
          <w:p>
            <w:pPr>
              <w:pStyle w:val="TableParagraph"/>
              <w:spacing w:line="268" w:lineRule="auto" w:before="166"/>
              <w:ind w:left="126" w:right="105"/>
              <w:jc w:val="both"/>
              <w:rPr>
                <w:sz w:val="21"/>
              </w:rPr>
            </w:pPr>
            <w:r>
              <w:rPr>
                <w:sz w:val="21"/>
              </w:rPr>
              <w:t>自贷款本金及利息加上其他各项欠款及应付利息达到本附加合同和主合同的现金价值之和的当日 24 时起，本附加合同和主合同效力中止。</w:t>
            </w:r>
          </w:p>
          <w:p>
            <w:pPr>
              <w:pStyle w:val="TableParagraph"/>
              <w:spacing w:before="170"/>
              <w:ind w:left="126"/>
              <w:jc w:val="both"/>
              <w:rPr>
                <w:sz w:val="21"/>
              </w:rPr>
            </w:pPr>
            <w:r>
              <w:rPr>
                <w:sz w:val="21"/>
              </w:rPr>
              <w:t>经我们审核不同意您的保单贷款申请的，我们不向您提供贷款。</w:t>
            </w:r>
          </w:p>
        </w:tc>
      </w:tr>
      <w:tr>
        <w:trPr>
          <w:trHeight w:val="555" w:hRule="atLeast"/>
        </w:trPr>
        <w:tc>
          <w:tcPr>
            <w:tcW w:w="643" w:type="dxa"/>
            <w:tcBorders>
              <w:bottom w:val="single" w:sz="8" w:space="0" w:color="000000"/>
            </w:tcBorders>
          </w:tcPr>
          <w:p>
            <w:pPr>
              <w:pStyle w:val="TableParagraph"/>
              <w:spacing w:before="79"/>
              <w:ind w:left="110"/>
              <w:rPr>
                <w:rFonts w:ascii="Microsoft JhengHei"/>
                <w:b/>
                <w:sz w:val="24"/>
              </w:rPr>
            </w:pPr>
            <w:r>
              <w:rPr>
                <w:rFonts w:ascii="Microsoft JhengHei"/>
                <w:b/>
                <w:w w:val="83"/>
                <w:sz w:val="24"/>
              </w:rPr>
              <w:t>6</w:t>
            </w:r>
            <w:r>
              <w:rPr>
                <w:rFonts w:ascii="Microsoft JhengHei"/>
                <w:b/>
                <w:w w:val="196"/>
                <w:sz w:val="24"/>
              </w:rPr>
              <w:t>.</w:t>
            </w:r>
          </w:p>
        </w:tc>
        <w:tc>
          <w:tcPr>
            <w:tcW w:w="9161" w:type="dxa"/>
            <w:gridSpan w:val="2"/>
            <w:tcBorders>
              <w:bottom w:val="single" w:sz="8" w:space="0" w:color="000000"/>
            </w:tcBorders>
          </w:tcPr>
          <w:p>
            <w:pPr>
              <w:pStyle w:val="TableParagraph"/>
              <w:spacing w:before="79"/>
              <w:ind w:left="216"/>
              <w:rPr>
                <w:rFonts w:ascii="Microsoft JhengHei" w:eastAsia="Microsoft JhengHei" w:hint="eastAsia"/>
                <w:b/>
                <w:sz w:val="24"/>
              </w:rPr>
            </w:pPr>
            <w:r>
              <w:rPr>
                <w:rFonts w:ascii="Microsoft JhengHei" w:eastAsia="Microsoft JhengHei" w:hint="eastAsia"/>
                <w:b/>
                <w:sz w:val="24"/>
              </w:rPr>
              <w:t>合同效力的中止及恢复</w:t>
            </w:r>
          </w:p>
        </w:tc>
      </w:tr>
      <w:tr>
        <w:trPr>
          <w:trHeight w:val="785" w:hRule="atLeast"/>
        </w:trPr>
        <w:tc>
          <w:tcPr>
            <w:tcW w:w="643" w:type="dxa"/>
            <w:tcBorders>
              <w:top w:val="single" w:sz="8" w:space="0" w:color="000000"/>
            </w:tcBorders>
          </w:tcPr>
          <w:p>
            <w:pPr>
              <w:pStyle w:val="TableParagraph"/>
              <w:spacing w:before="7"/>
              <w:rPr>
                <w:sz w:val="17"/>
              </w:rPr>
            </w:pPr>
          </w:p>
          <w:p>
            <w:pPr>
              <w:pStyle w:val="TableParagraph"/>
              <w:spacing w:before="1"/>
              <w:ind w:left="110"/>
              <w:rPr>
                <w:rFonts w:ascii="Microsoft JhengHei"/>
                <w:b/>
                <w:sz w:val="21"/>
              </w:rPr>
            </w:pPr>
            <w:r>
              <w:rPr>
                <w:rFonts w:ascii="Microsoft JhengHei"/>
                <w:b/>
                <w:w w:val="105"/>
                <w:sz w:val="21"/>
              </w:rPr>
              <w:t>6.1</w:t>
            </w:r>
          </w:p>
        </w:tc>
        <w:tc>
          <w:tcPr>
            <w:tcW w:w="1185" w:type="dxa"/>
            <w:tcBorders>
              <w:top w:val="single" w:sz="8" w:space="0" w:color="000000"/>
            </w:tcBorders>
          </w:tcPr>
          <w:p>
            <w:pPr>
              <w:pStyle w:val="TableParagraph"/>
              <w:spacing w:before="7"/>
              <w:rPr>
                <w:sz w:val="17"/>
              </w:rPr>
            </w:pPr>
          </w:p>
          <w:p>
            <w:pPr>
              <w:pStyle w:val="TableParagraph"/>
              <w:spacing w:before="1"/>
              <w:ind w:left="216"/>
              <w:rPr>
                <w:rFonts w:ascii="Microsoft JhengHei" w:eastAsia="Microsoft JhengHei" w:hint="eastAsia"/>
                <w:b/>
                <w:sz w:val="21"/>
              </w:rPr>
            </w:pPr>
            <w:r>
              <w:rPr>
                <w:rFonts w:ascii="Microsoft JhengHei" w:eastAsia="Microsoft JhengHei" w:hint="eastAsia"/>
                <w:b/>
                <w:sz w:val="21"/>
              </w:rPr>
              <w:t>效力中止</w:t>
            </w:r>
          </w:p>
        </w:tc>
        <w:tc>
          <w:tcPr>
            <w:tcW w:w="7976" w:type="dxa"/>
            <w:tcBorders>
              <w:top w:val="single" w:sz="8" w:space="0" w:color="000000"/>
            </w:tcBorders>
          </w:tcPr>
          <w:p>
            <w:pPr>
              <w:pStyle w:val="TableParagraph"/>
              <w:spacing w:before="9"/>
              <w:rPr>
                <w:sz w:val="22"/>
              </w:rPr>
            </w:pPr>
          </w:p>
          <w:p>
            <w:pPr>
              <w:pStyle w:val="TableParagraph"/>
              <w:spacing w:before="0"/>
              <w:ind w:left="126"/>
              <w:rPr>
                <w:sz w:val="21"/>
              </w:rPr>
            </w:pPr>
            <w:r>
              <w:rPr>
                <w:sz w:val="21"/>
              </w:rPr>
              <w:t>在本附加合同效力中止期间，我们不承担保险责任。</w:t>
            </w:r>
          </w:p>
        </w:tc>
      </w:tr>
      <w:tr>
        <w:trPr>
          <w:trHeight w:val="2033" w:hRule="atLeast"/>
        </w:trPr>
        <w:tc>
          <w:tcPr>
            <w:tcW w:w="643" w:type="dxa"/>
          </w:tcPr>
          <w:p>
            <w:pPr>
              <w:pStyle w:val="TableParagraph"/>
              <w:spacing w:before="83"/>
              <w:ind w:left="110"/>
              <w:rPr>
                <w:rFonts w:ascii="Microsoft JhengHei"/>
                <w:b/>
                <w:sz w:val="21"/>
              </w:rPr>
            </w:pPr>
            <w:r>
              <w:rPr>
                <w:rFonts w:ascii="Microsoft JhengHei"/>
                <w:b/>
                <w:w w:val="105"/>
                <w:sz w:val="21"/>
              </w:rPr>
              <w:t>6.2</w:t>
            </w:r>
          </w:p>
        </w:tc>
        <w:tc>
          <w:tcPr>
            <w:tcW w:w="1185" w:type="dxa"/>
          </w:tcPr>
          <w:p>
            <w:pPr>
              <w:pStyle w:val="TableParagraph"/>
              <w:spacing w:before="83"/>
              <w:ind w:left="216"/>
              <w:rPr>
                <w:rFonts w:ascii="Microsoft JhengHei" w:eastAsia="Microsoft JhengHei" w:hint="eastAsia"/>
                <w:b/>
                <w:sz w:val="21"/>
              </w:rPr>
            </w:pPr>
            <w:r>
              <w:rPr>
                <w:rFonts w:ascii="Microsoft JhengHei" w:eastAsia="Microsoft JhengHei" w:hint="eastAsia"/>
                <w:b/>
                <w:sz w:val="21"/>
              </w:rPr>
              <w:t>效力恢复</w:t>
            </w:r>
          </w:p>
        </w:tc>
        <w:tc>
          <w:tcPr>
            <w:tcW w:w="7976" w:type="dxa"/>
          </w:tcPr>
          <w:p>
            <w:pPr>
              <w:pStyle w:val="TableParagraph"/>
              <w:spacing w:line="268" w:lineRule="auto" w:before="150"/>
              <w:ind w:left="126" w:right="104"/>
              <w:jc w:val="both"/>
              <w:rPr>
                <w:sz w:val="21"/>
              </w:rPr>
            </w:pPr>
            <w:r>
              <w:rPr>
                <w:spacing w:val="-5"/>
                <w:sz w:val="21"/>
              </w:rPr>
              <w:t>本附加合同效力中止之日起 </w:t>
            </w:r>
            <w:r>
              <w:rPr>
                <w:sz w:val="21"/>
              </w:rPr>
              <w:t>2</w:t>
            </w:r>
            <w:r>
              <w:rPr>
                <w:spacing w:val="-10"/>
                <w:sz w:val="21"/>
              </w:rPr>
              <w:t> 年内，您可以申请恢复合同效力。经您与我们协商并达</w:t>
            </w:r>
            <w:r>
              <w:rPr>
                <w:spacing w:val="-7"/>
                <w:sz w:val="21"/>
              </w:rPr>
              <w:t>成协议，自您补交保险费及其他未还款项之日起，本附加合同效力恢复。</w:t>
            </w:r>
          </w:p>
          <w:p>
            <w:pPr>
              <w:pStyle w:val="TableParagraph"/>
              <w:spacing w:line="273" w:lineRule="auto" w:before="171"/>
              <w:ind w:left="126" w:right="99"/>
              <w:jc w:val="both"/>
              <w:rPr>
                <w:sz w:val="21"/>
              </w:rPr>
            </w:pPr>
            <w:r>
              <w:rPr>
                <w:spacing w:val="-5"/>
                <w:sz w:val="21"/>
              </w:rPr>
              <w:t>自本附加合同效力中止之日起满 </w:t>
            </w:r>
            <w:r>
              <w:rPr>
                <w:sz w:val="21"/>
              </w:rPr>
              <w:t>2</w:t>
            </w:r>
            <w:r>
              <w:rPr>
                <w:spacing w:val="-9"/>
                <w:sz w:val="21"/>
              </w:rPr>
              <w:t> 年您和我们未达成协议的，我们有权解除本附加合</w:t>
            </w:r>
            <w:r>
              <w:rPr>
                <w:spacing w:val="-7"/>
                <w:sz w:val="21"/>
              </w:rPr>
              <w:t>同，本附加合同自解除之日起终止。我们解除合同的，我们向您退还本附加合同效力</w:t>
            </w:r>
            <w:r>
              <w:rPr>
                <w:spacing w:val="-1"/>
                <w:sz w:val="21"/>
              </w:rPr>
              <w:t>中止时的现金价值。</w:t>
            </w:r>
          </w:p>
        </w:tc>
      </w:tr>
      <w:tr>
        <w:trPr>
          <w:trHeight w:val="479" w:hRule="atLeast"/>
        </w:trPr>
        <w:tc>
          <w:tcPr>
            <w:tcW w:w="643" w:type="dxa"/>
            <w:tcBorders>
              <w:bottom w:val="single" w:sz="8" w:space="0" w:color="000000"/>
            </w:tcBorders>
          </w:tcPr>
          <w:p>
            <w:pPr>
              <w:pStyle w:val="TableParagraph"/>
              <w:spacing w:line="404" w:lineRule="exact" w:before="55"/>
              <w:ind w:left="110"/>
              <w:rPr>
                <w:rFonts w:ascii="Microsoft JhengHei"/>
                <w:b/>
                <w:sz w:val="24"/>
              </w:rPr>
            </w:pPr>
            <w:r>
              <w:rPr>
                <w:rFonts w:ascii="Microsoft JhengHei"/>
                <w:b/>
                <w:w w:val="120"/>
                <w:sz w:val="24"/>
              </w:rPr>
              <w:t>7.</w:t>
            </w:r>
          </w:p>
        </w:tc>
        <w:tc>
          <w:tcPr>
            <w:tcW w:w="1185" w:type="dxa"/>
            <w:tcBorders>
              <w:bottom w:val="single" w:sz="8" w:space="0" w:color="000000"/>
            </w:tcBorders>
          </w:tcPr>
          <w:p>
            <w:pPr>
              <w:pStyle w:val="TableParagraph"/>
              <w:spacing w:line="404" w:lineRule="exact" w:before="55"/>
              <w:ind w:left="216"/>
              <w:rPr>
                <w:rFonts w:ascii="Microsoft JhengHei" w:eastAsia="Microsoft JhengHei" w:hint="eastAsia"/>
                <w:b/>
                <w:sz w:val="24"/>
              </w:rPr>
            </w:pPr>
            <w:r>
              <w:rPr>
                <w:rFonts w:ascii="Microsoft JhengHei" w:eastAsia="Microsoft JhengHei" w:hint="eastAsia"/>
                <w:b/>
                <w:sz w:val="24"/>
              </w:rPr>
              <w:t>合同解除</w:t>
            </w:r>
          </w:p>
        </w:tc>
        <w:tc>
          <w:tcPr>
            <w:tcW w:w="7976" w:type="dxa"/>
            <w:tcBorders>
              <w:bottom w:val="single" w:sz="8" w:space="0" w:color="000000"/>
            </w:tcBorders>
          </w:tcPr>
          <w:p>
            <w:pPr>
              <w:pStyle w:val="TableParagraph"/>
              <w:spacing w:before="0"/>
              <w:rPr>
                <w:rFonts w:ascii="Times New Roman"/>
                <w:sz w:val="20"/>
              </w:rPr>
            </w:pPr>
          </w:p>
        </w:tc>
      </w:tr>
      <w:tr>
        <w:trPr>
          <w:trHeight w:val="2962" w:hRule="atLeast"/>
        </w:trPr>
        <w:tc>
          <w:tcPr>
            <w:tcW w:w="643" w:type="dxa"/>
            <w:tcBorders>
              <w:top w:val="single" w:sz="8" w:space="0" w:color="000000"/>
            </w:tcBorders>
          </w:tcPr>
          <w:p>
            <w:pPr>
              <w:pStyle w:val="TableParagraph"/>
              <w:spacing w:before="7"/>
              <w:rPr>
                <w:sz w:val="17"/>
              </w:rPr>
            </w:pPr>
          </w:p>
          <w:p>
            <w:pPr>
              <w:pStyle w:val="TableParagraph"/>
              <w:spacing w:before="0"/>
              <w:ind w:left="110"/>
              <w:rPr>
                <w:rFonts w:ascii="Microsoft JhengHei"/>
                <w:b/>
                <w:sz w:val="21"/>
              </w:rPr>
            </w:pPr>
            <w:r>
              <w:rPr>
                <w:rFonts w:ascii="Microsoft JhengHei"/>
                <w:b/>
                <w:w w:val="105"/>
                <w:sz w:val="21"/>
              </w:rPr>
              <w:t>7.1</w:t>
            </w:r>
          </w:p>
        </w:tc>
        <w:tc>
          <w:tcPr>
            <w:tcW w:w="1185" w:type="dxa"/>
            <w:tcBorders>
              <w:top w:val="single" w:sz="8" w:space="0" w:color="000000"/>
            </w:tcBorders>
          </w:tcPr>
          <w:p>
            <w:pPr>
              <w:pStyle w:val="TableParagraph"/>
              <w:spacing w:before="9"/>
              <w:rPr>
                <w:sz w:val="21"/>
              </w:rPr>
            </w:pPr>
          </w:p>
          <w:p>
            <w:pPr>
              <w:pStyle w:val="TableParagraph"/>
              <w:spacing w:line="204" w:lineRule="auto" w:before="1"/>
              <w:ind w:left="216" w:right="121"/>
              <w:jc w:val="both"/>
              <w:rPr>
                <w:rFonts w:ascii="Microsoft JhengHei" w:eastAsia="Microsoft JhengHei" w:hint="eastAsia"/>
                <w:b/>
                <w:sz w:val="21"/>
              </w:rPr>
            </w:pPr>
            <w:r>
              <w:rPr>
                <w:rFonts w:ascii="Microsoft JhengHei" w:eastAsia="Microsoft JhengHei" w:hint="eastAsia"/>
                <w:b/>
                <w:sz w:val="21"/>
              </w:rPr>
              <w:t>您解除合同的手续及风险</w:t>
            </w:r>
          </w:p>
        </w:tc>
        <w:tc>
          <w:tcPr>
            <w:tcW w:w="7976" w:type="dxa"/>
            <w:tcBorders>
              <w:top w:val="single" w:sz="8" w:space="0" w:color="000000"/>
            </w:tcBorders>
          </w:tcPr>
          <w:p>
            <w:pPr>
              <w:pStyle w:val="TableParagraph"/>
              <w:spacing w:before="8"/>
              <w:rPr>
                <w:sz w:val="22"/>
              </w:rPr>
            </w:pPr>
          </w:p>
          <w:p>
            <w:pPr>
              <w:pStyle w:val="TableParagraph"/>
              <w:spacing w:line="268" w:lineRule="auto" w:before="1"/>
              <w:ind w:left="126" w:right="105"/>
              <w:rPr>
                <w:sz w:val="21"/>
              </w:rPr>
            </w:pPr>
            <w:r>
              <w:rPr>
                <w:spacing w:val="-6"/>
                <w:sz w:val="21"/>
              </w:rPr>
              <w:t>如果被保险人未发生保险事故，且您在犹豫期后要求解除本附加合同，请填写解除合</w:t>
            </w:r>
            <w:r>
              <w:rPr>
                <w:spacing w:val="-5"/>
                <w:sz w:val="21"/>
              </w:rPr>
              <w:t>同申请书并向我们提供下列资料的原件：</w:t>
            </w:r>
          </w:p>
          <w:p>
            <w:pPr>
              <w:pStyle w:val="TableParagraph"/>
              <w:numPr>
                <w:ilvl w:val="0"/>
                <w:numId w:val="8"/>
              </w:numPr>
              <w:tabs>
                <w:tab w:pos="549" w:val="left" w:leader="none"/>
              </w:tabs>
              <w:spacing w:line="240" w:lineRule="auto" w:before="12" w:after="0"/>
              <w:ind w:left="548" w:right="0" w:hanging="422"/>
              <w:jc w:val="left"/>
              <w:rPr>
                <w:sz w:val="21"/>
              </w:rPr>
            </w:pPr>
            <w:r>
              <w:rPr>
                <w:spacing w:val="-1"/>
                <w:sz w:val="21"/>
              </w:rPr>
              <w:t>本附加合同；</w:t>
            </w:r>
          </w:p>
          <w:p>
            <w:pPr>
              <w:pStyle w:val="TableParagraph"/>
              <w:numPr>
                <w:ilvl w:val="0"/>
                <w:numId w:val="8"/>
              </w:numPr>
              <w:tabs>
                <w:tab w:pos="549" w:val="left" w:leader="none"/>
              </w:tabs>
              <w:spacing w:line="240" w:lineRule="auto" w:before="37" w:after="0"/>
              <w:ind w:left="548" w:right="0" w:hanging="422"/>
              <w:jc w:val="left"/>
              <w:rPr>
                <w:sz w:val="21"/>
              </w:rPr>
            </w:pPr>
            <w:r>
              <w:rPr>
                <w:spacing w:val="-1"/>
                <w:sz w:val="21"/>
              </w:rPr>
              <w:t>您的有效身份证件。</w:t>
            </w:r>
          </w:p>
          <w:p>
            <w:pPr>
              <w:pStyle w:val="TableParagraph"/>
              <w:spacing w:before="12"/>
              <w:rPr>
                <w:sz w:val="14"/>
              </w:rPr>
            </w:pPr>
          </w:p>
          <w:p>
            <w:pPr>
              <w:pStyle w:val="TableParagraph"/>
              <w:spacing w:line="273" w:lineRule="auto" w:before="0"/>
              <w:ind w:left="126" w:right="105"/>
              <w:rPr>
                <w:sz w:val="21"/>
              </w:rPr>
            </w:pPr>
            <w:r>
              <w:rPr>
                <w:spacing w:val="-6"/>
                <w:sz w:val="21"/>
              </w:rPr>
              <w:t>自我们收到解除合同申请书时起，本附加合同终止，我们自收到解除合同申请书之日</w:t>
            </w:r>
            <w:r>
              <w:rPr>
                <w:spacing w:val="2"/>
                <w:sz w:val="21"/>
              </w:rPr>
              <w:t>起 </w:t>
            </w:r>
            <w:r>
              <w:rPr>
                <w:sz w:val="21"/>
              </w:rPr>
              <w:t>30</w:t>
            </w:r>
            <w:r>
              <w:rPr>
                <w:spacing w:val="-4"/>
                <w:sz w:val="21"/>
              </w:rPr>
              <w:t> 日内向您退还本附加合同终止时的现金价值。</w:t>
            </w:r>
          </w:p>
          <w:p>
            <w:pPr>
              <w:pStyle w:val="TableParagraph"/>
              <w:spacing w:before="165"/>
              <w:ind w:left="126"/>
              <w:rPr>
                <w:sz w:val="21"/>
              </w:rPr>
            </w:pPr>
            <w:r>
              <w:rPr>
                <w:sz w:val="21"/>
              </w:rPr>
              <w:t>您在犹豫期后解除合同会遭受一定损失。</w:t>
            </w:r>
          </w:p>
        </w:tc>
      </w:tr>
      <w:tr>
        <w:trPr>
          <w:trHeight w:val="479" w:hRule="atLeast"/>
        </w:trPr>
        <w:tc>
          <w:tcPr>
            <w:tcW w:w="643" w:type="dxa"/>
            <w:tcBorders>
              <w:bottom w:val="single" w:sz="8" w:space="0" w:color="000000"/>
            </w:tcBorders>
          </w:tcPr>
          <w:p>
            <w:pPr>
              <w:pStyle w:val="TableParagraph"/>
              <w:spacing w:line="403" w:lineRule="exact" w:before="56"/>
              <w:ind w:left="110"/>
              <w:rPr>
                <w:rFonts w:ascii="Microsoft JhengHei"/>
                <w:b/>
                <w:sz w:val="24"/>
              </w:rPr>
            </w:pPr>
            <w:r>
              <w:rPr>
                <w:rFonts w:ascii="Microsoft JhengHei"/>
                <w:b/>
                <w:w w:val="120"/>
                <w:sz w:val="24"/>
              </w:rPr>
              <w:t>8.</w:t>
            </w:r>
          </w:p>
        </w:tc>
        <w:tc>
          <w:tcPr>
            <w:tcW w:w="9161" w:type="dxa"/>
            <w:gridSpan w:val="2"/>
            <w:tcBorders>
              <w:bottom w:val="single" w:sz="8" w:space="0" w:color="000000"/>
            </w:tcBorders>
          </w:tcPr>
          <w:p>
            <w:pPr>
              <w:pStyle w:val="TableParagraph"/>
              <w:spacing w:line="403" w:lineRule="exact" w:before="56"/>
              <w:ind w:left="216"/>
              <w:rPr>
                <w:rFonts w:ascii="Microsoft JhengHei" w:eastAsia="Microsoft JhengHei" w:hint="eastAsia"/>
                <w:b/>
                <w:sz w:val="24"/>
              </w:rPr>
            </w:pPr>
            <w:r>
              <w:rPr>
                <w:rFonts w:ascii="Microsoft JhengHei" w:eastAsia="Microsoft JhengHei" w:hint="eastAsia"/>
                <w:b/>
                <w:sz w:val="24"/>
              </w:rPr>
              <w:t>其它需要关注的事项</w:t>
            </w:r>
          </w:p>
        </w:tc>
      </w:tr>
      <w:tr>
        <w:trPr>
          <w:trHeight w:val="1407" w:hRule="atLeast"/>
        </w:trPr>
        <w:tc>
          <w:tcPr>
            <w:tcW w:w="643" w:type="dxa"/>
            <w:tcBorders>
              <w:top w:val="single" w:sz="8" w:space="0" w:color="000000"/>
            </w:tcBorders>
          </w:tcPr>
          <w:p>
            <w:pPr>
              <w:pStyle w:val="TableParagraph"/>
              <w:spacing w:before="7"/>
              <w:rPr>
                <w:sz w:val="17"/>
              </w:rPr>
            </w:pPr>
          </w:p>
          <w:p>
            <w:pPr>
              <w:pStyle w:val="TableParagraph"/>
              <w:spacing w:before="0"/>
              <w:ind w:left="110"/>
              <w:rPr>
                <w:rFonts w:ascii="Microsoft JhengHei"/>
                <w:b/>
                <w:sz w:val="21"/>
              </w:rPr>
            </w:pPr>
            <w:r>
              <w:rPr>
                <w:rFonts w:ascii="Microsoft JhengHei"/>
                <w:b/>
                <w:w w:val="105"/>
                <w:sz w:val="21"/>
              </w:rPr>
              <w:t>8.1</w:t>
            </w:r>
          </w:p>
        </w:tc>
        <w:tc>
          <w:tcPr>
            <w:tcW w:w="1185" w:type="dxa"/>
            <w:tcBorders>
              <w:top w:val="single" w:sz="8" w:space="0" w:color="000000"/>
            </w:tcBorders>
          </w:tcPr>
          <w:p>
            <w:pPr>
              <w:pStyle w:val="TableParagraph"/>
              <w:spacing w:before="7"/>
              <w:rPr>
                <w:sz w:val="17"/>
              </w:rPr>
            </w:pPr>
          </w:p>
          <w:p>
            <w:pPr>
              <w:pStyle w:val="TableParagraph"/>
              <w:spacing w:before="0"/>
              <w:ind w:left="216"/>
              <w:rPr>
                <w:rFonts w:ascii="Microsoft JhengHei" w:eastAsia="Microsoft JhengHei" w:hint="eastAsia"/>
                <w:b/>
                <w:sz w:val="21"/>
              </w:rPr>
            </w:pPr>
            <w:r>
              <w:rPr>
                <w:rFonts w:ascii="Microsoft JhengHei" w:eastAsia="Microsoft JhengHei" w:hint="eastAsia"/>
                <w:b/>
                <w:sz w:val="21"/>
              </w:rPr>
              <w:t>效力终止</w:t>
            </w:r>
          </w:p>
        </w:tc>
        <w:tc>
          <w:tcPr>
            <w:tcW w:w="7976" w:type="dxa"/>
            <w:tcBorders>
              <w:top w:val="single" w:sz="8" w:space="0" w:color="000000"/>
            </w:tcBorders>
          </w:tcPr>
          <w:p>
            <w:pPr>
              <w:pStyle w:val="TableParagraph"/>
              <w:spacing w:before="8"/>
              <w:rPr>
                <w:sz w:val="22"/>
              </w:rPr>
            </w:pPr>
          </w:p>
          <w:p>
            <w:pPr>
              <w:pStyle w:val="TableParagraph"/>
              <w:spacing w:before="1"/>
              <w:ind w:left="126"/>
              <w:rPr>
                <w:sz w:val="21"/>
              </w:rPr>
            </w:pPr>
            <w:r>
              <w:rPr>
                <w:sz w:val="21"/>
              </w:rPr>
              <w:t>发生下列情况之一时，本附加合同效力终止：</w:t>
            </w:r>
          </w:p>
          <w:p>
            <w:pPr>
              <w:pStyle w:val="TableParagraph"/>
              <w:numPr>
                <w:ilvl w:val="0"/>
                <w:numId w:val="9"/>
              </w:numPr>
              <w:tabs>
                <w:tab w:pos="549" w:val="left" w:leader="none"/>
              </w:tabs>
              <w:spacing w:line="240" w:lineRule="auto" w:before="32" w:after="0"/>
              <w:ind w:left="548" w:right="0" w:hanging="422"/>
              <w:jc w:val="left"/>
              <w:rPr>
                <w:sz w:val="21"/>
              </w:rPr>
            </w:pPr>
            <w:r>
              <w:rPr>
                <w:spacing w:val="-1"/>
                <w:sz w:val="21"/>
              </w:rPr>
              <w:t>主合同效力终止；</w:t>
            </w:r>
          </w:p>
          <w:p>
            <w:pPr>
              <w:pStyle w:val="TableParagraph"/>
              <w:numPr>
                <w:ilvl w:val="0"/>
                <w:numId w:val="9"/>
              </w:numPr>
              <w:tabs>
                <w:tab w:pos="549" w:val="left" w:leader="none"/>
              </w:tabs>
              <w:spacing w:line="240" w:lineRule="auto" w:before="36" w:after="0"/>
              <w:ind w:left="548" w:right="0" w:hanging="422"/>
              <w:jc w:val="left"/>
              <w:rPr>
                <w:sz w:val="21"/>
              </w:rPr>
            </w:pPr>
            <w:r>
              <w:rPr>
                <w:spacing w:val="-3"/>
                <w:sz w:val="21"/>
              </w:rPr>
              <w:t>本附加合同约定的合同效力终止情况。</w:t>
            </w:r>
          </w:p>
        </w:tc>
      </w:tr>
      <w:tr>
        <w:trPr>
          <w:trHeight w:val="3127" w:hRule="atLeast"/>
        </w:trPr>
        <w:tc>
          <w:tcPr>
            <w:tcW w:w="643" w:type="dxa"/>
          </w:tcPr>
          <w:p>
            <w:pPr>
              <w:pStyle w:val="TableParagraph"/>
              <w:spacing w:before="85"/>
              <w:ind w:left="110"/>
              <w:rPr>
                <w:rFonts w:ascii="Microsoft JhengHei"/>
                <w:b/>
                <w:sz w:val="21"/>
              </w:rPr>
            </w:pPr>
            <w:r>
              <w:rPr>
                <w:rFonts w:ascii="Microsoft JhengHei"/>
                <w:b/>
                <w:w w:val="105"/>
                <w:sz w:val="21"/>
              </w:rPr>
              <w:t>8.2</w:t>
            </w:r>
          </w:p>
        </w:tc>
        <w:tc>
          <w:tcPr>
            <w:tcW w:w="1185" w:type="dxa"/>
          </w:tcPr>
          <w:p>
            <w:pPr>
              <w:pStyle w:val="TableParagraph"/>
              <w:spacing w:line="201" w:lineRule="auto" w:before="144"/>
              <w:ind w:left="216" w:right="121"/>
              <w:rPr>
                <w:rFonts w:ascii="Microsoft JhengHei" w:eastAsia="Microsoft JhengHei" w:hint="eastAsia"/>
                <w:b/>
                <w:sz w:val="21"/>
              </w:rPr>
            </w:pPr>
            <w:r>
              <w:rPr>
                <w:rFonts w:ascii="Microsoft JhengHei" w:eastAsia="Microsoft JhengHei" w:hint="eastAsia"/>
                <w:b/>
                <w:sz w:val="21"/>
              </w:rPr>
              <w:t>适用主合同条款</w:t>
            </w:r>
          </w:p>
        </w:tc>
        <w:tc>
          <w:tcPr>
            <w:tcW w:w="7976" w:type="dxa"/>
          </w:tcPr>
          <w:p>
            <w:pPr>
              <w:pStyle w:val="TableParagraph"/>
              <w:spacing w:before="152"/>
              <w:ind w:left="126"/>
              <w:rPr>
                <w:sz w:val="21"/>
              </w:rPr>
            </w:pPr>
            <w:r>
              <w:rPr>
                <w:sz w:val="21"/>
              </w:rPr>
              <w:t>主合同订立的下列各项条款适用于本附加合同：</w:t>
            </w:r>
          </w:p>
          <w:p>
            <w:pPr>
              <w:pStyle w:val="TableParagraph"/>
              <w:numPr>
                <w:ilvl w:val="0"/>
                <w:numId w:val="10"/>
              </w:numPr>
              <w:tabs>
                <w:tab w:pos="549" w:val="left" w:leader="none"/>
              </w:tabs>
              <w:spacing w:line="240" w:lineRule="auto" w:before="32" w:after="0"/>
              <w:ind w:left="548" w:right="0" w:hanging="422"/>
              <w:jc w:val="left"/>
              <w:rPr>
                <w:sz w:val="21"/>
              </w:rPr>
            </w:pPr>
            <w:r>
              <w:rPr>
                <w:spacing w:val="-2"/>
                <w:sz w:val="21"/>
              </w:rPr>
              <w:t>明确说明与如实告知；</w:t>
            </w:r>
          </w:p>
          <w:p>
            <w:pPr>
              <w:pStyle w:val="TableParagraph"/>
              <w:numPr>
                <w:ilvl w:val="0"/>
                <w:numId w:val="10"/>
              </w:numPr>
              <w:tabs>
                <w:tab w:pos="549" w:val="left" w:leader="none"/>
              </w:tabs>
              <w:spacing w:line="240" w:lineRule="auto" w:before="37" w:after="0"/>
              <w:ind w:left="548" w:right="0" w:hanging="422"/>
              <w:jc w:val="left"/>
              <w:rPr>
                <w:sz w:val="21"/>
              </w:rPr>
            </w:pPr>
            <w:r>
              <w:rPr>
                <w:spacing w:val="-2"/>
                <w:sz w:val="21"/>
              </w:rPr>
              <w:t>我们合同解除权的限制；</w:t>
            </w:r>
          </w:p>
          <w:p>
            <w:pPr>
              <w:pStyle w:val="TableParagraph"/>
              <w:numPr>
                <w:ilvl w:val="0"/>
                <w:numId w:val="10"/>
              </w:numPr>
              <w:tabs>
                <w:tab w:pos="549" w:val="left" w:leader="none"/>
              </w:tabs>
              <w:spacing w:line="240" w:lineRule="auto" w:before="37" w:after="0"/>
              <w:ind w:left="548" w:right="0" w:hanging="422"/>
              <w:jc w:val="left"/>
              <w:rPr>
                <w:sz w:val="21"/>
              </w:rPr>
            </w:pPr>
            <w:r>
              <w:rPr>
                <w:spacing w:val="-1"/>
                <w:sz w:val="21"/>
              </w:rPr>
              <w:t>年龄性别错误；</w:t>
            </w:r>
          </w:p>
          <w:p>
            <w:pPr>
              <w:pStyle w:val="TableParagraph"/>
              <w:numPr>
                <w:ilvl w:val="0"/>
                <w:numId w:val="10"/>
              </w:numPr>
              <w:tabs>
                <w:tab w:pos="549" w:val="left" w:leader="none"/>
              </w:tabs>
              <w:spacing w:line="240" w:lineRule="auto" w:before="38" w:after="0"/>
              <w:ind w:left="548" w:right="0" w:hanging="422"/>
              <w:jc w:val="left"/>
              <w:rPr>
                <w:sz w:val="21"/>
              </w:rPr>
            </w:pPr>
            <w:r>
              <w:rPr>
                <w:sz w:val="21"/>
              </w:rPr>
              <w:t>未还款项；</w:t>
            </w:r>
          </w:p>
          <w:p>
            <w:pPr>
              <w:pStyle w:val="TableParagraph"/>
              <w:numPr>
                <w:ilvl w:val="0"/>
                <w:numId w:val="10"/>
              </w:numPr>
              <w:tabs>
                <w:tab w:pos="549" w:val="left" w:leader="none"/>
              </w:tabs>
              <w:spacing w:line="240" w:lineRule="auto" w:before="37" w:after="0"/>
              <w:ind w:left="548" w:right="0" w:hanging="422"/>
              <w:jc w:val="left"/>
              <w:rPr>
                <w:sz w:val="21"/>
              </w:rPr>
            </w:pPr>
            <w:r>
              <w:rPr>
                <w:spacing w:val="-1"/>
                <w:sz w:val="21"/>
              </w:rPr>
              <w:t>合同内容变更；</w:t>
            </w:r>
          </w:p>
          <w:p>
            <w:pPr>
              <w:pStyle w:val="TableParagraph"/>
              <w:numPr>
                <w:ilvl w:val="0"/>
                <w:numId w:val="10"/>
              </w:numPr>
              <w:tabs>
                <w:tab w:pos="549" w:val="left" w:leader="none"/>
              </w:tabs>
              <w:spacing w:line="240" w:lineRule="auto" w:before="37" w:after="0"/>
              <w:ind w:left="548" w:right="0" w:hanging="422"/>
              <w:jc w:val="left"/>
              <w:rPr>
                <w:sz w:val="21"/>
              </w:rPr>
            </w:pPr>
            <w:r>
              <w:rPr>
                <w:spacing w:val="-1"/>
                <w:sz w:val="21"/>
              </w:rPr>
              <w:t>联系方式变更；</w:t>
            </w:r>
          </w:p>
          <w:p>
            <w:pPr>
              <w:pStyle w:val="TableParagraph"/>
              <w:numPr>
                <w:ilvl w:val="0"/>
                <w:numId w:val="10"/>
              </w:numPr>
              <w:tabs>
                <w:tab w:pos="549" w:val="left" w:leader="none"/>
              </w:tabs>
              <w:spacing w:line="240" w:lineRule="auto" w:before="37" w:after="0"/>
              <w:ind w:left="548" w:right="0" w:hanging="422"/>
              <w:jc w:val="left"/>
              <w:rPr>
                <w:sz w:val="21"/>
              </w:rPr>
            </w:pPr>
            <w:r>
              <w:rPr>
                <w:sz w:val="21"/>
              </w:rPr>
              <w:t>争议处理；</w:t>
            </w:r>
          </w:p>
          <w:p>
            <w:pPr>
              <w:pStyle w:val="TableParagraph"/>
              <w:numPr>
                <w:ilvl w:val="0"/>
                <w:numId w:val="10"/>
              </w:numPr>
              <w:tabs>
                <w:tab w:pos="549" w:val="left" w:leader="none"/>
              </w:tabs>
              <w:spacing w:line="240" w:lineRule="auto" w:before="36" w:after="0"/>
              <w:ind w:left="548" w:right="0" w:hanging="422"/>
              <w:jc w:val="left"/>
              <w:rPr>
                <w:sz w:val="21"/>
              </w:rPr>
            </w:pPr>
            <w:r>
              <w:rPr>
                <w:spacing w:val="-1"/>
                <w:sz w:val="21"/>
              </w:rPr>
              <w:t>保险事故鉴定。</w:t>
            </w:r>
          </w:p>
        </w:tc>
      </w:tr>
      <w:tr>
        <w:trPr>
          <w:trHeight w:val="481" w:hRule="atLeast"/>
        </w:trPr>
        <w:tc>
          <w:tcPr>
            <w:tcW w:w="643" w:type="dxa"/>
            <w:tcBorders>
              <w:bottom w:val="single" w:sz="8" w:space="0" w:color="000000"/>
            </w:tcBorders>
          </w:tcPr>
          <w:p>
            <w:pPr>
              <w:pStyle w:val="TableParagraph"/>
              <w:spacing w:line="403" w:lineRule="exact" w:before="58"/>
              <w:ind w:left="110"/>
              <w:rPr>
                <w:rFonts w:ascii="Microsoft JhengHei"/>
                <w:b/>
                <w:sz w:val="24"/>
              </w:rPr>
            </w:pPr>
            <w:r>
              <w:rPr>
                <w:rFonts w:ascii="Microsoft JhengHei"/>
                <w:b/>
                <w:w w:val="120"/>
                <w:sz w:val="24"/>
              </w:rPr>
              <w:t>9.</w:t>
            </w:r>
          </w:p>
        </w:tc>
        <w:tc>
          <w:tcPr>
            <w:tcW w:w="9161" w:type="dxa"/>
            <w:gridSpan w:val="2"/>
            <w:tcBorders>
              <w:bottom w:val="single" w:sz="8" w:space="0" w:color="000000"/>
            </w:tcBorders>
          </w:tcPr>
          <w:p>
            <w:pPr>
              <w:pStyle w:val="TableParagraph"/>
              <w:spacing w:line="403" w:lineRule="exact" w:before="58"/>
              <w:ind w:left="216"/>
              <w:rPr>
                <w:rFonts w:ascii="Microsoft JhengHei" w:eastAsia="Microsoft JhengHei" w:hint="eastAsia"/>
                <w:b/>
                <w:sz w:val="24"/>
              </w:rPr>
            </w:pPr>
            <w:r>
              <w:rPr>
                <w:rFonts w:ascii="Microsoft JhengHei" w:eastAsia="Microsoft JhengHei" w:hint="eastAsia"/>
                <w:b/>
                <w:sz w:val="24"/>
              </w:rPr>
              <w:t>重大疾病定义</w:t>
            </w:r>
          </w:p>
        </w:tc>
      </w:tr>
    </w:tbl>
    <w:p>
      <w:pPr>
        <w:spacing w:after="0" w:line="403" w:lineRule="exact"/>
        <w:rPr>
          <w:rFonts w:ascii="Microsoft JhengHei" w:eastAsia="Microsoft JhengHei" w:hint="eastAsia"/>
          <w:sz w:val="24"/>
        </w:rPr>
        <w:sectPr>
          <w:pgSz w:w="11910" w:h="16840"/>
          <w:pgMar w:header="0" w:footer="346" w:top="740" w:bottom="540" w:left="940" w:right="94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3"/>
        <w:gridCol w:w="1186"/>
        <w:gridCol w:w="8100"/>
      </w:tblGrid>
      <w:tr>
        <w:trPr>
          <w:trHeight w:val="1358" w:hRule="atLeast"/>
        </w:trPr>
        <w:tc>
          <w:tcPr>
            <w:tcW w:w="733" w:type="dxa"/>
          </w:tcPr>
          <w:p>
            <w:pPr>
              <w:pStyle w:val="TableParagraph"/>
              <w:spacing w:before="0"/>
              <w:rPr>
                <w:rFonts w:ascii="Times New Roman"/>
                <w:sz w:val="20"/>
              </w:rPr>
            </w:pPr>
          </w:p>
        </w:tc>
        <w:tc>
          <w:tcPr>
            <w:tcW w:w="1186" w:type="dxa"/>
          </w:tcPr>
          <w:p>
            <w:pPr>
              <w:pStyle w:val="TableParagraph"/>
              <w:spacing w:before="0"/>
              <w:rPr>
                <w:rFonts w:ascii="Times New Roman"/>
                <w:sz w:val="20"/>
              </w:rPr>
            </w:pPr>
          </w:p>
        </w:tc>
        <w:tc>
          <w:tcPr>
            <w:tcW w:w="8100" w:type="dxa"/>
          </w:tcPr>
          <w:p>
            <w:pPr>
              <w:pStyle w:val="TableParagraph"/>
              <w:spacing w:line="211" w:lineRule="exact" w:before="0"/>
              <w:ind w:left="124"/>
              <w:rPr>
                <w:sz w:val="21"/>
              </w:rPr>
            </w:pPr>
            <w:r>
              <w:rPr>
                <w:spacing w:val="-6"/>
                <w:sz w:val="21"/>
              </w:rPr>
              <w:t>本附加合同所定义的重大疾病共有 </w:t>
            </w:r>
            <w:r>
              <w:rPr>
                <w:sz w:val="21"/>
              </w:rPr>
              <w:t>42</w:t>
            </w:r>
            <w:r>
              <w:rPr>
                <w:spacing w:val="-21"/>
                <w:sz w:val="21"/>
              </w:rPr>
              <w:t> 种，其中第 </w:t>
            </w:r>
            <w:r>
              <w:rPr>
                <w:sz w:val="21"/>
              </w:rPr>
              <w:t>1</w:t>
            </w:r>
            <w:r>
              <w:rPr>
                <w:spacing w:val="-33"/>
                <w:sz w:val="21"/>
              </w:rPr>
              <w:t> 至 </w:t>
            </w:r>
            <w:r>
              <w:rPr>
                <w:sz w:val="21"/>
              </w:rPr>
              <w:t>25</w:t>
            </w:r>
            <w:r>
              <w:rPr>
                <w:spacing w:val="-8"/>
                <w:sz w:val="21"/>
              </w:rPr>
              <w:t> 种重大疾病为中国保险行业</w:t>
            </w:r>
          </w:p>
          <w:p>
            <w:pPr>
              <w:pStyle w:val="TableParagraph"/>
              <w:spacing w:line="273" w:lineRule="auto" w:before="32"/>
              <w:ind w:left="124" w:right="202"/>
              <w:jc w:val="both"/>
              <w:rPr>
                <w:sz w:val="21"/>
              </w:rPr>
            </w:pPr>
            <w:r>
              <w:rPr>
                <w:spacing w:val="-10"/>
                <w:w w:val="100"/>
                <w:sz w:val="21"/>
              </w:rPr>
              <w:t>协会颁布的《重大疾病保险的疾病定义使用规范》</w:t>
            </w:r>
            <w:r>
              <w:rPr>
                <w:spacing w:val="-5"/>
                <w:w w:val="100"/>
                <w:sz w:val="21"/>
              </w:rPr>
              <w:t>（</w:t>
            </w:r>
            <w:r>
              <w:rPr>
                <w:spacing w:val="-15"/>
                <w:w w:val="100"/>
                <w:sz w:val="21"/>
              </w:rPr>
              <w:t>以下简称“规范”</w:t>
            </w:r>
            <w:r>
              <w:rPr>
                <w:w w:val="100"/>
                <w:sz w:val="21"/>
              </w:rPr>
              <w:t>）</w:t>
            </w:r>
            <w:r>
              <w:rPr>
                <w:spacing w:val="-3"/>
                <w:w w:val="100"/>
                <w:sz w:val="21"/>
              </w:rPr>
              <w:t>规定的疾病，</w:t>
            </w:r>
            <w:r>
              <w:rPr>
                <w:spacing w:val="-8"/>
                <w:sz w:val="21"/>
              </w:rPr>
              <w:t>且疾病名称和疾病定义与“规范”一致，第 </w:t>
            </w:r>
            <w:r>
              <w:rPr>
                <w:sz w:val="21"/>
              </w:rPr>
              <w:t>26</w:t>
            </w:r>
            <w:r>
              <w:rPr>
                <w:spacing w:val="-30"/>
                <w:sz w:val="21"/>
              </w:rPr>
              <w:t> 至 </w:t>
            </w:r>
            <w:r>
              <w:rPr>
                <w:sz w:val="21"/>
              </w:rPr>
              <w:t>42</w:t>
            </w:r>
            <w:r>
              <w:rPr>
                <w:spacing w:val="-8"/>
                <w:sz w:val="21"/>
              </w:rPr>
              <w:t> 种重大疾病为“规范”规定范围</w:t>
            </w:r>
            <w:r>
              <w:rPr>
                <w:spacing w:val="-7"/>
                <w:sz w:val="21"/>
              </w:rPr>
              <w:t>之外的疾病。</w:t>
            </w:r>
          </w:p>
        </w:tc>
      </w:tr>
      <w:tr>
        <w:trPr>
          <w:trHeight w:val="3915" w:hRule="atLeast"/>
        </w:trPr>
        <w:tc>
          <w:tcPr>
            <w:tcW w:w="733" w:type="dxa"/>
          </w:tcPr>
          <w:p>
            <w:pPr>
              <w:pStyle w:val="TableParagraph"/>
              <w:spacing w:before="85"/>
              <w:ind w:left="180" w:right="194"/>
              <w:jc w:val="center"/>
              <w:rPr>
                <w:rFonts w:ascii="Microsoft JhengHei"/>
                <w:b/>
                <w:sz w:val="21"/>
              </w:rPr>
            </w:pPr>
            <w:r>
              <w:rPr>
                <w:rFonts w:ascii="Microsoft JhengHei"/>
                <w:b/>
                <w:w w:val="105"/>
                <w:sz w:val="21"/>
              </w:rPr>
              <w:t>9.1</w:t>
            </w:r>
          </w:p>
        </w:tc>
        <w:tc>
          <w:tcPr>
            <w:tcW w:w="1186" w:type="dxa"/>
          </w:tcPr>
          <w:p>
            <w:pPr>
              <w:pStyle w:val="TableParagraph"/>
              <w:spacing w:before="85"/>
              <w:ind w:left="216"/>
              <w:rPr>
                <w:rFonts w:ascii="Microsoft JhengHei" w:eastAsia="Microsoft JhengHei" w:hint="eastAsia"/>
                <w:b/>
                <w:sz w:val="21"/>
              </w:rPr>
            </w:pPr>
            <w:r>
              <w:rPr>
                <w:rFonts w:ascii="Microsoft JhengHei" w:eastAsia="Microsoft JhengHei" w:hint="eastAsia"/>
                <w:b/>
                <w:sz w:val="21"/>
              </w:rPr>
              <w:t>恶性肿瘤</w:t>
            </w:r>
          </w:p>
        </w:tc>
        <w:tc>
          <w:tcPr>
            <w:tcW w:w="8100" w:type="dxa"/>
          </w:tcPr>
          <w:p>
            <w:pPr>
              <w:pStyle w:val="TableParagraph"/>
              <w:spacing w:line="271" w:lineRule="auto" w:before="152"/>
              <w:ind w:left="124" w:right="197"/>
              <w:jc w:val="both"/>
              <w:rPr>
                <w:sz w:val="21"/>
              </w:rPr>
            </w:pPr>
            <w:r>
              <w:rPr>
                <w:spacing w:val="-5"/>
                <w:sz w:val="21"/>
              </w:rPr>
              <w:t>指恶性细胞不受控制的进行性增长和扩散，浸润和破坏周围正常组织，可以经血管、</w:t>
            </w:r>
            <w:r>
              <w:rPr>
                <w:spacing w:val="-7"/>
                <w:sz w:val="21"/>
              </w:rPr>
              <w:t>淋巴管和体腔扩散转移到身体其它部位的疾病。经病理学检查结果明确诊断，临床诊</w:t>
            </w:r>
            <w:r>
              <w:rPr>
                <w:spacing w:val="-10"/>
                <w:sz w:val="21"/>
              </w:rPr>
              <w:t>断属于世界卫生组织《疾病和有关健康问题的国际统计分类</w:t>
            </w:r>
            <w:r>
              <w:rPr>
                <w:spacing w:val="-149"/>
                <w:sz w:val="21"/>
              </w:rPr>
              <w:t>》</w:t>
            </w:r>
            <w:r>
              <w:rPr>
                <w:spacing w:val="-7"/>
                <w:sz w:val="21"/>
              </w:rPr>
              <w:t>（ICD-10）</w:t>
            </w:r>
            <w:r>
              <w:rPr>
                <w:spacing w:val="-2"/>
                <w:sz w:val="21"/>
              </w:rPr>
              <w:t>的恶性肿瘤范畴。</w:t>
            </w:r>
          </w:p>
          <w:p>
            <w:pPr>
              <w:pStyle w:val="TableParagraph"/>
              <w:spacing w:before="168"/>
              <w:ind w:left="124"/>
              <w:jc w:val="both"/>
              <w:rPr>
                <w:sz w:val="21"/>
              </w:rPr>
            </w:pPr>
            <w:r>
              <w:rPr>
                <w:sz w:val="21"/>
              </w:rPr>
              <w:t>下列疾病不在保障范围内：</w:t>
            </w:r>
          </w:p>
          <w:p>
            <w:pPr>
              <w:pStyle w:val="TableParagraph"/>
              <w:numPr>
                <w:ilvl w:val="0"/>
                <w:numId w:val="11"/>
              </w:numPr>
              <w:tabs>
                <w:tab w:pos="548" w:val="left" w:leader="none"/>
              </w:tabs>
              <w:spacing w:line="240" w:lineRule="auto" w:before="37" w:after="0"/>
              <w:ind w:left="547" w:right="0" w:hanging="423"/>
              <w:jc w:val="both"/>
              <w:rPr>
                <w:sz w:val="21"/>
              </w:rPr>
            </w:pPr>
            <w:r>
              <w:rPr>
                <w:sz w:val="21"/>
              </w:rPr>
              <w:t>原位癌；</w:t>
            </w:r>
          </w:p>
          <w:p>
            <w:pPr>
              <w:pStyle w:val="TableParagraph"/>
              <w:numPr>
                <w:ilvl w:val="0"/>
                <w:numId w:val="11"/>
              </w:numPr>
              <w:tabs>
                <w:tab w:pos="548" w:val="left" w:leader="none"/>
              </w:tabs>
              <w:spacing w:line="240" w:lineRule="auto" w:before="37" w:after="0"/>
              <w:ind w:left="547" w:right="0" w:hanging="423"/>
              <w:jc w:val="both"/>
              <w:rPr>
                <w:sz w:val="21"/>
              </w:rPr>
            </w:pPr>
            <w:r>
              <w:rPr>
                <w:spacing w:val="-12"/>
                <w:sz w:val="21"/>
              </w:rPr>
              <w:t>相当于 </w:t>
            </w:r>
            <w:r>
              <w:rPr>
                <w:sz w:val="21"/>
              </w:rPr>
              <w:t>Binet</w:t>
            </w:r>
            <w:r>
              <w:rPr>
                <w:spacing w:val="-18"/>
                <w:sz w:val="21"/>
              </w:rPr>
              <w:t> 分期方案 </w:t>
            </w:r>
            <w:r>
              <w:rPr>
                <w:sz w:val="21"/>
              </w:rPr>
              <w:t>A</w:t>
            </w:r>
            <w:r>
              <w:rPr>
                <w:spacing w:val="-8"/>
                <w:sz w:val="21"/>
              </w:rPr>
              <w:t> 期程度的慢性淋巴细胞白血病；</w:t>
            </w:r>
          </w:p>
          <w:p>
            <w:pPr>
              <w:pStyle w:val="TableParagraph"/>
              <w:numPr>
                <w:ilvl w:val="0"/>
                <w:numId w:val="11"/>
              </w:numPr>
              <w:tabs>
                <w:tab w:pos="548" w:val="left" w:leader="none"/>
              </w:tabs>
              <w:spacing w:line="240" w:lineRule="auto" w:before="37" w:after="0"/>
              <w:ind w:left="547" w:right="0" w:hanging="423"/>
              <w:jc w:val="both"/>
              <w:rPr>
                <w:sz w:val="21"/>
              </w:rPr>
            </w:pPr>
            <w:r>
              <w:rPr>
                <w:spacing w:val="-13"/>
                <w:sz w:val="21"/>
              </w:rPr>
              <w:t>相当于 </w:t>
            </w:r>
            <w:r>
              <w:rPr>
                <w:sz w:val="21"/>
              </w:rPr>
              <w:t>Ann</w:t>
            </w:r>
            <w:r>
              <w:rPr>
                <w:spacing w:val="6"/>
                <w:sz w:val="21"/>
              </w:rPr>
              <w:t> </w:t>
            </w:r>
            <w:r>
              <w:rPr>
                <w:sz w:val="21"/>
              </w:rPr>
              <w:t>Arbor</w:t>
            </w:r>
            <w:r>
              <w:rPr>
                <w:spacing w:val="-19"/>
                <w:sz w:val="21"/>
              </w:rPr>
              <w:t> 分期方案 </w:t>
            </w:r>
            <w:r>
              <w:rPr>
                <w:sz w:val="21"/>
              </w:rPr>
              <w:t>I</w:t>
            </w:r>
            <w:r>
              <w:rPr>
                <w:spacing w:val="-9"/>
                <w:sz w:val="21"/>
              </w:rPr>
              <w:t> 期程度的何杰金氏病；</w:t>
            </w:r>
          </w:p>
          <w:p>
            <w:pPr>
              <w:pStyle w:val="TableParagraph"/>
              <w:numPr>
                <w:ilvl w:val="0"/>
                <w:numId w:val="11"/>
              </w:numPr>
              <w:tabs>
                <w:tab w:pos="548" w:val="left" w:leader="none"/>
              </w:tabs>
              <w:spacing w:line="240" w:lineRule="auto" w:before="37" w:after="0"/>
              <w:ind w:left="547" w:right="0" w:hanging="423"/>
              <w:jc w:val="both"/>
              <w:rPr>
                <w:sz w:val="21"/>
              </w:rPr>
            </w:pPr>
            <w:r>
              <w:rPr>
                <w:w w:val="100"/>
                <w:sz w:val="21"/>
              </w:rPr>
              <w:t>皮肤癌（</w:t>
            </w:r>
            <w:r>
              <w:rPr>
                <w:spacing w:val="-5"/>
                <w:w w:val="100"/>
                <w:sz w:val="21"/>
              </w:rPr>
              <w:t>不包括恶性黑色素瘤及已发生转移的皮肤癌</w:t>
            </w:r>
            <w:r>
              <w:rPr>
                <w:spacing w:val="-106"/>
                <w:w w:val="100"/>
                <w:sz w:val="21"/>
              </w:rPr>
              <w:t>）</w:t>
            </w:r>
            <w:r>
              <w:rPr>
                <w:w w:val="100"/>
                <w:sz w:val="21"/>
              </w:rPr>
              <w:t>；</w:t>
            </w:r>
          </w:p>
          <w:p>
            <w:pPr>
              <w:pStyle w:val="TableParagraph"/>
              <w:numPr>
                <w:ilvl w:val="0"/>
                <w:numId w:val="11"/>
              </w:numPr>
              <w:tabs>
                <w:tab w:pos="548" w:val="left" w:leader="none"/>
              </w:tabs>
              <w:spacing w:line="240" w:lineRule="auto" w:before="37" w:after="0"/>
              <w:ind w:left="547" w:right="0" w:hanging="423"/>
              <w:jc w:val="both"/>
              <w:rPr>
                <w:sz w:val="21"/>
              </w:rPr>
            </w:pPr>
            <w:r>
              <w:rPr>
                <w:position w:val="1"/>
                <w:sz w:val="21"/>
              </w:rPr>
              <w:t>TNM</w:t>
            </w:r>
            <w:r>
              <w:rPr>
                <w:spacing w:val="-17"/>
                <w:position w:val="1"/>
                <w:sz w:val="21"/>
              </w:rPr>
              <w:t> 分期为 </w:t>
            </w:r>
            <w:r>
              <w:rPr>
                <w:spacing w:val="-3"/>
                <w:position w:val="1"/>
                <w:sz w:val="21"/>
              </w:rPr>
              <w:t>T</w:t>
            </w:r>
            <w:r>
              <w:rPr>
                <w:spacing w:val="-3"/>
                <w:sz w:val="11"/>
              </w:rPr>
              <w:t>1</w:t>
            </w:r>
            <w:r>
              <w:rPr>
                <w:spacing w:val="-3"/>
                <w:position w:val="1"/>
                <w:sz w:val="21"/>
              </w:rPr>
              <w:t>N</w:t>
            </w:r>
            <w:r>
              <w:rPr>
                <w:spacing w:val="-3"/>
                <w:sz w:val="11"/>
              </w:rPr>
              <w:t>0</w:t>
            </w:r>
            <w:r>
              <w:rPr>
                <w:spacing w:val="-3"/>
                <w:position w:val="1"/>
                <w:sz w:val="21"/>
              </w:rPr>
              <w:t>M</w:t>
            </w:r>
            <w:r>
              <w:rPr>
                <w:spacing w:val="-3"/>
                <w:sz w:val="11"/>
              </w:rPr>
              <w:t>0</w:t>
            </w:r>
            <w:r>
              <w:rPr>
                <w:spacing w:val="-18"/>
                <w:sz w:val="11"/>
              </w:rPr>
              <w:t> </w:t>
            </w:r>
            <w:r>
              <w:rPr>
                <w:spacing w:val="-4"/>
                <w:position w:val="1"/>
                <w:sz w:val="21"/>
              </w:rPr>
              <w:t>期或更轻分期的前列腺癌；</w:t>
            </w:r>
          </w:p>
          <w:p>
            <w:pPr>
              <w:pStyle w:val="TableParagraph"/>
              <w:numPr>
                <w:ilvl w:val="0"/>
                <w:numId w:val="11"/>
              </w:numPr>
              <w:tabs>
                <w:tab w:pos="548" w:val="left" w:leader="none"/>
              </w:tabs>
              <w:spacing w:line="240" w:lineRule="auto" w:before="37" w:after="0"/>
              <w:ind w:left="547" w:right="0" w:hanging="423"/>
              <w:jc w:val="both"/>
              <w:rPr>
                <w:sz w:val="21"/>
              </w:rPr>
            </w:pPr>
            <w:r>
              <w:rPr>
                <w:spacing w:val="-4"/>
                <w:sz w:val="21"/>
              </w:rPr>
              <w:t>感染艾滋病病毒或患艾滋病期间所患恶性肿瘤。</w:t>
            </w:r>
          </w:p>
        </w:tc>
      </w:tr>
      <w:tr>
        <w:trPr>
          <w:trHeight w:val="2198" w:hRule="atLeast"/>
        </w:trPr>
        <w:tc>
          <w:tcPr>
            <w:tcW w:w="733" w:type="dxa"/>
          </w:tcPr>
          <w:p>
            <w:pPr>
              <w:pStyle w:val="TableParagraph"/>
              <w:spacing w:before="83"/>
              <w:ind w:left="180" w:right="194"/>
              <w:jc w:val="center"/>
              <w:rPr>
                <w:rFonts w:ascii="Microsoft JhengHei"/>
                <w:b/>
                <w:sz w:val="21"/>
              </w:rPr>
            </w:pPr>
            <w:r>
              <w:rPr>
                <w:rFonts w:ascii="Microsoft JhengHei"/>
                <w:b/>
                <w:w w:val="105"/>
                <w:sz w:val="21"/>
              </w:rPr>
              <w:t>9.2</w:t>
            </w:r>
          </w:p>
        </w:tc>
        <w:tc>
          <w:tcPr>
            <w:tcW w:w="1186" w:type="dxa"/>
          </w:tcPr>
          <w:p>
            <w:pPr>
              <w:pStyle w:val="TableParagraph"/>
              <w:spacing w:line="204" w:lineRule="auto" w:before="138"/>
              <w:ind w:left="216" w:right="122"/>
              <w:rPr>
                <w:rFonts w:ascii="Microsoft JhengHei" w:eastAsia="Microsoft JhengHei" w:hint="eastAsia"/>
                <w:b/>
                <w:sz w:val="21"/>
              </w:rPr>
            </w:pPr>
            <w:r>
              <w:rPr>
                <w:rFonts w:ascii="Microsoft JhengHei" w:eastAsia="Microsoft JhengHei" w:hint="eastAsia"/>
                <w:b/>
                <w:sz w:val="21"/>
              </w:rPr>
              <w:t>急性心肌梗塞</w:t>
            </w:r>
          </w:p>
        </w:tc>
        <w:tc>
          <w:tcPr>
            <w:tcW w:w="8100" w:type="dxa"/>
          </w:tcPr>
          <w:p>
            <w:pPr>
              <w:pStyle w:val="TableParagraph"/>
              <w:spacing w:line="273" w:lineRule="auto" w:before="150"/>
              <w:ind w:left="124" w:right="226"/>
              <w:rPr>
                <w:sz w:val="21"/>
              </w:rPr>
            </w:pPr>
            <w:r>
              <w:rPr>
                <w:spacing w:val="-6"/>
                <w:sz w:val="21"/>
              </w:rPr>
              <w:t>指因冠状动脉阻塞导致的相应区域供血不足造成部分心肌坏死。须满足下列至少三项条件：</w:t>
            </w:r>
          </w:p>
          <w:p>
            <w:pPr>
              <w:pStyle w:val="TableParagraph"/>
              <w:numPr>
                <w:ilvl w:val="0"/>
                <w:numId w:val="12"/>
              </w:numPr>
              <w:tabs>
                <w:tab w:pos="548" w:val="left" w:leader="none"/>
              </w:tabs>
              <w:spacing w:line="240" w:lineRule="auto" w:before="8" w:after="0"/>
              <w:ind w:left="547" w:right="0" w:hanging="423"/>
              <w:jc w:val="left"/>
              <w:rPr>
                <w:sz w:val="21"/>
              </w:rPr>
            </w:pPr>
            <w:r>
              <w:rPr>
                <w:spacing w:val="-3"/>
                <w:sz w:val="21"/>
              </w:rPr>
              <w:t>典型临床表现，例如急性胸痛等；</w:t>
            </w:r>
          </w:p>
          <w:p>
            <w:pPr>
              <w:pStyle w:val="TableParagraph"/>
              <w:numPr>
                <w:ilvl w:val="0"/>
                <w:numId w:val="12"/>
              </w:numPr>
              <w:tabs>
                <w:tab w:pos="548" w:val="left" w:leader="none"/>
              </w:tabs>
              <w:spacing w:line="240" w:lineRule="auto" w:before="37" w:after="0"/>
              <w:ind w:left="547" w:right="0" w:hanging="423"/>
              <w:jc w:val="left"/>
              <w:rPr>
                <w:sz w:val="21"/>
              </w:rPr>
            </w:pPr>
            <w:r>
              <w:rPr>
                <w:spacing w:val="-3"/>
                <w:sz w:val="21"/>
              </w:rPr>
              <w:t>新近的心电图改变提示急性心肌梗塞；</w:t>
            </w:r>
          </w:p>
          <w:p>
            <w:pPr>
              <w:pStyle w:val="TableParagraph"/>
              <w:numPr>
                <w:ilvl w:val="0"/>
                <w:numId w:val="12"/>
              </w:numPr>
              <w:tabs>
                <w:tab w:pos="548" w:val="left" w:leader="none"/>
              </w:tabs>
              <w:spacing w:line="240" w:lineRule="auto" w:before="37" w:after="0"/>
              <w:ind w:left="547" w:right="0" w:hanging="423"/>
              <w:jc w:val="left"/>
              <w:rPr>
                <w:sz w:val="21"/>
              </w:rPr>
            </w:pPr>
            <w:r>
              <w:rPr>
                <w:spacing w:val="-5"/>
                <w:sz w:val="21"/>
              </w:rPr>
              <w:t>心肌酶或肌钙蛋白有诊断意义的升高，或呈符合急性心肌梗塞的动态性变化；</w:t>
            </w:r>
          </w:p>
          <w:p>
            <w:pPr>
              <w:pStyle w:val="TableParagraph"/>
              <w:numPr>
                <w:ilvl w:val="0"/>
                <w:numId w:val="12"/>
              </w:numPr>
              <w:tabs>
                <w:tab w:pos="548" w:val="left" w:leader="none"/>
              </w:tabs>
              <w:spacing w:line="240" w:lineRule="auto" w:before="37" w:after="0"/>
              <w:ind w:left="547" w:right="0" w:hanging="423"/>
              <w:jc w:val="left"/>
              <w:rPr>
                <w:sz w:val="21"/>
              </w:rPr>
            </w:pPr>
            <w:r>
              <w:rPr>
                <w:spacing w:val="-15"/>
                <w:sz w:val="21"/>
              </w:rPr>
              <w:t>发病 </w:t>
            </w:r>
            <w:r>
              <w:rPr>
                <w:sz w:val="21"/>
              </w:rPr>
              <w:t>90</w:t>
            </w:r>
            <w:r>
              <w:rPr>
                <w:spacing w:val="-10"/>
                <w:sz w:val="21"/>
              </w:rPr>
              <w:t> 天后，经检查证实左心室功能降低，如左心室射血分数低于 </w:t>
            </w:r>
            <w:r>
              <w:rPr>
                <w:sz w:val="21"/>
              </w:rPr>
              <w:t>50%。</w:t>
            </w:r>
          </w:p>
        </w:tc>
      </w:tr>
      <w:tr>
        <w:trPr>
          <w:trHeight w:val="2509" w:hRule="atLeast"/>
        </w:trPr>
        <w:tc>
          <w:tcPr>
            <w:tcW w:w="733" w:type="dxa"/>
          </w:tcPr>
          <w:p>
            <w:pPr>
              <w:pStyle w:val="TableParagraph"/>
              <w:spacing w:before="83"/>
              <w:ind w:left="180" w:right="194"/>
              <w:jc w:val="center"/>
              <w:rPr>
                <w:rFonts w:ascii="Microsoft JhengHei"/>
                <w:b/>
                <w:sz w:val="21"/>
              </w:rPr>
            </w:pPr>
            <w:r>
              <w:rPr>
                <w:rFonts w:ascii="Microsoft JhengHei"/>
                <w:b/>
                <w:w w:val="105"/>
                <w:sz w:val="21"/>
              </w:rPr>
              <w:t>9.3</w:t>
            </w:r>
          </w:p>
        </w:tc>
        <w:tc>
          <w:tcPr>
            <w:tcW w:w="1186" w:type="dxa"/>
          </w:tcPr>
          <w:p>
            <w:pPr>
              <w:pStyle w:val="TableParagraph"/>
              <w:spacing w:line="201" w:lineRule="auto" w:before="141"/>
              <w:ind w:left="216" w:right="122"/>
              <w:rPr>
                <w:rFonts w:ascii="Microsoft JhengHei" w:eastAsia="Microsoft JhengHei" w:hint="eastAsia"/>
                <w:b/>
                <w:sz w:val="21"/>
              </w:rPr>
            </w:pPr>
            <w:r>
              <w:rPr>
                <w:rFonts w:ascii="Microsoft JhengHei" w:eastAsia="Microsoft JhengHei" w:hint="eastAsia"/>
                <w:b/>
                <w:sz w:val="21"/>
              </w:rPr>
              <w:t>脑中风后遗症</w:t>
            </w:r>
          </w:p>
        </w:tc>
        <w:tc>
          <w:tcPr>
            <w:tcW w:w="8100" w:type="dxa"/>
          </w:tcPr>
          <w:p>
            <w:pPr>
              <w:pStyle w:val="TableParagraph"/>
              <w:spacing w:line="271" w:lineRule="auto" w:before="150"/>
              <w:ind w:left="124" w:right="229"/>
              <w:jc w:val="both"/>
              <w:rPr>
                <w:sz w:val="21"/>
              </w:rPr>
            </w:pPr>
            <w:r>
              <w:rPr>
                <w:spacing w:val="-6"/>
                <w:sz w:val="21"/>
              </w:rPr>
              <w:t>指因脑血管的突发病变引起脑血管出血、栓塞或梗塞，并导致神经系统永久性的功能</w:t>
            </w:r>
            <w:r>
              <w:rPr>
                <w:spacing w:val="-8"/>
                <w:sz w:val="21"/>
              </w:rPr>
              <w:t>障碍。神经系统永久性的功能障碍，指疾病确诊 </w:t>
            </w:r>
            <w:r>
              <w:rPr>
                <w:sz w:val="21"/>
              </w:rPr>
              <w:t>180</w:t>
            </w:r>
            <w:r>
              <w:rPr>
                <w:spacing w:val="-8"/>
                <w:sz w:val="21"/>
              </w:rPr>
              <w:t> 天后，仍遗留下列一种或一种以上障碍：</w:t>
            </w:r>
          </w:p>
          <w:p>
            <w:pPr>
              <w:pStyle w:val="TableParagraph"/>
              <w:numPr>
                <w:ilvl w:val="0"/>
                <w:numId w:val="13"/>
              </w:numPr>
              <w:tabs>
                <w:tab w:pos="548" w:val="left" w:leader="none"/>
              </w:tabs>
              <w:spacing w:line="285" w:lineRule="exact" w:before="0" w:after="0"/>
              <w:ind w:left="547" w:right="0" w:hanging="423"/>
              <w:jc w:val="left"/>
              <w:rPr>
                <w:sz w:val="21"/>
              </w:rPr>
            </w:pPr>
            <w:r>
              <w:rPr>
                <w:spacing w:val="-2"/>
                <w:sz w:val="21"/>
              </w:rPr>
              <w:t>一肢或一肢以上</w:t>
            </w:r>
            <w:r>
              <w:rPr>
                <w:rFonts w:ascii="微软雅黑" w:eastAsia="微软雅黑" w:hint="eastAsia"/>
                <w:b/>
                <w:sz w:val="21"/>
              </w:rPr>
              <w:t>肢体机能完全丧失</w:t>
            </w:r>
            <w:r>
              <w:rPr>
                <w:sz w:val="21"/>
              </w:rPr>
              <w:t>；</w:t>
            </w:r>
          </w:p>
          <w:p>
            <w:pPr>
              <w:pStyle w:val="TableParagraph"/>
              <w:numPr>
                <w:ilvl w:val="0"/>
                <w:numId w:val="13"/>
              </w:numPr>
              <w:tabs>
                <w:tab w:pos="548" w:val="left" w:leader="none"/>
              </w:tabs>
              <w:spacing w:line="312" w:lineRule="exact" w:before="0" w:after="0"/>
              <w:ind w:left="547" w:right="0" w:hanging="423"/>
              <w:jc w:val="left"/>
              <w:rPr>
                <w:sz w:val="21"/>
              </w:rPr>
            </w:pPr>
            <w:r>
              <w:rPr>
                <w:rFonts w:ascii="微软雅黑" w:eastAsia="微软雅黑" w:hint="eastAsia"/>
                <w:b/>
                <w:sz w:val="21"/>
              </w:rPr>
              <w:t>语言能力或咀嚼吞咽能力完全丧失</w:t>
            </w:r>
            <w:r>
              <w:rPr>
                <w:sz w:val="21"/>
              </w:rPr>
              <w:t>；</w:t>
            </w:r>
          </w:p>
          <w:p>
            <w:pPr>
              <w:pStyle w:val="TableParagraph"/>
              <w:numPr>
                <w:ilvl w:val="0"/>
                <w:numId w:val="13"/>
              </w:numPr>
              <w:tabs>
                <w:tab w:pos="548" w:val="left" w:leader="none"/>
              </w:tabs>
              <w:spacing w:line="312" w:lineRule="exact" w:before="33" w:after="0"/>
              <w:ind w:left="547" w:right="218" w:hanging="423"/>
              <w:jc w:val="left"/>
              <w:rPr>
                <w:sz w:val="21"/>
              </w:rPr>
            </w:pPr>
            <w:r>
              <w:rPr>
                <w:spacing w:val="-6"/>
                <w:sz w:val="21"/>
              </w:rPr>
              <w:t>自主生活能力完全丧失，无法独立完成</w:t>
            </w:r>
            <w:r>
              <w:rPr>
                <w:rFonts w:ascii="微软雅黑" w:eastAsia="微软雅黑" w:hint="eastAsia"/>
                <w:b/>
                <w:sz w:val="21"/>
              </w:rPr>
              <w:t>六项基本日常生活活动</w:t>
            </w:r>
            <w:r>
              <w:rPr>
                <w:spacing w:val="-2"/>
                <w:sz w:val="21"/>
              </w:rPr>
              <w:t>中的三项或三项以上。</w:t>
            </w:r>
          </w:p>
        </w:tc>
      </w:tr>
      <w:tr>
        <w:trPr>
          <w:trHeight w:val="1730" w:hRule="atLeast"/>
        </w:trPr>
        <w:tc>
          <w:tcPr>
            <w:tcW w:w="733" w:type="dxa"/>
          </w:tcPr>
          <w:p>
            <w:pPr>
              <w:pStyle w:val="TableParagraph"/>
              <w:spacing w:before="85"/>
              <w:ind w:left="180" w:right="194"/>
              <w:jc w:val="center"/>
              <w:rPr>
                <w:rFonts w:ascii="Microsoft JhengHei"/>
                <w:b/>
                <w:sz w:val="21"/>
              </w:rPr>
            </w:pPr>
            <w:r>
              <w:rPr>
                <w:rFonts w:ascii="Microsoft JhengHei"/>
                <w:b/>
                <w:w w:val="105"/>
                <w:sz w:val="21"/>
              </w:rPr>
              <w:t>9.4</w:t>
            </w:r>
          </w:p>
        </w:tc>
        <w:tc>
          <w:tcPr>
            <w:tcW w:w="1186" w:type="dxa"/>
          </w:tcPr>
          <w:p>
            <w:pPr>
              <w:pStyle w:val="TableParagraph"/>
              <w:spacing w:line="204" w:lineRule="auto" w:before="140"/>
              <w:ind w:left="216" w:right="122"/>
              <w:jc w:val="both"/>
              <w:rPr>
                <w:rFonts w:ascii="Microsoft JhengHei" w:eastAsia="Microsoft JhengHei" w:hint="eastAsia"/>
                <w:b/>
                <w:sz w:val="21"/>
              </w:rPr>
            </w:pPr>
            <w:r>
              <w:rPr>
                <w:rFonts w:ascii="Microsoft JhengHei" w:eastAsia="Microsoft JhengHei" w:hint="eastAsia"/>
                <w:b/>
                <w:sz w:val="21"/>
              </w:rPr>
              <w:t>重大器官移植术或造血干细胞移植术</w:t>
            </w:r>
          </w:p>
        </w:tc>
        <w:tc>
          <w:tcPr>
            <w:tcW w:w="8100" w:type="dxa"/>
          </w:tcPr>
          <w:p>
            <w:pPr>
              <w:pStyle w:val="TableParagraph"/>
              <w:spacing w:line="268" w:lineRule="auto" w:before="152"/>
              <w:ind w:left="124" w:right="231"/>
              <w:rPr>
                <w:sz w:val="21"/>
              </w:rPr>
            </w:pPr>
            <w:r>
              <w:rPr>
                <w:spacing w:val="-6"/>
                <w:sz w:val="21"/>
              </w:rPr>
              <w:t>重大器官移植术，指因相应器官功能衰竭，已经实施了肾脏、肝脏、心脏或肺脏的异</w:t>
            </w:r>
            <w:r>
              <w:rPr>
                <w:spacing w:val="-5"/>
                <w:sz w:val="21"/>
              </w:rPr>
              <w:t>体移植手术。</w:t>
            </w:r>
          </w:p>
          <w:p>
            <w:pPr>
              <w:pStyle w:val="TableParagraph"/>
              <w:spacing w:before="170"/>
              <w:ind w:left="124"/>
              <w:rPr>
                <w:sz w:val="21"/>
              </w:rPr>
            </w:pPr>
            <w:r>
              <w:rPr>
                <w:sz w:val="21"/>
              </w:rPr>
              <w:t>造血干细胞移植术，指因造血功能损害或造血系统恶性肿瘤，已经实施了造血干细胞</w:t>
            </w:r>
          </w:p>
          <w:p>
            <w:pPr>
              <w:pStyle w:val="TableParagraph"/>
              <w:spacing w:before="36"/>
              <w:ind w:left="124"/>
              <w:rPr>
                <w:sz w:val="21"/>
              </w:rPr>
            </w:pPr>
            <w:r>
              <w:rPr>
                <w:sz w:val="21"/>
              </w:rPr>
              <w:t>（包括骨髓造血干细胞、外周血造血干细胞和脐血造血干细胞）的异体移植手术。</w:t>
            </w:r>
          </w:p>
        </w:tc>
      </w:tr>
      <w:tr>
        <w:trPr>
          <w:trHeight w:val="2198" w:hRule="atLeast"/>
        </w:trPr>
        <w:tc>
          <w:tcPr>
            <w:tcW w:w="733" w:type="dxa"/>
          </w:tcPr>
          <w:p>
            <w:pPr>
              <w:pStyle w:val="TableParagraph"/>
              <w:spacing w:before="83"/>
              <w:ind w:left="180" w:right="194"/>
              <w:jc w:val="center"/>
              <w:rPr>
                <w:rFonts w:ascii="Microsoft JhengHei"/>
                <w:b/>
                <w:sz w:val="21"/>
              </w:rPr>
            </w:pPr>
            <w:r>
              <w:rPr>
                <w:rFonts w:ascii="Microsoft JhengHei"/>
                <w:b/>
                <w:w w:val="105"/>
                <w:sz w:val="21"/>
              </w:rPr>
              <w:t>9.5</w:t>
            </w:r>
          </w:p>
        </w:tc>
        <w:tc>
          <w:tcPr>
            <w:tcW w:w="1186" w:type="dxa"/>
          </w:tcPr>
          <w:p>
            <w:pPr>
              <w:pStyle w:val="TableParagraph"/>
              <w:spacing w:line="204" w:lineRule="auto" w:before="138"/>
              <w:ind w:left="216" w:right="122"/>
              <w:rPr>
                <w:rFonts w:ascii="Microsoft JhengHei" w:eastAsia="Microsoft JhengHei" w:hint="eastAsia"/>
                <w:b/>
                <w:sz w:val="21"/>
              </w:rPr>
            </w:pPr>
            <w:r>
              <w:rPr>
                <w:rFonts w:ascii="Microsoft JhengHei" w:eastAsia="Microsoft JhengHei" w:hint="eastAsia"/>
                <w:b/>
                <w:sz w:val="21"/>
              </w:rPr>
              <w:t>冠状动脉搭桥术</w:t>
            </w:r>
          </w:p>
          <w:p>
            <w:pPr>
              <w:pStyle w:val="TableParagraph"/>
              <w:spacing w:line="204" w:lineRule="auto" w:before="1"/>
              <w:ind w:left="216" w:right="122"/>
              <w:rPr>
                <w:rFonts w:ascii="Microsoft JhengHei" w:eastAsia="Microsoft JhengHei" w:hint="eastAsia"/>
                <w:b/>
                <w:sz w:val="21"/>
              </w:rPr>
            </w:pPr>
            <w:r>
              <w:rPr>
                <w:rFonts w:ascii="Microsoft JhengHei" w:eastAsia="Microsoft JhengHei" w:hint="eastAsia"/>
                <w:b/>
                <w:sz w:val="21"/>
              </w:rPr>
              <w:t>（或称冠状动脉旁路 移 植 术）</w:t>
            </w:r>
          </w:p>
        </w:tc>
        <w:tc>
          <w:tcPr>
            <w:tcW w:w="8100" w:type="dxa"/>
          </w:tcPr>
          <w:p>
            <w:pPr>
              <w:pStyle w:val="TableParagraph"/>
              <w:spacing w:before="150"/>
              <w:ind w:left="124"/>
              <w:rPr>
                <w:sz w:val="21"/>
              </w:rPr>
            </w:pPr>
            <w:r>
              <w:rPr>
                <w:sz w:val="21"/>
              </w:rPr>
              <w:t>指为治疗严重的冠心病，实际实施了开胸进行的冠状动脉血管旁路移植的手术。</w:t>
            </w:r>
          </w:p>
          <w:p>
            <w:pPr>
              <w:pStyle w:val="TableParagraph"/>
              <w:spacing w:before="12"/>
              <w:rPr>
                <w:sz w:val="14"/>
              </w:rPr>
            </w:pPr>
          </w:p>
          <w:p>
            <w:pPr>
              <w:pStyle w:val="TableParagraph"/>
              <w:spacing w:line="268" w:lineRule="auto" w:before="0"/>
              <w:ind w:left="124" w:right="197"/>
              <w:rPr>
                <w:sz w:val="21"/>
              </w:rPr>
            </w:pPr>
            <w:r>
              <w:rPr>
                <w:sz w:val="21"/>
              </w:rPr>
              <w:t>冠状动脉支架植入术、心导管球囊扩张术、激光射频技术及其它非开胸的介入手术、腔镜手术不在保障范围内。</w:t>
            </w:r>
          </w:p>
        </w:tc>
      </w:tr>
      <w:tr>
        <w:trPr>
          <w:trHeight w:val="1049" w:hRule="atLeast"/>
        </w:trPr>
        <w:tc>
          <w:tcPr>
            <w:tcW w:w="733" w:type="dxa"/>
          </w:tcPr>
          <w:p>
            <w:pPr>
              <w:pStyle w:val="TableParagraph"/>
              <w:spacing w:before="83"/>
              <w:ind w:left="180" w:right="194"/>
              <w:jc w:val="center"/>
              <w:rPr>
                <w:rFonts w:ascii="Microsoft JhengHei"/>
                <w:b/>
                <w:sz w:val="21"/>
              </w:rPr>
            </w:pPr>
            <w:r>
              <w:rPr>
                <w:rFonts w:ascii="Microsoft JhengHei"/>
                <w:b/>
                <w:w w:val="105"/>
                <w:sz w:val="21"/>
              </w:rPr>
              <w:t>9.6</w:t>
            </w:r>
          </w:p>
        </w:tc>
        <w:tc>
          <w:tcPr>
            <w:tcW w:w="1186" w:type="dxa"/>
          </w:tcPr>
          <w:p>
            <w:pPr>
              <w:pStyle w:val="TableParagraph"/>
              <w:spacing w:line="339" w:lineRule="exact" w:before="83"/>
              <w:ind w:left="216"/>
              <w:rPr>
                <w:rFonts w:ascii="Microsoft JhengHei" w:eastAsia="Microsoft JhengHei" w:hint="eastAsia"/>
                <w:b/>
                <w:sz w:val="21"/>
              </w:rPr>
            </w:pPr>
            <w:r>
              <w:rPr>
                <w:rFonts w:ascii="Microsoft JhengHei" w:eastAsia="Microsoft JhengHei" w:hint="eastAsia"/>
                <w:b/>
                <w:sz w:val="21"/>
              </w:rPr>
              <w:t>终末期肾</w:t>
            </w:r>
          </w:p>
          <w:p>
            <w:pPr>
              <w:pStyle w:val="TableParagraph"/>
              <w:spacing w:line="312" w:lineRule="exact" w:before="36"/>
              <w:ind w:left="216" w:right="122"/>
              <w:rPr>
                <w:rFonts w:ascii="Microsoft JhengHei" w:eastAsia="Microsoft JhengHei" w:hint="eastAsia"/>
                <w:b/>
                <w:sz w:val="21"/>
              </w:rPr>
            </w:pPr>
            <w:r>
              <w:rPr>
                <w:rFonts w:ascii="Microsoft JhengHei" w:eastAsia="Microsoft JhengHei" w:hint="eastAsia"/>
                <w:b/>
                <w:sz w:val="21"/>
              </w:rPr>
              <w:t>病（或称慢性肾功</w:t>
            </w:r>
          </w:p>
        </w:tc>
        <w:tc>
          <w:tcPr>
            <w:tcW w:w="8100" w:type="dxa"/>
          </w:tcPr>
          <w:p>
            <w:pPr>
              <w:pStyle w:val="TableParagraph"/>
              <w:spacing w:line="273" w:lineRule="auto" w:before="149"/>
              <w:ind w:left="124" w:right="187"/>
              <w:rPr>
                <w:sz w:val="21"/>
              </w:rPr>
            </w:pPr>
            <w:r>
              <w:rPr>
                <w:sz w:val="21"/>
              </w:rPr>
              <w:t>指双肾功能慢性不可逆性衰竭，达到尿毒症期，经诊断后已经进行了至少 90 天的规律性透析治疗或实施了肾脏移植手术。</w:t>
            </w:r>
          </w:p>
        </w:tc>
      </w:tr>
    </w:tbl>
    <w:p>
      <w:pPr>
        <w:spacing w:after="0" w:line="273" w:lineRule="auto"/>
        <w:rPr>
          <w:sz w:val="21"/>
        </w:rPr>
        <w:sectPr>
          <w:pgSz w:w="11910" w:h="16840"/>
          <w:pgMar w:header="0" w:footer="346" w:top="900" w:bottom="540" w:left="860" w:right="82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6"/>
        <w:gridCol w:w="1133"/>
        <w:gridCol w:w="8104"/>
      </w:tblGrid>
      <w:tr>
        <w:trPr>
          <w:trHeight w:val="736" w:hRule="atLeast"/>
        </w:trPr>
        <w:tc>
          <w:tcPr>
            <w:tcW w:w="786" w:type="dxa"/>
          </w:tcPr>
          <w:p>
            <w:pPr>
              <w:pStyle w:val="TableParagraph"/>
              <w:spacing w:before="0"/>
              <w:rPr>
                <w:rFonts w:ascii="Times New Roman"/>
                <w:sz w:val="20"/>
              </w:rPr>
            </w:pPr>
          </w:p>
        </w:tc>
        <w:tc>
          <w:tcPr>
            <w:tcW w:w="1133" w:type="dxa"/>
          </w:tcPr>
          <w:p>
            <w:pPr>
              <w:pStyle w:val="TableParagraph"/>
              <w:spacing w:line="208" w:lineRule="exact" w:before="0"/>
              <w:ind w:left="163"/>
              <w:rPr>
                <w:rFonts w:ascii="Microsoft JhengHei" w:eastAsia="Microsoft JhengHei" w:hint="eastAsia"/>
                <w:b/>
                <w:sz w:val="21"/>
              </w:rPr>
            </w:pPr>
            <w:r>
              <w:rPr>
                <w:rFonts w:ascii="Microsoft JhengHei" w:eastAsia="Microsoft JhengHei" w:hint="eastAsia"/>
                <w:b/>
                <w:sz w:val="21"/>
              </w:rPr>
              <w:t>能衰竭尿</w:t>
            </w:r>
          </w:p>
          <w:p>
            <w:pPr>
              <w:pStyle w:val="TableParagraph"/>
              <w:spacing w:line="339" w:lineRule="exact" w:before="0"/>
              <w:ind w:left="163"/>
              <w:rPr>
                <w:rFonts w:ascii="Microsoft JhengHei" w:eastAsia="Microsoft JhengHei" w:hint="eastAsia"/>
                <w:b/>
                <w:sz w:val="21"/>
              </w:rPr>
            </w:pPr>
            <w:r>
              <w:rPr>
                <w:rFonts w:ascii="Microsoft JhengHei" w:eastAsia="Microsoft JhengHei" w:hint="eastAsia"/>
                <w:b/>
                <w:sz w:val="21"/>
              </w:rPr>
              <w:t>毒症期）</w:t>
            </w:r>
          </w:p>
        </w:tc>
        <w:tc>
          <w:tcPr>
            <w:tcW w:w="8104" w:type="dxa"/>
          </w:tcPr>
          <w:p>
            <w:pPr>
              <w:pStyle w:val="TableParagraph"/>
              <w:spacing w:before="0"/>
              <w:rPr>
                <w:rFonts w:ascii="Times New Roman"/>
                <w:sz w:val="20"/>
              </w:rPr>
            </w:pPr>
          </w:p>
        </w:tc>
      </w:tr>
      <w:tr>
        <w:trPr>
          <w:trHeight w:val="950" w:hRule="atLeast"/>
        </w:trPr>
        <w:tc>
          <w:tcPr>
            <w:tcW w:w="786" w:type="dxa"/>
          </w:tcPr>
          <w:p>
            <w:pPr>
              <w:pStyle w:val="TableParagraph"/>
              <w:spacing w:before="83"/>
              <w:ind w:left="200"/>
              <w:rPr>
                <w:rFonts w:ascii="Microsoft JhengHei"/>
                <w:b/>
                <w:sz w:val="21"/>
              </w:rPr>
            </w:pPr>
            <w:r>
              <w:rPr>
                <w:rFonts w:ascii="Microsoft JhengHei"/>
                <w:b/>
                <w:w w:val="105"/>
                <w:sz w:val="21"/>
              </w:rPr>
              <w:t>9.7</w:t>
            </w:r>
          </w:p>
        </w:tc>
        <w:tc>
          <w:tcPr>
            <w:tcW w:w="1133" w:type="dxa"/>
          </w:tcPr>
          <w:p>
            <w:pPr>
              <w:pStyle w:val="TableParagraph"/>
              <w:spacing w:line="204" w:lineRule="auto" w:before="138"/>
              <w:ind w:left="163" w:right="122"/>
              <w:rPr>
                <w:rFonts w:ascii="Microsoft JhengHei" w:eastAsia="Microsoft JhengHei" w:hint="eastAsia"/>
                <w:b/>
                <w:sz w:val="21"/>
              </w:rPr>
            </w:pPr>
            <w:r>
              <w:rPr>
                <w:rFonts w:ascii="Microsoft JhengHei" w:eastAsia="Microsoft JhengHei" w:hint="eastAsia"/>
                <w:b/>
                <w:sz w:val="21"/>
              </w:rPr>
              <w:t>多个肢体缺失</w:t>
            </w:r>
          </w:p>
        </w:tc>
        <w:tc>
          <w:tcPr>
            <w:tcW w:w="8104" w:type="dxa"/>
          </w:tcPr>
          <w:p>
            <w:pPr>
              <w:pStyle w:val="TableParagraph"/>
              <w:spacing w:line="273" w:lineRule="auto" w:before="150"/>
              <w:ind w:left="124" w:right="201"/>
              <w:rPr>
                <w:sz w:val="21"/>
              </w:rPr>
            </w:pPr>
            <w:r>
              <w:rPr>
                <w:sz w:val="21"/>
              </w:rPr>
              <w:t>指因疾病或意外伤害导致两个或两个以上肢体自腕关节或踝关节近端（靠近躯干端） 以上完全性断离。</w:t>
            </w:r>
          </w:p>
        </w:tc>
      </w:tr>
      <w:tr>
        <w:trPr>
          <w:trHeight w:val="2199" w:hRule="atLeast"/>
        </w:trPr>
        <w:tc>
          <w:tcPr>
            <w:tcW w:w="786" w:type="dxa"/>
          </w:tcPr>
          <w:p>
            <w:pPr>
              <w:pStyle w:val="TableParagraph"/>
              <w:spacing w:before="83"/>
              <w:ind w:left="200"/>
              <w:rPr>
                <w:rFonts w:ascii="Microsoft JhengHei"/>
                <w:b/>
                <w:sz w:val="21"/>
              </w:rPr>
            </w:pPr>
            <w:r>
              <w:rPr>
                <w:rFonts w:ascii="Microsoft JhengHei"/>
                <w:b/>
                <w:w w:val="105"/>
                <w:sz w:val="21"/>
              </w:rPr>
              <w:t>9.8</w:t>
            </w:r>
          </w:p>
        </w:tc>
        <w:tc>
          <w:tcPr>
            <w:tcW w:w="1133" w:type="dxa"/>
          </w:tcPr>
          <w:p>
            <w:pPr>
              <w:pStyle w:val="TableParagraph"/>
              <w:spacing w:line="204" w:lineRule="auto" w:before="138"/>
              <w:ind w:left="163" w:right="122"/>
              <w:jc w:val="both"/>
              <w:rPr>
                <w:rFonts w:ascii="Microsoft JhengHei" w:eastAsia="Microsoft JhengHei" w:hint="eastAsia"/>
                <w:b/>
                <w:sz w:val="21"/>
              </w:rPr>
            </w:pPr>
            <w:r>
              <w:rPr>
                <w:rFonts w:ascii="Microsoft JhengHei" w:eastAsia="Microsoft JhengHei" w:hint="eastAsia"/>
                <w:b/>
                <w:sz w:val="21"/>
              </w:rPr>
              <w:t>急性或亚急性重症肝炎</w:t>
            </w:r>
          </w:p>
        </w:tc>
        <w:tc>
          <w:tcPr>
            <w:tcW w:w="8104" w:type="dxa"/>
          </w:tcPr>
          <w:p>
            <w:pPr>
              <w:pStyle w:val="TableParagraph"/>
              <w:spacing w:line="273" w:lineRule="auto" w:before="150"/>
              <w:ind w:left="124" w:right="235"/>
              <w:rPr>
                <w:sz w:val="21"/>
              </w:rPr>
            </w:pPr>
            <w:r>
              <w:rPr>
                <w:spacing w:val="-6"/>
                <w:sz w:val="21"/>
              </w:rPr>
              <w:t>指因肝炎病毒感染引起肝脏组织弥漫性坏死，导致急性肝功能衰竭，且经血清学或病</w:t>
            </w:r>
            <w:r>
              <w:rPr>
                <w:spacing w:val="-5"/>
                <w:sz w:val="21"/>
              </w:rPr>
              <w:t>毒学检查证实，并须满足下列全部条件：</w:t>
            </w:r>
          </w:p>
          <w:p>
            <w:pPr>
              <w:pStyle w:val="TableParagraph"/>
              <w:numPr>
                <w:ilvl w:val="0"/>
                <w:numId w:val="14"/>
              </w:numPr>
              <w:tabs>
                <w:tab w:pos="548" w:val="left" w:leader="none"/>
              </w:tabs>
              <w:spacing w:line="240" w:lineRule="auto" w:before="7" w:after="0"/>
              <w:ind w:left="547" w:right="0" w:hanging="423"/>
              <w:jc w:val="left"/>
              <w:rPr>
                <w:sz w:val="21"/>
              </w:rPr>
            </w:pPr>
            <w:r>
              <w:rPr>
                <w:spacing w:val="-2"/>
                <w:sz w:val="21"/>
              </w:rPr>
              <w:t>重度黄疸或黄疸迅速加重；</w:t>
            </w:r>
          </w:p>
          <w:p>
            <w:pPr>
              <w:pStyle w:val="TableParagraph"/>
              <w:numPr>
                <w:ilvl w:val="0"/>
                <w:numId w:val="14"/>
              </w:numPr>
              <w:tabs>
                <w:tab w:pos="548" w:val="left" w:leader="none"/>
              </w:tabs>
              <w:spacing w:line="240" w:lineRule="auto" w:before="36" w:after="0"/>
              <w:ind w:left="547" w:right="0" w:hanging="423"/>
              <w:jc w:val="left"/>
              <w:rPr>
                <w:sz w:val="21"/>
              </w:rPr>
            </w:pPr>
            <w:r>
              <w:rPr>
                <w:sz w:val="21"/>
              </w:rPr>
              <w:t>肝性脑病；</w:t>
            </w:r>
          </w:p>
          <w:p>
            <w:pPr>
              <w:pStyle w:val="TableParagraph"/>
              <w:numPr>
                <w:ilvl w:val="0"/>
                <w:numId w:val="14"/>
              </w:numPr>
              <w:tabs>
                <w:tab w:pos="548" w:val="left" w:leader="none"/>
              </w:tabs>
              <w:spacing w:line="240" w:lineRule="auto" w:before="37" w:after="0"/>
              <w:ind w:left="547" w:right="0" w:hanging="423"/>
              <w:jc w:val="left"/>
              <w:rPr>
                <w:sz w:val="21"/>
              </w:rPr>
            </w:pPr>
            <w:r>
              <w:rPr>
                <w:sz w:val="21"/>
              </w:rPr>
              <w:t>B</w:t>
            </w:r>
            <w:r>
              <w:rPr>
                <w:spacing w:val="-3"/>
                <w:sz w:val="21"/>
              </w:rPr>
              <w:t> 超或其它影像学检查显示肝脏体积急速萎缩；</w:t>
            </w:r>
          </w:p>
          <w:p>
            <w:pPr>
              <w:pStyle w:val="TableParagraph"/>
              <w:numPr>
                <w:ilvl w:val="0"/>
                <w:numId w:val="14"/>
              </w:numPr>
              <w:tabs>
                <w:tab w:pos="548" w:val="left" w:leader="none"/>
              </w:tabs>
              <w:spacing w:line="240" w:lineRule="auto" w:before="37" w:after="0"/>
              <w:ind w:left="547" w:right="0" w:hanging="423"/>
              <w:jc w:val="left"/>
              <w:rPr>
                <w:sz w:val="21"/>
              </w:rPr>
            </w:pPr>
            <w:r>
              <w:rPr>
                <w:spacing w:val="-2"/>
                <w:sz w:val="21"/>
              </w:rPr>
              <w:t>肝功能指标进行性恶化。</w:t>
            </w:r>
          </w:p>
        </w:tc>
      </w:tr>
      <w:tr>
        <w:trPr>
          <w:trHeight w:val="2352" w:hRule="atLeast"/>
        </w:trPr>
        <w:tc>
          <w:tcPr>
            <w:tcW w:w="786" w:type="dxa"/>
          </w:tcPr>
          <w:p>
            <w:pPr>
              <w:pStyle w:val="TableParagraph"/>
              <w:spacing w:before="83"/>
              <w:ind w:left="200"/>
              <w:rPr>
                <w:rFonts w:ascii="Microsoft JhengHei"/>
                <w:b/>
                <w:sz w:val="21"/>
              </w:rPr>
            </w:pPr>
            <w:r>
              <w:rPr>
                <w:rFonts w:ascii="Microsoft JhengHei"/>
                <w:b/>
                <w:w w:val="105"/>
                <w:sz w:val="21"/>
              </w:rPr>
              <w:t>9.9</w:t>
            </w:r>
          </w:p>
        </w:tc>
        <w:tc>
          <w:tcPr>
            <w:tcW w:w="1133" w:type="dxa"/>
          </w:tcPr>
          <w:p>
            <w:pPr>
              <w:pStyle w:val="TableParagraph"/>
              <w:spacing w:line="201" w:lineRule="auto" w:before="141"/>
              <w:ind w:left="163" w:right="122"/>
              <w:rPr>
                <w:rFonts w:ascii="Microsoft JhengHei" w:eastAsia="Microsoft JhengHei" w:hint="eastAsia"/>
                <w:b/>
                <w:sz w:val="21"/>
              </w:rPr>
            </w:pPr>
            <w:r>
              <w:rPr>
                <w:rFonts w:ascii="Microsoft JhengHei" w:eastAsia="Microsoft JhengHei" w:hint="eastAsia"/>
                <w:b/>
                <w:sz w:val="21"/>
              </w:rPr>
              <w:t>良性脑肿瘤</w:t>
            </w:r>
          </w:p>
        </w:tc>
        <w:tc>
          <w:tcPr>
            <w:tcW w:w="8104" w:type="dxa"/>
          </w:tcPr>
          <w:p>
            <w:pPr>
              <w:pStyle w:val="TableParagraph"/>
              <w:spacing w:line="271" w:lineRule="auto" w:before="150"/>
              <w:ind w:left="124" w:right="197"/>
              <w:jc w:val="both"/>
              <w:rPr>
                <w:sz w:val="21"/>
              </w:rPr>
            </w:pPr>
            <w:r>
              <w:rPr>
                <w:spacing w:val="-6"/>
                <w:sz w:val="21"/>
              </w:rPr>
              <w:t>指脑的良性肿瘤，已经引起颅内压增高，临床表现为视神经乳头水肿、精神症状、癫</w:t>
            </w:r>
            <w:r>
              <w:rPr>
                <w:spacing w:val="-5"/>
                <w:w w:val="100"/>
                <w:sz w:val="21"/>
              </w:rPr>
              <w:t>痫及运动感觉障碍等，并危及生命。须由头颅断层扫描</w:t>
            </w:r>
            <w:r>
              <w:rPr>
                <w:spacing w:val="1"/>
                <w:w w:val="100"/>
                <w:sz w:val="21"/>
              </w:rPr>
              <w:t>（</w:t>
            </w:r>
            <w:r>
              <w:rPr>
                <w:w w:val="100"/>
                <w:sz w:val="21"/>
              </w:rPr>
              <w:t>CT</w:t>
            </w:r>
            <w:r>
              <w:rPr>
                <w:spacing w:val="-106"/>
                <w:w w:val="100"/>
                <w:sz w:val="21"/>
              </w:rPr>
              <w:t>）</w:t>
            </w:r>
            <w:r>
              <w:rPr>
                <w:spacing w:val="-3"/>
                <w:w w:val="100"/>
                <w:sz w:val="21"/>
              </w:rPr>
              <w:t>、核磁共振检查</w:t>
            </w:r>
            <w:r>
              <w:rPr>
                <w:w w:val="100"/>
                <w:sz w:val="21"/>
              </w:rPr>
              <w:t>（MRI）</w:t>
            </w:r>
            <w:r>
              <w:rPr>
                <w:spacing w:val="-3"/>
                <w:sz w:val="21"/>
              </w:rPr>
              <w:t>或正电子发射断层扫描</w:t>
            </w:r>
            <w:r>
              <w:rPr>
                <w:sz w:val="21"/>
              </w:rPr>
              <w:t>（PET）</w:t>
            </w:r>
            <w:r>
              <w:rPr>
                <w:spacing w:val="-5"/>
                <w:sz w:val="21"/>
              </w:rPr>
              <w:t>等影像学检查证实，并须满足下列至少一项条件：</w:t>
            </w:r>
          </w:p>
          <w:p>
            <w:pPr>
              <w:pStyle w:val="TableParagraph"/>
              <w:numPr>
                <w:ilvl w:val="0"/>
                <w:numId w:val="15"/>
              </w:numPr>
              <w:tabs>
                <w:tab w:pos="548" w:val="left" w:leader="none"/>
              </w:tabs>
              <w:spacing w:line="240" w:lineRule="auto" w:before="10" w:after="0"/>
              <w:ind w:left="547" w:right="0" w:hanging="423"/>
              <w:jc w:val="both"/>
              <w:rPr>
                <w:sz w:val="21"/>
              </w:rPr>
            </w:pPr>
            <w:r>
              <w:rPr>
                <w:spacing w:val="-5"/>
                <w:sz w:val="21"/>
              </w:rPr>
              <w:t>实际实施了开颅进行的脑肿瘤完全切除或部分切除的手术；</w:t>
            </w:r>
          </w:p>
          <w:p>
            <w:pPr>
              <w:pStyle w:val="TableParagraph"/>
              <w:numPr>
                <w:ilvl w:val="0"/>
                <w:numId w:val="15"/>
              </w:numPr>
              <w:tabs>
                <w:tab w:pos="548" w:val="left" w:leader="none"/>
              </w:tabs>
              <w:spacing w:line="240" w:lineRule="auto" w:before="37" w:after="0"/>
              <w:ind w:left="547" w:right="0" w:hanging="423"/>
              <w:jc w:val="both"/>
              <w:rPr>
                <w:sz w:val="21"/>
              </w:rPr>
            </w:pPr>
            <w:r>
              <w:rPr>
                <w:spacing w:val="-3"/>
                <w:sz w:val="21"/>
              </w:rPr>
              <w:t>实际实施了对脑肿瘤进行的放射治疗。</w:t>
            </w:r>
          </w:p>
          <w:p>
            <w:pPr>
              <w:pStyle w:val="TableParagraph"/>
              <w:spacing w:before="12"/>
              <w:rPr>
                <w:sz w:val="14"/>
              </w:rPr>
            </w:pPr>
          </w:p>
          <w:p>
            <w:pPr>
              <w:pStyle w:val="TableParagraph"/>
              <w:spacing w:before="0"/>
              <w:ind w:left="124"/>
              <w:jc w:val="both"/>
              <w:rPr>
                <w:sz w:val="21"/>
              </w:rPr>
            </w:pPr>
            <w:r>
              <w:rPr>
                <w:sz w:val="21"/>
              </w:rPr>
              <w:t>脑垂体瘤、脑囊肿、脑血管性疾病不在保障范围内。</w:t>
            </w:r>
          </w:p>
        </w:tc>
      </w:tr>
      <w:tr>
        <w:trPr>
          <w:trHeight w:val="2357" w:hRule="atLeast"/>
        </w:trPr>
        <w:tc>
          <w:tcPr>
            <w:tcW w:w="786" w:type="dxa"/>
          </w:tcPr>
          <w:p>
            <w:pPr>
              <w:pStyle w:val="TableParagraph"/>
              <w:spacing w:before="83"/>
              <w:ind w:left="200"/>
              <w:rPr>
                <w:rFonts w:ascii="Microsoft JhengHei"/>
                <w:b/>
                <w:sz w:val="21"/>
              </w:rPr>
            </w:pPr>
            <w:r>
              <w:rPr>
                <w:rFonts w:ascii="Microsoft JhengHei"/>
                <w:b/>
                <w:sz w:val="21"/>
              </w:rPr>
              <w:t>9.10</w:t>
            </w:r>
          </w:p>
        </w:tc>
        <w:tc>
          <w:tcPr>
            <w:tcW w:w="1133" w:type="dxa"/>
          </w:tcPr>
          <w:p>
            <w:pPr>
              <w:pStyle w:val="TableParagraph"/>
              <w:spacing w:line="204" w:lineRule="auto" w:before="138"/>
              <w:ind w:left="163" w:right="122"/>
              <w:jc w:val="both"/>
              <w:rPr>
                <w:rFonts w:ascii="Microsoft JhengHei" w:eastAsia="Microsoft JhengHei" w:hint="eastAsia"/>
                <w:b/>
                <w:sz w:val="21"/>
              </w:rPr>
            </w:pPr>
            <w:r>
              <w:rPr>
                <w:rFonts w:ascii="Microsoft JhengHei" w:eastAsia="Microsoft JhengHei" w:hint="eastAsia"/>
                <w:b/>
                <w:sz w:val="21"/>
              </w:rPr>
              <w:t>慢性肝功能衰竭失代偿期</w:t>
            </w:r>
          </w:p>
        </w:tc>
        <w:tc>
          <w:tcPr>
            <w:tcW w:w="8104" w:type="dxa"/>
          </w:tcPr>
          <w:p>
            <w:pPr>
              <w:pStyle w:val="TableParagraph"/>
              <w:spacing w:before="150"/>
              <w:ind w:left="124"/>
              <w:rPr>
                <w:sz w:val="21"/>
              </w:rPr>
            </w:pPr>
            <w:r>
              <w:rPr>
                <w:sz w:val="21"/>
              </w:rPr>
              <w:t>指因慢性肝脏疾病导致肝功能衰竭。须满足下列全部条件：</w:t>
            </w:r>
          </w:p>
          <w:p>
            <w:pPr>
              <w:pStyle w:val="TableParagraph"/>
              <w:numPr>
                <w:ilvl w:val="0"/>
                <w:numId w:val="16"/>
              </w:numPr>
              <w:tabs>
                <w:tab w:pos="548" w:val="left" w:leader="none"/>
              </w:tabs>
              <w:spacing w:line="240" w:lineRule="auto" w:before="37" w:after="0"/>
              <w:ind w:left="547" w:right="0" w:hanging="423"/>
              <w:jc w:val="left"/>
              <w:rPr>
                <w:sz w:val="21"/>
              </w:rPr>
            </w:pPr>
            <w:r>
              <w:rPr>
                <w:spacing w:val="-1"/>
                <w:sz w:val="21"/>
              </w:rPr>
              <w:t>持续性黄疸；</w:t>
            </w:r>
          </w:p>
          <w:p>
            <w:pPr>
              <w:pStyle w:val="TableParagraph"/>
              <w:numPr>
                <w:ilvl w:val="0"/>
                <w:numId w:val="16"/>
              </w:numPr>
              <w:tabs>
                <w:tab w:pos="548" w:val="left" w:leader="none"/>
              </w:tabs>
              <w:spacing w:line="240" w:lineRule="auto" w:before="37" w:after="0"/>
              <w:ind w:left="547" w:right="0" w:hanging="423"/>
              <w:jc w:val="left"/>
              <w:rPr>
                <w:sz w:val="21"/>
              </w:rPr>
            </w:pPr>
            <w:r>
              <w:rPr>
                <w:sz w:val="21"/>
              </w:rPr>
              <w:t>腹水；</w:t>
            </w:r>
          </w:p>
          <w:p>
            <w:pPr>
              <w:pStyle w:val="TableParagraph"/>
              <w:numPr>
                <w:ilvl w:val="0"/>
                <w:numId w:val="16"/>
              </w:numPr>
              <w:tabs>
                <w:tab w:pos="548" w:val="left" w:leader="none"/>
              </w:tabs>
              <w:spacing w:line="240" w:lineRule="auto" w:before="37" w:after="0"/>
              <w:ind w:left="547" w:right="0" w:hanging="423"/>
              <w:jc w:val="left"/>
              <w:rPr>
                <w:sz w:val="21"/>
              </w:rPr>
            </w:pPr>
            <w:r>
              <w:rPr>
                <w:sz w:val="21"/>
              </w:rPr>
              <w:t>肝性脑病；</w:t>
            </w:r>
          </w:p>
          <w:p>
            <w:pPr>
              <w:pStyle w:val="TableParagraph"/>
              <w:numPr>
                <w:ilvl w:val="0"/>
                <w:numId w:val="16"/>
              </w:numPr>
              <w:tabs>
                <w:tab w:pos="548" w:val="left" w:leader="none"/>
              </w:tabs>
              <w:spacing w:line="240" w:lineRule="auto" w:before="37" w:after="0"/>
              <w:ind w:left="547" w:right="0" w:hanging="423"/>
              <w:jc w:val="left"/>
              <w:rPr>
                <w:sz w:val="21"/>
              </w:rPr>
            </w:pPr>
            <w:r>
              <w:rPr>
                <w:spacing w:val="-5"/>
                <w:sz w:val="21"/>
              </w:rPr>
              <w:t>充血性脾肿大伴脾功能亢进或食管胃底静脉曲张。</w:t>
            </w:r>
          </w:p>
          <w:p>
            <w:pPr>
              <w:pStyle w:val="TableParagraph"/>
              <w:spacing w:before="12"/>
              <w:rPr>
                <w:sz w:val="14"/>
              </w:rPr>
            </w:pPr>
          </w:p>
          <w:p>
            <w:pPr>
              <w:pStyle w:val="TableParagraph"/>
              <w:spacing w:before="0"/>
              <w:ind w:left="124"/>
              <w:rPr>
                <w:sz w:val="21"/>
              </w:rPr>
            </w:pPr>
            <w:r>
              <w:rPr>
                <w:sz w:val="21"/>
              </w:rPr>
              <w:t>因酗酒或药物滥用导致的肝功能衰竭不在保障范围内。</w:t>
            </w:r>
          </w:p>
        </w:tc>
      </w:tr>
      <w:tr>
        <w:trPr>
          <w:trHeight w:val="2196" w:hRule="atLeast"/>
        </w:trPr>
        <w:tc>
          <w:tcPr>
            <w:tcW w:w="786" w:type="dxa"/>
          </w:tcPr>
          <w:p>
            <w:pPr>
              <w:pStyle w:val="TableParagraph"/>
              <w:spacing w:before="83"/>
              <w:ind w:left="200"/>
              <w:rPr>
                <w:rFonts w:ascii="Microsoft JhengHei"/>
                <w:b/>
                <w:sz w:val="21"/>
              </w:rPr>
            </w:pPr>
            <w:r>
              <w:rPr>
                <w:rFonts w:ascii="Microsoft JhengHei"/>
                <w:b/>
                <w:sz w:val="21"/>
              </w:rPr>
              <w:t>9.11</w:t>
            </w:r>
          </w:p>
        </w:tc>
        <w:tc>
          <w:tcPr>
            <w:tcW w:w="1133" w:type="dxa"/>
          </w:tcPr>
          <w:p>
            <w:pPr>
              <w:pStyle w:val="TableParagraph"/>
              <w:spacing w:line="204" w:lineRule="auto" w:before="138"/>
              <w:ind w:left="163" w:right="122"/>
              <w:jc w:val="both"/>
              <w:rPr>
                <w:rFonts w:ascii="Microsoft JhengHei" w:eastAsia="Microsoft JhengHei" w:hint="eastAsia"/>
                <w:b/>
                <w:sz w:val="21"/>
              </w:rPr>
            </w:pPr>
            <w:r>
              <w:rPr>
                <w:rFonts w:ascii="Microsoft JhengHei" w:eastAsia="Microsoft JhengHei" w:hint="eastAsia"/>
                <w:b/>
                <w:sz w:val="21"/>
              </w:rPr>
              <w:t>脑炎后遗症或脑膜炎后遗症</w:t>
            </w:r>
          </w:p>
        </w:tc>
        <w:tc>
          <w:tcPr>
            <w:tcW w:w="8104" w:type="dxa"/>
          </w:tcPr>
          <w:p>
            <w:pPr>
              <w:pStyle w:val="TableParagraph"/>
              <w:spacing w:line="268" w:lineRule="auto" w:before="150"/>
              <w:ind w:left="124" w:right="235"/>
              <w:rPr>
                <w:sz w:val="21"/>
              </w:rPr>
            </w:pPr>
            <w:r>
              <w:rPr>
                <w:sz w:val="21"/>
              </w:rPr>
              <w:t>指因患脑炎或脑膜炎导致的神经系统永久性的功能障碍。神经系统永久性的功能障碍，指疾病确诊 180 天后，仍遗留下列一种或一种以上障碍：</w:t>
            </w:r>
          </w:p>
          <w:p>
            <w:pPr>
              <w:pStyle w:val="TableParagraph"/>
              <w:numPr>
                <w:ilvl w:val="0"/>
                <w:numId w:val="17"/>
              </w:numPr>
              <w:tabs>
                <w:tab w:pos="548" w:val="left" w:leader="none"/>
              </w:tabs>
              <w:spacing w:line="240" w:lineRule="auto" w:before="12" w:after="0"/>
              <w:ind w:left="547" w:right="0" w:hanging="423"/>
              <w:jc w:val="left"/>
              <w:rPr>
                <w:sz w:val="21"/>
              </w:rPr>
            </w:pPr>
            <w:r>
              <w:rPr>
                <w:spacing w:val="-3"/>
                <w:sz w:val="21"/>
              </w:rPr>
              <w:t>一肢或一肢以上肢体机能完全丧失；</w:t>
            </w:r>
          </w:p>
          <w:p>
            <w:pPr>
              <w:pStyle w:val="TableParagraph"/>
              <w:numPr>
                <w:ilvl w:val="0"/>
                <w:numId w:val="17"/>
              </w:numPr>
              <w:tabs>
                <w:tab w:pos="548" w:val="left" w:leader="none"/>
              </w:tabs>
              <w:spacing w:line="240" w:lineRule="auto" w:before="37" w:after="0"/>
              <w:ind w:left="547" w:right="0" w:hanging="423"/>
              <w:jc w:val="left"/>
              <w:rPr>
                <w:sz w:val="21"/>
              </w:rPr>
            </w:pPr>
            <w:r>
              <w:rPr>
                <w:spacing w:val="-3"/>
                <w:sz w:val="21"/>
              </w:rPr>
              <w:t>语言能力或咀嚼吞咽能力完全丧失；</w:t>
            </w:r>
          </w:p>
          <w:p>
            <w:pPr>
              <w:pStyle w:val="TableParagraph"/>
              <w:numPr>
                <w:ilvl w:val="0"/>
                <w:numId w:val="17"/>
              </w:numPr>
              <w:tabs>
                <w:tab w:pos="548" w:val="left" w:leader="none"/>
              </w:tabs>
              <w:spacing w:line="273" w:lineRule="auto" w:before="36" w:after="0"/>
              <w:ind w:left="547" w:right="230" w:hanging="423"/>
              <w:jc w:val="left"/>
              <w:rPr>
                <w:sz w:val="21"/>
              </w:rPr>
            </w:pPr>
            <w:r>
              <w:rPr>
                <w:spacing w:val="-5"/>
                <w:sz w:val="21"/>
              </w:rPr>
              <w:t>自主生活能力完全丧失，无法独立完成六项基本日常生活活动中的三项或三项以上。</w:t>
            </w:r>
          </w:p>
        </w:tc>
      </w:tr>
      <w:tr>
        <w:trPr>
          <w:trHeight w:val="1731" w:hRule="atLeast"/>
        </w:trPr>
        <w:tc>
          <w:tcPr>
            <w:tcW w:w="786" w:type="dxa"/>
          </w:tcPr>
          <w:p>
            <w:pPr>
              <w:pStyle w:val="TableParagraph"/>
              <w:spacing w:before="85"/>
              <w:ind w:left="200"/>
              <w:rPr>
                <w:rFonts w:ascii="Microsoft JhengHei"/>
                <w:b/>
                <w:sz w:val="21"/>
              </w:rPr>
            </w:pPr>
            <w:r>
              <w:rPr>
                <w:rFonts w:ascii="Microsoft JhengHei"/>
                <w:b/>
                <w:sz w:val="21"/>
              </w:rPr>
              <w:t>9.12</w:t>
            </w:r>
          </w:p>
        </w:tc>
        <w:tc>
          <w:tcPr>
            <w:tcW w:w="1133" w:type="dxa"/>
          </w:tcPr>
          <w:p>
            <w:pPr>
              <w:pStyle w:val="TableParagraph"/>
              <w:spacing w:before="85"/>
              <w:ind w:left="145" w:right="107"/>
              <w:jc w:val="center"/>
              <w:rPr>
                <w:rFonts w:ascii="Microsoft JhengHei" w:eastAsia="Microsoft JhengHei" w:hint="eastAsia"/>
                <w:b/>
                <w:sz w:val="21"/>
              </w:rPr>
            </w:pPr>
            <w:r>
              <w:rPr>
                <w:rFonts w:ascii="Microsoft JhengHei" w:eastAsia="Microsoft JhengHei" w:hint="eastAsia"/>
                <w:b/>
                <w:sz w:val="21"/>
              </w:rPr>
              <w:t>深度昏迷</w:t>
            </w:r>
          </w:p>
        </w:tc>
        <w:tc>
          <w:tcPr>
            <w:tcW w:w="8104" w:type="dxa"/>
          </w:tcPr>
          <w:p>
            <w:pPr>
              <w:pStyle w:val="TableParagraph"/>
              <w:spacing w:line="271" w:lineRule="auto" w:before="152"/>
              <w:ind w:left="124" w:right="232"/>
              <w:jc w:val="both"/>
              <w:rPr>
                <w:sz w:val="21"/>
              </w:rPr>
            </w:pPr>
            <w:r>
              <w:rPr>
                <w:spacing w:val="-6"/>
                <w:sz w:val="21"/>
              </w:rPr>
              <w:t>指因疾病或意外伤害导致意识丧失，对外界刺激和体内需求均无反应，昏迷程度按照</w:t>
            </w:r>
            <w:r>
              <w:rPr>
                <w:spacing w:val="-5"/>
                <w:sz w:val="21"/>
              </w:rPr>
              <w:t>格拉斯哥昏迷分级</w:t>
            </w:r>
            <w:r>
              <w:rPr>
                <w:sz w:val="21"/>
              </w:rPr>
              <w:t>（Glasgow coma scale）</w:t>
            </w:r>
            <w:r>
              <w:rPr>
                <w:spacing w:val="-14"/>
                <w:sz w:val="21"/>
              </w:rPr>
              <w:t>结果为 </w:t>
            </w:r>
            <w:r>
              <w:rPr>
                <w:sz w:val="21"/>
              </w:rPr>
              <w:t>5</w:t>
            </w:r>
            <w:r>
              <w:rPr>
                <w:spacing w:val="-26"/>
                <w:sz w:val="21"/>
              </w:rPr>
              <w:t> 分或 </w:t>
            </w:r>
            <w:r>
              <w:rPr>
                <w:sz w:val="21"/>
              </w:rPr>
              <w:t>5</w:t>
            </w:r>
            <w:r>
              <w:rPr>
                <w:spacing w:val="-8"/>
                <w:sz w:val="21"/>
              </w:rPr>
              <w:t> 分以下，且已经持续使用</w:t>
            </w:r>
            <w:r>
              <w:rPr>
                <w:spacing w:val="-9"/>
                <w:sz w:val="21"/>
              </w:rPr>
              <w:t>呼吸机及其它生命维持系统 </w:t>
            </w:r>
            <w:r>
              <w:rPr>
                <w:sz w:val="21"/>
              </w:rPr>
              <w:t>96</w:t>
            </w:r>
            <w:r>
              <w:rPr>
                <w:spacing w:val="-10"/>
                <w:sz w:val="21"/>
              </w:rPr>
              <w:t> 小时以上。</w:t>
            </w:r>
          </w:p>
          <w:p>
            <w:pPr>
              <w:pStyle w:val="TableParagraph"/>
              <w:spacing w:before="168"/>
              <w:ind w:left="124"/>
              <w:jc w:val="both"/>
              <w:rPr>
                <w:sz w:val="21"/>
              </w:rPr>
            </w:pPr>
            <w:r>
              <w:rPr>
                <w:sz w:val="21"/>
              </w:rPr>
              <w:t>因酗酒或药物滥用导致的深度昏迷不在保障范围内。</w:t>
            </w:r>
          </w:p>
        </w:tc>
      </w:tr>
      <w:tr>
        <w:trPr>
          <w:trHeight w:val="1733" w:hRule="atLeast"/>
        </w:trPr>
        <w:tc>
          <w:tcPr>
            <w:tcW w:w="786" w:type="dxa"/>
          </w:tcPr>
          <w:p>
            <w:pPr>
              <w:pStyle w:val="TableParagraph"/>
              <w:spacing w:before="83"/>
              <w:ind w:left="200"/>
              <w:rPr>
                <w:rFonts w:ascii="Microsoft JhengHei"/>
                <w:b/>
                <w:sz w:val="21"/>
              </w:rPr>
            </w:pPr>
            <w:r>
              <w:rPr>
                <w:rFonts w:ascii="Microsoft JhengHei"/>
                <w:b/>
                <w:sz w:val="21"/>
              </w:rPr>
              <w:t>9.13</w:t>
            </w:r>
          </w:p>
        </w:tc>
        <w:tc>
          <w:tcPr>
            <w:tcW w:w="1133" w:type="dxa"/>
          </w:tcPr>
          <w:p>
            <w:pPr>
              <w:pStyle w:val="TableParagraph"/>
              <w:spacing w:before="83"/>
              <w:ind w:left="145" w:right="107"/>
              <w:jc w:val="center"/>
              <w:rPr>
                <w:rFonts w:ascii="Microsoft JhengHei" w:eastAsia="Microsoft JhengHei" w:hint="eastAsia"/>
                <w:b/>
                <w:sz w:val="21"/>
              </w:rPr>
            </w:pPr>
            <w:r>
              <w:rPr>
                <w:rFonts w:ascii="Microsoft JhengHei" w:eastAsia="Microsoft JhengHei" w:hint="eastAsia"/>
                <w:b/>
                <w:sz w:val="21"/>
              </w:rPr>
              <w:t>双耳失聪</w:t>
            </w:r>
          </w:p>
        </w:tc>
        <w:tc>
          <w:tcPr>
            <w:tcW w:w="8104" w:type="dxa"/>
          </w:tcPr>
          <w:p>
            <w:pPr>
              <w:pStyle w:val="TableParagraph"/>
              <w:spacing w:before="87"/>
              <w:ind w:left="124"/>
              <w:rPr>
                <w:sz w:val="21"/>
              </w:rPr>
            </w:pPr>
            <w:r>
              <w:rPr>
                <w:spacing w:val="-4"/>
                <w:sz w:val="21"/>
              </w:rPr>
              <w:t>指因疾病或意外伤害导致双耳听力</w:t>
            </w:r>
            <w:r>
              <w:rPr>
                <w:rFonts w:ascii="微软雅黑" w:eastAsia="微软雅黑" w:hint="eastAsia"/>
                <w:b/>
                <w:sz w:val="21"/>
              </w:rPr>
              <w:t>永久不可逆</w:t>
            </w:r>
            <w:r>
              <w:rPr>
                <w:spacing w:val="-21"/>
                <w:sz w:val="21"/>
              </w:rPr>
              <w:t>性丧失，在 </w:t>
            </w:r>
            <w:r>
              <w:rPr>
                <w:sz w:val="21"/>
              </w:rPr>
              <w:t>500</w:t>
            </w:r>
            <w:r>
              <w:rPr>
                <w:spacing w:val="-29"/>
                <w:sz w:val="21"/>
              </w:rPr>
              <w:t> 赫兹、</w:t>
            </w:r>
            <w:r>
              <w:rPr>
                <w:sz w:val="21"/>
              </w:rPr>
              <w:t>1000</w:t>
            </w:r>
            <w:r>
              <w:rPr>
                <w:spacing w:val="-20"/>
                <w:sz w:val="21"/>
              </w:rPr>
              <w:t> 赫兹和 </w:t>
            </w:r>
            <w:r>
              <w:rPr>
                <w:sz w:val="21"/>
              </w:rPr>
              <w:t>2000</w:t>
            </w:r>
          </w:p>
          <w:p>
            <w:pPr>
              <w:pStyle w:val="TableParagraph"/>
              <w:spacing w:line="273" w:lineRule="auto" w:before="11"/>
              <w:ind w:left="124" w:right="233"/>
              <w:rPr>
                <w:sz w:val="21"/>
              </w:rPr>
            </w:pPr>
            <w:r>
              <w:rPr>
                <w:spacing w:val="-9"/>
                <w:sz w:val="21"/>
              </w:rPr>
              <w:t>赫兹语音频率下，平均听阈大于 </w:t>
            </w:r>
            <w:r>
              <w:rPr>
                <w:sz w:val="21"/>
              </w:rPr>
              <w:t>90</w:t>
            </w:r>
            <w:r>
              <w:rPr>
                <w:spacing w:val="-13"/>
                <w:sz w:val="21"/>
              </w:rPr>
              <w:t> 分贝，且经纯音听力测试、声导抗检测或听觉诱发</w:t>
            </w:r>
            <w:r>
              <w:rPr>
                <w:spacing w:val="-8"/>
                <w:sz w:val="21"/>
              </w:rPr>
              <w:t>电位检测等证实。</w:t>
            </w:r>
          </w:p>
          <w:p>
            <w:pPr>
              <w:pStyle w:val="TableParagraph"/>
              <w:spacing w:before="166"/>
              <w:ind w:left="124"/>
              <w:rPr>
                <w:sz w:val="21"/>
              </w:rPr>
            </w:pPr>
            <w:r>
              <w:rPr>
                <w:sz w:val="21"/>
              </w:rPr>
              <w:t>被保险人在 3 周岁之前因疾病导致的双耳失聪不在保障范围内。</w:t>
            </w:r>
          </w:p>
        </w:tc>
      </w:tr>
      <w:tr>
        <w:trPr>
          <w:trHeight w:val="1044" w:hRule="atLeast"/>
        </w:trPr>
        <w:tc>
          <w:tcPr>
            <w:tcW w:w="786" w:type="dxa"/>
          </w:tcPr>
          <w:p>
            <w:pPr>
              <w:pStyle w:val="TableParagraph"/>
              <w:spacing w:before="83"/>
              <w:ind w:left="200"/>
              <w:rPr>
                <w:rFonts w:ascii="Microsoft JhengHei"/>
                <w:b/>
                <w:sz w:val="21"/>
              </w:rPr>
            </w:pPr>
            <w:r>
              <w:rPr>
                <w:rFonts w:ascii="Microsoft JhengHei"/>
                <w:b/>
                <w:sz w:val="21"/>
              </w:rPr>
              <w:t>9.14</w:t>
            </w:r>
          </w:p>
        </w:tc>
        <w:tc>
          <w:tcPr>
            <w:tcW w:w="1133" w:type="dxa"/>
          </w:tcPr>
          <w:p>
            <w:pPr>
              <w:pStyle w:val="TableParagraph"/>
              <w:spacing w:before="83"/>
              <w:ind w:left="145" w:right="107"/>
              <w:jc w:val="center"/>
              <w:rPr>
                <w:rFonts w:ascii="Microsoft JhengHei" w:eastAsia="Microsoft JhengHei" w:hint="eastAsia"/>
                <w:b/>
                <w:sz w:val="21"/>
              </w:rPr>
            </w:pPr>
            <w:r>
              <w:rPr>
                <w:rFonts w:ascii="Microsoft JhengHei" w:eastAsia="Microsoft JhengHei" w:hint="eastAsia"/>
                <w:b/>
                <w:sz w:val="21"/>
              </w:rPr>
              <w:t>双目失明</w:t>
            </w:r>
          </w:p>
        </w:tc>
        <w:tc>
          <w:tcPr>
            <w:tcW w:w="8104" w:type="dxa"/>
          </w:tcPr>
          <w:p>
            <w:pPr>
              <w:pStyle w:val="TableParagraph"/>
              <w:spacing w:line="268" w:lineRule="auto" w:before="150"/>
              <w:ind w:left="124" w:right="230"/>
              <w:rPr>
                <w:sz w:val="21"/>
              </w:rPr>
            </w:pPr>
            <w:r>
              <w:rPr>
                <w:spacing w:val="-6"/>
                <w:sz w:val="21"/>
              </w:rPr>
              <w:t>指因疾病或意外伤害导致双眼视力永久不可逆性丧失，双眼中较好眼须满足下列至少一项条件：</w:t>
            </w:r>
          </w:p>
          <w:p>
            <w:pPr>
              <w:pStyle w:val="TableParagraph"/>
              <w:spacing w:line="255" w:lineRule="exact" w:before="12"/>
              <w:ind w:left="124"/>
              <w:rPr>
                <w:sz w:val="21"/>
              </w:rPr>
            </w:pPr>
            <w:r>
              <w:rPr>
                <w:sz w:val="21"/>
              </w:rPr>
              <w:t>(1) 眼球缺失或摘除；</w:t>
            </w:r>
          </w:p>
        </w:tc>
      </w:tr>
    </w:tbl>
    <w:p>
      <w:pPr>
        <w:spacing w:after="0" w:line="255" w:lineRule="exact"/>
        <w:rPr>
          <w:sz w:val="21"/>
        </w:rPr>
        <w:sectPr>
          <w:pgSz w:w="11910" w:h="16840"/>
          <w:pgMar w:header="0" w:footer="346" w:top="740" w:bottom="540" w:left="860" w:right="80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6"/>
        <w:gridCol w:w="1133"/>
        <w:gridCol w:w="8180"/>
      </w:tblGrid>
      <w:tr>
        <w:trPr>
          <w:trHeight w:val="1207" w:hRule="atLeast"/>
        </w:trPr>
        <w:tc>
          <w:tcPr>
            <w:tcW w:w="786" w:type="dxa"/>
          </w:tcPr>
          <w:p>
            <w:pPr>
              <w:pStyle w:val="TableParagraph"/>
              <w:spacing w:before="0"/>
              <w:rPr>
                <w:rFonts w:ascii="Times New Roman"/>
                <w:sz w:val="20"/>
              </w:rPr>
            </w:pPr>
          </w:p>
        </w:tc>
        <w:tc>
          <w:tcPr>
            <w:tcW w:w="1133" w:type="dxa"/>
          </w:tcPr>
          <w:p>
            <w:pPr>
              <w:pStyle w:val="TableParagraph"/>
              <w:spacing w:before="0"/>
              <w:rPr>
                <w:rFonts w:ascii="Times New Roman"/>
                <w:sz w:val="20"/>
              </w:rPr>
            </w:pPr>
          </w:p>
        </w:tc>
        <w:tc>
          <w:tcPr>
            <w:tcW w:w="8180" w:type="dxa"/>
          </w:tcPr>
          <w:p>
            <w:pPr>
              <w:pStyle w:val="TableParagraph"/>
              <w:numPr>
                <w:ilvl w:val="0"/>
                <w:numId w:val="18"/>
              </w:numPr>
              <w:tabs>
                <w:tab w:pos="548" w:val="left" w:leader="none"/>
              </w:tabs>
              <w:spacing w:line="211" w:lineRule="exact" w:before="0" w:after="0"/>
              <w:ind w:left="547" w:right="0" w:hanging="423"/>
              <w:jc w:val="left"/>
              <w:rPr>
                <w:sz w:val="21"/>
              </w:rPr>
            </w:pPr>
            <w:r>
              <w:rPr>
                <w:spacing w:val="-1"/>
                <w:w w:val="100"/>
                <w:sz w:val="21"/>
              </w:rPr>
              <w:t>矫正视力低于</w:t>
            </w:r>
            <w:r>
              <w:rPr>
                <w:spacing w:val="-52"/>
                <w:sz w:val="21"/>
              </w:rPr>
              <w:t> </w:t>
            </w:r>
            <w:r>
              <w:rPr>
                <w:w w:val="100"/>
                <w:sz w:val="21"/>
              </w:rPr>
              <w:t>0.02</w:t>
            </w:r>
            <w:r>
              <w:rPr>
                <w:spacing w:val="-5"/>
                <w:w w:val="100"/>
                <w:sz w:val="21"/>
              </w:rPr>
              <w:t>（采用国际标准视力表，如果使用其它视力表应进行换算</w:t>
            </w:r>
            <w:r>
              <w:rPr>
                <w:spacing w:val="-106"/>
                <w:w w:val="100"/>
                <w:sz w:val="21"/>
              </w:rPr>
              <w:t>）</w:t>
            </w:r>
            <w:r>
              <w:rPr>
                <w:w w:val="100"/>
                <w:sz w:val="21"/>
              </w:rPr>
              <w:t>；</w:t>
            </w:r>
          </w:p>
          <w:p>
            <w:pPr>
              <w:pStyle w:val="TableParagraph"/>
              <w:numPr>
                <w:ilvl w:val="0"/>
                <w:numId w:val="18"/>
              </w:numPr>
              <w:tabs>
                <w:tab w:pos="548" w:val="left" w:leader="none"/>
              </w:tabs>
              <w:spacing w:line="240" w:lineRule="auto" w:before="37" w:after="0"/>
              <w:ind w:left="547" w:right="0" w:hanging="423"/>
              <w:jc w:val="left"/>
              <w:rPr>
                <w:sz w:val="21"/>
              </w:rPr>
            </w:pPr>
            <w:r>
              <w:rPr>
                <w:spacing w:val="-8"/>
                <w:sz w:val="21"/>
              </w:rPr>
              <w:t>视野半径小于 </w:t>
            </w:r>
            <w:r>
              <w:rPr>
                <w:sz w:val="21"/>
              </w:rPr>
              <w:t>5</w:t>
            </w:r>
            <w:r>
              <w:rPr>
                <w:spacing w:val="-16"/>
                <w:sz w:val="21"/>
              </w:rPr>
              <w:t> 度。</w:t>
            </w:r>
          </w:p>
          <w:p>
            <w:pPr>
              <w:pStyle w:val="TableParagraph"/>
              <w:spacing w:before="12"/>
              <w:rPr>
                <w:sz w:val="14"/>
              </w:rPr>
            </w:pPr>
          </w:p>
          <w:p>
            <w:pPr>
              <w:pStyle w:val="TableParagraph"/>
              <w:spacing w:before="0"/>
              <w:ind w:left="124"/>
              <w:rPr>
                <w:sz w:val="21"/>
              </w:rPr>
            </w:pPr>
            <w:r>
              <w:rPr>
                <w:sz w:val="21"/>
              </w:rPr>
              <w:t>被保险人在 3 周岁之前因疾病导致的双目失明不在保障范围内。</w:t>
            </w:r>
          </w:p>
        </w:tc>
      </w:tr>
      <w:tr>
        <w:trPr>
          <w:trHeight w:val="1260" w:hRule="atLeast"/>
        </w:trPr>
        <w:tc>
          <w:tcPr>
            <w:tcW w:w="786" w:type="dxa"/>
          </w:tcPr>
          <w:p>
            <w:pPr>
              <w:pStyle w:val="TableParagraph"/>
              <w:spacing w:before="83"/>
              <w:ind w:right="161"/>
              <w:jc w:val="right"/>
              <w:rPr>
                <w:rFonts w:ascii="Microsoft JhengHei"/>
                <w:b/>
                <w:sz w:val="21"/>
              </w:rPr>
            </w:pPr>
            <w:r>
              <w:rPr>
                <w:rFonts w:ascii="Microsoft JhengHei"/>
                <w:b/>
                <w:w w:val="95"/>
                <w:sz w:val="21"/>
              </w:rPr>
              <w:t>9.15</w:t>
            </w:r>
          </w:p>
        </w:tc>
        <w:tc>
          <w:tcPr>
            <w:tcW w:w="1133" w:type="dxa"/>
          </w:tcPr>
          <w:p>
            <w:pPr>
              <w:pStyle w:val="TableParagraph"/>
              <w:spacing w:before="83"/>
              <w:ind w:left="163"/>
              <w:rPr>
                <w:rFonts w:ascii="Microsoft JhengHei" w:eastAsia="Microsoft JhengHei" w:hint="eastAsia"/>
                <w:b/>
                <w:sz w:val="21"/>
              </w:rPr>
            </w:pPr>
            <w:r>
              <w:rPr>
                <w:rFonts w:ascii="Microsoft JhengHei" w:eastAsia="Microsoft JhengHei" w:hint="eastAsia"/>
                <w:b/>
                <w:sz w:val="21"/>
              </w:rPr>
              <w:t>瘫痪</w:t>
            </w:r>
          </w:p>
        </w:tc>
        <w:tc>
          <w:tcPr>
            <w:tcW w:w="8180" w:type="dxa"/>
          </w:tcPr>
          <w:p>
            <w:pPr>
              <w:pStyle w:val="TableParagraph"/>
              <w:spacing w:line="271" w:lineRule="auto" w:before="150"/>
              <w:ind w:left="124" w:right="306"/>
              <w:jc w:val="both"/>
              <w:rPr>
                <w:sz w:val="21"/>
              </w:rPr>
            </w:pPr>
            <w:r>
              <w:rPr>
                <w:spacing w:val="-6"/>
                <w:sz w:val="21"/>
              </w:rPr>
              <w:t>指因疾病或意外伤害导致两肢或两肢以上肢体机能永久完全丧失。肢体机能永久完全</w:t>
            </w:r>
            <w:r>
              <w:rPr>
                <w:spacing w:val="-10"/>
                <w:sz w:val="21"/>
              </w:rPr>
              <w:t>丧失，指疾病确诊 </w:t>
            </w:r>
            <w:r>
              <w:rPr>
                <w:sz w:val="21"/>
              </w:rPr>
              <w:t>180</w:t>
            </w:r>
            <w:r>
              <w:rPr>
                <w:spacing w:val="-12"/>
                <w:sz w:val="21"/>
              </w:rPr>
              <w:t> 天后或意外伤害发生 </w:t>
            </w:r>
            <w:r>
              <w:rPr>
                <w:sz w:val="21"/>
              </w:rPr>
              <w:t>180</w:t>
            </w:r>
            <w:r>
              <w:rPr>
                <w:spacing w:val="-10"/>
                <w:sz w:val="21"/>
              </w:rPr>
              <w:t> 天后，每肢三大关节中的两大关节仍</w:t>
            </w:r>
            <w:r>
              <w:rPr>
                <w:spacing w:val="-7"/>
                <w:sz w:val="21"/>
              </w:rPr>
              <w:t>然完全僵硬，或不能随意识活动。</w:t>
            </w:r>
          </w:p>
        </w:tc>
      </w:tr>
      <w:tr>
        <w:trPr>
          <w:trHeight w:val="948" w:hRule="atLeast"/>
        </w:trPr>
        <w:tc>
          <w:tcPr>
            <w:tcW w:w="786" w:type="dxa"/>
          </w:tcPr>
          <w:p>
            <w:pPr>
              <w:pStyle w:val="TableParagraph"/>
              <w:spacing w:before="85"/>
              <w:ind w:right="161"/>
              <w:jc w:val="right"/>
              <w:rPr>
                <w:rFonts w:ascii="Microsoft JhengHei"/>
                <w:b/>
                <w:sz w:val="21"/>
              </w:rPr>
            </w:pPr>
            <w:r>
              <w:rPr>
                <w:rFonts w:ascii="Microsoft JhengHei"/>
                <w:b/>
                <w:w w:val="95"/>
                <w:sz w:val="21"/>
              </w:rPr>
              <w:t>9.16</w:t>
            </w:r>
          </w:p>
        </w:tc>
        <w:tc>
          <w:tcPr>
            <w:tcW w:w="1133" w:type="dxa"/>
          </w:tcPr>
          <w:p>
            <w:pPr>
              <w:pStyle w:val="TableParagraph"/>
              <w:spacing w:line="201" w:lineRule="auto" w:before="144"/>
              <w:ind w:left="163" w:right="122"/>
              <w:rPr>
                <w:rFonts w:ascii="Microsoft JhengHei" w:eastAsia="Microsoft JhengHei" w:hint="eastAsia"/>
                <w:b/>
                <w:sz w:val="21"/>
              </w:rPr>
            </w:pPr>
            <w:r>
              <w:rPr>
                <w:rFonts w:ascii="Microsoft JhengHei" w:eastAsia="Microsoft JhengHei" w:hint="eastAsia"/>
                <w:b/>
                <w:sz w:val="21"/>
              </w:rPr>
              <w:t>心脏瓣膜手术</w:t>
            </w:r>
          </w:p>
        </w:tc>
        <w:tc>
          <w:tcPr>
            <w:tcW w:w="8180" w:type="dxa"/>
          </w:tcPr>
          <w:p>
            <w:pPr>
              <w:pStyle w:val="TableParagraph"/>
              <w:spacing w:before="152"/>
              <w:ind w:left="124"/>
              <w:rPr>
                <w:sz w:val="21"/>
              </w:rPr>
            </w:pPr>
            <w:r>
              <w:rPr>
                <w:sz w:val="21"/>
              </w:rPr>
              <w:t>指为治疗心脏瓣膜疾病，实际实施了开胸进行的心脏瓣膜置换或修复的手术。</w:t>
            </w:r>
          </w:p>
        </w:tc>
      </w:tr>
      <w:tr>
        <w:trPr>
          <w:trHeight w:val="2357" w:hRule="atLeast"/>
        </w:trPr>
        <w:tc>
          <w:tcPr>
            <w:tcW w:w="786" w:type="dxa"/>
          </w:tcPr>
          <w:p>
            <w:pPr>
              <w:pStyle w:val="TableParagraph"/>
              <w:spacing w:before="83"/>
              <w:ind w:right="161"/>
              <w:jc w:val="right"/>
              <w:rPr>
                <w:rFonts w:ascii="Microsoft JhengHei"/>
                <w:b/>
                <w:sz w:val="21"/>
              </w:rPr>
            </w:pPr>
            <w:r>
              <w:rPr>
                <w:rFonts w:ascii="Microsoft JhengHei"/>
                <w:b/>
                <w:w w:val="95"/>
                <w:sz w:val="21"/>
              </w:rPr>
              <w:t>9.17</w:t>
            </w:r>
          </w:p>
        </w:tc>
        <w:tc>
          <w:tcPr>
            <w:tcW w:w="1133" w:type="dxa"/>
          </w:tcPr>
          <w:p>
            <w:pPr>
              <w:pStyle w:val="TableParagraph"/>
              <w:spacing w:line="204" w:lineRule="auto" w:before="138"/>
              <w:ind w:left="163" w:right="122"/>
              <w:rPr>
                <w:rFonts w:ascii="Microsoft JhengHei" w:eastAsia="Microsoft JhengHei" w:hint="eastAsia"/>
                <w:b/>
                <w:sz w:val="21"/>
              </w:rPr>
            </w:pPr>
            <w:r>
              <w:rPr>
                <w:rFonts w:ascii="Microsoft JhengHei" w:eastAsia="Microsoft JhengHei" w:hint="eastAsia"/>
                <w:b/>
                <w:sz w:val="21"/>
              </w:rPr>
              <w:t>严重阿尔茨海默病</w:t>
            </w:r>
          </w:p>
        </w:tc>
        <w:tc>
          <w:tcPr>
            <w:tcW w:w="8180" w:type="dxa"/>
          </w:tcPr>
          <w:p>
            <w:pPr>
              <w:pStyle w:val="TableParagraph"/>
              <w:spacing w:line="273" w:lineRule="auto" w:before="150"/>
              <w:ind w:left="124" w:right="198"/>
              <w:rPr>
                <w:sz w:val="21"/>
              </w:rPr>
            </w:pPr>
            <w:r>
              <w:rPr>
                <w:spacing w:val="-6"/>
                <w:sz w:val="21"/>
              </w:rPr>
              <w:t>指因大脑进行性、不可逆性改变导致智能严重衰退或丧失，临床表现为明显的认知能</w:t>
            </w:r>
            <w:r>
              <w:rPr>
                <w:spacing w:val="-8"/>
                <w:sz w:val="21"/>
              </w:rPr>
              <w:t>力障碍、行为异常和社交能力减退，其日常生活必须持续受到他人监护。须由头颅断</w:t>
            </w:r>
            <w:r>
              <w:rPr>
                <w:spacing w:val="-19"/>
                <w:w w:val="100"/>
                <w:sz w:val="21"/>
              </w:rPr>
              <w:t>层扫描</w:t>
            </w:r>
            <w:r>
              <w:rPr>
                <w:w w:val="100"/>
                <w:sz w:val="21"/>
              </w:rPr>
              <w:t>（</w:t>
            </w:r>
            <w:r>
              <w:rPr>
                <w:spacing w:val="-5"/>
                <w:w w:val="100"/>
                <w:sz w:val="21"/>
              </w:rPr>
              <w:t>C</w:t>
            </w:r>
            <w:r>
              <w:rPr>
                <w:w w:val="100"/>
                <w:sz w:val="21"/>
              </w:rPr>
              <w:t>T</w:t>
            </w:r>
            <w:r>
              <w:rPr>
                <w:spacing w:val="-106"/>
                <w:w w:val="100"/>
                <w:sz w:val="21"/>
              </w:rPr>
              <w:t>）</w:t>
            </w:r>
            <w:r>
              <w:rPr>
                <w:spacing w:val="-15"/>
                <w:w w:val="100"/>
                <w:sz w:val="21"/>
              </w:rPr>
              <w:t>、核磁共振检查</w:t>
            </w:r>
            <w:r>
              <w:rPr>
                <w:spacing w:val="0"/>
                <w:w w:val="100"/>
                <w:sz w:val="21"/>
              </w:rPr>
              <w:t>（</w:t>
            </w:r>
            <w:r>
              <w:rPr>
                <w:spacing w:val="-5"/>
                <w:w w:val="100"/>
                <w:sz w:val="21"/>
              </w:rPr>
              <w:t>M</w:t>
            </w:r>
            <w:r>
              <w:rPr>
                <w:w w:val="100"/>
                <w:sz w:val="21"/>
              </w:rPr>
              <w:t>RI</w:t>
            </w:r>
            <w:r>
              <w:rPr>
                <w:spacing w:val="-39"/>
                <w:w w:val="100"/>
                <w:sz w:val="21"/>
              </w:rPr>
              <w:t>）</w:t>
            </w:r>
            <w:r>
              <w:rPr>
                <w:spacing w:val="-8"/>
                <w:w w:val="100"/>
                <w:sz w:val="21"/>
              </w:rPr>
              <w:t>或正电子发射断层扫描</w:t>
            </w:r>
            <w:r>
              <w:rPr>
                <w:spacing w:val="0"/>
                <w:w w:val="100"/>
                <w:sz w:val="21"/>
              </w:rPr>
              <w:t>（</w:t>
            </w:r>
            <w:r>
              <w:rPr>
                <w:w w:val="100"/>
                <w:sz w:val="21"/>
              </w:rPr>
              <w:t>PE</w:t>
            </w:r>
            <w:r>
              <w:rPr>
                <w:spacing w:val="-5"/>
                <w:w w:val="100"/>
                <w:sz w:val="21"/>
              </w:rPr>
              <w:t>T</w:t>
            </w:r>
            <w:r>
              <w:rPr>
                <w:spacing w:val="-39"/>
                <w:w w:val="100"/>
                <w:sz w:val="21"/>
              </w:rPr>
              <w:t>）</w:t>
            </w:r>
            <w:r>
              <w:rPr>
                <w:spacing w:val="-3"/>
                <w:w w:val="100"/>
                <w:sz w:val="21"/>
              </w:rPr>
              <w:t>等影像学检查证实，</w:t>
            </w:r>
            <w:r>
              <w:rPr>
                <w:sz w:val="21"/>
              </w:rPr>
              <w:t>且自主生活能力完全丧失，无法独立完成六项基本日常生活活动中的三项或三项以 上。</w:t>
            </w:r>
          </w:p>
          <w:p>
            <w:pPr>
              <w:pStyle w:val="TableParagraph"/>
              <w:spacing w:before="166"/>
              <w:ind w:left="124"/>
              <w:rPr>
                <w:sz w:val="21"/>
              </w:rPr>
            </w:pPr>
            <w:r>
              <w:rPr>
                <w:sz w:val="21"/>
              </w:rPr>
              <w:t>神经官能症和精神疾病不在保障范围内。</w:t>
            </w:r>
          </w:p>
        </w:tc>
      </w:tr>
      <w:tr>
        <w:trPr>
          <w:trHeight w:val="2820" w:hRule="atLeast"/>
        </w:trPr>
        <w:tc>
          <w:tcPr>
            <w:tcW w:w="786" w:type="dxa"/>
          </w:tcPr>
          <w:p>
            <w:pPr>
              <w:pStyle w:val="TableParagraph"/>
              <w:spacing w:before="83"/>
              <w:ind w:right="161"/>
              <w:jc w:val="right"/>
              <w:rPr>
                <w:rFonts w:ascii="Microsoft JhengHei"/>
                <w:b/>
                <w:sz w:val="21"/>
              </w:rPr>
            </w:pPr>
            <w:r>
              <w:rPr>
                <w:rFonts w:ascii="Microsoft JhengHei"/>
                <w:b/>
                <w:w w:val="95"/>
                <w:sz w:val="21"/>
              </w:rPr>
              <w:t>9.18</w:t>
            </w:r>
          </w:p>
        </w:tc>
        <w:tc>
          <w:tcPr>
            <w:tcW w:w="1133" w:type="dxa"/>
          </w:tcPr>
          <w:p>
            <w:pPr>
              <w:pStyle w:val="TableParagraph"/>
              <w:spacing w:line="201" w:lineRule="auto" w:before="141"/>
              <w:ind w:left="163" w:right="122"/>
              <w:rPr>
                <w:rFonts w:ascii="Microsoft JhengHei" w:eastAsia="Microsoft JhengHei" w:hint="eastAsia"/>
                <w:b/>
                <w:sz w:val="21"/>
              </w:rPr>
            </w:pPr>
            <w:r>
              <w:rPr>
                <w:rFonts w:ascii="Microsoft JhengHei" w:eastAsia="Microsoft JhengHei" w:hint="eastAsia"/>
                <w:b/>
                <w:sz w:val="21"/>
              </w:rPr>
              <w:t>严重脑损伤</w:t>
            </w:r>
          </w:p>
        </w:tc>
        <w:tc>
          <w:tcPr>
            <w:tcW w:w="8180" w:type="dxa"/>
          </w:tcPr>
          <w:p>
            <w:pPr>
              <w:pStyle w:val="TableParagraph"/>
              <w:spacing w:line="271" w:lineRule="auto" w:before="150"/>
              <w:ind w:left="124" w:right="277"/>
              <w:jc w:val="both"/>
              <w:rPr>
                <w:sz w:val="21"/>
              </w:rPr>
            </w:pPr>
            <w:r>
              <w:rPr>
                <w:spacing w:val="-5"/>
                <w:sz w:val="21"/>
              </w:rPr>
              <w:t>指因头部遭受机械性外力，引起脑重要部位损伤，导致神经系统永久性的功能障碍。</w:t>
            </w:r>
            <w:r>
              <w:rPr>
                <w:spacing w:val="-8"/>
                <w:w w:val="100"/>
                <w:sz w:val="21"/>
              </w:rPr>
              <w:t>须由头颅断层扫描</w:t>
            </w:r>
            <w:r>
              <w:rPr>
                <w:spacing w:val="0"/>
                <w:w w:val="100"/>
                <w:sz w:val="21"/>
              </w:rPr>
              <w:t>（</w:t>
            </w:r>
            <w:r>
              <w:rPr>
                <w:w w:val="100"/>
                <w:sz w:val="21"/>
              </w:rPr>
              <w:t>CT</w:t>
            </w:r>
            <w:r>
              <w:rPr>
                <w:spacing w:val="-106"/>
                <w:w w:val="100"/>
                <w:sz w:val="21"/>
              </w:rPr>
              <w:t>）</w:t>
            </w:r>
            <w:r>
              <w:rPr>
                <w:spacing w:val="-10"/>
                <w:w w:val="100"/>
                <w:sz w:val="21"/>
              </w:rPr>
              <w:t>、核磁共振检查</w:t>
            </w:r>
            <w:r>
              <w:rPr>
                <w:spacing w:val="0"/>
                <w:w w:val="100"/>
                <w:sz w:val="21"/>
              </w:rPr>
              <w:t>（</w:t>
            </w:r>
            <w:r>
              <w:rPr>
                <w:w w:val="100"/>
                <w:sz w:val="21"/>
              </w:rPr>
              <w:t>MRI</w:t>
            </w:r>
            <w:r>
              <w:rPr>
                <w:spacing w:val="-25"/>
                <w:w w:val="100"/>
                <w:sz w:val="21"/>
              </w:rPr>
              <w:t>）</w:t>
            </w:r>
            <w:r>
              <w:rPr>
                <w:spacing w:val="-6"/>
                <w:w w:val="100"/>
                <w:sz w:val="21"/>
              </w:rPr>
              <w:t>或正电子发射断层扫描</w:t>
            </w:r>
            <w:r>
              <w:rPr>
                <w:w w:val="100"/>
                <w:sz w:val="21"/>
              </w:rPr>
              <w:t>（PET</w:t>
            </w:r>
            <w:r>
              <w:rPr>
                <w:spacing w:val="-25"/>
                <w:w w:val="100"/>
                <w:sz w:val="21"/>
              </w:rPr>
              <w:t>）</w:t>
            </w:r>
            <w:r>
              <w:rPr>
                <w:spacing w:val="-2"/>
                <w:w w:val="100"/>
                <w:sz w:val="21"/>
              </w:rPr>
              <w:t>等影像</w:t>
            </w:r>
            <w:r>
              <w:rPr>
                <w:spacing w:val="-8"/>
                <w:sz w:val="21"/>
              </w:rPr>
              <w:t>学检查证实。神经系统永久性的功能障碍，指脑损伤 </w:t>
            </w:r>
            <w:r>
              <w:rPr>
                <w:sz w:val="21"/>
              </w:rPr>
              <w:t>180</w:t>
            </w:r>
            <w:r>
              <w:rPr>
                <w:spacing w:val="-8"/>
                <w:sz w:val="21"/>
              </w:rPr>
              <w:t> 天后，仍遗留下列一种或一</w:t>
            </w:r>
            <w:r>
              <w:rPr>
                <w:spacing w:val="-7"/>
                <w:sz w:val="21"/>
              </w:rPr>
              <w:t>种以上障碍：</w:t>
            </w:r>
          </w:p>
          <w:p>
            <w:pPr>
              <w:pStyle w:val="TableParagraph"/>
              <w:numPr>
                <w:ilvl w:val="0"/>
                <w:numId w:val="19"/>
              </w:numPr>
              <w:tabs>
                <w:tab w:pos="548" w:val="left" w:leader="none"/>
              </w:tabs>
              <w:spacing w:line="240" w:lineRule="auto" w:before="10" w:after="0"/>
              <w:ind w:left="547" w:right="0" w:hanging="423"/>
              <w:jc w:val="left"/>
              <w:rPr>
                <w:sz w:val="21"/>
              </w:rPr>
            </w:pPr>
            <w:r>
              <w:rPr>
                <w:spacing w:val="-3"/>
                <w:sz w:val="21"/>
              </w:rPr>
              <w:t>一肢或一肢以上肢体机能完全丧失；</w:t>
            </w:r>
          </w:p>
          <w:p>
            <w:pPr>
              <w:pStyle w:val="TableParagraph"/>
              <w:numPr>
                <w:ilvl w:val="0"/>
                <w:numId w:val="19"/>
              </w:numPr>
              <w:tabs>
                <w:tab w:pos="548" w:val="left" w:leader="none"/>
              </w:tabs>
              <w:spacing w:line="240" w:lineRule="auto" w:before="37" w:after="0"/>
              <w:ind w:left="547" w:right="0" w:hanging="423"/>
              <w:jc w:val="left"/>
              <w:rPr>
                <w:sz w:val="21"/>
              </w:rPr>
            </w:pPr>
            <w:r>
              <w:rPr>
                <w:spacing w:val="-3"/>
                <w:sz w:val="21"/>
              </w:rPr>
              <w:t>语言能力或咀嚼吞咽能力完全丧失；</w:t>
            </w:r>
          </w:p>
          <w:p>
            <w:pPr>
              <w:pStyle w:val="TableParagraph"/>
              <w:numPr>
                <w:ilvl w:val="0"/>
                <w:numId w:val="19"/>
              </w:numPr>
              <w:tabs>
                <w:tab w:pos="548" w:val="left" w:leader="none"/>
              </w:tabs>
              <w:spacing w:line="273" w:lineRule="auto" w:before="37" w:after="0"/>
              <w:ind w:left="547" w:right="306" w:hanging="423"/>
              <w:jc w:val="left"/>
              <w:rPr>
                <w:sz w:val="21"/>
              </w:rPr>
            </w:pPr>
            <w:r>
              <w:rPr>
                <w:spacing w:val="-5"/>
                <w:sz w:val="21"/>
              </w:rPr>
              <w:t>自主生活能力完全丧失，无法独立完成六项基本日常生活活动中的三项或三项以上。</w:t>
            </w:r>
          </w:p>
        </w:tc>
      </w:tr>
      <w:tr>
        <w:trPr>
          <w:trHeight w:val="2355" w:hRule="atLeast"/>
        </w:trPr>
        <w:tc>
          <w:tcPr>
            <w:tcW w:w="786" w:type="dxa"/>
          </w:tcPr>
          <w:p>
            <w:pPr>
              <w:pStyle w:val="TableParagraph"/>
              <w:spacing w:before="85"/>
              <w:ind w:right="161"/>
              <w:jc w:val="right"/>
              <w:rPr>
                <w:rFonts w:ascii="Microsoft JhengHei"/>
                <w:b/>
                <w:sz w:val="21"/>
              </w:rPr>
            </w:pPr>
            <w:r>
              <w:rPr>
                <w:rFonts w:ascii="Microsoft JhengHei"/>
                <w:b/>
                <w:w w:val="95"/>
                <w:sz w:val="21"/>
              </w:rPr>
              <w:t>9.19</w:t>
            </w:r>
          </w:p>
        </w:tc>
        <w:tc>
          <w:tcPr>
            <w:tcW w:w="1133" w:type="dxa"/>
          </w:tcPr>
          <w:p>
            <w:pPr>
              <w:pStyle w:val="TableParagraph"/>
              <w:spacing w:line="201" w:lineRule="auto" w:before="144"/>
              <w:ind w:left="163" w:right="122"/>
              <w:rPr>
                <w:rFonts w:ascii="Microsoft JhengHei" w:eastAsia="Microsoft JhengHei" w:hint="eastAsia"/>
                <w:b/>
                <w:sz w:val="21"/>
              </w:rPr>
            </w:pPr>
            <w:r>
              <w:rPr>
                <w:rFonts w:ascii="Microsoft JhengHei" w:eastAsia="Microsoft JhengHei" w:hint="eastAsia"/>
                <w:b/>
                <w:sz w:val="21"/>
              </w:rPr>
              <w:t>严重帕金森病</w:t>
            </w:r>
          </w:p>
        </w:tc>
        <w:tc>
          <w:tcPr>
            <w:tcW w:w="8180" w:type="dxa"/>
          </w:tcPr>
          <w:p>
            <w:pPr>
              <w:pStyle w:val="TableParagraph"/>
              <w:spacing w:line="268" w:lineRule="auto" w:before="152"/>
              <w:ind w:left="124" w:right="306"/>
              <w:rPr>
                <w:sz w:val="21"/>
              </w:rPr>
            </w:pPr>
            <w:r>
              <w:rPr>
                <w:spacing w:val="-7"/>
                <w:sz w:val="21"/>
              </w:rPr>
              <w:t>是一种中枢神经系统的退行性疾病，临床表现为震颤麻痹、共济失调等。须满足下列全部条件：</w:t>
            </w:r>
          </w:p>
          <w:p>
            <w:pPr>
              <w:pStyle w:val="TableParagraph"/>
              <w:numPr>
                <w:ilvl w:val="0"/>
                <w:numId w:val="20"/>
              </w:numPr>
              <w:tabs>
                <w:tab w:pos="548" w:val="left" w:leader="none"/>
              </w:tabs>
              <w:spacing w:line="240" w:lineRule="auto" w:before="11" w:after="0"/>
              <w:ind w:left="547" w:right="0" w:hanging="423"/>
              <w:jc w:val="left"/>
              <w:rPr>
                <w:sz w:val="21"/>
              </w:rPr>
            </w:pPr>
            <w:r>
              <w:rPr>
                <w:spacing w:val="-2"/>
                <w:sz w:val="21"/>
              </w:rPr>
              <w:t>药物治疗无法控制病情；</w:t>
            </w:r>
          </w:p>
          <w:p>
            <w:pPr>
              <w:pStyle w:val="TableParagraph"/>
              <w:numPr>
                <w:ilvl w:val="0"/>
                <w:numId w:val="20"/>
              </w:numPr>
              <w:tabs>
                <w:tab w:pos="548" w:val="left" w:leader="none"/>
              </w:tabs>
              <w:spacing w:line="273" w:lineRule="auto" w:before="37" w:after="0"/>
              <w:ind w:left="547" w:right="306" w:hanging="423"/>
              <w:jc w:val="left"/>
              <w:rPr>
                <w:sz w:val="21"/>
              </w:rPr>
            </w:pPr>
            <w:r>
              <w:rPr>
                <w:spacing w:val="-5"/>
                <w:sz w:val="21"/>
              </w:rPr>
              <w:t>自主生活能力完全丧失，无法独立完成六项基本日常生活活动中的三项或三项以上。</w:t>
            </w:r>
          </w:p>
          <w:p>
            <w:pPr>
              <w:pStyle w:val="TableParagraph"/>
              <w:spacing w:before="166"/>
              <w:ind w:left="124"/>
              <w:rPr>
                <w:sz w:val="21"/>
              </w:rPr>
            </w:pPr>
            <w:r>
              <w:rPr>
                <w:sz w:val="21"/>
              </w:rPr>
              <w:t>继发性帕金森综合征不在保障范围内。</w:t>
            </w:r>
          </w:p>
        </w:tc>
      </w:tr>
      <w:tr>
        <w:trPr>
          <w:trHeight w:val="950" w:hRule="atLeast"/>
        </w:trPr>
        <w:tc>
          <w:tcPr>
            <w:tcW w:w="786" w:type="dxa"/>
          </w:tcPr>
          <w:p>
            <w:pPr>
              <w:pStyle w:val="TableParagraph"/>
              <w:spacing w:before="83"/>
              <w:ind w:right="161"/>
              <w:jc w:val="right"/>
              <w:rPr>
                <w:rFonts w:ascii="Microsoft JhengHei"/>
                <w:b/>
                <w:sz w:val="21"/>
              </w:rPr>
            </w:pPr>
            <w:r>
              <w:rPr>
                <w:rFonts w:ascii="Microsoft JhengHei"/>
                <w:b/>
                <w:w w:val="95"/>
                <w:sz w:val="21"/>
              </w:rPr>
              <w:t>9.20</w:t>
            </w:r>
          </w:p>
        </w:tc>
        <w:tc>
          <w:tcPr>
            <w:tcW w:w="1133" w:type="dxa"/>
          </w:tcPr>
          <w:p>
            <w:pPr>
              <w:pStyle w:val="TableParagraph"/>
              <w:spacing w:line="204" w:lineRule="auto" w:before="138"/>
              <w:ind w:left="163" w:right="122"/>
              <w:rPr>
                <w:rFonts w:ascii="Microsoft JhengHei" w:hAnsi="Microsoft JhengHei" w:eastAsia="Microsoft JhengHei" w:hint="eastAsia"/>
                <w:b/>
                <w:sz w:val="21"/>
              </w:rPr>
            </w:pPr>
            <w:r>
              <w:rPr>
                <w:rFonts w:ascii="Microsoft JhengHei" w:hAnsi="Microsoft JhengHei" w:eastAsia="Microsoft JhengHei" w:hint="eastAsia"/>
                <w:b/>
                <w:sz w:val="21"/>
              </w:rPr>
              <w:t>严重Ⅲ度烧伤</w:t>
            </w:r>
          </w:p>
        </w:tc>
        <w:tc>
          <w:tcPr>
            <w:tcW w:w="8180" w:type="dxa"/>
          </w:tcPr>
          <w:p>
            <w:pPr>
              <w:pStyle w:val="TableParagraph"/>
              <w:spacing w:line="273" w:lineRule="auto" w:before="150"/>
              <w:ind w:left="124" w:right="252"/>
              <w:rPr>
                <w:sz w:val="21"/>
              </w:rPr>
            </w:pPr>
            <w:r>
              <w:rPr>
                <w:sz w:val="21"/>
              </w:rPr>
              <w:t>指烧伤程度为Ⅲ度，且Ⅲ度烧伤的面积达到全身体表面积的 20％或 20％以上。体表面积根据《中国新九分法》计算。</w:t>
            </w:r>
          </w:p>
        </w:tc>
      </w:tr>
      <w:tr>
        <w:trPr>
          <w:trHeight w:val="1263" w:hRule="atLeast"/>
        </w:trPr>
        <w:tc>
          <w:tcPr>
            <w:tcW w:w="786" w:type="dxa"/>
          </w:tcPr>
          <w:p>
            <w:pPr>
              <w:pStyle w:val="TableParagraph"/>
              <w:spacing w:before="83"/>
              <w:ind w:right="161"/>
              <w:jc w:val="right"/>
              <w:rPr>
                <w:rFonts w:ascii="Microsoft JhengHei"/>
                <w:b/>
                <w:sz w:val="21"/>
              </w:rPr>
            </w:pPr>
            <w:r>
              <w:rPr>
                <w:rFonts w:ascii="Microsoft JhengHei"/>
                <w:b/>
                <w:w w:val="95"/>
                <w:sz w:val="21"/>
              </w:rPr>
              <w:t>9.21</w:t>
            </w:r>
          </w:p>
        </w:tc>
        <w:tc>
          <w:tcPr>
            <w:tcW w:w="1133" w:type="dxa"/>
          </w:tcPr>
          <w:p>
            <w:pPr>
              <w:pStyle w:val="TableParagraph"/>
              <w:spacing w:line="204" w:lineRule="auto" w:before="138"/>
              <w:ind w:left="163" w:right="122"/>
              <w:jc w:val="both"/>
              <w:rPr>
                <w:rFonts w:ascii="Microsoft JhengHei" w:eastAsia="Microsoft JhengHei" w:hint="eastAsia"/>
                <w:b/>
                <w:sz w:val="21"/>
              </w:rPr>
            </w:pPr>
            <w:r>
              <w:rPr>
                <w:rFonts w:ascii="Microsoft JhengHei" w:eastAsia="Microsoft JhengHei" w:hint="eastAsia"/>
                <w:b/>
                <w:sz w:val="21"/>
              </w:rPr>
              <w:t>严重原发性肺动脉高压</w:t>
            </w:r>
          </w:p>
        </w:tc>
        <w:tc>
          <w:tcPr>
            <w:tcW w:w="8180" w:type="dxa"/>
          </w:tcPr>
          <w:p>
            <w:pPr>
              <w:pStyle w:val="TableParagraph"/>
              <w:spacing w:line="273" w:lineRule="auto" w:before="150"/>
              <w:ind w:left="124" w:right="303"/>
              <w:jc w:val="both"/>
              <w:rPr>
                <w:sz w:val="21"/>
              </w:rPr>
            </w:pPr>
            <w:r>
              <w:rPr>
                <w:spacing w:val="-6"/>
                <w:sz w:val="21"/>
              </w:rPr>
              <w:t>指不明原因的肺动脉压力持续性增高，进行性发展而导致的慢性疾病，已经造成永久</w:t>
            </w:r>
            <w:r>
              <w:rPr>
                <w:spacing w:val="-5"/>
                <w:sz w:val="21"/>
              </w:rPr>
              <w:t>不可逆性的体力活动能力受限，达到美国纽约心脏病学会心功能状态分级 </w:t>
            </w:r>
            <w:r>
              <w:rPr>
                <w:spacing w:val="-3"/>
                <w:sz w:val="21"/>
              </w:rPr>
              <w:t>IV</w:t>
            </w:r>
            <w:r>
              <w:rPr>
                <w:sz w:val="21"/>
              </w:rPr>
              <w:t> 级，且</w:t>
            </w:r>
            <w:r>
              <w:rPr>
                <w:spacing w:val="-5"/>
                <w:sz w:val="21"/>
              </w:rPr>
              <w:t>静息状态下肺动脉平均压超 </w:t>
            </w:r>
            <w:r>
              <w:rPr>
                <w:sz w:val="21"/>
              </w:rPr>
              <w:t>30mmHg。</w:t>
            </w:r>
          </w:p>
        </w:tc>
      </w:tr>
      <w:tr>
        <w:trPr>
          <w:trHeight w:val="1262" w:hRule="atLeast"/>
        </w:trPr>
        <w:tc>
          <w:tcPr>
            <w:tcW w:w="786" w:type="dxa"/>
          </w:tcPr>
          <w:p>
            <w:pPr>
              <w:pStyle w:val="TableParagraph"/>
              <w:spacing w:before="83"/>
              <w:ind w:right="161"/>
              <w:jc w:val="right"/>
              <w:rPr>
                <w:rFonts w:ascii="Microsoft JhengHei"/>
                <w:b/>
                <w:sz w:val="21"/>
              </w:rPr>
            </w:pPr>
            <w:r>
              <w:rPr>
                <w:rFonts w:ascii="Microsoft JhengHei"/>
                <w:b/>
                <w:w w:val="95"/>
                <w:sz w:val="21"/>
              </w:rPr>
              <w:t>9.22</w:t>
            </w:r>
          </w:p>
        </w:tc>
        <w:tc>
          <w:tcPr>
            <w:tcW w:w="1133" w:type="dxa"/>
          </w:tcPr>
          <w:p>
            <w:pPr>
              <w:pStyle w:val="TableParagraph"/>
              <w:spacing w:line="204" w:lineRule="auto" w:before="138"/>
              <w:ind w:left="163" w:right="122"/>
              <w:rPr>
                <w:rFonts w:ascii="Microsoft JhengHei" w:eastAsia="Microsoft JhengHei" w:hint="eastAsia"/>
                <w:b/>
                <w:sz w:val="21"/>
              </w:rPr>
            </w:pPr>
            <w:r>
              <w:rPr>
                <w:rFonts w:ascii="Microsoft JhengHei" w:eastAsia="Microsoft JhengHei" w:hint="eastAsia"/>
                <w:b/>
                <w:sz w:val="21"/>
              </w:rPr>
              <w:t>严重运动神经元病</w:t>
            </w:r>
          </w:p>
        </w:tc>
        <w:tc>
          <w:tcPr>
            <w:tcW w:w="8180" w:type="dxa"/>
          </w:tcPr>
          <w:p>
            <w:pPr>
              <w:pStyle w:val="TableParagraph"/>
              <w:spacing w:line="273" w:lineRule="auto" w:before="150"/>
              <w:ind w:left="124" w:right="311"/>
              <w:jc w:val="both"/>
              <w:rPr>
                <w:sz w:val="21"/>
              </w:rPr>
            </w:pPr>
            <w:r>
              <w:rPr>
                <w:spacing w:val="-7"/>
                <w:sz w:val="21"/>
              </w:rPr>
              <w:t>是一组中枢神经系统运动神经元的进行性变性疾病，包括进行性脊肌萎缩症、进行性</w:t>
            </w:r>
            <w:r>
              <w:rPr>
                <w:spacing w:val="-9"/>
                <w:sz w:val="21"/>
              </w:rPr>
              <w:t>延髓麻痹症、原发性侧索硬化症、肌萎缩性侧索硬化症。须满足自主生活能力完全丧</w:t>
            </w:r>
            <w:r>
              <w:rPr>
                <w:spacing w:val="-7"/>
                <w:sz w:val="21"/>
              </w:rPr>
              <w:t>失，无法独立完成六项基本日常生活活动中的三项或三项以上的条件。</w:t>
            </w:r>
          </w:p>
        </w:tc>
      </w:tr>
      <w:tr>
        <w:trPr>
          <w:trHeight w:val="732" w:hRule="atLeast"/>
        </w:trPr>
        <w:tc>
          <w:tcPr>
            <w:tcW w:w="786" w:type="dxa"/>
          </w:tcPr>
          <w:p>
            <w:pPr>
              <w:pStyle w:val="TableParagraph"/>
              <w:spacing w:before="83"/>
              <w:ind w:right="161"/>
              <w:jc w:val="right"/>
              <w:rPr>
                <w:rFonts w:ascii="Microsoft JhengHei"/>
                <w:b/>
                <w:sz w:val="21"/>
              </w:rPr>
            </w:pPr>
            <w:r>
              <w:rPr>
                <w:rFonts w:ascii="Microsoft JhengHei"/>
                <w:b/>
                <w:w w:val="95"/>
                <w:sz w:val="21"/>
              </w:rPr>
              <w:t>9.23</w:t>
            </w:r>
          </w:p>
        </w:tc>
        <w:tc>
          <w:tcPr>
            <w:tcW w:w="1133" w:type="dxa"/>
          </w:tcPr>
          <w:p>
            <w:pPr>
              <w:pStyle w:val="TableParagraph"/>
              <w:spacing w:line="308" w:lineRule="exact" w:before="149"/>
              <w:ind w:left="163" w:right="122"/>
              <w:rPr>
                <w:rFonts w:ascii="Microsoft JhengHei" w:eastAsia="Microsoft JhengHei" w:hint="eastAsia"/>
                <w:b/>
                <w:sz w:val="21"/>
              </w:rPr>
            </w:pPr>
            <w:r>
              <w:rPr>
                <w:rFonts w:ascii="Microsoft JhengHei" w:eastAsia="Microsoft JhengHei" w:hint="eastAsia"/>
                <w:b/>
                <w:sz w:val="21"/>
              </w:rPr>
              <w:t>语言能力丧失</w:t>
            </w:r>
          </w:p>
        </w:tc>
        <w:tc>
          <w:tcPr>
            <w:tcW w:w="8180" w:type="dxa"/>
          </w:tcPr>
          <w:p>
            <w:pPr>
              <w:pStyle w:val="TableParagraph"/>
              <w:spacing w:line="300" w:lineRule="atLeast" w:before="125"/>
              <w:ind w:left="124" w:right="303"/>
              <w:rPr>
                <w:sz w:val="21"/>
              </w:rPr>
            </w:pPr>
            <w:r>
              <w:rPr>
                <w:spacing w:val="-5"/>
                <w:sz w:val="21"/>
              </w:rPr>
              <w:t>指因疾病或意外伤害导致完全丧失语言能力，经过积极治疗至少 </w:t>
            </w:r>
            <w:r>
              <w:rPr>
                <w:spacing w:val="-3"/>
                <w:sz w:val="21"/>
              </w:rPr>
              <w:t>12</w:t>
            </w:r>
            <w:r>
              <w:rPr>
                <w:spacing w:val="0"/>
                <w:sz w:val="21"/>
              </w:rPr>
              <w:t> 个月</w:t>
            </w:r>
            <w:r>
              <w:rPr>
                <w:spacing w:val="-5"/>
                <w:sz w:val="21"/>
              </w:rPr>
              <w:t>（</w:t>
            </w:r>
            <w:r>
              <w:rPr>
                <w:sz w:val="21"/>
              </w:rPr>
              <w:t>声带完全</w:t>
            </w:r>
            <w:r>
              <w:rPr>
                <w:spacing w:val="-1"/>
                <w:w w:val="100"/>
                <w:sz w:val="21"/>
              </w:rPr>
              <w:t>切除不受此时间限制</w:t>
            </w:r>
            <w:r>
              <w:rPr>
                <w:spacing w:val="-111"/>
                <w:w w:val="100"/>
                <w:sz w:val="21"/>
              </w:rPr>
              <w:t>）</w:t>
            </w:r>
            <w:r>
              <w:rPr>
                <w:spacing w:val="-5"/>
                <w:w w:val="100"/>
                <w:sz w:val="21"/>
              </w:rPr>
              <w:t>，仍无法通过现有医疗手段恢复。</w:t>
            </w:r>
          </w:p>
        </w:tc>
      </w:tr>
    </w:tbl>
    <w:p>
      <w:pPr>
        <w:spacing w:after="0" w:line="300" w:lineRule="atLeast"/>
        <w:rPr>
          <w:sz w:val="21"/>
        </w:rPr>
        <w:sectPr>
          <w:pgSz w:w="11910" w:h="16840"/>
          <w:pgMar w:header="0" w:footer="346" w:top="740" w:bottom="540" w:left="860" w:right="74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6"/>
        <w:gridCol w:w="1133"/>
        <w:gridCol w:w="8172"/>
      </w:tblGrid>
      <w:tr>
        <w:trPr>
          <w:trHeight w:val="890" w:hRule="atLeast"/>
        </w:trPr>
        <w:tc>
          <w:tcPr>
            <w:tcW w:w="786" w:type="dxa"/>
          </w:tcPr>
          <w:p>
            <w:pPr>
              <w:pStyle w:val="TableParagraph"/>
              <w:spacing w:before="0"/>
              <w:rPr>
                <w:rFonts w:ascii="Times New Roman"/>
                <w:sz w:val="20"/>
              </w:rPr>
            </w:pPr>
          </w:p>
        </w:tc>
        <w:tc>
          <w:tcPr>
            <w:tcW w:w="1133" w:type="dxa"/>
          </w:tcPr>
          <w:p>
            <w:pPr>
              <w:pStyle w:val="TableParagraph"/>
              <w:spacing w:before="0"/>
              <w:rPr>
                <w:rFonts w:ascii="Times New Roman"/>
                <w:sz w:val="20"/>
              </w:rPr>
            </w:pPr>
          </w:p>
        </w:tc>
        <w:tc>
          <w:tcPr>
            <w:tcW w:w="8172" w:type="dxa"/>
          </w:tcPr>
          <w:p>
            <w:pPr>
              <w:pStyle w:val="TableParagraph"/>
              <w:spacing w:line="211" w:lineRule="exact" w:before="0"/>
              <w:ind w:left="124"/>
              <w:rPr>
                <w:sz w:val="21"/>
              </w:rPr>
            </w:pPr>
            <w:r>
              <w:rPr>
                <w:sz w:val="21"/>
              </w:rPr>
              <w:t>精神心理因素所致的语言能力丧失不在保障范围内。</w:t>
            </w:r>
          </w:p>
          <w:p>
            <w:pPr>
              <w:pStyle w:val="TableParagraph"/>
              <w:spacing w:before="7"/>
              <w:rPr>
                <w:sz w:val="14"/>
              </w:rPr>
            </w:pPr>
          </w:p>
          <w:p>
            <w:pPr>
              <w:pStyle w:val="TableParagraph"/>
              <w:spacing w:before="0"/>
              <w:ind w:left="124"/>
              <w:rPr>
                <w:sz w:val="21"/>
              </w:rPr>
            </w:pPr>
            <w:r>
              <w:rPr>
                <w:sz w:val="21"/>
              </w:rPr>
              <w:t>被保险人在 3 周岁之前因疾病导致的语言能力丧失不在保障范围内。</w:t>
            </w:r>
          </w:p>
        </w:tc>
      </w:tr>
      <w:tr>
        <w:trPr>
          <w:trHeight w:val="2511" w:hRule="atLeast"/>
        </w:trPr>
        <w:tc>
          <w:tcPr>
            <w:tcW w:w="786" w:type="dxa"/>
          </w:tcPr>
          <w:p>
            <w:pPr>
              <w:pStyle w:val="TableParagraph"/>
              <w:spacing w:before="83"/>
              <w:ind w:right="161"/>
              <w:jc w:val="right"/>
              <w:rPr>
                <w:rFonts w:ascii="Microsoft JhengHei"/>
                <w:b/>
                <w:sz w:val="21"/>
              </w:rPr>
            </w:pPr>
            <w:r>
              <w:rPr>
                <w:rFonts w:ascii="Microsoft JhengHei"/>
                <w:b/>
                <w:w w:val="95"/>
                <w:sz w:val="21"/>
              </w:rPr>
              <w:t>9.24</w:t>
            </w:r>
          </w:p>
        </w:tc>
        <w:tc>
          <w:tcPr>
            <w:tcW w:w="1133" w:type="dxa"/>
          </w:tcPr>
          <w:p>
            <w:pPr>
              <w:pStyle w:val="TableParagraph"/>
              <w:spacing w:line="204" w:lineRule="auto" w:before="138"/>
              <w:ind w:left="163" w:right="122"/>
              <w:jc w:val="both"/>
              <w:rPr>
                <w:rFonts w:ascii="Microsoft JhengHei" w:eastAsia="Microsoft JhengHei" w:hint="eastAsia"/>
                <w:b/>
                <w:sz w:val="21"/>
              </w:rPr>
            </w:pPr>
            <w:r>
              <w:rPr>
                <w:rFonts w:ascii="Microsoft JhengHei" w:eastAsia="Microsoft JhengHei" w:hint="eastAsia"/>
                <w:b/>
                <w:sz w:val="21"/>
              </w:rPr>
              <w:t>重型再生障碍性贫血</w:t>
            </w:r>
          </w:p>
        </w:tc>
        <w:tc>
          <w:tcPr>
            <w:tcW w:w="8172" w:type="dxa"/>
          </w:tcPr>
          <w:p>
            <w:pPr>
              <w:pStyle w:val="TableParagraph"/>
              <w:spacing w:line="273" w:lineRule="auto" w:before="150"/>
              <w:ind w:left="124" w:right="303"/>
              <w:rPr>
                <w:sz w:val="21"/>
              </w:rPr>
            </w:pPr>
            <w:r>
              <w:rPr>
                <w:spacing w:val="-6"/>
                <w:sz w:val="21"/>
              </w:rPr>
              <w:t>指因骨髓造血功能慢性持续性衰竭导致的贫血、中性粒细胞减少及血小板减少。须满</w:t>
            </w:r>
            <w:r>
              <w:rPr>
                <w:spacing w:val="-5"/>
                <w:sz w:val="21"/>
              </w:rPr>
              <w:t>足下列全部条件：</w:t>
            </w:r>
          </w:p>
          <w:p>
            <w:pPr>
              <w:pStyle w:val="TableParagraph"/>
              <w:numPr>
                <w:ilvl w:val="0"/>
                <w:numId w:val="21"/>
              </w:numPr>
              <w:tabs>
                <w:tab w:pos="548" w:val="left" w:leader="none"/>
              </w:tabs>
              <w:spacing w:line="240" w:lineRule="auto" w:before="8" w:after="0"/>
              <w:ind w:left="547" w:right="0" w:hanging="423"/>
              <w:jc w:val="left"/>
              <w:rPr>
                <w:sz w:val="21"/>
              </w:rPr>
            </w:pPr>
            <w:r>
              <w:rPr>
                <w:spacing w:val="-4"/>
                <w:sz w:val="21"/>
              </w:rPr>
              <w:t>骨髓穿刺检查或骨髓活检结果支持诊断；</w:t>
            </w:r>
          </w:p>
          <w:p>
            <w:pPr>
              <w:pStyle w:val="TableParagraph"/>
              <w:numPr>
                <w:ilvl w:val="0"/>
                <w:numId w:val="21"/>
              </w:numPr>
              <w:tabs>
                <w:tab w:pos="548" w:val="left" w:leader="none"/>
              </w:tabs>
              <w:spacing w:line="240" w:lineRule="auto" w:before="37" w:after="0"/>
              <w:ind w:left="547" w:right="0" w:hanging="423"/>
              <w:jc w:val="left"/>
              <w:rPr>
                <w:sz w:val="21"/>
              </w:rPr>
            </w:pPr>
            <w:r>
              <w:rPr>
                <w:spacing w:val="-3"/>
                <w:sz w:val="21"/>
              </w:rPr>
              <w:t>外周血象须具备以下三项条件：</w:t>
            </w:r>
          </w:p>
          <w:p>
            <w:pPr>
              <w:pStyle w:val="TableParagraph"/>
              <w:ind w:left="485"/>
              <w:rPr>
                <w:sz w:val="21"/>
              </w:rPr>
            </w:pPr>
            <w:r>
              <w:rPr>
                <w:sz w:val="21"/>
              </w:rPr>
              <w:t>① 中粒细胞绝对值≤0.5×10</w:t>
            </w:r>
            <w:r>
              <w:rPr>
                <w:position w:val="11"/>
                <w:sz w:val="11"/>
              </w:rPr>
              <w:t>9</w:t>
            </w:r>
            <w:r>
              <w:rPr>
                <w:sz w:val="21"/>
              </w:rPr>
              <w:t>/L；</w:t>
            </w:r>
          </w:p>
          <w:p>
            <w:pPr>
              <w:pStyle w:val="TableParagraph"/>
              <w:ind w:left="485"/>
              <w:rPr>
                <w:sz w:val="21"/>
              </w:rPr>
            </w:pPr>
            <w:r>
              <w:rPr>
                <w:sz w:val="21"/>
              </w:rPr>
              <w:t>② 网织红细胞＜1%；</w:t>
            </w:r>
          </w:p>
          <w:p>
            <w:pPr>
              <w:pStyle w:val="TableParagraph"/>
              <w:ind w:left="485"/>
              <w:rPr>
                <w:sz w:val="21"/>
              </w:rPr>
            </w:pPr>
            <w:r>
              <w:rPr>
                <w:sz w:val="21"/>
              </w:rPr>
              <w:t>③ 血小板绝对值≤20×10</w:t>
            </w:r>
            <w:r>
              <w:rPr>
                <w:position w:val="11"/>
                <w:sz w:val="11"/>
              </w:rPr>
              <w:t>9</w:t>
            </w:r>
            <w:r>
              <w:rPr>
                <w:sz w:val="21"/>
              </w:rPr>
              <w:t>/L。</w:t>
            </w:r>
          </w:p>
        </w:tc>
      </w:tr>
      <w:tr>
        <w:trPr>
          <w:trHeight w:val="1418" w:hRule="atLeast"/>
        </w:trPr>
        <w:tc>
          <w:tcPr>
            <w:tcW w:w="786" w:type="dxa"/>
          </w:tcPr>
          <w:p>
            <w:pPr>
              <w:pStyle w:val="TableParagraph"/>
              <w:spacing w:before="83"/>
              <w:ind w:right="161"/>
              <w:jc w:val="right"/>
              <w:rPr>
                <w:rFonts w:ascii="Microsoft JhengHei"/>
                <w:b/>
                <w:sz w:val="21"/>
              </w:rPr>
            </w:pPr>
            <w:r>
              <w:rPr>
                <w:rFonts w:ascii="Microsoft JhengHei"/>
                <w:b/>
                <w:w w:val="95"/>
                <w:sz w:val="21"/>
              </w:rPr>
              <w:t>9.25</w:t>
            </w:r>
          </w:p>
        </w:tc>
        <w:tc>
          <w:tcPr>
            <w:tcW w:w="1133" w:type="dxa"/>
          </w:tcPr>
          <w:p>
            <w:pPr>
              <w:pStyle w:val="TableParagraph"/>
              <w:spacing w:line="204" w:lineRule="auto" w:before="138"/>
              <w:ind w:left="163" w:right="122"/>
              <w:rPr>
                <w:rFonts w:ascii="Microsoft JhengHei" w:eastAsia="Microsoft JhengHei" w:hint="eastAsia"/>
                <w:b/>
                <w:sz w:val="21"/>
              </w:rPr>
            </w:pPr>
            <w:r>
              <w:rPr>
                <w:rFonts w:ascii="Microsoft JhengHei" w:eastAsia="Microsoft JhengHei" w:hint="eastAsia"/>
                <w:b/>
                <w:sz w:val="21"/>
              </w:rPr>
              <w:t>主动脉手术</w:t>
            </w:r>
          </w:p>
        </w:tc>
        <w:tc>
          <w:tcPr>
            <w:tcW w:w="8172" w:type="dxa"/>
          </w:tcPr>
          <w:p>
            <w:pPr>
              <w:pStyle w:val="TableParagraph"/>
              <w:spacing w:line="273" w:lineRule="auto" w:before="150"/>
              <w:ind w:left="124" w:right="269"/>
              <w:rPr>
                <w:sz w:val="21"/>
              </w:rPr>
            </w:pPr>
            <w:r>
              <w:rPr>
                <w:spacing w:val="-7"/>
                <w:sz w:val="21"/>
              </w:rPr>
              <w:t>指为治疗主动脉疾病，实际实施了开胸或开腹进行的切除、置换、修补病损主动脉血</w:t>
            </w:r>
            <w:r>
              <w:rPr>
                <w:spacing w:val="-6"/>
                <w:sz w:val="21"/>
              </w:rPr>
              <w:t>管的手术。主动脉指胸主动脉和腹主动脉，不包括胸主动脉和腹主动脉的分支血管。</w:t>
            </w:r>
          </w:p>
          <w:p>
            <w:pPr>
              <w:pStyle w:val="TableParagraph"/>
              <w:spacing w:before="166"/>
              <w:ind w:left="124"/>
              <w:rPr>
                <w:sz w:val="21"/>
              </w:rPr>
            </w:pPr>
            <w:r>
              <w:rPr>
                <w:sz w:val="21"/>
              </w:rPr>
              <w:t>动脉内血管成形术不在保障范围内。</w:t>
            </w:r>
          </w:p>
        </w:tc>
      </w:tr>
      <w:tr>
        <w:trPr>
          <w:trHeight w:val="1884" w:hRule="atLeast"/>
        </w:trPr>
        <w:tc>
          <w:tcPr>
            <w:tcW w:w="786" w:type="dxa"/>
          </w:tcPr>
          <w:p>
            <w:pPr>
              <w:pStyle w:val="TableParagraph"/>
              <w:spacing w:before="81"/>
              <w:ind w:right="161"/>
              <w:jc w:val="right"/>
              <w:rPr>
                <w:rFonts w:ascii="Microsoft JhengHei"/>
                <w:b/>
                <w:sz w:val="21"/>
              </w:rPr>
            </w:pPr>
            <w:r>
              <w:rPr>
                <w:rFonts w:ascii="Microsoft JhengHei"/>
                <w:b/>
                <w:w w:val="95"/>
                <w:sz w:val="21"/>
              </w:rPr>
              <w:t>9.26</w:t>
            </w:r>
          </w:p>
        </w:tc>
        <w:tc>
          <w:tcPr>
            <w:tcW w:w="1133" w:type="dxa"/>
          </w:tcPr>
          <w:p>
            <w:pPr>
              <w:pStyle w:val="TableParagraph"/>
              <w:spacing w:line="204" w:lineRule="auto" w:before="135"/>
              <w:ind w:left="163" w:right="122"/>
              <w:rPr>
                <w:rFonts w:ascii="Microsoft JhengHei" w:eastAsia="Microsoft JhengHei" w:hint="eastAsia"/>
                <w:b/>
                <w:sz w:val="21"/>
              </w:rPr>
            </w:pPr>
            <w:r>
              <w:rPr>
                <w:rFonts w:ascii="Microsoft JhengHei" w:eastAsia="Microsoft JhengHei" w:hint="eastAsia"/>
                <w:b/>
                <w:sz w:val="21"/>
              </w:rPr>
              <w:t>严重多发性硬化</w:t>
            </w:r>
          </w:p>
        </w:tc>
        <w:tc>
          <w:tcPr>
            <w:tcW w:w="8172" w:type="dxa"/>
          </w:tcPr>
          <w:p>
            <w:pPr>
              <w:pStyle w:val="TableParagraph"/>
              <w:spacing w:line="273" w:lineRule="auto" w:before="147"/>
              <w:ind w:left="124" w:right="269"/>
              <w:jc w:val="both"/>
              <w:rPr>
                <w:sz w:val="21"/>
              </w:rPr>
            </w:pPr>
            <w:r>
              <w:rPr>
                <w:spacing w:val="-6"/>
                <w:sz w:val="21"/>
              </w:rPr>
              <w:t>指被保险人因脑及脊髓内的脱髓鞘病变而出现神经系统多灶性</w:t>
            </w:r>
            <w:r>
              <w:rPr>
                <w:sz w:val="21"/>
              </w:rPr>
              <w:t>（</w:t>
            </w:r>
            <w:r>
              <w:rPr>
                <w:spacing w:val="-2"/>
                <w:sz w:val="21"/>
              </w:rPr>
              <w:t>多发性</w:t>
            </w:r>
            <w:r>
              <w:rPr>
                <w:spacing w:val="-10"/>
                <w:sz w:val="21"/>
              </w:rPr>
              <w:t>）</w:t>
            </w:r>
            <w:r>
              <w:rPr>
                <w:spacing w:val="-6"/>
                <w:sz w:val="21"/>
              </w:rPr>
              <w:t>多时相</w:t>
            </w:r>
            <w:r>
              <w:rPr>
                <w:sz w:val="21"/>
              </w:rPr>
              <w:t>（至</w:t>
            </w:r>
            <w:r>
              <w:rPr>
                <w:w w:val="100"/>
                <w:sz w:val="21"/>
              </w:rPr>
              <w:t>少</w:t>
            </w:r>
            <w:r>
              <w:rPr>
                <w:spacing w:val="-52"/>
                <w:sz w:val="21"/>
              </w:rPr>
              <w:t> </w:t>
            </w:r>
            <w:r>
              <w:rPr>
                <w:w w:val="100"/>
                <w:sz w:val="21"/>
              </w:rPr>
              <w:t>6</w:t>
            </w:r>
            <w:r>
              <w:rPr>
                <w:spacing w:val="-53"/>
                <w:sz w:val="21"/>
              </w:rPr>
              <w:t> </w:t>
            </w:r>
            <w:r>
              <w:rPr>
                <w:spacing w:val="-8"/>
                <w:w w:val="100"/>
                <w:sz w:val="21"/>
              </w:rPr>
              <w:t>个月以内有一次以上</w:t>
            </w:r>
            <w:r>
              <w:rPr>
                <w:w w:val="100"/>
                <w:sz w:val="21"/>
              </w:rPr>
              <w:t>（</w:t>
            </w:r>
            <w:r>
              <w:rPr>
                <w:spacing w:val="-2"/>
                <w:w w:val="100"/>
                <w:sz w:val="21"/>
              </w:rPr>
              <w:t>不包含一次</w:t>
            </w:r>
            <w:r>
              <w:rPr>
                <w:spacing w:val="-53"/>
                <w:w w:val="100"/>
                <w:sz w:val="21"/>
              </w:rPr>
              <w:t>）</w:t>
            </w:r>
            <w:r>
              <w:rPr>
                <w:w w:val="100"/>
                <w:sz w:val="21"/>
              </w:rPr>
              <w:t>的发作</w:t>
            </w:r>
            <w:r>
              <w:rPr>
                <w:spacing w:val="-53"/>
                <w:w w:val="100"/>
                <w:sz w:val="21"/>
              </w:rPr>
              <w:t>）</w:t>
            </w:r>
            <w:r>
              <w:rPr>
                <w:spacing w:val="-12"/>
                <w:w w:val="100"/>
                <w:sz w:val="21"/>
              </w:rPr>
              <w:t>的病变，须由计算机断层扫描</w:t>
            </w:r>
            <w:r>
              <w:rPr>
                <w:spacing w:val="1"/>
                <w:w w:val="100"/>
                <w:sz w:val="21"/>
              </w:rPr>
              <w:t>（</w:t>
            </w:r>
            <w:r>
              <w:rPr>
                <w:w w:val="100"/>
                <w:sz w:val="21"/>
              </w:rPr>
              <w:t>CT</w:t>
            </w:r>
            <w:r>
              <w:rPr>
                <w:spacing w:val="-106"/>
                <w:w w:val="100"/>
                <w:sz w:val="21"/>
              </w:rPr>
              <w:t>）、</w:t>
            </w:r>
            <w:r>
              <w:rPr>
                <w:spacing w:val="-2"/>
                <w:sz w:val="21"/>
              </w:rPr>
              <w:t>核磁共振检查</w:t>
            </w:r>
            <w:r>
              <w:rPr>
                <w:sz w:val="21"/>
              </w:rPr>
              <w:t>（MRI）</w:t>
            </w:r>
            <w:r>
              <w:rPr>
                <w:spacing w:val="-4"/>
                <w:sz w:val="21"/>
              </w:rPr>
              <w:t>或正电子发射断层扫描</w:t>
            </w:r>
            <w:r>
              <w:rPr>
                <w:spacing w:val="-3"/>
                <w:sz w:val="21"/>
              </w:rPr>
              <w:t>（PET）等影像学检查证实，且已经造成</w:t>
            </w:r>
            <w:r>
              <w:rPr>
                <w:spacing w:val="-5"/>
                <w:sz w:val="21"/>
              </w:rPr>
              <w:t>自主生活能力完全丧失，无法独立完成六项基本日常生活活动中的三项或三项以上， </w:t>
            </w:r>
            <w:r>
              <w:rPr>
                <w:spacing w:val="-14"/>
                <w:sz w:val="21"/>
              </w:rPr>
              <w:t>持续至少 </w:t>
            </w:r>
            <w:r>
              <w:rPr>
                <w:sz w:val="21"/>
              </w:rPr>
              <w:t>180</w:t>
            </w:r>
            <w:r>
              <w:rPr>
                <w:spacing w:val="-17"/>
                <w:sz w:val="21"/>
              </w:rPr>
              <w:t> 天。</w:t>
            </w:r>
          </w:p>
        </w:tc>
      </w:tr>
      <w:tr>
        <w:trPr>
          <w:trHeight w:val="1574" w:hRule="atLeast"/>
        </w:trPr>
        <w:tc>
          <w:tcPr>
            <w:tcW w:w="786" w:type="dxa"/>
          </w:tcPr>
          <w:p>
            <w:pPr>
              <w:pStyle w:val="TableParagraph"/>
              <w:spacing w:before="83"/>
              <w:ind w:right="161"/>
              <w:jc w:val="right"/>
              <w:rPr>
                <w:rFonts w:ascii="Microsoft JhengHei"/>
                <w:b/>
                <w:sz w:val="21"/>
              </w:rPr>
            </w:pPr>
            <w:r>
              <w:rPr>
                <w:rFonts w:ascii="Microsoft JhengHei"/>
                <w:b/>
                <w:w w:val="95"/>
                <w:sz w:val="21"/>
              </w:rPr>
              <w:t>9.27</w:t>
            </w:r>
          </w:p>
        </w:tc>
        <w:tc>
          <w:tcPr>
            <w:tcW w:w="1133" w:type="dxa"/>
          </w:tcPr>
          <w:p>
            <w:pPr>
              <w:pStyle w:val="TableParagraph"/>
              <w:spacing w:line="204" w:lineRule="auto" w:before="138"/>
              <w:ind w:left="163" w:right="122"/>
              <w:rPr>
                <w:rFonts w:ascii="Microsoft JhengHei" w:eastAsia="Microsoft JhengHei" w:hint="eastAsia"/>
                <w:b/>
                <w:sz w:val="21"/>
              </w:rPr>
            </w:pPr>
            <w:r>
              <w:rPr>
                <w:rFonts w:ascii="Microsoft JhengHei" w:eastAsia="Microsoft JhengHei" w:hint="eastAsia"/>
                <w:b/>
                <w:sz w:val="21"/>
              </w:rPr>
              <w:t>终末期肺病</w:t>
            </w:r>
          </w:p>
        </w:tc>
        <w:tc>
          <w:tcPr>
            <w:tcW w:w="8172" w:type="dxa"/>
          </w:tcPr>
          <w:p>
            <w:pPr>
              <w:pStyle w:val="TableParagraph"/>
              <w:spacing w:before="150"/>
              <w:ind w:left="124"/>
              <w:rPr>
                <w:sz w:val="21"/>
              </w:rPr>
            </w:pPr>
            <w:r>
              <w:rPr>
                <w:sz w:val="21"/>
              </w:rPr>
              <w:t>指被保险人因患有终末期肺病而出现慢性呼吸功能衰竭。须满足下列全部条件：</w:t>
            </w:r>
          </w:p>
          <w:p>
            <w:pPr>
              <w:pStyle w:val="TableParagraph"/>
              <w:numPr>
                <w:ilvl w:val="0"/>
                <w:numId w:val="22"/>
              </w:numPr>
              <w:tabs>
                <w:tab w:pos="548" w:val="left" w:leader="none"/>
              </w:tabs>
              <w:spacing w:line="240" w:lineRule="auto" w:before="37" w:after="0"/>
              <w:ind w:left="547" w:right="0" w:hanging="423"/>
              <w:jc w:val="left"/>
              <w:rPr>
                <w:sz w:val="21"/>
              </w:rPr>
            </w:pPr>
            <w:r>
              <w:rPr>
                <w:spacing w:val="-3"/>
                <w:sz w:val="21"/>
              </w:rPr>
              <w:t>肺功能测试其一秒用力呼气容积</w:t>
            </w:r>
            <w:r>
              <w:rPr>
                <w:sz w:val="21"/>
              </w:rPr>
              <w:t>（FEV1）</w:t>
            </w:r>
            <w:r>
              <w:rPr>
                <w:spacing w:val="-10"/>
                <w:sz w:val="21"/>
              </w:rPr>
              <w:t>持续低于 </w:t>
            </w:r>
            <w:r>
              <w:rPr>
                <w:sz w:val="21"/>
              </w:rPr>
              <w:t>0.75</w:t>
            </w:r>
            <w:r>
              <w:rPr>
                <w:spacing w:val="-14"/>
                <w:sz w:val="21"/>
              </w:rPr>
              <w:t> 升；</w:t>
            </w:r>
          </w:p>
          <w:p>
            <w:pPr>
              <w:pStyle w:val="TableParagraph"/>
              <w:numPr>
                <w:ilvl w:val="0"/>
                <w:numId w:val="22"/>
              </w:numPr>
              <w:tabs>
                <w:tab w:pos="548" w:val="left" w:leader="none"/>
              </w:tabs>
              <w:spacing w:line="240" w:lineRule="auto" w:before="37" w:after="0"/>
              <w:ind w:left="547" w:right="0" w:hanging="423"/>
              <w:jc w:val="left"/>
              <w:rPr>
                <w:sz w:val="21"/>
              </w:rPr>
            </w:pPr>
            <w:r>
              <w:rPr>
                <w:spacing w:val="-4"/>
                <w:sz w:val="21"/>
              </w:rPr>
              <w:t>病人缺氧必须广泛而持续地进行输氧治疗；</w:t>
            </w:r>
          </w:p>
          <w:p>
            <w:pPr>
              <w:pStyle w:val="TableParagraph"/>
              <w:numPr>
                <w:ilvl w:val="0"/>
                <w:numId w:val="22"/>
              </w:numPr>
              <w:tabs>
                <w:tab w:pos="548" w:val="left" w:leader="none"/>
              </w:tabs>
              <w:spacing w:line="240" w:lineRule="auto" w:before="37" w:after="0"/>
              <w:ind w:left="547" w:right="0" w:hanging="423"/>
              <w:jc w:val="left"/>
              <w:rPr>
                <w:sz w:val="21"/>
              </w:rPr>
            </w:pPr>
            <w:r>
              <w:rPr>
                <w:spacing w:val="-6"/>
                <w:sz w:val="21"/>
              </w:rPr>
              <w:t>动脉血气分析氧分压低于 </w:t>
            </w:r>
            <w:r>
              <w:rPr>
                <w:sz w:val="21"/>
              </w:rPr>
              <w:t>55mmHg。</w:t>
            </w:r>
          </w:p>
        </w:tc>
      </w:tr>
      <w:tr>
        <w:trPr>
          <w:trHeight w:val="1421" w:hRule="atLeast"/>
        </w:trPr>
        <w:tc>
          <w:tcPr>
            <w:tcW w:w="786" w:type="dxa"/>
          </w:tcPr>
          <w:p>
            <w:pPr>
              <w:pStyle w:val="TableParagraph"/>
              <w:spacing w:before="83"/>
              <w:ind w:right="161"/>
              <w:jc w:val="right"/>
              <w:rPr>
                <w:rFonts w:ascii="Microsoft JhengHei"/>
                <w:b/>
                <w:sz w:val="21"/>
              </w:rPr>
            </w:pPr>
            <w:r>
              <w:rPr>
                <w:rFonts w:ascii="Microsoft JhengHei"/>
                <w:b/>
                <w:w w:val="95"/>
                <w:sz w:val="21"/>
              </w:rPr>
              <w:t>9.28</w:t>
            </w:r>
          </w:p>
        </w:tc>
        <w:tc>
          <w:tcPr>
            <w:tcW w:w="1133" w:type="dxa"/>
          </w:tcPr>
          <w:p>
            <w:pPr>
              <w:pStyle w:val="TableParagraph"/>
              <w:spacing w:before="83"/>
              <w:ind w:left="163"/>
              <w:rPr>
                <w:rFonts w:ascii="Microsoft JhengHei" w:eastAsia="Microsoft JhengHei" w:hint="eastAsia"/>
                <w:b/>
                <w:sz w:val="21"/>
              </w:rPr>
            </w:pPr>
            <w:r>
              <w:rPr>
                <w:rFonts w:ascii="Microsoft JhengHei" w:eastAsia="Microsoft JhengHei" w:hint="eastAsia"/>
                <w:b/>
                <w:sz w:val="21"/>
              </w:rPr>
              <w:t>颅脑手术</w:t>
            </w:r>
          </w:p>
        </w:tc>
        <w:tc>
          <w:tcPr>
            <w:tcW w:w="8172" w:type="dxa"/>
          </w:tcPr>
          <w:p>
            <w:pPr>
              <w:pStyle w:val="TableParagraph"/>
              <w:spacing w:line="273" w:lineRule="auto" w:before="150"/>
              <w:ind w:left="124" w:right="303"/>
              <w:rPr>
                <w:sz w:val="21"/>
              </w:rPr>
            </w:pPr>
            <w:r>
              <w:rPr>
                <w:w w:val="100"/>
                <w:sz w:val="21"/>
              </w:rPr>
              <w:t>指被保险人确已实施全麻下的开颅手术</w:t>
            </w:r>
            <w:r>
              <w:rPr>
                <w:sz w:val="21"/>
              </w:rPr>
              <w:t> </w:t>
            </w:r>
            <w:r>
              <w:rPr>
                <w:spacing w:val="3"/>
                <w:w w:val="100"/>
                <w:sz w:val="21"/>
              </w:rPr>
              <w:t>（</w:t>
            </w:r>
            <w:r>
              <w:rPr>
                <w:w w:val="100"/>
                <w:sz w:val="21"/>
              </w:rPr>
              <w:t>以切开硬脑膜为准</w:t>
            </w:r>
            <w:r>
              <w:rPr>
                <w:spacing w:val="-101"/>
                <w:w w:val="100"/>
                <w:sz w:val="21"/>
              </w:rPr>
              <w:t>）</w:t>
            </w:r>
            <w:r>
              <w:rPr>
                <w:spacing w:val="3"/>
                <w:w w:val="100"/>
                <w:sz w:val="21"/>
              </w:rPr>
              <w:t>（</w:t>
            </w:r>
            <w:r>
              <w:rPr>
                <w:w w:val="100"/>
                <w:sz w:val="21"/>
              </w:rPr>
              <w:t>不包括颅骨钻孔手</w:t>
            </w:r>
            <w:r>
              <w:rPr>
                <w:sz w:val="21"/>
              </w:rPr>
              <w:t>术</w:t>
            </w:r>
            <w:r>
              <w:rPr>
                <w:spacing w:val="-106"/>
                <w:sz w:val="21"/>
              </w:rPr>
              <w:t>）</w:t>
            </w:r>
            <w:r>
              <w:rPr>
                <w:spacing w:val="-5"/>
                <w:sz w:val="21"/>
              </w:rPr>
              <w:t>。理赔时必须提供由神经外科医生出具的诊断书及手术报告。</w:t>
            </w:r>
          </w:p>
          <w:p>
            <w:pPr>
              <w:pStyle w:val="TableParagraph"/>
              <w:spacing w:before="166"/>
              <w:ind w:left="124"/>
              <w:rPr>
                <w:sz w:val="21"/>
              </w:rPr>
            </w:pPr>
            <w:r>
              <w:rPr>
                <w:sz w:val="21"/>
              </w:rPr>
              <w:t>因外伤而实施的颅脑手术不在保障范围内。</w:t>
            </w:r>
          </w:p>
        </w:tc>
      </w:tr>
      <w:tr>
        <w:trPr>
          <w:trHeight w:val="2508" w:hRule="atLeast"/>
        </w:trPr>
        <w:tc>
          <w:tcPr>
            <w:tcW w:w="786" w:type="dxa"/>
          </w:tcPr>
          <w:p>
            <w:pPr>
              <w:pStyle w:val="TableParagraph"/>
              <w:spacing w:before="83"/>
              <w:ind w:right="161"/>
              <w:jc w:val="right"/>
              <w:rPr>
                <w:rFonts w:ascii="Microsoft JhengHei"/>
                <w:b/>
                <w:sz w:val="21"/>
              </w:rPr>
            </w:pPr>
            <w:r>
              <w:rPr>
                <w:rFonts w:ascii="Microsoft JhengHei"/>
                <w:b/>
                <w:w w:val="95"/>
                <w:sz w:val="21"/>
              </w:rPr>
              <w:t>9.29</w:t>
            </w:r>
          </w:p>
        </w:tc>
        <w:tc>
          <w:tcPr>
            <w:tcW w:w="1133" w:type="dxa"/>
          </w:tcPr>
          <w:p>
            <w:pPr>
              <w:pStyle w:val="TableParagraph"/>
              <w:spacing w:line="201" w:lineRule="auto" w:before="141"/>
              <w:ind w:left="163" w:right="122"/>
              <w:rPr>
                <w:rFonts w:ascii="Microsoft JhengHei" w:eastAsia="Microsoft JhengHei" w:hint="eastAsia"/>
                <w:b/>
                <w:sz w:val="21"/>
              </w:rPr>
            </w:pPr>
            <w:r>
              <w:rPr>
                <w:rFonts w:ascii="Microsoft JhengHei" w:eastAsia="Microsoft JhengHei" w:hint="eastAsia"/>
                <w:b/>
                <w:sz w:val="21"/>
              </w:rPr>
              <w:t>严重Ｉ型糖尿病</w:t>
            </w:r>
          </w:p>
        </w:tc>
        <w:tc>
          <w:tcPr>
            <w:tcW w:w="8172" w:type="dxa"/>
          </w:tcPr>
          <w:p>
            <w:pPr>
              <w:pStyle w:val="TableParagraph"/>
              <w:spacing w:line="271" w:lineRule="auto" w:before="150"/>
              <w:ind w:left="124" w:right="300"/>
              <w:jc w:val="both"/>
              <w:rPr>
                <w:sz w:val="21"/>
              </w:rPr>
            </w:pPr>
            <w:r>
              <w:rPr>
                <w:spacing w:val="-6"/>
                <w:sz w:val="21"/>
              </w:rPr>
              <w:t>指因严重的胰岛素缺乏导致的一组糖、脂肪、蛋白质代谢异常综合症，且须依赖外源</w:t>
            </w:r>
            <w:r>
              <w:rPr>
                <w:spacing w:val="-8"/>
                <w:sz w:val="21"/>
              </w:rPr>
              <w:t>性胰岛素进行机体的葡萄糖代谢和维持生命。本病须经血胰岛素测定、血 </w:t>
            </w:r>
            <w:r>
              <w:rPr>
                <w:sz w:val="21"/>
              </w:rPr>
              <w:t>C</w:t>
            </w:r>
            <w:r>
              <w:rPr>
                <w:spacing w:val="-9"/>
                <w:sz w:val="21"/>
              </w:rPr>
              <w:t> 肽测定或</w:t>
            </w:r>
            <w:r>
              <w:rPr>
                <w:spacing w:val="-26"/>
                <w:sz w:val="21"/>
              </w:rPr>
              <w:t>尿 </w:t>
            </w:r>
            <w:r>
              <w:rPr>
                <w:sz w:val="21"/>
              </w:rPr>
              <w:t>C</w:t>
            </w:r>
            <w:r>
              <w:rPr>
                <w:spacing w:val="-11"/>
                <w:sz w:val="21"/>
              </w:rPr>
              <w:t> 肽测定检查证实，且被保险人已经接受了持续的胰岛素治疗 </w:t>
            </w:r>
            <w:r>
              <w:rPr>
                <w:sz w:val="21"/>
              </w:rPr>
              <w:t>180</w:t>
            </w:r>
            <w:r>
              <w:rPr>
                <w:spacing w:val="-10"/>
                <w:sz w:val="21"/>
              </w:rPr>
              <w:t> 天以上，并须满</w:t>
            </w:r>
            <w:r>
              <w:rPr>
                <w:spacing w:val="-7"/>
                <w:sz w:val="21"/>
              </w:rPr>
              <w:t>足下列至少一项条件：</w:t>
            </w:r>
          </w:p>
          <w:p>
            <w:pPr>
              <w:pStyle w:val="TableParagraph"/>
              <w:numPr>
                <w:ilvl w:val="0"/>
                <w:numId w:val="23"/>
              </w:numPr>
              <w:tabs>
                <w:tab w:pos="548" w:val="left" w:leader="none"/>
              </w:tabs>
              <w:spacing w:line="240" w:lineRule="auto" w:before="10" w:after="0"/>
              <w:ind w:left="547" w:right="0" w:hanging="423"/>
              <w:jc w:val="both"/>
              <w:rPr>
                <w:sz w:val="21"/>
              </w:rPr>
            </w:pPr>
            <w:r>
              <w:rPr>
                <w:spacing w:val="-2"/>
                <w:sz w:val="21"/>
              </w:rPr>
              <w:t>并发增殖性视网膜病变；</w:t>
            </w:r>
          </w:p>
          <w:p>
            <w:pPr>
              <w:pStyle w:val="TableParagraph"/>
              <w:numPr>
                <w:ilvl w:val="0"/>
                <w:numId w:val="23"/>
              </w:numPr>
              <w:tabs>
                <w:tab w:pos="548" w:val="left" w:leader="none"/>
              </w:tabs>
              <w:spacing w:line="240" w:lineRule="auto" w:before="37" w:after="0"/>
              <w:ind w:left="547" w:right="0" w:hanging="423"/>
              <w:jc w:val="both"/>
              <w:rPr>
                <w:sz w:val="21"/>
              </w:rPr>
            </w:pPr>
            <w:r>
              <w:rPr>
                <w:spacing w:val="-4"/>
                <w:sz w:val="21"/>
              </w:rPr>
              <w:t>并发心脏病变，并须植入心脏起搏器进行治疗；</w:t>
            </w:r>
          </w:p>
          <w:p>
            <w:pPr>
              <w:pStyle w:val="TableParagraph"/>
              <w:numPr>
                <w:ilvl w:val="0"/>
                <w:numId w:val="23"/>
              </w:numPr>
              <w:tabs>
                <w:tab w:pos="548" w:val="left" w:leader="none"/>
              </w:tabs>
              <w:spacing w:line="240" w:lineRule="auto" w:before="37" w:after="0"/>
              <w:ind w:left="547" w:right="0" w:hanging="423"/>
              <w:jc w:val="both"/>
              <w:rPr>
                <w:sz w:val="21"/>
              </w:rPr>
            </w:pPr>
            <w:r>
              <w:rPr>
                <w:spacing w:val="-4"/>
                <w:sz w:val="21"/>
              </w:rPr>
              <w:t>至少一个脚趾发生坏疽并已实施手术切除。</w:t>
            </w:r>
          </w:p>
        </w:tc>
      </w:tr>
      <w:tr>
        <w:trPr>
          <w:trHeight w:val="2919" w:hRule="atLeast"/>
        </w:trPr>
        <w:tc>
          <w:tcPr>
            <w:tcW w:w="786" w:type="dxa"/>
          </w:tcPr>
          <w:p>
            <w:pPr>
              <w:pStyle w:val="TableParagraph"/>
              <w:spacing w:before="85"/>
              <w:ind w:right="161"/>
              <w:jc w:val="right"/>
              <w:rPr>
                <w:rFonts w:ascii="Microsoft JhengHei"/>
                <w:b/>
                <w:sz w:val="21"/>
              </w:rPr>
            </w:pPr>
            <w:r>
              <w:rPr>
                <w:rFonts w:ascii="Microsoft JhengHei"/>
                <w:b/>
                <w:w w:val="95"/>
                <w:sz w:val="21"/>
              </w:rPr>
              <w:t>9.30</w:t>
            </w:r>
          </w:p>
        </w:tc>
        <w:tc>
          <w:tcPr>
            <w:tcW w:w="1133" w:type="dxa"/>
          </w:tcPr>
          <w:p>
            <w:pPr>
              <w:pStyle w:val="TableParagraph"/>
              <w:spacing w:line="204" w:lineRule="auto" w:before="140"/>
              <w:ind w:left="163" w:right="122"/>
              <w:jc w:val="both"/>
              <w:rPr>
                <w:rFonts w:ascii="Microsoft JhengHei" w:eastAsia="Microsoft JhengHei" w:hint="eastAsia"/>
                <w:b/>
                <w:sz w:val="21"/>
              </w:rPr>
            </w:pPr>
            <w:r>
              <w:rPr>
                <w:rFonts w:ascii="Microsoft JhengHei" w:eastAsia="Microsoft JhengHei" w:hint="eastAsia"/>
                <w:b/>
                <w:sz w:val="21"/>
              </w:rPr>
              <w:t>严重类风湿性关节炎</w:t>
            </w:r>
          </w:p>
        </w:tc>
        <w:tc>
          <w:tcPr>
            <w:tcW w:w="8172" w:type="dxa"/>
          </w:tcPr>
          <w:p>
            <w:pPr>
              <w:pStyle w:val="TableParagraph"/>
              <w:spacing w:before="152"/>
              <w:ind w:left="124"/>
              <w:rPr>
                <w:sz w:val="21"/>
              </w:rPr>
            </w:pPr>
            <w:r>
              <w:rPr>
                <w:sz w:val="21"/>
              </w:rPr>
              <w:t>指广泛分布的慢性进行性多关节病变，表现为关节严重变形，侵犯至少三个主要关节</w:t>
            </w:r>
          </w:p>
          <w:p>
            <w:pPr>
              <w:pStyle w:val="TableParagraph"/>
              <w:spacing w:line="273" w:lineRule="auto" w:before="32"/>
              <w:ind w:left="124" w:right="197"/>
              <w:rPr>
                <w:sz w:val="21"/>
              </w:rPr>
            </w:pPr>
            <w:r>
              <w:rPr>
                <w:sz w:val="21"/>
              </w:rPr>
              <w:t>（</w:t>
            </w:r>
            <w:r>
              <w:rPr>
                <w:spacing w:val="-11"/>
                <w:sz w:val="21"/>
              </w:rPr>
              <w:t>腕关节、肘关节、肩关节、踝关节、膝关节、髋关节</w:t>
            </w:r>
            <w:r>
              <w:rPr>
                <w:spacing w:val="-20"/>
                <w:sz w:val="21"/>
              </w:rPr>
              <w:t>）</w:t>
            </w:r>
            <w:r>
              <w:rPr>
                <w:spacing w:val="-7"/>
                <w:sz w:val="21"/>
              </w:rPr>
              <w:t>或关节组</w:t>
            </w:r>
            <w:r>
              <w:rPr>
                <w:sz w:val="21"/>
              </w:rPr>
              <w:t>（</w:t>
            </w:r>
            <w:r>
              <w:rPr>
                <w:spacing w:val="-3"/>
                <w:sz w:val="21"/>
              </w:rPr>
              <w:t>如手的多个指间、</w:t>
            </w:r>
            <w:r>
              <w:rPr>
                <w:spacing w:val="-5"/>
                <w:w w:val="100"/>
                <w:sz w:val="21"/>
              </w:rPr>
              <w:t>掌指关节，足的多个足趾、跖趾关节等</w:t>
            </w:r>
            <w:r>
              <w:rPr>
                <w:spacing w:val="-111"/>
                <w:w w:val="100"/>
                <w:sz w:val="21"/>
              </w:rPr>
              <w:t>）</w:t>
            </w:r>
            <w:r>
              <w:rPr>
                <w:spacing w:val="-5"/>
                <w:w w:val="100"/>
                <w:sz w:val="21"/>
              </w:rPr>
              <w:t>，并已达到类风湿性关节炎功能分类</w:t>
            </w:r>
            <w:r>
              <w:rPr>
                <w:spacing w:val="-5"/>
                <w:sz w:val="21"/>
              </w:rPr>
              <w:t> </w:t>
            </w:r>
            <w:r>
              <w:rPr>
                <w:w w:val="100"/>
                <w:sz w:val="21"/>
              </w:rPr>
              <w:t>IV</w:t>
            </w:r>
            <w:r>
              <w:rPr>
                <w:sz w:val="21"/>
              </w:rPr>
              <w:t> </w:t>
            </w:r>
            <w:r>
              <w:rPr>
                <w:w w:val="100"/>
                <w:sz w:val="21"/>
              </w:rPr>
              <w:t>级</w:t>
            </w:r>
            <w:r>
              <w:rPr>
                <w:spacing w:val="-5"/>
                <w:sz w:val="21"/>
              </w:rPr>
              <w:t>的永久不可逆性关节功能障碍，且须满足下列全部条件：</w:t>
            </w:r>
          </w:p>
          <w:p>
            <w:pPr>
              <w:pStyle w:val="TableParagraph"/>
              <w:numPr>
                <w:ilvl w:val="0"/>
                <w:numId w:val="24"/>
              </w:numPr>
              <w:tabs>
                <w:tab w:pos="548" w:val="left" w:leader="none"/>
              </w:tabs>
              <w:spacing w:line="240" w:lineRule="auto" w:before="7" w:after="0"/>
              <w:ind w:left="547" w:right="0" w:hanging="423"/>
              <w:jc w:val="left"/>
              <w:rPr>
                <w:sz w:val="21"/>
              </w:rPr>
            </w:pPr>
            <w:r>
              <w:rPr>
                <w:sz w:val="21"/>
              </w:rPr>
              <w:t>晨僵；</w:t>
            </w:r>
          </w:p>
          <w:p>
            <w:pPr>
              <w:pStyle w:val="TableParagraph"/>
              <w:numPr>
                <w:ilvl w:val="0"/>
                <w:numId w:val="24"/>
              </w:numPr>
              <w:tabs>
                <w:tab w:pos="548" w:val="left" w:leader="none"/>
              </w:tabs>
              <w:spacing w:line="240" w:lineRule="auto" w:before="37" w:after="0"/>
              <w:ind w:left="547" w:right="0" w:hanging="423"/>
              <w:jc w:val="left"/>
              <w:rPr>
                <w:sz w:val="21"/>
              </w:rPr>
            </w:pPr>
            <w:r>
              <w:rPr>
                <w:spacing w:val="-1"/>
                <w:sz w:val="21"/>
              </w:rPr>
              <w:t>对称性关节炎；</w:t>
            </w:r>
          </w:p>
          <w:p>
            <w:pPr>
              <w:pStyle w:val="TableParagraph"/>
              <w:numPr>
                <w:ilvl w:val="0"/>
                <w:numId w:val="24"/>
              </w:numPr>
              <w:tabs>
                <w:tab w:pos="548" w:val="left" w:leader="none"/>
              </w:tabs>
              <w:spacing w:line="240" w:lineRule="auto" w:before="37" w:after="0"/>
              <w:ind w:left="547" w:right="0" w:hanging="423"/>
              <w:jc w:val="left"/>
              <w:rPr>
                <w:sz w:val="21"/>
              </w:rPr>
            </w:pPr>
            <w:r>
              <w:rPr>
                <w:spacing w:val="-1"/>
                <w:sz w:val="21"/>
              </w:rPr>
              <w:t>类风湿性皮下结节；</w:t>
            </w:r>
          </w:p>
          <w:p>
            <w:pPr>
              <w:pStyle w:val="TableParagraph"/>
              <w:numPr>
                <w:ilvl w:val="0"/>
                <w:numId w:val="24"/>
              </w:numPr>
              <w:tabs>
                <w:tab w:pos="548" w:val="left" w:leader="none"/>
              </w:tabs>
              <w:spacing w:line="240" w:lineRule="auto" w:before="36" w:after="0"/>
              <w:ind w:left="547" w:right="0" w:hanging="423"/>
              <w:jc w:val="left"/>
              <w:rPr>
                <w:sz w:val="21"/>
              </w:rPr>
            </w:pPr>
            <w:r>
              <w:rPr>
                <w:spacing w:val="-2"/>
                <w:sz w:val="21"/>
              </w:rPr>
              <w:t>类风湿因子滴度升高；</w:t>
            </w:r>
          </w:p>
          <w:p>
            <w:pPr>
              <w:pStyle w:val="TableParagraph"/>
              <w:numPr>
                <w:ilvl w:val="0"/>
                <w:numId w:val="24"/>
              </w:numPr>
              <w:tabs>
                <w:tab w:pos="548" w:val="left" w:leader="none"/>
              </w:tabs>
              <w:spacing w:line="255" w:lineRule="exact" w:before="36" w:after="0"/>
              <w:ind w:left="547" w:right="0" w:hanging="423"/>
              <w:jc w:val="left"/>
              <w:rPr>
                <w:sz w:val="21"/>
              </w:rPr>
            </w:pPr>
            <w:r>
              <w:rPr>
                <w:sz w:val="21"/>
              </w:rPr>
              <w:t>X</w:t>
            </w:r>
            <w:r>
              <w:rPr>
                <w:spacing w:val="-6"/>
                <w:sz w:val="21"/>
              </w:rPr>
              <w:t> 线显示严重的关节</w:t>
            </w:r>
            <w:r>
              <w:rPr>
                <w:sz w:val="21"/>
              </w:rPr>
              <w:t>（</w:t>
            </w:r>
            <w:r>
              <w:rPr>
                <w:spacing w:val="-2"/>
                <w:sz w:val="21"/>
              </w:rPr>
              <w:t>软骨和骨</w:t>
            </w:r>
            <w:r>
              <w:rPr>
                <w:sz w:val="21"/>
              </w:rPr>
              <w:t>）</w:t>
            </w:r>
            <w:r>
              <w:rPr>
                <w:spacing w:val="-3"/>
                <w:sz w:val="21"/>
              </w:rPr>
              <w:t>破坏和关节畸形。</w:t>
            </w:r>
          </w:p>
        </w:tc>
      </w:tr>
    </w:tbl>
    <w:p>
      <w:pPr>
        <w:spacing w:after="0" w:line="255" w:lineRule="exact"/>
        <w:jc w:val="left"/>
        <w:rPr>
          <w:sz w:val="21"/>
        </w:rPr>
        <w:sectPr>
          <w:pgSz w:w="11910" w:h="16840"/>
          <w:pgMar w:header="0" w:footer="346" w:top="900" w:bottom="540" w:left="860" w:right="74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6"/>
        <w:gridCol w:w="1133"/>
        <w:gridCol w:w="8147"/>
      </w:tblGrid>
      <w:tr>
        <w:trPr>
          <w:trHeight w:val="1361" w:hRule="atLeast"/>
        </w:trPr>
        <w:tc>
          <w:tcPr>
            <w:tcW w:w="786" w:type="dxa"/>
          </w:tcPr>
          <w:p>
            <w:pPr>
              <w:pStyle w:val="TableParagraph"/>
              <w:spacing w:line="235" w:lineRule="exact" w:before="0"/>
              <w:ind w:right="161"/>
              <w:jc w:val="right"/>
              <w:rPr>
                <w:rFonts w:ascii="Microsoft JhengHei"/>
                <w:b/>
                <w:sz w:val="21"/>
              </w:rPr>
            </w:pPr>
            <w:r>
              <w:rPr>
                <w:rFonts w:ascii="Microsoft JhengHei"/>
                <w:b/>
                <w:w w:val="95"/>
                <w:sz w:val="21"/>
              </w:rPr>
              <w:t>9.31</w:t>
            </w:r>
          </w:p>
        </w:tc>
        <w:tc>
          <w:tcPr>
            <w:tcW w:w="1133" w:type="dxa"/>
          </w:tcPr>
          <w:p>
            <w:pPr>
              <w:pStyle w:val="TableParagraph"/>
              <w:spacing w:line="208" w:lineRule="exact" w:before="0"/>
              <w:ind w:left="163"/>
              <w:rPr>
                <w:rFonts w:ascii="Microsoft JhengHei" w:eastAsia="Microsoft JhengHei" w:hint="eastAsia"/>
                <w:b/>
                <w:sz w:val="21"/>
              </w:rPr>
            </w:pPr>
            <w:r>
              <w:rPr>
                <w:rFonts w:ascii="Microsoft JhengHei" w:eastAsia="Microsoft JhengHei" w:hint="eastAsia"/>
                <w:b/>
                <w:sz w:val="21"/>
              </w:rPr>
              <w:t>急性出血</w:t>
            </w:r>
          </w:p>
          <w:p>
            <w:pPr>
              <w:pStyle w:val="TableParagraph"/>
              <w:spacing w:line="204" w:lineRule="auto" w:before="28"/>
              <w:ind w:left="163" w:right="122"/>
              <w:jc w:val="both"/>
              <w:rPr>
                <w:rFonts w:ascii="Microsoft JhengHei" w:eastAsia="Microsoft JhengHei" w:hint="eastAsia"/>
                <w:b/>
                <w:sz w:val="21"/>
              </w:rPr>
            </w:pPr>
            <w:r>
              <w:rPr>
                <w:rFonts w:ascii="Microsoft JhengHei" w:eastAsia="Microsoft JhengHei" w:hint="eastAsia"/>
                <w:b/>
                <w:sz w:val="21"/>
              </w:rPr>
              <w:t>坏死性胰腺炎开腹手术</w:t>
            </w:r>
          </w:p>
        </w:tc>
        <w:tc>
          <w:tcPr>
            <w:tcW w:w="8147" w:type="dxa"/>
          </w:tcPr>
          <w:p>
            <w:pPr>
              <w:pStyle w:val="TableParagraph"/>
              <w:spacing w:line="211" w:lineRule="exact" w:before="0"/>
              <w:ind w:left="124"/>
              <w:rPr>
                <w:sz w:val="21"/>
              </w:rPr>
            </w:pPr>
            <w:r>
              <w:rPr>
                <w:sz w:val="21"/>
              </w:rPr>
              <w:t>指被保险人因为急性出血坏死性胰腺炎已经接受了外科开腹手术治疗，以进行坏死组</w:t>
            </w:r>
          </w:p>
          <w:p>
            <w:pPr>
              <w:pStyle w:val="TableParagraph"/>
              <w:ind w:left="124"/>
              <w:rPr>
                <w:sz w:val="21"/>
              </w:rPr>
            </w:pPr>
            <w:r>
              <w:rPr>
                <w:sz w:val="21"/>
              </w:rPr>
              <w:t>织清除、坏死病灶切除或胰腺切除。</w:t>
            </w:r>
          </w:p>
          <w:p>
            <w:pPr>
              <w:pStyle w:val="TableParagraph"/>
              <w:spacing w:before="12"/>
              <w:rPr>
                <w:sz w:val="14"/>
              </w:rPr>
            </w:pPr>
          </w:p>
          <w:p>
            <w:pPr>
              <w:pStyle w:val="TableParagraph"/>
              <w:spacing w:before="0"/>
              <w:ind w:left="124"/>
              <w:rPr>
                <w:sz w:val="21"/>
              </w:rPr>
            </w:pPr>
            <w:r>
              <w:rPr>
                <w:sz w:val="21"/>
              </w:rPr>
              <w:t>因饮酒所致的急性出血坏死性胰腺炎或经腹腔镜手术进行的治疗不在保障范围内。</w:t>
            </w:r>
          </w:p>
        </w:tc>
      </w:tr>
      <w:tr>
        <w:trPr>
          <w:trHeight w:val="1574" w:hRule="atLeast"/>
        </w:trPr>
        <w:tc>
          <w:tcPr>
            <w:tcW w:w="786" w:type="dxa"/>
          </w:tcPr>
          <w:p>
            <w:pPr>
              <w:pStyle w:val="TableParagraph"/>
              <w:spacing w:before="83"/>
              <w:ind w:right="161"/>
              <w:jc w:val="right"/>
              <w:rPr>
                <w:rFonts w:ascii="Microsoft JhengHei"/>
                <w:b/>
                <w:sz w:val="21"/>
              </w:rPr>
            </w:pPr>
            <w:r>
              <w:rPr>
                <w:rFonts w:ascii="Microsoft JhengHei"/>
                <w:b/>
                <w:w w:val="95"/>
                <w:sz w:val="21"/>
              </w:rPr>
              <w:t>9.32</w:t>
            </w:r>
          </w:p>
        </w:tc>
        <w:tc>
          <w:tcPr>
            <w:tcW w:w="1133" w:type="dxa"/>
          </w:tcPr>
          <w:p>
            <w:pPr>
              <w:pStyle w:val="TableParagraph"/>
              <w:spacing w:line="204" w:lineRule="auto" w:before="138"/>
              <w:ind w:left="163" w:right="122"/>
              <w:jc w:val="both"/>
              <w:rPr>
                <w:rFonts w:ascii="Microsoft JhengHei" w:eastAsia="Microsoft JhengHei" w:hint="eastAsia"/>
                <w:b/>
                <w:sz w:val="21"/>
              </w:rPr>
            </w:pPr>
            <w:r>
              <w:rPr>
                <w:rFonts w:ascii="Microsoft JhengHei" w:eastAsia="Microsoft JhengHei" w:hint="eastAsia"/>
                <w:b/>
                <w:sz w:val="21"/>
              </w:rPr>
              <w:t>侵蚀性葡萄胎（或称恶性葡萄胎）</w:t>
            </w:r>
          </w:p>
        </w:tc>
        <w:tc>
          <w:tcPr>
            <w:tcW w:w="8147" w:type="dxa"/>
          </w:tcPr>
          <w:p>
            <w:pPr>
              <w:pStyle w:val="TableParagraph"/>
              <w:spacing w:line="273" w:lineRule="auto" w:before="150"/>
              <w:ind w:left="124" w:right="244"/>
              <w:rPr>
                <w:sz w:val="21"/>
              </w:rPr>
            </w:pPr>
            <w:r>
              <w:rPr>
                <w:sz w:val="21"/>
              </w:rPr>
              <w:t>指异常增生的绒毛组织浸润性生长浸入子宫肌层或转移至其他器官或组织的葡萄胎， 并已经进行化疗或手术治疗的。</w:t>
            </w:r>
          </w:p>
        </w:tc>
      </w:tr>
      <w:tr>
        <w:trPr>
          <w:trHeight w:val="3757" w:hRule="atLeast"/>
        </w:trPr>
        <w:tc>
          <w:tcPr>
            <w:tcW w:w="786" w:type="dxa"/>
          </w:tcPr>
          <w:p>
            <w:pPr>
              <w:pStyle w:val="TableParagraph"/>
              <w:spacing w:before="83"/>
              <w:ind w:right="161"/>
              <w:jc w:val="right"/>
              <w:rPr>
                <w:rFonts w:ascii="Microsoft JhengHei"/>
                <w:b/>
                <w:sz w:val="21"/>
              </w:rPr>
            </w:pPr>
            <w:r>
              <w:rPr>
                <w:rFonts w:ascii="Microsoft JhengHei"/>
                <w:b/>
                <w:w w:val="95"/>
                <w:sz w:val="21"/>
              </w:rPr>
              <w:t>9.33</w:t>
            </w:r>
          </w:p>
        </w:tc>
        <w:tc>
          <w:tcPr>
            <w:tcW w:w="1133" w:type="dxa"/>
          </w:tcPr>
          <w:p>
            <w:pPr>
              <w:pStyle w:val="TableParagraph"/>
              <w:spacing w:line="204" w:lineRule="auto" w:before="138"/>
              <w:ind w:left="163" w:right="122"/>
              <w:jc w:val="both"/>
              <w:rPr>
                <w:rFonts w:ascii="Microsoft JhengHei" w:eastAsia="Microsoft JhengHei" w:hint="eastAsia"/>
                <w:b/>
                <w:sz w:val="21"/>
              </w:rPr>
            </w:pPr>
            <w:r>
              <w:rPr>
                <w:rFonts w:ascii="Microsoft JhengHei" w:eastAsia="Microsoft JhengHei" w:hint="eastAsia"/>
                <w:b/>
                <w:sz w:val="21"/>
              </w:rPr>
              <w:t>经输血导致的感染艾滋病病毒或者患艾滋病</w:t>
            </w:r>
          </w:p>
        </w:tc>
        <w:tc>
          <w:tcPr>
            <w:tcW w:w="8147" w:type="dxa"/>
          </w:tcPr>
          <w:p>
            <w:pPr>
              <w:pStyle w:val="TableParagraph"/>
              <w:spacing w:before="150"/>
              <w:ind w:left="124"/>
              <w:rPr>
                <w:sz w:val="21"/>
              </w:rPr>
            </w:pPr>
            <w:r>
              <w:rPr>
                <w:sz w:val="21"/>
              </w:rPr>
              <w:t>指被保险人感染艾滋病病毒或者患艾滋病且须满足下列全部条件：</w:t>
            </w:r>
          </w:p>
          <w:p>
            <w:pPr>
              <w:pStyle w:val="TableParagraph"/>
              <w:numPr>
                <w:ilvl w:val="0"/>
                <w:numId w:val="25"/>
              </w:numPr>
              <w:tabs>
                <w:tab w:pos="548" w:val="left" w:leader="none"/>
              </w:tabs>
              <w:spacing w:line="240" w:lineRule="auto" w:before="32" w:after="0"/>
              <w:ind w:left="547" w:right="0" w:hanging="423"/>
              <w:jc w:val="left"/>
              <w:rPr>
                <w:sz w:val="21"/>
              </w:rPr>
            </w:pPr>
            <w:r>
              <w:rPr>
                <w:spacing w:val="-1"/>
                <w:sz w:val="21"/>
              </w:rPr>
              <w:t>因输血而感染；</w:t>
            </w:r>
          </w:p>
          <w:p>
            <w:pPr>
              <w:pStyle w:val="TableParagraph"/>
              <w:numPr>
                <w:ilvl w:val="0"/>
                <w:numId w:val="25"/>
              </w:numPr>
              <w:tabs>
                <w:tab w:pos="548" w:val="left" w:leader="none"/>
              </w:tabs>
              <w:spacing w:line="273" w:lineRule="auto" w:before="37" w:after="0"/>
              <w:ind w:left="547" w:right="263" w:hanging="423"/>
              <w:jc w:val="both"/>
              <w:rPr>
                <w:sz w:val="21"/>
              </w:rPr>
            </w:pPr>
            <w:r>
              <w:rPr>
                <w:spacing w:val="-6"/>
                <w:sz w:val="21"/>
              </w:rPr>
              <w:t>提供输血治疗的输血中心或医院出具的该项输血感染属医疗责任事故的报告，或</w:t>
            </w:r>
            <w:r>
              <w:rPr>
                <w:spacing w:val="0"/>
                <w:sz w:val="21"/>
              </w:rPr>
              <w:t>法院确认被保险人因输血导致感染艾滋病病毒或患艾滋病为医疗责任事故的生</w:t>
            </w:r>
            <w:r>
              <w:rPr>
                <w:sz w:val="21"/>
              </w:rPr>
              <w:t>效判决；</w:t>
            </w:r>
          </w:p>
          <w:p>
            <w:pPr>
              <w:pStyle w:val="TableParagraph"/>
              <w:numPr>
                <w:ilvl w:val="0"/>
                <w:numId w:val="25"/>
              </w:numPr>
              <w:tabs>
                <w:tab w:pos="548" w:val="left" w:leader="none"/>
              </w:tabs>
              <w:spacing w:line="240" w:lineRule="auto" w:before="8" w:after="0"/>
              <w:ind w:left="547" w:right="0" w:hanging="423"/>
              <w:jc w:val="left"/>
              <w:rPr>
                <w:sz w:val="21"/>
              </w:rPr>
            </w:pPr>
            <w:r>
              <w:rPr>
                <w:spacing w:val="-3"/>
                <w:sz w:val="21"/>
              </w:rPr>
              <w:t>受感染的被保险人不是血友病患者。</w:t>
            </w:r>
          </w:p>
          <w:p>
            <w:pPr>
              <w:pStyle w:val="TableParagraph"/>
              <w:spacing w:before="12"/>
              <w:rPr>
                <w:sz w:val="14"/>
              </w:rPr>
            </w:pPr>
          </w:p>
          <w:p>
            <w:pPr>
              <w:pStyle w:val="TableParagraph"/>
              <w:spacing w:line="273" w:lineRule="auto" w:before="0"/>
              <w:ind w:left="124" w:right="278"/>
              <w:rPr>
                <w:sz w:val="21"/>
              </w:rPr>
            </w:pPr>
            <w:r>
              <w:rPr>
                <w:sz w:val="21"/>
              </w:rPr>
              <w:t>本公司具有获得和使用被保险人的所有血液样本的权利以及能够对这些样本进行独立检验的权利。</w:t>
            </w:r>
          </w:p>
          <w:p>
            <w:pPr>
              <w:pStyle w:val="TableParagraph"/>
              <w:spacing w:line="268" w:lineRule="auto" w:before="166"/>
              <w:ind w:left="124" w:right="225"/>
              <w:rPr>
                <w:sz w:val="21"/>
              </w:rPr>
            </w:pPr>
            <w:r>
              <w:rPr>
                <w:sz w:val="21"/>
              </w:rPr>
              <w:t>任何因其他传播方式（包括：性传播或静脉注射毒品）导致感染艾滋病病毒或者患艾滋病不在保障范围内。</w:t>
            </w:r>
          </w:p>
        </w:tc>
      </w:tr>
      <w:tr>
        <w:trPr>
          <w:trHeight w:val="5632" w:hRule="atLeast"/>
        </w:trPr>
        <w:tc>
          <w:tcPr>
            <w:tcW w:w="786" w:type="dxa"/>
          </w:tcPr>
          <w:p>
            <w:pPr>
              <w:pStyle w:val="TableParagraph"/>
              <w:spacing w:before="85"/>
              <w:ind w:right="161"/>
              <w:jc w:val="right"/>
              <w:rPr>
                <w:rFonts w:ascii="Microsoft JhengHei"/>
                <w:b/>
                <w:sz w:val="21"/>
              </w:rPr>
            </w:pPr>
            <w:r>
              <w:rPr>
                <w:rFonts w:ascii="Microsoft JhengHei"/>
                <w:b/>
                <w:w w:val="95"/>
                <w:sz w:val="21"/>
              </w:rPr>
              <w:t>9.34</w:t>
            </w:r>
          </w:p>
        </w:tc>
        <w:tc>
          <w:tcPr>
            <w:tcW w:w="1133" w:type="dxa"/>
          </w:tcPr>
          <w:p>
            <w:pPr>
              <w:pStyle w:val="TableParagraph"/>
              <w:spacing w:line="204" w:lineRule="auto" w:before="140"/>
              <w:ind w:left="163" w:right="122"/>
              <w:jc w:val="both"/>
              <w:rPr>
                <w:rFonts w:ascii="Microsoft JhengHei" w:eastAsia="Microsoft JhengHei" w:hint="eastAsia"/>
                <w:b/>
                <w:sz w:val="21"/>
              </w:rPr>
            </w:pPr>
            <w:r>
              <w:rPr>
                <w:rFonts w:ascii="Microsoft JhengHei" w:eastAsia="Microsoft JhengHei" w:hint="eastAsia"/>
                <w:b/>
                <w:sz w:val="21"/>
              </w:rPr>
              <w:t>系统性红斑狼疮并发重度的肾功能损害</w:t>
            </w:r>
          </w:p>
        </w:tc>
        <w:tc>
          <w:tcPr>
            <w:tcW w:w="8147" w:type="dxa"/>
          </w:tcPr>
          <w:p>
            <w:pPr>
              <w:pStyle w:val="TableParagraph"/>
              <w:spacing w:line="268" w:lineRule="auto" w:before="152"/>
              <w:ind w:left="124" w:right="278"/>
              <w:rPr>
                <w:sz w:val="21"/>
              </w:rPr>
            </w:pPr>
            <w:r>
              <w:rPr>
                <w:sz w:val="21"/>
              </w:rPr>
              <w:t>指系统性红斑狼疮患者并发狼疮性肾炎而影响和损害肾脏功能。须满足下列全部条件：</w:t>
            </w:r>
          </w:p>
          <w:p>
            <w:pPr>
              <w:pStyle w:val="TableParagraph"/>
              <w:numPr>
                <w:ilvl w:val="0"/>
                <w:numId w:val="26"/>
              </w:numPr>
              <w:tabs>
                <w:tab w:pos="548" w:val="left" w:leader="none"/>
              </w:tabs>
              <w:spacing w:line="240" w:lineRule="auto" w:before="11" w:after="0"/>
              <w:ind w:left="547" w:right="0" w:hanging="423"/>
              <w:jc w:val="left"/>
              <w:rPr>
                <w:sz w:val="21"/>
              </w:rPr>
            </w:pPr>
            <w:r>
              <w:rPr>
                <w:spacing w:val="-3"/>
                <w:sz w:val="21"/>
              </w:rPr>
              <w:t>临床表现须具备以下至少四项条件：</w:t>
            </w:r>
          </w:p>
          <w:p>
            <w:pPr>
              <w:pStyle w:val="TableParagraph"/>
              <w:ind w:left="547"/>
              <w:rPr>
                <w:sz w:val="21"/>
              </w:rPr>
            </w:pPr>
            <w:r>
              <w:rPr>
                <w:sz w:val="21"/>
              </w:rPr>
              <w:t>① 蝶形红斑或盘形红斑；</w:t>
            </w:r>
          </w:p>
          <w:p>
            <w:pPr>
              <w:pStyle w:val="TableParagraph"/>
              <w:ind w:left="547"/>
              <w:rPr>
                <w:sz w:val="21"/>
              </w:rPr>
            </w:pPr>
            <w:r>
              <w:rPr>
                <w:sz w:val="21"/>
              </w:rPr>
              <w:t>② 光敏感；</w:t>
            </w:r>
          </w:p>
          <w:p>
            <w:pPr>
              <w:pStyle w:val="TableParagraph"/>
              <w:ind w:left="547"/>
              <w:rPr>
                <w:sz w:val="21"/>
              </w:rPr>
            </w:pPr>
            <w:r>
              <w:rPr>
                <w:sz w:val="21"/>
              </w:rPr>
              <w:t>③ 口鼻腔黏膜溃疡；</w:t>
            </w:r>
          </w:p>
          <w:p>
            <w:pPr>
              <w:pStyle w:val="TableParagraph"/>
              <w:ind w:left="547"/>
              <w:rPr>
                <w:sz w:val="21"/>
              </w:rPr>
            </w:pPr>
            <w:r>
              <w:rPr>
                <w:sz w:val="21"/>
              </w:rPr>
              <w:t>④ 非畸形性关节炎或多关节痛；</w:t>
            </w:r>
          </w:p>
          <w:p>
            <w:pPr>
              <w:pStyle w:val="TableParagraph"/>
              <w:ind w:left="547"/>
              <w:rPr>
                <w:sz w:val="21"/>
              </w:rPr>
            </w:pPr>
            <w:r>
              <w:rPr>
                <w:sz w:val="21"/>
              </w:rPr>
              <w:t>⑤ 胸膜炎或心包炎；</w:t>
            </w:r>
          </w:p>
          <w:p>
            <w:pPr>
              <w:pStyle w:val="TableParagraph"/>
              <w:spacing w:before="38"/>
              <w:ind w:left="547"/>
              <w:rPr>
                <w:sz w:val="21"/>
              </w:rPr>
            </w:pPr>
            <w:r>
              <w:rPr>
                <w:w w:val="100"/>
                <w:sz w:val="21"/>
              </w:rPr>
              <w:t>⑥</w:t>
            </w:r>
            <w:r>
              <w:rPr>
                <w:spacing w:val="42"/>
                <w:sz w:val="21"/>
              </w:rPr>
              <w:t> </w:t>
            </w:r>
            <w:r>
              <w:rPr>
                <w:spacing w:val="-1"/>
                <w:w w:val="100"/>
                <w:sz w:val="21"/>
              </w:rPr>
              <w:t>神经系统损伤</w:t>
            </w:r>
            <w:r>
              <w:rPr>
                <w:w w:val="100"/>
                <w:sz w:val="21"/>
              </w:rPr>
              <w:t>（</w:t>
            </w:r>
            <w:r>
              <w:rPr>
                <w:spacing w:val="-3"/>
                <w:w w:val="100"/>
                <w:sz w:val="21"/>
              </w:rPr>
              <w:t>癫痫或精神症状</w:t>
            </w:r>
            <w:r>
              <w:rPr>
                <w:spacing w:val="-106"/>
                <w:w w:val="100"/>
                <w:sz w:val="21"/>
              </w:rPr>
              <w:t>）</w:t>
            </w:r>
            <w:r>
              <w:rPr>
                <w:w w:val="100"/>
                <w:sz w:val="21"/>
              </w:rPr>
              <w:t>；</w:t>
            </w:r>
          </w:p>
          <w:p>
            <w:pPr>
              <w:pStyle w:val="TableParagraph"/>
              <w:ind w:left="547"/>
              <w:rPr>
                <w:sz w:val="21"/>
              </w:rPr>
            </w:pPr>
            <w:r>
              <w:rPr>
                <w:spacing w:val="6"/>
                <w:sz w:val="21"/>
              </w:rPr>
              <w:t>⑦ 血象异常</w:t>
            </w:r>
            <w:r>
              <w:rPr>
                <w:spacing w:val="-5"/>
                <w:sz w:val="21"/>
              </w:rPr>
              <w:t>（</w:t>
            </w:r>
            <w:r>
              <w:rPr>
                <w:spacing w:val="-10"/>
                <w:sz w:val="21"/>
              </w:rPr>
              <w:t>白细胞小于 </w:t>
            </w:r>
            <w:r>
              <w:rPr>
                <w:sz w:val="21"/>
              </w:rPr>
              <w:t>4000/μl</w:t>
            </w:r>
            <w:r>
              <w:rPr>
                <w:spacing w:val="-14"/>
                <w:sz w:val="21"/>
              </w:rPr>
              <w:t> 或血小板小于 </w:t>
            </w:r>
            <w:r>
              <w:rPr>
                <w:sz w:val="21"/>
              </w:rPr>
              <w:t>100000/μl</w:t>
            </w:r>
            <w:r>
              <w:rPr>
                <w:spacing w:val="-9"/>
                <w:sz w:val="21"/>
              </w:rPr>
              <w:t> 或溶血性贫血</w:t>
            </w:r>
            <w:r>
              <w:rPr>
                <w:spacing w:val="-111"/>
                <w:sz w:val="21"/>
              </w:rPr>
              <w:t>）</w:t>
            </w:r>
            <w:r>
              <w:rPr>
                <w:sz w:val="21"/>
              </w:rPr>
              <w:t>。</w:t>
            </w:r>
          </w:p>
          <w:p>
            <w:pPr>
              <w:pStyle w:val="TableParagraph"/>
              <w:numPr>
                <w:ilvl w:val="0"/>
                <w:numId w:val="26"/>
              </w:numPr>
              <w:tabs>
                <w:tab w:pos="548" w:val="left" w:leader="none"/>
              </w:tabs>
              <w:spacing w:line="240" w:lineRule="auto" w:before="37" w:after="0"/>
              <w:ind w:left="547" w:right="0" w:hanging="423"/>
              <w:jc w:val="left"/>
              <w:rPr>
                <w:sz w:val="21"/>
              </w:rPr>
            </w:pPr>
            <w:r>
              <w:rPr>
                <w:spacing w:val="-3"/>
                <w:sz w:val="21"/>
              </w:rPr>
              <w:t>检查结果须具备以下至少两项条件：</w:t>
            </w:r>
          </w:p>
          <w:p>
            <w:pPr>
              <w:pStyle w:val="TableParagraph"/>
              <w:ind w:left="547"/>
              <w:rPr>
                <w:sz w:val="21"/>
              </w:rPr>
            </w:pPr>
            <w:r>
              <w:rPr>
                <w:sz w:val="21"/>
              </w:rPr>
              <w:t>① 抗 dsDNA 抗体阳性；</w:t>
            </w:r>
          </w:p>
          <w:p>
            <w:pPr>
              <w:pStyle w:val="TableParagraph"/>
              <w:ind w:left="547"/>
              <w:rPr>
                <w:sz w:val="21"/>
              </w:rPr>
            </w:pPr>
            <w:r>
              <w:rPr>
                <w:sz w:val="21"/>
              </w:rPr>
              <w:t>② 抗 Sm 抗体阳性；</w:t>
            </w:r>
          </w:p>
          <w:p>
            <w:pPr>
              <w:pStyle w:val="TableParagraph"/>
              <w:ind w:left="547"/>
              <w:rPr>
                <w:sz w:val="21"/>
              </w:rPr>
            </w:pPr>
            <w:r>
              <w:rPr>
                <w:sz w:val="21"/>
              </w:rPr>
              <w:t>③ 抗核抗体阳性；</w:t>
            </w:r>
          </w:p>
          <w:p>
            <w:pPr>
              <w:pStyle w:val="TableParagraph"/>
              <w:spacing w:before="36"/>
              <w:ind w:left="547"/>
              <w:rPr>
                <w:sz w:val="21"/>
              </w:rPr>
            </w:pPr>
            <w:r>
              <w:rPr>
                <w:sz w:val="21"/>
              </w:rPr>
              <w:t>④ 皮肤狼疮带试验（非病损部位）或肾活检阳性；</w:t>
            </w:r>
          </w:p>
          <w:p>
            <w:pPr>
              <w:pStyle w:val="TableParagraph"/>
              <w:spacing w:before="36"/>
              <w:ind w:left="547"/>
              <w:rPr>
                <w:sz w:val="21"/>
              </w:rPr>
            </w:pPr>
            <w:r>
              <w:rPr>
                <w:sz w:val="21"/>
              </w:rPr>
              <w:t>⑤ C3 低于正常值。</w:t>
            </w:r>
          </w:p>
          <w:p>
            <w:pPr>
              <w:pStyle w:val="TableParagraph"/>
              <w:numPr>
                <w:ilvl w:val="0"/>
                <w:numId w:val="26"/>
              </w:numPr>
              <w:tabs>
                <w:tab w:pos="548" w:val="left" w:leader="none"/>
              </w:tabs>
              <w:spacing w:line="240" w:lineRule="auto" w:before="36" w:after="0"/>
              <w:ind w:left="547" w:right="0" w:hanging="423"/>
              <w:jc w:val="left"/>
              <w:rPr>
                <w:sz w:val="21"/>
              </w:rPr>
            </w:pPr>
            <w:r>
              <w:rPr>
                <w:spacing w:val="-6"/>
                <w:sz w:val="21"/>
              </w:rPr>
              <w:t>狼疮肾炎致使肾功能减弱，内生肌酐清除率低于每分钟 </w:t>
            </w:r>
            <w:r>
              <w:rPr>
                <w:sz w:val="21"/>
              </w:rPr>
              <w:t>30ml。</w:t>
            </w:r>
          </w:p>
        </w:tc>
      </w:tr>
      <w:tr>
        <w:trPr>
          <w:trHeight w:val="2199" w:hRule="atLeast"/>
        </w:trPr>
        <w:tc>
          <w:tcPr>
            <w:tcW w:w="786" w:type="dxa"/>
          </w:tcPr>
          <w:p>
            <w:pPr>
              <w:pStyle w:val="TableParagraph"/>
              <w:spacing w:before="85"/>
              <w:ind w:right="161"/>
              <w:jc w:val="right"/>
              <w:rPr>
                <w:rFonts w:ascii="Microsoft JhengHei"/>
                <w:b/>
                <w:sz w:val="21"/>
              </w:rPr>
            </w:pPr>
            <w:r>
              <w:rPr>
                <w:rFonts w:ascii="Microsoft JhengHei"/>
                <w:b/>
                <w:w w:val="95"/>
                <w:sz w:val="21"/>
              </w:rPr>
              <w:t>9.35</w:t>
            </w:r>
          </w:p>
        </w:tc>
        <w:tc>
          <w:tcPr>
            <w:tcW w:w="1133" w:type="dxa"/>
          </w:tcPr>
          <w:p>
            <w:pPr>
              <w:pStyle w:val="TableParagraph"/>
              <w:spacing w:line="201" w:lineRule="auto" w:before="144"/>
              <w:ind w:left="163" w:right="122"/>
              <w:rPr>
                <w:rFonts w:ascii="Microsoft JhengHei" w:eastAsia="Microsoft JhengHei" w:hint="eastAsia"/>
                <w:b/>
                <w:sz w:val="21"/>
              </w:rPr>
            </w:pPr>
            <w:r>
              <w:rPr>
                <w:rFonts w:ascii="Microsoft JhengHei" w:eastAsia="Microsoft JhengHei" w:hint="eastAsia"/>
                <w:b/>
                <w:sz w:val="21"/>
              </w:rPr>
              <w:t>重症肌无力</w:t>
            </w:r>
          </w:p>
        </w:tc>
        <w:tc>
          <w:tcPr>
            <w:tcW w:w="8147" w:type="dxa"/>
          </w:tcPr>
          <w:p>
            <w:pPr>
              <w:pStyle w:val="TableParagraph"/>
              <w:spacing w:line="271" w:lineRule="auto" w:before="152"/>
              <w:ind w:left="124" w:right="273"/>
              <w:jc w:val="both"/>
              <w:rPr>
                <w:sz w:val="21"/>
              </w:rPr>
            </w:pPr>
            <w:r>
              <w:rPr>
                <w:spacing w:val="-6"/>
                <w:sz w:val="21"/>
              </w:rPr>
              <w:t>指一种神经与肌肉接头部位传递障碍的自身免疫性疾病，临床特征是局部或全身横纹</w:t>
            </w:r>
            <w:r>
              <w:rPr>
                <w:spacing w:val="-8"/>
                <w:sz w:val="21"/>
              </w:rPr>
              <w:t>肌于活动时易于疲劳无力，颅神经眼外肌最易累及，也可涉及呼吸肌、下肢近端肌群</w:t>
            </w:r>
            <w:r>
              <w:rPr>
                <w:spacing w:val="-6"/>
                <w:sz w:val="21"/>
              </w:rPr>
              <w:t>以至全身肌肉。且须满足下列全部条件：</w:t>
            </w:r>
          </w:p>
          <w:p>
            <w:pPr>
              <w:pStyle w:val="TableParagraph"/>
              <w:numPr>
                <w:ilvl w:val="0"/>
                <w:numId w:val="27"/>
              </w:numPr>
              <w:tabs>
                <w:tab w:pos="548" w:val="left" w:leader="none"/>
              </w:tabs>
              <w:spacing w:line="240" w:lineRule="auto" w:before="9" w:after="0"/>
              <w:ind w:left="547" w:right="0" w:hanging="423"/>
              <w:jc w:val="left"/>
              <w:rPr>
                <w:sz w:val="21"/>
              </w:rPr>
            </w:pPr>
            <w:r>
              <w:rPr>
                <w:spacing w:val="-4"/>
                <w:sz w:val="21"/>
              </w:rPr>
              <w:t>经药物、胸腺手术治疗一年以上无法控制病情；</w:t>
            </w:r>
          </w:p>
          <w:p>
            <w:pPr>
              <w:pStyle w:val="TableParagraph"/>
              <w:numPr>
                <w:ilvl w:val="0"/>
                <w:numId w:val="27"/>
              </w:numPr>
              <w:tabs>
                <w:tab w:pos="548" w:val="left" w:leader="none"/>
              </w:tabs>
              <w:spacing w:line="273" w:lineRule="auto" w:before="36" w:after="0"/>
              <w:ind w:left="547" w:right="273" w:hanging="423"/>
              <w:jc w:val="left"/>
              <w:rPr>
                <w:sz w:val="21"/>
              </w:rPr>
            </w:pPr>
            <w:r>
              <w:rPr>
                <w:spacing w:val="-5"/>
                <w:sz w:val="21"/>
              </w:rPr>
              <w:t>自主生活能力完全丧失，无法独立完成六项基本日常生活活动中的三项或三项以上。</w:t>
            </w:r>
          </w:p>
        </w:tc>
      </w:tr>
      <w:tr>
        <w:trPr>
          <w:trHeight w:val="427" w:hRule="atLeast"/>
        </w:trPr>
        <w:tc>
          <w:tcPr>
            <w:tcW w:w="786" w:type="dxa"/>
          </w:tcPr>
          <w:p>
            <w:pPr>
              <w:pStyle w:val="TableParagraph"/>
              <w:spacing w:line="322" w:lineRule="exact" w:before="85"/>
              <w:ind w:right="161"/>
              <w:jc w:val="right"/>
              <w:rPr>
                <w:rFonts w:ascii="Microsoft JhengHei"/>
                <w:b/>
                <w:sz w:val="21"/>
              </w:rPr>
            </w:pPr>
            <w:r>
              <w:rPr>
                <w:rFonts w:ascii="Microsoft JhengHei"/>
                <w:b/>
                <w:w w:val="95"/>
                <w:sz w:val="21"/>
              </w:rPr>
              <w:t>9.36</w:t>
            </w:r>
          </w:p>
        </w:tc>
        <w:tc>
          <w:tcPr>
            <w:tcW w:w="1133" w:type="dxa"/>
          </w:tcPr>
          <w:p>
            <w:pPr>
              <w:pStyle w:val="TableParagraph"/>
              <w:spacing w:line="322" w:lineRule="exact" w:before="85"/>
              <w:ind w:left="163"/>
              <w:rPr>
                <w:rFonts w:ascii="Microsoft JhengHei" w:eastAsia="Microsoft JhengHei" w:hint="eastAsia"/>
                <w:b/>
                <w:sz w:val="21"/>
              </w:rPr>
            </w:pPr>
            <w:r>
              <w:rPr>
                <w:rFonts w:ascii="Microsoft JhengHei" w:eastAsia="Microsoft JhengHei" w:hint="eastAsia"/>
                <w:b/>
                <w:sz w:val="21"/>
              </w:rPr>
              <w:t>持续植物</w:t>
            </w:r>
          </w:p>
        </w:tc>
        <w:tc>
          <w:tcPr>
            <w:tcW w:w="8147" w:type="dxa"/>
          </w:tcPr>
          <w:p>
            <w:pPr>
              <w:pStyle w:val="TableParagraph"/>
              <w:spacing w:line="255" w:lineRule="exact" w:before="152"/>
              <w:ind w:left="124"/>
              <w:rPr>
                <w:sz w:val="21"/>
              </w:rPr>
            </w:pPr>
            <w:r>
              <w:rPr>
                <w:sz w:val="21"/>
              </w:rPr>
              <w:t>指因疾病或意外伤害导致被保险人躯体反射和自主反射全部丧失的深昏迷，但呼吸和</w:t>
            </w:r>
          </w:p>
        </w:tc>
      </w:tr>
    </w:tbl>
    <w:p>
      <w:pPr>
        <w:spacing w:after="0" w:line="255" w:lineRule="exact"/>
        <w:rPr>
          <w:sz w:val="21"/>
        </w:rPr>
        <w:sectPr>
          <w:pgSz w:w="11910" w:h="16840"/>
          <w:pgMar w:header="0" w:footer="346" w:top="1060" w:bottom="540" w:left="860" w:right="76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6"/>
        <w:gridCol w:w="1133"/>
        <w:gridCol w:w="7976"/>
      </w:tblGrid>
      <w:tr>
        <w:trPr>
          <w:trHeight w:val="1361" w:hRule="atLeast"/>
        </w:trPr>
        <w:tc>
          <w:tcPr>
            <w:tcW w:w="696" w:type="dxa"/>
          </w:tcPr>
          <w:p>
            <w:pPr>
              <w:pStyle w:val="TableParagraph"/>
              <w:spacing w:before="0"/>
              <w:rPr>
                <w:rFonts w:ascii="Times New Roman"/>
                <w:sz w:val="20"/>
              </w:rPr>
            </w:pPr>
          </w:p>
        </w:tc>
        <w:tc>
          <w:tcPr>
            <w:tcW w:w="1133" w:type="dxa"/>
          </w:tcPr>
          <w:p>
            <w:pPr>
              <w:pStyle w:val="TableParagraph"/>
              <w:spacing w:line="235" w:lineRule="exact" w:before="0"/>
              <w:ind w:left="163"/>
              <w:rPr>
                <w:rFonts w:ascii="Microsoft JhengHei" w:eastAsia="Microsoft JhengHei" w:hint="eastAsia"/>
                <w:b/>
                <w:sz w:val="21"/>
              </w:rPr>
            </w:pPr>
            <w:r>
              <w:rPr>
                <w:rFonts w:ascii="Microsoft JhengHei" w:eastAsia="Microsoft JhengHei" w:hint="eastAsia"/>
                <w:b/>
                <w:sz w:val="21"/>
              </w:rPr>
              <w:t>人状态</w:t>
            </w:r>
          </w:p>
        </w:tc>
        <w:tc>
          <w:tcPr>
            <w:tcW w:w="7976" w:type="dxa"/>
          </w:tcPr>
          <w:p>
            <w:pPr>
              <w:pStyle w:val="TableParagraph"/>
              <w:spacing w:line="211" w:lineRule="exact" w:before="0"/>
              <w:ind w:left="125"/>
              <w:rPr>
                <w:sz w:val="21"/>
              </w:rPr>
            </w:pPr>
            <w:r>
              <w:rPr>
                <w:sz w:val="21"/>
              </w:rPr>
              <w:t>心跳是正常的，此时完全依赖支持疗法（如流质食物、静脉注射营养液等）维持生命</w:t>
            </w:r>
          </w:p>
          <w:p>
            <w:pPr>
              <w:pStyle w:val="TableParagraph"/>
              <w:ind w:left="125"/>
              <w:rPr>
                <w:sz w:val="21"/>
              </w:rPr>
            </w:pPr>
            <w:r>
              <w:rPr>
                <w:sz w:val="21"/>
              </w:rPr>
              <w:t>的临床状态。且须满足下列全部条件：</w:t>
            </w:r>
          </w:p>
          <w:p>
            <w:pPr>
              <w:pStyle w:val="TableParagraph"/>
              <w:numPr>
                <w:ilvl w:val="0"/>
                <w:numId w:val="28"/>
              </w:numPr>
              <w:tabs>
                <w:tab w:pos="548" w:val="left" w:leader="none"/>
              </w:tabs>
              <w:spacing w:line="240" w:lineRule="auto" w:before="37" w:after="0"/>
              <w:ind w:left="547" w:right="0" w:hanging="422"/>
              <w:jc w:val="left"/>
              <w:rPr>
                <w:sz w:val="21"/>
              </w:rPr>
            </w:pPr>
            <w:r>
              <w:rPr>
                <w:spacing w:val="-6"/>
                <w:sz w:val="21"/>
              </w:rPr>
              <w:t>诊断为植物人状态后并继续维持治疗 </w:t>
            </w:r>
            <w:r>
              <w:rPr>
                <w:sz w:val="21"/>
              </w:rPr>
              <w:t>30</w:t>
            </w:r>
            <w:r>
              <w:rPr>
                <w:spacing w:val="-12"/>
                <w:sz w:val="21"/>
              </w:rPr>
              <w:t> 天以上；</w:t>
            </w:r>
          </w:p>
          <w:p>
            <w:pPr>
              <w:pStyle w:val="TableParagraph"/>
              <w:numPr>
                <w:ilvl w:val="0"/>
                <w:numId w:val="28"/>
              </w:numPr>
              <w:tabs>
                <w:tab w:pos="548" w:val="left" w:leader="none"/>
              </w:tabs>
              <w:spacing w:line="240" w:lineRule="auto" w:before="37" w:after="0"/>
              <w:ind w:left="547" w:right="0" w:hanging="422"/>
              <w:jc w:val="left"/>
              <w:rPr>
                <w:sz w:val="21"/>
              </w:rPr>
            </w:pPr>
            <w:r>
              <w:rPr>
                <w:spacing w:val="-13"/>
                <w:sz w:val="21"/>
              </w:rPr>
              <w:t>治疗 </w:t>
            </w:r>
            <w:r>
              <w:rPr>
                <w:sz w:val="21"/>
              </w:rPr>
              <w:t>30</w:t>
            </w:r>
            <w:r>
              <w:rPr>
                <w:spacing w:val="-8"/>
                <w:sz w:val="21"/>
              </w:rPr>
              <w:t> 天前后的脑电图检查均为等电位</w:t>
            </w:r>
            <w:r>
              <w:rPr>
                <w:sz w:val="21"/>
              </w:rPr>
              <w:t>（</w:t>
            </w:r>
            <w:r>
              <w:rPr>
                <w:spacing w:val="-2"/>
                <w:sz w:val="21"/>
              </w:rPr>
              <w:t>完全平坦</w:t>
            </w:r>
            <w:r>
              <w:rPr>
                <w:spacing w:val="-111"/>
                <w:sz w:val="21"/>
              </w:rPr>
              <w:t>）</w:t>
            </w:r>
            <w:r>
              <w:rPr>
                <w:sz w:val="21"/>
              </w:rPr>
              <w:t>。</w:t>
            </w:r>
          </w:p>
        </w:tc>
      </w:tr>
      <w:tr>
        <w:trPr>
          <w:trHeight w:val="1733" w:hRule="atLeast"/>
        </w:trPr>
        <w:tc>
          <w:tcPr>
            <w:tcW w:w="696" w:type="dxa"/>
          </w:tcPr>
          <w:p>
            <w:pPr>
              <w:pStyle w:val="TableParagraph"/>
              <w:spacing w:before="83"/>
              <w:ind w:left="110"/>
              <w:rPr>
                <w:rFonts w:ascii="Microsoft JhengHei"/>
                <w:b/>
                <w:sz w:val="21"/>
              </w:rPr>
            </w:pPr>
            <w:r>
              <w:rPr>
                <w:rFonts w:ascii="Microsoft JhengHei"/>
                <w:b/>
                <w:sz w:val="21"/>
              </w:rPr>
              <w:t>9.37</w:t>
            </w:r>
          </w:p>
        </w:tc>
        <w:tc>
          <w:tcPr>
            <w:tcW w:w="1133" w:type="dxa"/>
          </w:tcPr>
          <w:p>
            <w:pPr>
              <w:pStyle w:val="TableParagraph"/>
              <w:spacing w:line="204" w:lineRule="auto" w:before="138"/>
              <w:ind w:left="163" w:right="122"/>
              <w:rPr>
                <w:rFonts w:ascii="Microsoft JhengHei" w:eastAsia="Microsoft JhengHei" w:hint="eastAsia"/>
                <w:b/>
                <w:sz w:val="21"/>
              </w:rPr>
            </w:pPr>
            <w:r>
              <w:rPr>
                <w:rFonts w:ascii="Microsoft JhengHei" w:eastAsia="Microsoft JhengHei" w:hint="eastAsia"/>
                <w:b/>
                <w:sz w:val="21"/>
              </w:rPr>
              <w:t>严重心肌病</w:t>
            </w:r>
          </w:p>
        </w:tc>
        <w:tc>
          <w:tcPr>
            <w:tcW w:w="7976" w:type="dxa"/>
          </w:tcPr>
          <w:p>
            <w:pPr>
              <w:pStyle w:val="TableParagraph"/>
              <w:spacing w:line="273" w:lineRule="auto" w:before="150"/>
              <w:ind w:left="125" w:right="98"/>
              <w:jc w:val="both"/>
              <w:rPr>
                <w:sz w:val="21"/>
              </w:rPr>
            </w:pPr>
            <w:r>
              <w:rPr>
                <w:spacing w:val="-3"/>
                <w:sz w:val="21"/>
              </w:rPr>
              <w:t>指由任何病因引起的心室功能损伤</w:t>
            </w:r>
            <w:r>
              <w:rPr>
                <w:sz w:val="21"/>
              </w:rPr>
              <w:t>（</w:t>
            </w:r>
            <w:r>
              <w:rPr>
                <w:spacing w:val="-4"/>
                <w:sz w:val="21"/>
              </w:rPr>
              <w:t>左室腔扩大至少达到正常值上限的 </w:t>
            </w:r>
            <w:r>
              <w:rPr>
                <w:sz w:val="21"/>
              </w:rPr>
              <w:t>120％，且左</w:t>
            </w:r>
            <w:r>
              <w:rPr>
                <w:spacing w:val="-2"/>
                <w:w w:val="100"/>
                <w:sz w:val="21"/>
              </w:rPr>
              <w:t>室射血分数持续性低于</w:t>
            </w:r>
            <w:r>
              <w:rPr>
                <w:spacing w:val="-2"/>
                <w:sz w:val="21"/>
              </w:rPr>
              <w:t> </w:t>
            </w:r>
            <w:r>
              <w:rPr>
                <w:w w:val="100"/>
                <w:sz w:val="21"/>
              </w:rPr>
              <w:t>40％</w:t>
            </w:r>
            <w:r>
              <w:rPr>
                <w:spacing w:val="-106"/>
                <w:w w:val="100"/>
                <w:sz w:val="21"/>
              </w:rPr>
              <w:t>）</w:t>
            </w:r>
            <w:r>
              <w:rPr>
                <w:spacing w:val="-5"/>
                <w:w w:val="100"/>
                <w:sz w:val="21"/>
              </w:rPr>
              <w:t>，导致被保险人身体永久不可逆性受损，达到美国纽约</w:t>
            </w:r>
            <w:r>
              <w:rPr>
                <w:spacing w:val="-7"/>
                <w:sz w:val="21"/>
              </w:rPr>
              <w:t>心脏病学会心功能状态分级 </w:t>
            </w:r>
            <w:r>
              <w:rPr>
                <w:sz w:val="21"/>
              </w:rPr>
              <w:t>IV</w:t>
            </w:r>
            <w:r>
              <w:rPr>
                <w:spacing w:val="-7"/>
                <w:sz w:val="21"/>
              </w:rPr>
              <w:t> 级，且经包括超声心动图在内的相关检查证实。</w:t>
            </w:r>
          </w:p>
          <w:p>
            <w:pPr>
              <w:pStyle w:val="TableParagraph"/>
              <w:spacing w:before="166"/>
              <w:ind w:left="125"/>
              <w:jc w:val="both"/>
              <w:rPr>
                <w:sz w:val="21"/>
              </w:rPr>
            </w:pPr>
            <w:r>
              <w:rPr>
                <w:sz w:val="21"/>
              </w:rPr>
              <w:t>酗酒或滥用药物引起的心肌病不在保障范围内。</w:t>
            </w:r>
          </w:p>
        </w:tc>
      </w:tr>
      <w:tr>
        <w:trPr>
          <w:trHeight w:val="1257" w:hRule="atLeast"/>
        </w:trPr>
        <w:tc>
          <w:tcPr>
            <w:tcW w:w="696" w:type="dxa"/>
          </w:tcPr>
          <w:p>
            <w:pPr>
              <w:pStyle w:val="TableParagraph"/>
              <w:spacing w:before="83"/>
              <w:ind w:left="110"/>
              <w:rPr>
                <w:rFonts w:ascii="Microsoft JhengHei"/>
                <w:b/>
                <w:sz w:val="21"/>
              </w:rPr>
            </w:pPr>
            <w:r>
              <w:rPr>
                <w:rFonts w:ascii="Microsoft JhengHei"/>
                <w:b/>
                <w:sz w:val="21"/>
              </w:rPr>
              <w:t>9.38</w:t>
            </w:r>
          </w:p>
        </w:tc>
        <w:tc>
          <w:tcPr>
            <w:tcW w:w="1133" w:type="dxa"/>
          </w:tcPr>
          <w:p>
            <w:pPr>
              <w:pStyle w:val="TableParagraph"/>
              <w:spacing w:line="201" w:lineRule="auto" w:before="141"/>
              <w:ind w:left="163" w:right="122"/>
              <w:rPr>
                <w:rFonts w:ascii="Microsoft JhengHei" w:eastAsia="Microsoft JhengHei" w:hint="eastAsia"/>
                <w:b/>
                <w:sz w:val="21"/>
              </w:rPr>
            </w:pPr>
            <w:r>
              <w:rPr>
                <w:rFonts w:ascii="Microsoft JhengHei" w:eastAsia="Microsoft JhengHei" w:hint="eastAsia"/>
                <w:b/>
                <w:sz w:val="21"/>
              </w:rPr>
              <w:t>严重溃疡性结肠炎</w:t>
            </w:r>
          </w:p>
        </w:tc>
        <w:tc>
          <w:tcPr>
            <w:tcW w:w="7976" w:type="dxa"/>
          </w:tcPr>
          <w:p>
            <w:pPr>
              <w:pStyle w:val="TableParagraph"/>
              <w:spacing w:line="271" w:lineRule="auto" w:before="150"/>
              <w:ind w:left="125" w:right="102"/>
              <w:jc w:val="both"/>
              <w:rPr>
                <w:sz w:val="21"/>
              </w:rPr>
            </w:pPr>
            <w:r>
              <w:rPr>
                <w:spacing w:val="-7"/>
                <w:sz w:val="21"/>
              </w:rPr>
              <w:t>指伴有致命性电解质紊乱的急性暴发性溃疡性结肠炎，病变累及全结肠，表现为严重</w:t>
            </w:r>
            <w:r>
              <w:rPr>
                <w:spacing w:val="-8"/>
                <w:sz w:val="21"/>
              </w:rPr>
              <w:t>的血便和系统性症状体征，须根据组织病理学特点诊断，并且被保险人已经接受了全</w:t>
            </w:r>
            <w:r>
              <w:rPr>
                <w:spacing w:val="-6"/>
                <w:sz w:val="21"/>
              </w:rPr>
              <w:t>结肠切除和回肠造瘘术。</w:t>
            </w:r>
          </w:p>
        </w:tc>
      </w:tr>
      <w:tr>
        <w:trPr>
          <w:trHeight w:val="1263" w:hRule="atLeast"/>
        </w:trPr>
        <w:tc>
          <w:tcPr>
            <w:tcW w:w="696" w:type="dxa"/>
          </w:tcPr>
          <w:p>
            <w:pPr>
              <w:pStyle w:val="TableParagraph"/>
              <w:spacing w:before="83"/>
              <w:ind w:left="110"/>
              <w:rPr>
                <w:rFonts w:ascii="Microsoft JhengHei"/>
                <w:b/>
                <w:sz w:val="21"/>
              </w:rPr>
            </w:pPr>
            <w:r>
              <w:rPr>
                <w:rFonts w:ascii="Microsoft JhengHei"/>
                <w:b/>
                <w:sz w:val="21"/>
              </w:rPr>
              <w:t>9.39</w:t>
            </w:r>
          </w:p>
        </w:tc>
        <w:tc>
          <w:tcPr>
            <w:tcW w:w="1133" w:type="dxa"/>
          </w:tcPr>
          <w:p>
            <w:pPr>
              <w:pStyle w:val="TableParagraph"/>
              <w:spacing w:line="204" w:lineRule="auto" w:before="138"/>
              <w:ind w:left="163" w:right="122"/>
              <w:jc w:val="both"/>
              <w:rPr>
                <w:rFonts w:ascii="Microsoft JhengHei" w:eastAsia="Microsoft JhengHei" w:hint="eastAsia"/>
                <w:b/>
                <w:sz w:val="21"/>
              </w:rPr>
            </w:pPr>
            <w:r>
              <w:rPr>
                <w:rFonts w:ascii="Microsoft JhengHei" w:eastAsia="Microsoft JhengHei" w:hint="eastAsia"/>
                <w:b/>
                <w:sz w:val="21"/>
              </w:rPr>
              <w:t>溶血性链球菌引起的坏疽</w:t>
            </w:r>
          </w:p>
        </w:tc>
        <w:tc>
          <w:tcPr>
            <w:tcW w:w="7976" w:type="dxa"/>
          </w:tcPr>
          <w:p>
            <w:pPr>
              <w:pStyle w:val="TableParagraph"/>
              <w:spacing w:line="273" w:lineRule="auto" w:before="150"/>
              <w:ind w:left="125" w:right="102"/>
              <w:jc w:val="both"/>
              <w:rPr>
                <w:sz w:val="21"/>
              </w:rPr>
            </w:pPr>
            <w:r>
              <w:rPr>
                <w:spacing w:val="-6"/>
                <w:sz w:val="21"/>
              </w:rPr>
              <w:t>指包围肢体或躯干的浅筋膜或深筋膜受到溶血性链球菌的感染，病情在短时间内急剧</w:t>
            </w:r>
            <w:r>
              <w:rPr>
                <w:spacing w:val="-7"/>
                <w:sz w:val="21"/>
              </w:rPr>
              <w:t>恶化，且已经立刻进行了手术及清创术。最后的诊断必须由微生物或病理学专家进行</w:t>
            </w:r>
            <w:r>
              <w:rPr>
                <w:spacing w:val="-6"/>
                <w:sz w:val="21"/>
              </w:rPr>
              <w:t>相关检查后证实。</w:t>
            </w:r>
          </w:p>
        </w:tc>
      </w:tr>
      <w:tr>
        <w:trPr>
          <w:trHeight w:val="1574" w:hRule="atLeast"/>
        </w:trPr>
        <w:tc>
          <w:tcPr>
            <w:tcW w:w="696" w:type="dxa"/>
          </w:tcPr>
          <w:p>
            <w:pPr>
              <w:pStyle w:val="TableParagraph"/>
              <w:spacing w:before="83"/>
              <w:ind w:left="110"/>
              <w:rPr>
                <w:rFonts w:ascii="Microsoft JhengHei"/>
                <w:b/>
                <w:sz w:val="21"/>
              </w:rPr>
            </w:pPr>
            <w:r>
              <w:rPr>
                <w:rFonts w:ascii="Microsoft JhengHei"/>
                <w:b/>
                <w:sz w:val="21"/>
              </w:rPr>
              <w:t>9.40</w:t>
            </w:r>
          </w:p>
        </w:tc>
        <w:tc>
          <w:tcPr>
            <w:tcW w:w="1133" w:type="dxa"/>
          </w:tcPr>
          <w:p>
            <w:pPr>
              <w:pStyle w:val="TableParagraph"/>
              <w:spacing w:line="204" w:lineRule="auto" w:before="138"/>
              <w:ind w:left="163" w:right="122"/>
              <w:rPr>
                <w:rFonts w:ascii="Microsoft JhengHei" w:eastAsia="Microsoft JhengHei" w:hint="eastAsia"/>
                <w:b/>
                <w:sz w:val="21"/>
              </w:rPr>
            </w:pPr>
            <w:r>
              <w:rPr>
                <w:rFonts w:ascii="Microsoft JhengHei" w:eastAsia="Microsoft JhengHei" w:hint="eastAsia"/>
                <w:b/>
                <w:sz w:val="21"/>
              </w:rPr>
              <w:t>坏死性筋膜炎</w:t>
            </w:r>
          </w:p>
        </w:tc>
        <w:tc>
          <w:tcPr>
            <w:tcW w:w="7976" w:type="dxa"/>
          </w:tcPr>
          <w:p>
            <w:pPr>
              <w:pStyle w:val="TableParagraph"/>
              <w:spacing w:before="150"/>
              <w:ind w:left="125"/>
              <w:rPr>
                <w:sz w:val="21"/>
              </w:rPr>
            </w:pPr>
            <w:r>
              <w:rPr>
                <w:sz w:val="21"/>
              </w:rPr>
              <w:t>坏死性筋膜炎的诊断须满足下列全部条件：</w:t>
            </w:r>
          </w:p>
          <w:p>
            <w:pPr>
              <w:pStyle w:val="TableParagraph"/>
              <w:numPr>
                <w:ilvl w:val="0"/>
                <w:numId w:val="29"/>
              </w:numPr>
              <w:tabs>
                <w:tab w:pos="548" w:val="left" w:leader="none"/>
              </w:tabs>
              <w:spacing w:line="240" w:lineRule="auto" w:before="37" w:after="0"/>
              <w:ind w:left="547" w:right="0" w:hanging="422"/>
              <w:jc w:val="left"/>
              <w:rPr>
                <w:sz w:val="21"/>
              </w:rPr>
            </w:pPr>
            <w:r>
              <w:rPr>
                <w:spacing w:val="-3"/>
                <w:sz w:val="21"/>
              </w:rPr>
              <w:t>符合坏死性筋膜炎的一般临床表现；</w:t>
            </w:r>
          </w:p>
          <w:p>
            <w:pPr>
              <w:pStyle w:val="TableParagraph"/>
              <w:numPr>
                <w:ilvl w:val="0"/>
                <w:numId w:val="29"/>
              </w:numPr>
              <w:tabs>
                <w:tab w:pos="548" w:val="left" w:leader="none"/>
              </w:tabs>
              <w:spacing w:line="240" w:lineRule="auto" w:before="37" w:after="0"/>
              <w:ind w:left="547" w:right="0" w:hanging="422"/>
              <w:jc w:val="left"/>
              <w:rPr>
                <w:sz w:val="21"/>
              </w:rPr>
            </w:pPr>
            <w:r>
              <w:rPr>
                <w:spacing w:val="-2"/>
                <w:sz w:val="21"/>
              </w:rPr>
              <w:t>细菌培养检出致病菌；</w:t>
            </w:r>
          </w:p>
          <w:p>
            <w:pPr>
              <w:pStyle w:val="TableParagraph"/>
              <w:numPr>
                <w:ilvl w:val="0"/>
                <w:numId w:val="29"/>
              </w:numPr>
              <w:tabs>
                <w:tab w:pos="548" w:val="left" w:leader="none"/>
              </w:tabs>
              <w:spacing w:line="240" w:lineRule="auto" w:before="37" w:after="0"/>
              <w:ind w:left="547" w:right="0" w:hanging="422"/>
              <w:jc w:val="left"/>
              <w:rPr>
                <w:sz w:val="21"/>
              </w:rPr>
            </w:pPr>
            <w:r>
              <w:rPr>
                <w:spacing w:val="-5"/>
                <w:sz w:val="21"/>
              </w:rPr>
              <w:t>出现广泛性肌肉及软组织坏死，并导致身体受影响部位功能永久不可逆性丧失。</w:t>
            </w:r>
          </w:p>
        </w:tc>
      </w:tr>
      <w:tr>
        <w:trPr>
          <w:trHeight w:val="2199" w:hRule="atLeast"/>
        </w:trPr>
        <w:tc>
          <w:tcPr>
            <w:tcW w:w="696" w:type="dxa"/>
          </w:tcPr>
          <w:p>
            <w:pPr>
              <w:pStyle w:val="TableParagraph"/>
              <w:spacing w:before="83"/>
              <w:ind w:left="110"/>
              <w:rPr>
                <w:rFonts w:ascii="Microsoft JhengHei"/>
                <w:b/>
                <w:sz w:val="21"/>
              </w:rPr>
            </w:pPr>
            <w:r>
              <w:rPr>
                <w:rFonts w:ascii="Microsoft JhengHei"/>
                <w:b/>
                <w:sz w:val="21"/>
              </w:rPr>
              <w:t>9.41</w:t>
            </w:r>
          </w:p>
        </w:tc>
        <w:tc>
          <w:tcPr>
            <w:tcW w:w="1133" w:type="dxa"/>
          </w:tcPr>
          <w:p>
            <w:pPr>
              <w:pStyle w:val="TableParagraph"/>
              <w:spacing w:line="204" w:lineRule="auto" w:before="138"/>
              <w:ind w:left="163" w:right="122"/>
              <w:rPr>
                <w:rFonts w:ascii="Microsoft JhengHei" w:eastAsia="Microsoft JhengHei" w:hint="eastAsia"/>
                <w:b/>
                <w:sz w:val="21"/>
              </w:rPr>
            </w:pPr>
            <w:r>
              <w:rPr>
                <w:rFonts w:ascii="Microsoft JhengHei" w:eastAsia="Microsoft JhengHei" w:hint="eastAsia"/>
                <w:b/>
                <w:sz w:val="21"/>
              </w:rPr>
              <w:t>系统性硬皮病</w:t>
            </w:r>
          </w:p>
        </w:tc>
        <w:tc>
          <w:tcPr>
            <w:tcW w:w="7976" w:type="dxa"/>
          </w:tcPr>
          <w:p>
            <w:pPr>
              <w:pStyle w:val="TableParagraph"/>
              <w:spacing w:line="273" w:lineRule="auto" w:before="150"/>
              <w:ind w:left="125" w:right="1"/>
              <w:rPr>
                <w:sz w:val="21"/>
              </w:rPr>
            </w:pPr>
            <w:r>
              <w:rPr>
                <w:spacing w:val="-3"/>
                <w:w w:val="100"/>
                <w:sz w:val="21"/>
              </w:rPr>
              <w:t>系统性硬皮病</w:t>
            </w:r>
            <w:r>
              <w:rPr>
                <w:w w:val="100"/>
                <w:sz w:val="21"/>
              </w:rPr>
              <w:t>（</w:t>
            </w:r>
            <w:r>
              <w:rPr>
                <w:spacing w:val="-3"/>
                <w:w w:val="100"/>
                <w:sz w:val="21"/>
              </w:rPr>
              <w:t>须累及内脏器官</w:t>
            </w:r>
            <w:r>
              <w:rPr>
                <w:spacing w:val="-106"/>
                <w:w w:val="100"/>
                <w:sz w:val="21"/>
              </w:rPr>
              <w:t>）</w:t>
            </w:r>
            <w:r>
              <w:rPr>
                <w:spacing w:val="-6"/>
                <w:w w:val="100"/>
                <w:sz w:val="21"/>
              </w:rPr>
              <w:t>，指一种以局限性或弥漫性皮肤增厚和皮肤、血管、</w:t>
            </w:r>
            <w:r>
              <w:rPr>
                <w:spacing w:val="-5"/>
                <w:sz w:val="21"/>
              </w:rPr>
              <w:t>内脏器官异常纤维化为特征的结缔组织病。须满足下列至少一项条件：</w:t>
            </w:r>
          </w:p>
          <w:p>
            <w:pPr>
              <w:pStyle w:val="TableParagraph"/>
              <w:numPr>
                <w:ilvl w:val="0"/>
                <w:numId w:val="30"/>
              </w:numPr>
              <w:tabs>
                <w:tab w:pos="548" w:val="left" w:leader="none"/>
              </w:tabs>
              <w:spacing w:line="240" w:lineRule="auto" w:before="8" w:after="0"/>
              <w:ind w:left="547" w:right="0" w:hanging="422"/>
              <w:jc w:val="left"/>
              <w:rPr>
                <w:sz w:val="21"/>
              </w:rPr>
            </w:pPr>
            <w:r>
              <w:rPr>
                <w:spacing w:val="-5"/>
                <w:sz w:val="21"/>
              </w:rPr>
              <w:t>肺脏：肺部病变进而发展为肺间质纤维化和肺动脉高压；</w:t>
            </w:r>
          </w:p>
          <w:p>
            <w:pPr>
              <w:pStyle w:val="TableParagraph"/>
              <w:numPr>
                <w:ilvl w:val="0"/>
                <w:numId w:val="30"/>
              </w:numPr>
              <w:tabs>
                <w:tab w:pos="548" w:val="left" w:leader="none"/>
              </w:tabs>
              <w:spacing w:line="273" w:lineRule="auto" w:before="37" w:after="0"/>
              <w:ind w:left="547" w:right="101" w:hanging="422"/>
              <w:jc w:val="left"/>
              <w:rPr>
                <w:sz w:val="21"/>
              </w:rPr>
            </w:pPr>
            <w:r>
              <w:rPr>
                <w:spacing w:val="5"/>
                <w:sz w:val="21"/>
              </w:rPr>
              <w:t>心脏：左室腔扩大至少达到正常值上限的 </w:t>
            </w:r>
            <w:r>
              <w:rPr>
                <w:sz w:val="21"/>
              </w:rPr>
              <w:t>120％，且左室射血分数持续性低于40％；</w:t>
            </w:r>
          </w:p>
          <w:p>
            <w:pPr>
              <w:pStyle w:val="TableParagraph"/>
              <w:numPr>
                <w:ilvl w:val="0"/>
                <w:numId w:val="30"/>
              </w:numPr>
              <w:tabs>
                <w:tab w:pos="548" w:val="left" w:leader="none"/>
              </w:tabs>
              <w:spacing w:line="240" w:lineRule="auto" w:before="8" w:after="0"/>
              <w:ind w:left="547" w:right="0" w:hanging="422"/>
              <w:jc w:val="left"/>
              <w:rPr>
                <w:sz w:val="21"/>
              </w:rPr>
            </w:pPr>
            <w:r>
              <w:rPr>
                <w:spacing w:val="-5"/>
                <w:sz w:val="21"/>
              </w:rPr>
              <w:t>肾脏：肾脏受损导致双肾功能慢性不可逆衰竭，达到尿毒症期。</w:t>
            </w:r>
          </w:p>
        </w:tc>
      </w:tr>
      <w:tr>
        <w:trPr>
          <w:trHeight w:val="943" w:hRule="atLeast"/>
        </w:trPr>
        <w:tc>
          <w:tcPr>
            <w:tcW w:w="696" w:type="dxa"/>
          </w:tcPr>
          <w:p>
            <w:pPr>
              <w:pStyle w:val="TableParagraph"/>
              <w:spacing w:before="83"/>
              <w:ind w:left="110"/>
              <w:rPr>
                <w:rFonts w:ascii="Microsoft JhengHei"/>
                <w:b/>
                <w:sz w:val="21"/>
              </w:rPr>
            </w:pPr>
            <w:r>
              <w:rPr>
                <w:rFonts w:ascii="Microsoft JhengHei"/>
                <w:b/>
                <w:sz w:val="21"/>
              </w:rPr>
              <w:t>9.42</w:t>
            </w:r>
          </w:p>
        </w:tc>
        <w:tc>
          <w:tcPr>
            <w:tcW w:w="1133" w:type="dxa"/>
          </w:tcPr>
          <w:p>
            <w:pPr>
              <w:pStyle w:val="TableParagraph"/>
              <w:spacing w:line="204" w:lineRule="auto" w:before="138"/>
              <w:ind w:left="163" w:right="122"/>
              <w:rPr>
                <w:rFonts w:ascii="Microsoft JhengHei" w:eastAsia="Microsoft JhengHei" w:hint="eastAsia"/>
                <w:b/>
                <w:sz w:val="21"/>
              </w:rPr>
            </w:pPr>
            <w:r>
              <w:rPr>
                <w:rFonts w:ascii="Microsoft JhengHei" w:eastAsia="Microsoft JhengHei" w:hint="eastAsia"/>
                <w:b/>
                <w:sz w:val="21"/>
              </w:rPr>
              <w:t>严重克隆病</w:t>
            </w:r>
          </w:p>
        </w:tc>
        <w:tc>
          <w:tcPr>
            <w:tcW w:w="7976" w:type="dxa"/>
          </w:tcPr>
          <w:p>
            <w:pPr>
              <w:pStyle w:val="TableParagraph"/>
              <w:spacing w:line="273" w:lineRule="auto" w:before="150"/>
              <w:ind w:left="125" w:right="106"/>
              <w:rPr>
                <w:sz w:val="21"/>
              </w:rPr>
            </w:pPr>
            <w:r>
              <w:rPr>
                <w:spacing w:val="-6"/>
                <w:sz w:val="21"/>
              </w:rPr>
              <w:t>指一种慢性肉芽肿性肠炎，具有特征性的克隆病病理组织学变化，须由病理学检查结</w:t>
            </w:r>
            <w:r>
              <w:rPr>
                <w:spacing w:val="-5"/>
                <w:sz w:val="21"/>
              </w:rPr>
              <w:t>果证实，且已经造成瘘管形成并伴有肠梗阻或肠穿孔。</w:t>
            </w:r>
          </w:p>
        </w:tc>
      </w:tr>
      <w:tr>
        <w:trPr>
          <w:trHeight w:val="483" w:hRule="atLeast"/>
        </w:trPr>
        <w:tc>
          <w:tcPr>
            <w:tcW w:w="696" w:type="dxa"/>
            <w:tcBorders>
              <w:bottom w:val="single" w:sz="8" w:space="0" w:color="000000"/>
            </w:tcBorders>
          </w:tcPr>
          <w:p>
            <w:pPr>
              <w:pStyle w:val="TableParagraph"/>
              <w:spacing w:line="408" w:lineRule="exact" w:before="55"/>
              <w:ind w:left="110"/>
              <w:rPr>
                <w:rFonts w:ascii="Microsoft JhengHei"/>
                <w:b/>
                <w:sz w:val="24"/>
              </w:rPr>
            </w:pPr>
            <w:r>
              <w:rPr>
                <w:rFonts w:ascii="Microsoft JhengHei"/>
                <w:b/>
                <w:w w:val="83"/>
                <w:sz w:val="24"/>
              </w:rPr>
              <w:t>1</w:t>
            </w:r>
            <w:r>
              <w:rPr>
                <w:rFonts w:ascii="Microsoft JhengHei"/>
                <w:b/>
                <w:spacing w:val="3"/>
                <w:w w:val="83"/>
                <w:sz w:val="24"/>
              </w:rPr>
              <w:t>0</w:t>
            </w:r>
            <w:r>
              <w:rPr>
                <w:rFonts w:ascii="Microsoft JhengHei"/>
                <w:b/>
                <w:w w:val="196"/>
                <w:sz w:val="24"/>
              </w:rPr>
              <w:t>.</w:t>
            </w:r>
          </w:p>
        </w:tc>
        <w:tc>
          <w:tcPr>
            <w:tcW w:w="1133" w:type="dxa"/>
            <w:tcBorders>
              <w:bottom w:val="single" w:sz="8" w:space="0" w:color="000000"/>
            </w:tcBorders>
          </w:tcPr>
          <w:p>
            <w:pPr>
              <w:pStyle w:val="TableParagraph"/>
              <w:spacing w:line="408" w:lineRule="exact" w:before="55"/>
              <w:ind w:left="163"/>
              <w:rPr>
                <w:rFonts w:ascii="Microsoft JhengHei" w:eastAsia="Microsoft JhengHei" w:hint="eastAsia"/>
                <w:b/>
                <w:sz w:val="24"/>
              </w:rPr>
            </w:pPr>
            <w:r>
              <w:rPr>
                <w:rFonts w:ascii="Microsoft JhengHei" w:eastAsia="Microsoft JhengHei" w:hint="eastAsia"/>
                <w:b/>
                <w:sz w:val="24"/>
              </w:rPr>
              <w:t>释义</w:t>
            </w:r>
          </w:p>
        </w:tc>
        <w:tc>
          <w:tcPr>
            <w:tcW w:w="7976" w:type="dxa"/>
            <w:tcBorders>
              <w:bottom w:val="single" w:sz="8" w:space="0" w:color="000000"/>
            </w:tcBorders>
          </w:tcPr>
          <w:p>
            <w:pPr>
              <w:pStyle w:val="TableParagraph"/>
              <w:spacing w:before="0"/>
              <w:rPr>
                <w:rFonts w:ascii="Times New Roman"/>
                <w:sz w:val="20"/>
              </w:rPr>
            </w:pPr>
          </w:p>
        </w:tc>
      </w:tr>
      <w:tr>
        <w:trPr>
          <w:trHeight w:val="1092" w:hRule="atLeast"/>
        </w:trPr>
        <w:tc>
          <w:tcPr>
            <w:tcW w:w="696" w:type="dxa"/>
            <w:tcBorders>
              <w:top w:val="single" w:sz="8" w:space="0" w:color="000000"/>
            </w:tcBorders>
          </w:tcPr>
          <w:p>
            <w:pPr>
              <w:pStyle w:val="TableParagraph"/>
              <w:spacing w:before="3"/>
              <w:rPr>
                <w:sz w:val="17"/>
              </w:rPr>
            </w:pPr>
          </w:p>
          <w:p>
            <w:pPr>
              <w:pStyle w:val="TableParagraph"/>
              <w:spacing w:before="0"/>
              <w:ind w:left="110"/>
              <w:rPr>
                <w:rFonts w:ascii="Microsoft JhengHei"/>
                <w:b/>
                <w:sz w:val="21"/>
              </w:rPr>
            </w:pPr>
            <w:r>
              <w:rPr>
                <w:rFonts w:ascii="Microsoft JhengHei"/>
                <w:b/>
                <w:w w:val="84"/>
                <w:sz w:val="21"/>
              </w:rPr>
              <w:t>10</w:t>
            </w:r>
            <w:r>
              <w:rPr>
                <w:rFonts w:ascii="Microsoft JhengHei"/>
                <w:b/>
                <w:w w:val="197"/>
                <w:sz w:val="21"/>
              </w:rPr>
              <w:t>.</w:t>
            </w:r>
            <w:r>
              <w:rPr>
                <w:rFonts w:ascii="Microsoft JhengHei"/>
                <w:b/>
                <w:w w:val="84"/>
                <w:sz w:val="21"/>
              </w:rPr>
              <w:t>1</w:t>
            </w:r>
          </w:p>
        </w:tc>
        <w:tc>
          <w:tcPr>
            <w:tcW w:w="1133" w:type="dxa"/>
            <w:tcBorders>
              <w:top w:val="single" w:sz="8" w:space="0" w:color="000000"/>
            </w:tcBorders>
          </w:tcPr>
          <w:p>
            <w:pPr>
              <w:pStyle w:val="TableParagraph"/>
              <w:spacing w:before="3"/>
              <w:rPr>
                <w:sz w:val="17"/>
              </w:rPr>
            </w:pPr>
          </w:p>
          <w:p>
            <w:pPr>
              <w:pStyle w:val="TableParagraph"/>
              <w:spacing w:before="0"/>
              <w:ind w:left="163"/>
              <w:rPr>
                <w:rFonts w:ascii="Microsoft JhengHei" w:eastAsia="Microsoft JhengHei" w:hint="eastAsia"/>
                <w:b/>
                <w:sz w:val="21"/>
              </w:rPr>
            </w:pPr>
            <w:r>
              <w:rPr>
                <w:rFonts w:ascii="Microsoft JhengHei" w:eastAsia="Microsoft JhengHei" w:hint="eastAsia"/>
                <w:b/>
                <w:sz w:val="21"/>
              </w:rPr>
              <w:t>合法有效</w:t>
            </w:r>
          </w:p>
        </w:tc>
        <w:tc>
          <w:tcPr>
            <w:tcW w:w="7976" w:type="dxa"/>
            <w:tcBorders>
              <w:top w:val="single" w:sz="8" w:space="0" w:color="000000"/>
            </w:tcBorders>
          </w:tcPr>
          <w:p>
            <w:pPr>
              <w:pStyle w:val="TableParagraph"/>
              <w:spacing w:before="4"/>
              <w:rPr>
                <w:sz w:val="22"/>
              </w:rPr>
            </w:pPr>
          </w:p>
          <w:p>
            <w:pPr>
              <w:pStyle w:val="TableParagraph"/>
              <w:spacing w:line="273" w:lineRule="auto" w:before="0"/>
              <w:ind w:left="125" w:right="106"/>
              <w:rPr>
                <w:sz w:val="21"/>
              </w:rPr>
            </w:pPr>
            <w:r>
              <w:rPr>
                <w:spacing w:val="-7"/>
                <w:sz w:val="21"/>
              </w:rPr>
              <w:t>本附加合同所指合法有效均以中华人民共和国法律、法规、行政规章及有关规范性法</w:t>
            </w:r>
            <w:r>
              <w:rPr>
                <w:spacing w:val="-6"/>
                <w:sz w:val="21"/>
              </w:rPr>
              <w:t>律文件的规定为判定依据。</w:t>
            </w:r>
          </w:p>
        </w:tc>
      </w:tr>
      <w:tr>
        <w:trPr>
          <w:trHeight w:val="948" w:hRule="atLeast"/>
        </w:trPr>
        <w:tc>
          <w:tcPr>
            <w:tcW w:w="696" w:type="dxa"/>
          </w:tcPr>
          <w:p>
            <w:pPr>
              <w:pStyle w:val="TableParagraph"/>
              <w:spacing w:before="83"/>
              <w:ind w:left="110"/>
              <w:rPr>
                <w:rFonts w:ascii="Microsoft JhengHei"/>
                <w:b/>
                <w:sz w:val="21"/>
              </w:rPr>
            </w:pPr>
            <w:r>
              <w:rPr>
                <w:rFonts w:ascii="Microsoft JhengHei"/>
                <w:b/>
                <w:w w:val="84"/>
                <w:sz w:val="21"/>
              </w:rPr>
              <w:t>10</w:t>
            </w:r>
            <w:r>
              <w:rPr>
                <w:rFonts w:ascii="Microsoft JhengHei"/>
                <w:b/>
                <w:w w:val="197"/>
                <w:sz w:val="21"/>
              </w:rPr>
              <w:t>.</w:t>
            </w:r>
            <w:r>
              <w:rPr>
                <w:rFonts w:ascii="Microsoft JhengHei"/>
                <w:b/>
                <w:w w:val="84"/>
                <w:sz w:val="21"/>
              </w:rPr>
              <w:t>2</w:t>
            </w:r>
          </w:p>
        </w:tc>
        <w:tc>
          <w:tcPr>
            <w:tcW w:w="1133" w:type="dxa"/>
          </w:tcPr>
          <w:p>
            <w:pPr>
              <w:pStyle w:val="TableParagraph"/>
              <w:spacing w:before="83"/>
              <w:ind w:left="163"/>
              <w:rPr>
                <w:rFonts w:ascii="Microsoft JhengHei" w:eastAsia="Microsoft JhengHei" w:hint="eastAsia"/>
                <w:b/>
                <w:sz w:val="21"/>
              </w:rPr>
            </w:pPr>
            <w:r>
              <w:rPr>
                <w:rFonts w:ascii="Microsoft JhengHei" w:eastAsia="Microsoft JhengHei" w:hint="eastAsia"/>
                <w:b/>
                <w:sz w:val="21"/>
              </w:rPr>
              <w:t>保单年度</w:t>
            </w:r>
          </w:p>
        </w:tc>
        <w:tc>
          <w:tcPr>
            <w:tcW w:w="7976" w:type="dxa"/>
          </w:tcPr>
          <w:p>
            <w:pPr>
              <w:pStyle w:val="TableParagraph"/>
              <w:spacing w:line="268" w:lineRule="auto" w:before="150"/>
              <w:ind w:left="125" w:right="106"/>
              <w:rPr>
                <w:sz w:val="21"/>
              </w:rPr>
            </w:pPr>
            <w:r>
              <w:rPr>
                <w:sz w:val="21"/>
              </w:rPr>
              <w:t>从保险合同生效日或者年生效对应日零时起至下一年度保险合同年生效对应日零时止为一个保单年度。如果当月无对应的同一日，则以该月最后一日为对应日。</w:t>
            </w:r>
          </w:p>
        </w:tc>
      </w:tr>
      <w:tr>
        <w:trPr>
          <w:trHeight w:val="950" w:hRule="atLeast"/>
        </w:trPr>
        <w:tc>
          <w:tcPr>
            <w:tcW w:w="696" w:type="dxa"/>
          </w:tcPr>
          <w:p>
            <w:pPr>
              <w:pStyle w:val="TableParagraph"/>
              <w:spacing w:before="85"/>
              <w:ind w:left="110"/>
              <w:rPr>
                <w:rFonts w:ascii="Microsoft JhengHei"/>
                <w:b/>
                <w:sz w:val="21"/>
              </w:rPr>
            </w:pPr>
            <w:r>
              <w:rPr>
                <w:rFonts w:ascii="Microsoft JhengHei"/>
                <w:b/>
                <w:w w:val="84"/>
                <w:sz w:val="21"/>
              </w:rPr>
              <w:t>10</w:t>
            </w:r>
            <w:r>
              <w:rPr>
                <w:rFonts w:ascii="Microsoft JhengHei"/>
                <w:b/>
                <w:w w:val="197"/>
                <w:sz w:val="21"/>
              </w:rPr>
              <w:t>.</w:t>
            </w:r>
            <w:r>
              <w:rPr>
                <w:rFonts w:ascii="Microsoft JhengHei"/>
                <w:b/>
                <w:w w:val="84"/>
                <w:sz w:val="21"/>
              </w:rPr>
              <w:t>3</w:t>
            </w:r>
          </w:p>
        </w:tc>
        <w:tc>
          <w:tcPr>
            <w:tcW w:w="1133" w:type="dxa"/>
          </w:tcPr>
          <w:p>
            <w:pPr>
              <w:pStyle w:val="TableParagraph"/>
              <w:spacing w:line="201" w:lineRule="auto" w:before="144"/>
              <w:ind w:left="163" w:right="122"/>
              <w:rPr>
                <w:rFonts w:ascii="Microsoft JhengHei" w:eastAsia="Microsoft JhengHei" w:hint="eastAsia"/>
                <w:b/>
                <w:sz w:val="21"/>
              </w:rPr>
            </w:pPr>
            <w:r>
              <w:rPr>
                <w:rFonts w:ascii="Microsoft JhengHei" w:eastAsia="Microsoft JhengHei" w:hint="eastAsia"/>
                <w:b/>
                <w:sz w:val="21"/>
              </w:rPr>
              <w:t>保险费约定交纳日</w:t>
            </w:r>
          </w:p>
        </w:tc>
        <w:tc>
          <w:tcPr>
            <w:tcW w:w="7976" w:type="dxa"/>
          </w:tcPr>
          <w:p>
            <w:pPr>
              <w:pStyle w:val="TableParagraph"/>
              <w:spacing w:line="268" w:lineRule="auto" w:before="152"/>
              <w:ind w:left="125" w:right="56"/>
              <w:rPr>
                <w:sz w:val="21"/>
              </w:rPr>
            </w:pPr>
            <w:r>
              <w:rPr>
                <w:sz w:val="21"/>
              </w:rPr>
              <w:t>保险合同生效日在每月、每季、每半年或者每年（根据交费方式确定）的对应日。如果当月无对应的同一日，则以该月最后一日为对应日。</w:t>
            </w:r>
          </w:p>
        </w:tc>
      </w:tr>
      <w:tr>
        <w:trPr>
          <w:trHeight w:val="1358" w:hRule="atLeast"/>
        </w:trPr>
        <w:tc>
          <w:tcPr>
            <w:tcW w:w="696" w:type="dxa"/>
          </w:tcPr>
          <w:p>
            <w:pPr>
              <w:pStyle w:val="TableParagraph"/>
              <w:spacing w:before="85"/>
              <w:ind w:left="110"/>
              <w:rPr>
                <w:rFonts w:ascii="Microsoft JhengHei"/>
                <w:b/>
                <w:sz w:val="21"/>
              </w:rPr>
            </w:pPr>
            <w:r>
              <w:rPr>
                <w:rFonts w:ascii="Microsoft JhengHei"/>
                <w:b/>
                <w:w w:val="84"/>
                <w:sz w:val="21"/>
              </w:rPr>
              <w:t>10</w:t>
            </w:r>
            <w:r>
              <w:rPr>
                <w:rFonts w:ascii="Microsoft JhengHei"/>
                <w:b/>
                <w:w w:val="197"/>
                <w:sz w:val="21"/>
              </w:rPr>
              <w:t>.</w:t>
            </w:r>
            <w:r>
              <w:rPr>
                <w:rFonts w:ascii="Microsoft JhengHei"/>
                <w:b/>
                <w:w w:val="84"/>
                <w:sz w:val="21"/>
              </w:rPr>
              <w:t>4</w:t>
            </w:r>
          </w:p>
        </w:tc>
        <w:tc>
          <w:tcPr>
            <w:tcW w:w="1133" w:type="dxa"/>
          </w:tcPr>
          <w:p>
            <w:pPr>
              <w:pStyle w:val="TableParagraph"/>
              <w:spacing w:before="85"/>
              <w:ind w:left="163"/>
              <w:rPr>
                <w:rFonts w:ascii="Microsoft JhengHei" w:eastAsia="Microsoft JhengHei" w:hint="eastAsia"/>
                <w:b/>
                <w:sz w:val="21"/>
              </w:rPr>
            </w:pPr>
            <w:r>
              <w:rPr>
                <w:rFonts w:ascii="Microsoft JhengHei" w:eastAsia="Microsoft JhengHei" w:hint="eastAsia"/>
                <w:b/>
                <w:sz w:val="21"/>
              </w:rPr>
              <w:t>周岁</w:t>
            </w:r>
          </w:p>
        </w:tc>
        <w:tc>
          <w:tcPr>
            <w:tcW w:w="7976" w:type="dxa"/>
          </w:tcPr>
          <w:p>
            <w:pPr>
              <w:pStyle w:val="TableParagraph"/>
              <w:spacing w:line="268" w:lineRule="auto" w:before="152"/>
              <w:ind w:left="125" w:right="98"/>
              <w:rPr>
                <w:sz w:val="21"/>
              </w:rPr>
            </w:pPr>
            <w:r>
              <w:rPr>
                <w:spacing w:val="-7"/>
                <w:sz w:val="21"/>
              </w:rPr>
              <w:t>指按有效身份证件中记载的出生日期计算的年龄，自出生之日起为零周岁，每经过一</w:t>
            </w:r>
            <w:r>
              <w:rPr>
                <w:spacing w:val="-8"/>
                <w:sz w:val="21"/>
              </w:rPr>
              <w:t>年增加一岁，不足一年的不计。例如，出生日期为 </w:t>
            </w:r>
            <w:r>
              <w:rPr>
                <w:sz w:val="21"/>
              </w:rPr>
              <w:t>2000</w:t>
            </w:r>
            <w:r>
              <w:rPr>
                <w:spacing w:val="-29"/>
                <w:sz w:val="21"/>
              </w:rPr>
              <w:t> 年 </w:t>
            </w:r>
            <w:r>
              <w:rPr>
                <w:sz w:val="21"/>
              </w:rPr>
              <w:t>9</w:t>
            </w:r>
            <w:r>
              <w:rPr>
                <w:spacing w:val="-29"/>
                <w:sz w:val="21"/>
              </w:rPr>
              <w:t> 月 </w:t>
            </w:r>
            <w:r>
              <w:rPr>
                <w:sz w:val="21"/>
              </w:rPr>
              <w:t>1</w:t>
            </w:r>
            <w:r>
              <w:rPr>
                <w:spacing w:val="-23"/>
                <w:sz w:val="21"/>
              </w:rPr>
              <w:t> 日</w:t>
            </w:r>
            <w:r>
              <w:rPr>
                <w:sz w:val="21"/>
              </w:rPr>
              <w:t>，2000</w:t>
            </w:r>
            <w:r>
              <w:rPr>
                <w:spacing w:val="-29"/>
                <w:sz w:val="21"/>
              </w:rPr>
              <w:t> 年 </w:t>
            </w:r>
            <w:r>
              <w:rPr>
                <w:sz w:val="21"/>
              </w:rPr>
              <w:t>9</w:t>
            </w:r>
            <w:r>
              <w:rPr>
                <w:spacing w:val="-29"/>
                <w:sz w:val="21"/>
              </w:rPr>
              <w:t> 月 </w:t>
            </w:r>
            <w:r>
              <w:rPr>
                <w:sz w:val="21"/>
              </w:rPr>
              <w:t>1</w:t>
            </w:r>
          </w:p>
          <w:p>
            <w:pPr>
              <w:pStyle w:val="TableParagraph"/>
              <w:spacing w:line="312" w:lineRule="exact" w:before="7"/>
              <w:ind w:left="125" w:right="103"/>
              <w:rPr>
                <w:sz w:val="21"/>
              </w:rPr>
            </w:pPr>
            <w:r>
              <w:rPr>
                <w:spacing w:val="-17"/>
                <w:sz w:val="21"/>
              </w:rPr>
              <w:t>日至 </w:t>
            </w:r>
            <w:r>
              <w:rPr>
                <w:sz w:val="21"/>
              </w:rPr>
              <w:t>2001</w:t>
            </w:r>
            <w:r>
              <w:rPr>
                <w:spacing w:val="-36"/>
                <w:sz w:val="21"/>
              </w:rPr>
              <w:t> 年 </w:t>
            </w:r>
            <w:r>
              <w:rPr>
                <w:sz w:val="21"/>
              </w:rPr>
              <w:t>8</w:t>
            </w:r>
            <w:r>
              <w:rPr>
                <w:spacing w:val="-34"/>
                <w:sz w:val="21"/>
              </w:rPr>
              <w:t> 月 </w:t>
            </w:r>
            <w:r>
              <w:rPr>
                <w:sz w:val="21"/>
              </w:rPr>
              <w:t>31</w:t>
            </w:r>
            <w:r>
              <w:rPr>
                <w:spacing w:val="-20"/>
                <w:sz w:val="21"/>
              </w:rPr>
              <w:t> 日期间为 </w:t>
            </w:r>
            <w:r>
              <w:rPr>
                <w:sz w:val="21"/>
              </w:rPr>
              <w:t>0</w:t>
            </w:r>
            <w:r>
              <w:rPr>
                <w:spacing w:val="-16"/>
                <w:sz w:val="21"/>
              </w:rPr>
              <w:t> 周岁，</w:t>
            </w:r>
            <w:r>
              <w:rPr>
                <w:spacing w:val="-7"/>
                <w:sz w:val="21"/>
              </w:rPr>
              <w:t>2001</w:t>
            </w:r>
            <w:r>
              <w:rPr>
                <w:spacing w:val="-34"/>
                <w:sz w:val="21"/>
              </w:rPr>
              <w:t> 年 </w:t>
            </w:r>
            <w:r>
              <w:rPr>
                <w:sz w:val="21"/>
              </w:rPr>
              <w:t>9</w:t>
            </w:r>
            <w:r>
              <w:rPr>
                <w:spacing w:val="-36"/>
                <w:sz w:val="21"/>
              </w:rPr>
              <w:t> 月 </w:t>
            </w:r>
            <w:r>
              <w:rPr>
                <w:sz w:val="21"/>
              </w:rPr>
              <w:t>1</w:t>
            </w:r>
            <w:r>
              <w:rPr>
                <w:spacing w:val="-27"/>
                <w:sz w:val="21"/>
              </w:rPr>
              <w:t> 日至 </w:t>
            </w:r>
            <w:r>
              <w:rPr>
                <w:sz w:val="21"/>
              </w:rPr>
              <w:t>2002</w:t>
            </w:r>
            <w:r>
              <w:rPr>
                <w:spacing w:val="-36"/>
                <w:sz w:val="21"/>
              </w:rPr>
              <w:t> 年 </w:t>
            </w:r>
            <w:r>
              <w:rPr>
                <w:sz w:val="21"/>
              </w:rPr>
              <w:t>8</w:t>
            </w:r>
            <w:r>
              <w:rPr>
                <w:spacing w:val="-34"/>
                <w:sz w:val="21"/>
              </w:rPr>
              <w:t> 月 </w:t>
            </w:r>
            <w:r>
              <w:rPr>
                <w:sz w:val="21"/>
              </w:rPr>
              <w:t>31</w:t>
            </w:r>
            <w:r>
              <w:rPr>
                <w:spacing w:val="-20"/>
                <w:sz w:val="21"/>
              </w:rPr>
              <w:t> 日期间为 </w:t>
            </w:r>
            <w:r>
              <w:rPr>
                <w:sz w:val="21"/>
              </w:rPr>
              <w:t>1 </w:t>
            </w:r>
            <w:r>
              <w:rPr>
                <w:spacing w:val="-1"/>
                <w:sz w:val="21"/>
              </w:rPr>
              <w:t>周岁，依此类推。</w:t>
            </w:r>
          </w:p>
        </w:tc>
      </w:tr>
    </w:tbl>
    <w:p>
      <w:pPr>
        <w:spacing w:after="0" w:line="312" w:lineRule="exact"/>
        <w:rPr>
          <w:sz w:val="21"/>
        </w:rPr>
        <w:sectPr>
          <w:pgSz w:w="11910" w:h="16840"/>
          <w:pgMar w:header="0" w:footer="346" w:top="740" w:bottom="540" w:left="940" w:right="94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9"/>
        <w:gridCol w:w="1081"/>
        <w:gridCol w:w="8178"/>
      </w:tblGrid>
      <w:tr>
        <w:trPr>
          <w:trHeight w:val="1049" w:hRule="atLeast"/>
        </w:trPr>
        <w:tc>
          <w:tcPr>
            <w:tcW w:w="839" w:type="dxa"/>
          </w:tcPr>
          <w:p>
            <w:pPr>
              <w:pStyle w:val="TableParagraph"/>
              <w:spacing w:line="235" w:lineRule="exact" w:before="0"/>
              <w:ind w:left="200"/>
              <w:rPr>
                <w:rFonts w:ascii="Microsoft JhengHei"/>
                <w:b/>
                <w:sz w:val="21"/>
              </w:rPr>
            </w:pPr>
            <w:r>
              <w:rPr>
                <w:rFonts w:ascii="Microsoft JhengHei"/>
                <w:b/>
                <w:w w:val="84"/>
                <w:sz w:val="21"/>
              </w:rPr>
              <w:t>10</w:t>
            </w:r>
            <w:r>
              <w:rPr>
                <w:rFonts w:ascii="Microsoft JhengHei"/>
                <w:b/>
                <w:w w:val="197"/>
                <w:sz w:val="21"/>
              </w:rPr>
              <w:t>.</w:t>
            </w:r>
            <w:r>
              <w:rPr>
                <w:rFonts w:ascii="Microsoft JhengHei"/>
                <w:b/>
                <w:w w:val="84"/>
                <w:sz w:val="21"/>
              </w:rPr>
              <w:t>5</w:t>
            </w:r>
          </w:p>
        </w:tc>
        <w:tc>
          <w:tcPr>
            <w:tcW w:w="1081" w:type="dxa"/>
          </w:tcPr>
          <w:p>
            <w:pPr>
              <w:pStyle w:val="TableParagraph"/>
              <w:spacing w:line="208" w:lineRule="exact" w:before="0"/>
              <w:ind w:left="110"/>
              <w:rPr>
                <w:rFonts w:ascii="Microsoft JhengHei" w:eastAsia="Microsoft JhengHei" w:hint="eastAsia"/>
                <w:b/>
                <w:sz w:val="21"/>
              </w:rPr>
            </w:pPr>
            <w:r>
              <w:rPr>
                <w:rFonts w:ascii="Microsoft JhengHei" w:eastAsia="Microsoft JhengHei" w:hint="eastAsia"/>
                <w:b/>
                <w:sz w:val="21"/>
              </w:rPr>
              <w:t>有效身份</w:t>
            </w:r>
          </w:p>
          <w:p>
            <w:pPr>
              <w:pStyle w:val="TableParagraph"/>
              <w:spacing w:line="339" w:lineRule="exact" w:before="0"/>
              <w:ind w:left="110"/>
              <w:rPr>
                <w:rFonts w:ascii="Microsoft JhengHei" w:eastAsia="Microsoft JhengHei" w:hint="eastAsia"/>
                <w:b/>
                <w:sz w:val="21"/>
              </w:rPr>
            </w:pPr>
            <w:r>
              <w:rPr>
                <w:rFonts w:ascii="Microsoft JhengHei" w:eastAsia="Microsoft JhengHei" w:hint="eastAsia"/>
                <w:b/>
                <w:sz w:val="21"/>
              </w:rPr>
              <w:t>证件</w:t>
            </w:r>
          </w:p>
        </w:tc>
        <w:tc>
          <w:tcPr>
            <w:tcW w:w="8178" w:type="dxa"/>
          </w:tcPr>
          <w:p>
            <w:pPr>
              <w:pStyle w:val="TableParagraph"/>
              <w:spacing w:line="211" w:lineRule="exact" w:before="0"/>
              <w:ind w:left="123"/>
              <w:rPr>
                <w:sz w:val="21"/>
              </w:rPr>
            </w:pPr>
            <w:r>
              <w:rPr>
                <w:sz w:val="21"/>
              </w:rPr>
              <w:t>指由中华人民共和国政府主管部门规定的能够证明其身份的证件，如：居民身份证、</w:t>
            </w:r>
          </w:p>
          <w:p>
            <w:pPr>
              <w:pStyle w:val="TableParagraph"/>
              <w:spacing w:line="273" w:lineRule="auto"/>
              <w:ind w:left="123" w:right="310"/>
              <w:rPr>
                <w:sz w:val="21"/>
              </w:rPr>
            </w:pPr>
            <w:r>
              <w:rPr>
                <w:spacing w:val="-6"/>
                <w:sz w:val="21"/>
              </w:rPr>
              <w:t>军官证、警官证、士兵证、户口簿以及中华人民共和国政府主管部门颁发或者认可的</w:t>
            </w:r>
            <w:r>
              <w:rPr>
                <w:spacing w:val="-5"/>
                <w:sz w:val="21"/>
              </w:rPr>
              <w:t>有效护照或者其他身份证明文件。</w:t>
            </w:r>
          </w:p>
        </w:tc>
      </w:tr>
      <w:tr>
        <w:trPr>
          <w:trHeight w:val="2823" w:hRule="atLeast"/>
        </w:trPr>
        <w:tc>
          <w:tcPr>
            <w:tcW w:w="839" w:type="dxa"/>
          </w:tcPr>
          <w:p>
            <w:pPr>
              <w:pStyle w:val="TableParagraph"/>
              <w:spacing w:before="83"/>
              <w:ind w:left="200"/>
              <w:rPr>
                <w:rFonts w:ascii="Microsoft JhengHei"/>
                <w:b/>
                <w:sz w:val="21"/>
              </w:rPr>
            </w:pPr>
            <w:r>
              <w:rPr>
                <w:rFonts w:ascii="Microsoft JhengHei"/>
                <w:b/>
                <w:w w:val="84"/>
                <w:sz w:val="21"/>
              </w:rPr>
              <w:t>10</w:t>
            </w:r>
            <w:r>
              <w:rPr>
                <w:rFonts w:ascii="Microsoft JhengHei"/>
                <w:b/>
                <w:w w:val="197"/>
                <w:sz w:val="21"/>
              </w:rPr>
              <w:t>.</w:t>
            </w:r>
            <w:r>
              <w:rPr>
                <w:rFonts w:ascii="Microsoft JhengHei"/>
                <w:b/>
                <w:w w:val="84"/>
                <w:sz w:val="21"/>
              </w:rPr>
              <w:t>6</w:t>
            </w:r>
          </w:p>
        </w:tc>
        <w:tc>
          <w:tcPr>
            <w:tcW w:w="1081" w:type="dxa"/>
          </w:tcPr>
          <w:p>
            <w:pPr>
              <w:pStyle w:val="TableParagraph"/>
              <w:spacing w:before="83"/>
              <w:ind w:left="110"/>
              <w:rPr>
                <w:rFonts w:ascii="Microsoft JhengHei" w:eastAsia="Microsoft JhengHei" w:hint="eastAsia"/>
                <w:b/>
                <w:sz w:val="21"/>
              </w:rPr>
            </w:pPr>
            <w:r>
              <w:rPr>
                <w:rFonts w:ascii="Microsoft JhengHei" w:eastAsia="Microsoft JhengHei" w:hint="eastAsia"/>
                <w:b/>
                <w:sz w:val="21"/>
              </w:rPr>
              <w:t>医院</w:t>
            </w:r>
          </w:p>
        </w:tc>
        <w:tc>
          <w:tcPr>
            <w:tcW w:w="8178" w:type="dxa"/>
          </w:tcPr>
          <w:p>
            <w:pPr>
              <w:pStyle w:val="TableParagraph"/>
              <w:spacing w:line="273" w:lineRule="auto" w:before="150"/>
              <w:ind w:left="123" w:right="199"/>
              <w:rPr>
                <w:sz w:val="21"/>
              </w:rPr>
            </w:pPr>
            <w:r>
              <w:rPr>
                <w:spacing w:val="-6"/>
                <w:sz w:val="21"/>
              </w:rPr>
              <w:t>指拥有卫生行政部门核发的《医疗机构执业许可证</w:t>
            </w:r>
            <w:r>
              <w:rPr>
                <w:spacing w:val="-154"/>
                <w:sz w:val="21"/>
              </w:rPr>
              <w:t>》</w:t>
            </w:r>
            <w:r>
              <w:rPr>
                <w:spacing w:val="-5"/>
                <w:sz w:val="21"/>
              </w:rPr>
              <w:t>（</w:t>
            </w:r>
            <w:r>
              <w:rPr>
                <w:spacing w:val="-7"/>
                <w:sz w:val="21"/>
              </w:rPr>
              <w:t>国家不核拨经费、实行企业化经</w:t>
            </w:r>
            <w:r>
              <w:rPr>
                <w:spacing w:val="-11"/>
                <w:sz w:val="21"/>
              </w:rPr>
              <w:t>营的医院，还需依法申领营业执照</w:t>
            </w:r>
            <w:r>
              <w:rPr>
                <w:spacing w:val="-87"/>
                <w:sz w:val="21"/>
              </w:rPr>
              <w:t>）</w:t>
            </w:r>
            <w:r>
              <w:rPr>
                <w:spacing w:val="-11"/>
                <w:sz w:val="21"/>
              </w:rPr>
              <w:t>，有合格医生和护士提供二十四小时医疗护理服务</w:t>
            </w:r>
            <w:r>
              <w:rPr>
                <w:spacing w:val="-7"/>
                <w:sz w:val="21"/>
              </w:rPr>
              <w:t>的，具有系统性诊疗程序、手术设备和住院诊疗设施的，符合卫生部颁发的医疗机构</w:t>
            </w:r>
            <w:r>
              <w:rPr>
                <w:spacing w:val="-9"/>
                <w:sz w:val="21"/>
              </w:rPr>
              <w:t>基本标准的二级或二级以上医院。医院不包括康复医院或康复病房、精神病医院、疗</w:t>
            </w:r>
            <w:r>
              <w:rPr>
                <w:spacing w:val="-14"/>
                <w:sz w:val="21"/>
              </w:rPr>
              <w:t>养院、美容医院、护理院、戒酒或戒毒中心、精神心理治疗中心、急诊或门诊观察室、</w:t>
            </w:r>
            <w:r>
              <w:rPr>
                <w:spacing w:val="-11"/>
                <w:sz w:val="21"/>
              </w:rPr>
              <w:t>二级或三级医院的联合医院或联合病房、民营医院等，以及其它不符合本条款约定范</w:t>
            </w:r>
            <w:r>
              <w:rPr>
                <w:spacing w:val="-9"/>
                <w:sz w:val="21"/>
              </w:rPr>
              <w:t>围的医院。若本附加合同中附有关于医院范围的特别约定，则具体医院范围以此特别约定为准。</w:t>
            </w:r>
          </w:p>
        </w:tc>
      </w:tr>
      <w:tr>
        <w:trPr>
          <w:trHeight w:val="6410" w:hRule="atLeast"/>
        </w:trPr>
        <w:tc>
          <w:tcPr>
            <w:tcW w:w="839" w:type="dxa"/>
          </w:tcPr>
          <w:p>
            <w:pPr>
              <w:pStyle w:val="TableParagraph"/>
              <w:spacing w:before="83"/>
              <w:ind w:left="200"/>
              <w:rPr>
                <w:rFonts w:ascii="Microsoft JhengHei"/>
                <w:b/>
                <w:sz w:val="21"/>
              </w:rPr>
            </w:pPr>
            <w:r>
              <w:rPr>
                <w:rFonts w:ascii="Microsoft JhengHei"/>
                <w:b/>
                <w:w w:val="84"/>
                <w:sz w:val="21"/>
              </w:rPr>
              <w:t>10</w:t>
            </w:r>
            <w:r>
              <w:rPr>
                <w:rFonts w:ascii="Microsoft JhengHei"/>
                <w:b/>
                <w:w w:val="197"/>
                <w:sz w:val="21"/>
              </w:rPr>
              <w:t>.</w:t>
            </w:r>
            <w:r>
              <w:rPr>
                <w:rFonts w:ascii="Microsoft JhengHei"/>
                <w:b/>
                <w:w w:val="84"/>
                <w:sz w:val="21"/>
              </w:rPr>
              <w:t>7</w:t>
            </w:r>
          </w:p>
        </w:tc>
        <w:tc>
          <w:tcPr>
            <w:tcW w:w="1081" w:type="dxa"/>
          </w:tcPr>
          <w:p>
            <w:pPr>
              <w:pStyle w:val="TableParagraph"/>
              <w:spacing w:before="83"/>
              <w:ind w:left="110"/>
              <w:rPr>
                <w:rFonts w:ascii="Microsoft JhengHei" w:eastAsia="Microsoft JhengHei" w:hint="eastAsia"/>
                <w:b/>
                <w:sz w:val="21"/>
              </w:rPr>
            </w:pPr>
            <w:r>
              <w:rPr>
                <w:rFonts w:ascii="Microsoft JhengHei" w:eastAsia="Microsoft JhengHei" w:hint="eastAsia"/>
                <w:b/>
                <w:sz w:val="21"/>
              </w:rPr>
              <w:t>初次确诊</w:t>
            </w:r>
          </w:p>
        </w:tc>
        <w:tc>
          <w:tcPr>
            <w:tcW w:w="8178" w:type="dxa"/>
          </w:tcPr>
          <w:p>
            <w:pPr>
              <w:pStyle w:val="TableParagraph"/>
              <w:spacing w:line="271" w:lineRule="auto" w:before="150"/>
              <w:ind w:left="123" w:right="302"/>
              <w:jc w:val="both"/>
              <w:rPr>
                <w:sz w:val="21"/>
              </w:rPr>
            </w:pPr>
            <w:r>
              <w:rPr>
                <w:spacing w:val="-6"/>
                <w:sz w:val="21"/>
              </w:rPr>
              <w:t>指自被保险人出生之日起第一次经医院确诊患有某种疾病，而不是指自本附加合同生</w:t>
            </w:r>
            <w:r>
              <w:rPr>
                <w:spacing w:val="-9"/>
                <w:sz w:val="21"/>
              </w:rPr>
              <w:t>效、复效之后第一次经医院确诊患有某种疾病。例如，</w:t>
            </w:r>
            <w:r>
              <w:rPr>
                <w:spacing w:val="-6"/>
                <w:sz w:val="21"/>
              </w:rPr>
              <w:t>2010</w:t>
            </w:r>
            <w:r>
              <w:rPr>
                <w:spacing w:val="-30"/>
                <w:sz w:val="21"/>
              </w:rPr>
              <w:t> 年 </w:t>
            </w:r>
            <w:r>
              <w:rPr>
                <w:sz w:val="21"/>
              </w:rPr>
              <w:t>1</w:t>
            </w:r>
            <w:r>
              <w:rPr>
                <w:spacing w:val="-30"/>
                <w:sz w:val="21"/>
              </w:rPr>
              <w:t> 月 </w:t>
            </w:r>
            <w:r>
              <w:rPr>
                <w:sz w:val="21"/>
              </w:rPr>
              <w:t>1</w:t>
            </w:r>
            <w:r>
              <w:rPr>
                <w:spacing w:val="-8"/>
                <w:sz w:val="21"/>
              </w:rPr>
              <w:t> 日本附加合同经</w:t>
            </w:r>
            <w:r>
              <w:rPr>
                <w:spacing w:val="-6"/>
                <w:sz w:val="21"/>
              </w:rPr>
              <w:t>首次投保后生效，若：</w:t>
            </w:r>
          </w:p>
          <w:p>
            <w:pPr>
              <w:pStyle w:val="TableParagraph"/>
              <w:numPr>
                <w:ilvl w:val="0"/>
                <w:numId w:val="31"/>
              </w:numPr>
              <w:tabs>
                <w:tab w:pos="547" w:val="left" w:leader="none"/>
              </w:tabs>
              <w:spacing w:line="240" w:lineRule="auto" w:before="168" w:after="0"/>
              <w:ind w:left="546" w:right="0" w:hanging="423"/>
              <w:jc w:val="left"/>
              <w:rPr>
                <w:sz w:val="21"/>
              </w:rPr>
            </w:pPr>
            <w:r>
              <w:rPr>
                <w:w w:val="100"/>
                <w:sz w:val="21"/>
              </w:rPr>
              <w:t>2009</w:t>
            </w:r>
            <w:r>
              <w:rPr>
                <w:spacing w:val="-53"/>
                <w:sz w:val="21"/>
              </w:rPr>
              <w:t> </w:t>
            </w:r>
            <w:r>
              <w:rPr>
                <w:w w:val="100"/>
                <w:sz w:val="21"/>
              </w:rPr>
              <w:t>年</w:t>
            </w:r>
            <w:r>
              <w:rPr>
                <w:spacing w:val="-53"/>
                <w:sz w:val="21"/>
              </w:rPr>
              <w:t> </w:t>
            </w:r>
            <w:r>
              <w:rPr>
                <w:w w:val="100"/>
                <w:sz w:val="21"/>
              </w:rPr>
              <w:t>1</w:t>
            </w:r>
            <w:r>
              <w:rPr>
                <w:spacing w:val="-52"/>
                <w:sz w:val="21"/>
              </w:rPr>
              <w:t> </w:t>
            </w:r>
            <w:r>
              <w:rPr>
                <w:w w:val="100"/>
                <w:sz w:val="21"/>
              </w:rPr>
              <w:t>月</w:t>
            </w:r>
            <w:r>
              <w:rPr>
                <w:spacing w:val="-57"/>
                <w:sz w:val="21"/>
              </w:rPr>
              <w:t> </w:t>
            </w:r>
            <w:r>
              <w:rPr>
                <w:w w:val="100"/>
                <w:sz w:val="21"/>
              </w:rPr>
              <w:t>1</w:t>
            </w:r>
            <w:r>
              <w:rPr>
                <w:spacing w:val="-53"/>
                <w:sz w:val="21"/>
              </w:rPr>
              <w:t> </w:t>
            </w:r>
            <w:r>
              <w:rPr>
                <w:spacing w:val="-11"/>
                <w:w w:val="100"/>
                <w:sz w:val="21"/>
              </w:rPr>
              <w:t>日被保险人自出生后第一次经医院确诊罹患“恶性肿瘤”，</w:t>
            </w:r>
            <w:r>
              <w:rPr>
                <w:w w:val="100"/>
                <w:sz w:val="21"/>
              </w:rPr>
              <w:t>20</w:t>
            </w:r>
            <w:r>
              <w:rPr>
                <w:spacing w:val="-5"/>
                <w:w w:val="100"/>
                <w:sz w:val="21"/>
              </w:rPr>
              <w:t>1</w:t>
            </w:r>
            <w:r>
              <w:rPr>
                <w:w w:val="100"/>
                <w:sz w:val="21"/>
              </w:rPr>
              <w:t>0</w:t>
            </w:r>
            <w:r>
              <w:rPr>
                <w:spacing w:val="-52"/>
                <w:sz w:val="21"/>
              </w:rPr>
              <w:t> </w:t>
            </w:r>
            <w:r>
              <w:rPr>
                <w:w w:val="100"/>
                <w:sz w:val="21"/>
              </w:rPr>
              <w:t>年</w:t>
            </w:r>
          </w:p>
          <w:p>
            <w:pPr>
              <w:pStyle w:val="TableParagraph"/>
              <w:spacing w:line="273" w:lineRule="auto" w:before="36"/>
              <w:ind w:left="546" w:right="300"/>
              <w:jc w:val="both"/>
              <w:rPr>
                <w:sz w:val="21"/>
              </w:rPr>
            </w:pPr>
            <w:r>
              <w:rPr>
                <w:sz w:val="21"/>
              </w:rPr>
              <w:t>1</w:t>
            </w:r>
            <w:r>
              <w:rPr>
                <w:spacing w:val="-33"/>
                <w:sz w:val="21"/>
              </w:rPr>
              <w:t> 月 </w:t>
            </w:r>
            <w:r>
              <w:rPr>
                <w:sz w:val="21"/>
              </w:rPr>
              <w:t>10</w:t>
            </w:r>
            <w:r>
              <w:rPr>
                <w:spacing w:val="-20"/>
                <w:sz w:val="21"/>
              </w:rPr>
              <w:t> 日被保险人再次经医院确诊罹患“恶性肿瘤”，则 </w:t>
            </w:r>
            <w:r>
              <w:rPr>
                <w:sz w:val="21"/>
              </w:rPr>
              <w:t>2009</w:t>
            </w:r>
            <w:r>
              <w:rPr>
                <w:spacing w:val="-33"/>
                <w:sz w:val="21"/>
              </w:rPr>
              <w:t> 年 </w:t>
            </w:r>
            <w:r>
              <w:rPr>
                <w:sz w:val="21"/>
              </w:rPr>
              <w:t>1</w:t>
            </w:r>
            <w:r>
              <w:rPr>
                <w:spacing w:val="-35"/>
                <w:sz w:val="21"/>
              </w:rPr>
              <w:t> 月 </w:t>
            </w:r>
            <w:r>
              <w:rPr>
                <w:sz w:val="21"/>
              </w:rPr>
              <w:t>1</w:t>
            </w:r>
            <w:r>
              <w:rPr>
                <w:spacing w:val="-12"/>
                <w:sz w:val="21"/>
              </w:rPr>
              <w:t> 日为被保</w:t>
            </w:r>
            <w:r>
              <w:rPr>
                <w:spacing w:val="-9"/>
                <w:sz w:val="21"/>
              </w:rPr>
              <w:t>险人经医院初次确诊罹患“恶性肿瘤”的时间，由于“初次确诊”发生在本附加合同生效之前，因此不属于保险责任范围，我们不承担给付重大疾病保险金的责任；</w:t>
            </w:r>
          </w:p>
          <w:p>
            <w:pPr>
              <w:pStyle w:val="TableParagraph"/>
              <w:numPr>
                <w:ilvl w:val="0"/>
                <w:numId w:val="31"/>
              </w:numPr>
              <w:tabs>
                <w:tab w:pos="547" w:val="left" w:leader="none"/>
              </w:tabs>
              <w:spacing w:line="271" w:lineRule="auto" w:before="165" w:after="0"/>
              <w:ind w:left="546" w:right="297" w:hanging="423"/>
              <w:jc w:val="both"/>
              <w:rPr>
                <w:sz w:val="21"/>
              </w:rPr>
            </w:pPr>
            <w:r>
              <w:rPr>
                <w:sz w:val="21"/>
              </w:rPr>
              <w:t>2010</w:t>
            </w:r>
            <w:r>
              <w:rPr>
                <w:spacing w:val="-16"/>
                <w:sz w:val="21"/>
              </w:rPr>
              <w:t> 年 </w:t>
            </w:r>
            <w:r>
              <w:rPr>
                <w:sz w:val="21"/>
              </w:rPr>
              <w:t>2</w:t>
            </w:r>
            <w:r>
              <w:rPr>
                <w:spacing w:val="-15"/>
                <w:sz w:val="21"/>
              </w:rPr>
              <w:t> 月 </w:t>
            </w:r>
            <w:r>
              <w:rPr>
                <w:sz w:val="21"/>
              </w:rPr>
              <w:t>2</w:t>
            </w:r>
            <w:r>
              <w:rPr>
                <w:spacing w:val="-5"/>
                <w:sz w:val="21"/>
              </w:rPr>
              <w:t> 日被保险人自出生后第一次经医院确诊罹患“恶性肿瘤”</w:t>
            </w:r>
            <w:r>
              <w:rPr>
                <w:sz w:val="21"/>
              </w:rPr>
              <w:t>，2010 </w:t>
            </w:r>
            <w:r>
              <w:rPr>
                <w:spacing w:val="-20"/>
                <w:sz w:val="21"/>
              </w:rPr>
              <w:t>年 </w:t>
            </w:r>
            <w:r>
              <w:rPr>
                <w:sz w:val="21"/>
              </w:rPr>
              <w:t>5</w:t>
            </w:r>
            <w:r>
              <w:rPr>
                <w:spacing w:val="-31"/>
                <w:sz w:val="21"/>
              </w:rPr>
              <w:t> 月 </w:t>
            </w:r>
            <w:r>
              <w:rPr>
                <w:sz w:val="21"/>
              </w:rPr>
              <w:t>5</w:t>
            </w:r>
            <w:r>
              <w:rPr>
                <w:spacing w:val="-10"/>
                <w:sz w:val="21"/>
              </w:rPr>
              <w:t> 日被保险人再次经医院确诊罹患“恶性肿瘤”，则 </w:t>
            </w:r>
            <w:r>
              <w:rPr>
                <w:sz w:val="21"/>
              </w:rPr>
              <w:t>2010</w:t>
            </w:r>
            <w:r>
              <w:rPr>
                <w:spacing w:val="-30"/>
                <w:sz w:val="21"/>
              </w:rPr>
              <w:t> 年 </w:t>
            </w:r>
            <w:r>
              <w:rPr>
                <w:sz w:val="21"/>
              </w:rPr>
              <w:t>2</w:t>
            </w:r>
            <w:r>
              <w:rPr>
                <w:spacing w:val="-29"/>
                <w:sz w:val="21"/>
              </w:rPr>
              <w:t> 月 </w:t>
            </w:r>
            <w:r>
              <w:rPr>
                <w:sz w:val="21"/>
              </w:rPr>
              <w:t>2</w:t>
            </w:r>
            <w:r>
              <w:rPr>
                <w:spacing w:val="-14"/>
                <w:sz w:val="21"/>
              </w:rPr>
              <w:t> 日为</w:t>
            </w:r>
            <w:r>
              <w:rPr>
                <w:spacing w:val="-11"/>
                <w:sz w:val="21"/>
              </w:rPr>
              <w:t>被保险人经医院初次确诊罹患“恶性肿瘤”的时间，由于“初次确诊”发生在本附加合同生效之日起 </w:t>
            </w:r>
            <w:r>
              <w:rPr>
                <w:sz w:val="21"/>
              </w:rPr>
              <w:t>180</w:t>
            </w:r>
            <w:r>
              <w:rPr>
                <w:spacing w:val="-10"/>
                <w:sz w:val="21"/>
              </w:rPr>
              <w:t> 日内，我们向您无息返还您已交纳的本附加合同的保险</w:t>
            </w:r>
            <w:r>
              <w:rPr>
                <w:spacing w:val="-7"/>
                <w:sz w:val="21"/>
              </w:rPr>
              <w:t>费，本附加合同终止；</w:t>
            </w:r>
          </w:p>
          <w:p>
            <w:pPr>
              <w:pStyle w:val="TableParagraph"/>
              <w:numPr>
                <w:ilvl w:val="0"/>
                <w:numId w:val="31"/>
              </w:numPr>
              <w:tabs>
                <w:tab w:pos="547" w:val="left" w:leader="none"/>
              </w:tabs>
              <w:spacing w:line="273" w:lineRule="auto" w:before="168" w:after="0"/>
              <w:ind w:left="546" w:right="299" w:hanging="423"/>
              <w:jc w:val="both"/>
              <w:rPr>
                <w:sz w:val="21"/>
              </w:rPr>
            </w:pPr>
            <w:r>
              <w:rPr>
                <w:w w:val="100"/>
                <w:sz w:val="21"/>
              </w:rPr>
              <w:t>2011</w:t>
            </w:r>
            <w:r>
              <w:rPr>
                <w:spacing w:val="-53"/>
                <w:sz w:val="21"/>
              </w:rPr>
              <w:t> </w:t>
            </w:r>
            <w:r>
              <w:rPr>
                <w:w w:val="100"/>
                <w:sz w:val="21"/>
              </w:rPr>
              <w:t>年</w:t>
            </w:r>
            <w:r>
              <w:rPr>
                <w:spacing w:val="-53"/>
                <w:sz w:val="21"/>
              </w:rPr>
              <w:t> </w:t>
            </w:r>
            <w:r>
              <w:rPr>
                <w:w w:val="100"/>
                <w:sz w:val="21"/>
              </w:rPr>
              <w:t>5</w:t>
            </w:r>
            <w:r>
              <w:rPr>
                <w:spacing w:val="-52"/>
                <w:sz w:val="21"/>
              </w:rPr>
              <w:t> </w:t>
            </w:r>
            <w:r>
              <w:rPr>
                <w:w w:val="100"/>
                <w:sz w:val="21"/>
              </w:rPr>
              <w:t>月</w:t>
            </w:r>
            <w:r>
              <w:rPr>
                <w:spacing w:val="-57"/>
                <w:sz w:val="21"/>
              </w:rPr>
              <w:t> </w:t>
            </w:r>
            <w:r>
              <w:rPr>
                <w:w w:val="100"/>
                <w:sz w:val="21"/>
              </w:rPr>
              <w:t>5</w:t>
            </w:r>
            <w:r>
              <w:rPr>
                <w:spacing w:val="-53"/>
                <w:sz w:val="21"/>
              </w:rPr>
              <w:t> </w:t>
            </w:r>
            <w:r>
              <w:rPr>
                <w:spacing w:val="-11"/>
                <w:w w:val="100"/>
                <w:sz w:val="21"/>
              </w:rPr>
              <w:t>日被保险人自出生后第一次经医院确诊罹患“恶性肿瘤”，则</w:t>
            </w:r>
            <w:r>
              <w:rPr>
                <w:spacing w:val="-51"/>
                <w:sz w:val="21"/>
              </w:rPr>
              <w:t> </w:t>
            </w:r>
            <w:r>
              <w:rPr>
                <w:spacing w:val="-5"/>
                <w:w w:val="100"/>
                <w:sz w:val="21"/>
              </w:rPr>
              <w:t>2</w:t>
            </w:r>
            <w:r>
              <w:rPr>
                <w:w w:val="100"/>
                <w:sz w:val="21"/>
              </w:rPr>
              <w:t>011</w:t>
            </w:r>
            <w:r>
              <w:rPr>
                <w:spacing w:val="-22"/>
                <w:sz w:val="21"/>
              </w:rPr>
              <w:t>年 </w:t>
            </w:r>
            <w:r>
              <w:rPr>
                <w:sz w:val="21"/>
              </w:rPr>
              <w:t>5</w:t>
            </w:r>
            <w:r>
              <w:rPr>
                <w:spacing w:val="-30"/>
                <w:sz w:val="21"/>
              </w:rPr>
              <w:t> 月 </w:t>
            </w:r>
            <w:r>
              <w:rPr>
                <w:sz w:val="21"/>
              </w:rPr>
              <w:t>5</w:t>
            </w:r>
            <w:r>
              <w:rPr>
                <w:spacing w:val="-10"/>
                <w:sz w:val="21"/>
              </w:rPr>
              <w:t> 日为被保险人经医院初次确诊罹患“恶性肿瘤”的时间，由于“初次确</w:t>
            </w:r>
            <w:r>
              <w:rPr>
                <w:spacing w:val="-8"/>
                <w:sz w:val="21"/>
              </w:rPr>
              <w:t>诊”发生在本附加合同生效之日起 </w:t>
            </w:r>
            <w:r>
              <w:rPr>
                <w:sz w:val="21"/>
              </w:rPr>
              <w:t>180</w:t>
            </w:r>
            <w:r>
              <w:rPr>
                <w:spacing w:val="-9"/>
                <w:sz w:val="21"/>
              </w:rPr>
              <w:t> 日外，我们向重大疾病保险金受益人给付重大疾病保险金，本附加合同终止。重大疾病保险金数额为被保险人重大疾病初</w:t>
            </w:r>
            <w:r>
              <w:rPr>
                <w:spacing w:val="-7"/>
                <w:sz w:val="21"/>
              </w:rPr>
              <w:t>次确诊之日，本附加合同项下在保险单上载明的基本保险金额。</w:t>
            </w:r>
          </w:p>
        </w:tc>
      </w:tr>
      <w:tr>
        <w:trPr>
          <w:trHeight w:val="1262" w:hRule="atLeast"/>
        </w:trPr>
        <w:tc>
          <w:tcPr>
            <w:tcW w:w="839" w:type="dxa"/>
          </w:tcPr>
          <w:p>
            <w:pPr>
              <w:pStyle w:val="TableParagraph"/>
              <w:spacing w:before="83"/>
              <w:ind w:left="200"/>
              <w:rPr>
                <w:rFonts w:ascii="Microsoft JhengHei"/>
                <w:b/>
                <w:sz w:val="21"/>
              </w:rPr>
            </w:pPr>
            <w:r>
              <w:rPr>
                <w:rFonts w:ascii="Microsoft JhengHei"/>
                <w:b/>
                <w:w w:val="84"/>
                <w:sz w:val="21"/>
              </w:rPr>
              <w:t>10</w:t>
            </w:r>
            <w:r>
              <w:rPr>
                <w:rFonts w:ascii="Microsoft JhengHei"/>
                <w:b/>
                <w:w w:val="197"/>
                <w:sz w:val="21"/>
              </w:rPr>
              <w:t>.</w:t>
            </w:r>
            <w:r>
              <w:rPr>
                <w:rFonts w:ascii="Microsoft JhengHei"/>
                <w:b/>
                <w:w w:val="84"/>
                <w:sz w:val="21"/>
              </w:rPr>
              <w:t>8</w:t>
            </w:r>
          </w:p>
        </w:tc>
        <w:tc>
          <w:tcPr>
            <w:tcW w:w="1081" w:type="dxa"/>
          </w:tcPr>
          <w:p>
            <w:pPr>
              <w:pStyle w:val="TableParagraph"/>
              <w:spacing w:before="83"/>
              <w:ind w:left="110"/>
              <w:rPr>
                <w:rFonts w:ascii="Microsoft JhengHei" w:eastAsia="Microsoft JhengHei" w:hint="eastAsia"/>
                <w:b/>
                <w:sz w:val="21"/>
              </w:rPr>
            </w:pPr>
            <w:r>
              <w:rPr>
                <w:rFonts w:ascii="Microsoft JhengHei" w:eastAsia="Microsoft JhengHei" w:hint="eastAsia"/>
                <w:b/>
                <w:sz w:val="21"/>
              </w:rPr>
              <w:t>毒品</w:t>
            </w:r>
          </w:p>
        </w:tc>
        <w:tc>
          <w:tcPr>
            <w:tcW w:w="8178" w:type="dxa"/>
          </w:tcPr>
          <w:p>
            <w:pPr>
              <w:pStyle w:val="TableParagraph"/>
              <w:spacing w:line="273" w:lineRule="auto" w:before="150"/>
              <w:ind w:left="123" w:right="305"/>
              <w:jc w:val="both"/>
              <w:rPr>
                <w:sz w:val="21"/>
              </w:rPr>
            </w:pPr>
            <w:r>
              <w:rPr>
                <w:spacing w:val="-8"/>
                <w:sz w:val="21"/>
              </w:rPr>
              <w:t>指中华人民共和国刑法规定的鸦片、海洛因、甲基苯丙胺</w:t>
            </w:r>
            <w:r>
              <w:rPr>
                <w:sz w:val="21"/>
              </w:rPr>
              <w:t>（冰毒</w:t>
            </w:r>
            <w:r>
              <w:rPr>
                <w:spacing w:val="-106"/>
                <w:sz w:val="21"/>
              </w:rPr>
              <w:t>）</w:t>
            </w:r>
            <w:r>
              <w:rPr>
                <w:spacing w:val="-11"/>
                <w:sz w:val="21"/>
              </w:rPr>
              <w:t>、吗啡、大麻、可卡</w:t>
            </w:r>
            <w:r>
              <w:rPr>
                <w:spacing w:val="-8"/>
                <w:sz w:val="21"/>
              </w:rPr>
              <w:t>因以及国家规定管制的其他能够使人形成瘾癖的麻醉药品和精神药品，但不包括由医</w:t>
            </w:r>
            <w:r>
              <w:rPr>
                <w:spacing w:val="-6"/>
                <w:sz w:val="21"/>
              </w:rPr>
              <w:t>生开具并遵医嘱使用的用于治疗疾病但含有毒品成分的处方药品。</w:t>
            </w:r>
          </w:p>
        </w:tc>
      </w:tr>
      <w:tr>
        <w:trPr>
          <w:trHeight w:val="1575" w:hRule="atLeast"/>
        </w:trPr>
        <w:tc>
          <w:tcPr>
            <w:tcW w:w="839" w:type="dxa"/>
          </w:tcPr>
          <w:p>
            <w:pPr>
              <w:pStyle w:val="TableParagraph"/>
              <w:spacing w:before="83"/>
              <w:ind w:left="200"/>
              <w:rPr>
                <w:rFonts w:ascii="Microsoft JhengHei"/>
                <w:b/>
                <w:sz w:val="21"/>
              </w:rPr>
            </w:pPr>
            <w:r>
              <w:rPr>
                <w:rFonts w:ascii="Microsoft JhengHei"/>
                <w:b/>
                <w:w w:val="84"/>
                <w:sz w:val="21"/>
              </w:rPr>
              <w:t>10</w:t>
            </w:r>
            <w:r>
              <w:rPr>
                <w:rFonts w:ascii="Microsoft JhengHei"/>
                <w:b/>
                <w:w w:val="197"/>
                <w:sz w:val="21"/>
              </w:rPr>
              <w:t>.</w:t>
            </w:r>
            <w:r>
              <w:rPr>
                <w:rFonts w:ascii="Microsoft JhengHei"/>
                <w:b/>
                <w:w w:val="84"/>
                <w:sz w:val="21"/>
              </w:rPr>
              <w:t>9</w:t>
            </w:r>
          </w:p>
        </w:tc>
        <w:tc>
          <w:tcPr>
            <w:tcW w:w="1081" w:type="dxa"/>
          </w:tcPr>
          <w:p>
            <w:pPr>
              <w:pStyle w:val="TableParagraph"/>
              <w:spacing w:before="83"/>
              <w:ind w:left="110"/>
              <w:rPr>
                <w:rFonts w:ascii="Microsoft JhengHei" w:eastAsia="Microsoft JhengHei" w:hint="eastAsia"/>
                <w:b/>
                <w:sz w:val="21"/>
              </w:rPr>
            </w:pPr>
            <w:r>
              <w:rPr>
                <w:rFonts w:ascii="Microsoft JhengHei" w:eastAsia="Microsoft JhengHei" w:hint="eastAsia"/>
                <w:b/>
                <w:sz w:val="21"/>
              </w:rPr>
              <w:t>酒后驾驶</w:t>
            </w:r>
          </w:p>
        </w:tc>
        <w:tc>
          <w:tcPr>
            <w:tcW w:w="8178" w:type="dxa"/>
          </w:tcPr>
          <w:p>
            <w:pPr>
              <w:pStyle w:val="TableParagraph"/>
              <w:spacing w:line="273" w:lineRule="auto" w:before="150"/>
              <w:ind w:left="123" w:right="276"/>
              <w:jc w:val="both"/>
              <w:rPr>
                <w:sz w:val="21"/>
              </w:rPr>
            </w:pPr>
            <w:r>
              <w:rPr>
                <w:spacing w:val="-5"/>
                <w:sz w:val="21"/>
              </w:rPr>
              <w:t>指经检测或者鉴定，发生保险事故时被保险人每百毫升血液中的酒精含量达到或者超过一定的标准，是否达到前述标准由公安机关交通管理部门依据《道路交通安全法》</w:t>
            </w:r>
            <w:r>
              <w:rPr>
                <w:spacing w:val="-8"/>
                <w:sz w:val="21"/>
              </w:rPr>
              <w:t>的规定认定，我们根据公安机关交通管理部门的认定确认被保险人是否属于饮酒后驾</w:t>
            </w:r>
            <w:r>
              <w:rPr>
                <w:spacing w:val="-6"/>
                <w:sz w:val="21"/>
              </w:rPr>
              <w:t>驶或醉酒后驾驶。</w:t>
            </w:r>
          </w:p>
        </w:tc>
      </w:tr>
      <w:tr>
        <w:trPr>
          <w:trHeight w:val="1673" w:hRule="atLeast"/>
        </w:trPr>
        <w:tc>
          <w:tcPr>
            <w:tcW w:w="839" w:type="dxa"/>
          </w:tcPr>
          <w:p>
            <w:pPr>
              <w:pStyle w:val="TableParagraph"/>
              <w:spacing w:before="83"/>
              <w:ind w:left="200"/>
              <w:rPr>
                <w:rFonts w:ascii="Microsoft JhengHei"/>
                <w:b/>
                <w:sz w:val="21"/>
              </w:rPr>
            </w:pPr>
            <w:r>
              <w:rPr>
                <w:rFonts w:ascii="Microsoft JhengHei"/>
                <w:b/>
                <w:w w:val="84"/>
                <w:sz w:val="21"/>
              </w:rPr>
              <w:t>10</w:t>
            </w:r>
            <w:r>
              <w:rPr>
                <w:rFonts w:ascii="Microsoft JhengHei"/>
                <w:b/>
                <w:w w:val="197"/>
                <w:sz w:val="21"/>
              </w:rPr>
              <w:t>.</w:t>
            </w:r>
            <w:r>
              <w:rPr>
                <w:rFonts w:ascii="Microsoft JhengHei"/>
                <w:b/>
                <w:w w:val="84"/>
                <w:sz w:val="21"/>
              </w:rPr>
              <w:t>10</w:t>
            </w:r>
          </w:p>
        </w:tc>
        <w:tc>
          <w:tcPr>
            <w:tcW w:w="1081" w:type="dxa"/>
          </w:tcPr>
          <w:p>
            <w:pPr>
              <w:pStyle w:val="TableParagraph"/>
              <w:spacing w:line="204" w:lineRule="auto" w:before="138"/>
              <w:ind w:left="110" w:right="123"/>
              <w:jc w:val="both"/>
              <w:rPr>
                <w:rFonts w:ascii="Microsoft JhengHei" w:eastAsia="Microsoft JhengHei" w:hint="eastAsia"/>
                <w:b/>
                <w:sz w:val="21"/>
              </w:rPr>
            </w:pPr>
            <w:r>
              <w:rPr>
                <w:rFonts w:ascii="Microsoft JhengHei" w:eastAsia="Microsoft JhengHei" w:hint="eastAsia"/>
                <w:b/>
                <w:sz w:val="21"/>
              </w:rPr>
              <w:t>无合法有效驾驶证驾驶</w:t>
            </w:r>
          </w:p>
        </w:tc>
        <w:tc>
          <w:tcPr>
            <w:tcW w:w="8178" w:type="dxa"/>
          </w:tcPr>
          <w:p>
            <w:pPr>
              <w:pStyle w:val="TableParagraph"/>
              <w:spacing w:before="150"/>
              <w:ind w:left="123"/>
              <w:rPr>
                <w:sz w:val="21"/>
              </w:rPr>
            </w:pPr>
            <w:r>
              <w:rPr>
                <w:sz w:val="21"/>
              </w:rPr>
              <w:t>指下列情形之一：</w:t>
            </w:r>
          </w:p>
          <w:p>
            <w:pPr>
              <w:pStyle w:val="TableParagraph"/>
              <w:numPr>
                <w:ilvl w:val="0"/>
                <w:numId w:val="32"/>
              </w:numPr>
              <w:tabs>
                <w:tab w:pos="547" w:val="left" w:leader="none"/>
              </w:tabs>
              <w:spacing w:line="240" w:lineRule="auto" w:before="37" w:after="0"/>
              <w:ind w:left="546" w:right="0" w:hanging="423"/>
              <w:jc w:val="left"/>
              <w:rPr>
                <w:sz w:val="21"/>
              </w:rPr>
            </w:pPr>
            <w:r>
              <w:rPr>
                <w:spacing w:val="-5"/>
                <w:sz w:val="21"/>
              </w:rPr>
              <w:t>没有取得中华人民共和国有关主管部门颁发或者认可的驾驶资格证书；</w:t>
            </w:r>
          </w:p>
          <w:p>
            <w:pPr>
              <w:pStyle w:val="TableParagraph"/>
              <w:numPr>
                <w:ilvl w:val="0"/>
                <w:numId w:val="32"/>
              </w:numPr>
              <w:tabs>
                <w:tab w:pos="547" w:val="left" w:leader="none"/>
              </w:tabs>
              <w:spacing w:line="240" w:lineRule="auto" w:before="37" w:after="0"/>
              <w:ind w:left="546" w:right="0" w:hanging="423"/>
              <w:jc w:val="left"/>
              <w:rPr>
                <w:sz w:val="20"/>
              </w:rPr>
            </w:pPr>
            <w:r>
              <w:rPr>
                <w:spacing w:val="-5"/>
                <w:sz w:val="21"/>
              </w:rPr>
              <w:t>驾驶与合法有效驾驶证准驾车型不相符合的车辆；</w:t>
            </w:r>
          </w:p>
          <w:p>
            <w:pPr>
              <w:pStyle w:val="TableParagraph"/>
              <w:numPr>
                <w:ilvl w:val="0"/>
                <w:numId w:val="32"/>
              </w:numPr>
              <w:tabs>
                <w:tab w:pos="547" w:val="left" w:leader="none"/>
              </w:tabs>
              <w:spacing w:line="240" w:lineRule="auto" w:before="37" w:after="0"/>
              <w:ind w:left="546" w:right="0" w:hanging="423"/>
              <w:jc w:val="left"/>
              <w:rPr>
                <w:sz w:val="20"/>
              </w:rPr>
            </w:pPr>
            <w:r>
              <w:rPr>
                <w:spacing w:val="-2"/>
                <w:sz w:val="21"/>
              </w:rPr>
              <w:t>持审验不合格的驾驶证驾驶；</w:t>
            </w:r>
          </w:p>
          <w:p>
            <w:pPr>
              <w:pStyle w:val="TableParagraph"/>
              <w:numPr>
                <w:ilvl w:val="0"/>
                <w:numId w:val="32"/>
              </w:numPr>
              <w:tabs>
                <w:tab w:pos="547" w:val="left" w:leader="none"/>
              </w:tabs>
              <w:spacing w:line="255" w:lineRule="exact" w:before="36" w:after="0"/>
              <w:ind w:left="546" w:right="0" w:hanging="423"/>
              <w:jc w:val="left"/>
              <w:rPr>
                <w:sz w:val="20"/>
              </w:rPr>
            </w:pPr>
            <w:r>
              <w:rPr>
                <w:spacing w:val="-6"/>
                <w:sz w:val="21"/>
              </w:rPr>
              <w:t>在驾驶证有效期内未按照中华人民共和国法律、行政法规的规定，定期对机动车</w:t>
            </w:r>
          </w:p>
        </w:tc>
      </w:tr>
    </w:tbl>
    <w:p>
      <w:pPr>
        <w:spacing w:after="0" w:line="255" w:lineRule="exact"/>
        <w:jc w:val="left"/>
        <w:rPr>
          <w:sz w:val="20"/>
        </w:rPr>
        <w:sectPr>
          <w:pgSz w:w="11910" w:h="16840"/>
          <w:pgMar w:header="0" w:footer="346" w:top="1060" w:bottom="540" w:left="860" w:right="74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9"/>
        <w:gridCol w:w="1081"/>
        <w:gridCol w:w="8178"/>
      </w:tblGrid>
      <w:tr>
        <w:trPr>
          <w:trHeight w:val="736" w:hRule="atLeast"/>
        </w:trPr>
        <w:tc>
          <w:tcPr>
            <w:tcW w:w="839" w:type="dxa"/>
          </w:tcPr>
          <w:p>
            <w:pPr>
              <w:pStyle w:val="TableParagraph"/>
              <w:spacing w:before="0"/>
              <w:rPr>
                <w:rFonts w:ascii="Times New Roman"/>
                <w:sz w:val="20"/>
              </w:rPr>
            </w:pPr>
          </w:p>
        </w:tc>
        <w:tc>
          <w:tcPr>
            <w:tcW w:w="1081" w:type="dxa"/>
          </w:tcPr>
          <w:p>
            <w:pPr>
              <w:pStyle w:val="TableParagraph"/>
              <w:spacing w:before="0"/>
              <w:rPr>
                <w:rFonts w:ascii="Times New Roman"/>
                <w:sz w:val="20"/>
              </w:rPr>
            </w:pPr>
          </w:p>
        </w:tc>
        <w:tc>
          <w:tcPr>
            <w:tcW w:w="8178" w:type="dxa"/>
          </w:tcPr>
          <w:p>
            <w:pPr>
              <w:pStyle w:val="TableParagraph"/>
              <w:spacing w:line="211" w:lineRule="exact" w:before="0"/>
              <w:ind w:left="546"/>
              <w:rPr>
                <w:sz w:val="21"/>
              </w:rPr>
            </w:pPr>
            <w:r>
              <w:rPr>
                <w:sz w:val="21"/>
              </w:rPr>
              <w:t>驾驶证实施审验的；</w:t>
            </w:r>
          </w:p>
          <w:p>
            <w:pPr>
              <w:pStyle w:val="TableParagraph"/>
              <w:ind w:left="123"/>
              <w:rPr>
                <w:sz w:val="21"/>
              </w:rPr>
            </w:pPr>
            <w:r>
              <w:rPr>
                <w:sz w:val="20"/>
              </w:rPr>
              <w:t>(5) </w:t>
            </w:r>
            <w:r>
              <w:rPr>
                <w:sz w:val="21"/>
              </w:rPr>
              <w:t>驾驶证已过有效期的。</w:t>
            </w:r>
          </w:p>
        </w:tc>
      </w:tr>
      <w:tr>
        <w:trPr>
          <w:trHeight w:val="1575" w:hRule="atLeast"/>
        </w:trPr>
        <w:tc>
          <w:tcPr>
            <w:tcW w:w="839" w:type="dxa"/>
          </w:tcPr>
          <w:p>
            <w:pPr>
              <w:pStyle w:val="TableParagraph"/>
              <w:spacing w:before="83"/>
              <w:ind w:right="110"/>
              <w:jc w:val="right"/>
              <w:rPr>
                <w:rFonts w:ascii="Microsoft JhengHei"/>
                <w:b/>
                <w:sz w:val="21"/>
              </w:rPr>
            </w:pPr>
            <w:r>
              <w:rPr>
                <w:rFonts w:ascii="Microsoft JhengHei"/>
                <w:b/>
                <w:w w:val="84"/>
                <w:sz w:val="21"/>
              </w:rPr>
              <w:t>10</w:t>
            </w:r>
            <w:r>
              <w:rPr>
                <w:rFonts w:ascii="Microsoft JhengHei"/>
                <w:b/>
                <w:w w:val="197"/>
                <w:sz w:val="21"/>
              </w:rPr>
              <w:t>.</w:t>
            </w:r>
            <w:r>
              <w:rPr>
                <w:rFonts w:ascii="Microsoft JhengHei"/>
                <w:b/>
                <w:w w:val="84"/>
                <w:sz w:val="21"/>
              </w:rPr>
              <w:t>11</w:t>
            </w:r>
          </w:p>
        </w:tc>
        <w:tc>
          <w:tcPr>
            <w:tcW w:w="1081" w:type="dxa"/>
          </w:tcPr>
          <w:p>
            <w:pPr>
              <w:pStyle w:val="TableParagraph"/>
              <w:spacing w:line="204" w:lineRule="auto" w:before="138"/>
              <w:ind w:left="110" w:right="123"/>
              <w:rPr>
                <w:rFonts w:ascii="Microsoft JhengHei" w:eastAsia="Microsoft JhengHei" w:hint="eastAsia"/>
                <w:b/>
                <w:sz w:val="21"/>
              </w:rPr>
            </w:pPr>
            <w:r>
              <w:rPr>
                <w:rFonts w:ascii="Microsoft JhengHei" w:eastAsia="Microsoft JhengHei" w:hint="eastAsia"/>
                <w:b/>
                <w:sz w:val="21"/>
              </w:rPr>
              <w:t>无合法有效行驶证</w:t>
            </w:r>
          </w:p>
        </w:tc>
        <w:tc>
          <w:tcPr>
            <w:tcW w:w="8178" w:type="dxa"/>
          </w:tcPr>
          <w:p>
            <w:pPr>
              <w:pStyle w:val="TableParagraph"/>
              <w:spacing w:before="150"/>
              <w:ind w:left="123"/>
              <w:rPr>
                <w:sz w:val="21"/>
              </w:rPr>
            </w:pPr>
            <w:r>
              <w:rPr>
                <w:sz w:val="21"/>
              </w:rPr>
              <w:t>指下列情形之一：</w:t>
            </w:r>
          </w:p>
          <w:p>
            <w:pPr>
              <w:pStyle w:val="TableParagraph"/>
              <w:numPr>
                <w:ilvl w:val="0"/>
                <w:numId w:val="33"/>
              </w:numPr>
              <w:tabs>
                <w:tab w:pos="547" w:val="left" w:leader="none"/>
              </w:tabs>
              <w:spacing w:line="240" w:lineRule="auto" w:before="37" w:after="0"/>
              <w:ind w:left="546" w:right="0" w:hanging="423"/>
              <w:jc w:val="left"/>
              <w:rPr>
                <w:sz w:val="21"/>
              </w:rPr>
            </w:pPr>
            <w:r>
              <w:rPr>
                <w:spacing w:val="-4"/>
                <w:sz w:val="21"/>
              </w:rPr>
              <w:t>未办理行驶证或者行驶证在申办过程中的；</w:t>
            </w:r>
          </w:p>
          <w:p>
            <w:pPr>
              <w:pStyle w:val="TableParagraph"/>
              <w:numPr>
                <w:ilvl w:val="0"/>
                <w:numId w:val="33"/>
              </w:numPr>
              <w:tabs>
                <w:tab w:pos="547" w:val="left" w:leader="none"/>
              </w:tabs>
              <w:spacing w:line="240" w:lineRule="auto" w:before="37" w:after="0"/>
              <w:ind w:left="546" w:right="0" w:hanging="423"/>
              <w:jc w:val="left"/>
              <w:rPr>
                <w:sz w:val="21"/>
              </w:rPr>
            </w:pPr>
            <w:r>
              <w:rPr>
                <w:spacing w:val="-3"/>
                <w:sz w:val="21"/>
              </w:rPr>
              <w:t>机动车行驶证被依法注销登记的；</w:t>
            </w:r>
          </w:p>
          <w:p>
            <w:pPr>
              <w:pStyle w:val="TableParagraph"/>
              <w:numPr>
                <w:ilvl w:val="0"/>
                <w:numId w:val="33"/>
              </w:numPr>
              <w:tabs>
                <w:tab w:pos="547" w:val="left" w:leader="none"/>
              </w:tabs>
              <w:spacing w:line="240" w:lineRule="auto" w:before="36" w:after="0"/>
              <w:ind w:left="546" w:right="0" w:hanging="423"/>
              <w:jc w:val="left"/>
              <w:rPr>
                <w:sz w:val="21"/>
              </w:rPr>
            </w:pPr>
            <w:r>
              <w:rPr>
                <w:spacing w:val="-5"/>
                <w:sz w:val="21"/>
              </w:rPr>
              <w:t>未在行驶证检验有效期内依法按时进行或者未通过机动车安全技术检验的。</w:t>
            </w:r>
          </w:p>
        </w:tc>
      </w:tr>
      <w:tr>
        <w:trPr>
          <w:trHeight w:val="950" w:hRule="atLeast"/>
        </w:trPr>
        <w:tc>
          <w:tcPr>
            <w:tcW w:w="839" w:type="dxa"/>
          </w:tcPr>
          <w:p>
            <w:pPr>
              <w:pStyle w:val="TableParagraph"/>
              <w:spacing w:before="83"/>
              <w:ind w:right="110"/>
              <w:jc w:val="right"/>
              <w:rPr>
                <w:rFonts w:ascii="Microsoft JhengHei"/>
                <w:b/>
                <w:sz w:val="21"/>
              </w:rPr>
            </w:pPr>
            <w:r>
              <w:rPr>
                <w:rFonts w:ascii="Microsoft JhengHei"/>
                <w:b/>
                <w:w w:val="84"/>
                <w:sz w:val="21"/>
              </w:rPr>
              <w:t>10</w:t>
            </w:r>
            <w:r>
              <w:rPr>
                <w:rFonts w:ascii="Microsoft JhengHei"/>
                <w:b/>
                <w:w w:val="197"/>
                <w:sz w:val="21"/>
              </w:rPr>
              <w:t>.</w:t>
            </w:r>
            <w:r>
              <w:rPr>
                <w:rFonts w:ascii="Microsoft JhengHei"/>
                <w:b/>
                <w:w w:val="84"/>
                <w:sz w:val="21"/>
              </w:rPr>
              <w:t>12</w:t>
            </w:r>
          </w:p>
        </w:tc>
        <w:tc>
          <w:tcPr>
            <w:tcW w:w="1081" w:type="dxa"/>
          </w:tcPr>
          <w:p>
            <w:pPr>
              <w:pStyle w:val="TableParagraph"/>
              <w:spacing w:before="83"/>
              <w:ind w:left="110"/>
              <w:rPr>
                <w:rFonts w:ascii="Microsoft JhengHei" w:eastAsia="Microsoft JhengHei" w:hint="eastAsia"/>
                <w:b/>
                <w:sz w:val="21"/>
              </w:rPr>
            </w:pPr>
            <w:r>
              <w:rPr>
                <w:rFonts w:ascii="Microsoft JhengHei" w:eastAsia="Microsoft JhengHei" w:hint="eastAsia"/>
                <w:b/>
                <w:sz w:val="21"/>
              </w:rPr>
              <w:t>机动车</w:t>
            </w:r>
          </w:p>
        </w:tc>
        <w:tc>
          <w:tcPr>
            <w:tcW w:w="8178" w:type="dxa"/>
          </w:tcPr>
          <w:p>
            <w:pPr>
              <w:pStyle w:val="TableParagraph"/>
              <w:spacing w:line="273" w:lineRule="auto" w:before="150"/>
              <w:ind w:left="123" w:right="275"/>
              <w:rPr>
                <w:sz w:val="21"/>
              </w:rPr>
            </w:pPr>
            <w:r>
              <w:rPr>
                <w:sz w:val="21"/>
              </w:rPr>
              <w:t>指以动力装置驱动或者牵引，上道路行驶的供人员乘用或者用于运送物品以及进行工程专项作业的轮式车辆。</w:t>
            </w:r>
          </w:p>
        </w:tc>
      </w:tr>
      <w:tr>
        <w:trPr>
          <w:trHeight w:val="2040" w:hRule="atLeast"/>
        </w:trPr>
        <w:tc>
          <w:tcPr>
            <w:tcW w:w="839" w:type="dxa"/>
          </w:tcPr>
          <w:p>
            <w:pPr>
              <w:pStyle w:val="TableParagraph"/>
              <w:spacing w:before="83"/>
              <w:ind w:right="110"/>
              <w:jc w:val="right"/>
              <w:rPr>
                <w:rFonts w:ascii="Microsoft JhengHei"/>
                <w:b/>
                <w:sz w:val="21"/>
              </w:rPr>
            </w:pPr>
            <w:r>
              <w:rPr>
                <w:rFonts w:ascii="Microsoft JhengHei"/>
                <w:b/>
                <w:w w:val="84"/>
                <w:sz w:val="21"/>
              </w:rPr>
              <w:t>10</w:t>
            </w:r>
            <w:r>
              <w:rPr>
                <w:rFonts w:ascii="Microsoft JhengHei"/>
                <w:b/>
                <w:w w:val="197"/>
                <w:sz w:val="21"/>
              </w:rPr>
              <w:t>.</w:t>
            </w:r>
            <w:r>
              <w:rPr>
                <w:rFonts w:ascii="Microsoft JhengHei"/>
                <w:b/>
                <w:w w:val="84"/>
                <w:sz w:val="21"/>
              </w:rPr>
              <w:t>13</w:t>
            </w:r>
          </w:p>
        </w:tc>
        <w:tc>
          <w:tcPr>
            <w:tcW w:w="1081" w:type="dxa"/>
          </w:tcPr>
          <w:p>
            <w:pPr>
              <w:pStyle w:val="TableParagraph"/>
              <w:spacing w:line="204" w:lineRule="auto" w:before="138"/>
              <w:ind w:left="110" w:right="123"/>
              <w:jc w:val="both"/>
              <w:rPr>
                <w:rFonts w:ascii="Microsoft JhengHei" w:eastAsia="Microsoft JhengHei" w:hint="eastAsia"/>
                <w:b/>
                <w:sz w:val="21"/>
              </w:rPr>
            </w:pPr>
            <w:r>
              <w:rPr>
                <w:rFonts w:ascii="Microsoft JhengHei" w:eastAsia="Microsoft JhengHei" w:hint="eastAsia"/>
                <w:b/>
                <w:sz w:val="21"/>
              </w:rPr>
              <w:t>感染艾滋病病毒或者患艾滋病</w:t>
            </w:r>
          </w:p>
        </w:tc>
        <w:tc>
          <w:tcPr>
            <w:tcW w:w="8178" w:type="dxa"/>
          </w:tcPr>
          <w:p>
            <w:pPr>
              <w:pStyle w:val="TableParagraph"/>
              <w:spacing w:line="268" w:lineRule="auto" w:before="150"/>
              <w:ind w:left="123" w:right="308"/>
              <w:jc w:val="both"/>
              <w:rPr>
                <w:sz w:val="21"/>
              </w:rPr>
            </w:pPr>
            <w:r>
              <w:rPr>
                <w:spacing w:val="-4"/>
                <w:sz w:val="21"/>
              </w:rPr>
              <w:t>艾滋病病毒指人类免疫缺陷病毒，英文缩写为 </w:t>
            </w:r>
            <w:r>
              <w:rPr>
                <w:sz w:val="21"/>
              </w:rPr>
              <w:t>HIV</w:t>
            </w:r>
            <w:r>
              <w:rPr>
                <w:spacing w:val="-5"/>
                <w:sz w:val="21"/>
              </w:rPr>
              <w:t>。艾滋病指人类免疫缺陷病毒引起</w:t>
            </w:r>
            <w:r>
              <w:rPr>
                <w:spacing w:val="-7"/>
                <w:sz w:val="21"/>
              </w:rPr>
              <w:t>的获得性免疫缺陷综合征，英文缩写为 </w:t>
            </w:r>
            <w:r>
              <w:rPr>
                <w:sz w:val="21"/>
              </w:rPr>
              <w:t>AIDS。</w:t>
            </w:r>
          </w:p>
          <w:p>
            <w:pPr>
              <w:pStyle w:val="TableParagraph"/>
              <w:spacing w:line="273" w:lineRule="auto" w:before="170"/>
              <w:ind w:left="123" w:right="305"/>
              <w:jc w:val="both"/>
              <w:rPr>
                <w:sz w:val="21"/>
              </w:rPr>
            </w:pPr>
            <w:r>
              <w:rPr>
                <w:spacing w:val="-6"/>
                <w:sz w:val="21"/>
              </w:rPr>
              <w:t>在人体血液或者其他样本中检测到艾滋病病毒或者其抗体呈阳性，没有出现临床症状</w:t>
            </w:r>
            <w:r>
              <w:rPr>
                <w:spacing w:val="-9"/>
                <w:sz w:val="21"/>
              </w:rPr>
              <w:t>或者体征的，为感染艾滋病病毒；如果同时出现了明显临床症状或者体征的，为患艾滋病。</w:t>
            </w:r>
          </w:p>
        </w:tc>
      </w:tr>
      <w:tr>
        <w:trPr>
          <w:trHeight w:val="950" w:hRule="atLeast"/>
        </w:trPr>
        <w:tc>
          <w:tcPr>
            <w:tcW w:w="839" w:type="dxa"/>
          </w:tcPr>
          <w:p>
            <w:pPr>
              <w:pStyle w:val="TableParagraph"/>
              <w:spacing w:before="83"/>
              <w:ind w:right="110"/>
              <w:jc w:val="right"/>
              <w:rPr>
                <w:rFonts w:ascii="Microsoft JhengHei"/>
                <w:b/>
                <w:sz w:val="21"/>
              </w:rPr>
            </w:pPr>
            <w:r>
              <w:rPr>
                <w:rFonts w:ascii="Microsoft JhengHei"/>
                <w:b/>
                <w:w w:val="84"/>
                <w:sz w:val="21"/>
              </w:rPr>
              <w:t>10</w:t>
            </w:r>
            <w:r>
              <w:rPr>
                <w:rFonts w:ascii="Microsoft JhengHei"/>
                <w:b/>
                <w:w w:val="197"/>
                <w:sz w:val="21"/>
              </w:rPr>
              <w:t>.</w:t>
            </w:r>
            <w:r>
              <w:rPr>
                <w:rFonts w:ascii="Microsoft JhengHei"/>
                <w:b/>
                <w:w w:val="84"/>
                <w:sz w:val="21"/>
              </w:rPr>
              <w:t>14</w:t>
            </w:r>
          </w:p>
        </w:tc>
        <w:tc>
          <w:tcPr>
            <w:tcW w:w="1081" w:type="dxa"/>
          </w:tcPr>
          <w:p>
            <w:pPr>
              <w:pStyle w:val="TableParagraph"/>
              <w:spacing w:line="204" w:lineRule="auto" w:before="138"/>
              <w:ind w:left="110" w:right="123"/>
              <w:rPr>
                <w:rFonts w:ascii="Microsoft JhengHei" w:eastAsia="Microsoft JhengHei" w:hint="eastAsia"/>
                <w:b/>
                <w:sz w:val="21"/>
              </w:rPr>
            </w:pPr>
            <w:r>
              <w:rPr>
                <w:rFonts w:ascii="Microsoft JhengHei" w:eastAsia="Microsoft JhengHei" w:hint="eastAsia"/>
                <w:b/>
                <w:sz w:val="21"/>
              </w:rPr>
              <w:t>遗传性疾病</w:t>
            </w:r>
          </w:p>
        </w:tc>
        <w:tc>
          <w:tcPr>
            <w:tcW w:w="8178" w:type="dxa"/>
          </w:tcPr>
          <w:p>
            <w:pPr>
              <w:pStyle w:val="TableParagraph"/>
              <w:spacing w:line="273" w:lineRule="auto" w:before="150"/>
              <w:ind w:left="123" w:right="199"/>
              <w:rPr>
                <w:sz w:val="21"/>
              </w:rPr>
            </w:pPr>
            <w:r>
              <w:rPr>
                <w:spacing w:val="-8"/>
                <w:sz w:val="21"/>
              </w:rPr>
              <w:t>指生殖细胞或者受精卵的遗传物质</w:t>
            </w:r>
            <w:r>
              <w:rPr>
                <w:sz w:val="21"/>
              </w:rPr>
              <w:t>（</w:t>
            </w:r>
            <w:r>
              <w:rPr>
                <w:spacing w:val="-3"/>
                <w:sz w:val="21"/>
              </w:rPr>
              <w:t>染色体和基因</w:t>
            </w:r>
            <w:r>
              <w:rPr>
                <w:spacing w:val="-68"/>
                <w:sz w:val="21"/>
              </w:rPr>
              <w:t>）</w:t>
            </w:r>
            <w:r>
              <w:rPr>
                <w:spacing w:val="-4"/>
                <w:sz w:val="21"/>
              </w:rPr>
              <w:t>发生突变或者畸变所引起的疾病， </w:t>
            </w:r>
            <w:r>
              <w:rPr>
                <w:spacing w:val="-5"/>
                <w:sz w:val="21"/>
              </w:rPr>
              <w:t>通常具有由亲代传至后代的垂直传递的特征。</w:t>
            </w:r>
          </w:p>
        </w:tc>
      </w:tr>
      <w:tr>
        <w:trPr>
          <w:trHeight w:val="1574" w:hRule="atLeast"/>
        </w:trPr>
        <w:tc>
          <w:tcPr>
            <w:tcW w:w="839" w:type="dxa"/>
          </w:tcPr>
          <w:p>
            <w:pPr>
              <w:pStyle w:val="TableParagraph"/>
              <w:spacing w:before="83"/>
              <w:ind w:right="110"/>
              <w:jc w:val="right"/>
              <w:rPr>
                <w:rFonts w:ascii="Microsoft JhengHei"/>
                <w:b/>
                <w:sz w:val="21"/>
              </w:rPr>
            </w:pPr>
            <w:r>
              <w:rPr>
                <w:rFonts w:ascii="Microsoft JhengHei"/>
                <w:b/>
                <w:w w:val="84"/>
                <w:sz w:val="21"/>
              </w:rPr>
              <w:t>10</w:t>
            </w:r>
            <w:r>
              <w:rPr>
                <w:rFonts w:ascii="Microsoft JhengHei"/>
                <w:b/>
                <w:w w:val="197"/>
                <w:sz w:val="21"/>
              </w:rPr>
              <w:t>.</w:t>
            </w:r>
            <w:r>
              <w:rPr>
                <w:rFonts w:ascii="Microsoft JhengHei"/>
                <w:b/>
                <w:w w:val="84"/>
                <w:sz w:val="21"/>
              </w:rPr>
              <w:t>15</w:t>
            </w:r>
          </w:p>
        </w:tc>
        <w:tc>
          <w:tcPr>
            <w:tcW w:w="1081" w:type="dxa"/>
          </w:tcPr>
          <w:p>
            <w:pPr>
              <w:pStyle w:val="TableParagraph"/>
              <w:spacing w:line="204" w:lineRule="auto" w:before="138"/>
              <w:ind w:left="110" w:right="123"/>
              <w:jc w:val="both"/>
              <w:rPr>
                <w:rFonts w:ascii="Microsoft JhengHei" w:eastAsia="Microsoft JhengHei" w:hint="eastAsia"/>
                <w:b/>
                <w:sz w:val="21"/>
              </w:rPr>
            </w:pPr>
            <w:r>
              <w:rPr>
                <w:rFonts w:ascii="Microsoft JhengHei" w:eastAsia="Microsoft JhengHei" w:hint="eastAsia"/>
                <w:b/>
                <w:sz w:val="21"/>
              </w:rPr>
              <w:t>先天性畸形、变形或者染色体异常</w:t>
            </w:r>
          </w:p>
        </w:tc>
        <w:tc>
          <w:tcPr>
            <w:tcW w:w="8178" w:type="dxa"/>
          </w:tcPr>
          <w:p>
            <w:pPr>
              <w:pStyle w:val="TableParagraph"/>
              <w:spacing w:line="273" w:lineRule="auto" w:before="150"/>
              <w:ind w:left="123" w:right="305"/>
              <w:rPr>
                <w:sz w:val="21"/>
              </w:rPr>
            </w:pPr>
            <w:r>
              <w:rPr>
                <w:spacing w:val="-7"/>
                <w:sz w:val="21"/>
              </w:rPr>
              <w:t>指被保险人出生时就具有的畸形、变形或者染色体异常。先天性畸形、变形和染色体</w:t>
            </w:r>
            <w:r>
              <w:rPr>
                <w:spacing w:val="-9"/>
                <w:sz w:val="21"/>
              </w:rPr>
              <w:t>异常依照世界卫生组织《疾病和有关健康问题的国际统计分类》</w:t>
            </w:r>
            <w:r>
              <w:rPr>
                <w:sz w:val="21"/>
              </w:rPr>
              <w:t>（ICD-10）确定。</w:t>
            </w:r>
          </w:p>
        </w:tc>
      </w:tr>
      <w:tr>
        <w:trPr>
          <w:trHeight w:val="950" w:hRule="atLeast"/>
        </w:trPr>
        <w:tc>
          <w:tcPr>
            <w:tcW w:w="839" w:type="dxa"/>
          </w:tcPr>
          <w:p>
            <w:pPr>
              <w:pStyle w:val="TableParagraph"/>
              <w:spacing w:before="83"/>
              <w:ind w:right="110"/>
              <w:jc w:val="right"/>
              <w:rPr>
                <w:rFonts w:ascii="Microsoft JhengHei"/>
                <w:b/>
                <w:sz w:val="21"/>
              </w:rPr>
            </w:pPr>
            <w:r>
              <w:rPr>
                <w:rFonts w:ascii="Microsoft JhengHei"/>
                <w:b/>
                <w:w w:val="84"/>
                <w:sz w:val="21"/>
              </w:rPr>
              <w:t>10</w:t>
            </w:r>
            <w:r>
              <w:rPr>
                <w:rFonts w:ascii="Microsoft JhengHei"/>
                <w:b/>
                <w:w w:val="197"/>
                <w:sz w:val="21"/>
              </w:rPr>
              <w:t>.</w:t>
            </w:r>
            <w:r>
              <w:rPr>
                <w:rFonts w:ascii="Microsoft JhengHei"/>
                <w:b/>
                <w:w w:val="84"/>
                <w:sz w:val="21"/>
              </w:rPr>
              <w:t>16</w:t>
            </w:r>
          </w:p>
        </w:tc>
        <w:tc>
          <w:tcPr>
            <w:tcW w:w="1081" w:type="dxa"/>
          </w:tcPr>
          <w:p>
            <w:pPr>
              <w:pStyle w:val="TableParagraph"/>
              <w:spacing w:before="83"/>
              <w:ind w:left="110"/>
              <w:rPr>
                <w:rFonts w:ascii="Microsoft JhengHei" w:eastAsia="Microsoft JhengHei" w:hint="eastAsia"/>
                <w:b/>
                <w:sz w:val="21"/>
              </w:rPr>
            </w:pPr>
            <w:r>
              <w:rPr>
                <w:rFonts w:ascii="Microsoft JhengHei" w:eastAsia="Microsoft JhengHei" w:hint="eastAsia"/>
                <w:b/>
                <w:sz w:val="21"/>
              </w:rPr>
              <w:t>现金价值</w:t>
            </w:r>
          </w:p>
        </w:tc>
        <w:tc>
          <w:tcPr>
            <w:tcW w:w="8178" w:type="dxa"/>
          </w:tcPr>
          <w:p>
            <w:pPr>
              <w:pStyle w:val="TableParagraph"/>
              <w:spacing w:line="273" w:lineRule="auto" w:before="150"/>
              <w:ind w:left="123" w:right="310"/>
              <w:rPr>
                <w:sz w:val="21"/>
              </w:rPr>
            </w:pPr>
            <w:r>
              <w:rPr>
                <w:spacing w:val="-7"/>
                <w:sz w:val="21"/>
              </w:rPr>
              <w:t>指保险合同所具有的价值，通常体现为解除合同时，根据精算原理计算的，由我们退</w:t>
            </w:r>
            <w:r>
              <w:rPr>
                <w:spacing w:val="-6"/>
                <w:sz w:val="21"/>
              </w:rPr>
              <w:t>还的那部分金额。</w:t>
            </w:r>
          </w:p>
        </w:tc>
      </w:tr>
      <w:tr>
        <w:trPr>
          <w:trHeight w:val="1887" w:hRule="atLeast"/>
        </w:trPr>
        <w:tc>
          <w:tcPr>
            <w:tcW w:w="839" w:type="dxa"/>
          </w:tcPr>
          <w:p>
            <w:pPr>
              <w:pStyle w:val="TableParagraph"/>
              <w:spacing w:before="83"/>
              <w:ind w:right="110"/>
              <w:jc w:val="right"/>
              <w:rPr>
                <w:rFonts w:ascii="Microsoft JhengHei"/>
                <w:b/>
                <w:sz w:val="21"/>
              </w:rPr>
            </w:pPr>
            <w:r>
              <w:rPr>
                <w:rFonts w:ascii="Microsoft JhengHei"/>
                <w:b/>
                <w:w w:val="84"/>
                <w:sz w:val="21"/>
              </w:rPr>
              <w:t>10</w:t>
            </w:r>
            <w:r>
              <w:rPr>
                <w:rFonts w:ascii="Microsoft JhengHei"/>
                <w:b/>
                <w:w w:val="197"/>
                <w:sz w:val="21"/>
              </w:rPr>
              <w:t>.</w:t>
            </w:r>
            <w:r>
              <w:rPr>
                <w:rFonts w:ascii="Microsoft JhengHei"/>
                <w:b/>
                <w:w w:val="84"/>
                <w:sz w:val="21"/>
              </w:rPr>
              <w:t>17</w:t>
            </w:r>
          </w:p>
        </w:tc>
        <w:tc>
          <w:tcPr>
            <w:tcW w:w="1081" w:type="dxa"/>
          </w:tcPr>
          <w:p>
            <w:pPr>
              <w:pStyle w:val="TableParagraph"/>
              <w:spacing w:before="83"/>
              <w:ind w:left="110"/>
              <w:rPr>
                <w:rFonts w:ascii="Microsoft JhengHei" w:eastAsia="Microsoft JhengHei" w:hint="eastAsia"/>
                <w:b/>
                <w:sz w:val="21"/>
              </w:rPr>
            </w:pPr>
            <w:r>
              <w:rPr>
                <w:rFonts w:ascii="Microsoft JhengHei" w:eastAsia="Microsoft JhengHei" w:hint="eastAsia"/>
                <w:b/>
                <w:sz w:val="21"/>
              </w:rPr>
              <w:t>专科医生</w:t>
            </w:r>
          </w:p>
        </w:tc>
        <w:tc>
          <w:tcPr>
            <w:tcW w:w="8178" w:type="dxa"/>
          </w:tcPr>
          <w:p>
            <w:pPr>
              <w:pStyle w:val="TableParagraph"/>
              <w:spacing w:before="150"/>
              <w:ind w:left="123"/>
              <w:rPr>
                <w:sz w:val="21"/>
              </w:rPr>
            </w:pPr>
            <w:r>
              <w:rPr>
                <w:sz w:val="21"/>
              </w:rPr>
              <w:t>专科医生应当同时满足以下四项资格条件：</w:t>
            </w:r>
          </w:p>
          <w:p>
            <w:pPr>
              <w:pStyle w:val="TableParagraph"/>
              <w:numPr>
                <w:ilvl w:val="0"/>
                <w:numId w:val="34"/>
              </w:numPr>
              <w:tabs>
                <w:tab w:pos="547" w:val="left" w:leader="none"/>
              </w:tabs>
              <w:spacing w:line="240" w:lineRule="auto" w:before="37" w:after="0"/>
              <w:ind w:left="546" w:right="0" w:hanging="423"/>
              <w:jc w:val="left"/>
              <w:rPr>
                <w:sz w:val="21"/>
              </w:rPr>
            </w:pPr>
            <w:r>
              <w:rPr>
                <w:spacing w:val="-10"/>
                <w:sz w:val="21"/>
              </w:rPr>
              <w:t>具有有效的中华人民共和国《医师资格证书》；</w:t>
            </w:r>
          </w:p>
          <w:p>
            <w:pPr>
              <w:pStyle w:val="TableParagraph"/>
              <w:numPr>
                <w:ilvl w:val="0"/>
                <w:numId w:val="34"/>
              </w:numPr>
              <w:tabs>
                <w:tab w:pos="547" w:val="left" w:leader="none"/>
              </w:tabs>
              <w:spacing w:line="240" w:lineRule="auto" w:before="37" w:after="0"/>
              <w:ind w:left="546" w:right="0" w:hanging="423"/>
              <w:jc w:val="left"/>
              <w:rPr>
                <w:sz w:val="21"/>
              </w:rPr>
            </w:pPr>
            <w:r>
              <w:rPr>
                <w:spacing w:val="-10"/>
                <w:sz w:val="21"/>
              </w:rPr>
              <w:t>具有有效的中华人民共和国《医师执业证书》，并按期到相关部门登记注册；</w:t>
            </w:r>
          </w:p>
          <w:p>
            <w:pPr>
              <w:pStyle w:val="TableParagraph"/>
              <w:numPr>
                <w:ilvl w:val="0"/>
                <w:numId w:val="34"/>
              </w:numPr>
              <w:tabs>
                <w:tab w:pos="547" w:val="left" w:leader="none"/>
              </w:tabs>
              <w:spacing w:line="240" w:lineRule="auto" w:before="36" w:after="0"/>
              <w:ind w:left="546" w:right="0" w:hanging="423"/>
              <w:jc w:val="left"/>
              <w:rPr>
                <w:sz w:val="21"/>
              </w:rPr>
            </w:pPr>
            <w:r>
              <w:rPr>
                <w:spacing w:val="-9"/>
                <w:sz w:val="21"/>
              </w:rPr>
              <w:t>具有有效的中华人民共和国主治医师或者主治医师以上职称的《医师职称证书》；</w:t>
            </w:r>
          </w:p>
          <w:p>
            <w:pPr>
              <w:pStyle w:val="TableParagraph"/>
              <w:numPr>
                <w:ilvl w:val="0"/>
                <w:numId w:val="34"/>
              </w:numPr>
              <w:tabs>
                <w:tab w:pos="547" w:val="left" w:leader="none"/>
              </w:tabs>
              <w:spacing w:line="240" w:lineRule="auto" w:before="36" w:after="0"/>
              <w:ind w:left="546" w:right="0" w:hanging="423"/>
              <w:jc w:val="left"/>
              <w:rPr>
                <w:sz w:val="21"/>
              </w:rPr>
            </w:pPr>
            <w:r>
              <w:rPr>
                <w:spacing w:val="-5"/>
                <w:sz w:val="21"/>
              </w:rPr>
              <w:t>在二级或者二级以上医院的相应科室从事临床工作三年以上。</w:t>
            </w:r>
          </w:p>
        </w:tc>
      </w:tr>
      <w:tr>
        <w:trPr>
          <w:trHeight w:val="950" w:hRule="atLeast"/>
        </w:trPr>
        <w:tc>
          <w:tcPr>
            <w:tcW w:w="839" w:type="dxa"/>
          </w:tcPr>
          <w:p>
            <w:pPr>
              <w:pStyle w:val="TableParagraph"/>
              <w:spacing w:before="83"/>
              <w:ind w:right="110"/>
              <w:jc w:val="right"/>
              <w:rPr>
                <w:rFonts w:ascii="Microsoft JhengHei"/>
                <w:b/>
                <w:sz w:val="21"/>
              </w:rPr>
            </w:pPr>
            <w:r>
              <w:rPr>
                <w:rFonts w:ascii="Microsoft JhengHei"/>
                <w:b/>
                <w:w w:val="84"/>
                <w:sz w:val="21"/>
              </w:rPr>
              <w:t>10</w:t>
            </w:r>
            <w:r>
              <w:rPr>
                <w:rFonts w:ascii="Microsoft JhengHei"/>
                <w:b/>
                <w:w w:val="197"/>
                <w:sz w:val="21"/>
              </w:rPr>
              <w:t>.</w:t>
            </w:r>
            <w:r>
              <w:rPr>
                <w:rFonts w:ascii="Microsoft JhengHei"/>
                <w:b/>
                <w:w w:val="84"/>
                <w:sz w:val="21"/>
              </w:rPr>
              <w:t>18</w:t>
            </w:r>
          </w:p>
        </w:tc>
        <w:tc>
          <w:tcPr>
            <w:tcW w:w="1081" w:type="dxa"/>
          </w:tcPr>
          <w:p>
            <w:pPr>
              <w:pStyle w:val="TableParagraph"/>
              <w:spacing w:line="204" w:lineRule="auto" w:before="138"/>
              <w:ind w:left="110" w:right="123"/>
              <w:rPr>
                <w:rFonts w:ascii="Microsoft JhengHei" w:eastAsia="Microsoft JhengHei" w:hint="eastAsia"/>
                <w:b/>
                <w:sz w:val="21"/>
              </w:rPr>
            </w:pPr>
            <w:r>
              <w:rPr>
                <w:rFonts w:ascii="Microsoft JhengHei" w:eastAsia="Microsoft JhengHei" w:hint="eastAsia"/>
                <w:b/>
                <w:sz w:val="21"/>
              </w:rPr>
              <w:t>肢体机能完全丧失</w:t>
            </w:r>
          </w:p>
        </w:tc>
        <w:tc>
          <w:tcPr>
            <w:tcW w:w="8178" w:type="dxa"/>
          </w:tcPr>
          <w:p>
            <w:pPr>
              <w:pStyle w:val="TableParagraph"/>
              <w:spacing w:line="273" w:lineRule="auto" w:before="150"/>
              <w:ind w:left="123" w:right="310"/>
              <w:rPr>
                <w:sz w:val="21"/>
              </w:rPr>
            </w:pPr>
            <w:r>
              <w:rPr>
                <w:spacing w:val="-6"/>
                <w:sz w:val="21"/>
              </w:rPr>
              <w:t>指肢体的三大关节中的两大关节僵硬，或者不能随意识活动。肢体是指包括肩关节的</w:t>
            </w:r>
            <w:r>
              <w:rPr>
                <w:spacing w:val="-5"/>
                <w:sz w:val="21"/>
              </w:rPr>
              <w:t>整个上肢或者包括髋关节的整个下肢。</w:t>
            </w:r>
          </w:p>
        </w:tc>
      </w:tr>
      <w:tr>
        <w:trPr>
          <w:trHeight w:val="1728" w:hRule="atLeast"/>
        </w:trPr>
        <w:tc>
          <w:tcPr>
            <w:tcW w:w="839" w:type="dxa"/>
          </w:tcPr>
          <w:p>
            <w:pPr>
              <w:pStyle w:val="TableParagraph"/>
              <w:spacing w:before="83"/>
              <w:ind w:right="110"/>
              <w:jc w:val="right"/>
              <w:rPr>
                <w:rFonts w:ascii="Microsoft JhengHei"/>
                <w:b/>
                <w:sz w:val="21"/>
              </w:rPr>
            </w:pPr>
            <w:r>
              <w:rPr>
                <w:rFonts w:ascii="Microsoft JhengHei"/>
                <w:b/>
                <w:w w:val="84"/>
                <w:sz w:val="21"/>
              </w:rPr>
              <w:t>10</w:t>
            </w:r>
            <w:r>
              <w:rPr>
                <w:rFonts w:ascii="Microsoft JhengHei"/>
                <w:b/>
                <w:w w:val="197"/>
                <w:sz w:val="21"/>
              </w:rPr>
              <w:t>.</w:t>
            </w:r>
            <w:r>
              <w:rPr>
                <w:rFonts w:ascii="Microsoft JhengHei"/>
                <w:b/>
                <w:w w:val="84"/>
                <w:sz w:val="21"/>
              </w:rPr>
              <w:t>19</w:t>
            </w:r>
          </w:p>
        </w:tc>
        <w:tc>
          <w:tcPr>
            <w:tcW w:w="1081" w:type="dxa"/>
          </w:tcPr>
          <w:p>
            <w:pPr>
              <w:pStyle w:val="TableParagraph"/>
              <w:spacing w:line="204" w:lineRule="auto" w:before="138"/>
              <w:ind w:left="110" w:right="123"/>
              <w:jc w:val="both"/>
              <w:rPr>
                <w:rFonts w:ascii="Microsoft JhengHei" w:eastAsia="Microsoft JhengHei" w:hint="eastAsia"/>
                <w:b/>
                <w:sz w:val="21"/>
              </w:rPr>
            </w:pPr>
            <w:r>
              <w:rPr>
                <w:rFonts w:ascii="Microsoft JhengHei" w:eastAsia="Microsoft JhengHei" w:hint="eastAsia"/>
                <w:b/>
                <w:sz w:val="21"/>
              </w:rPr>
              <w:t>语言能力或咀嚼吞咽能力完全丧失</w:t>
            </w:r>
          </w:p>
        </w:tc>
        <w:tc>
          <w:tcPr>
            <w:tcW w:w="8178" w:type="dxa"/>
          </w:tcPr>
          <w:p>
            <w:pPr>
              <w:pStyle w:val="TableParagraph"/>
              <w:spacing w:line="268" w:lineRule="auto" w:before="150"/>
              <w:ind w:left="123" w:right="276"/>
              <w:rPr>
                <w:sz w:val="21"/>
              </w:rPr>
            </w:pPr>
            <w:r>
              <w:rPr>
                <w:sz w:val="21"/>
              </w:rPr>
              <w:t>语言能力完全丧失，指无法发出四种语音（包括口唇音、齿舌音、口盖音和喉头音） 中的任何三种、或者声带全部切除，或者因大脑语言中枢受伤害而患失语症。</w:t>
            </w:r>
          </w:p>
          <w:p>
            <w:pPr>
              <w:pStyle w:val="TableParagraph"/>
              <w:spacing w:line="273" w:lineRule="auto" w:before="170"/>
              <w:ind w:left="123" w:right="310"/>
              <w:rPr>
                <w:sz w:val="21"/>
              </w:rPr>
            </w:pPr>
            <w:r>
              <w:rPr>
                <w:spacing w:val="-6"/>
                <w:sz w:val="21"/>
              </w:rPr>
              <w:t>咀嚼吞咽能力完全丧失，指因牙齿以外的原因导致器质障碍或者机能障碍，以致不能</w:t>
            </w:r>
            <w:r>
              <w:rPr>
                <w:spacing w:val="-5"/>
                <w:sz w:val="21"/>
              </w:rPr>
              <w:t>作咀嚼吞咽运动，除流质食物外不能摄取或者吞咽的状态。</w:t>
            </w:r>
          </w:p>
        </w:tc>
      </w:tr>
      <w:tr>
        <w:trPr>
          <w:trHeight w:val="1673" w:hRule="atLeast"/>
        </w:trPr>
        <w:tc>
          <w:tcPr>
            <w:tcW w:w="839" w:type="dxa"/>
          </w:tcPr>
          <w:p>
            <w:pPr>
              <w:pStyle w:val="TableParagraph"/>
              <w:spacing w:before="83"/>
              <w:ind w:right="110"/>
              <w:jc w:val="right"/>
              <w:rPr>
                <w:rFonts w:ascii="Microsoft JhengHei"/>
                <w:b/>
                <w:sz w:val="21"/>
              </w:rPr>
            </w:pPr>
            <w:r>
              <w:rPr>
                <w:rFonts w:ascii="Microsoft JhengHei"/>
                <w:b/>
                <w:w w:val="84"/>
                <w:sz w:val="21"/>
              </w:rPr>
              <w:t>10</w:t>
            </w:r>
            <w:r>
              <w:rPr>
                <w:rFonts w:ascii="Microsoft JhengHei"/>
                <w:b/>
                <w:w w:val="197"/>
                <w:sz w:val="21"/>
              </w:rPr>
              <w:t>.</w:t>
            </w:r>
            <w:r>
              <w:rPr>
                <w:rFonts w:ascii="Microsoft JhengHei"/>
                <w:b/>
                <w:w w:val="84"/>
                <w:sz w:val="21"/>
              </w:rPr>
              <w:t>20</w:t>
            </w:r>
          </w:p>
        </w:tc>
        <w:tc>
          <w:tcPr>
            <w:tcW w:w="1081" w:type="dxa"/>
          </w:tcPr>
          <w:p>
            <w:pPr>
              <w:pStyle w:val="TableParagraph"/>
              <w:spacing w:line="204" w:lineRule="auto" w:before="138"/>
              <w:ind w:left="110" w:right="123"/>
              <w:jc w:val="both"/>
              <w:rPr>
                <w:rFonts w:ascii="Microsoft JhengHei" w:eastAsia="Microsoft JhengHei" w:hint="eastAsia"/>
                <w:b/>
                <w:sz w:val="21"/>
              </w:rPr>
            </w:pPr>
            <w:r>
              <w:rPr>
                <w:rFonts w:ascii="Microsoft JhengHei" w:eastAsia="Microsoft JhengHei" w:hint="eastAsia"/>
                <w:b/>
                <w:sz w:val="21"/>
              </w:rPr>
              <w:t>六项基本日常生活活动</w:t>
            </w:r>
          </w:p>
        </w:tc>
        <w:tc>
          <w:tcPr>
            <w:tcW w:w="8178" w:type="dxa"/>
          </w:tcPr>
          <w:p>
            <w:pPr>
              <w:pStyle w:val="TableParagraph"/>
              <w:spacing w:before="150"/>
              <w:ind w:left="123"/>
              <w:rPr>
                <w:sz w:val="21"/>
              </w:rPr>
            </w:pPr>
            <w:r>
              <w:rPr>
                <w:sz w:val="21"/>
              </w:rPr>
              <w:t>六项基本日常生活活动是指：</w:t>
            </w:r>
          </w:p>
          <w:p>
            <w:pPr>
              <w:pStyle w:val="TableParagraph"/>
              <w:numPr>
                <w:ilvl w:val="0"/>
                <w:numId w:val="35"/>
              </w:numPr>
              <w:tabs>
                <w:tab w:pos="547" w:val="left" w:leader="none"/>
              </w:tabs>
              <w:spacing w:line="240" w:lineRule="auto" w:before="37" w:after="0"/>
              <w:ind w:left="546" w:right="0" w:hanging="423"/>
              <w:jc w:val="left"/>
              <w:rPr>
                <w:sz w:val="21"/>
              </w:rPr>
            </w:pPr>
            <w:r>
              <w:rPr>
                <w:spacing w:val="-2"/>
                <w:sz w:val="21"/>
              </w:rPr>
              <w:t>穿衣：自己能够穿衣及脱衣；</w:t>
            </w:r>
          </w:p>
          <w:p>
            <w:pPr>
              <w:pStyle w:val="TableParagraph"/>
              <w:numPr>
                <w:ilvl w:val="0"/>
                <w:numId w:val="35"/>
              </w:numPr>
              <w:tabs>
                <w:tab w:pos="547" w:val="left" w:leader="none"/>
              </w:tabs>
              <w:spacing w:line="240" w:lineRule="auto" w:before="36" w:after="0"/>
              <w:ind w:left="546" w:right="0" w:hanging="423"/>
              <w:jc w:val="left"/>
              <w:rPr>
                <w:sz w:val="21"/>
              </w:rPr>
            </w:pPr>
            <w:r>
              <w:rPr>
                <w:spacing w:val="-3"/>
                <w:sz w:val="21"/>
              </w:rPr>
              <w:t>移动：自己从一个房间到另一个房间；</w:t>
            </w:r>
          </w:p>
          <w:p>
            <w:pPr>
              <w:pStyle w:val="TableParagraph"/>
              <w:numPr>
                <w:ilvl w:val="0"/>
                <w:numId w:val="35"/>
              </w:numPr>
              <w:tabs>
                <w:tab w:pos="547" w:val="left" w:leader="none"/>
              </w:tabs>
              <w:spacing w:line="240" w:lineRule="auto" w:before="37" w:after="0"/>
              <w:ind w:left="546" w:right="0" w:hanging="423"/>
              <w:jc w:val="left"/>
              <w:rPr>
                <w:sz w:val="21"/>
              </w:rPr>
            </w:pPr>
            <w:r>
              <w:rPr>
                <w:spacing w:val="-3"/>
                <w:sz w:val="21"/>
              </w:rPr>
              <w:t>行动：自己上下床或者上下轮椅；</w:t>
            </w:r>
          </w:p>
          <w:p>
            <w:pPr>
              <w:pStyle w:val="TableParagraph"/>
              <w:numPr>
                <w:ilvl w:val="0"/>
                <w:numId w:val="35"/>
              </w:numPr>
              <w:tabs>
                <w:tab w:pos="547" w:val="left" w:leader="none"/>
              </w:tabs>
              <w:spacing w:line="255" w:lineRule="exact" w:before="37" w:after="0"/>
              <w:ind w:left="546" w:right="0" w:hanging="423"/>
              <w:jc w:val="left"/>
              <w:rPr>
                <w:sz w:val="21"/>
              </w:rPr>
            </w:pPr>
            <w:r>
              <w:rPr>
                <w:spacing w:val="-2"/>
                <w:sz w:val="21"/>
              </w:rPr>
              <w:t>如厕：自己控制进行大小便；</w:t>
            </w:r>
          </w:p>
        </w:tc>
      </w:tr>
    </w:tbl>
    <w:p>
      <w:pPr>
        <w:spacing w:after="0" w:line="255" w:lineRule="exact"/>
        <w:jc w:val="left"/>
        <w:rPr>
          <w:sz w:val="21"/>
        </w:rPr>
        <w:sectPr>
          <w:pgSz w:w="11910" w:h="16840"/>
          <w:pgMar w:header="0" w:footer="346" w:top="740" w:bottom="540" w:left="860" w:right="740"/>
        </w:sect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9"/>
        <w:gridCol w:w="1081"/>
        <w:gridCol w:w="8070"/>
      </w:tblGrid>
      <w:tr>
        <w:trPr>
          <w:trHeight w:val="736" w:hRule="atLeast"/>
        </w:trPr>
        <w:tc>
          <w:tcPr>
            <w:tcW w:w="839" w:type="dxa"/>
          </w:tcPr>
          <w:p>
            <w:pPr>
              <w:pStyle w:val="TableParagraph"/>
              <w:spacing w:before="0"/>
              <w:rPr>
                <w:rFonts w:ascii="Times New Roman"/>
                <w:sz w:val="20"/>
              </w:rPr>
            </w:pPr>
          </w:p>
        </w:tc>
        <w:tc>
          <w:tcPr>
            <w:tcW w:w="1081" w:type="dxa"/>
          </w:tcPr>
          <w:p>
            <w:pPr>
              <w:pStyle w:val="TableParagraph"/>
              <w:spacing w:before="0"/>
              <w:rPr>
                <w:rFonts w:ascii="Times New Roman"/>
                <w:sz w:val="20"/>
              </w:rPr>
            </w:pPr>
          </w:p>
        </w:tc>
        <w:tc>
          <w:tcPr>
            <w:tcW w:w="8070" w:type="dxa"/>
          </w:tcPr>
          <w:p>
            <w:pPr>
              <w:pStyle w:val="TableParagraph"/>
              <w:numPr>
                <w:ilvl w:val="0"/>
                <w:numId w:val="36"/>
              </w:numPr>
              <w:tabs>
                <w:tab w:pos="547" w:val="left" w:leader="none"/>
              </w:tabs>
              <w:spacing w:line="211" w:lineRule="exact" w:before="0" w:after="0"/>
              <w:ind w:left="546" w:right="0" w:hanging="423"/>
              <w:jc w:val="left"/>
              <w:rPr>
                <w:sz w:val="21"/>
              </w:rPr>
            </w:pPr>
            <w:r>
              <w:rPr>
                <w:spacing w:val="-5"/>
                <w:sz w:val="21"/>
              </w:rPr>
              <w:t>进食：自己从已准备好的碗或者碟中取食物放入口中；</w:t>
            </w:r>
          </w:p>
          <w:p>
            <w:pPr>
              <w:pStyle w:val="TableParagraph"/>
              <w:numPr>
                <w:ilvl w:val="0"/>
                <w:numId w:val="36"/>
              </w:numPr>
              <w:tabs>
                <w:tab w:pos="547" w:val="left" w:leader="none"/>
              </w:tabs>
              <w:spacing w:line="240" w:lineRule="auto" w:before="37" w:after="0"/>
              <w:ind w:left="546" w:right="0" w:hanging="423"/>
              <w:jc w:val="left"/>
              <w:rPr>
                <w:sz w:val="21"/>
              </w:rPr>
            </w:pPr>
            <w:r>
              <w:rPr>
                <w:spacing w:val="-3"/>
                <w:sz w:val="21"/>
              </w:rPr>
              <w:t>洗澡：自己进行淋浴或者盆浴。</w:t>
            </w:r>
          </w:p>
        </w:tc>
      </w:tr>
      <w:tr>
        <w:trPr>
          <w:trHeight w:val="736" w:hRule="atLeast"/>
        </w:trPr>
        <w:tc>
          <w:tcPr>
            <w:tcW w:w="839" w:type="dxa"/>
          </w:tcPr>
          <w:p>
            <w:pPr>
              <w:pStyle w:val="TableParagraph"/>
              <w:spacing w:before="83"/>
              <w:ind w:left="200"/>
              <w:rPr>
                <w:rFonts w:ascii="Microsoft JhengHei"/>
                <w:b/>
                <w:sz w:val="21"/>
              </w:rPr>
            </w:pPr>
            <w:r>
              <w:rPr>
                <w:rFonts w:ascii="Microsoft JhengHei"/>
                <w:b/>
                <w:w w:val="84"/>
                <w:sz w:val="21"/>
              </w:rPr>
              <w:t>10</w:t>
            </w:r>
            <w:r>
              <w:rPr>
                <w:rFonts w:ascii="Microsoft JhengHei"/>
                <w:b/>
                <w:w w:val="197"/>
                <w:sz w:val="21"/>
              </w:rPr>
              <w:t>.</w:t>
            </w:r>
            <w:r>
              <w:rPr>
                <w:rFonts w:ascii="Microsoft JhengHei"/>
                <w:b/>
                <w:w w:val="84"/>
                <w:sz w:val="21"/>
              </w:rPr>
              <w:t>21</w:t>
            </w:r>
          </w:p>
        </w:tc>
        <w:tc>
          <w:tcPr>
            <w:tcW w:w="1081" w:type="dxa"/>
          </w:tcPr>
          <w:p>
            <w:pPr>
              <w:pStyle w:val="TableParagraph"/>
              <w:spacing w:line="312" w:lineRule="exact" w:before="145"/>
              <w:ind w:left="110" w:right="123"/>
              <w:rPr>
                <w:rFonts w:ascii="Microsoft JhengHei" w:eastAsia="Microsoft JhengHei" w:hint="eastAsia"/>
                <w:b/>
                <w:sz w:val="21"/>
              </w:rPr>
            </w:pPr>
            <w:r>
              <w:rPr>
                <w:rFonts w:ascii="Microsoft JhengHei" w:eastAsia="Microsoft JhengHei" w:hint="eastAsia"/>
                <w:b/>
                <w:sz w:val="21"/>
              </w:rPr>
              <w:t>永久不可逆</w:t>
            </w:r>
          </w:p>
        </w:tc>
        <w:tc>
          <w:tcPr>
            <w:tcW w:w="8070" w:type="dxa"/>
          </w:tcPr>
          <w:p>
            <w:pPr>
              <w:pStyle w:val="TableParagraph"/>
              <w:spacing w:line="310" w:lineRule="atLeast" w:before="114"/>
              <w:ind w:left="123" w:right="199"/>
              <w:rPr>
                <w:sz w:val="21"/>
              </w:rPr>
            </w:pPr>
            <w:r>
              <w:rPr>
                <w:spacing w:val="-6"/>
                <w:sz w:val="21"/>
              </w:rPr>
              <w:t>指自疾病确诊或者意外伤害发生之日起，经过积极治疗 </w:t>
            </w:r>
            <w:r>
              <w:rPr>
                <w:sz w:val="21"/>
              </w:rPr>
              <w:t>180</w:t>
            </w:r>
            <w:r>
              <w:rPr>
                <w:spacing w:val="-8"/>
                <w:sz w:val="21"/>
              </w:rPr>
              <w:t> 天后，仍无法通过现有医</w:t>
            </w:r>
            <w:r>
              <w:rPr>
                <w:spacing w:val="-7"/>
                <w:sz w:val="21"/>
              </w:rPr>
              <w:t>疗手段恢复。</w:t>
            </w:r>
          </w:p>
        </w:tc>
      </w:tr>
    </w:tbl>
    <w:sectPr>
      <w:pgSz w:w="11910" w:h="16840"/>
      <w:pgMar w:header="0" w:footer="346" w:top="740" w:bottom="540" w:left="860" w:right="8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微软雅黑">
    <w:altName w:val="微软雅黑"/>
    <w:charset w:val="86"/>
    <w:family w:val="swiss"/>
    <w:pitch w:val="variable"/>
  </w:font>
  <w:font w:name="宋体">
    <w:altName w:val="宋体"/>
    <w:charset w:val="86"/>
    <w:family w:val="auto"/>
    <w:pitch w:val="variable"/>
  </w:font>
  <w:font w:name="Microsoft JhengHei">
    <w:altName w:val="Microsoft JhengHei"/>
    <w:charset w:val="0"/>
    <w:family w:val="swiss"/>
    <w:pitch w:val="variable"/>
  </w:font>
  <w:font w:name="Wingdings">
    <w:altName w:val="Wingdings"/>
    <w:charset w:val="2"/>
    <w:family w:val="auto"/>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2"/>
      </w:rPr>
    </w:pPr>
    <w:r>
      <w:rPr/>
      <w:pict>
        <v:shapetype id="_x0000_t202" o:spt="202" coordsize="21600,21600" path="m,l,21600r21600,l21600,xe">
          <v:stroke joinstyle="miter"/>
          <v:path gradientshapeok="t" o:connecttype="rect"/>
        </v:shapetype>
        <v:shape style="position:absolute;margin-left:291.160004pt;margin-top:809.599976pt;width:13.15pt;height:11.15pt;mso-position-horizontal-relative:page;mso-position-vertical-relative:page;z-index:-35224" type="#_x0000_t202" filled="false" stroked="false">
          <v:textbox inset="0,0,0,0">
            <w:txbxContent>
              <w:p>
                <w:pPr>
                  <w:spacing w:line="205"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5">
    <w:multiLevelType w:val="hybridMultilevel"/>
    <w:lvl w:ilvl="0">
      <w:start w:val="5"/>
      <w:numFmt w:val="decimal"/>
      <w:lvlText w:val="(%1)"/>
      <w:lvlJc w:val="left"/>
      <w:pPr>
        <w:ind w:left="546" w:hanging="423"/>
        <w:jc w:val="left"/>
      </w:pPr>
      <w:rPr>
        <w:rFonts w:hint="default" w:ascii="宋体" w:hAnsi="宋体" w:eastAsia="宋体" w:cs="宋体"/>
        <w:w w:val="100"/>
        <w:sz w:val="21"/>
        <w:szCs w:val="21"/>
      </w:rPr>
    </w:lvl>
    <w:lvl w:ilvl="1">
      <w:start w:val="0"/>
      <w:numFmt w:val="bullet"/>
      <w:lvlText w:val="•"/>
      <w:lvlJc w:val="left"/>
      <w:pPr>
        <w:ind w:left="1293" w:hanging="423"/>
      </w:pPr>
      <w:rPr>
        <w:rFonts w:hint="default"/>
      </w:rPr>
    </w:lvl>
    <w:lvl w:ilvl="2">
      <w:start w:val="0"/>
      <w:numFmt w:val="bullet"/>
      <w:lvlText w:val="•"/>
      <w:lvlJc w:val="left"/>
      <w:pPr>
        <w:ind w:left="2046" w:hanging="423"/>
      </w:pPr>
      <w:rPr>
        <w:rFonts w:hint="default"/>
      </w:rPr>
    </w:lvl>
    <w:lvl w:ilvl="3">
      <w:start w:val="0"/>
      <w:numFmt w:val="bullet"/>
      <w:lvlText w:val="•"/>
      <w:lvlJc w:val="left"/>
      <w:pPr>
        <w:ind w:left="2799" w:hanging="423"/>
      </w:pPr>
      <w:rPr>
        <w:rFonts w:hint="default"/>
      </w:rPr>
    </w:lvl>
    <w:lvl w:ilvl="4">
      <w:start w:val="0"/>
      <w:numFmt w:val="bullet"/>
      <w:lvlText w:val="•"/>
      <w:lvlJc w:val="left"/>
      <w:pPr>
        <w:ind w:left="3552" w:hanging="423"/>
      </w:pPr>
      <w:rPr>
        <w:rFonts w:hint="default"/>
      </w:rPr>
    </w:lvl>
    <w:lvl w:ilvl="5">
      <w:start w:val="0"/>
      <w:numFmt w:val="bullet"/>
      <w:lvlText w:val="•"/>
      <w:lvlJc w:val="left"/>
      <w:pPr>
        <w:ind w:left="4305" w:hanging="423"/>
      </w:pPr>
      <w:rPr>
        <w:rFonts w:hint="default"/>
      </w:rPr>
    </w:lvl>
    <w:lvl w:ilvl="6">
      <w:start w:val="0"/>
      <w:numFmt w:val="bullet"/>
      <w:lvlText w:val="•"/>
      <w:lvlJc w:val="left"/>
      <w:pPr>
        <w:ind w:left="5058" w:hanging="423"/>
      </w:pPr>
      <w:rPr>
        <w:rFonts w:hint="default"/>
      </w:rPr>
    </w:lvl>
    <w:lvl w:ilvl="7">
      <w:start w:val="0"/>
      <w:numFmt w:val="bullet"/>
      <w:lvlText w:val="•"/>
      <w:lvlJc w:val="left"/>
      <w:pPr>
        <w:ind w:left="5811" w:hanging="423"/>
      </w:pPr>
      <w:rPr>
        <w:rFonts w:hint="default"/>
      </w:rPr>
    </w:lvl>
    <w:lvl w:ilvl="8">
      <w:start w:val="0"/>
      <w:numFmt w:val="bullet"/>
      <w:lvlText w:val="•"/>
      <w:lvlJc w:val="left"/>
      <w:pPr>
        <w:ind w:left="6564" w:hanging="423"/>
      </w:pPr>
      <w:rPr>
        <w:rFonts w:hint="default"/>
      </w:rPr>
    </w:lvl>
  </w:abstractNum>
  <w:abstractNum w:abstractNumId="34">
    <w:multiLevelType w:val="hybridMultilevel"/>
    <w:lvl w:ilvl="0">
      <w:start w:val="1"/>
      <w:numFmt w:val="decimal"/>
      <w:lvlText w:val="(%1)"/>
      <w:lvlJc w:val="left"/>
      <w:pPr>
        <w:ind w:left="546" w:hanging="423"/>
        <w:jc w:val="left"/>
      </w:pPr>
      <w:rPr>
        <w:rFonts w:hint="default" w:ascii="宋体" w:hAnsi="宋体" w:eastAsia="宋体" w:cs="宋体"/>
        <w:w w:val="100"/>
        <w:sz w:val="21"/>
        <w:szCs w:val="21"/>
      </w:rPr>
    </w:lvl>
    <w:lvl w:ilvl="1">
      <w:start w:val="0"/>
      <w:numFmt w:val="bullet"/>
      <w:lvlText w:val="•"/>
      <w:lvlJc w:val="left"/>
      <w:pPr>
        <w:ind w:left="1303" w:hanging="423"/>
      </w:pPr>
      <w:rPr>
        <w:rFonts w:hint="default"/>
      </w:rPr>
    </w:lvl>
    <w:lvl w:ilvl="2">
      <w:start w:val="0"/>
      <w:numFmt w:val="bullet"/>
      <w:lvlText w:val="•"/>
      <w:lvlJc w:val="left"/>
      <w:pPr>
        <w:ind w:left="2067" w:hanging="423"/>
      </w:pPr>
      <w:rPr>
        <w:rFonts w:hint="default"/>
      </w:rPr>
    </w:lvl>
    <w:lvl w:ilvl="3">
      <w:start w:val="0"/>
      <w:numFmt w:val="bullet"/>
      <w:lvlText w:val="•"/>
      <w:lvlJc w:val="left"/>
      <w:pPr>
        <w:ind w:left="2831" w:hanging="423"/>
      </w:pPr>
      <w:rPr>
        <w:rFonts w:hint="default"/>
      </w:rPr>
    </w:lvl>
    <w:lvl w:ilvl="4">
      <w:start w:val="0"/>
      <w:numFmt w:val="bullet"/>
      <w:lvlText w:val="•"/>
      <w:lvlJc w:val="left"/>
      <w:pPr>
        <w:ind w:left="3595" w:hanging="423"/>
      </w:pPr>
      <w:rPr>
        <w:rFonts w:hint="default"/>
      </w:rPr>
    </w:lvl>
    <w:lvl w:ilvl="5">
      <w:start w:val="0"/>
      <w:numFmt w:val="bullet"/>
      <w:lvlText w:val="•"/>
      <w:lvlJc w:val="left"/>
      <w:pPr>
        <w:ind w:left="4359" w:hanging="423"/>
      </w:pPr>
      <w:rPr>
        <w:rFonts w:hint="default"/>
      </w:rPr>
    </w:lvl>
    <w:lvl w:ilvl="6">
      <w:start w:val="0"/>
      <w:numFmt w:val="bullet"/>
      <w:lvlText w:val="•"/>
      <w:lvlJc w:val="left"/>
      <w:pPr>
        <w:ind w:left="5122" w:hanging="423"/>
      </w:pPr>
      <w:rPr>
        <w:rFonts w:hint="default"/>
      </w:rPr>
    </w:lvl>
    <w:lvl w:ilvl="7">
      <w:start w:val="0"/>
      <w:numFmt w:val="bullet"/>
      <w:lvlText w:val="•"/>
      <w:lvlJc w:val="left"/>
      <w:pPr>
        <w:ind w:left="5886" w:hanging="423"/>
      </w:pPr>
      <w:rPr>
        <w:rFonts w:hint="default"/>
      </w:rPr>
    </w:lvl>
    <w:lvl w:ilvl="8">
      <w:start w:val="0"/>
      <w:numFmt w:val="bullet"/>
      <w:lvlText w:val="•"/>
      <w:lvlJc w:val="left"/>
      <w:pPr>
        <w:ind w:left="6650" w:hanging="423"/>
      </w:pPr>
      <w:rPr>
        <w:rFonts w:hint="default"/>
      </w:rPr>
    </w:lvl>
  </w:abstractNum>
  <w:abstractNum w:abstractNumId="33">
    <w:multiLevelType w:val="hybridMultilevel"/>
    <w:lvl w:ilvl="0">
      <w:start w:val="1"/>
      <w:numFmt w:val="decimal"/>
      <w:lvlText w:val="(%1)"/>
      <w:lvlJc w:val="left"/>
      <w:pPr>
        <w:ind w:left="546" w:hanging="423"/>
        <w:jc w:val="left"/>
      </w:pPr>
      <w:rPr>
        <w:rFonts w:hint="default" w:ascii="宋体" w:hAnsi="宋体" w:eastAsia="宋体" w:cs="宋体"/>
        <w:w w:val="100"/>
        <w:sz w:val="21"/>
        <w:szCs w:val="21"/>
      </w:rPr>
    </w:lvl>
    <w:lvl w:ilvl="1">
      <w:start w:val="0"/>
      <w:numFmt w:val="bullet"/>
      <w:lvlText w:val="•"/>
      <w:lvlJc w:val="left"/>
      <w:pPr>
        <w:ind w:left="1303" w:hanging="423"/>
      </w:pPr>
      <w:rPr>
        <w:rFonts w:hint="default"/>
      </w:rPr>
    </w:lvl>
    <w:lvl w:ilvl="2">
      <w:start w:val="0"/>
      <w:numFmt w:val="bullet"/>
      <w:lvlText w:val="•"/>
      <w:lvlJc w:val="left"/>
      <w:pPr>
        <w:ind w:left="2067" w:hanging="423"/>
      </w:pPr>
      <w:rPr>
        <w:rFonts w:hint="default"/>
      </w:rPr>
    </w:lvl>
    <w:lvl w:ilvl="3">
      <w:start w:val="0"/>
      <w:numFmt w:val="bullet"/>
      <w:lvlText w:val="•"/>
      <w:lvlJc w:val="left"/>
      <w:pPr>
        <w:ind w:left="2831" w:hanging="423"/>
      </w:pPr>
      <w:rPr>
        <w:rFonts w:hint="default"/>
      </w:rPr>
    </w:lvl>
    <w:lvl w:ilvl="4">
      <w:start w:val="0"/>
      <w:numFmt w:val="bullet"/>
      <w:lvlText w:val="•"/>
      <w:lvlJc w:val="left"/>
      <w:pPr>
        <w:ind w:left="3595" w:hanging="423"/>
      </w:pPr>
      <w:rPr>
        <w:rFonts w:hint="default"/>
      </w:rPr>
    </w:lvl>
    <w:lvl w:ilvl="5">
      <w:start w:val="0"/>
      <w:numFmt w:val="bullet"/>
      <w:lvlText w:val="•"/>
      <w:lvlJc w:val="left"/>
      <w:pPr>
        <w:ind w:left="4359" w:hanging="423"/>
      </w:pPr>
      <w:rPr>
        <w:rFonts w:hint="default"/>
      </w:rPr>
    </w:lvl>
    <w:lvl w:ilvl="6">
      <w:start w:val="0"/>
      <w:numFmt w:val="bullet"/>
      <w:lvlText w:val="•"/>
      <w:lvlJc w:val="left"/>
      <w:pPr>
        <w:ind w:left="5122" w:hanging="423"/>
      </w:pPr>
      <w:rPr>
        <w:rFonts w:hint="default"/>
      </w:rPr>
    </w:lvl>
    <w:lvl w:ilvl="7">
      <w:start w:val="0"/>
      <w:numFmt w:val="bullet"/>
      <w:lvlText w:val="•"/>
      <w:lvlJc w:val="left"/>
      <w:pPr>
        <w:ind w:left="5886" w:hanging="423"/>
      </w:pPr>
      <w:rPr>
        <w:rFonts w:hint="default"/>
      </w:rPr>
    </w:lvl>
    <w:lvl w:ilvl="8">
      <w:start w:val="0"/>
      <w:numFmt w:val="bullet"/>
      <w:lvlText w:val="•"/>
      <w:lvlJc w:val="left"/>
      <w:pPr>
        <w:ind w:left="6650" w:hanging="423"/>
      </w:pPr>
      <w:rPr>
        <w:rFonts w:hint="default"/>
      </w:rPr>
    </w:lvl>
  </w:abstractNum>
  <w:abstractNum w:abstractNumId="32">
    <w:multiLevelType w:val="hybridMultilevel"/>
    <w:lvl w:ilvl="0">
      <w:start w:val="1"/>
      <w:numFmt w:val="decimal"/>
      <w:lvlText w:val="(%1)"/>
      <w:lvlJc w:val="left"/>
      <w:pPr>
        <w:ind w:left="546" w:hanging="423"/>
        <w:jc w:val="left"/>
      </w:pPr>
      <w:rPr>
        <w:rFonts w:hint="default" w:ascii="宋体" w:hAnsi="宋体" w:eastAsia="宋体" w:cs="宋体"/>
        <w:w w:val="100"/>
        <w:sz w:val="21"/>
        <w:szCs w:val="21"/>
      </w:rPr>
    </w:lvl>
    <w:lvl w:ilvl="1">
      <w:start w:val="0"/>
      <w:numFmt w:val="bullet"/>
      <w:lvlText w:val="•"/>
      <w:lvlJc w:val="left"/>
      <w:pPr>
        <w:ind w:left="1303" w:hanging="423"/>
      </w:pPr>
      <w:rPr>
        <w:rFonts w:hint="default"/>
      </w:rPr>
    </w:lvl>
    <w:lvl w:ilvl="2">
      <w:start w:val="0"/>
      <w:numFmt w:val="bullet"/>
      <w:lvlText w:val="•"/>
      <w:lvlJc w:val="left"/>
      <w:pPr>
        <w:ind w:left="2067" w:hanging="423"/>
      </w:pPr>
      <w:rPr>
        <w:rFonts w:hint="default"/>
      </w:rPr>
    </w:lvl>
    <w:lvl w:ilvl="3">
      <w:start w:val="0"/>
      <w:numFmt w:val="bullet"/>
      <w:lvlText w:val="•"/>
      <w:lvlJc w:val="left"/>
      <w:pPr>
        <w:ind w:left="2831" w:hanging="423"/>
      </w:pPr>
      <w:rPr>
        <w:rFonts w:hint="default"/>
      </w:rPr>
    </w:lvl>
    <w:lvl w:ilvl="4">
      <w:start w:val="0"/>
      <w:numFmt w:val="bullet"/>
      <w:lvlText w:val="•"/>
      <w:lvlJc w:val="left"/>
      <w:pPr>
        <w:ind w:left="3595" w:hanging="423"/>
      </w:pPr>
      <w:rPr>
        <w:rFonts w:hint="default"/>
      </w:rPr>
    </w:lvl>
    <w:lvl w:ilvl="5">
      <w:start w:val="0"/>
      <w:numFmt w:val="bullet"/>
      <w:lvlText w:val="•"/>
      <w:lvlJc w:val="left"/>
      <w:pPr>
        <w:ind w:left="4359" w:hanging="423"/>
      </w:pPr>
      <w:rPr>
        <w:rFonts w:hint="default"/>
      </w:rPr>
    </w:lvl>
    <w:lvl w:ilvl="6">
      <w:start w:val="0"/>
      <w:numFmt w:val="bullet"/>
      <w:lvlText w:val="•"/>
      <w:lvlJc w:val="left"/>
      <w:pPr>
        <w:ind w:left="5122" w:hanging="423"/>
      </w:pPr>
      <w:rPr>
        <w:rFonts w:hint="default"/>
      </w:rPr>
    </w:lvl>
    <w:lvl w:ilvl="7">
      <w:start w:val="0"/>
      <w:numFmt w:val="bullet"/>
      <w:lvlText w:val="•"/>
      <w:lvlJc w:val="left"/>
      <w:pPr>
        <w:ind w:left="5886" w:hanging="423"/>
      </w:pPr>
      <w:rPr>
        <w:rFonts w:hint="default"/>
      </w:rPr>
    </w:lvl>
    <w:lvl w:ilvl="8">
      <w:start w:val="0"/>
      <w:numFmt w:val="bullet"/>
      <w:lvlText w:val="•"/>
      <w:lvlJc w:val="left"/>
      <w:pPr>
        <w:ind w:left="6650" w:hanging="423"/>
      </w:pPr>
      <w:rPr>
        <w:rFonts w:hint="default"/>
      </w:rPr>
    </w:lvl>
  </w:abstractNum>
  <w:abstractNum w:abstractNumId="31">
    <w:multiLevelType w:val="hybridMultilevel"/>
    <w:lvl w:ilvl="0">
      <w:start w:val="1"/>
      <w:numFmt w:val="decimal"/>
      <w:lvlText w:val="(%1)"/>
      <w:lvlJc w:val="left"/>
      <w:pPr>
        <w:ind w:left="546" w:hanging="423"/>
        <w:jc w:val="left"/>
      </w:pPr>
      <w:rPr>
        <w:rFonts w:hint="default"/>
        <w:w w:val="100"/>
      </w:rPr>
    </w:lvl>
    <w:lvl w:ilvl="1">
      <w:start w:val="0"/>
      <w:numFmt w:val="bullet"/>
      <w:lvlText w:val="•"/>
      <w:lvlJc w:val="left"/>
      <w:pPr>
        <w:ind w:left="1303" w:hanging="423"/>
      </w:pPr>
      <w:rPr>
        <w:rFonts w:hint="default"/>
      </w:rPr>
    </w:lvl>
    <w:lvl w:ilvl="2">
      <w:start w:val="0"/>
      <w:numFmt w:val="bullet"/>
      <w:lvlText w:val="•"/>
      <w:lvlJc w:val="left"/>
      <w:pPr>
        <w:ind w:left="2067" w:hanging="423"/>
      </w:pPr>
      <w:rPr>
        <w:rFonts w:hint="default"/>
      </w:rPr>
    </w:lvl>
    <w:lvl w:ilvl="3">
      <w:start w:val="0"/>
      <w:numFmt w:val="bullet"/>
      <w:lvlText w:val="•"/>
      <w:lvlJc w:val="left"/>
      <w:pPr>
        <w:ind w:left="2831" w:hanging="423"/>
      </w:pPr>
      <w:rPr>
        <w:rFonts w:hint="default"/>
      </w:rPr>
    </w:lvl>
    <w:lvl w:ilvl="4">
      <w:start w:val="0"/>
      <w:numFmt w:val="bullet"/>
      <w:lvlText w:val="•"/>
      <w:lvlJc w:val="left"/>
      <w:pPr>
        <w:ind w:left="3595" w:hanging="423"/>
      </w:pPr>
      <w:rPr>
        <w:rFonts w:hint="default"/>
      </w:rPr>
    </w:lvl>
    <w:lvl w:ilvl="5">
      <w:start w:val="0"/>
      <w:numFmt w:val="bullet"/>
      <w:lvlText w:val="•"/>
      <w:lvlJc w:val="left"/>
      <w:pPr>
        <w:ind w:left="4359" w:hanging="423"/>
      </w:pPr>
      <w:rPr>
        <w:rFonts w:hint="default"/>
      </w:rPr>
    </w:lvl>
    <w:lvl w:ilvl="6">
      <w:start w:val="0"/>
      <w:numFmt w:val="bullet"/>
      <w:lvlText w:val="•"/>
      <w:lvlJc w:val="left"/>
      <w:pPr>
        <w:ind w:left="5122" w:hanging="423"/>
      </w:pPr>
      <w:rPr>
        <w:rFonts w:hint="default"/>
      </w:rPr>
    </w:lvl>
    <w:lvl w:ilvl="7">
      <w:start w:val="0"/>
      <w:numFmt w:val="bullet"/>
      <w:lvlText w:val="•"/>
      <w:lvlJc w:val="left"/>
      <w:pPr>
        <w:ind w:left="5886" w:hanging="423"/>
      </w:pPr>
      <w:rPr>
        <w:rFonts w:hint="default"/>
      </w:rPr>
    </w:lvl>
    <w:lvl w:ilvl="8">
      <w:start w:val="0"/>
      <w:numFmt w:val="bullet"/>
      <w:lvlText w:val="•"/>
      <w:lvlJc w:val="left"/>
      <w:pPr>
        <w:ind w:left="6650" w:hanging="423"/>
      </w:pPr>
      <w:rPr>
        <w:rFonts w:hint="default"/>
      </w:rPr>
    </w:lvl>
  </w:abstractNum>
  <w:abstractNum w:abstractNumId="30">
    <w:multiLevelType w:val="hybridMultilevel"/>
    <w:lvl w:ilvl="0">
      <w:start w:val="1"/>
      <w:numFmt w:val="decimal"/>
      <w:lvlText w:val="(%1)"/>
      <w:lvlJc w:val="left"/>
      <w:pPr>
        <w:ind w:left="546" w:hanging="423"/>
        <w:jc w:val="left"/>
      </w:pPr>
      <w:rPr>
        <w:rFonts w:hint="default" w:ascii="宋体" w:hAnsi="宋体" w:eastAsia="宋体" w:cs="宋体"/>
        <w:w w:val="100"/>
        <w:sz w:val="21"/>
        <w:szCs w:val="21"/>
      </w:rPr>
    </w:lvl>
    <w:lvl w:ilvl="1">
      <w:start w:val="0"/>
      <w:numFmt w:val="bullet"/>
      <w:lvlText w:val="•"/>
      <w:lvlJc w:val="left"/>
      <w:pPr>
        <w:ind w:left="1303" w:hanging="423"/>
      </w:pPr>
      <w:rPr>
        <w:rFonts w:hint="default"/>
      </w:rPr>
    </w:lvl>
    <w:lvl w:ilvl="2">
      <w:start w:val="0"/>
      <w:numFmt w:val="bullet"/>
      <w:lvlText w:val="•"/>
      <w:lvlJc w:val="left"/>
      <w:pPr>
        <w:ind w:left="2067" w:hanging="423"/>
      </w:pPr>
      <w:rPr>
        <w:rFonts w:hint="default"/>
      </w:rPr>
    </w:lvl>
    <w:lvl w:ilvl="3">
      <w:start w:val="0"/>
      <w:numFmt w:val="bullet"/>
      <w:lvlText w:val="•"/>
      <w:lvlJc w:val="left"/>
      <w:pPr>
        <w:ind w:left="2831" w:hanging="423"/>
      </w:pPr>
      <w:rPr>
        <w:rFonts w:hint="default"/>
      </w:rPr>
    </w:lvl>
    <w:lvl w:ilvl="4">
      <w:start w:val="0"/>
      <w:numFmt w:val="bullet"/>
      <w:lvlText w:val="•"/>
      <w:lvlJc w:val="left"/>
      <w:pPr>
        <w:ind w:left="3595" w:hanging="423"/>
      </w:pPr>
      <w:rPr>
        <w:rFonts w:hint="default"/>
      </w:rPr>
    </w:lvl>
    <w:lvl w:ilvl="5">
      <w:start w:val="0"/>
      <w:numFmt w:val="bullet"/>
      <w:lvlText w:val="•"/>
      <w:lvlJc w:val="left"/>
      <w:pPr>
        <w:ind w:left="4359" w:hanging="423"/>
      </w:pPr>
      <w:rPr>
        <w:rFonts w:hint="default"/>
      </w:rPr>
    </w:lvl>
    <w:lvl w:ilvl="6">
      <w:start w:val="0"/>
      <w:numFmt w:val="bullet"/>
      <w:lvlText w:val="•"/>
      <w:lvlJc w:val="left"/>
      <w:pPr>
        <w:ind w:left="5122" w:hanging="423"/>
      </w:pPr>
      <w:rPr>
        <w:rFonts w:hint="default"/>
      </w:rPr>
    </w:lvl>
    <w:lvl w:ilvl="7">
      <w:start w:val="0"/>
      <w:numFmt w:val="bullet"/>
      <w:lvlText w:val="•"/>
      <w:lvlJc w:val="left"/>
      <w:pPr>
        <w:ind w:left="5886" w:hanging="423"/>
      </w:pPr>
      <w:rPr>
        <w:rFonts w:hint="default"/>
      </w:rPr>
    </w:lvl>
    <w:lvl w:ilvl="8">
      <w:start w:val="0"/>
      <w:numFmt w:val="bullet"/>
      <w:lvlText w:val="•"/>
      <w:lvlJc w:val="left"/>
      <w:pPr>
        <w:ind w:left="6650" w:hanging="423"/>
      </w:pPr>
      <w:rPr>
        <w:rFonts w:hint="default"/>
      </w:rPr>
    </w:lvl>
  </w:abstractNum>
  <w:abstractNum w:abstractNumId="29">
    <w:multiLevelType w:val="hybridMultilevel"/>
    <w:lvl w:ilvl="0">
      <w:start w:val="1"/>
      <w:numFmt w:val="decimal"/>
      <w:lvlText w:val="(%1)"/>
      <w:lvlJc w:val="left"/>
      <w:pPr>
        <w:ind w:left="547" w:hanging="423"/>
        <w:jc w:val="left"/>
      </w:pPr>
      <w:rPr>
        <w:rFonts w:hint="default" w:ascii="宋体" w:hAnsi="宋体" w:eastAsia="宋体" w:cs="宋体"/>
        <w:w w:val="100"/>
        <w:sz w:val="20"/>
        <w:szCs w:val="20"/>
      </w:rPr>
    </w:lvl>
    <w:lvl w:ilvl="1">
      <w:start w:val="0"/>
      <w:numFmt w:val="bullet"/>
      <w:lvlText w:val="•"/>
      <w:lvlJc w:val="left"/>
      <w:pPr>
        <w:ind w:left="1283" w:hanging="423"/>
      </w:pPr>
      <w:rPr>
        <w:rFonts w:hint="default"/>
      </w:rPr>
    </w:lvl>
    <w:lvl w:ilvl="2">
      <w:start w:val="0"/>
      <w:numFmt w:val="bullet"/>
      <w:lvlText w:val="•"/>
      <w:lvlJc w:val="left"/>
      <w:pPr>
        <w:ind w:left="2027" w:hanging="423"/>
      </w:pPr>
      <w:rPr>
        <w:rFonts w:hint="default"/>
      </w:rPr>
    </w:lvl>
    <w:lvl w:ilvl="3">
      <w:start w:val="0"/>
      <w:numFmt w:val="bullet"/>
      <w:lvlText w:val="•"/>
      <w:lvlJc w:val="left"/>
      <w:pPr>
        <w:ind w:left="2770" w:hanging="423"/>
      </w:pPr>
      <w:rPr>
        <w:rFonts w:hint="default"/>
      </w:rPr>
    </w:lvl>
    <w:lvl w:ilvl="4">
      <w:start w:val="0"/>
      <w:numFmt w:val="bullet"/>
      <w:lvlText w:val="•"/>
      <w:lvlJc w:val="left"/>
      <w:pPr>
        <w:ind w:left="3514" w:hanging="423"/>
      </w:pPr>
      <w:rPr>
        <w:rFonts w:hint="default"/>
      </w:rPr>
    </w:lvl>
    <w:lvl w:ilvl="5">
      <w:start w:val="0"/>
      <w:numFmt w:val="bullet"/>
      <w:lvlText w:val="•"/>
      <w:lvlJc w:val="left"/>
      <w:pPr>
        <w:ind w:left="4258" w:hanging="423"/>
      </w:pPr>
      <w:rPr>
        <w:rFonts w:hint="default"/>
      </w:rPr>
    </w:lvl>
    <w:lvl w:ilvl="6">
      <w:start w:val="0"/>
      <w:numFmt w:val="bullet"/>
      <w:lvlText w:val="•"/>
      <w:lvlJc w:val="left"/>
      <w:pPr>
        <w:ind w:left="5001" w:hanging="423"/>
      </w:pPr>
      <w:rPr>
        <w:rFonts w:hint="default"/>
      </w:rPr>
    </w:lvl>
    <w:lvl w:ilvl="7">
      <w:start w:val="0"/>
      <w:numFmt w:val="bullet"/>
      <w:lvlText w:val="•"/>
      <w:lvlJc w:val="left"/>
      <w:pPr>
        <w:ind w:left="5745" w:hanging="423"/>
      </w:pPr>
      <w:rPr>
        <w:rFonts w:hint="default"/>
      </w:rPr>
    </w:lvl>
    <w:lvl w:ilvl="8">
      <w:start w:val="0"/>
      <w:numFmt w:val="bullet"/>
      <w:lvlText w:val="•"/>
      <w:lvlJc w:val="left"/>
      <w:pPr>
        <w:ind w:left="6488" w:hanging="423"/>
      </w:pPr>
      <w:rPr>
        <w:rFonts w:hint="default"/>
      </w:rPr>
    </w:lvl>
  </w:abstractNum>
  <w:abstractNum w:abstractNumId="28">
    <w:multiLevelType w:val="hybridMultilevel"/>
    <w:lvl w:ilvl="0">
      <w:start w:val="1"/>
      <w:numFmt w:val="decimal"/>
      <w:lvlText w:val="(%1)"/>
      <w:lvlJc w:val="left"/>
      <w:pPr>
        <w:ind w:left="547" w:hanging="423"/>
        <w:jc w:val="left"/>
      </w:pPr>
      <w:rPr>
        <w:rFonts w:hint="default" w:ascii="宋体" w:hAnsi="宋体" w:eastAsia="宋体" w:cs="宋体"/>
        <w:w w:val="100"/>
        <w:sz w:val="21"/>
        <w:szCs w:val="21"/>
      </w:rPr>
    </w:lvl>
    <w:lvl w:ilvl="1">
      <w:start w:val="0"/>
      <w:numFmt w:val="bullet"/>
      <w:lvlText w:val="•"/>
      <w:lvlJc w:val="left"/>
      <w:pPr>
        <w:ind w:left="1283" w:hanging="423"/>
      </w:pPr>
      <w:rPr>
        <w:rFonts w:hint="default"/>
      </w:rPr>
    </w:lvl>
    <w:lvl w:ilvl="2">
      <w:start w:val="0"/>
      <w:numFmt w:val="bullet"/>
      <w:lvlText w:val="•"/>
      <w:lvlJc w:val="left"/>
      <w:pPr>
        <w:ind w:left="2027" w:hanging="423"/>
      </w:pPr>
      <w:rPr>
        <w:rFonts w:hint="default"/>
      </w:rPr>
    </w:lvl>
    <w:lvl w:ilvl="3">
      <w:start w:val="0"/>
      <w:numFmt w:val="bullet"/>
      <w:lvlText w:val="•"/>
      <w:lvlJc w:val="left"/>
      <w:pPr>
        <w:ind w:left="2770" w:hanging="423"/>
      </w:pPr>
      <w:rPr>
        <w:rFonts w:hint="default"/>
      </w:rPr>
    </w:lvl>
    <w:lvl w:ilvl="4">
      <w:start w:val="0"/>
      <w:numFmt w:val="bullet"/>
      <w:lvlText w:val="•"/>
      <w:lvlJc w:val="left"/>
      <w:pPr>
        <w:ind w:left="3514" w:hanging="423"/>
      </w:pPr>
      <w:rPr>
        <w:rFonts w:hint="default"/>
      </w:rPr>
    </w:lvl>
    <w:lvl w:ilvl="5">
      <w:start w:val="0"/>
      <w:numFmt w:val="bullet"/>
      <w:lvlText w:val="•"/>
      <w:lvlJc w:val="left"/>
      <w:pPr>
        <w:ind w:left="4258" w:hanging="423"/>
      </w:pPr>
      <w:rPr>
        <w:rFonts w:hint="default"/>
      </w:rPr>
    </w:lvl>
    <w:lvl w:ilvl="6">
      <w:start w:val="0"/>
      <w:numFmt w:val="bullet"/>
      <w:lvlText w:val="•"/>
      <w:lvlJc w:val="left"/>
      <w:pPr>
        <w:ind w:left="5001" w:hanging="423"/>
      </w:pPr>
      <w:rPr>
        <w:rFonts w:hint="default"/>
      </w:rPr>
    </w:lvl>
    <w:lvl w:ilvl="7">
      <w:start w:val="0"/>
      <w:numFmt w:val="bullet"/>
      <w:lvlText w:val="•"/>
      <w:lvlJc w:val="left"/>
      <w:pPr>
        <w:ind w:left="5745" w:hanging="423"/>
      </w:pPr>
      <w:rPr>
        <w:rFonts w:hint="default"/>
      </w:rPr>
    </w:lvl>
    <w:lvl w:ilvl="8">
      <w:start w:val="0"/>
      <w:numFmt w:val="bullet"/>
      <w:lvlText w:val="•"/>
      <w:lvlJc w:val="left"/>
      <w:pPr>
        <w:ind w:left="6488" w:hanging="423"/>
      </w:pPr>
      <w:rPr>
        <w:rFonts w:hint="default"/>
      </w:rPr>
    </w:lvl>
  </w:abstractNum>
  <w:abstractNum w:abstractNumId="27">
    <w:multiLevelType w:val="hybridMultilevel"/>
    <w:lvl w:ilvl="0">
      <w:start w:val="1"/>
      <w:numFmt w:val="decimal"/>
      <w:lvlText w:val="(%1)"/>
      <w:lvlJc w:val="left"/>
      <w:pPr>
        <w:ind w:left="547" w:hanging="423"/>
        <w:jc w:val="left"/>
      </w:pPr>
      <w:rPr>
        <w:rFonts w:hint="default" w:ascii="宋体" w:hAnsi="宋体" w:eastAsia="宋体" w:cs="宋体"/>
        <w:w w:val="100"/>
        <w:sz w:val="21"/>
        <w:szCs w:val="21"/>
      </w:rPr>
    </w:lvl>
    <w:lvl w:ilvl="1">
      <w:start w:val="0"/>
      <w:numFmt w:val="bullet"/>
      <w:lvlText w:val="•"/>
      <w:lvlJc w:val="left"/>
      <w:pPr>
        <w:ind w:left="1283" w:hanging="423"/>
      </w:pPr>
      <w:rPr>
        <w:rFonts w:hint="default"/>
      </w:rPr>
    </w:lvl>
    <w:lvl w:ilvl="2">
      <w:start w:val="0"/>
      <w:numFmt w:val="bullet"/>
      <w:lvlText w:val="•"/>
      <w:lvlJc w:val="left"/>
      <w:pPr>
        <w:ind w:left="2027" w:hanging="423"/>
      </w:pPr>
      <w:rPr>
        <w:rFonts w:hint="default"/>
      </w:rPr>
    </w:lvl>
    <w:lvl w:ilvl="3">
      <w:start w:val="0"/>
      <w:numFmt w:val="bullet"/>
      <w:lvlText w:val="•"/>
      <w:lvlJc w:val="left"/>
      <w:pPr>
        <w:ind w:left="2770" w:hanging="423"/>
      </w:pPr>
      <w:rPr>
        <w:rFonts w:hint="default"/>
      </w:rPr>
    </w:lvl>
    <w:lvl w:ilvl="4">
      <w:start w:val="0"/>
      <w:numFmt w:val="bullet"/>
      <w:lvlText w:val="•"/>
      <w:lvlJc w:val="left"/>
      <w:pPr>
        <w:ind w:left="3514" w:hanging="423"/>
      </w:pPr>
      <w:rPr>
        <w:rFonts w:hint="default"/>
      </w:rPr>
    </w:lvl>
    <w:lvl w:ilvl="5">
      <w:start w:val="0"/>
      <w:numFmt w:val="bullet"/>
      <w:lvlText w:val="•"/>
      <w:lvlJc w:val="left"/>
      <w:pPr>
        <w:ind w:left="4258" w:hanging="423"/>
      </w:pPr>
      <w:rPr>
        <w:rFonts w:hint="default"/>
      </w:rPr>
    </w:lvl>
    <w:lvl w:ilvl="6">
      <w:start w:val="0"/>
      <w:numFmt w:val="bullet"/>
      <w:lvlText w:val="•"/>
      <w:lvlJc w:val="left"/>
      <w:pPr>
        <w:ind w:left="5001" w:hanging="423"/>
      </w:pPr>
      <w:rPr>
        <w:rFonts w:hint="default"/>
      </w:rPr>
    </w:lvl>
    <w:lvl w:ilvl="7">
      <w:start w:val="0"/>
      <w:numFmt w:val="bullet"/>
      <w:lvlText w:val="•"/>
      <w:lvlJc w:val="left"/>
      <w:pPr>
        <w:ind w:left="5745" w:hanging="423"/>
      </w:pPr>
      <w:rPr>
        <w:rFonts w:hint="default"/>
      </w:rPr>
    </w:lvl>
    <w:lvl w:ilvl="8">
      <w:start w:val="0"/>
      <w:numFmt w:val="bullet"/>
      <w:lvlText w:val="•"/>
      <w:lvlJc w:val="left"/>
      <w:pPr>
        <w:ind w:left="6488" w:hanging="423"/>
      </w:pPr>
      <w:rPr>
        <w:rFonts w:hint="default"/>
      </w:rPr>
    </w:lvl>
  </w:abstractNum>
  <w:abstractNum w:abstractNumId="26">
    <w:multiLevelType w:val="hybridMultilevel"/>
    <w:lvl w:ilvl="0">
      <w:start w:val="1"/>
      <w:numFmt w:val="decimal"/>
      <w:lvlText w:val="(%1)"/>
      <w:lvlJc w:val="left"/>
      <w:pPr>
        <w:ind w:left="547" w:hanging="423"/>
        <w:jc w:val="left"/>
      </w:pPr>
      <w:rPr>
        <w:rFonts w:hint="default" w:ascii="宋体" w:hAnsi="宋体" w:eastAsia="宋体" w:cs="宋体"/>
        <w:w w:val="100"/>
        <w:sz w:val="20"/>
        <w:szCs w:val="20"/>
      </w:rPr>
    </w:lvl>
    <w:lvl w:ilvl="1">
      <w:start w:val="0"/>
      <w:numFmt w:val="bullet"/>
      <w:lvlText w:val="•"/>
      <w:lvlJc w:val="left"/>
      <w:pPr>
        <w:ind w:left="1300" w:hanging="423"/>
      </w:pPr>
      <w:rPr>
        <w:rFonts w:hint="default"/>
      </w:rPr>
    </w:lvl>
    <w:lvl w:ilvl="2">
      <w:start w:val="0"/>
      <w:numFmt w:val="bullet"/>
      <w:lvlText w:val="•"/>
      <w:lvlJc w:val="left"/>
      <w:pPr>
        <w:ind w:left="2061" w:hanging="423"/>
      </w:pPr>
      <w:rPr>
        <w:rFonts w:hint="default"/>
      </w:rPr>
    </w:lvl>
    <w:lvl w:ilvl="3">
      <w:start w:val="0"/>
      <w:numFmt w:val="bullet"/>
      <w:lvlText w:val="•"/>
      <w:lvlJc w:val="left"/>
      <w:pPr>
        <w:ind w:left="2822" w:hanging="423"/>
      </w:pPr>
      <w:rPr>
        <w:rFonts w:hint="default"/>
      </w:rPr>
    </w:lvl>
    <w:lvl w:ilvl="4">
      <w:start w:val="0"/>
      <w:numFmt w:val="bullet"/>
      <w:lvlText w:val="•"/>
      <w:lvlJc w:val="left"/>
      <w:pPr>
        <w:ind w:left="3582" w:hanging="423"/>
      </w:pPr>
      <w:rPr>
        <w:rFonts w:hint="default"/>
      </w:rPr>
    </w:lvl>
    <w:lvl w:ilvl="5">
      <w:start w:val="0"/>
      <w:numFmt w:val="bullet"/>
      <w:lvlText w:val="•"/>
      <w:lvlJc w:val="left"/>
      <w:pPr>
        <w:ind w:left="4343" w:hanging="423"/>
      </w:pPr>
      <w:rPr>
        <w:rFonts w:hint="default"/>
      </w:rPr>
    </w:lvl>
    <w:lvl w:ilvl="6">
      <w:start w:val="0"/>
      <w:numFmt w:val="bullet"/>
      <w:lvlText w:val="•"/>
      <w:lvlJc w:val="left"/>
      <w:pPr>
        <w:ind w:left="5104" w:hanging="423"/>
      </w:pPr>
      <w:rPr>
        <w:rFonts w:hint="default"/>
      </w:rPr>
    </w:lvl>
    <w:lvl w:ilvl="7">
      <w:start w:val="0"/>
      <w:numFmt w:val="bullet"/>
      <w:lvlText w:val="•"/>
      <w:lvlJc w:val="left"/>
      <w:pPr>
        <w:ind w:left="5864" w:hanging="423"/>
      </w:pPr>
      <w:rPr>
        <w:rFonts w:hint="default"/>
      </w:rPr>
    </w:lvl>
    <w:lvl w:ilvl="8">
      <w:start w:val="0"/>
      <w:numFmt w:val="bullet"/>
      <w:lvlText w:val="•"/>
      <w:lvlJc w:val="left"/>
      <w:pPr>
        <w:ind w:left="6625" w:hanging="423"/>
      </w:pPr>
      <w:rPr>
        <w:rFonts w:hint="default"/>
      </w:rPr>
    </w:lvl>
  </w:abstractNum>
  <w:abstractNum w:abstractNumId="25">
    <w:multiLevelType w:val="hybridMultilevel"/>
    <w:lvl w:ilvl="0">
      <w:start w:val="1"/>
      <w:numFmt w:val="decimal"/>
      <w:lvlText w:val="(%1)"/>
      <w:lvlJc w:val="left"/>
      <w:pPr>
        <w:ind w:left="547" w:hanging="423"/>
        <w:jc w:val="left"/>
      </w:pPr>
      <w:rPr>
        <w:rFonts w:hint="default" w:ascii="宋体" w:hAnsi="宋体" w:eastAsia="宋体" w:cs="宋体"/>
        <w:w w:val="100"/>
        <w:sz w:val="21"/>
        <w:szCs w:val="21"/>
      </w:rPr>
    </w:lvl>
    <w:lvl w:ilvl="1">
      <w:start w:val="0"/>
      <w:numFmt w:val="bullet"/>
      <w:lvlText w:val="•"/>
      <w:lvlJc w:val="left"/>
      <w:pPr>
        <w:ind w:left="1300" w:hanging="423"/>
      </w:pPr>
      <w:rPr>
        <w:rFonts w:hint="default"/>
      </w:rPr>
    </w:lvl>
    <w:lvl w:ilvl="2">
      <w:start w:val="0"/>
      <w:numFmt w:val="bullet"/>
      <w:lvlText w:val="•"/>
      <w:lvlJc w:val="left"/>
      <w:pPr>
        <w:ind w:left="2061" w:hanging="423"/>
      </w:pPr>
      <w:rPr>
        <w:rFonts w:hint="default"/>
      </w:rPr>
    </w:lvl>
    <w:lvl w:ilvl="3">
      <w:start w:val="0"/>
      <w:numFmt w:val="bullet"/>
      <w:lvlText w:val="•"/>
      <w:lvlJc w:val="left"/>
      <w:pPr>
        <w:ind w:left="2822" w:hanging="423"/>
      </w:pPr>
      <w:rPr>
        <w:rFonts w:hint="default"/>
      </w:rPr>
    </w:lvl>
    <w:lvl w:ilvl="4">
      <w:start w:val="0"/>
      <w:numFmt w:val="bullet"/>
      <w:lvlText w:val="•"/>
      <w:lvlJc w:val="left"/>
      <w:pPr>
        <w:ind w:left="3582" w:hanging="423"/>
      </w:pPr>
      <w:rPr>
        <w:rFonts w:hint="default"/>
      </w:rPr>
    </w:lvl>
    <w:lvl w:ilvl="5">
      <w:start w:val="0"/>
      <w:numFmt w:val="bullet"/>
      <w:lvlText w:val="•"/>
      <w:lvlJc w:val="left"/>
      <w:pPr>
        <w:ind w:left="4343" w:hanging="423"/>
      </w:pPr>
      <w:rPr>
        <w:rFonts w:hint="default"/>
      </w:rPr>
    </w:lvl>
    <w:lvl w:ilvl="6">
      <w:start w:val="0"/>
      <w:numFmt w:val="bullet"/>
      <w:lvlText w:val="•"/>
      <w:lvlJc w:val="left"/>
      <w:pPr>
        <w:ind w:left="5104" w:hanging="423"/>
      </w:pPr>
      <w:rPr>
        <w:rFonts w:hint="default"/>
      </w:rPr>
    </w:lvl>
    <w:lvl w:ilvl="7">
      <w:start w:val="0"/>
      <w:numFmt w:val="bullet"/>
      <w:lvlText w:val="•"/>
      <w:lvlJc w:val="left"/>
      <w:pPr>
        <w:ind w:left="5864" w:hanging="423"/>
      </w:pPr>
      <w:rPr>
        <w:rFonts w:hint="default"/>
      </w:rPr>
    </w:lvl>
    <w:lvl w:ilvl="8">
      <w:start w:val="0"/>
      <w:numFmt w:val="bullet"/>
      <w:lvlText w:val="•"/>
      <w:lvlJc w:val="left"/>
      <w:pPr>
        <w:ind w:left="6625" w:hanging="423"/>
      </w:pPr>
      <w:rPr>
        <w:rFonts w:hint="default"/>
      </w:rPr>
    </w:lvl>
  </w:abstractNum>
  <w:abstractNum w:abstractNumId="24">
    <w:multiLevelType w:val="hybridMultilevel"/>
    <w:lvl w:ilvl="0">
      <w:start w:val="1"/>
      <w:numFmt w:val="decimal"/>
      <w:lvlText w:val="(%1)"/>
      <w:lvlJc w:val="left"/>
      <w:pPr>
        <w:ind w:left="547" w:hanging="423"/>
        <w:jc w:val="left"/>
      </w:pPr>
      <w:rPr>
        <w:rFonts w:hint="default" w:ascii="宋体" w:hAnsi="宋体" w:eastAsia="宋体" w:cs="宋体"/>
        <w:w w:val="100"/>
        <w:sz w:val="21"/>
        <w:szCs w:val="21"/>
      </w:rPr>
    </w:lvl>
    <w:lvl w:ilvl="1">
      <w:start w:val="0"/>
      <w:numFmt w:val="bullet"/>
      <w:lvlText w:val="•"/>
      <w:lvlJc w:val="left"/>
      <w:pPr>
        <w:ind w:left="1300" w:hanging="423"/>
      </w:pPr>
      <w:rPr>
        <w:rFonts w:hint="default"/>
      </w:rPr>
    </w:lvl>
    <w:lvl w:ilvl="2">
      <w:start w:val="0"/>
      <w:numFmt w:val="bullet"/>
      <w:lvlText w:val="•"/>
      <w:lvlJc w:val="left"/>
      <w:pPr>
        <w:ind w:left="2061" w:hanging="423"/>
      </w:pPr>
      <w:rPr>
        <w:rFonts w:hint="default"/>
      </w:rPr>
    </w:lvl>
    <w:lvl w:ilvl="3">
      <w:start w:val="0"/>
      <w:numFmt w:val="bullet"/>
      <w:lvlText w:val="•"/>
      <w:lvlJc w:val="left"/>
      <w:pPr>
        <w:ind w:left="2822" w:hanging="423"/>
      </w:pPr>
      <w:rPr>
        <w:rFonts w:hint="default"/>
      </w:rPr>
    </w:lvl>
    <w:lvl w:ilvl="4">
      <w:start w:val="0"/>
      <w:numFmt w:val="bullet"/>
      <w:lvlText w:val="•"/>
      <w:lvlJc w:val="left"/>
      <w:pPr>
        <w:ind w:left="3582" w:hanging="423"/>
      </w:pPr>
      <w:rPr>
        <w:rFonts w:hint="default"/>
      </w:rPr>
    </w:lvl>
    <w:lvl w:ilvl="5">
      <w:start w:val="0"/>
      <w:numFmt w:val="bullet"/>
      <w:lvlText w:val="•"/>
      <w:lvlJc w:val="left"/>
      <w:pPr>
        <w:ind w:left="4343" w:hanging="423"/>
      </w:pPr>
      <w:rPr>
        <w:rFonts w:hint="default"/>
      </w:rPr>
    </w:lvl>
    <w:lvl w:ilvl="6">
      <w:start w:val="0"/>
      <w:numFmt w:val="bullet"/>
      <w:lvlText w:val="•"/>
      <w:lvlJc w:val="left"/>
      <w:pPr>
        <w:ind w:left="5104" w:hanging="423"/>
      </w:pPr>
      <w:rPr>
        <w:rFonts w:hint="default"/>
      </w:rPr>
    </w:lvl>
    <w:lvl w:ilvl="7">
      <w:start w:val="0"/>
      <w:numFmt w:val="bullet"/>
      <w:lvlText w:val="•"/>
      <w:lvlJc w:val="left"/>
      <w:pPr>
        <w:ind w:left="5864" w:hanging="423"/>
      </w:pPr>
      <w:rPr>
        <w:rFonts w:hint="default"/>
      </w:rPr>
    </w:lvl>
    <w:lvl w:ilvl="8">
      <w:start w:val="0"/>
      <w:numFmt w:val="bullet"/>
      <w:lvlText w:val="•"/>
      <w:lvlJc w:val="left"/>
      <w:pPr>
        <w:ind w:left="6625" w:hanging="423"/>
      </w:pPr>
      <w:rPr>
        <w:rFonts w:hint="default"/>
      </w:rPr>
    </w:lvl>
  </w:abstractNum>
  <w:abstractNum w:abstractNumId="23">
    <w:multiLevelType w:val="hybridMultilevel"/>
    <w:lvl w:ilvl="0">
      <w:start w:val="1"/>
      <w:numFmt w:val="decimal"/>
      <w:lvlText w:val="(%1)"/>
      <w:lvlJc w:val="left"/>
      <w:pPr>
        <w:ind w:left="547" w:hanging="423"/>
        <w:jc w:val="left"/>
      </w:pPr>
      <w:rPr>
        <w:rFonts w:hint="default" w:ascii="宋体" w:hAnsi="宋体" w:eastAsia="宋体" w:cs="宋体"/>
        <w:w w:val="100"/>
        <w:sz w:val="21"/>
        <w:szCs w:val="21"/>
      </w:rPr>
    </w:lvl>
    <w:lvl w:ilvl="1">
      <w:start w:val="0"/>
      <w:numFmt w:val="bullet"/>
      <w:lvlText w:val="•"/>
      <w:lvlJc w:val="left"/>
      <w:pPr>
        <w:ind w:left="1303" w:hanging="423"/>
      </w:pPr>
      <w:rPr>
        <w:rFonts w:hint="default"/>
      </w:rPr>
    </w:lvl>
    <w:lvl w:ilvl="2">
      <w:start w:val="0"/>
      <w:numFmt w:val="bullet"/>
      <w:lvlText w:val="•"/>
      <w:lvlJc w:val="left"/>
      <w:pPr>
        <w:ind w:left="2066" w:hanging="423"/>
      </w:pPr>
      <w:rPr>
        <w:rFonts w:hint="default"/>
      </w:rPr>
    </w:lvl>
    <w:lvl w:ilvl="3">
      <w:start w:val="0"/>
      <w:numFmt w:val="bullet"/>
      <w:lvlText w:val="•"/>
      <w:lvlJc w:val="left"/>
      <w:pPr>
        <w:ind w:left="2829" w:hanging="423"/>
      </w:pPr>
      <w:rPr>
        <w:rFonts w:hint="default"/>
      </w:rPr>
    </w:lvl>
    <w:lvl w:ilvl="4">
      <w:start w:val="0"/>
      <w:numFmt w:val="bullet"/>
      <w:lvlText w:val="•"/>
      <w:lvlJc w:val="left"/>
      <w:pPr>
        <w:ind w:left="3592" w:hanging="423"/>
      </w:pPr>
      <w:rPr>
        <w:rFonts w:hint="default"/>
      </w:rPr>
    </w:lvl>
    <w:lvl w:ilvl="5">
      <w:start w:val="0"/>
      <w:numFmt w:val="bullet"/>
      <w:lvlText w:val="•"/>
      <w:lvlJc w:val="left"/>
      <w:pPr>
        <w:ind w:left="4356" w:hanging="423"/>
      </w:pPr>
      <w:rPr>
        <w:rFonts w:hint="default"/>
      </w:rPr>
    </w:lvl>
    <w:lvl w:ilvl="6">
      <w:start w:val="0"/>
      <w:numFmt w:val="bullet"/>
      <w:lvlText w:val="•"/>
      <w:lvlJc w:val="left"/>
      <w:pPr>
        <w:ind w:left="5119" w:hanging="423"/>
      </w:pPr>
      <w:rPr>
        <w:rFonts w:hint="default"/>
      </w:rPr>
    </w:lvl>
    <w:lvl w:ilvl="7">
      <w:start w:val="0"/>
      <w:numFmt w:val="bullet"/>
      <w:lvlText w:val="•"/>
      <w:lvlJc w:val="left"/>
      <w:pPr>
        <w:ind w:left="5882" w:hanging="423"/>
      </w:pPr>
      <w:rPr>
        <w:rFonts w:hint="default"/>
      </w:rPr>
    </w:lvl>
    <w:lvl w:ilvl="8">
      <w:start w:val="0"/>
      <w:numFmt w:val="bullet"/>
      <w:lvlText w:val="•"/>
      <w:lvlJc w:val="left"/>
      <w:pPr>
        <w:ind w:left="6645" w:hanging="423"/>
      </w:pPr>
      <w:rPr>
        <w:rFonts w:hint="default"/>
      </w:rPr>
    </w:lvl>
  </w:abstractNum>
  <w:abstractNum w:abstractNumId="22">
    <w:multiLevelType w:val="hybridMultilevel"/>
    <w:lvl w:ilvl="0">
      <w:start w:val="1"/>
      <w:numFmt w:val="decimal"/>
      <w:lvlText w:val="(%1)"/>
      <w:lvlJc w:val="left"/>
      <w:pPr>
        <w:ind w:left="547" w:hanging="423"/>
        <w:jc w:val="left"/>
      </w:pPr>
      <w:rPr>
        <w:rFonts w:hint="default" w:ascii="宋体" w:hAnsi="宋体" w:eastAsia="宋体" w:cs="宋体"/>
        <w:w w:val="100"/>
        <w:sz w:val="21"/>
        <w:szCs w:val="21"/>
      </w:rPr>
    </w:lvl>
    <w:lvl w:ilvl="1">
      <w:start w:val="0"/>
      <w:numFmt w:val="bullet"/>
      <w:lvlText w:val="•"/>
      <w:lvlJc w:val="left"/>
      <w:pPr>
        <w:ind w:left="1303" w:hanging="423"/>
      </w:pPr>
      <w:rPr>
        <w:rFonts w:hint="default"/>
      </w:rPr>
    </w:lvl>
    <w:lvl w:ilvl="2">
      <w:start w:val="0"/>
      <w:numFmt w:val="bullet"/>
      <w:lvlText w:val="•"/>
      <w:lvlJc w:val="left"/>
      <w:pPr>
        <w:ind w:left="2066" w:hanging="423"/>
      </w:pPr>
      <w:rPr>
        <w:rFonts w:hint="default"/>
      </w:rPr>
    </w:lvl>
    <w:lvl w:ilvl="3">
      <w:start w:val="0"/>
      <w:numFmt w:val="bullet"/>
      <w:lvlText w:val="•"/>
      <w:lvlJc w:val="left"/>
      <w:pPr>
        <w:ind w:left="2829" w:hanging="423"/>
      </w:pPr>
      <w:rPr>
        <w:rFonts w:hint="default"/>
      </w:rPr>
    </w:lvl>
    <w:lvl w:ilvl="4">
      <w:start w:val="0"/>
      <w:numFmt w:val="bullet"/>
      <w:lvlText w:val="•"/>
      <w:lvlJc w:val="left"/>
      <w:pPr>
        <w:ind w:left="3592" w:hanging="423"/>
      </w:pPr>
      <w:rPr>
        <w:rFonts w:hint="default"/>
      </w:rPr>
    </w:lvl>
    <w:lvl w:ilvl="5">
      <w:start w:val="0"/>
      <w:numFmt w:val="bullet"/>
      <w:lvlText w:val="•"/>
      <w:lvlJc w:val="left"/>
      <w:pPr>
        <w:ind w:left="4356" w:hanging="423"/>
      </w:pPr>
      <w:rPr>
        <w:rFonts w:hint="default"/>
      </w:rPr>
    </w:lvl>
    <w:lvl w:ilvl="6">
      <w:start w:val="0"/>
      <w:numFmt w:val="bullet"/>
      <w:lvlText w:val="•"/>
      <w:lvlJc w:val="left"/>
      <w:pPr>
        <w:ind w:left="5119" w:hanging="423"/>
      </w:pPr>
      <w:rPr>
        <w:rFonts w:hint="default"/>
      </w:rPr>
    </w:lvl>
    <w:lvl w:ilvl="7">
      <w:start w:val="0"/>
      <w:numFmt w:val="bullet"/>
      <w:lvlText w:val="•"/>
      <w:lvlJc w:val="left"/>
      <w:pPr>
        <w:ind w:left="5882" w:hanging="423"/>
      </w:pPr>
      <w:rPr>
        <w:rFonts w:hint="default"/>
      </w:rPr>
    </w:lvl>
    <w:lvl w:ilvl="8">
      <w:start w:val="0"/>
      <w:numFmt w:val="bullet"/>
      <w:lvlText w:val="•"/>
      <w:lvlJc w:val="left"/>
      <w:pPr>
        <w:ind w:left="6645" w:hanging="423"/>
      </w:pPr>
      <w:rPr>
        <w:rFonts w:hint="default"/>
      </w:rPr>
    </w:lvl>
  </w:abstractNum>
  <w:abstractNum w:abstractNumId="21">
    <w:multiLevelType w:val="hybridMultilevel"/>
    <w:lvl w:ilvl="0">
      <w:start w:val="1"/>
      <w:numFmt w:val="decimal"/>
      <w:lvlText w:val="(%1)"/>
      <w:lvlJc w:val="left"/>
      <w:pPr>
        <w:ind w:left="547" w:hanging="423"/>
        <w:jc w:val="left"/>
      </w:pPr>
      <w:rPr>
        <w:rFonts w:hint="default" w:ascii="宋体" w:hAnsi="宋体" w:eastAsia="宋体" w:cs="宋体"/>
        <w:w w:val="100"/>
        <w:sz w:val="21"/>
        <w:szCs w:val="21"/>
      </w:rPr>
    </w:lvl>
    <w:lvl w:ilvl="1">
      <w:start w:val="0"/>
      <w:numFmt w:val="bullet"/>
      <w:lvlText w:val="•"/>
      <w:lvlJc w:val="left"/>
      <w:pPr>
        <w:ind w:left="1303" w:hanging="423"/>
      </w:pPr>
      <w:rPr>
        <w:rFonts w:hint="default"/>
      </w:rPr>
    </w:lvl>
    <w:lvl w:ilvl="2">
      <w:start w:val="0"/>
      <w:numFmt w:val="bullet"/>
      <w:lvlText w:val="•"/>
      <w:lvlJc w:val="left"/>
      <w:pPr>
        <w:ind w:left="2066" w:hanging="423"/>
      </w:pPr>
      <w:rPr>
        <w:rFonts w:hint="default"/>
      </w:rPr>
    </w:lvl>
    <w:lvl w:ilvl="3">
      <w:start w:val="0"/>
      <w:numFmt w:val="bullet"/>
      <w:lvlText w:val="•"/>
      <w:lvlJc w:val="left"/>
      <w:pPr>
        <w:ind w:left="2829" w:hanging="423"/>
      </w:pPr>
      <w:rPr>
        <w:rFonts w:hint="default"/>
      </w:rPr>
    </w:lvl>
    <w:lvl w:ilvl="4">
      <w:start w:val="0"/>
      <w:numFmt w:val="bullet"/>
      <w:lvlText w:val="•"/>
      <w:lvlJc w:val="left"/>
      <w:pPr>
        <w:ind w:left="3592" w:hanging="423"/>
      </w:pPr>
      <w:rPr>
        <w:rFonts w:hint="default"/>
      </w:rPr>
    </w:lvl>
    <w:lvl w:ilvl="5">
      <w:start w:val="0"/>
      <w:numFmt w:val="bullet"/>
      <w:lvlText w:val="•"/>
      <w:lvlJc w:val="left"/>
      <w:pPr>
        <w:ind w:left="4356" w:hanging="423"/>
      </w:pPr>
      <w:rPr>
        <w:rFonts w:hint="default"/>
      </w:rPr>
    </w:lvl>
    <w:lvl w:ilvl="6">
      <w:start w:val="0"/>
      <w:numFmt w:val="bullet"/>
      <w:lvlText w:val="•"/>
      <w:lvlJc w:val="left"/>
      <w:pPr>
        <w:ind w:left="5119" w:hanging="423"/>
      </w:pPr>
      <w:rPr>
        <w:rFonts w:hint="default"/>
      </w:rPr>
    </w:lvl>
    <w:lvl w:ilvl="7">
      <w:start w:val="0"/>
      <w:numFmt w:val="bullet"/>
      <w:lvlText w:val="•"/>
      <w:lvlJc w:val="left"/>
      <w:pPr>
        <w:ind w:left="5882" w:hanging="423"/>
      </w:pPr>
      <w:rPr>
        <w:rFonts w:hint="default"/>
      </w:rPr>
    </w:lvl>
    <w:lvl w:ilvl="8">
      <w:start w:val="0"/>
      <w:numFmt w:val="bullet"/>
      <w:lvlText w:val="•"/>
      <w:lvlJc w:val="left"/>
      <w:pPr>
        <w:ind w:left="6645" w:hanging="423"/>
      </w:pPr>
      <w:rPr>
        <w:rFonts w:hint="default"/>
      </w:rPr>
    </w:lvl>
  </w:abstractNum>
  <w:abstractNum w:abstractNumId="20">
    <w:multiLevelType w:val="hybridMultilevel"/>
    <w:lvl w:ilvl="0">
      <w:start w:val="1"/>
      <w:numFmt w:val="decimal"/>
      <w:lvlText w:val="(%1)"/>
      <w:lvlJc w:val="left"/>
      <w:pPr>
        <w:ind w:left="547" w:hanging="423"/>
        <w:jc w:val="left"/>
      </w:pPr>
      <w:rPr>
        <w:rFonts w:hint="default" w:ascii="宋体" w:hAnsi="宋体" w:eastAsia="宋体" w:cs="宋体"/>
        <w:w w:val="100"/>
        <w:sz w:val="21"/>
        <w:szCs w:val="21"/>
      </w:rPr>
    </w:lvl>
    <w:lvl w:ilvl="1">
      <w:start w:val="0"/>
      <w:numFmt w:val="bullet"/>
      <w:lvlText w:val="•"/>
      <w:lvlJc w:val="left"/>
      <w:pPr>
        <w:ind w:left="1303" w:hanging="423"/>
      </w:pPr>
      <w:rPr>
        <w:rFonts w:hint="default"/>
      </w:rPr>
    </w:lvl>
    <w:lvl w:ilvl="2">
      <w:start w:val="0"/>
      <w:numFmt w:val="bullet"/>
      <w:lvlText w:val="•"/>
      <w:lvlJc w:val="left"/>
      <w:pPr>
        <w:ind w:left="2066" w:hanging="423"/>
      </w:pPr>
      <w:rPr>
        <w:rFonts w:hint="default"/>
      </w:rPr>
    </w:lvl>
    <w:lvl w:ilvl="3">
      <w:start w:val="0"/>
      <w:numFmt w:val="bullet"/>
      <w:lvlText w:val="•"/>
      <w:lvlJc w:val="left"/>
      <w:pPr>
        <w:ind w:left="2829" w:hanging="423"/>
      </w:pPr>
      <w:rPr>
        <w:rFonts w:hint="default"/>
      </w:rPr>
    </w:lvl>
    <w:lvl w:ilvl="4">
      <w:start w:val="0"/>
      <w:numFmt w:val="bullet"/>
      <w:lvlText w:val="•"/>
      <w:lvlJc w:val="left"/>
      <w:pPr>
        <w:ind w:left="3592" w:hanging="423"/>
      </w:pPr>
      <w:rPr>
        <w:rFonts w:hint="default"/>
      </w:rPr>
    </w:lvl>
    <w:lvl w:ilvl="5">
      <w:start w:val="0"/>
      <w:numFmt w:val="bullet"/>
      <w:lvlText w:val="•"/>
      <w:lvlJc w:val="left"/>
      <w:pPr>
        <w:ind w:left="4356" w:hanging="423"/>
      </w:pPr>
      <w:rPr>
        <w:rFonts w:hint="default"/>
      </w:rPr>
    </w:lvl>
    <w:lvl w:ilvl="6">
      <w:start w:val="0"/>
      <w:numFmt w:val="bullet"/>
      <w:lvlText w:val="•"/>
      <w:lvlJc w:val="left"/>
      <w:pPr>
        <w:ind w:left="5119" w:hanging="423"/>
      </w:pPr>
      <w:rPr>
        <w:rFonts w:hint="default"/>
      </w:rPr>
    </w:lvl>
    <w:lvl w:ilvl="7">
      <w:start w:val="0"/>
      <w:numFmt w:val="bullet"/>
      <w:lvlText w:val="•"/>
      <w:lvlJc w:val="left"/>
      <w:pPr>
        <w:ind w:left="5882" w:hanging="423"/>
      </w:pPr>
      <w:rPr>
        <w:rFonts w:hint="default"/>
      </w:rPr>
    </w:lvl>
    <w:lvl w:ilvl="8">
      <w:start w:val="0"/>
      <w:numFmt w:val="bullet"/>
      <w:lvlText w:val="•"/>
      <w:lvlJc w:val="left"/>
      <w:pPr>
        <w:ind w:left="6645" w:hanging="423"/>
      </w:pPr>
      <w:rPr>
        <w:rFonts w:hint="default"/>
      </w:rPr>
    </w:lvl>
  </w:abstractNum>
  <w:abstractNum w:abstractNumId="19">
    <w:multiLevelType w:val="hybridMultilevel"/>
    <w:lvl w:ilvl="0">
      <w:start w:val="1"/>
      <w:numFmt w:val="decimal"/>
      <w:lvlText w:val="(%1)"/>
      <w:lvlJc w:val="left"/>
      <w:pPr>
        <w:ind w:left="547" w:hanging="423"/>
        <w:jc w:val="left"/>
      </w:pPr>
      <w:rPr>
        <w:rFonts w:hint="default" w:ascii="宋体" w:hAnsi="宋体" w:eastAsia="宋体" w:cs="宋体"/>
        <w:w w:val="100"/>
        <w:sz w:val="21"/>
        <w:szCs w:val="21"/>
      </w:rPr>
    </w:lvl>
    <w:lvl w:ilvl="1">
      <w:start w:val="0"/>
      <w:numFmt w:val="bullet"/>
      <w:lvlText w:val="•"/>
      <w:lvlJc w:val="left"/>
      <w:pPr>
        <w:ind w:left="1304" w:hanging="423"/>
      </w:pPr>
      <w:rPr>
        <w:rFonts w:hint="default"/>
      </w:rPr>
    </w:lvl>
    <w:lvl w:ilvl="2">
      <w:start w:val="0"/>
      <w:numFmt w:val="bullet"/>
      <w:lvlText w:val="•"/>
      <w:lvlJc w:val="left"/>
      <w:pPr>
        <w:ind w:left="2068" w:hanging="423"/>
      </w:pPr>
      <w:rPr>
        <w:rFonts w:hint="default"/>
      </w:rPr>
    </w:lvl>
    <w:lvl w:ilvl="3">
      <w:start w:val="0"/>
      <w:numFmt w:val="bullet"/>
      <w:lvlText w:val="•"/>
      <w:lvlJc w:val="left"/>
      <w:pPr>
        <w:ind w:left="2832" w:hanging="423"/>
      </w:pPr>
      <w:rPr>
        <w:rFonts w:hint="default"/>
      </w:rPr>
    </w:lvl>
    <w:lvl w:ilvl="4">
      <w:start w:val="0"/>
      <w:numFmt w:val="bullet"/>
      <w:lvlText w:val="•"/>
      <w:lvlJc w:val="left"/>
      <w:pPr>
        <w:ind w:left="3596" w:hanging="423"/>
      </w:pPr>
      <w:rPr>
        <w:rFonts w:hint="default"/>
      </w:rPr>
    </w:lvl>
    <w:lvl w:ilvl="5">
      <w:start w:val="0"/>
      <w:numFmt w:val="bullet"/>
      <w:lvlText w:val="•"/>
      <w:lvlJc w:val="left"/>
      <w:pPr>
        <w:ind w:left="4360" w:hanging="423"/>
      </w:pPr>
      <w:rPr>
        <w:rFonts w:hint="default"/>
      </w:rPr>
    </w:lvl>
    <w:lvl w:ilvl="6">
      <w:start w:val="0"/>
      <w:numFmt w:val="bullet"/>
      <w:lvlText w:val="•"/>
      <w:lvlJc w:val="left"/>
      <w:pPr>
        <w:ind w:left="5124" w:hanging="423"/>
      </w:pPr>
      <w:rPr>
        <w:rFonts w:hint="default"/>
      </w:rPr>
    </w:lvl>
    <w:lvl w:ilvl="7">
      <w:start w:val="0"/>
      <w:numFmt w:val="bullet"/>
      <w:lvlText w:val="•"/>
      <w:lvlJc w:val="left"/>
      <w:pPr>
        <w:ind w:left="5888" w:hanging="423"/>
      </w:pPr>
      <w:rPr>
        <w:rFonts w:hint="default"/>
      </w:rPr>
    </w:lvl>
    <w:lvl w:ilvl="8">
      <w:start w:val="0"/>
      <w:numFmt w:val="bullet"/>
      <w:lvlText w:val="•"/>
      <w:lvlJc w:val="left"/>
      <w:pPr>
        <w:ind w:left="6652" w:hanging="423"/>
      </w:pPr>
      <w:rPr>
        <w:rFonts w:hint="default"/>
      </w:rPr>
    </w:lvl>
  </w:abstractNum>
  <w:abstractNum w:abstractNumId="18">
    <w:multiLevelType w:val="hybridMultilevel"/>
    <w:lvl w:ilvl="0">
      <w:start w:val="1"/>
      <w:numFmt w:val="decimal"/>
      <w:lvlText w:val="(%1)"/>
      <w:lvlJc w:val="left"/>
      <w:pPr>
        <w:ind w:left="547" w:hanging="423"/>
        <w:jc w:val="left"/>
      </w:pPr>
      <w:rPr>
        <w:rFonts w:hint="default" w:ascii="宋体" w:hAnsi="宋体" w:eastAsia="宋体" w:cs="宋体"/>
        <w:w w:val="100"/>
        <w:sz w:val="21"/>
        <w:szCs w:val="21"/>
      </w:rPr>
    </w:lvl>
    <w:lvl w:ilvl="1">
      <w:start w:val="0"/>
      <w:numFmt w:val="bullet"/>
      <w:lvlText w:val="•"/>
      <w:lvlJc w:val="left"/>
      <w:pPr>
        <w:ind w:left="1304" w:hanging="423"/>
      </w:pPr>
      <w:rPr>
        <w:rFonts w:hint="default"/>
      </w:rPr>
    </w:lvl>
    <w:lvl w:ilvl="2">
      <w:start w:val="0"/>
      <w:numFmt w:val="bullet"/>
      <w:lvlText w:val="•"/>
      <w:lvlJc w:val="left"/>
      <w:pPr>
        <w:ind w:left="2068" w:hanging="423"/>
      </w:pPr>
      <w:rPr>
        <w:rFonts w:hint="default"/>
      </w:rPr>
    </w:lvl>
    <w:lvl w:ilvl="3">
      <w:start w:val="0"/>
      <w:numFmt w:val="bullet"/>
      <w:lvlText w:val="•"/>
      <w:lvlJc w:val="left"/>
      <w:pPr>
        <w:ind w:left="2832" w:hanging="423"/>
      </w:pPr>
      <w:rPr>
        <w:rFonts w:hint="default"/>
      </w:rPr>
    </w:lvl>
    <w:lvl w:ilvl="4">
      <w:start w:val="0"/>
      <w:numFmt w:val="bullet"/>
      <w:lvlText w:val="•"/>
      <w:lvlJc w:val="left"/>
      <w:pPr>
        <w:ind w:left="3596" w:hanging="423"/>
      </w:pPr>
      <w:rPr>
        <w:rFonts w:hint="default"/>
      </w:rPr>
    </w:lvl>
    <w:lvl w:ilvl="5">
      <w:start w:val="0"/>
      <w:numFmt w:val="bullet"/>
      <w:lvlText w:val="•"/>
      <w:lvlJc w:val="left"/>
      <w:pPr>
        <w:ind w:left="4360" w:hanging="423"/>
      </w:pPr>
      <w:rPr>
        <w:rFonts w:hint="default"/>
      </w:rPr>
    </w:lvl>
    <w:lvl w:ilvl="6">
      <w:start w:val="0"/>
      <w:numFmt w:val="bullet"/>
      <w:lvlText w:val="•"/>
      <w:lvlJc w:val="left"/>
      <w:pPr>
        <w:ind w:left="5124" w:hanging="423"/>
      </w:pPr>
      <w:rPr>
        <w:rFonts w:hint="default"/>
      </w:rPr>
    </w:lvl>
    <w:lvl w:ilvl="7">
      <w:start w:val="0"/>
      <w:numFmt w:val="bullet"/>
      <w:lvlText w:val="•"/>
      <w:lvlJc w:val="left"/>
      <w:pPr>
        <w:ind w:left="5888" w:hanging="423"/>
      </w:pPr>
      <w:rPr>
        <w:rFonts w:hint="default"/>
      </w:rPr>
    </w:lvl>
    <w:lvl w:ilvl="8">
      <w:start w:val="0"/>
      <w:numFmt w:val="bullet"/>
      <w:lvlText w:val="•"/>
      <w:lvlJc w:val="left"/>
      <w:pPr>
        <w:ind w:left="6652" w:hanging="423"/>
      </w:pPr>
      <w:rPr>
        <w:rFonts w:hint="default"/>
      </w:rPr>
    </w:lvl>
  </w:abstractNum>
  <w:abstractNum w:abstractNumId="17">
    <w:multiLevelType w:val="hybridMultilevel"/>
    <w:lvl w:ilvl="0">
      <w:start w:val="2"/>
      <w:numFmt w:val="decimal"/>
      <w:lvlText w:val="(%1)"/>
      <w:lvlJc w:val="left"/>
      <w:pPr>
        <w:ind w:left="547" w:hanging="423"/>
        <w:jc w:val="left"/>
      </w:pPr>
      <w:rPr>
        <w:rFonts w:hint="default" w:ascii="宋体" w:hAnsi="宋体" w:eastAsia="宋体" w:cs="宋体"/>
        <w:w w:val="100"/>
        <w:sz w:val="20"/>
        <w:szCs w:val="20"/>
      </w:rPr>
    </w:lvl>
    <w:lvl w:ilvl="1">
      <w:start w:val="0"/>
      <w:numFmt w:val="bullet"/>
      <w:lvlText w:val="•"/>
      <w:lvlJc w:val="left"/>
      <w:pPr>
        <w:ind w:left="1304" w:hanging="423"/>
      </w:pPr>
      <w:rPr>
        <w:rFonts w:hint="default"/>
      </w:rPr>
    </w:lvl>
    <w:lvl w:ilvl="2">
      <w:start w:val="0"/>
      <w:numFmt w:val="bullet"/>
      <w:lvlText w:val="•"/>
      <w:lvlJc w:val="left"/>
      <w:pPr>
        <w:ind w:left="2068" w:hanging="423"/>
      </w:pPr>
      <w:rPr>
        <w:rFonts w:hint="default"/>
      </w:rPr>
    </w:lvl>
    <w:lvl w:ilvl="3">
      <w:start w:val="0"/>
      <w:numFmt w:val="bullet"/>
      <w:lvlText w:val="•"/>
      <w:lvlJc w:val="left"/>
      <w:pPr>
        <w:ind w:left="2832" w:hanging="423"/>
      </w:pPr>
      <w:rPr>
        <w:rFonts w:hint="default"/>
      </w:rPr>
    </w:lvl>
    <w:lvl w:ilvl="4">
      <w:start w:val="0"/>
      <w:numFmt w:val="bullet"/>
      <w:lvlText w:val="•"/>
      <w:lvlJc w:val="left"/>
      <w:pPr>
        <w:ind w:left="3596" w:hanging="423"/>
      </w:pPr>
      <w:rPr>
        <w:rFonts w:hint="default"/>
      </w:rPr>
    </w:lvl>
    <w:lvl w:ilvl="5">
      <w:start w:val="0"/>
      <w:numFmt w:val="bullet"/>
      <w:lvlText w:val="•"/>
      <w:lvlJc w:val="left"/>
      <w:pPr>
        <w:ind w:left="4360" w:hanging="423"/>
      </w:pPr>
      <w:rPr>
        <w:rFonts w:hint="default"/>
      </w:rPr>
    </w:lvl>
    <w:lvl w:ilvl="6">
      <w:start w:val="0"/>
      <w:numFmt w:val="bullet"/>
      <w:lvlText w:val="•"/>
      <w:lvlJc w:val="left"/>
      <w:pPr>
        <w:ind w:left="5124" w:hanging="423"/>
      </w:pPr>
      <w:rPr>
        <w:rFonts w:hint="default"/>
      </w:rPr>
    </w:lvl>
    <w:lvl w:ilvl="7">
      <w:start w:val="0"/>
      <w:numFmt w:val="bullet"/>
      <w:lvlText w:val="•"/>
      <w:lvlJc w:val="left"/>
      <w:pPr>
        <w:ind w:left="5888" w:hanging="423"/>
      </w:pPr>
      <w:rPr>
        <w:rFonts w:hint="default"/>
      </w:rPr>
    </w:lvl>
    <w:lvl w:ilvl="8">
      <w:start w:val="0"/>
      <w:numFmt w:val="bullet"/>
      <w:lvlText w:val="•"/>
      <w:lvlJc w:val="left"/>
      <w:pPr>
        <w:ind w:left="6652" w:hanging="423"/>
      </w:pPr>
      <w:rPr>
        <w:rFonts w:hint="default"/>
      </w:rPr>
    </w:lvl>
  </w:abstractNum>
  <w:abstractNum w:abstractNumId="16">
    <w:multiLevelType w:val="hybridMultilevel"/>
    <w:lvl w:ilvl="0">
      <w:start w:val="1"/>
      <w:numFmt w:val="decimal"/>
      <w:lvlText w:val="(%1)"/>
      <w:lvlJc w:val="left"/>
      <w:pPr>
        <w:ind w:left="547" w:hanging="423"/>
        <w:jc w:val="left"/>
      </w:pPr>
      <w:rPr>
        <w:rFonts w:hint="default" w:ascii="宋体" w:hAnsi="宋体" w:eastAsia="宋体" w:cs="宋体"/>
        <w:w w:val="100"/>
        <w:sz w:val="21"/>
        <w:szCs w:val="21"/>
      </w:rPr>
    </w:lvl>
    <w:lvl w:ilvl="1">
      <w:start w:val="0"/>
      <w:numFmt w:val="bullet"/>
      <w:lvlText w:val="•"/>
      <w:lvlJc w:val="left"/>
      <w:pPr>
        <w:ind w:left="1296" w:hanging="423"/>
      </w:pPr>
      <w:rPr>
        <w:rFonts w:hint="default"/>
      </w:rPr>
    </w:lvl>
    <w:lvl w:ilvl="2">
      <w:start w:val="0"/>
      <w:numFmt w:val="bullet"/>
      <w:lvlText w:val="•"/>
      <w:lvlJc w:val="left"/>
      <w:pPr>
        <w:ind w:left="2052" w:hanging="423"/>
      </w:pPr>
      <w:rPr>
        <w:rFonts w:hint="default"/>
      </w:rPr>
    </w:lvl>
    <w:lvl w:ilvl="3">
      <w:start w:val="0"/>
      <w:numFmt w:val="bullet"/>
      <w:lvlText w:val="•"/>
      <w:lvlJc w:val="left"/>
      <w:pPr>
        <w:ind w:left="2809" w:hanging="423"/>
      </w:pPr>
      <w:rPr>
        <w:rFonts w:hint="default"/>
      </w:rPr>
    </w:lvl>
    <w:lvl w:ilvl="4">
      <w:start w:val="0"/>
      <w:numFmt w:val="bullet"/>
      <w:lvlText w:val="•"/>
      <w:lvlJc w:val="left"/>
      <w:pPr>
        <w:ind w:left="3565" w:hanging="423"/>
      </w:pPr>
      <w:rPr>
        <w:rFonts w:hint="default"/>
      </w:rPr>
    </w:lvl>
    <w:lvl w:ilvl="5">
      <w:start w:val="0"/>
      <w:numFmt w:val="bullet"/>
      <w:lvlText w:val="•"/>
      <w:lvlJc w:val="left"/>
      <w:pPr>
        <w:ind w:left="4322" w:hanging="423"/>
      </w:pPr>
      <w:rPr>
        <w:rFonts w:hint="default"/>
      </w:rPr>
    </w:lvl>
    <w:lvl w:ilvl="6">
      <w:start w:val="0"/>
      <w:numFmt w:val="bullet"/>
      <w:lvlText w:val="•"/>
      <w:lvlJc w:val="left"/>
      <w:pPr>
        <w:ind w:left="5078" w:hanging="423"/>
      </w:pPr>
      <w:rPr>
        <w:rFonts w:hint="default"/>
      </w:rPr>
    </w:lvl>
    <w:lvl w:ilvl="7">
      <w:start w:val="0"/>
      <w:numFmt w:val="bullet"/>
      <w:lvlText w:val="•"/>
      <w:lvlJc w:val="left"/>
      <w:pPr>
        <w:ind w:left="5834" w:hanging="423"/>
      </w:pPr>
      <w:rPr>
        <w:rFonts w:hint="default"/>
      </w:rPr>
    </w:lvl>
    <w:lvl w:ilvl="8">
      <w:start w:val="0"/>
      <w:numFmt w:val="bullet"/>
      <w:lvlText w:val="•"/>
      <w:lvlJc w:val="left"/>
      <w:pPr>
        <w:ind w:left="6591" w:hanging="423"/>
      </w:pPr>
      <w:rPr>
        <w:rFonts w:hint="default"/>
      </w:rPr>
    </w:lvl>
  </w:abstractNum>
  <w:abstractNum w:abstractNumId="15">
    <w:multiLevelType w:val="hybridMultilevel"/>
    <w:lvl w:ilvl="0">
      <w:start w:val="1"/>
      <w:numFmt w:val="decimal"/>
      <w:lvlText w:val="(%1)"/>
      <w:lvlJc w:val="left"/>
      <w:pPr>
        <w:ind w:left="547" w:hanging="423"/>
        <w:jc w:val="left"/>
      </w:pPr>
      <w:rPr>
        <w:rFonts w:hint="default" w:ascii="宋体" w:hAnsi="宋体" w:eastAsia="宋体" w:cs="宋体"/>
        <w:w w:val="100"/>
        <w:sz w:val="21"/>
        <w:szCs w:val="21"/>
      </w:rPr>
    </w:lvl>
    <w:lvl w:ilvl="1">
      <w:start w:val="0"/>
      <w:numFmt w:val="bullet"/>
      <w:lvlText w:val="•"/>
      <w:lvlJc w:val="left"/>
      <w:pPr>
        <w:ind w:left="1296" w:hanging="423"/>
      </w:pPr>
      <w:rPr>
        <w:rFonts w:hint="default"/>
      </w:rPr>
    </w:lvl>
    <w:lvl w:ilvl="2">
      <w:start w:val="0"/>
      <w:numFmt w:val="bullet"/>
      <w:lvlText w:val="•"/>
      <w:lvlJc w:val="left"/>
      <w:pPr>
        <w:ind w:left="2052" w:hanging="423"/>
      </w:pPr>
      <w:rPr>
        <w:rFonts w:hint="default"/>
      </w:rPr>
    </w:lvl>
    <w:lvl w:ilvl="3">
      <w:start w:val="0"/>
      <w:numFmt w:val="bullet"/>
      <w:lvlText w:val="•"/>
      <w:lvlJc w:val="left"/>
      <w:pPr>
        <w:ind w:left="2809" w:hanging="423"/>
      </w:pPr>
      <w:rPr>
        <w:rFonts w:hint="default"/>
      </w:rPr>
    </w:lvl>
    <w:lvl w:ilvl="4">
      <w:start w:val="0"/>
      <w:numFmt w:val="bullet"/>
      <w:lvlText w:val="•"/>
      <w:lvlJc w:val="left"/>
      <w:pPr>
        <w:ind w:left="3565" w:hanging="423"/>
      </w:pPr>
      <w:rPr>
        <w:rFonts w:hint="default"/>
      </w:rPr>
    </w:lvl>
    <w:lvl w:ilvl="5">
      <w:start w:val="0"/>
      <w:numFmt w:val="bullet"/>
      <w:lvlText w:val="•"/>
      <w:lvlJc w:val="left"/>
      <w:pPr>
        <w:ind w:left="4322" w:hanging="423"/>
      </w:pPr>
      <w:rPr>
        <w:rFonts w:hint="default"/>
      </w:rPr>
    </w:lvl>
    <w:lvl w:ilvl="6">
      <w:start w:val="0"/>
      <w:numFmt w:val="bullet"/>
      <w:lvlText w:val="•"/>
      <w:lvlJc w:val="left"/>
      <w:pPr>
        <w:ind w:left="5078" w:hanging="423"/>
      </w:pPr>
      <w:rPr>
        <w:rFonts w:hint="default"/>
      </w:rPr>
    </w:lvl>
    <w:lvl w:ilvl="7">
      <w:start w:val="0"/>
      <w:numFmt w:val="bullet"/>
      <w:lvlText w:val="•"/>
      <w:lvlJc w:val="left"/>
      <w:pPr>
        <w:ind w:left="5834" w:hanging="423"/>
      </w:pPr>
      <w:rPr>
        <w:rFonts w:hint="default"/>
      </w:rPr>
    </w:lvl>
    <w:lvl w:ilvl="8">
      <w:start w:val="0"/>
      <w:numFmt w:val="bullet"/>
      <w:lvlText w:val="•"/>
      <w:lvlJc w:val="left"/>
      <w:pPr>
        <w:ind w:left="6591" w:hanging="423"/>
      </w:pPr>
      <w:rPr>
        <w:rFonts w:hint="default"/>
      </w:rPr>
    </w:lvl>
  </w:abstractNum>
  <w:abstractNum w:abstractNumId="14">
    <w:multiLevelType w:val="hybridMultilevel"/>
    <w:lvl w:ilvl="0">
      <w:start w:val="1"/>
      <w:numFmt w:val="decimal"/>
      <w:lvlText w:val="(%1)"/>
      <w:lvlJc w:val="left"/>
      <w:pPr>
        <w:ind w:left="547" w:hanging="423"/>
        <w:jc w:val="left"/>
      </w:pPr>
      <w:rPr>
        <w:rFonts w:hint="default" w:ascii="宋体" w:hAnsi="宋体" w:eastAsia="宋体" w:cs="宋体"/>
        <w:w w:val="100"/>
        <w:sz w:val="21"/>
        <w:szCs w:val="21"/>
      </w:rPr>
    </w:lvl>
    <w:lvl w:ilvl="1">
      <w:start w:val="0"/>
      <w:numFmt w:val="bullet"/>
      <w:lvlText w:val="•"/>
      <w:lvlJc w:val="left"/>
      <w:pPr>
        <w:ind w:left="1296" w:hanging="423"/>
      </w:pPr>
      <w:rPr>
        <w:rFonts w:hint="default"/>
      </w:rPr>
    </w:lvl>
    <w:lvl w:ilvl="2">
      <w:start w:val="0"/>
      <w:numFmt w:val="bullet"/>
      <w:lvlText w:val="•"/>
      <w:lvlJc w:val="left"/>
      <w:pPr>
        <w:ind w:left="2052" w:hanging="423"/>
      </w:pPr>
      <w:rPr>
        <w:rFonts w:hint="default"/>
      </w:rPr>
    </w:lvl>
    <w:lvl w:ilvl="3">
      <w:start w:val="0"/>
      <w:numFmt w:val="bullet"/>
      <w:lvlText w:val="•"/>
      <w:lvlJc w:val="left"/>
      <w:pPr>
        <w:ind w:left="2809" w:hanging="423"/>
      </w:pPr>
      <w:rPr>
        <w:rFonts w:hint="default"/>
      </w:rPr>
    </w:lvl>
    <w:lvl w:ilvl="4">
      <w:start w:val="0"/>
      <w:numFmt w:val="bullet"/>
      <w:lvlText w:val="•"/>
      <w:lvlJc w:val="left"/>
      <w:pPr>
        <w:ind w:left="3565" w:hanging="423"/>
      </w:pPr>
      <w:rPr>
        <w:rFonts w:hint="default"/>
      </w:rPr>
    </w:lvl>
    <w:lvl w:ilvl="5">
      <w:start w:val="0"/>
      <w:numFmt w:val="bullet"/>
      <w:lvlText w:val="•"/>
      <w:lvlJc w:val="left"/>
      <w:pPr>
        <w:ind w:left="4322" w:hanging="423"/>
      </w:pPr>
      <w:rPr>
        <w:rFonts w:hint="default"/>
      </w:rPr>
    </w:lvl>
    <w:lvl w:ilvl="6">
      <w:start w:val="0"/>
      <w:numFmt w:val="bullet"/>
      <w:lvlText w:val="•"/>
      <w:lvlJc w:val="left"/>
      <w:pPr>
        <w:ind w:left="5078" w:hanging="423"/>
      </w:pPr>
      <w:rPr>
        <w:rFonts w:hint="default"/>
      </w:rPr>
    </w:lvl>
    <w:lvl w:ilvl="7">
      <w:start w:val="0"/>
      <w:numFmt w:val="bullet"/>
      <w:lvlText w:val="•"/>
      <w:lvlJc w:val="left"/>
      <w:pPr>
        <w:ind w:left="5834" w:hanging="423"/>
      </w:pPr>
      <w:rPr>
        <w:rFonts w:hint="default"/>
      </w:rPr>
    </w:lvl>
    <w:lvl w:ilvl="8">
      <w:start w:val="0"/>
      <w:numFmt w:val="bullet"/>
      <w:lvlText w:val="•"/>
      <w:lvlJc w:val="left"/>
      <w:pPr>
        <w:ind w:left="6591" w:hanging="423"/>
      </w:pPr>
      <w:rPr>
        <w:rFonts w:hint="default"/>
      </w:rPr>
    </w:lvl>
  </w:abstractNum>
  <w:abstractNum w:abstractNumId="13">
    <w:multiLevelType w:val="hybridMultilevel"/>
    <w:lvl w:ilvl="0">
      <w:start w:val="1"/>
      <w:numFmt w:val="decimal"/>
      <w:lvlText w:val="(%1)"/>
      <w:lvlJc w:val="left"/>
      <w:pPr>
        <w:ind w:left="547" w:hanging="423"/>
        <w:jc w:val="left"/>
      </w:pPr>
      <w:rPr>
        <w:rFonts w:hint="default" w:ascii="宋体" w:hAnsi="宋体" w:eastAsia="宋体" w:cs="宋体"/>
        <w:w w:val="100"/>
        <w:sz w:val="21"/>
        <w:szCs w:val="21"/>
      </w:rPr>
    </w:lvl>
    <w:lvl w:ilvl="1">
      <w:start w:val="0"/>
      <w:numFmt w:val="bullet"/>
      <w:lvlText w:val="•"/>
      <w:lvlJc w:val="left"/>
      <w:pPr>
        <w:ind w:left="1296" w:hanging="423"/>
      </w:pPr>
      <w:rPr>
        <w:rFonts w:hint="default"/>
      </w:rPr>
    </w:lvl>
    <w:lvl w:ilvl="2">
      <w:start w:val="0"/>
      <w:numFmt w:val="bullet"/>
      <w:lvlText w:val="•"/>
      <w:lvlJc w:val="left"/>
      <w:pPr>
        <w:ind w:left="2052" w:hanging="423"/>
      </w:pPr>
      <w:rPr>
        <w:rFonts w:hint="default"/>
      </w:rPr>
    </w:lvl>
    <w:lvl w:ilvl="3">
      <w:start w:val="0"/>
      <w:numFmt w:val="bullet"/>
      <w:lvlText w:val="•"/>
      <w:lvlJc w:val="left"/>
      <w:pPr>
        <w:ind w:left="2809" w:hanging="423"/>
      </w:pPr>
      <w:rPr>
        <w:rFonts w:hint="default"/>
      </w:rPr>
    </w:lvl>
    <w:lvl w:ilvl="4">
      <w:start w:val="0"/>
      <w:numFmt w:val="bullet"/>
      <w:lvlText w:val="•"/>
      <w:lvlJc w:val="left"/>
      <w:pPr>
        <w:ind w:left="3565" w:hanging="423"/>
      </w:pPr>
      <w:rPr>
        <w:rFonts w:hint="default"/>
      </w:rPr>
    </w:lvl>
    <w:lvl w:ilvl="5">
      <w:start w:val="0"/>
      <w:numFmt w:val="bullet"/>
      <w:lvlText w:val="•"/>
      <w:lvlJc w:val="left"/>
      <w:pPr>
        <w:ind w:left="4322" w:hanging="423"/>
      </w:pPr>
      <w:rPr>
        <w:rFonts w:hint="default"/>
      </w:rPr>
    </w:lvl>
    <w:lvl w:ilvl="6">
      <w:start w:val="0"/>
      <w:numFmt w:val="bullet"/>
      <w:lvlText w:val="•"/>
      <w:lvlJc w:val="left"/>
      <w:pPr>
        <w:ind w:left="5078" w:hanging="423"/>
      </w:pPr>
      <w:rPr>
        <w:rFonts w:hint="default"/>
      </w:rPr>
    </w:lvl>
    <w:lvl w:ilvl="7">
      <w:start w:val="0"/>
      <w:numFmt w:val="bullet"/>
      <w:lvlText w:val="•"/>
      <w:lvlJc w:val="left"/>
      <w:pPr>
        <w:ind w:left="5834" w:hanging="423"/>
      </w:pPr>
      <w:rPr>
        <w:rFonts w:hint="default"/>
      </w:rPr>
    </w:lvl>
    <w:lvl w:ilvl="8">
      <w:start w:val="0"/>
      <w:numFmt w:val="bullet"/>
      <w:lvlText w:val="•"/>
      <w:lvlJc w:val="left"/>
      <w:pPr>
        <w:ind w:left="6591" w:hanging="423"/>
      </w:pPr>
      <w:rPr>
        <w:rFonts w:hint="default"/>
      </w:rPr>
    </w:lvl>
  </w:abstractNum>
  <w:abstractNum w:abstractNumId="12">
    <w:multiLevelType w:val="hybridMultilevel"/>
    <w:lvl w:ilvl="0">
      <w:start w:val="1"/>
      <w:numFmt w:val="decimal"/>
      <w:lvlText w:val="(%1)"/>
      <w:lvlJc w:val="left"/>
      <w:pPr>
        <w:ind w:left="547" w:hanging="423"/>
        <w:jc w:val="left"/>
      </w:pPr>
      <w:rPr>
        <w:rFonts w:hint="default" w:ascii="宋体" w:hAnsi="宋体" w:eastAsia="宋体" w:cs="宋体"/>
        <w:w w:val="100"/>
        <w:sz w:val="20"/>
        <w:szCs w:val="20"/>
      </w:rPr>
    </w:lvl>
    <w:lvl w:ilvl="1">
      <w:start w:val="0"/>
      <w:numFmt w:val="bullet"/>
      <w:lvlText w:val="•"/>
      <w:lvlJc w:val="left"/>
      <w:pPr>
        <w:ind w:left="1296" w:hanging="423"/>
      </w:pPr>
      <w:rPr>
        <w:rFonts w:hint="default"/>
      </w:rPr>
    </w:lvl>
    <w:lvl w:ilvl="2">
      <w:start w:val="0"/>
      <w:numFmt w:val="bullet"/>
      <w:lvlText w:val="•"/>
      <w:lvlJc w:val="left"/>
      <w:pPr>
        <w:ind w:left="2052" w:hanging="423"/>
      </w:pPr>
      <w:rPr>
        <w:rFonts w:hint="default"/>
      </w:rPr>
    </w:lvl>
    <w:lvl w:ilvl="3">
      <w:start w:val="0"/>
      <w:numFmt w:val="bullet"/>
      <w:lvlText w:val="•"/>
      <w:lvlJc w:val="left"/>
      <w:pPr>
        <w:ind w:left="2808" w:hanging="423"/>
      </w:pPr>
      <w:rPr>
        <w:rFonts w:hint="default"/>
      </w:rPr>
    </w:lvl>
    <w:lvl w:ilvl="4">
      <w:start w:val="0"/>
      <w:numFmt w:val="bullet"/>
      <w:lvlText w:val="•"/>
      <w:lvlJc w:val="left"/>
      <w:pPr>
        <w:ind w:left="3564" w:hanging="423"/>
      </w:pPr>
      <w:rPr>
        <w:rFonts w:hint="default"/>
      </w:rPr>
    </w:lvl>
    <w:lvl w:ilvl="5">
      <w:start w:val="0"/>
      <w:numFmt w:val="bullet"/>
      <w:lvlText w:val="•"/>
      <w:lvlJc w:val="left"/>
      <w:pPr>
        <w:ind w:left="4320" w:hanging="423"/>
      </w:pPr>
      <w:rPr>
        <w:rFonts w:hint="default"/>
      </w:rPr>
    </w:lvl>
    <w:lvl w:ilvl="6">
      <w:start w:val="0"/>
      <w:numFmt w:val="bullet"/>
      <w:lvlText w:val="•"/>
      <w:lvlJc w:val="left"/>
      <w:pPr>
        <w:ind w:left="5076" w:hanging="423"/>
      </w:pPr>
      <w:rPr>
        <w:rFonts w:hint="default"/>
      </w:rPr>
    </w:lvl>
    <w:lvl w:ilvl="7">
      <w:start w:val="0"/>
      <w:numFmt w:val="bullet"/>
      <w:lvlText w:val="•"/>
      <w:lvlJc w:val="left"/>
      <w:pPr>
        <w:ind w:left="5832" w:hanging="423"/>
      </w:pPr>
      <w:rPr>
        <w:rFonts w:hint="default"/>
      </w:rPr>
    </w:lvl>
    <w:lvl w:ilvl="8">
      <w:start w:val="0"/>
      <w:numFmt w:val="bullet"/>
      <w:lvlText w:val="•"/>
      <w:lvlJc w:val="left"/>
      <w:pPr>
        <w:ind w:left="6588" w:hanging="423"/>
      </w:pPr>
      <w:rPr>
        <w:rFonts w:hint="default"/>
      </w:rPr>
    </w:lvl>
  </w:abstractNum>
  <w:abstractNum w:abstractNumId="11">
    <w:multiLevelType w:val="hybridMultilevel"/>
    <w:lvl w:ilvl="0">
      <w:start w:val="1"/>
      <w:numFmt w:val="decimal"/>
      <w:lvlText w:val="(%1)"/>
      <w:lvlJc w:val="left"/>
      <w:pPr>
        <w:ind w:left="547" w:hanging="423"/>
        <w:jc w:val="left"/>
      </w:pPr>
      <w:rPr>
        <w:rFonts w:hint="default" w:ascii="宋体" w:hAnsi="宋体" w:eastAsia="宋体" w:cs="宋体"/>
        <w:w w:val="100"/>
        <w:sz w:val="21"/>
        <w:szCs w:val="21"/>
      </w:rPr>
    </w:lvl>
    <w:lvl w:ilvl="1">
      <w:start w:val="0"/>
      <w:numFmt w:val="bullet"/>
      <w:lvlText w:val="•"/>
      <w:lvlJc w:val="left"/>
      <w:pPr>
        <w:ind w:left="1296" w:hanging="423"/>
      </w:pPr>
      <w:rPr>
        <w:rFonts w:hint="default"/>
      </w:rPr>
    </w:lvl>
    <w:lvl w:ilvl="2">
      <w:start w:val="0"/>
      <w:numFmt w:val="bullet"/>
      <w:lvlText w:val="•"/>
      <w:lvlJc w:val="left"/>
      <w:pPr>
        <w:ind w:left="2052" w:hanging="423"/>
      </w:pPr>
      <w:rPr>
        <w:rFonts w:hint="default"/>
      </w:rPr>
    </w:lvl>
    <w:lvl w:ilvl="3">
      <w:start w:val="0"/>
      <w:numFmt w:val="bullet"/>
      <w:lvlText w:val="•"/>
      <w:lvlJc w:val="left"/>
      <w:pPr>
        <w:ind w:left="2808" w:hanging="423"/>
      </w:pPr>
      <w:rPr>
        <w:rFonts w:hint="default"/>
      </w:rPr>
    </w:lvl>
    <w:lvl w:ilvl="4">
      <w:start w:val="0"/>
      <w:numFmt w:val="bullet"/>
      <w:lvlText w:val="•"/>
      <w:lvlJc w:val="left"/>
      <w:pPr>
        <w:ind w:left="3564" w:hanging="423"/>
      </w:pPr>
      <w:rPr>
        <w:rFonts w:hint="default"/>
      </w:rPr>
    </w:lvl>
    <w:lvl w:ilvl="5">
      <w:start w:val="0"/>
      <w:numFmt w:val="bullet"/>
      <w:lvlText w:val="•"/>
      <w:lvlJc w:val="left"/>
      <w:pPr>
        <w:ind w:left="4320" w:hanging="423"/>
      </w:pPr>
      <w:rPr>
        <w:rFonts w:hint="default"/>
      </w:rPr>
    </w:lvl>
    <w:lvl w:ilvl="6">
      <w:start w:val="0"/>
      <w:numFmt w:val="bullet"/>
      <w:lvlText w:val="•"/>
      <w:lvlJc w:val="left"/>
      <w:pPr>
        <w:ind w:left="5076" w:hanging="423"/>
      </w:pPr>
      <w:rPr>
        <w:rFonts w:hint="default"/>
      </w:rPr>
    </w:lvl>
    <w:lvl w:ilvl="7">
      <w:start w:val="0"/>
      <w:numFmt w:val="bullet"/>
      <w:lvlText w:val="•"/>
      <w:lvlJc w:val="left"/>
      <w:pPr>
        <w:ind w:left="5832" w:hanging="423"/>
      </w:pPr>
      <w:rPr>
        <w:rFonts w:hint="default"/>
      </w:rPr>
    </w:lvl>
    <w:lvl w:ilvl="8">
      <w:start w:val="0"/>
      <w:numFmt w:val="bullet"/>
      <w:lvlText w:val="•"/>
      <w:lvlJc w:val="left"/>
      <w:pPr>
        <w:ind w:left="6588" w:hanging="423"/>
      </w:pPr>
      <w:rPr>
        <w:rFonts w:hint="default"/>
      </w:rPr>
    </w:lvl>
  </w:abstractNum>
  <w:abstractNum w:abstractNumId="10">
    <w:multiLevelType w:val="hybridMultilevel"/>
    <w:lvl w:ilvl="0">
      <w:start w:val="1"/>
      <w:numFmt w:val="decimal"/>
      <w:lvlText w:val="(%1)"/>
      <w:lvlJc w:val="left"/>
      <w:pPr>
        <w:ind w:left="547" w:hanging="423"/>
        <w:jc w:val="left"/>
      </w:pPr>
      <w:rPr>
        <w:rFonts w:hint="default" w:ascii="宋体" w:hAnsi="宋体" w:eastAsia="宋体" w:cs="宋体"/>
        <w:w w:val="100"/>
        <w:sz w:val="21"/>
        <w:szCs w:val="21"/>
      </w:rPr>
    </w:lvl>
    <w:lvl w:ilvl="1">
      <w:start w:val="0"/>
      <w:numFmt w:val="bullet"/>
      <w:lvlText w:val="•"/>
      <w:lvlJc w:val="left"/>
      <w:pPr>
        <w:ind w:left="1296" w:hanging="423"/>
      </w:pPr>
      <w:rPr>
        <w:rFonts w:hint="default"/>
      </w:rPr>
    </w:lvl>
    <w:lvl w:ilvl="2">
      <w:start w:val="0"/>
      <w:numFmt w:val="bullet"/>
      <w:lvlText w:val="•"/>
      <w:lvlJc w:val="left"/>
      <w:pPr>
        <w:ind w:left="2052" w:hanging="423"/>
      </w:pPr>
      <w:rPr>
        <w:rFonts w:hint="default"/>
      </w:rPr>
    </w:lvl>
    <w:lvl w:ilvl="3">
      <w:start w:val="0"/>
      <w:numFmt w:val="bullet"/>
      <w:lvlText w:val="•"/>
      <w:lvlJc w:val="left"/>
      <w:pPr>
        <w:ind w:left="2808" w:hanging="423"/>
      </w:pPr>
      <w:rPr>
        <w:rFonts w:hint="default"/>
      </w:rPr>
    </w:lvl>
    <w:lvl w:ilvl="4">
      <w:start w:val="0"/>
      <w:numFmt w:val="bullet"/>
      <w:lvlText w:val="•"/>
      <w:lvlJc w:val="left"/>
      <w:pPr>
        <w:ind w:left="3564" w:hanging="423"/>
      </w:pPr>
      <w:rPr>
        <w:rFonts w:hint="default"/>
      </w:rPr>
    </w:lvl>
    <w:lvl w:ilvl="5">
      <w:start w:val="0"/>
      <w:numFmt w:val="bullet"/>
      <w:lvlText w:val="•"/>
      <w:lvlJc w:val="left"/>
      <w:pPr>
        <w:ind w:left="4320" w:hanging="423"/>
      </w:pPr>
      <w:rPr>
        <w:rFonts w:hint="default"/>
      </w:rPr>
    </w:lvl>
    <w:lvl w:ilvl="6">
      <w:start w:val="0"/>
      <w:numFmt w:val="bullet"/>
      <w:lvlText w:val="•"/>
      <w:lvlJc w:val="left"/>
      <w:pPr>
        <w:ind w:left="5076" w:hanging="423"/>
      </w:pPr>
      <w:rPr>
        <w:rFonts w:hint="default"/>
      </w:rPr>
    </w:lvl>
    <w:lvl w:ilvl="7">
      <w:start w:val="0"/>
      <w:numFmt w:val="bullet"/>
      <w:lvlText w:val="•"/>
      <w:lvlJc w:val="left"/>
      <w:pPr>
        <w:ind w:left="5832" w:hanging="423"/>
      </w:pPr>
      <w:rPr>
        <w:rFonts w:hint="default"/>
      </w:rPr>
    </w:lvl>
    <w:lvl w:ilvl="8">
      <w:start w:val="0"/>
      <w:numFmt w:val="bullet"/>
      <w:lvlText w:val="•"/>
      <w:lvlJc w:val="left"/>
      <w:pPr>
        <w:ind w:left="6588" w:hanging="423"/>
      </w:pPr>
      <w:rPr>
        <w:rFonts w:hint="default"/>
      </w:rPr>
    </w:lvl>
  </w:abstractNum>
  <w:abstractNum w:abstractNumId="9">
    <w:multiLevelType w:val="hybridMultilevel"/>
    <w:lvl w:ilvl="0">
      <w:start w:val="1"/>
      <w:numFmt w:val="decimal"/>
      <w:lvlText w:val="(%1)"/>
      <w:lvlJc w:val="left"/>
      <w:pPr>
        <w:ind w:left="548" w:hanging="423"/>
        <w:jc w:val="left"/>
      </w:pPr>
      <w:rPr>
        <w:rFonts w:hint="default" w:ascii="宋体" w:hAnsi="宋体" w:eastAsia="宋体" w:cs="宋体"/>
        <w:w w:val="100"/>
        <w:sz w:val="21"/>
        <w:szCs w:val="21"/>
      </w:rPr>
    </w:lvl>
    <w:lvl w:ilvl="1">
      <w:start w:val="0"/>
      <w:numFmt w:val="bullet"/>
      <w:lvlText w:val="•"/>
      <w:lvlJc w:val="left"/>
      <w:pPr>
        <w:ind w:left="1283" w:hanging="423"/>
      </w:pPr>
      <w:rPr>
        <w:rFonts w:hint="default"/>
      </w:rPr>
    </w:lvl>
    <w:lvl w:ilvl="2">
      <w:start w:val="0"/>
      <w:numFmt w:val="bullet"/>
      <w:lvlText w:val="•"/>
      <w:lvlJc w:val="left"/>
      <w:pPr>
        <w:ind w:left="2027" w:hanging="423"/>
      </w:pPr>
      <w:rPr>
        <w:rFonts w:hint="default"/>
      </w:rPr>
    </w:lvl>
    <w:lvl w:ilvl="3">
      <w:start w:val="0"/>
      <w:numFmt w:val="bullet"/>
      <w:lvlText w:val="•"/>
      <w:lvlJc w:val="left"/>
      <w:pPr>
        <w:ind w:left="2770" w:hanging="423"/>
      </w:pPr>
      <w:rPr>
        <w:rFonts w:hint="default"/>
      </w:rPr>
    </w:lvl>
    <w:lvl w:ilvl="4">
      <w:start w:val="0"/>
      <w:numFmt w:val="bullet"/>
      <w:lvlText w:val="•"/>
      <w:lvlJc w:val="left"/>
      <w:pPr>
        <w:ind w:left="3514" w:hanging="423"/>
      </w:pPr>
      <w:rPr>
        <w:rFonts w:hint="default"/>
      </w:rPr>
    </w:lvl>
    <w:lvl w:ilvl="5">
      <w:start w:val="0"/>
      <w:numFmt w:val="bullet"/>
      <w:lvlText w:val="•"/>
      <w:lvlJc w:val="left"/>
      <w:pPr>
        <w:ind w:left="4258" w:hanging="423"/>
      </w:pPr>
      <w:rPr>
        <w:rFonts w:hint="default"/>
      </w:rPr>
    </w:lvl>
    <w:lvl w:ilvl="6">
      <w:start w:val="0"/>
      <w:numFmt w:val="bullet"/>
      <w:lvlText w:val="•"/>
      <w:lvlJc w:val="left"/>
      <w:pPr>
        <w:ind w:left="5001" w:hanging="423"/>
      </w:pPr>
      <w:rPr>
        <w:rFonts w:hint="default"/>
      </w:rPr>
    </w:lvl>
    <w:lvl w:ilvl="7">
      <w:start w:val="0"/>
      <w:numFmt w:val="bullet"/>
      <w:lvlText w:val="•"/>
      <w:lvlJc w:val="left"/>
      <w:pPr>
        <w:ind w:left="5745" w:hanging="423"/>
      </w:pPr>
      <w:rPr>
        <w:rFonts w:hint="default"/>
      </w:rPr>
    </w:lvl>
    <w:lvl w:ilvl="8">
      <w:start w:val="0"/>
      <w:numFmt w:val="bullet"/>
      <w:lvlText w:val="•"/>
      <w:lvlJc w:val="left"/>
      <w:pPr>
        <w:ind w:left="6488" w:hanging="423"/>
      </w:pPr>
      <w:rPr>
        <w:rFonts w:hint="default"/>
      </w:rPr>
    </w:lvl>
  </w:abstractNum>
  <w:abstractNum w:abstractNumId="8">
    <w:multiLevelType w:val="hybridMultilevel"/>
    <w:lvl w:ilvl="0">
      <w:start w:val="1"/>
      <w:numFmt w:val="decimal"/>
      <w:lvlText w:val="(%1)"/>
      <w:lvlJc w:val="left"/>
      <w:pPr>
        <w:ind w:left="548" w:hanging="423"/>
        <w:jc w:val="left"/>
      </w:pPr>
      <w:rPr>
        <w:rFonts w:hint="default" w:ascii="宋体" w:hAnsi="宋体" w:eastAsia="宋体" w:cs="宋体"/>
        <w:w w:val="100"/>
        <w:sz w:val="21"/>
        <w:szCs w:val="21"/>
      </w:rPr>
    </w:lvl>
    <w:lvl w:ilvl="1">
      <w:start w:val="0"/>
      <w:numFmt w:val="bullet"/>
      <w:lvlText w:val="•"/>
      <w:lvlJc w:val="left"/>
      <w:pPr>
        <w:ind w:left="1283" w:hanging="423"/>
      </w:pPr>
      <w:rPr>
        <w:rFonts w:hint="default"/>
      </w:rPr>
    </w:lvl>
    <w:lvl w:ilvl="2">
      <w:start w:val="0"/>
      <w:numFmt w:val="bullet"/>
      <w:lvlText w:val="•"/>
      <w:lvlJc w:val="left"/>
      <w:pPr>
        <w:ind w:left="2027" w:hanging="423"/>
      </w:pPr>
      <w:rPr>
        <w:rFonts w:hint="default"/>
      </w:rPr>
    </w:lvl>
    <w:lvl w:ilvl="3">
      <w:start w:val="0"/>
      <w:numFmt w:val="bullet"/>
      <w:lvlText w:val="•"/>
      <w:lvlJc w:val="left"/>
      <w:pPr>
        <w:ind w:left="2770" w:hanging="423"/>
      </w:pPr>
      <w:rPr>
        <w:rFonts w:hint="default"/>
      </w:rPr>
    </w:lvl>
    <w:lvl w:ilvl="4">
      <w:start w:val="0"/>
      <w:numFmt w:val="bullet"/>
      <w:lvlText w:val="•"/>
      <w:lvlJc w:val="left"/>
      <w:pPr>
        <w:ind w:left="3514" w:hanging="423"/>
      </w:pPr>
      <w:rPr>
        <w:rFonts w:hint="default"/>
      </w:rPr>
    </w:lvl>
    <w:lvl w:ilvl="5">
      <w:start w:val="0"/>
      <w:numFmt w:val="bullet"/>
      <w:lvlText w:val="•"/>
      <w:lvlJc w:val="left"/>
      <w:pPr>
        <w:ind w:left="4258" w:hanging="423"/>
      </w:pPr>
      <w:rPr>
        <w:rFonts w:hint="default"/>
      </w:rPr>
    </w:lvl>
    <w:lvl w:ilvl="6">
      <w:start w:val="0"/>
      <w:numFmt w:val="bullet"/>
      <w:lvlText w:val="•"/>
      <w:lvlJc w:val="left"/>
      <w:pPr>
        <w:ind w:left="5001" w:hanging="423"/>
      </w:pPr>
      <w:rPr>
        <w:rFonts w:hint="default"/>
      </w:rPr>
    </w:lvl>
    <w:lvl w:ilvl="7">
      <w:start w:val="0"/>
      <w:numFmt w:val="bullet"/>
      <w:lvlText w:val="•"/>
      <w:lvlJc w:val="left"/>
      <w:pPr>
        <w:ind w:left="5745" w:hanging="423"/>
      </w:pPr>
      <w:rPr>
        <w:rFonts w:hint="default"/>
      </w:rPr>
    </w:lvl>
    <w:lvl w:ilvl="8">
      <w:start w:val="0"/>
      <w:numFmt w:val="bullet"/>
      <w:lvlText w:val="•"/>
      <w:lvlJc w:val="left"/>
      <w:pPr>
        <w:ind w:left="6488" w:hanging="423"/>
      </w:pPr>
      <w:rPr>
        <w:rFonts w:hint="default"/>
      </w:rPr>
    </w:lvl>
  </w:abstractNum>
  <w:abstractNum w:abstractNumId="7">
    <w:multiLevelType w:val="hybridMultilevel"/>
    <w:lvl w:ilvl="0">
      <w:start w:val="1"/>
      <w:numFmt w:val="decimal"/>
      <w:lvlText w:val="(%1)"/>
      <w:lvlJc w:val="left"/>
      <w:pPr>
        <w:ind w:left="548" w:hanging="423"/>
        <w:jc w:val="left"/>
      </w:pPr>
      <w:rPr>
        <w:rFonts w:hint="default" w:ascii="宋体" w:hAnsi="宋体" w:eastAsia="宋体" w:cs="宋体"/>
        <w:w w:val="100"/>
        <w:sz w:val="21"/>
        <w:szCs w:val="21"/>
      </w:rPr>
    </w:lvl>
    <w:lvl w:ilvl="1">
      <w:start w:val="0"/>
      <w:numFmt w:val="bullet"/>
      <w:lvlText w:val="•"/>
      <w:lvlJc w:val="left"/>
      <w:pPr>
        <w:ind w:left="1283" w:hanging="423"/>
      </w:pPr>
      <w:rPr>
        <w:rFonts w:hint="default"/>
      </w:rPr>
    </w:lvl>
    <w:lvl w:ilvl="2">
      <w:start w:val="0"/>
      <w:numFmt w:val="bullet"/>
      <w:lvlText w:val="•"/>
      <w:lvlJc w:val="left"/>
      <w:pPr>
        <w:ind w:left="2027" w:hanging="423"/>
      </w:pPr>
      <w:rPr>
        <w:rFonts w:hint="default"/>
      </w:rPr>
    </w:lvl>
    <w:lvl w:ilvl="3">
      <w:start w:val="0"/>
      <w:numFmt w:val="bullet"/>
      <w:lvlText w:val="•"/>
      <w:lvlJc w:val="left"/>
      <w:pPr>
        <w:ind w:left="2770" w:hanging="423"/>
      </w:pPr>
      <w:rPr>
        <w:rFonts w:hint="default"/>
      </w:rPr>
    </w:lvl>
    <w:lvl w:ilvl="4">
      <w:start w:val="0"/>
      <w:numFmt w:val="bullet"/>
      <w:lvlText w:val="•"/>
      <w:lvlJc w:val="left"/>
      <w:pPr>
        <w:ind w:left="3514" w:hanging="423"/>
      </w:pPr>
      <w:rPr>
        <w:rFonts w:hint="default"/>
      </w:rPr>
    </w:lvl>
    <w:lvl w:ilvl="5">
      <w:start w:val="0"/>
      <w:numFmt w:val="bullet"/>
      <w:lvlText w:val="•"/>
      <w:lvlJc w:val="left"/>
      <w:pPr>
        <w:ind w:left="4258" w:hanging="423"/>
      </w:pPr>
      <w:rPr>
        <w:rFonts w:hint="default"/>
      </w:rPr>
    </w:lvl>
    <w:lvl w:ilvl="6">
      <w:start w:val="0"/>
      <w:numFmt w:val="bullet"/>
      <w:lvlText w:val="•"/>
      <w:lvlJc w:val="left"/>
      <w:pPr>
        <w:ind w:left="5001" w:hanging="423"/>
      </w:pPr>
      <w:rPr>
        <w:rFonts w:hint="default"/>
      </w:rPr>
    </w:lvl>
    <w:lvl w:ilvl="7">
      <w:start w:val="0"/>
      <w:numFmt w:val="bullet"/>
      <w:lvlText w:val="•"/>
      <w:lvlJc w:val="left"/>
      <w:pPr>
        <w:ind w:left="5745" w:hanging="423"/>
      </w:pPr>
      <w:rPr>
        <w:rFonts w:hint="default"/>
      </w:rPr>
    </w:lvl>
    <w:lvl w:ilvl="8">
      <w:start w:val="0"/>
      <w:numFmt w:val="bullet"/>
      <w:lvlText w:val="•"/>
      <w:lvlJc w:val="left"/>
      <w:pPr>
        <w:ind w:left="6488" w:hanging="423"/>
      </w:pPr>
      <w:rPr>
        <w:rFonts w:hint="default"/>
      </w:rPr>
    </w:lvl>
  </w:abstractNum>
  <w:abstractNum w:abstractNumId="6">
    <w:multiLevelType w:val="hybridMultilevel"/>
    <w:lvl w:ilvl="0">
      <w:start w:val="1"/>
      <w:numFmt w:val="decimal"/>
      <w:lvlText w:val="(%1)"/>
      <w:lvlJc w:val="left"/>
      <w:pPr>
        <w:ind w:left="548" w:hanging="423"/>
        <w:jc w:val="left"/>
      </w:pPr>
      <w:rPr>
        <w:rFonts w:hint="default" w:ascii="宋体" w:hAnsi="宋体" w:eastAsia="宋体" w:cs="宋体"/>
        <w:w w:val="100"/>
        <w:sz w:val="20"/>
        <w:szCs w:val="20"/>
      </w:rPr>
    </w:lvl>
    <w:lvl w:ilvl="1">
      <w:start w:val="0"/>
      <w:numFmt w:val="bullet"/>
      <w:lvlText w:val="•"/>
      <w:lvlJc w:val="left"/>
      <w:pPr>
        <w:ind w:left="1283" w:hanging="423"/>
      </w:pPr>
      <w:rPr>
        <w:rFonts w:hint="default"/>
      </w:rPr>
    </w:lvl>
    <w:lvl w:ilvl="2">
      <w:start w:val="0"/>
      <w:numFmt w:val="bullet"/>
      <w:lvlText w:val="•"/>
      <w:lvlJc w:val="left"/>
      <w:pPr>
        <w:ind w:left="2027" w:hanging="423"/>
      </w:pPr>
      <w:rPr>
        <w:rFonts w:hint="default"/>
      </w:rPr>
    </w:lvl>
    <w:lvl w:ilvl="3">
      <w:start w:val="0"/>
      <w:numFmt w:val="bullet"/>
      <w:lvlText w:val="•"/>
      <w:lvlJc w:val="left"/>
      <w:pPr>
        <w:ind w:left="2770" w:hanging="423"/>
      </w:pPr>
      <w:rPr>
        <w:rFonts w:hint="default"/>
      </w:rPr>
    </w:lvl>
    <w:lvl w:ilvl="4">
      <w:start w:val="0"/>
      <w:numFmt w:val="bullet"/>
      <w:lvlText w:val="•"/>
      <w:lvlJc w:val="left"/>
      <w:pPr>
        <w:ind w:left="3514" w:hanging="423"/>
      </w:pPr>
      <w:rPr>
        <w:rFonts w:hint="default"/>
      </w:rPr>
    </w:lvl>
    <w:lvl w:ilvl="5">
      <w:start w:val="0"/>
      <w:numFmt w:val="bullet"/>
      <w:lvlText w:val="•"/>
      <w:lvlJc w:val="left"/>
      <w:pPr>
        <w:ind w:left="4257" w:hanging="423"/>
      </w:pPr>
      <w:rPr>
        <w:rFonts w:hint="default"/>
      </w:rPr>
    </w:lvl>
    <w:lvl w:ilvl="6">
      <w:start w:val="0"/>
      <w:numFmt w:val="bullet"/>
      <w:lvlText w:val="•"/>
      <w:lvlJc w:val="left"/>
      <w:pPr>
        <w:ind w:left="5001" w:hanging="423"/>
      </w:pPr>
      <w:rPr>
        <w:rFonts w:hint="default"/>
      </w:rPr>
    </w:lvl>
    <w:lvl w:ilvl="7">
      <w:start w:val="0"/>
      <w:numFmt w:val="bullet"/>
      <w:lvlText w:val="•"/>
      <w:lvlJc w:val="left"/>
      <w:pPr>
        <w:ind w:left="5744" w:hanging="423"/>
      </w:pPr>
      <w:rPr>
        <w:rFonts w:hint="default"/>
      </w:rPr>
    </w:lvl>
    <w:lvl w:ilvl="8">
      <w:start w:val="0"/>
      <w:numFmt w:val="bullet"/>
      <w:lvlText w:val="•"/>
      <w:lvlJc w:val="left"/>
      <w:pPr>
        <w:ind w:left="6488" w:hanging="423"/>
      </w:pPr>
      <w:rPr>
        <w:rFonts w:hint="default"/>
      </w:rPr>
    </w:lvl>
  </w:abstractNum>
  <w:abstractNum w:abstractNumId="5">
    <w:multiLevelType w:val="hybridMultilevel"/>
    <w:lvl w:ilvl="0">
      <w:start w:val="1"/>
      <w:numFmt w:val="decimal"/>
      <w:lvlText w:val="(%1)"/>
      <w:lvlJc w:val="left"/>
      <w:pPr>
        <w:ind w:left="548" w:hanging="423"/>
        <w:jc w:val="left"/>
      </w:pPr>
      <w:rPr>
        <w:rFonts w:hint="default" w:ascii="宋体" w:hAnsi="宋体" w:eastAsia="宋体" w:cs="宋体"/>
        <w:w w:val="100"/>
        <w:sz w:val="21"/>
        <w:szCs w:val="21"/>
      </w:rPr>
    </w:lvl>
    <w:lvl w:ilvl="1">
      <w:start w:val="0"/>
      <w:numFmt w:val="bullet"/>
      <w:lvlText w:val="•"/>
      <w:lvlJc w:val="left"/>
      <w:pPr>
        <w:ind w:left="1283" w:hanging="423"/>
      </w:pPr>
      <w:rPr>
        <w:rFonts w:hint="default"/>
      </w:rPr>
    </w:lvl>
    <w:lvl w:ilvl="2">
      <w:start w:val="0"/>
      <w:numFmt w:val="bullet"/>
      <w:lvlText w:val="•"/>
      <w:lvlJc w:val="left"/>
      <w:pPr>
        <w:ind w:left="2027" w:hanging="423"/>
      </w:pPr>
      <w:rPr>
        <w:rFonts w:hint="default"/>
      </w:rPr>
    </w:lvl>
    <w:lvl w:ilvl="3">
      <w:start w:val="0"/>
      <w:numFmt w:val="bullet"/>
      <w:lvlText w:val="•"/>
      <w:lvlJc w:val="left"/>
      <w:pPr>
        <w:ind w:left="2770" w:hanging="423"/>
      </w:pPr>
      <w:rPr>
        <w:rFonts w:hint="default"/>
      </w:rPr>
    </w:lvl>
    <w:lvl w:ilvl="4">
      <w:start w:val="0"/>
      <w:numFmt w:val="bullet"/>
      <w:lvlText w:val="•"/>
      <w:lvlJc w:val="left"/>
      <w:pPr>
        <w:ind w:left="3514" w:hanging="423"/>
      </w:pPr>
      <w:rPr>
        <w:rFonts w:hint="default"/>
      </w:rPr>
    </w:lvl>
    <w:lvl w:ilvl="5">
      <w:start w:val="0"/>
      <w:numFmt w:val="bullet"/>
      <w:lvlText w:val="•"/>
      <w:lvlJc w:val="left"/>
      <w:pPr>
        <w:ind w:left="4257" w:hanging="423"/>
      </w:pPr>
      <w:rPr>
        <w:rFonts w:hint="default"/>
      </w:rPr>
    </w:lvl>
    <w:lvl w:ilvl="6">
      <w:start w:val="0"/>
      <w:numFmt w:val="bullet"/>
      <w:lvlText w:val="•"/>
      <w:lvlJc w:val="left"/>
      <w:pPr>
        <w:ind w:left="5001" w:hanging="423"/>
      </w:pPr>
      <w:rPr>
        <w:rFonts w:hint="default"/>
      </w:rPr>
    </w:lvl>
    <w:lvl w:ilvl="7">
      <w:start w:val="0"/>
      <w:numFmt w:val="bullet"/>
      <w:lvlText w:val="•"/>
      <w:lvlJc w:val="left"/>
      <w:pPr>
        <w:ind w:left="5744" w:hanging="423"/>
      </w:pPr>
      <w:rPr>
        <w:rFonts w:hint="default"/>
      </w:rPr>
    </w:lvl>
    <w:lvl w:ilvl="8">
      <w:start w:val="0"/>
      <w:numFmt w:val="bullet"/>
      <w:lvlText w:val="•"/>
      <w:lvlJc w:val="left"/>
      <w:pPr>
        <w:ind w:left="6488" w:hanging="423"/>
      </w:pPr>
      <w:rPr>
        <w:rFonts w:hint="default"/>
      </w:rPr>
    </w:lvl>
  </w:abstractNum>
  <w:abstractNum w:abstractNumId="4">
    <w:multiLevelType w:val="hybridMultilevel"/>
    <w:lvl w:ilvl="0">
      <w:start w:val="10"/>
      <w:numFmt w:val="decimal"/>
      <w:lvlText w:val="%1"/>
      <w:lvlJc w:val="left"/>
      <w:pPr>
        <w:ind w:left="896" w:hanging="635"/>
        <w:jc w:val="left"/>
      </w:pPr>
      <w:rPr>
        <w:rFonts w:hint="default"/>
      </w:rPr>
    </w:lvl>
    <w:lvl w:ilvl="1">
      <w:start w:val="7"/>
      <w:numFmt w:val="decimal"/>
      <w:lvlText w:val="%1.%2"/>
      <w:lvlJc w:val="left"/>
      <w:pPr>
        <w:ind w:left="891" w:hanging="635"/>
        <w:jc w:val="left"/>
      </w:pPr>
      <w:rPr>
        <w:rFonts w:hint="default" w:ascii="宋体" w:hAnsi="宋体" w:eastAsia="宋体" w:cs="宋体"/>
        <w:w w:val="100"/>
        <w:sz w:val="21"/>
        <w:szCs w:val="21"/>
      </w:rPr>
    </w:lvl>
    <w:lvl w:ilvl="2">
      <w:start w:val="0"/>
      <w:numFmt w:val="bullet"/>
      <w:lvlText w:val="•"/>
      <w:lvlJc w:val="left"/>
      <w:pPr>
        <w:ind w:left="1485" w:hanging="635"/>
      </w:pPr>
      <w:rPr>
        <w:rFonts w:hint="default"/>
      </w:rPr>
    </w:lvl>
    <w:lvl w:ilvl="3">
      <w:start w:val="0"/>
      <w:numFmt w:val="bullet"/>
      <w:lvlText w:val="•"/>
      <w:lvlJc w:val="left"/>
      <w:pPr>
        <w:ind w:left="1778" w:hanging="635"/>
      </w:pPr>
      <w:rPr>
        <w:rFonts w:hint="default"/>
      </w:rPr>
    </w:lvl>
    <w:lvl w:ilvl="4">
      <w:start w:val="0"/>
      <w:numFmt w:val="bullet"/>
      <w:lvlText w:val="•"/>
      <w:lvlJc w:val="left"/>
      <w:pPr>
        <w:ind w:left="2071" w:hanging="635"/>
      </w:pPr>
      <w:rPr>
        <w:rFonts w:hint="default"/>
      </w:rPr>
    </w:lvl>
    <w:lvl w:ilvl="5">
      <w:start w:val="0"/>
      <w:numFmt w:val="bullet"/>
      <w:lvlText w:val="•"/>
      <w:lvlJc w:val="left"/>
      <w:pPr>
        <w:ind w:left="2364" w:hanging="635"/>
      </w:pPr>
      <w:rPr>
        <w:rFonts w:hint="default"/>
      </w:rPr>
    </w:lvl>
    <w:lvl w:ilvl="6">
      <w:start w:val="0"/>
      <w:numFmt w:val="bullet"/>
      <w:lvlText w:val="•"/>
      <w:lvlJc w:val="left"/>
      <w:pPr>
        <w:ind w:left="2656" w:hanging="635"/>
      </w:pPr>
      <w:rPr>
        <w:rFonts w:hint="default"/>
      </w:rPr>
    </w:lvl>
    <w:lvl w:ilvl="7">
      <w:start w:val="0"/>
      <w:numFmt w:val="bullet"/>
      <w:lvlText w:val="•"/>
      <w:lvlJc w:val="left"/>
      <w:pPr>
        <w:ind w:left="2949" w:hanging="635"/>
      </w:pPr>
      <w:rPr>
        <w:rFonts w:hint="default"/>
      </w:rPr>
    </w:lvl>
    <w:lvl w:ilvl="8">
      <w:start w:val="0"/>
      <w:numFmt w:val="bullet"/>
      <w:lvlText w:val="•"/>
      <w:lvlJc w:val="left"/>
      <w:pPr>
        <w:ind w:left="3242" w:hanging="635"/>
      </w:pPr>
      <w:rPr>
        <w:rFonts w:hint="default"/>
      </w:rPr>
    </w:lvl>
  </w:abstractNum>
  <w:abstractNum w:abstractNumId="3">
    <w:multiLevelType w:val="hybridMultilevel"/>
    <w:lvl w:ilvl="0">
      <w:start w:val="10"/>
      <w:numFmt w:val="decimal"/>
      <w:lvlText w:val="%1"/>
      <w:lvlJc w:val="left"/>
      <w:pPr>
        <w:ind w:left="886" w:hanging="476"/>
        <w:jc w:val="left"/>
      </w:pPr>
      <w:rPr>
        <w:rFonts w:hint="default"/>
      </w:rPr>
    </w:lvl>
    <w:lvl w:ilvl="1">
      <w:start w:val="1"/>
      <w:numFmt w:val="decimal"/>
      <w:lvlText w:val="%1.%2"/>
      <w:lvlJc w:val="left"/>
      <w:pPr>
        <w:ind w:left="886" w:hanging="476"/>
        <w:jc w:val="left"/>
      </w:pPr>
      <w:rPr>
        <w:rFonts w:hint="default" w:ascii="宋体" w:hAnsi="宋体" w:eastAsia="宋体" w:cs="宋体"/>
        <w:w w:val="100"/>
        <w:sz w:val="21"/>
        <w:szCs w:val="21"/>
      </w:rPr>
    </w:lvl>
    <w:lvl w:ilvl="2">
      <w:start w:val="0"/>
      <w:numFmt w:val="bullet"/>
      <w:lvlText w:val="•"/>
      <w:lvlJc w:val="left"/>
      <w:pPr>
        <w:ind w:left="1385" w:hanging="476"/>
      </w:pPr>
      <w:rPr>
        <w:rFonts w:hint="default"/>
      </w:rPr>
    </w:lvl>
    <w:lvl w:ilvl="3">
      <w:start w:val="0"/>
      <w:numFmt w:val="bullet"/>
      <w:lvlText w:val="•"/>
      <w:lvlJc w:val="left"/>
      <w:pPr>
        <w:ind w:left="1638" w:hanging="476"/>
      </w:pPr>
      <w:rPr>
        <w:rFonts w:hint="default"/>
      </w:rPr>
    </w:lvl>
    <w:lvl w:ilvl="4">
      <w:start w:val="0"/>
      <w:numFmt w:val="bullet"/>
      <w:lvlText w:val="•"/>
      <w:lvlJc w:val="left"/>
      <w:pPr>
        <w:ind w:left="1891" w:hanging="476"/>
      </w:pPr>
      <w:rPr>
        <w:rFonts w:hint="default"/>
      </w:rPr>
    </w:lvl>
    <w:lvl w:ilvl="5">
      <w:start w:val="0"/>
      <w:numFmt w:val="bullet"/>
      <w:lvlText w:val="•"/>
      <w:lvlJc w:val="left"/>
      <w:pPr>
        <w:ind w:left="2144" w:hanging="476"/>
      </w:pPr>
      <w:rPr>
        <w:rFonts w:hint="default"/>
      </w:rPr>
    </w:lvl>
    <w:lvl w:ilvl="6">
      <w:start w:val="0"/>
      <w:numFmt w:val="bullet"/>
      <w:lvlText w:val="•"/>
      <w:lvlJc w:val="left"/>
      <w:pPr>
        <w:ind w:left="2397" w:hanging="476"/>
      </w:pPr>
      <w:rPr>
        <w:rFonts w:hint="default"/>
      </w:rPr>
    </w:lvl>
    <w:lvl w:ilvl="7">
      <w:start w:val="0"/>
      <w:numFmt w:val="bullet"/>
      <w:lvlText w:val="•"/>
      <w:lvlJc w:val="left"/>
      <w:pPr>
        <w:ind w:left="2650" w:hanging="476"/>
      </w:pPr>
      <w:rPr>
        <w:rFonts w:hint="default"/>
      </w:rPr>
    </w:lvl>
    <w:lvl w:ilvl="8">
      <w:start w:val="0"/>
      <w:numFmt w:val="bullet"/>
      <w:lvlText w:val="•"/>
      <w:lvlJc w:val="left"/>
      <w:pPr>
        <w:ind w:left="2903" w:hanging="476"/>
      </w:pPr>
      <w:rPr>
        <w:rFonts w:hint="default"/>
      </w:rPr>
    </w:lvl>
  </w:abstractNum>
  <w:abstractNum w:abstractNumId="2">
    <w:multiLevelType w:val="hybridMultilevel"/>
    <w:lvl w:ilvl="0">
      <w:start w:val="5"/>
      <w:numFmt w:val="decimal"/>
      <w:lvlText w:val="%1."/>
      <w:lvlJc w:val="left"/>
      <w:pPr>
        <w:ind w:left="622" w:hanging="318"/>
        <w:jc w:val="left"/>
      </w:pPr>
      <w:rPr>
        <w:rFonts w:hint="default" w:ascii="Microsoft JhengHei" w:hAnsi="Microsoft JhengHei" w:eastAsia="Microsoft JhengHei" w:cs="Microsoft JhengHei"/>
        <w:b/>
        <w:bCs/>
        <w:w w:val="118"/>
        <w:sz w:val="21"/>
        <w:szCs w:val="21"/>
      </w:rPr>
    </w:lvl>
    <w:lvl w:ilvl="1">
      <w:start w:val="1"/>
      <w:numFmt w:val="decimal"/>
      <w:lvlText w:val="%1.%2"/>
      <w:lvlJc w:val="left"/>
      <w:pPr>
        <w:ind w:left="833" w:hanging="423"/>
        <w:jc w:val="left"/>
      </w:pPr>
      <w:rPr>
        <w:rFonts w:hint="default" w:ascii="宋体" w:hAnsi="宋体" w:eastAsia="宋体" w:cs="宋体"/>
        <w:w w:val="100"/>
        <w:sz w:val="21"/>
        <w:szCs w:val="21"/>
      </w:rPr>
    </w:lvl>
    <w:lvl w:ilvl="2">
      <w:start w:val="0"/>
      <w:numFmt w:val="bullet"/>
      <w:lvlText w:val="•"/>
      <w:lvlJc w:val="left"/>
      <w:pPr>
        <w:ind w:left="1125" w:hanging="423"/>
      </w:pPr>
      <w:rPr>
        <w:rFonts w:hint="default"/>
      </w:rPr>
    </w:lvl>
    <w:lvl w:ilvl="3">
      <w:start w:val="0"/>
      <w:numFmt w:val="bullet"/>
      <w:lvlText w:val="•"/>
      <w:lvlJc w:val="left"/>
      <w:pPr>
        <w:ind w:left="1410" w:hanging="423"/>
      </w:pPr>
      <w:rPr>
        <w:rFonts w:hint="default"/>
      </w:rPr>
    </w:lvl>
    <w:lvl w:ilvl="4">
      <w:start w:val="0"/>
      <w:numFmt w:val="bullet"/>
      <w:lvlText w:val="•"/>
      <w:lvlJc w:val="left"/>
      <w:pPr>
        <w:ind w:left="1696" w:hanging="423"/>
      </w:pPr>
      <w:rPr>
        <w:rFonts w:hint="default"/>
      </w:rPr>
    </w:lvl>
    <w:lvl w:ilvl="5">
      <w:start w:val="0"/>
      <w:numFmt w:val="bullet"/>
      <w:lvlText w:val="•"/>
      <w:lvlJc w:val="left"/>
      <w:pPr>
        <w:ind w:left="1981" w:hanging="423"/>
      </w:pPr>
      <w:rPr>
        <w:rFonts w:hint="default"/>
      </w:rPr>
    </w:lvl>
    <w:lvl w:ilvl="6">
      <w:start w:val="0"/>
      <w:numFmt w:val="bullet"/>
      <w:lvlText w:val="•"/>
      <w:lvlJc w:val="left"/>
      <w:pPr>
        <w:ind w:left="2267" w:hanging="423"/>
      </w:pPr>
      <w:rPr>
        <w:rFonts w:hint="default"/>
      </w:rPr>
    </w:lvl>
    <w:lvl w:ilvl="7">
      <w:start w:val="0"/>
      <w:numFmt w:val="bullet"/>
      <w:lvlText w:val="•"/>
      <w:lvlJc w:val="left"/>
      <w:pPr>
        <w:ind w:left="2552" w:hanging="423"/>
      </w:pPr>
      <w:rPr>
        <w:rFonts w:hint="default"/>
      </w:rPr>
    </w:lvl>
    <w:lvl w:ilvl="8">
      <w:start w:val="0"/>
      <w:numFmt w:val="bullet"/>
      <w:lvlText w:val="•"/>
      <w:lvlJc w:val="left"/>
      <w:pPr>
        <w:ind w:left="2838" w:hanging="423"/>
      </w:pPr>
      <w:rPr>
        <w:rFonts w:hint="default"/>
      </w:rPr>
    </w:lvl>
  </w:abstractNum>
  <w:abstractNum w:abstractNumId="1">
    <w:multiLevelType w:val="hybridMultilevel"/>
    <w:lvl w:ilvl="0">
      <w:start w:val="1"/>
      <w:numFmt w:val="decimal"/>
      <w:lvlText w:val="%1."/>
      <w:lvlJc w:val="left"/>
      <w:pPr>
        <w:ind w:left="516" w:hanging="317"/>
        <w:jc w:val="left"/>
      </w:pPr>
      <w:rPr>
        <w:rFonts w:hint="default" w:ascii="Microsoft JhengHei" w:hAnsi="Microsoft JhengHei" w:eastAsia="Microsoft JhengHei" w:cs="Microsoft JhengHei"/>
        <w:b/>
        <w:bCs/>
        <w:w w:val="118"/>
        <w:sz w:val="21"/>
        <w:szCs w:val="21"/>
      </w:rPr>
    </w:lvl>
    <w:lvl w:ilvl="1">
      <w:start w:val="1"/>
      <w:numFmt w:val="decimal"/>
      <w:lvlText w:val="%1.%2"/>
      <w:lvlJc w:val="left"/>
      <w:pPr>
        <w:ind w:left="728" w:hanging="423"/>
        <w:jc w:val="left"/>
      </w:pPr>
      <w:rPr>
        <w:rFonts w:hint="default" w:ascii="宋体" w:hAnsi="宋体" w:eastAsia="宋体" w:cs="宋体"/>
        <w:w w:val="100"/>
        <w:sz w:val="21"/>
        <w:szCs w:val="21"/>
      </w:rPr>
    </w:lvl>
    <w:lvl w:ilvl="2">
      <w:start w:val="0"/>
      <w:numFmt w:val="bullet"/>
      <w:lvlText w:val="•"/>
      <w:lvlJc w:val="left"/>
      <w:pPr>
        <w:ind w:left="942" w:hanging="423"/>
      </w:pPr>
      <w:rPr>
        <w:rFonts w:hint="default"/>
      </w:rPr>
    </w:lvl>
    <w:lvl w:ilvl="3">
      <w:start w:val="0"/>
      <w:numFmt w:val="bullet"/>
      <w:lvlText w:val="•"/>
      <w:lvlJc w:val="left"/>
      <w:pPr>
        <w:ind w:left="1165" w:hanging="423"/>
      </w:pPr>
      <w:rPr>
        <w:rFonts w:hint="default"/>
      </w:rPr>
    </w:lvl>
    <w:lvl w:ilvl="4">
      <w:start w:val="0"/>
      <w:numFmt w:val="bullet"/>
      <w:lvlText w:val="•"/>
      <w:lvlJc w:val="left"/>
      <w:pPr>
        <w:ind w:left="1387" w:hanging="423"/>
      </w:pPr>
      <w:rPr>
        <w:rFonts w:hint="default"/>
      </w:rPr>
    </w:lvl>
    <w:lvl w:ilvl="5">
      <w:start w:val="0"/>
      <w:numFmt w:val="bullet"/>
      <w:lvlText w:val="•"/>
      <w:lvlJc w:val="left"/>
      <w:pPr>
        <w:ind w:left="1610" w:hanging="423"/>
      </w:pPr>
      <w:rPr>
        <w:rFonts w:hint="default"/>
      </w:rPr>
    </w:lvl>
    <w:lvl w:ilvl="6">
      <w:start w:val="0"/>
      <w:numFmt w:val="bullet"/>
      <w:lvlText w:val="•"/>
      <w:lvlJc w:val="left"/>
      <w:pPr>
        <w:ind w:left="1832" w:hanging="423"/>
      </w:pPr>
      <w:rPr>
        <w:rFonts w:hint="default"/>
      </w:rPr>
    </w:lvl>
    <w:lvl w:ilvl="7">
      <w:start w:val="0"/>
      <w:numFmt w:val="bullet"/>
      <w:lvlText w:val="•"/>
      <w:lvlJc w:val="left"/>
      <w:pPr>
        <w:ind w:left="2055" w:hanging="423"/>
      </w:pPr>
      <w:rPr>
        <w:rFonts w:hint="default"/>
      </w:rPr>
    </w:lvl>
    <w:lvl w:ilvl="8">
      <w:start w:val="0"/>
      <w:numFmt w:val="bullet"/>
      <w:lvlText w:val="•"/>
      <w:lvlJc w:val="left"/>
      <w:pPr>
        <w:ind w:left="2277" w:hanging="423"/>
      </w:pPr>
      <w:rPr>
        <w:rFonts w:hint="default"/>
      </w:rPr>
    </w:lvl>
  </w:abstractNum>
  <w:abstractNum w:abstractNumId="0">
    <w:multiLevelType w:val="hybridMultilevel"/>
    <w:lvl w:ilvl="0">
      <w:start w:val="0"/>
      <w:numFmt w:val="bullet"/>
      <w:lvlText w:val=""/>
      <w:lvlJc w:val="left"/>
      <w:pPr>
        <w:ind w:left="682" w:hanging="423"/>
      </w:pPr>
      <w:rPr>
        <w:rFonts w:hint="default" w:ascii="Wingdings" w:hAnsi="Wingdings" w:eastAsia="Wingdings" w:cs="Wingdings"/>
        <w:w w:val="100"/>
        <w:sz w:val="21"/>
        <w:szCs w:val="21"/>
      </w:rPr>
    </w:lvl>
    <w:lvl w:ilvl="1">
      <w:start w:val="0"/>
      <w:numFmt w:val="bullet"/>
      <w:lvlText w:val="•"/>
      <w:lvlJc w:val="left"/>
      <w:pPr>
        <w:ind w:left="1634" w:hanging="423"/>
      </w:pPr>
      <w:rPr>
        <w:rFonts w:hint="default"/>
      </w:rPr>
    </w:lvl>
    <w:lvl w:ilvl="2">
      <w:start w:val="0"/>
      <w:numFmt w:val="bullet"/>
      <w:lvlText w:val="•"/>
      <w:lvlJc w:val="left"/>
      <w:pPr>
        <w:ind w:left="2588" w:hanging="423"/>
      </w:pPr>
      <w:rPr>
        <w:rFonts w:hint="default"/>
      </w:rPr>
    </w:lvl>
    <w:lvl w:ilvl="3">
      <w:start w:val="0"/>
      <w:numFmt w:val="bullet"/>
      <w:lvlText w:val="•"/>
      <w:lvlJc w:val="left"/>
      <w:pPr>
        <w:ind w:left="3543" w:hanging="423"/>
      </w:pPr>
      <w:rPr>
        <w:rFonts w:hint="default"/>
      </w:rPr>
    </w:lvl>
    <w:lvl w:ilvl="4">
      <w:start w:val="0"/>
      <w:numFmt w:val="bullet"/>
      <w:lvlText w:val="•"/>
      <w:lvlJc w:val="left"/>
      <w:pPr>
        <w:ind w:left="4497" w:hanging="423"/>
      </w:pPr>
      <w:rPr>
        <w:rFonts w:hint="default"/>
      </w:rPr>
    </w:lvl>
    <w:lvl w:ilvl="5">
      <w:start w:val="0"/>
      <w:numFmt w:val="bullet"/>
      <w:lvlText w:val="•"/>
      <w:lvlJc w:val="left"/>
      <w:pPr>
        <w:ind w:left="5452" w:hanging="423"/>
      </w:pPr>
      <w:rPr>
        <w:rFonts w:hint="default"/>
      </w:rPr>
    </w:lvl>
    <w:lvl w:ilvl="6">
      <w:start w:val="0"/>
      <w:numFmt w:val="bullet"/>
      <w:lvlText w:val="•"/>
      <w:lvlJc w:val="left"/>
      <w:pPr>
        <w:ind w:left="6406" w:hanging="423"/>
      </w:pPr>
      <w:rPr>
        <w:rFonts w:hint="default"/>
      </w:rPr>
    </w:lvl>
    <w:lvl w:ilvl="7">
      <w:start w:val="0"/>
      <w:numFmt w:val="bullet"/>
      <w:lvlText w:val="•"/>
      <w:lvlJc w:val="left"/>
      <w:pPr>
        <w:ind w:left="7360" w:hanging="423"/>
      </w:pPr>
      <w:rPr>
        <w:rFonts w:hint="default"/>
      </w:rPr>
    </w:lvl>
    <w:lvl w:ilvl="8">
      <w:start w:val="0"/>
      <w:numFmt w:val="bullet"/>
      <w:lvlText w:val="•"/>
      <w:lvlJc w:val="left"/>
      <w:pPr>
        <w:ind w:left="8315" w:hanging="423"/>
      </w:pPr>
      <w:rPr>
        <w:rFonts w:hint="default"/>
      </w:rPr>
    </w:lvl>
  </w:abstract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2173"/>
      <w:outlineLvl w:val="1"/>
    </w:pPr>
    <w:rPr>
      <w:rFonts w:ascii="Microsoft JhengHei" w:hAnsi="Microsoft JhengHei" w:eastAsia="Microsoft JhengHei" w:cs="Microsoft JhengHei"/>
      <w:b/>
      <w:bCs/>
      <w:sz w:val="32"/>
      <w:szCs w:val="32"/>
    </w:rPr>
  </w:style>
  <w:style w:styleId="ListParagraph" w:type="paragraph">
    <w:name w:val="List Paragraph"/>
    <w:basedOn w:val="Normal"/>
    <w:uiPriority w:val="1"/>
    <w:qFormat/>
    <w:pPr>
      <w:spacing w:line="312" w:lineRule="exact"/>
      <w:ind w:left="682" w:hanging="423"/>
    </w:pPr>
    <w:rPr>
      <w:rFonts w:ascii="Microsoft JhengHei" w:hAnsi="Microsoft JhengHei" w:eastAsia="Microsoft JhengHei" w:cs="Microsoft JhengHei"/>
    </w:rPr>
  </w:style>
  <w:style w:styleId="TableParagraph" w:type="paragraph">
    <w:name w:val="Table Paragraph"/>
    <w:basedOn w:val="Normal"/>
    <w:uiPriority w:val="1"/>
    <w:qFormat/>
    <w:pPr>
      <w:spacing w:before="3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user01</dc:creator>
  <dcterms:created xsi:type="dcterms:W3CDTF">2018-10-20T02:13:25Z</dcterms:created>
  <dcterms:modified xsi:type="dcterms:W3CDTF">2018-10-20T02:13:25Z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2015-03-26T00:00:00Z</vt:filetime>
  </property>
  <property fmtid="{D5CDD505-2E9C-101B-9397-08002B2CF9AE}" pid="3" name="Creator">
    <vt:lpwstr>Microsoft® Word 2013</vt:lpwstr>
  </property>
  <property fmtid="{D5CDD505-2E9C-101B-9397-08002B2CF9AE}" pid="4" name="LastSaved">
    <vt:filetime>2018-10-19T00:00:00Z</vt:filetime>
  </property>
</Properties>
</file>