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51"/>
        <w:ind w:firstLine="0"/>
      </w:pPr>
      <w:r>
        <w:rPr>
          <w:w w:val="95"/>
        </w:rPr>
        <w:t>中国太平洋人寿保险股份有限公司附加团体终身特定疾病保险条款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8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87" w:lineRule="exact" w:before="0"/>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投保人拥有的重要权益</w:t>
      </w:r>
    </w:p>
    <w:p>
      <w:pPr>
        <w:spacing w:before="32"/>
        <w:ind w:left="53" w:right="215" w:firstLine="0"/>
        <w:jc w:val="center"/>
        <w:rPr>
          <w:sz w:val="15"/>
        </w:rPr>
      </w:pPr>
      <w:r>
        <w:rPr/>
        <w:br w:type="column"/>
      </w:r>
      <w:r>
        <w:rPr>
          <w:sz w:val="15"/>
        </w:rPr>
        <w:t>太平洋人寿[2017]疾病保险 033 号</w:t>
      </w:r>
    </w:p>
    <w:p>
      <w:pPr>
        <w:pStyle w:val="BodyText"/>
        <w:spacing w:before="3"/>
        <w:rPr>
          <w:sz w:val="9"/>
        </w:rPr>
      </w:pPr>
    </w:p>
    <w:p>
      <w:pPr>
        <w:pStyle w:val="BodyText"/>
        <w:ind w:left="68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57"/>
        <w:ind w:left="44" w:right="215" w:firstLine="0"/>
        <w:jc w:val="center"/>
        <w:rPr>
          <w:sz w:val="15"/>
        </w:rPr>
      </w:pPr>
      <w:r>
        <w:rPr>
          <w:sz w:val="15"/>
        </w:rPr>
        <w:t>请扫描以查询验证条款</w:t>
      </w:r>
    </w:p>
    <w:p>
      <w:pPr>
        <w:spacing w:after="0"/>
        <w:jc w:val="center"/>
        <w:rPr>
          <w:sz w:val="15"/>
        </w:rPr>
        <w:sectPr>
          <w:type w:val="continuous"/>
          <w:pgSz w:w="11910" w:h="16840"/>
          <w:pgMar w:top="1240" w:bottom="280" w:left="1140" w:right="1080"/>
          <w:cols w:num="2" w:equalWidth="0">
            <w:col w:w="5687" w:space="1369"/>
            <w:col w:w="2634"/>
          </w:cols>
        </w:sectPr>
      </w:pPr>
    </w:p>
    <w:p>
      <w:pPr>
        <w:pStyle w:val="ListParagraph"/>
        <w:numPr>
          <w:ilvl w:val="0"/>
          <w:numId w:val="1"/>
        </w:numPr>
        <w:tabs>
          <w:tab w:pos="843" w:val="left" w:leader="none"/>
          <w:tab w:pos="844" w:val="left" w:leader="none"/>
          <w:tab w:pos="9519" w:val="right" w:leader="dot"/>
        </w:tabs>
        <w:spacing w:line="200"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518" w:val="right" w:leader="dot"/>
        </w:tabs>
        <w:spacing w:line="215" w:lineRule="exact" w:before="72" w:after="0"/>
        <w:ind w:left="843" w:right="0" w:hanging="452"/>
        <w:jc w:val="left"/>
        <w:rPr>
          <w:sz w:val="18"/>
        </w:rPr>
      </w:pPr>
      <w:r>
        <w:rPr>
          <w:sz w:val="18"/>
        </w:rPr>
        <w:t>投保人有退保的权</w:t>
      </w:r>
      <w:r>
        <w:rPr>
          <w:spacing w:val="-28"/>
          <w:sz w:val="18"/>
        </w:rPr>
        <w:t>利</w:t>
      </w:r>
      <w:r>
        <w:rPr>
          <w:sz w:val="18"/>
        </w:rPr>
        <w:t>（须与主险合同一并退保</w:t>
      </w:r>
      <w:r>
        <w:rPr>
          <w:spacing w:val="-28"/>
          <w:sz w:val="18"/>
        </w:rPr>
        <w:t>）</w:t>
        <w:tab/>
      </w:r>
      <w:r>
        <w:rPr>
          <w:sz w:val="18"/>
        </w:rPr>
        <w:t>5.2</w:t>
      </w:r>
    </w:p>
    <w:p>
      <w:pPr>
        <w:pStyle w:val="Heading2"/>
        <w:tabs>
          <w:tab w:pos="836" w:val="left" w:leader="none"/>
        </w:tabs>
        <w:spacing w:line="484" w:lineRule="exact" w:before="0"/>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投保人应当特别注意的事项</w:t>
      </w:r>
    </w:p>
    <w:p>
      <w:pPr>
        <w:pStyle w:val="ListParagraph"/>
        <w:numPr>
          <w:ilvl w:val="0"/>
          <w:numId w:val="1"/>
        </w:numPr>
        <w:tabs>
          <w:tab w:pos="843" w:val="left" w:leader="none"/>
          <w:tab w:pos="844" w:val="left" w:leader="none"/>
          <w:tab w:pos="9526" w:val="right" w:leader="dot"/>
        </w:tabs>
        <w:spacing w:line="188" w:lineRule="exact" w:before="0" w:after="0"/>
        <w:ind w:left="843" w:right="0" w:hanging="452"/>
        <w:jc w:val="left"/>
        <w:rPr>
          <w:sz w:val="18"/>
        </w:rPr>
      </w:pPr>
      <w:r>
        <w:rPr>
          <w:spacing w:val="2"/>
          <w:sz w:val="18"/>
        </w:rPr>
        <w:t>90</w:t>
      </w:r>
      <w:r>
        <w:rPr>
          <w:spacing w:val="7"/>
          <w:sz w:val="18"/>
        </w:rPr>
        <w:t> </w:t>
      </w:r>
      <w:r>
        <w:rPr>
          <w:spacing w:val="6"/>
          <w:sz w:val="18"/>
        </w:rPr>
        <w:t>日内本公司承担的责任有所不同，请注意…</w:t>
        <w:tab/>
        <w:t>2.3</w:t>
      </w:r>
    </w:p>
    <w:p>
      <w:pPr>
        <w:pStyle w:val="ListParagraph"/>
        <w:numPr>
          <w:ilvl w:val="0"/>
          <w:numId w:val="1"/>
        </w:numPr>
        <w:tabs>
          <w:tab w:pos="843" w:val="left" w:leader="none"/>
          <w:tab w:pos="844" w:val="left" w:leader="none"/>
          <w:tab w:pos="9515" w:val="right" w:leader="dot"/>
        </w:tabs>
        <w:spacing w:line="240" w:lineRule="auto" w:before="72" w:after="0"/>
        <w:ind w:left="843" w:right="0" w:hanging="452"/>
        <w:jc w:val="left"/>
        <w:rPr>
          <w:sz w:val="18"/>
        </w:rPr>
      </w:pPr>
      <w:r>
        <w:rPr>
          <w:spacing w:val="10"/>
          <w:sz w:val="18"/>
        </w:rPr>
        <w:t>本附</w:t>
      </w:r>
      <w:r>
        <w:rPr>
          <w:spacing w:val="11"/>
          <w:sz w:val="18"/>
        </w:rPr>
        <w:t>加</w:t>
      </w:r>
      <w:r>
        <w:rPr>
          <w:spacing w:val="10"/>
          <w:sz w:val="18"/>
        </w:rPr>
        <w:t>险合</w:t>
      </w:r>
      <w:r>
        <w:rPr>
          <w:spacing w:val="11"/>
          <w:sz w:val="18"/>
        </w:rPr>
        <w:t>同</w:t>
      </w:r>
      <w:r>
        <w:rPr>
          <w:spacing w:val="10"/>
          <w:sz w:val="18"/>
        </w:rPr>
        <w:t>有责</w:t>
      </w:r>
      <w:r>
        <w:rPr>
          <w:spacing w:val="11"/>
          <w:sz w:val="18"/>
        </w:rPr>
        <w:t>任</w:t>
      </w:r>
      <w:r>
        <w:rPr>
          <w:spacing w:val="10"/>
          <w:sz w:val="18"/>
        </w:rPr>
        <w:t>免除</w:t>
      </w:r>
      <w:r>
        <w:rPr>
          <w:spacing w:val="11"/>
          <w:sz w:val="18"/>
        </w:rPr>
        <w:t>条</w:t>
      </w:r>
      <w:r>
        <w:rPr>
          <w:spacing w:val="10"/>
          <w:sz w:val="18"/>
        </w:rPr>
        <w:t>款，</w:t>
      </w:r>
      <w:r>
        <w:rPr>
          <w:spacing w:val="11"/>
          <w:sz w:val="18"/>
        </w:rPr>
        <w:t>请</w:t>
      </w:r>
      <w:r>
        <w:rPr>
          <w:spacing w:val="10"/>
          <w:sz w:val="18"/>
        </w:rPr>
        <w:t>注意</w:t>
        <w:tab/>
      </w:r>
      <w:r>
        <w:rPr>
          <w:spacing w:val="7"/>
          <w:sz w:val="18"/>
        </w:rPr>
        <w:t>2.4</w:t>
      </w:r>
    </w:p>
    <w:p>
      <w:pPr>
        <w:pStyle w:val="ListParagraph"/>
        <w:numPr>
          <w:ilvl w:val="0"/>
          <w:numId w:val="1"/>
        </w:numPr>
        <w:tabs>
          <w:tab w:pos="843" w:val="left" w:leader="none"/>
          <w:tab w:pos="844" w:val="left" w:leader="none"/>
          <w:tab w:pos="9518" w:val="right" w:leader="dot"/>
        </w:tabs>
        <w:spacing w:line="240" w:lineRule="auto" w:before="71" w:after="0"/>
        <w:ind w:left="843" w:right="0" w:hanging="452"/>
        <w:jc w:val="left"/>
        <w:rPr>
          <w:sz w:val="18"/>
        </w:rPr>
      </w:pPr>
      <w:r>
        <w:rPr>
          <w:spacing w:val="2"/>
          <w:sz w:val="18"/>
        </w:rPr>
        <w:t>主险合同</w:t>
      </w:r>
      <w:r>
        <w:rPr>
          <w:sz w:val="18"/>
        </w:rPr>
        <w:t>终止</w:t>
      </w:r>
      <w:r>
        <w:rPr>
          <w:spacing w:val="2"/>
          <w:sz w:val="18"/>
        </w:rPr>
        <w:t>时，本附</w:t>
      </w:r>
      <w:r>
        <w:rPr>
          <w:sz w:val="18"/>
        </w:rPr>
        <w:t>加险</w:t>
      </w:r>
      <w:r>
        <w:rPr>
          <w:spacing w:val="2"/>
          <w:sz w:val="18"/>
        </w:rPr>
        <w:t>合同同时</w:t>
      </w:r>
      <w:r>
        <w:rPr>
          <w:sz w:val="18"/>
        </w:rPr>
        <w:t>终止</w:t>
        <w:tab/>
      </w:r>
      <w:r>
        <w:rPr>
          <w:spacing w:val="1"/>
          <w:sz w:val="18"/>
        </w:rPr>
        <w:t>5.1</w:t>
      </w:r>
    </w:p>
    <w:p>
      <w:pPr>
        <w:pStyle w:val="ListParagraph"/>
        <w:numPr>
          <w:ilvl w:val="0"/>
          <w:numId w:val="1"/>
        </w:numPr>
        <w:tabs>
          <w:tab w:pos="843" w:val="left" w:leader="none"/>
          <w:tab w:pos="844" w:val="left" w:leader="none"/>
          <w:tab w:pos="9515" w:val="right" w:leader="dot"/>
        </w:tabs>
        <w:spacing w:line="240" w:lineRule="auto" w:before="72" w:after="0"/>
        <w:ind w:left="843" w:right="0" w:hanging="452"/>
        <w:jc w:val="left"/>
        <w:rPr>
          <w:sz w:val="18"/>
        </w:rPr>
      </w:pPr>
      <w:r>
        <w:rPr>
          <w:spacing w:val="10"/>
          <w:sz w:val="18"/>
        </w:rPr>
        <w:t>退保</w:t>
      </w:r>
      <w:r>
        <w:rPr>
          <w:spacing w:val="11"/>
          <w:sz w:val="18"/>
        </w:rPr>
        <w:t>会</w:t>
      </w:r>
      <w:r>
        <w:rPr>
          <w:spacing w:val="10"/>
          <w:sz w:val="18"/>
        </w:rPr>
        <w:t>给投</w:t>
      </w:r>
      <w:r>
        <w:rPr>
          <w:spacing w:val="11"/>
          <w:sz w:val="18"/>
        </w:rPr>
        <w:t>保</w:t>
      </w:r>
      <w:r>
        <w:rPr>
          <w:spacing w:val="10"/>
          <w:sz w:val="18"/>
        </w:rPr>
        <w:t>人造</w:t>
      </w:r>
      <w:r>
        <w:rPr>
          <w:spacing w:val="11"/>
          <w:sz w:val="18"/>
        </w:rPr>
        <w:t>成</w:t>
      </w:r>
      <w:r>
        <w:rPr>
          <w:spacing w:val="10"/>
          <w:sz w:val="18"/>
        </w:rPr>
        <w:t>一定</w:t>
      </w:r>
      <w:r>
        <w:rPr>
          <w:spacing w:val="11"/>
          <w:sz w:val="18"/>
        </w:rPr>
        <w:t>的</w:t>
      </w:r>
      <w:r>
        <w:rPr>
          <w:spacing w:val="10"/>
          <w:sz w:val="18"/>
        </w:rPr>
        <w:t>损失</w:t>
      </w:r>
      <w:r>
        <w:rPr>
          <w:spacing w:val="11"/>
          <w:sz w:val="18"/>
        </w:rPr>
        <w:t>，</w:t>
      </w:r>
      <w:r>
        <w:rPr>
          <w:spacing w:val="10"/>
          <w:sz w:val="18"/>
        </w:rPr>
        <w:t>请慎</w:t>
      </w:r>
      <w:r>
        <w:rPr>
          <w:spacing w:val="11"/>
          <w:sz w:val="18"/>
        </w:rPr>
        <w:t>重</w:t>
      </w:r>
      <w:r>
        <w:rPr>
          <w:spacing w:val="10"/>
          <w:sz w:val="18"/>
        </w:rPr>
        <w:t>决策</w:t>
        <w:tab/>
      </w:r>
      <w:r>
        <w:rPr>
          <w:spacing w:val="7"/>
          <w:sz w:val="18"/>
        </w:rPr>
        <w:t>5.2</w:t>
      </w:r>
    </w:p>
    <w:p>
      <w:pPr>
        <w:pStyle w:val="ListParagraph"/>
        <w:numPr>
          <w:ilvl w:val="0"/>
          <w:numId w:val="1"/>
        </w:numPr>
        <w:tabs>
          <w:tab w:pos="843" w:val="left" w:leader="none"/>
          <w:tab w:pos="844" w:val="left" w:leader="none"/>
          <w:tab w:pos="9515" w:val="right" w:leader="dot"/>
        </w:tabs>
        <w:spacing w:line="240" w:lineRule="auto" w:before="72" w:after="0"/>
        <w:ind w:left="843" w:right="0" w:hanging="452"/>
        <w:jc w:val="left"/>
        <w:rPr>
          <w:sz w:val="18"/>
        </w:rPr>
      </w:pPr>
      <w:r>
        <w:rPr>
          <w:spacing w:val="10"/>
          <w:sz w:val="18"/>
        </w:rPr>
        <w:t>本附</w:t>
      </w:r>
      <w:r>
        <w:rPr>
          <w:spacing w:val="11"/>
          <w:sz w:val="18"/>
        </w:rPr>
        <w:t>加</w:t>
      </w:r>
      <w:r>
        <w:rPr>
          <w:spacing w:val="10"/>
          <w:sz w:val="18"/>
        </w:rPr>
        <w:t>险合</w:t>
      </w:r>
      <w:r>
        <w:rPr>
          <w:spacing w:val="11"/>
          <w:sz w:val="18"/>
        </w:rPr>
        <w:t>同</w:t>
      </w:r>
      <w:r>
        <w:rPr>
          <w:spacing w:val="10"/>
          <w:sz w:val="18"/>
        </w:rPr>
        <w:t>的某</w:t>
      </w:r>
      <w:r>
        <w:rPr>
          <w:spacing w:val="11"/>
          <w:sz w:val="18"/>
        </w:rPr>
        <w:t>些</w:t>
      </w:r>
      <w:r>
        <w:rPr>
          <w:spacing w:val="10"/>
          <w:sz w:val="18"/>
        </w:rPr>
        <w:t>事项</w:t>
      </w:r>
      <w:r>
        <w:rPr>
          <w:spacing w:val="11"/>
          <w:sz w:val="18"/>
        </w:rPr>
        <w:t>适</w:t>
      </w:r>
      <w:r>
        <w:rPr>
          <w:spacing w:val="10"/>
          <w:sz w:val="18"/>
        </w:rPr>
        <w:t>用主</w:t>
      </w:r>
      <w:r>
        <w:rPr>
          <w:spacing w:val="11"/>
          <w:sz w:val="18"/>
        </w:rPr>
        <w:t>险</w:t>
      </w:r>
      <w:r>
        <w:rPr>
          <w:spacing w:val="10"/>
          <w:sz w:val="18"/>
        </w:rPr>
        <w:t>合同</w:t>
      </w:r>
      <w:r>
        <w:rPr>
          <w:spacing w:val="11"/>
          <w:sz w:val="18"/>
        </w:rPr>
        <w:t>条</w:t>
      </w:r>
      <w:r>
        <w:rPr>
          <w:spacing w:val="10"/>
          <w:sz w:val="18"/>
        </w:rPr>
        <w:t>款，</w:t>
      </w:r>
      <w:r>
        <w:rPr>
          <w:spacing w:val="11"/>
          <w:sz w:val="18"/>
        </w:rPr>
        <w:t>请</w:t>
      </w:r>
      <w:r>
        <w:rPr>
          <w:spacing w:val="10"/>
          <w:sz w:val="18"/>
        </w:rPr>
        <w:t>注意</w:t>
        <w:tab/>
      </w:r>
      <w:r>
        <w:rPr>
          <w:spacing w:val="7"/>
          <w:sz w:val="18"/>
        </w:rPr>
        <w:t>6.1</w:t>
      </w:r>
    </w:p>
    <w:p>
      <w:pPr>
        <w:pStyle w:val="ListParagraph"/>
        <w:numPr>
          <w:ilvl w:val="0"/>
          <w:numId w:val="1"/>
        </w:numPr>
        <w:tabs>
          <w:tab w:pos="843" w:val="left" w:leader="none"/>
          <w:tab w:pos="844" w:val="left" w:leader="none"/>
          <w:tab w:pos="9519" w:val="right" w:leader="dot"/>
        </w:tabs>
        <w:spacing w:line="216" w:lineRule="exact" w:before="71" w:after="0"/>
        <w:ind w:left="843" w:right="0" w:hanging="452"/>
        <w:jc w:val="left"/>
        <w:rPr>
          <w:sz w:val="18"/>
        </w:rPr>
      </w:pPr>
      <w:r>
        <w:rPr>
          <w:spacing w:val="11"/>
          <w:sz w:val="18"/>
        </w:rPr>
        <w:t>本公司</w:t>
      </w:r>
      <w:r>
        <w:rPr>
          <w:spacing w:val="10"/>
          <w:sz w:val="18"/>
        </w:rPr>
        <w:t>对</w:t>
      </w:r>
      <w:r>
        <w:rPr>
          <w:spacing w:val="11"/>
          <w:sz w:val="18"/>
        </w:rPr>
        <w:t>一</w:t>
      </w:r>
      <w:r>
        <w:rPr>
          <w:spacing w:val="10"/>
          <w:sz w:val="18"/>
        </w:rPr>
        <w:t>些</w:t>
      </w:r>
      <w:r>
        <w:rPr>
          <w:spacing w:val="11"/>
          <w:sz w:val="18"/>
        </w:rPr>
        <w:t>重要术</w:t>
      </w:r>
      <w:r>
        <w:rPr>
          <w:spacing w:val="10"/>
          <w:sz w:val="18"/>
        </w:rPr>
        <w:t>语</w:t>
      </w:r>
      <w:r>
        <w:rPr>
          <w:spacing w:val="11"/>
          <w:sz w:val="18"/>
        </w:rPr>
        <w:t>进</w:t>
      </w:r>
      <w:r>
        <w:rPr>
          <w:spacing w:val="10"/>
          <w:sz w:val="18"/>
        </w:rPr>
        <w:t>行</w:t>
      </w:r>
      <w:r>
        <w:rPr>
          <w:spacing w:val="11"/>
          <w:sz w:val="18"/>
        </w:rPr>
        <w:t>了解释</w:t>
      </w:r>
      <w:r>
        <w:rPr>
          <w:spacing w:val="10"/>
          <w:sz w:val="18"/>
        </w:rPr>
        <w:t>，</w:t>
      </w:r>
      <w:r>
        <w:rPr>
          <w:spacing w:val="11"/>
          <w:sz w:val="18"/>
        </w:rPr>
        <w:t>并</w:t>
      </w:r>
      <w:r>
        <w:rPr>
          <w:spacing w:val="10"/>
          <w:sz w:val="18"/>
        </w:rPr>
        <w:t>作</w:t>
      </w:r>
      <w:r>
        <w:rPr>
          <w:spacing w:val="11"/>
          <w:sz w:val="18"/>
        </w:rPr>
        <w:t>了显著</w:t>
      </w:r>
      <w:r>
        <w:rPr>
          <w:spacing w:val="10"/>
          <w:sz w:val="18"/>
        </w:rPr>
        <w:t>标</w:t>
      </w:r>
      <w:r>
        <w:rPr>
          <w:spacing w:val="11"/>
          <w:sz w:val="18"/>
        </w:rPr>
        <w:t>识</w:t>
      </w:r>
      <w:r>
        <w:rPr>
          <w:spacing w:val="10"/>
          <w:sz w:val="18"/>
        </w:rPr>
        <w:t>，</w:t>
      </w:r>
      <w:r>
        <w:rPr>
          <w:spacing w:val="11"/>
          <w:sz w:val="18"/>
        </w:rPr>
        <w:t>请注意</w:t>
        <w:tab/>
      </w:r>
      <w:r>
        <w:rPr>
          <w:sz w:val="18"/>
        </w:rPr>
        <w:t>9</w:t>
      </w:r>
    </w:p>
    <w:p>
      <w:pPr>
        <w:pStyle w:val="Heading2"/>
        <w:tabs>
          <w:tab w:pos="836" w:val="left" w:leader="none"/>
        </w:tabs>
        <w:spacing w:line="416" w:lineRule="exact" w:before="0"/>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保险条款是保险合同的重要内容，为充分保障投保人的权益，请仔细阅读本附加险条款。</w:t>
      </w:r>
    </w:p>
    <w:p>
      <w:pPr>
        <w:pStyle w:val="Heading2"/>
        <w:tabs>
          <w:tab w:pos="836" w:val="left" w:leader="none"/>
        </w:tabs>
        <w:spacing w:line="384" w:lineRule="exact" w:before="0"/>
        <w:ind w:left="106"/>
      </w:pPr>
      <w:r>
        <w:rPr/>
        <w:pict>
          <v:shapetype id="_x0000_t202" o:spt="202" coordsize="21600,21600" path="m,l,21600r21600,l21600,xe">
            <v:stroke joinstyle="miter"/>
            <v:path gradientshapeok="t" o:connecttype="rect"/>
          </v:shapetype>
          <v:shape style="position:absolute;margin-left:83.580002pt;margin-top:17.794128pt;width:121.45pt;height:11.8pt;mso-position-horizontal-relative:page;mso-position-vertical-relative:paragraph;z-index:-28840"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1．双方订立的合同</w:t>
                  </w:r>
                </w:p>
              </w:txbxContent>
            </v:textbox>
            <v:fill type="solid"/>
            <w10:wrap type="none"/>
          </v:shape>
        </w:pict>
      </w:r>
      <w:r>
        <w:rPr/>
        <w:pict>
          <v:shape style="position:absolute;margin-left:233.339996pt;margin-top:17.794128pt;width:135pt;height:11.8pt;mso-position-horizontal-relative:page;mso-position-vertical-relative:paragraph;z-index:104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5.合同终止与解除</w:t>
                  </w:r>
                </w:p>
              </w:txbxContent>
            </v:textbox>
            <v:fill type="solid"/>
            <w10:wrap type="none"/>
          </v:shape>
        </w:pict>
      </w: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条款目录（不含三级目录）</w:t>
      </w:r>
    </w:p>
    <w:p>
      <w:pPr>
        <w:spacing w:line="180" w:lineRule="exact" w:before="0"/>
        <w:ind w:left="0" w:right="432" w:firstLine="0"/>
        <w:jc w:val="right"/>
        <w:rPr>
          <w:rFonts w:ascii="黑体" w:eastAsia="黑体" w:hint="eastAsia"/>
          <w:sz w:val="18"/>
        </w:rPr>
      </w:pPr>
      <w:r>
        <w:rPr>
          <w:rFonts w:ascii="黑体" w:eastAsia="黑体" w:hint="eastAsia"/>
          <w:sz w:val="18"/>
        </w:rPr>
        <w:t>9.5 无合法有效驾驶证驾驶</w:t>
      </w:r>
    </w:p>
    <w:p>
      <w:pPr>
        <w:pStyle w:val="BodyText"/>
        <w:spacing w:before="9"/>
        <w:rPr>
          <w:rFonts w:ascii="黑体"/>
          <w:sz w:val="10"/>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5"/>
        <w:gridCol w:w="2700"/>
        <w:gridCol w:w="1268"/>
        <w:gridCol w:w="2074"/>
      </w:tblGrid>
      <w:tr>
        <w:trPr>
          <w:trHeight w:val="611" w:hRule="atLeast"/>
        </w:trPr>
        <w:tc>
          <w:tcPr>
            <w:tcW w:w="3045" w:type="dxa"/>
          </w:tcPr>
          <w:p>
            <w:pPr>
              <w:pStyle w:val="TableParagraph"/>
              <w:numPr>
                <w:ilvl w:val="1"/>
                <w:numId w:val="2"/>
              </w:numPr>
              <w:tabs>
                <w:tab w:pos="410" w:val="left" w:leader="none"/>
              </w:tabs>
              <w:spacing w:line="180" w:lineRule="exact" w:before="0" w:after="0"/>
              <w:ind w:left="410" w:right="0" w:hanging="360"/>
              <w:jc w:val="left"/>
              <w:rPr>
                <w:rFonts w:ascii="黑体" w:eastAsia="黑体" w:hint="eastAsia"/>
                <w:sz w:val="18"/>
              </w:rPr>
            </w:pPr>
            <w:r>
              <w:rPr>
                <w:rFonts w:ascii="黑体" w:eastAsia="黑体" w:hint="eastAsia"/>
                <w:sz w:val="18"/>
              </w:rPr>
              <w:t>合同订立</w:t>
            </w:r>
          </w:p>
          <w:p>
            <w:pPr>
              <w:pStyle w:val="TableParagraph"/>
              <w:numPr>
                <w:ilvl w:val="1"/>
                <w:numId w:val="2"/>
              </w:numPr>
              <w:tabs>
                <w:tab w:pos="410" w:val="left" w:leader="none"/>
              </w:tabs>
              <w:spacing w:line="240" w:lineRule="auto" w:before="85" w:after="0"/>
              <w:ind w:left="410" w:right="0" w:hanging="360"/>
              <w:jc w:val="left"/>
              <w:rPr>
                <w:rFonts w:ascii="黑体" w:eastAsia="黑体" w:hint="eastAsia"/>
                <w:sz w:val="18"/>
              </w:rPr>
            </w:pPr>
            <w:r>
              <w:rPr>
                <w:rFonts w:ascii="黑体" w:eastAsia="黑体" w:hint="eastAsia"/>
                <w:sz w:val="18"/>
              </w:rPr>
              <w:t>合同构成</w:t>
            </w:r>
          </w:p>
        </w:tc>
        <w:tc>
          <w:tcPr>
            <w:tcW w:w="2700" w:type="dxa"/>
          </w:tcPr>
          <w:p>
            <w:pPr>
              <w:pStyle w:val="TableParagraph"/>
              <w:numPr>
                <w:ilvl w:val="1"/>
                <w:numId w:val="3"/>
              </w:numPr>
              <w:tabs>
                <w:tab w:pos="361" w:val="left" w:leader="none"/>
              </w:tabs>
              <w:spacing w:line="180" w:lineRule="exact" w:before="0" w:after="0"/>
              <w:ind w:left="360" w:right="0" w:hanging="360"/>
              <w:jc w:val="left"/>
              <w:rPr>
                <w:rFonts w:ascii="黑体" w:eastAsia="黑体" w:hint="eastAsia"/>
                <w:sz w:val="18"/>
              </w:rPr>
            </w:pPr>
            <w:r>
              <w:rPr>
                <w:rFonts w:ascii="黑体" w:eastAsia="黑体" w:hint="eastAsia"/>
                <w:sz w:val="18"/>
              </w:rPr>
              <w:t>合同终止</w:t>
            </w:r>
          </w:p>
          <w:p>
            <w:pPr>
              <w:pStyle w:val="TableParagraph"/>
              <w:numPr>
                <w:ilvl w:val="1"/>
                <w:numId w:val="3"/>
              </w:numPr>
              <w:tabs>
                <w:tab w:pos="361" w:val="left" w:leader="none"/>
              </w:tabs>
              <w:spacing w:line="240" w:lineRule="auto" w:before="85" w:after="0"/>
              <w:ind w:left="360" w:right="-15" w:hanging="360"/>
              <w:jc w:val="left"/>
              <w:rPr>
                <w:rFonts w:ascii="黑体" w:eastAsia="黑体" w:hint="eastAsia"/>
                <w:sz w:val="18"/>
              </w:rPr>
            </w:pPr>
            <w:r>
              <w:rPr>
                <w:rFonts w:ascii="黑体" w:eastAsia="黑体" w:hint="eastAsia"/>
                <w:sz w:val="18"/>
              </w:rPr>
              <w:t>投保人解除合同的手续及风险</w:t>
            </w:r>
          </w:p>
        </w:tc>
        <w:tc>
          <w:tcPr>
            <w:tcW w:w="3342" w:type="dxa"/>
            <w:gridSpan w:val="2"/>
          </w:tcPr>
          <w:p>
            <w:pPr>
              <w:pStyle w:val="TableParagraph"/>
              <w:numPr>
                <w:ilvl w:val="1"/>
                <w:numId w:val="4"/>
              </w:numPr>
              <w:tabs>
                <w:tab w:pos="1223" w:val="left" w:leader="none"/>
              </w:tabs>
              <w:spacing w:line="180" w:lineRule="exact" w:before="0" w:after="0"/>
              <w:ind w:left="1222" w:right="0" w:hanging="360"/>
              <w:jc w:val="left"/>
              <w:rPr>
                <w:rFonts w:ascii="黑体" w:eastAsia="黑体" w:hint="eastAsia"/>
                <w:sz w:val="18"/>
              </w:rPr>
            </w:pPr>
            <w:r>
              <w:rPr>
                <w:rFonts w:ascii="黑体" w:eastAsia="黑体" w:hint="eastAsia"/>
                <w:sz w:val="18"/>
              </w:rPr>
              <w:t>无有效行驶证</w:t>
            </w:r>
          </w:p>
          <w:p>
            <w:pPr>
              <w:pStyle w:val="TableParagraph"/>
              <w:numPr>
                <w:ilvl w:val="1"/>
                <w:numId w:val="4"/>
              </w:numPr>
              <w:tabs>
                <w:tab w:pos="1223" w:val="left" w:leader="none"/>
              </w:tabs>
              <w:spacing w:line="240" w:lineRule="auto" w:before="85" w:after="0"/>
              <w:ind w:left="1222" w:right="0" w:hanging="360"/>
              <w:jc w:val="left"/>
              <w:rPr>
                <w:rFonts w:ascii="黑体" w:eastAsia="黑体" w:hint="eastAsia"/>
                <w:sz w:val="18"/>
              </w:rPr>
            </w:pPr>
            <w:r>
              <w:rPr>
                <w:rFonts w:ascii="黑体" w:eastAsia="黑体" w:hint="eastAsia"/>
                <w:sz w:val="18"/>
              </w:rPr>
              <w:t>机动车</w:t>
            </w:r>
          </w:p>
        </w:tc>
      </w:tr>
      <w:tr>
        <w:trPr>
          <w:trHeight w:val="235" w:hRule="atLeast"/>
        </w:trPr>
        <w:tc>
          <w:tcPr>
            <w:tcW w:w="3045" w:type="dxa"/>
          </w:tcPr>
          <w:p>
            <w:pPr>
              <w:pStyle w:val="TableParagraph"/>
              <w:spacing w:line="208" w:lineRule="exact"/>
              <w:ind w:left="50"/>
              <w:rPr>
                <w:rFonts w:ascii="黑体" w:eastAsia="黑体" w:hint="eastAsia"/>
                <w:sz w:val="18"/>
              </w:rPr>
            </w:pPr>
            <w:r>
              <w:rPr>
                <w:rFonts w:ascii="黑体" w:eastAsia="黑体" w:hint="eastAsia"/>
                <w:sz w:val="18"/>
              </w:rPr>
              <w:t>1.3 合同成立与Th效</w:t>
            </w:r>
          </w:p>
        </w:tc>
        <w:tc>
          <w:tcPr>
            <w:tcW w:w="2700" w:type="dxa"/>
            <w:shd w:val="clear" w:color="auto" w:fill="D9D9D9"/>
          </w:tcPr>
          <w:p>
            <w:pPr>
              <w:pStyle w:val="TableParagraph"/>
              <w:spacing w:line="208" w:lineRule="exact"/>
              <w:rPr>
                <w:rFonts w:ascii="黑体" w:eastAsia="黑体" w:hint="eastAsia"/>
                <w:sz w:val="18"/>
              </w:rPr>
            </w:pPr>
            <w:r>
              <w:rPr>
                <w:rFonts w:ascii="黑体" w:eastAsia="黑体" w:hint="eastAsia"/>
                <w:sz w:val="18"/>
              </w:rPr>
              <w:t>6.其他需要关注的事项</w:t>
            </w:r>
          </w:p>
        </w:tc>
        <w:tc>
          <w:tcPr>
            <w:tcW w:w="3342" w:type="dxa"/>
            <w:gridSpan w:val="2"/>
          </w:tcPr>
          <w:p>
            <w:pPr>
              <w:pStyle w:val="TableParagraph"/>
              <w:spacing w:line="208" w:lineRule="exact"/>
              <w:ind w:left="862"/>
              <w:rPr>
                <w:rFonts w:ascii="黑体" w:eastAsia="黑体" w:hint="eastAsia"/>
                <w:sz w:val="18"/>
              </w:rPr>
            </w:pPr>
            <w:r>
              <w:rPr>
                <w:rFonts w:ascii="黑体" w:eastAsia="黑体" w:hint="eastAsia"/>
                <w:sz w:val="18"/>
              </w:rPr>
              <w:t>9.8 感染艾滋病病毒或患艾滋</w:t>
            </w:r>
          </w:p>
        </w:tc>
      </w:tr>
      <w:tr>
        <w:trPr>
          <w:trHeight w:val="363" w:hRule="atLeast"/>
        </w:trPr>
        <w:tc>
          <w:tcPr>
            <w:tcW w:w="3045" w:type="dxa"/>
          </w:tcPr>
          <w:p>
            <w:pPr>
              <w:pStyle w:val="TableParagraph"/>
              <w:spacing w:before="57"/>
              <w:ind w:left="50"/>
              <w:rPr>
                <w:rFonts w:ascii="黑体" w:eastAsia="黑体" w:hint="eastAsia"/>
                <w:sz w:val="18"/>
              </w:rPr>
            </w:pPr>
            <w:r>
              <w:rPr>
                <w:rFonts w:ascii="黑体" w:eastAsia="黑体" w:hint="eastAsia"/>
                <w:sz w:val="18"/>
              </w:rPr>
              <w:t>1.4 投保范围</w:t>
            </w:r>
          </w:p>
        </w:tc>
        <w:tc>
          <w:tcPr>
            <w:tcW w:w="2700" w:type="dxa"/>
          </w:tcPr>
          <w:p>
            <w:pPr>
              <w:pStyle w:val="TableParagraph"/>
              <w:spacing w:before="57"/>
              <w:rPr>
                <w:rFonts w:ascii="黑体" w:eastAsia="黑体" w:hint="eastAsia"/>
                <w:sz w:val="18"/>
              </w:rPr>
            </w:pPr>
            <w:r>
              <w:rPr>
                <w:rFonts w:ascii="黑体" w:eastAsia="黑体" w:hint="eastAsia"/>
                <w:sz w:val="18"/>
              </w:rPr>
              <w:t>6.1 适用主险合同条款</w:t>
            </w:r>
          </w:p>
        </w:tc>
        <w:tc>
          <w:tcPr>
            <w:tcW w:w="3342" w:type="dxa"/>
            <w:gridSpan w:val="2"/>
          </w:tcPr>
          <w:p>
            <w:pPr>
              <w:pStyle w:val="TableParagraph"/>
              <w:spacing w:before="57"/>
              <w:ind w:right="714"/>
              <w:jc w:val="center"/>
              <w:rPr>
                <w:rFonts w:ascii="黑体" w:eastAsia="黑体" w:hint="eastAsia"/>
                <w:sz w:val="18"/>
              </w:rPr>
            </w:pPr>
            <w:r>
              <w:rPr>
                <w:rFonts w:ascii="黑体" w:eastAsia="黑体" w:hint="eastAsia"/>
                <w:sz w:val="18"/>
              </w:rPr>
              <w:t>病</w:t>
            </w:r>
          </w:p>
        </w:tc>
      </w:tr>
      <w:tr>
        <w:trPr>
          <w:trHeight w:val="361" w:hRule="atLeast"/>
        </w:trPr>
        <w:tc>
          <w:tcPr>
            <w:tcW w:w="3045" w:type="dxa"/>
          </w:tcPr>
          <w:p>
            <w:pPr>
              <w:pStyle w:val="TableParagraph"/>
              <w:tabs>
                <w:tab w:pos="2478" w:val="left" w:leader="none"/>
              </w:tabs>
              <w:spacing w:before="14"/>
              <w:ind w:left="50"/>
              <w:rPr>
                <w:rFonts w:ascii="黑体" w:eastAsia="黑体" w:hint="eastAsia"/>
                <w:sz w:val="18"/>
              </w:rPr>
            </w:pPr>
            <w:r>
              <w:rPr>
                <w:rFonts w:ascii="黑体" w:eastAsia="黑体" w:hint="eastAsia"/>
                <w:sz w:val="18"/>
                <w:shd w:fill="D9D9D9" w:color="auto" w:val="clear"/>
              </w:rPr>
              <w:t>2.本公司提供的保障</w:t>
              <w:tab/>
            </w:r>
          </w:p>
        </w:tc>
        <w:tc>
          <w:tcPr>
            <w:tcW w:w="2700" w:type="dxa"/>
          </w:tcPr>
          <w:p>
            <w:pPr>
              <w:pStyle w:val="TableParagraph"/>
              <w:spacing w:before="14"/>
              <w:rPr>
                <w:rFonts w:ascii="黑体" w:eastAsia="黑体" w:hint="eastAsia"/>
                <w:sz w:val="18"/>
              </w:rPr>
            </w:pPr>
            <w:r>
              <w:rPr>
                <w:rFonts w:ascii="黑体" w:eastAsia="黑体" w:hint="eastAsia"/>
                <w:sz w:val="18"/>
              </w:rPr>
              <w:t>6.2 年龄错误</w:t>
            </w:r>
          </w:p>
        </w:tc>
        <w:tc>
          <w:tcPr>
            <w:tcW w:w="3342" w:type="dxa"/>
            <w:gridSpan w:val="2"/>
          </w:tcPr>
          <w:p>
            <w:pPr>
              <w:pStyle w:val="TableParagraph"/>
              <w:spacing w:before="14"/>
              <w:ind w:left="862"/>
              <w:rPr>
                <w:rFonts w:ascii="黑体" w:eastAsia="黑体" w:hint="eastAsia"/>
                <w:sz w:val="18"/>
              </w:rPr>
            </w:pPr>
            <w:r>
              <w:rPr>
                <w:rFonts w:ascii="黑体" w:eastAsia="黑体" w:hint="eastAsia"/>
                <w:sz w:val="18"/>
              </w:rPr>
              <w:t>9.9 遗传性疾病</w:t>
            </w:r>
          </w:p>
        </w:tc>
      </w:tr>
      <w:tr>
        <w:trPr>
          <w:trHeight w:val="235" w:hRule="atLeast"/>
        </w:trPr>
        <w:tc>
          <w:tcPr>
            <w:tcW w:w="3045" w:type="dxa"/>
          </w:tcPr>
          <w:p>
            <w:pPr>
              <w:pStyle w:val="TableParagraph"/>
              <w:spacing w:line="208" w:lineRule="exact"/>
              <w:ind w:left="50"/>
              <w:rPr>
                <w:rFonts w:ascii="黑体" w:eastAsia="黑体" w:hint="eastAsia"/>
                <w:sz w:val="18"/>
              </w:rPr>
            </w:pPr>
            <w:r>
              <w:rPr>
                <w:rFonts w:ascii="黑体" w:eastAsia="黑体" w:hint="eastAsia"/>
                <w:sz w:val="18"/>
              </w:rPr>
              <w:t>2.1 保险金额</w:t>
            </w:r>
          </w:p>
        </w:tc>
        <w:tc>
          <w:tcPr>
            <w:tcW w:w="2700" w:type="dxa"/>
            <w:shd w:val="clear" w:color="auto" w:fill="D9D9D9"/>
          </w:tcPr>
          <w:p>
            <w:pPr>
              <w:pStyle w:val="TableParagraph"/>
              <w:spacing w:line="208" w:lineRule="exact"/>
              <w:rPr>
                <w:rFonts w:ascii="黑体" w:eastAsia="黑体" w:hint="eastAsia"/>
                <w:sz w:val="18"/>
              </w:rPr>
            </w:pPr>
            <w:r>
              <w:rPr>
                <w:rFonts w:ascii="黑体" w:eastAsia="黑体" w:hint="eastAsia"/>
                <w:sz w:val="18"/>
              </w:rPr>
              <w:t>7.轻症疾病的定义</w:t>
            </w:r>
          </w:p>
        </w:tc>
        <w:tc>
          <w:tcPr>
            <w:tcW w:w="1268" w:type="dxa"/>
          </w:tcPr>
          <w:p>
            <w:pPr>
              <w:pStyle w:val="TableParagraph"/>
              <w:spacing w:line="208" w:lineRule="exact"/>
              <w:ind w:right="43"/>
              <w:jc w:val="right"/>
              <w:rPr>
                <w:rFonts w:ascii="黑体"/>
                <w:sz w:val="18"/>
              </w:rPr>
            </w:pPr>
            <w:r>
              <w:rPr>
                <w:rFonts w:ascii="黑体"/>
                <w:sz w:val="18"/>
              </w:rPr>
              <w:t>9.10</w:t>
            </w:r>
          </w:p>
        </w:tc>
        <w:tc>
          <w:tcPr>
            <w:tcW w:w="2074" w:type="dxa"/>
          </w:tcPr>
          <w:p>
            <w:pPr>
              <w:pStyle w:val="TableParagraph"/>
              <w:spacing w:line="208" w:lineRule="exact"/>
              <w:ind w:left="44"/>
              <w:rPr>
                <w:rFonts w:ascii="黑体" w:eastAsia="黑体" w:hint="eastAsia"/>
                <w:sz w:val="18"/>
              </w:rPr>
            </w:pPr>
            <w:r>
              <w:rPr>
                <w:rFonts w:ascii="黑体" w:eastAsia="黑体" w:hint="eastAsia"/>
                <w:sz w:val="18"/>
              </w:rPr>
              <w:t>先天性畸形、变形或染色</w:t>
            </w:r>
          </w:p>
        </w:tc>
      </w:tr>
      <w:tr>
        <w:trPr>
          <w:trHeight w:val="724" w:hRule="atLeast"/>
        </w:trPr>
        <w:tc>
          <w:tcPr>
            <w:tcW w:w="3045" w:type="dxa"/>
          </w:tcPr>
          <w:p>
            <w:pPr>
              <w:pStyle w:val="TableParagraph"/>
              <w:numPr>
                <w:ilvl w:val="1"/>
                <w:numId w:val="5"/>
              </w:numPr>
              <w:tabs>
                <w:tab w:pos="410" w:val="left" w:leader="none"/>
              </w:tabs>
              <w:spacing w:line="240" w:lineRule="auto" w:before="57" w:after="0"/>
              <w:ind w:left="410" w:right="0" w:hanging="360"/>
              <w:jc w:val="left"/>
              <w:rPr>
                <w:rFonts w:ascii="黑体" w:eastAsia="黑体" w:hint="eastAsia"/>
                <w:sz w:val="18"/>
              </w:rPr>
            </w:pPr>
            <w:r>
              <w:rPr>
                <w:rFonts w:ascii="黑体" w:eastAsia="黑体" w:hint="eastAsia"/>
                <w:sz w:val="18"/>
              </w:rPr>
              <w:t>保险期间</w:t>
            </w:r>
          </w:p>
          <w:p>
            <w:pPr>
              <w:pStyle w:val="TableParagraph"/>
              <w:numPr>
                <w:ilvl w:val="1"/>
                <w:numId w:val="5"/>
              </w:numPr>
              <w:tabs>
                <w:tab w:pos="410" w:val="left" w:leader="none"/>
              </w:tabs>
              <w:spacing w:line="240" w:lineRule="auto" w:before="84" w:after="0"/>
              <w:ind w:left="410" w:right="0" w:hanging="360"/>
              <w:jc w:val="left"/>
              <w:rPr>
                <w:rFonts w:ascii="黑体" w:eastAsia="黑体" w:hint="eastAsia"/>
                <w:sz w:val="18"/>
              </w:rPr>
            </w:pPr>
            <w:r>
              <w:rPr>
                <w:rFonts w:ascii="黑体" w:eastAsia="黑体" w:hint="eastAsia"/>
                <w:sz w:val="18"/>
              </w:rPr>
              <w:t>保险责任</w:t>
            </w:r>
          </w:p>
        </w:tc>
        <w:tc>
          <w:tcPr>
            <w:tcW w:w="2700" w:type="dxa"/>
          </w:tcPr>
          <w:p>
            <w:pPr>
              <w:pStyle w:val="TableParagraph"/>
              <w:numPr>
                <w:ilvl w:val="1"/>
                <w:numId w:val="6"/>
              </w:numPr>
              <w:tabs>
                <w:tab w:pos="361" w:val="left" w:leader="none"/>
              </w:tabs>
              <w:spacing w:line="240" w:lineRule="auto" w:before="57" w:after="0"/>
              <w:ind w:left="360" w:right="0" w:hanging="360"/>
              <w:jc w:val="left"/>
              <w:rPr>
                <w:rFonts w:ascii="黑体" w:eastAsia="黑体" w:hint="eastAsia"/>
                <w:sz w:val="18"/>
              </w:rPr>
            </w:pPr>
            <w:r>
              <w:rPr>
                <w:rFonts w:ascii="黑体" w:eastAsia="黑体" w:hint="eastAsia"/>
                <w:sz w:val="18"/>
              </w:rPr>
              <w:t>轻症疾病的定义</w:t>
            </w:r>
          </w:p>
          <w:p>
            <w:pPr>
              <w:pStyle w:val="TableParagraph"/>
              <w:numPr>
                <w:ilvl w:val="1"/>
                <w:numId w:val="6"/>
              </w:numPr>
              <w:tabs>
                <w:tab w:pos="361" w:val="left" w:leader="none"/>
              </w:tabs>
              <w:spacing w:line="240" w:lineRule="auto" w:before="84" w:after="0"/>
              <w:ind w:left="360" w:right="0" w:hanging="360"/>
              <w:jc w:val="left"/>
              <w:rPr>
                <w:rFonts w:ascii="黑体" w:eastAsia="黑体" w:hint="eastAsia"/>
                <w:sz w:val="18"/>
              </w:rPr>
            </w:pPr>
            <w:r>
              <w:rPr>
                <w:rFonts w:ascii="黑体" w:eastAsia="黑体" w:hint="eastAsia"/>
                <w:sz w:val="18"/>
              </w:rPr>
              <w:t>定义来源及确诊医院范围</w:t>
            </w:r>
          </w:p>
        </w:tc>
        <w:tc>
          <w:tcPr>
            <w:tcW w:w="1268" w:type="dxa"/>
          </w:tcPr>
          <w:p>
            <w:pPr>
              <w:pStyle w:val="TableParagraph"/>
              <w:rPr>
                <w:rFonts w:ascii="黑体"/>
                <w:sz w:val="18"/>
              </w:rPr>
            </w:pPr>
          </w:p>
          <w:p>
            <w:pPr>
              <w:pStyle w:val="TableParagraph"/>
              <w:spacing w:before="142"/>
              <w:ind w:right="43"/>
              <w:jc w:val="right"/>
              <w:rPr>
                <w:rFonts w:ascii="黑体"/>
                <w:sz w:val="18"/>
              </w:rPr>
            </w:pPr>
            <w:r>
              <w:rPr>
                <w:rFonts w:ascii="黑体"/>
                <w:sz w:val="18"/>
              </w:rPr>
              <w:t>9.11</w:t>
            </w:r>
          </w:p>
        </w:tc>
        <w:tc>
          <w:tcPr>
            <w:tcW w:w="2074" w:type="dxa"/>
          </w:tcPr>
          <w:p>
            <w:pPr>
              <w:pStyle w:val="TableParagraph"/>
              <w:spacing w:line="326" w:lineRule="auto" w:before="57"/>
              <w:ind w:left="44" w:right="1307"/>
              <w:rPr>
                <w:rFonts w:ascii="黑体" w:eastAsia="黑体" w:hint="eastAsia"/>
                <w:sz w:val="18"/>
              </w:rPr>
            </w:pPr>
            <w:r>
              <w:rPr>
                <w:rFonts w:ascii="黑体" w:eastAsia="黑体" w:hint="eastAsia"/>
                <w:sz w:val="18"/>
              </w:rPr>
              <w:t>体 异 常 现金价值</w:t>
            </w:r>
          </w:p>
        </w:tc>
      </w:tr>
      <w:tr>
        <w:trPr>
          <w:trHeight w:val="235" w:hRule="atLeast"/>
        </w:trPr>
        <w:tc>
          <w:tcPr>
            <w:tcW w:w="3045" w:type="dxa"/>
          </w:tcPr>
          <w:p>
            <w:pPr>
              <w:pStyle w:val="TableParagraph"/>
              <w:spacing w:line="208" w:lineRule="exact"/>
              <w:ind w:left="50"/>
              <w:rPr>
                <w:rFonts w:ascii="黑体" w:eastAsia="黑体" w:hint="eastAsia"/>
                <w:sz w:val="18"/>
              </w:rPr>
            </w:pPr>
            <w:r>
              <w:rPr>
                <w:rFonts w:ascii="黑体" w:eastAsia="黑体" w:hint="eastAsia"/>
                <w:sz w:val="18"/>
              </w:rPr>
              <w:t>2.4 责任免除</w:t>
            </w:r>
          </w:p>
        </w:tc>
        <w:tc>
          <w:tcPr>
            <w:tcW w:w="2700" w:type="dxa"/>
            <w:shd w:val="clear" w:color="auto" w:fill="D9D9D9"/>
          </w:tcPr>
          <w:p>
            <w:pPr>
              <w:pStyle w:val="TableParagraph"/>
              <w:spacing w:line="208" w:lineRule="exact"/>
              <w:rPr>
                <w:rFonts w:ascii="黑体" w:eastAsia="黑体" w:hint="eastAsia"/>
                <w:sz w:val="18"/>
              </w:rPr>
            </w:pPr>
            <w:r>
              <w:rPr>
                <w:rFonts w:ascii="黑体" w:eastAsia="黑体" w:hint="eastAsia"/>
                <w:sz w:val="18"/>
              </w:rPr>
              <w:t>8.特定疾病的定义</w:t>
            </w:r>
          </w:p>
        </w:tc>
        <w:tc>
          <w:tcPr>
            <w:tcW w:w="1268" w:type="dxa"/>
          </w:tcPr>
          <w:p>
            <w:pPr>
              <w:pStyle w:val="TableParagraph"/>
              <w:spacing w:line="208" w:lineRule="exact"/>
              <w:ind w:right="43"/>
              <w:jc w:val="right"/>
              <w:rPr>
                <w:rFonts w:ascii="黑体"/>
                <w:sz w:val="18"/>
              </w:rPr>
            </w:pPr>
            <w:r>
              <w:rPr>
                <w:rFonts w:ascii="黑体"/>
                <w:sz w:val="18"/>
              </w:rPr>
              <w:t>9.12</w:t>
            </w:r>
          </w:p>
        </w:tc>
        <w:tc>
          <w:tcPr>
            <w:tcW w:w="2074" w:type="dxa"/>
          </w:tcPr>
          <w:p>
            <w:pPr>
              <w:pStyle w:val="TableParagraph"/>
              <w:spacing w:line="208" w:lineRule="exact"/>
              <w:ind w:left="44"/>
              <w:rPr>
                <w:rFonts w:ascii="黑体" w:eastAsia="黑体" w:hint="eastAsia"/>
                <w:sz w:val="18"/>
              </w:rPr>
            </w:pPr>
            <w:r>
              <w:rPr>
                <w:rFonts w:ascii="黑体" w:eastAsia="黑体" w:hint="eastAsia"/>
                <w:sz w:val="18"/>
              </w:rPr>
              <w:t>有效身份证件</w:t>
            </w:r>
          </w:p>
        </w:tc>
      </w:tr>
      <w:tr>
        <w:trPr>
          <w:trHeight w:val="363" w:hRule="atLeast"/>
        </w:trPr>
        <w:tc>
          <w:tcPr>
            <w:tcW w:w="3045" w:type="dxa"/>
          </w:tcPr>
          <w:p>
            <w:pPr>
              <w:pStyle w:val="TableParagraph"/>
              <w:tabs>
                <w:tab w:pos="2478" w:val="left" w:leader="none"/>
              </w:tabs>
              <w:spacing w:before="57"/>
              <w:ind w:left="50"/>
              <w:rPr>
                <w:rFonts w:ascii="黑体" w:eastAsia="黑体" w:hint="eastAsia"/>
                <w:sz w:val="18"/>
              </w:rPr>
            </w:pPr>
            <w:r>
              <w:rPr>
                <w:rFonts w:ascii="黑体" w:eastAsia="黑体" w:hint="eastAsia"/>
                <w:sz w:val="18"/>
                <w:shd w:fill="D9D9D9" w:color="auto" w:val="clear"/>
              </w:rPr>
              <w:t>3.保险金的申请</w:t>
              <w:tab/>
            </w:r>
          </w:p>
        </w:tc>
        <w:tc>
          <w:tcPr>
            <w:tcW w:w="2700" w:type="dxa"/>
          </w:tcPr>
          <w:p>
            <w:pPr>
              <w:pStyle w:val="TableParagraph"/>
              <w:spacing w:before="57"/>
              <w:rPr>
                <w:rFonts w:ascii="黑体" w:eastAsia="黑体" w:hint="eastAsia"/>
                <w:sz w:val="18"/>
              </w:rPr>
            </w:pPr>
            <w:r>
              <w:rPr>
                <w:rFonts w:ascii="黑体" w:eastAsia="黑体" w:hint="eastAsia"/>
                <w:sz w:val="18"/>
              </w:rPr>
              <w:t>8.1 特定疾病的定义</w:t>
            </w:r>
          </w:p>
        </w:tc>
        <w:tc>
          <w:tcPr>
            <w:tcW w:w="1268" w:type="dxa"/>
          </w:tcPr>
          <w:p>
            <w:pPr>
              <w:pStyle w:val="TableParagraph"/>
              <w:spacing w:before="57"/>
              <w:ind w:right="43"/>
              <w:jc w:val="right"/>
              <w:rPr>
                <w:rFonts w:ascii="黑体"/>
                <w:sz w:val="18"/>
              </w:rPr>
            </w:pPr>
            <w:r>
              <w:rPr>
                <w:rFonts w:ascii="黑体"/>
                <w:sz w:val="18"/>
              </w:rPr>
              <w:t>9.13</w:t>
            </w:r>
          </w:p>
        </w:tc>
        <w:tc>
          <w:tcPr>
            <w:tcW w:w="2074" w:type="dxa"/>
          </w:tcPr>
          <w:p>
            <w:pPr>
              <w:pStyle w:val="TableParagraph"/>
              <w:spacing w:before="57"/>
              <w:ind w:left="44"/>
              <w:rPr>
                <w:rFonts w:ascii="黑体" w:eastAsia="黑体" w:hint="eastAsia"/>
                <w:sz w:val="18"/>
              </w:rPr>
            </w:pPr>
            <w:r>
              <w:rPr>
                <w:rFonts w:ascii="黑体" w:eastAsia="黑体" w:hint="eastAsia"/>
                <w:sz w:val="18"/>
              </w:rPr>
              <w:t>情形复杂</w:t>
            </w:r>
          </w:p>
        </w:tc>
      </w:tr>
      <w:tr>
        <w:trPr>
          <w:trHeight w:val="361" w:hRule="atLeast"/>
        </w:trPr>
        <w:tc>
          <w:tcPr>
            <w:tcW w:w="3045" w:type="dxa"/>
          </w:tcPr>
          <w:p>
            <w:pPr>
              <w:pStyle w:val="TableParagraph"/>
              <w:spacing w:before="14"/>
              <w:ind w:left="50"/>
              <w:rPr>
                <w:rFonts w:ascii="黑体" w:eastAsia="黑体" w:hint="eastAsia"/>
                <w:sz w:val="18"/>
              </w:rPr>
            </w:pPr>
            <w:r>
              <w:rPr>
                <w:rFonts w:ascii="黑体" w:eastAsia="黑体" w:hint="eastAsia"/>
                <w:sz w:val="18"/>
              </w:rPr>
              <w:t>3.1 受益人</w:t>
            </w:r>
          </w:p>
        </w:tc>
        <w:tc>
          <w:tcPr>
            <w:tcW w:w="2700" w:type="dxa"/>
          </w:tcPr>
          <w:p>
            <w:pPr>
              <w:pStyle w:val="TableParagraph"/>
              <w:spacing w:before="14"/>
              <w:rPr>
                <w:rFonts w:ascii="黑体" w:eastAsia="黑体" w:hint="eastAsia"/>
                <w:sz w:val="18"/>
              </w:rPr>
            </w:pPr>
            <w:r>
              <w:rPr>
                <w:rFonts w:ascii="黑体" w:eastAsia="黑体" w:hint="eastAsia"/>
                <w:sz w:val="18"/>
              </w:rPr>
              <w:t>8.2 定义来源及确诊医院范围</w:t>
            </w:r>
          </w:p>
        </w:tc>
        <w:tc>
          <w:tcPr>
            <w:tcW w:w="1268" w:type="dxa"/>
          </w:tcPr>
          <w:p>
            <w:pPr>
              <w:pStyle w:val="TableParagraph"/>
              <w:spacing w:before="14"/>
              <w:ind w:right="43"/>
              <w:jc w:val="right"/>
              <w:rPr>
                <w:rFonts w:ascii="黑体"/>
                <w:sz w:val="18"/>
              </w:rPr>
            </w:pPr>
            <w:r>
              <w:rPr>
                <w:rFonts w:ascii="黑体"/>
                <w:sz w:val="18"/>
              </w:rPr>
              <w:t>9.14</w:t>
            </w:r>
          </w:p>
        </w:tc>
        <w:tc>
          <w:tcPr>
            <w:tcW w:w="2074"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235" w:hRule="atLeast"/>
        </w:trPr>
        <w:tc>
          <w:tcPr>
            <w:tcW w:w="3045" w:type="dxa"/>
          </w:tcPr>
          <w:p>
            <w:pPr>
              <w:pStyle w:val="TableParagraph"/>
              <w:spacing w:line="208" w:lineRule="exact"/>
              <w:ind w:left="50"/>
              <w:rPr>
                <w:rFonts w:ascii="黑体" w:eastAsia="黑体" w:hint="eastAsia"/>
                <w:sz w:val="18"/>
              </w:rPr>
            </w:pPr>
            <w:r>
              <w:rPr>
                <w:rFonts w:ascii="黑体" w:eastAsia="黑体" w:hint="eastAsia"/>
                <w:sz w:val="18"/>
              </w:rPr>
              <w:t>3.2 保险金申请</w:t>
            </w:r>
          </w:p>
        </w:tc>
        <w:tc>
          <w:tcPr>
            <w:tcW w:w="2700" w:type="dxa"/>
            <w:shd w:val="clear" w:color="auto" w:fill="D9D9D9"/>
          </w:tcPr>
          <w:p>
            <w:pPr>
              <w:pStyle w:val="TableParagraph"/>
              <w:spacing w:line="208" w:lineRule="exact"/>
              <w:rPr>
                <w:rFonts w:ascii="黑体" w:eastAsia="黑体" w:hint="eastAsia"/>
                <w:sz w:val="18"/>
              </w:rPr>
            </w:pPr>
            <w:r>
              <w:rPr>
                <w:rFonts w:ascii="黑体" w:eastAsia="黑体" w:hint="eastAsia"/>
                <w:sz w:val="18"/>
              </w:rPr>
              <w:t>9.释义</w:t>
            </w:r>
          </w:p>
        </w:tc>
        <w:tc>
          <w:tcPr>
            <w:tcW w:w="1268" w:type="dxa"/>
          </w:tcPr>
          <w:p>
            <w:pPr>
              <w:pStyle w:val="TableParagraph"/>
              <w:spacing w:line="208" w:lineRule="exact"/>
              <w:ind w:right="43"/>
              <w:jc w:val="right"/>
              <w:rPr>
                <w:rFonts w:ascii="黑体"/>
                <w:sz w:val="18"/>
              </w:rPr>
            </w:pPr>
            <w:r>
              <w:rPr>
                <w:rFonts w:ascii="黑体"/>
                <w:sz w:val="18"/>
              </w:rPr>
              <w:t>9.15</w:t>
            </w:r>
          </w:p>
        </w:tc>
        <w:tc>
          <w:tcPr>
            <w:tcW w:w="2074" w:type="dxa"/>
          </w:tcPr>
          <w:p>
            <w:pPr>
              <w:pStyle w:val="TableParagraph"/>
              <w:spacing w:line="208" w:lineRule="exact"/>
              <w:ind w:left="44"/>
              <w:rPr>
                <w:rFonts w:ascii="黑体" w:eastAsia="黑体" w:hint="eastAsia"/>
                <w:sz w:val="18"/>
              </w:rPr>
            </w:pPr>
            <w:r>
              <w:rPr>
                <w:rFonts w:ascii="黑体" w:eastAsia="黑体" w:hint="eastAsia"/>
                <w:sz w:val="18"/>
              </w:rPr>
              <w:t>永久不可逆</w:t>
            </w:r>
          </w:p>
        </w:tc>
      </w:tr>
      <w:tr>
        <w:trPr>
          <w:trHeight w:val="363" w:hRule="atLeast"/>
        </w:trPr>
        <w:tc>
          <w:tcPr>
            <w:tcW w:w="3045" w:type="dxa"/>
          </w:tcPr>
          <w:p>
            <w:pPr>
              <w:pStyle w:val="TableParagraph"/>
              <w:spacing w:before="57"/>
              <w:ind w:left="50"/>
              <w:rPr>
                <w:rFonts w:ascii="黑体" w:eastAsia="黑体" w:hint="eastAsia"/>
                <w:sz w:val="18"/>
              </w:rPr>
            </w:pPr>
            <w:r>
              <w:rPr>
                <w:rFonts w:ascii="黑体" w:eastAsia="黑体" w:hint="eastAsia"/>
                <w:sz w:val="18"/>
              </w:rPr>
              <w:t>3.3 保险金给付</w:t>
            </w:r>
          </w:p>
        </w:tc>
        <w:tc>
          <w:tcPr>
            <w:tcW w:w="2700" w:type="dxa"/>
          </w:tcPr>
          <w:p>
            <w:pPr>
              <w:pStyle w:val="TableParagraph"/>
              <w:spacing w:before="57"/>
              <w:rPr>
                <w:rFonts w:ascii="黑体" w:eastAsia="黑体" w:hint="eastAsia"/>
                <w:sz w:val="18"/>
              </w:rPr>
            </w:pPr>
            <w:r>
              <w:rPr>
                <w:rFonts w:ascii="黑体" w:eastAsia="黑体" w:hint="eastAsia"/>
                <w:sz w:val="18"/>
              </w:rPr>
              <w:t>9.1 意外伤害</w:t>
            </w:r>
          </w:p>
        </w:tc>
        <w:tc>
          <w:tcPr>
            <w:tcW w:w="1268" w:type="dxa"/>
          </w:tcPr>
          <w:p>
            <w:pPr>
              <w:pStyle w:val="TableParagraph"/>
              <w:spacing w:before="57"/>
              <w:ind w:right="43"/>
              <w:jc w:val="right"/>
              <w:rPr>
                <w:rFonts w:ascii="黑体"/>
                <w:sz w:val="18"/>
              </w:rPr>
            </w:pPr>
            <w:r>
              <w:rPr>
                <w:rFonts w:ascii="黑体"/>
                <w:sz w:val="18"/>
              </w:rPr>
              <w:t>9.16</w:t>
            </w:r>
          </w:p>
        </w:tc>
        <w:tc>
          <w:tcPr>
            <w:tcW w:w="2074" w:type="dxa"/>
          </w:tcPr>
          <w:p>
            <w:pPr>
              <w:pStyle w:val="TableParagraph"/>
              <w:spacing w:before="57"/>
              <w:ind w:left="44"/>
              <w:rPr>
                <w:rFonts w:ascii="黑体" w:eastAsia="黑体" w:hint="eastAsia"/>
                <w:sz w:val="18"/>
              </w:rPr>
            </w:pPr>
            <w:r>
              <w:rPr>
                <w:rFonts w:ascii="黑体" w:eastAsia="黑体" w:hint="eastAsia"/>
                <w:sz w:val="18"/>
              </w:rPr>
              <w:t>六项基本日常Th活活动</w:t>
            </w:r>
          </w:p>
        </w:tc>
      </w:tr>
      <w:tr>
        <w:trPr>
          <w:trHeight w:val="319" w:hRule="atLeast"/>
        </w:trPr>
        <w:tc>
          <w:tcPr>
            <w:tcW w:w="3045"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2700" w:type="dxa"/>
          </w:tcPr>
          <w:p>
            <w:pPr>
              <w:pStyle w:val="TableParagraph"/>
              <w:spacing w:before="14"/>
              <w:rPr>
                <w:rFonts w:ascii="黑体" w:eastAsia="黑体" w:hint="eastAsia"/>
                <w:sz w:val="18"/>
              </w:rPr>
            </w:pPr>
            <w:r>
              <w:rPr>
                <w:rFonts w:ascii="黑体" w:eastAsia="黑体" w:hint="eastAsia"/>
                <w:sz w:val="18"/>
              </w:rPr>
              <w:t>9.2 周岁</w:t>
            </w:r>
          </w:p>
        </w:tc>
        <w:tc>
          <w:tcPr>
            <w:tcW w:w="1268" w:type="dxa"/>
          </w:tcPr>
          <w:p>
            <w:pPr>
              <w:pStyle w:val="TableParagraph"/>
              <w:spacing w:before="14"/>
              <w:ind w:right="43"/>
              <w:jc w:val="right"/>
              <w:rPr>
                <w:rFonts w:ascii="黑体"/>
                <w:sz w:val="18"/>
              </w:rPr>
            </w:pPr>
            <w:r>
              <w:rPr>
                <w:rFonts w:ascii="黑体"/>
                <w:sz w:val="18"/>
              </w:rPr>
              <w:t>9.17</w:t>
            </w:r>
          </w:p>
        </w:tc>
        <w:tc>
          <w:tcPr>
            <w:tcW w:w="2074"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570" w:hRule="atLeast"/>
        </w:trPr>
        <w:tc>
          <w:tcPr>
            <w:tcW w:w="3045" w:type="dxa"/>
          </w:tcPr>
          <w:p>
            <w:pPr>
              <w:pStyle w:val="TableParagraph"/>
              <w:tabs>
                <w:tab w:pos="2478" w:val="left" w:leader="none"/>
              </w:tabs>
              <w:spacing w:before="14"/>
              <w:ind w:left="50"/>
              <w:rPr>
                <w:rFonts w:ascii="黑体" w:eastAsia="黑体" w:hint="eastAsia"/>
                <w:sz w:val="18"/>
              </w:rPr>
            </w:pPr>
            <w:r>
              <w:rPr>
                <w:rFonts w:ascii="黑体" w:eastAsia="黑体" w:hint="eastAsia"/>
                <w:sz w:val="18"/>
                <w:shd w:fill="D9D9D9" w:color="auto" w:val="clear"/>
              </w:rPr>
              <w:t>4.保险费的支付</w:t>
              <w:tab/>
            </w:r>
          </w:p>
          <w:p>
            <w:pPr>
              <w:pStyle w:val="TableParagraph"/>
              <w:spacing w:line="216" w:lineRule="exact" w:before="84"/>
              <w:ind w:left="50"/>
              <w:rPr>
                <w:rFonts w:ascii="黑体" w:eastAsia="黑体" w:hint="eastAsia"/>
                <w:sz w:val="18"/>
              </w:rPr>
            </w:pPr>
            <w:r>
              <w:rPr>
                <w:rFonts w:ascii="黑体" w:eastAsia="黑体" w:hint="eastAsia"/>
                <w:sz w:val="18"/>
              </w:rPr>
              <w:t>4.1 保险费的支付</w:t>
            </w:r>
          </w:p>
        </w:tc>
        <w:tc>
          <w:tcPr>
            <w:tcW w:w="2700" w:type="dxa"/>
          </w:tcPr>
          <w:p>
            <w:pPr>
              <w:pStyle w:val="TableParagraph"/>
              <w:numPr>
                <w:ilvl w:val="1"/>
                <w:numId w:val="7"/>
              </w:numPr>
              <w:tabs>
                <w:tab w:pos="361" w:val="left" w:leader="none"/>
              </w:tabs>
              <w:spacing w:line="240" w:lineRule="auto" w:before="14" w:after="0"/>
              <w:ind w:left="360" w:right="0" w:hanging="360"/>
              <w:jc w:val="left"/>
              <w:rPr>
                <w:rFonts w:ascii="黑体" w:eastAsia="黑体" w:hint="eastAsia"/>
                <w:sz w:val="18"/>
              </w:rPr>
            </w:pPr>
            <w:r>
              <w:rPr>
                <w:rFonts w:ascii="黑体" w:eastAsia="黑体" w:hint="eastAsia"/>
                <w:sz w:val="18"/>
              </w:rPr>
              <w:t>毒品</w:t>
            </w:r>
          </w:p>
          <w:p>
            <w:pPr>
              <w:pStyle w:val="TableParagraph"/>
              <w:numPr>
                <w:ilvl w:val="1"/>
                <w:numId w:val="7"/>
              </w:numPr>
              <w:tabs>
                <w:tab w:pos="361" w:val="left" w:leader="none"/>
              </w:tabs>
              <w:spacing w:line="216" w:lineRule="exact" w:before="84" w:after="0"/>
              <w:ind w:left="360" w:right="0" w:hanging="360"/>
              <w:jc w:val="left"/>
              <w:rPr>
                <w:rFonts w:ascii="黑体" w:eastAsia="黑体" w:hint="eastAsia"/>
                <w:sz w:val="18"/>
              </w:rPr>
            </w:pPr>
            <w:r>
              <w:rPr>
                <w:rFonts w:ascii="黑体" w:eastAsia="黑体" w:hint="eastAsia"/>
                <w:sz w:val="18"/>
              </w:rPr>
              <w:t>酒后驾驶</w:t>
            </w:r>
          </w:p>
        </w:tc>
        <w:tc>
          <w:tcPr>
            <w:tcW w:w="1268" w:type="dxa"/>
          </w:tcPr>
          <w:p>
            <w:pPr>
              <w:pStyle w:val="TableParagraph"/>
              <w:spacing w:before="14"/>
              <w:ind w:right="43"/>
              <w:jc w:val="right"/>
              <w:rPr>
                <w:rFonts w:ascii="黑体"/>
                <w:sz w:val="18"/>
              </w:rPr>
            </w:pPr>
            <w:r>
              <w:rPr>
                <w:rFonts w:ascii="黑体"/>
                <w:sz w:val="18"/>
              </w:rPr>
              <w:t>9.18</w:t>
            </w:r>
          </w:p>
        </w:tc>
        <w:tc>
          <w:tcPr>
            <w:tcW w:w="2074" w:type="dxa"/>
          </w:tcPr>
          <w:p>
            <w:pPr>
              <w:pStyle w:val="TableParagraph"/>
              <w:spacing w:before="14"/>
              <w:ind w:left="44"/>
              <w:rPr>
                <w:rFonts w:ascii="黑体" w:eastAsia="黑体" w:hint="eastAsia"/>
                <w:sz w:val="18"/>
              </w:rPr>
            </w:pPr>
            <w:r>
              <w:rPr>
                <w:rFonts w:ascii="黑体" w:eastAsia="黑体" w:hint="eastAsia"/>
                <w:sz w:val="18"/>
              </w:rPr>
              <w:t>语言能力或咀嚼吞咽能</w:t>
            </w:r>
          </w:p>
          <w:p>
            <w:pPr>
              <w:pStyle w:val="TableParagraph"/>
              <w:spacing w:line="216" w:lineRule="exact" w:before="85"/>
              <w:ind w:left="44"/>
              <w:rPr>
                <w:rFonts w:ascii="黑体" w:eastAsia="黑体" w:hint="eastAsia"/>
                <w:sz w:val="18"/>
              </w:rPr>
            </w:pPr>
            <w:r>
              <w:rPr>
                <w:rFonts w:ascii="黑体" w:eastAsia="黑体" w:hint="eastAsia"/>
                <w:sz w:val="18"/>
              </w:rPr>
              <w:t>力完全丧失</w:t>
            </w:r>
          </w:p>
        </w:tc>
      </w:tr>
    </w:tbl>
    <w:p>
      <w:pPr>
        <w:spacing w:after="0" w:line="216" w:lineRule="exact"/>
        <w:rPr>
          <w:rFonts w:ascii="黑体" w:eastAsia="黑体" w:hint="eastAsia"/>
          <w:sz w:val="18"/>
        </w:rPr>
        <w:sectPr>
          <w:type w:val="continuous"/>
          <w:pgSz w:w="11910" w:h="16840"/>
          <w:pgMar w:top="1240" w:bottom="280" w:left="1140" w:right="1080"/>
        </w:sectPr>
      </w:pPr>
    </w:p>
    <w:p>
      <w:pPr>
        <w:pStyle w:val="Heading1"/>
        <w:spacing w:line="206" w:lineRule="auto"/>
        <w:ind w:left="2684" w:right="2460"/>
      </w:pPr>
      <w:r>
        <w:rPr/>
        <w:t>中国太平洋人寿保险股份有限公司</w:t>
      </w:r>
      <w:r>
        <w:rPr>
          <w:w w:val="95"/>
        </w:rPr>
        <w:t>附加团体终身特定疾病保险条款</w:t>
      </w:r>
    </w:p>
    <w:p>
      <w:pPr>
        <w:pStyle w:val="BodyText"/>
        <w:spacing w:before="4"/>
        <w:rPr>
          <w:rFonts w:ascii="黑体"/>
          <w:b/>
          <w:sz w:val="30"/>
        </w:rPr>
      </w:pPr>
    </w:p>
    <w:p>
      <w:pPr>
        <w:pStyle w:val="BodyText"/>
        <w:spacing w:line="278" w:lineRule="auto"/>
        <w:ind w:left="114" w:right="147" w:firstLine="420"/>
      </w:pPr>
      <w:r>
        <w:rPr>
          <w:spacing w:val="-8"/>
        </w:rPr>
        <w:t>“附加团体终身特定疾病保险”简称“附加团终身疾病”。在本附加险条款中，“本公司”指中国太</w:t>
      </w:r>
      <w:r>
        <w:rPr>
          <w:spacing w:val="-14"/>
        </w:rPr>
        <w:t>平洋人寿保险股份有限公司，“本附加险合同”指投保人与本公司之间订立的“附加团体终身特定疾病保</w:t>
      </w:r>
      <w:r>
        <w:rPr>
          <w:spacing w:val="-30"/>
        </w:rPr>
        <w:t>险合同”。</w:t>
      </w:r>
    </w:p>
    <w:p>
      <w:pPr>
        <w:pStyle w:val="BodyText"/>
        <w:spacing w:before="2"/>
        <w:rPr>
          <w:sz w:val="10"/>
        </w:rPr>
      </w:pPr>
      <w:r>
        <w:rPr/>
        <w:pict>
          <v:shape style="position:absolute;margin-left:59.099998pt;margin-top:7.859959pt;width:477.1pt;height:15.6pt;mso-position-horizontal-relative:page;mso-position-vertical-relative:paragraph;z-index:107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双方订立的合同</w:t>
                  </w:r>
                </w:p>
              </w:txbxContent>
            </v:textbox>
            <v:fill type="solid"/>
            <w10:wrap type="topAndBottom"/>
          </v:shape>
        </w:pict>
      </w:r>
    </w:p>
    <w:p>
      <w:pPr>
        <w:pStyle w:val="BodyText"/>
        <w:spacing w:before="10"/>
        <w:rPr>
          <w:sz w:val="7"/>
        </w:rPr>
      </w:pPr>
    </w:p>
    <w:p>
      <w:pPr>
        <w:pStyle w:val="ListParagraph"/>
        <w:numPr>
          <w:ilvl w:val="1"/>
          <w:numId w:val="8"/>
        </w:numPr>
        <w:tabs>
          <w:tab w:pos="1325" w:val="left" w:leader="none"/>
          <w:tab w:pos="1326" w:val="left" w:leader="none"/>
          <w:tab w:pos="2878" w:val="left" w:leader="none"/>
        </w:tabs>
        <w:spacing w:line="240" w:lineRule="auto" w:before="35" w:after="0"/>
        <w:ind w:left="2878" w:right="0" w:hanging="2609"/>
        <w:jc w:val="left"/>
        <w:rPr>
          <w:sz w:val="21"/>
        </w:rPr>
      </w:pPr>
      <w:r>
        <w:rPr>
          <w:rFonts w:ascii="黑体" w:eastAsia="黑体" w:hint="eastAsia"/>
          <w:sz w:val="21"/>
        </w:rPr>
        <w:t>合同订立</w:t>
        <w:tab/>
      </w:r>
      <w:r>
        <w:rPr>
          <w:sz w:val="21"/>
        </w:rPr>
        <w:t>本附加险合同由主险合同的投保人与本公司订立。</w:t>
      </w:r>
    </w:p>
    <w:p>
      <w:pPr>
        <w:pStyle w:val="BodyText"/>
        <w:spacing w:before="3"/>
        <w:rPr>
          <w:sz w:val="14"/>
        </w:rPr>
      </w:pPr>
    </w:p>
    <w:p>
      <w:pPr>
        <w:pStyle w:val="ListParagraph"/>
        <w:numPr>
          <w:ilvl w:val="1"/>
          <w:numId w:val="8"/>
        </w:numPr>
        <w:tabs>
          <w:tab w:pos="1326" w:val="left" w:leader="none"/>
        </w:tabs>
        <w:spacing w:line="278" w:lineRule="auto" w:before="0" w:after="0"/>
        <w:ind w:left="2878" w:right="207" w:hanging="2609"/>
        <w:jc w:val="both"/>
        <w:rPr>
          <w:sz w:val="21"/>
        </w:rPr>
      </w:pPr>
      <w:r>
        <w:rPr>
          <w:rFonts w:ascii="黑体" w:eastAsia="黑体" w:hint="eastAsia"/>
          <w:spacing w:val="7"/>
          <w:sz w:val="21"/>
        </w:rPr>
        <w:t>合同构成     </w:t>
      </w:r>
      <w:r>
        <w:rPr>
          <w:spacing w:val="-1"/>
          <w:sz w:val="21"/>
        </w:rPr>
        <w:t>本附加险合同是投保人与本公司约定保险权利义务关系的协议，包括本附加险条款、保险单及其他保险凭证、投保单及其他投保文件、合法有效的声明、批注、批单及其他投保人与本公司共同认可的书面协议。</w:t>
      </w:r>
    </w:p>
    <w:p>
      <w:pPr>
        <w:pStyle w:val="BodyText"/>
        <w:spacing w:before="13"/>
        <w:rPr>
          <w:sz w:val="8"/>
        </w:rPr>
      </w:pPr>
    </w:p>
    <w:p>
      <w:pPr>
        <w:spacing w:after="0"/>
        <w:rPr>
          <w:sz w:val="8"/>
        </w:rPr>
        <w:sectPr>
          <w:pgSz w:w="11910" w:h="16840"/>
          <w:pgMar w:top="1360" w:bottom="280" w:left="1020" w:right="1080"/>
        </w:sectPr>
      </w:pPr>
    </w:p>
    <w:p>
      <w:pPr>
        <w:pStyle w:val="ListParagraph"/>
        <w:numPr>
          <w:ilvl w:val="1"/>
          <w:numId w:val="8"/>
        </w:numPr>
        <w:tabs>
          <w:tab w:pos="1326" w:val="left" w:leader="none"/>
          <w:tab w:pos="1327" w:val="left" w:leader="none"/>
        </w:tabs>
        <w:spacing w:line="280" w:lineRule="auto" w:before="35" w:after="0"/>
        <w:ind w:left="1326" w:right="0" w:hanging="1057"/>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80" w:lineRule="auto" w:before="35"/>
        <w:ind w:left="253" w:right="208"/>
      </w:pPr>
      <w:r>
        <w:rPr/>
        <w:br w:type="column"/>
      </w:r>
      <w:r>
        <w:rPr/>
        <w:t>本附加险合同与主险合同同时成立，同时生效。合同生效日期在保险单上载明。</w:t>
      </w:r>
    </w:p>
    <w:p>
      <w:pPr>
        <w:spacing w:after="0" w:line="280" w:lineRule="auto"/>
        <w:sectPr>
          <w:type w:val="continuous"/>
          <w:pgSz w:w="11910" w:h="16840"/>
          <w:pgMar w:top="1240" w:bottom="280" w:left="1020" w:right="1080"/>
          <w:cols w:num="2" w:equalWidth="0">
            <w:col w:w="2586" w:space="40"/>
            <w:col w:w="7184"/>
          </w:cols>
        </w:sectPr>
      </w:pPr>
    </w:p>
    <w:p>
      <w:pPr>
        <w:pStyle w:val="BodyText"/>
        <w:spacing w:before="11"/>
        <w:rPr>
          <w:sz w:val="8"/>
        </w:rPr>
      </w:pPr>
    </w:p>
    <w:p>
      <w:pPr>
        <w:pStyle w:val="ListParagraph"/>
        <w:numPr>
          <w:ilvl w:val="1"/>
          <w:numId w:val="8"/>
        </w:numPr>
        <w:tabs>
          <w:tab w:pos="1325" w:val="left" w:leader="none"/>
          <w:tab w:pos="1326" w:val="left" w:leader="none"/>
          <w:tab w:pos="2878" w:val="left" w:leader="none"/>
        </w:tabs>
        <w:spacing w:line="240" w:lineRule="auto" w:before="35" w:after="0"/>
        <w:ind w:left="1326" w:right="0" w:hanging="1057"/>
        <w:jc w:val="left"/>
        <w:rPr>
          <w:sz w:val="21"/>
        </w:rPr>
      </w:pPr>
      <w:r>
        <w:rPr>
          <w:rFonts w:ascii="黑体" w:eastAsia="黑体" w:hint="eastAsia"/>
          <w:sz w:val="21"/>
        </w:rPr>
        <w:t>投保范围</w:t>
        <w:tab/>
      </w:r>
      <w:r>
        <w:rPr>
          <w:sz w:val="21"/>
        </w:rPr>
        <w:t>本附加险合同接受的投保范围与主险合同一致。</w:t>
      </w:r>
    </w:p>
    <w:p>
      <w:pPr>
        <w:pStyle w:val="BodyText"/>
        <w:spacing w:before="8"/>
        <w:rPr>
          <w:sz w:val="11"/>
        </w:rPr>
      </w:pPr>
      <w:r>
        <w:rPr/>
        <w:pict>
          <v:shape style="position:absolute;margin-left:59.099998pt;margin-top:8.815359pt;width:477.1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本公司提供的保障</w:t>
                  </w:r>
                </w:p>
              </w:txbxContent>
            </v:textbox>
            <v:fill type="solid"/>
            <w10:wrap type="topAndBottom"/>
          </v:shape>
        </w:pict>
      </w:r>
    </w:p>
    <w:p>
      <w:pPr>
        <w:pStyle w:val="BodyText"/>
        <w:spacing w:before="10"/>
        <w:rPr>
          <w:sz w:val="7"/>
        </w:rPr>
      </w:pPr>
    </w:p>
    <w:p>
      <w:pPr>
        <w:pStyle w:val="ListParagraph"/>
        <w:numPr>
          <w:ilvl w:val="1"/>
          <w:numId w:val="9"/>
        </w:numPr>
        <w:tabs>
          <w:tab w:pos="1327" w:val="left" w:leader="none"/>
        </w:tabs>
        <w:spacing w:line="280" w:lineRule="auto" w:before="35" w:after="0"/>
        <w:ind w:left="2878" w:right="207" w:hanging="2609"/>
        <w:jc w:val="both"/>
        <w:rPr>
          <w:sz w:val="21"/>
        </w:rPr>
      </w:pPr>
      <w:r>
        <w:rPr>
          <w:rFonts w:ascii="黑体" w:eastAsia="黑体" w:hint="eastAsia"/>
          <w:spacing w:val="7"/>
          <w:sz w:val="21"/>
        </w:rPr>
        <w:t>保险金额     </w:t>
      </w:r>
      <w:r>
        <w:rPr>
          <w:spacing w:val="-1"/>
          <w:sz w:val="21"/>
        </w:rPr>
        <w:t>本附加险合同的保险金额由投保人在投保时与本公司约定，并在保险单上载明。</w:t>
      </w:r>
    </w:p>
    <w:p>
      <w:pPr>
        <w:pStyle w:val="ListParagraph"/>
        <w:numPr>
          <w:ilvl w:val="1"/>
          <w:numId w:val="9"/>
        </w:numPr>
        <w:tabs>
          <w:tab w:pos="1325" w:val="left" w:leader="none"/>
          <w:tab w:pos="1327" w:val="left" w:leader="none"/>
          <w:tab w:pos="2878" w:val="left" w:leader="none"/>
        </w:tabs>
        <w:spacing w:line="240" w:lineRule="auto" w:before="151" w:after="0"/>
        <w:ind w:left="1326"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9"/>
        </w:numPr>
        <w:tabs>
          <w:tab w:pos="1327" w:val="left" w:leader="none"/>
        </w:tabs>
        <w:spacing w:line="278" w:lineRule="auto" w:before="1" w:after="0"/>
        <w:ind w:left="2878" w:right="207" w:hanging="2609"/>
        <w:jc w:val="both"/>
        <w:rPr>
          <w:sz w:val="21"/>
        </w:rPr>
      </w:pPr>
      <w:r>
        <w:rPr>
          <w:rFonts w:ascii="黑体" w:eastAsia="黑体" w:hint="eastAsia"/>
          <w:spacing w:val="5"/>
          <w:sz w:val="21"/>
        </w:rPr>
        <w:t>保险责任     </w:t>
      </w:r>
      <w:r>
        <w:rPr>
          <w:spacing w:val="-3"/>
          <w:sz w:val="21"/>
        </w:rPr>
        <w:t>本附加险合同的保险责任分为方案 </w:t>
      </w:r>
      <w:r>
        <w:rPr>
          <w:sz w:val="21"/>
        </w:rPr>
        <w:t>A</w:t>
      </w:r>
      <w:r>
        <w:rPr>
          <w:spacing w:val="-19"/>
          <w:sz w:val="21"/>
        </w:rPr>
        <w:t> 和方案 </w:t>
      </w:r>
      <w:r>
        <w:rPr>
          <w:sz w:val="21"/>
        </w:rPr>
        <w:t>B，</w:t>
      </w:r>
      <w:r>
        <w:rPr>
          <w:spacing w:val="-15"/>
          <w:sz w:val="21"/>
        </w:rPr>
        <w:t>方案 </w:t>
      </w:r>
      <w:r>
        <w:rPr>
          <w:sz w:val="21"/>
        </w:rPr>
        <w:t>A</w:t>
      </w:r>
      <w:r>
        <w:rPr>
          <w:spacing w:val="-7"/>
          <w:sz w:val="21"/>
        </w:rPr>
        <w:t> 为轻症疾病保险金</w:t>
      </w:r>
      <w:r>
        <w:rPr>
          <w:spacing w:val="-12"/>
          <w:sz w:val="21"/>
        </w:rPr>
        <w:t>给付责任，方案 </w:t>
      </w:r>
      <w:r>
        <w:rPr>
          <w:sz w:val="21"/>
        </w:rPr>
        <w:t>B</w:t>
      </w:r>
      <w:r>
        <w:rPr>
          <w:spacing w:val="-8"/>
          <w:sz w:val="21"/>
        </w:rPr>
        <w:t> 为轻症疾病保险金和特定疾病保险金给付责任。保险责任由投保人在投保时选择其中一种方案投保，投保人选择投保的保险责任在保险单上载明。</w:t>
      </w:r>
    </w:p>
    <w:p>
      <w:pPr>
        <w:pStyle w:val="BodyText"/>
        <w:spacing w:line="278" w:lineRule="auto" w:before="12"/>
        <w:ind w:left="2878" w:right="204"/>
      </w:pPr>
      <w:r>
        <w:rPr/>
        <w:t>在本附加险合同保险期间内，且主险合同和本附加险合同均有效的前提下，本公司根据投保人的选择承担保险责任：</w:t>
      </w:r>
    </w:p>
    <w:p>
      <w:pPr>
        <w:pStyle w:val="BodyText"/>
        <w:rPr>
          <w:sz w:val="9"/>
        </w:rPr>
      </w:pPr>
    </w:p>
    <w:p>
      <w:pPr>
        <w:spacing w:after="0"/>
        <w:rPr>
          <w:sz w:val="9"/>
        </w:rPr>
        <w:sectPr>
          <w:type w:val="continuous"/>
          <w:pgSz w:w="11910" w:h="16840"/>
          <w:pgMar w:top="1240" w:bottom="280" w:left="1020" w:right="1080"/>
        </w:sectPr>
      </w:pPr>
    </w:p>
    <w:p>
      <w:pPr>
        <w:pStyle w:val="BodyText"/>
        <w:tabs>
          <w:tab w:pos="1326" w:val="left" w:leader="none"/>
        </w:tabs>
        <w:spacing w:line="280" w:lineRule="auto" w:before="35"/>
        <w:ind w:left="1326" w:hanging="1057"/>
        <w:rPr>
          <w:rFonts w:ascii="黑体" w:eastAsia="黑体" w:hint="eastAsia"/>
        </w:rPr>
      </w:pPr>
      <w:r>
        <w:rPr>
          <w:rFonts w:ascii="黑体" w:eastAsia="黑体" w:hint="eastAsia"/>
        </w:rPr>
        <w:t>方案</w:t>
      </w:r>
      <w:r>
        <w:rPr>
          <w:rFonts w:ascii="黑体" w:eastAsia="黑体" w:hint="eastAsia"/>
          <w:spacing w:val="-54"/>
        </w:rPr>
        <w:t> </w:t>
      </w:r>
      <w:r>
        <w:rPr>
          <w:rFonts w:ascii="黑体" w:eastAsia="黑体" w:hint="eastAsia"/>
        </w:rPr>
        <w:t>A</w:t>
        <w:tab/>
      </w:r>
      <w:r>
        <w:rPr>
          <w:rFonts w:ascii="黑体" w:eastAsia="黑体" w:hint="eastAsia"/>
          <w:spacing w:val="-1"/>
        </w:rPr>
        <w:t>轻症疾病保险</w:t>
      </w:r>
      <w:r>
        <w:rPr>
          <w:rFonts w:ascii="黑体" w:eastAsia="黑体" w:hint="eastAsia"/>
        </w:rPr>
        <w:t>金</w:t>
      </w:r>
    </w:p>
    <w:p>
      <w:pPr>
        <w:pStyle w:val="BodyText"/>
        <w:spacing w:line="225" w:lineRule="auto" w:before="52"/>
        <w:ind w:left="253" w:right="204"/>
        <w:jc w:val="both"/>
      </w:pPr>
      <w:r>
        <w:rPr/>
        <w:br w:type="column"/>
      </w:r>
      <w:r>
        <w:rPr>
          <w:shd w:fill="D9D9D9" w:color="auto" w:val="clear"/>
        </w:rPr>
        <w:t>若被保险人在本附加险合同生效或最后一次复效（以较迟者为准）之日起90 日（90 日为等待期）内因</w:t>
      </w:r>
      <w:r>
        <w:rPr>
          <w:rFonts w:ascii="Microsoft JhengHei" w:eastAsia="Microsoft JhengHei" w:hint="eastAsia"/>
          <w:b/>
          <w:shd w:fill="D9D9D9" w:color="auto" w:val="clear"/>
        </w:rPr>
        <w:t>意外伤害</w:t>
      </w:r>
      <w:r>
        <w:rPr>
          <w:shd w:fill="D9D9D9" w:color="auto" w:val="clear"/>
        </w:rPr>
        <w:t>以外的原因被确诊初次发生本附加</w:t>
      </w:r>
    </w:p>
    <w:p>
      <w:pPr>
        <w:pStyle w:val="BodyText"/>
        <w:spacing w:line="278" w:lineRule="auto" w:before="21"/>
        <w:ind w:left="253" w:right="204"/>
        <w:jc w:val="both"/>
      </w:pPr>
      <w:r>
        <w:rPr>
          <w:shd w:fill="D9D9D9" w:color="auto" w:val="clear"/>
        </w:rPr>
        <w:t>险合同约定的轻症疾病</w:t>
      </w:r>
      <w:r>
        <w:rPr>
          <w:spacing w:val="2"/>
          <w:shd w:fill="D9D9D9" w:color="auto" w:val="clear"/>
        </w:rPr>
        <w:t>（</w:t>
      </w:r>
      <w:r>
        <w:rPr>
          <w:shd w:fill="D9D9D9" w:color="auto" w:val="clear"/>
        </w:rPr>
        <w:t>无论一种或多种，下同</w:t>
      </w:r>
      <w:r>
        <w:rPr>
          <w:spacing w:val="-102"/>
          <w:shd w:fill="D9D9D9" w:color="auto" w:val="clear"/>
        </w:rPr>
        <w:t>）</w:t>
      </w:r>
      <w:r>
        <w:rPr>
          <w:shd w:fill="D9D9D9" w:color="auto" w:val="clear"/>
        </w:rPr>
        <w:t>，本公司按投保人根据</w:t>
      </w:r>
      <w:r>
        <w:rPr>
          <w:spacing w:val="5"/>
          <w:shd w:fill="D9D9D9" w:color="auto" w:val="clear"/>
        </w:rPr>
        <w:t>本附加险合同约定已支付的该被保</w:t>
      </w:r>
      <w:r>
        <w:rPr>
          <w:spacing w:val="-10"/>
          <w:shd w:fill="D9D9D9" w:color="auto" w:val="clear"/>
        </w:rPr>
        <w:t>险人对应的保险费给付轻症疾病保险金，本附加险合同轻症疾病保险金给付仅限一次，给付后，本公司对该被保险人的保险责任终止。</w:t>
      </w:r>
    </w:p>
    <w:p>
      <w:pPr>
        <w:pStyle w:val="BodyText"/>
        <w:spacing w:line="280" w:lineRule="auto" w:before="10"/>
        <w:ind w:left="253" w:right="204"/>
        <w:jc w:val="both"/>
      </w:pPr>
      <w:r>
        <w:rPr>
          <w:spacing w:val="3"/>
        </w:rPr>
        <w:t>若被保险人因遭受意外伤害被确诊初次发生本附加险合同约定的轻症疾病，或在本附加险合同生效或最后一次复效（以较迟者为准）</w:t>
      </w:r>
      <w:r>
        <w:rPr>
          <w:spacing w:val="17"/>
        </w:rPr>
        <w:t>之日起 </w:t>
      </w:r>
      <w:r>
        <w:rPr/>
        <w:t>90 </w:t>
      </w:r>
      <w:r>
        <w:rPr>
          <w:spacing w:val="3"/>
        </w:rPr>
        <w:t>日后因意外伤害以外的原因被确诊初次发生本附加险合同约定的轻症疾</w:t>
      </w:r>
      <w:r>
        <w:rPr/>
        <w:t>病，本公司按本附加险合同约定的该被保险人对应的保险金额给付轻症疾病保险金，本附加险合同轻症疾病保险金给付仅限一次，给付后，本公司对该被保险人的保险责任终止。</w:t>
      </w:r>
    </w:p>
    <w:p>
      <w:pPr>
        <w:spacing w:after="0" w:line="280" w:lineRule="auto"/>
        <w:jc w:val="both"/>
        <w:sectPr>
          <w:type w:val="continuous"/>
          <w:pgSz w:w="11910" w:h="16840"/>
          <w:pgMar w:top="1240" w:bottom="280" w:left="1020" w:right="1080"/>
          <w:cols w:num="2" w:equalWidth="0">
            <w:col w:w="2586" w:space="40"/>
            <w:col w:w="7184"/>
          </w:cols>
        </w:sectPr>
      </w:pPr>
    </w:p>
    <w:p>
      <w:pPr>
        <w:pStyle w:val="BodyText"/>
        <w:spacing w:before="11"/>
        <w:rPr>
          <w:sz w:val="8"/>
        </w:rPr>
      </w:pPr>
    </w:p>
    <w:p>
      <w:pPr>
        <w:spacing w:after="0"/>
        <w:rPr>
          <w:sz w:val="8"/>
        </w:rPr>
        <w:sectPr>
          <w:type w:val="continuous"/>
          <w:pgSz w:w="11910" w:h="16840"/>
          <w:pgMar w:top="1240" w:bottom="280" w:left="1020" w:right="1080"/>
        </w:sectPr>
      </w:pPr>
    </w:p>
    <w:p>
      <w:pPr>
        <w:pStyle w:val="BodyText"/>
        <w:tabs>
          <w:tab w:pos="1326" w:val="left" w:leader="none"/>
        </w:tabs>
        <w:spacing w:line="278" w:lineRule="auto" w:before="35"/>
        <w:ind w:left="1325" w:hanging="1057"/>
        <w:rPr>
          <w:rFonts w:ascii="黑体" w:eastAsia="黑体" w:hint="eastAsia"/>
        </w:rPr>
      </w:pPr>
      <w:r>
        <w:rPr>
          <w:rFonts w:ascii="黑体" w:eastAsia="黑体" w:hint="eastAsia"/>
        </w:rPr>
        <w:t>方案</w:t>
      </w:r>
      <w:r>
        <w:rPr>
          <w:rFonts w:ascii="黑体" w:eastAsia="黑体" w:hint="eastAsia"/>
          <w:spacing w:val="-54"/>
        </w:rPr>
        <w:t> </w:t>
      </w:r>
      <w:r>
        <w:rPr>
          <w:rFonts w:ascii="黑体" w:eastAsia="黑体" w:hint="eastAsia"/>
        </w:rPr>
        <w:t>B</w:t>
        <w:tab/>
        <w:tab/>
      </w:r>
      <w:r>
        <w:rPr>
          <w:rFonts w:ascii="黑体" w:eastAsia="黑体" w:hint="eastAsia"/>
          <w:spacing w:val="-1"/>
        </w:rPr>
        <w:t>轻症疾病保险</w:t>
      </w:r>
      <w:r>
        <w:rPr>
          <w:rFonts w:ascii="黑体" w:eastAsia="黑体" w:hint="eastAsia"/>
        </w:rPr>
        <w:t>金</w:t>
      </w:r>
    </w:p>
    <w:p>
      <w:pPr>
        <w:pStyle w:val="BodyText"/>
        <w:spacing w:line="278" w:lineRule="auto" w:before="35"/>
        <w:ind w:left="253" w:right="206"/>
      </w:pPr>
      <w:r>
        <w:rPr/>
        <w:br w:type="column"/>
      </w:r>
      <w:r>
        <w:rPr>
          <w:shd w:fill="D9D9D9" w:color="auto" w:val="clear"/>
        </w:rPr>
        <w:t>若被保险人在本附加险合同生效或最后一次复效（以较迟者为准）之日起90 日（90 日为等待期）内因意外伤害以外的原因被确诊初次发生本附加</w:t>
      </w:r>
    </w:p>
    <w:p>
      <w:pPr>
        <w:spacing w:after="0" w:line="278" w:lineRule="auto"/>
        <w:sectPr>
          <w:type w:val="continuous"/>
          <w:pgSz w:w="11910" w:h="16840"/>
          <w:pgMar w:top="1240" w:bottom="280" w:left="1020" w:right="1080"/>
          <w:cols w:num="2" w:equalWidth="0">
            <w:col w:w="2586" w:space="40"/>
            <w:col w:w="7184"/>
          </w:cols>
        </w:sectPr>
      </w:pPr>
    </w:p>
    <w:tbl>
      <w:tblPr>
        <w:tblCellSpacing w:w="23" w:type="dxa"/>
        <w:tblW w:w="0" w:type="auto"/>
        <w:jc w:val="left"/>
        <w:tblInd w:w="2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6"/>
      </w:tblGrid>
      <w:tr>
        <w:trPr>
          <w:trHeight w:val="218" w:hRule="atLeast"/>
        </w:trPr>
        <w:tc>
          <w:tcPr>
            <w:tcW w:w="6716" w:type="dxa"/>
            <w:tcBorders>
              <w:bottom w:val="nil"/>
            </w:tcBorders>
            <w:shd w:val="clear" w:color="auto" w:fill="D9D9D9"/>
          </w:tcPr>
          <w:p>
            <w:pPr>
              <w:pStyle w:val="TableParagraph"/>
              <w:spacing w:line="241" w:lineRule="exact"/>
              <w:ind w:left="23" w:right="-29"/>
              <w:rPr>
                <w:sz w:val="21"/>
              </w:rPr>
            </w:pPr>
            <w:r>
              <w:rPr>
                <w:spacing w:val="-1"/>
                <w:sz w:val="21"/>
              </w:rPr>
              <w:t>险合同约定的轻症疾病，本公司按投保人根据本附加险合同约定已支付的</w:t>
            </w:r>
          </w:p>
        </w:tc>
      </w:tr>
    </w:tbl>
    <w:p>
      <w:pPr>
        <w:pStyle w:val="BodyText"/>
        <w:spacing w:line="244" w:lineRule="exact" w:after="26"/>
        <w:ind w:left="2218"/>
      </w:pPr>
      <w:r>
        <w:rPr>
          <w:shd w:fill="D9D9D9" w:color="auto" w:val="clear"/>
        </w:rPr>
        <w:t>该被保险人对应的保险费给付轻症疾病保险金，本附加险合同轻症疾病保</w:t>
      </w:r>
    </w:p>
    <w:tbl>
      <w:tblPr>
        <w:tblCellSpacing w:w="24" w:type="dxa"/>
        <w:tblW w:w="0" w:type="auto"/>
        <w:jc w:val="left"/>
        <w:tblInd w:w="2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6"/>
      </w:tblGrid>
      <w:tr>
        <w:trPr>
          <w:trHeight w:val="218" w:hRule="atLeast"/>
        </w:trPr>
        <w:tc>
          <w:tcPr>
            <w:tcW w:w="6716" w:type="dxa"/>
            <w:tcBorders>
              <w:top w:val="nil"/>
            </w:tcBorders>
            <w:shd w:val="clear" w:color="auto" w:fill="D9D9D9"/>
          </w:tcPr>
          <w:p>
            <w:pPr>
              <w:pStyle w:val="TableParagraph"/>
              <w:spacing w:line="240" w:lineRule="exact"/>
              <w:ind w:left="24" w:right="-29"/>
              <w:rPr>
                <w:sz w:val="21"/>
              </w:rPr>
            </w:pPr>
            <w:r>
              <w:rPr>
                <w:sz w:val="21"/>
              </w:rPr>
              <w:t>险金给付仅限一次，给付后，本公司对该被保险人的该项保险责任终止。</w:t>
            </w:r>
          </w:p>
        </w:tc>
      </w:tr>
    </w:tbl>
    <w:p>
      <w:pPr>
        <w:pStyle w:val="BodyText"/>
        <w:spacing w:line="278" w:lineRule="auto"/>
        <w:ind w:left="2218" w:right="144"/>
        <w:jc w:val="both"/>
      </w:pPr>
      <w:r>
        <w:rPr>
          <w:spacing w:val="3"/>
        </w:rPr>
        <w:t>若被保险人因遭受意外伤害被确诊初次发生本附加险合同约定的轻症疾病，或在本附加险合同生效或最后一次复效（以较迟者为准）</w:t>
      </w:r>
      <w:r>
        <w:rPr>
          <w:spacing w:val="17"/>
        </w:rPr>
        <w:t>之日起 </w:t>
      </w:r>
      <w:r>
        <w:rPr/>
        <w:t>90 </w:t>
      </w:r>
      <w:r>
        <w:rPr>
          <w:spacing w:val="3"/>
        </w:rPr>
        <w:t>日后因意外伤害以外的原因被确诊初次发生本附加险合同约定的轻症疾</w:t>
      </w:r>
      <w:r>
        <w:rPr/>
        <w:t>病，本公司按本附加险合同约定的该被保险人对应的保险金额给付轻症疾病保险金，本附加险合同轻症疾病保险金给付仅限一次，给付后，本公司对该被保险人的该项保险责任终止。</w:t>
      </w:r>
    </w:p>
    <w:p>
      <w:pPr>
        <w:pStyle w:val="BodyText"/>
        <w:rPr>
          <w:sz w:val="9"/>
        </w:rPr>
      </w:pPr>
    </w:p>
    <w:p>
      <w:pPr>
        <w:spacing w:after="0"/>
        <w:rPr>
          <w:sz w:val="9"/>
        </w:rPr>
        <w:sectPr>
          <w:pgSz w:w="11910" w:h="16840"/>
          <w:pgMar w:top="1460" w:bottom="280" w:left="1680" w:right="1140"/>
        </w:sectPr>
      </w:pPr>
    </w:p>
    <w:p>
      <w:pPr>
        <w:pStyle w:val="BodyText"/>
        <w:spacing w:line="280" w:lineRule="auto" w:before="36"/>
        <w:ind w:left="665"/>
        <w:rPr>
          <w:rFonts w:ascii="黑体" w:eastAsia="黑体" w:hint="eastAsia"/>
        </w:rPr>
      </w:pPr>
      <w:r>
        <w:rPr>
          <w:rFonts w:ascii="黑体" w:eastAsia="黑体" w:hint="eastAsia"/>
        </w:rPr>
        <w:t>特定疾病保险金</w:t>
      </w:r>
    </w:p>
    <w:p>
      <w:pPr>
        <w:pStyle w:val="BodyText"/>
        <w:spacing w:line="280" w:lineRule="auto" w:before="36"/>
        <w:ind w:left="252" w:right="147"/>
      </w:pPr>
      <w:r>
        <w:rPr/>
        <w:br w:type="column"/>
      </w:r>
      <w:r>
        <w:rPr/>
        <w:t>特定疾病保险金分为少儿特定疾病保险金、女性特定疾病保险金和男性特定疾病保险金。</w:t>
      </w:r>
    </w:p>
    <w:p>
      <w:pPr>
        <w:pStyle w:val="BodyText"/>
        <w:spacing w:before="9"/>
        <w:ind w:left="252"/>
      </w:pPr>
      <w:r>
        <w:rPr/>
        <w:t>(1)少儿特定疾病保险金</w:t>
      </w:r>
    </w:p>
    <w:p>
      <w:pPr>
        <w:pStyle w:val="BodyText"/>
        <w:rPr>
          <w:sz w:val="5"/>
        </w:rPr>
      </w:pPr>
    </w:p>
    <w:tbl>
      <w:tblPr>
        <w:tblCellSpacing w:w="24" w:type="dxa"/>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6"/>
      </w:tblGrid>
      <w:tr>
        <w:trPr>
          <w:trHeight w:val="218" w:hRule="atLeast"/>
        </w:trPr>
        <w:tc>
          <w:tcPr>
            <w:tcW w:w="6716" w:type="dxa"/>
            <w:tcBorders>
              <w:bottom w:val="nil"/>
            </w:tcBorders>
            <w:shd w:val="clear" w:color="auto" w:fill="D9D9D9"/>
          </w:tcPr>
          <w:p>
            <w:pPr>
              <w:pStyle w:val="TableParagraph"/>
              <w:spacing w:line="246" w:lineRule="exact"/>
              <w:ind w:left="24" w:right="-29"/>
              <w:rPr>
                <w:sz w:val="21"/>
              </w:rPr>
            </w:pPr>
            <w:r>
              <w:rPr>
                <w:spacing w:val="-1"/>
                <w:sz w:val="21"/>
              </w:rPr>
              <w:t>若被保险人在本附加险合同生效或最后一次复效</w:t>
            </w:r>
            <w:r>
              <w:rPr>
                <w:sz w:val="21"/>
              </w:rPr>
              <w:t>（以较迟者为准</w:t>
            </w:r>
            <w:r>
              <w:rPr>
                <w:spacing w:val="-3"/>
                <w:sz w:val="21"/>
              </w:rPr>
              <w:t>）</w:t>
            </w:r>
            <w:r>
              <w:rPr>
                <w:sz w:val="21"/>
              </w:rPr>
              <w:t>之日起</w:t>
            </w:r>
          </w:p>
        </w:tc>
      </w:tr>
    </w:tbl>
    <w:p>
      <w:pPr>
        <w:pStyle w:val="BodyText"/>
        <w:ind w:left="252"/>
      </w:pPr>
      <w:r>
        <w:rPr>
          <w:shd w:fill="D9D9D9" w:color="auto" w:val="clear"/>
        </w:rPr>
        <w:t>90 日（90 日为等待期）内因意外伤害以外的原因被确诊初次发生本附加</w:t>
      </w:r>
    </w:p>
    <w:tbl>
      <w:tblPr>
        <w:tblCellSpacing w:w="23" w:type="dxa"/>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6"/>
      </w:tblGrid>
      <w:tr>
        <w:trPr>
          <w:trHeight w:val="212" w:hRule="atLeast"/>
        </w:trPr>
        <w:tc>
          <w:tcPr>
            <w:tcW w:w="6716" w:type="dxa"/>
            <w:tcBorders>
              <w:left w:val="nil"/>
              <w:right w:val="nil"/>
            </w:tcBorders>
            <w:shd w:val="clear" w:color="auto" w:fill="D9D9D9"/>
          </w:tcPr>
          <w:p>
            <w:pPr>
              <w:pStyle w:val="TableParagraph"/>
              <w:spacing w:line="240" w:lineRule="exact"/>
              <w:ind w:left="53" w:right="1"/>
              <w:jc w:val="center"/>
              <w:rPr>
                <w:sz w:val="21"/>
              </w:rPr>
            </w:pPr>
            <w:r>
              <w:rPr>
                <w:sz w:val="21"/>
              </w:rPr>
              <w:t>险合同约定的少儿特定疾病</w:t>
            </w:r>
            <w:r>
              <w:rPr>
                <w:spacing w:val="2"/>
                <w:sz w:val="21"/>
              </w:rPr>
              <w:t>（</w:t>
            </w:r>
            <w:r>
              <w:rPr>
                <w:sz w:val="21"/>
              </w:rPr>
              <w:t>无论一种或多种，下同</w:t>
            </w:r>
            <w:r>
              <w:rPr>
                <w:spacing w:val="-102"/>
                <w:sz w:val="21"/>
              </w:rPr>
              <w:t>）</w:t>
            </w:r>
            <w:r>
              <w:rPr>
                <w:sz w:val="21"/>
              </w:rPr>
              <w:t>，且确诊时被保险</w:t>
            </w:r>
          </w:p>
        </w:tc>
      </w:tr>
      <w:tr>
        <w:trPr>
          <w:trHeight w:val="213" w:hRule="atLeast"/>
        </w:trPr>
        <w:tc>
          <w:tcPr>
            <w:tcW w:w="6716" w:type="dxa"/>
            <w:tcBorders>
              <w:left w:val="nil"/>
              <w:right w:val="nil"/>
            </w:tcBorders>
            <w:shd w:val="clear" w:color="auto" w:fill="D9D9D9"/>
          </w:tcPr>
          <w:p>
            <w:pPr>
              <w:pStyle w:val="TableParagraph"/>
              <w:spacing w:line="240" w:lineRule="exact"/>
              <w:ind w:left="23" w:right="-29"/>
              <w:jc w:val="center"/>
              <w:rPr>
                <w:sz w:val="21"/>
              </w:rPr>
            </w:pPr>
            <w:r>
              <w:rPr>
                <w:spacing w:val="-7"/>
                <w:sz w:val="21"/>
              </w:rPr>
              <w:t>人未满 </w:t>
            </w:r>
            <w:r>
              <w:rPr>
                <w:sz w:val="21"/>
              </w:rPr>
              <w:t>18</w:t>
            </w:r>
            <w:r>
              <w:rPr>
                <w:spacing w:val="-29"/>
                <w:sz w:val="21"/>
              </w:rPr>
              <w:t> </w:t>
            </w:r>
            <w:r>
              <w:rPr>
                <w:rFonts w:ascii="Microsoft JhengHei" w:eastAsia="Microsoft JhengHei" w:hint="eastAsia"/>
                <w:b/>
                <w:spacing w:val="0"/>
                <w:sz w:val="21"/>
              </w:rPr>
              <w:t>周岁</w:t>
            </w:r>
            <w:r>
              <w:rPr>
                <w:sz w:val="21"/>
              </w:rPr>
              <w:t>（</w:t>
            </w:r>
            <w:r>
              <w:rPr>
                <w:spacing w:val="-10"/>
                <w:sz w:val="21"/>
              </w:rPr>
              <w:t>不含 </w:t>
            </w:r>
            <w:r>
              <w:rPr>
                <w:sz w:val="21"/>
              </w:rPr>
              <w:t>18</w:t>
            </w:r>
            <w:r>
              <w:rPr>
                <w:spacing w:val="-10"/>
                <w:sz w:val="21"/>
              </w:rPr>
              <w:t> 周岁</w:t>
            </w:r>
            <w:r>
              <w:rPr>
                <w:spacing w:val="-105"/>
                <w:sz w:val="21"/>
              </w:rPr>
              <w:t>）</w:t>
            </w:r>
            <w:r>
              <w:rPr>
                <w:spacing w:val="-1"/>
                <w:sz w:val="21"/>
              </w:rPr>
              <w:t>，本公司按投保人根据本附加险合同约定</w:t>
            </w:r>
          </w:p>
        </w:tc>
      </w:tr>
      <w:tr>
        <w:trPr>
          <w:trHeight w:val="212" w:hRule="atLeast"/>
        </w:trPr>
        <w:tc>
          <w:tcPr>
            <w:tcW w:w="6716" w:type="dxa"/>
            <w:tcBorders>
              <w:left w:val="nil"/>
              <w:right w:val="nil"/>
            </w:tcBorders>
            <w:shd w:val="clear" w:color="auto" w:fill="D9D9D9"/>
          </w:tcPr>
          <w:p>
            <w:pPr>
              <w:pStyle w:val="TableParagraph"/>
              <w:spacing w:line="240" w:lineRule="exact"/>
              <w:ind w:left="23" w:right="-29"/>
              <w:jc w:val="center"/>
              <w:rPr>
                <w:sz w:val="21"/>
              </w:rPr>
            </w:pPr>
            <w:r>
              <w:rPr>
                <w:spacing w:val="-1"/>
                <w:sz w:val="21"/>
              </w:rPr>
              <w:t>已支付的该被保险人对应的保险费给付少儿特定疾病保险金，本公司对该</w:t>
            </w:r>
          </w:p>
        </w:tc>
      </w:tr>
    </w:tbl>
    <w:p>
      <w:pPr>
        <w:pStyle w:val="BodyText"/>
        <w:ind w:left="252"/>
      </w:pPr>
      <w:r>
        <w:rPr>
          <w:shd w:fill="D9D9D9" w:color="auto" w:val="clear"/>
        </w:rPr>
        <w:t>被保险人的保险责任终止。</w:t>
      </w:r>
    </w:p>
    <w:p>
      <w:pPr>
        <w:pStyle w:val="BodyText"/>
        <w:spacing w:line="280" w:lineRule="auto" w:before="45"/>
        <w:ind w:left="252" w:right="144"/>
      </w:pPr>
      <w:r>
        <w:rPr/>
        <w:t>若被保险人因遭受意外伤害被确诊初次发生本附加险合同约定的少儿特定疾病，或在本附加险合同生效或最后一次复效（以较迟者为准）之日起</w:t>
      </w:r>
    </w:p>
    <w:p>
      <w:pPr>
        <w:pStyle w:val="BodyText"/>
        <w:spacing w:line="278" w:lineRule="auto" w:before="8"/>
        <w:ind w:left="252" w:right="143"/>
        <w:jc w:val="both"/>
      </w:pPr>
      <w:r>
        <w:rPr/>
        <w:t>90 日后因意外伤害以外的原因被确诊初次发生本附加险合同约定的少儿</w:t>
      </w:r>
      <w:r>
        <w:rPr>
          <w:spacing w:val="-2"/>
        </w:rPr>
        <w:t>特定疾病，且确诊时被保险人未满 </w:t>
      </w:r>
      <w:r>
        <w:rPr/>
        <w:t>18</w:t>
      </w:r>
      <w:r>
        <w:rPr>
          <w:spacing w:val="-10"/>
        </w:rPr>
        <w:t> 周岁</w:t>
      </w:r>
      <w:r>
        <w:rPr/>
        <w:t>（</w:t>
      </w:r>
      <w:r>
        <w:rPr>
          <w:spacing w:val="-10"/>
        </w:rPr>
        <w:t>不含 </w:t>
      </w:r>
      <w:r>
        <w:rPr/>
        <w:t>18</w:t>
      </w:r>
      <w:r>
        <w:rPr>
          <w:spacing w:val="-10"/>
        </w:rPr>
        <w:t> 周岁</w:t>
      </w:r>
      <w:r>
        <w:rPr>
          <w:spacing w:val="-107"/>
        </w:rPr>
        <w:t>）</w:t>
      </w:r>
      <w:r>
        <w:rPr/>
        <w:t>，本公司按本附加险合同约定的该被保险人对应的保险金额给付少儿特定疾病保险金， 本公司对该被保险人的保险责任终止。</w:t>
      </w:r>
    </w:p>
    <w:p>
      <w:pPr>
        <w:pStyle w:val="BodyText"/>
        <w:spacing w:before="153"/>
        <w:ind w:left="252"/>
      </w:pPr>
      <w:r>
        <w:rPr/>
        <w:t>(2)女性特定疾病保险金</w:t>
      </w:r>
    </w:p>
    <w:p>
      <w:pPr>
        <w:pStyle w:val="BodyText"/>
        <w:spacing w:before="12"/>
        <w:rPr>
          <w:sz w:val="4"/>
        </w:rPr>
      </w:pPr>
    </w:p>
    <w:tbl>
      <w:tblPr>
        <w:tblCellSpacing w:w="23" w:type="dxa"/>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6"/>
      </w:tblGrid>
      <w:tr>
        <w:trPr>
          <w:trHeight w:val="218" w:hRule="atLeast"/>
        </w:trPr>
        <w:tc>
          <w:tcPr>
            <w:tcW w:w="6716" w:type="dxa"/>
            <w:tcBorders>
              <w:bottom w:val="nil"/>
            </w:tcBorders>
            <w:shd w:val="clear" w:color="auto" w:fill="D9D9D9"/>
          </w:tcPr>
          <w:p>
            <w:pPr>
              <w:pStyle w:val="TableParagraph"/>
              <w:spacing w:line="246" w:lineRule="exact"/>
              <w:ind w:left="23" w:right="-29"/>
              <w:rPr>
                <w:sz w:val="21"/>
              </w:rPr>
            </w:pPr>
            <w:r>
              <w:rPr>
                <w:spacing w:val="-1"/>
                <w:sz w:val="21"/>
              </w:rPr>
              <w:t>若被保险人在本附加险合同生效或最后一次复效</w:t>
            </w:r>
            <w:r>
              <w:rPr>
                <w:sz w:val="21"/>
              </w:rPr>
              <w:t>（以较迟者为准</w:t>
            </w:r>
            <w:r>
              <w:rPr>
                <w:spacing w:val="-3"/>
                <w:sz w:val="21"/>
              </w:rPr>
              <w:t>）</w:t>
            </w:r>
            <w:r>
              <w:rPr>
                <w:sz w:val="21"/>
              </w:rPr>
              <w:t>之日起</w:t>
            </w:r>
          </w:p>
        </w:tc>
      </w:tr>
    </w:tbl>
    <w:p>
      <w:pPr>
        <w:pStyle w:val="BodyText"/>
        <w:ind w:left="252"/>
      </w:pPr>
      <w:r>
        <w:rPr>
          <w:shd w:fill="D9D9D9" w:color="auto" w:val="clear"/>
        </w:rPr>
        <w:t>90 日（90 日为等待期）内因意外伤害以外的原因被确诊初次发生本附加</w:t>
      </w:r>
    </w:p>
    <w:tbl>
      <w:tblPr>
        <w:tblCellSpacing w:w="23" w:type="dxa"/>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6"/>
      </w:tblGrid>
      <w:tr>
        <w:trPr>
          <w:trHeight w:val="212" w:hRule="atLeast"/>
        </w:trPr>
        <w:tc>
          <w:tcPr>
            <w:tcW w:w="6716" w:type="dxa"/>
            <w:tcBorders>
              <w:left w:val="nil"/>
              <w:right w:val="nil"/>
            </w:tcBorders>
            <w:shd w:val="clear" w:color="auto" w:fill="D9D9D9"/>
          </w:tcPr>
          <w:p>
            <w:pPr>
              <w:pStyle w:val="TableParagraph"/>
              <w:spacing w:line="240" w:lineRule="exact"/>
              <w:ind w:left="53" w:right="1"/>
              <w:jc w:val="center"/>
              <w:rPr>
                <w:sz w:val="21"/>
              </w:rPr>
            </w:pPr>
            <w:r>
              <w:rPr>
                <w:sz w:val="21"/>
              </w:rPr>
              <w:t>险合同约定的女性特定疾病</w:t>
            </w:r>
            <w:r>
              <w:rPr>
                <w:spacing w:val="2"/>
                <w:sz w:val="21"/>
              </w:rPr>
              <w:t>（</w:t>
            </w:r>
            <w:r>
              <w:rPr>
                <w:sz w:val="21"/>
              </w:rPr>
              <w:t>无论一种或多种，下同</w:t>
            </w:r>
            <w:r>
              <w:rPr>
                <w:spacing w:val="-102"/>
                <w:sz w:val="21"/>
              </w:rPr>
              <w:t>）</w:t>
            </w:r>
            <w:r>
              <w:rPr>
                <w:sz w:val="21"/>
              </w:rPr>
              <w:t>，且确诊时被保险</w:t>
            </w:r>
          </w:p>
        </w:tc>
      </w:tr>
      <w:tr>
        <w:trPr>
          <w:trHeight w:val="213" w:hRule="atLeast"/>
        </w:trPr>
        <w:tc>
          <w:tcPr>
            <w:tcW w:w="6716" w:type="dxa"/>
            <w:tcBorders>
              <w:left w:val="nil"/>
              <w:right w:val="nil"/>
            </w:tcBorders>
            <w:shd w:val="clear" w:color="auto" w:fill="D9D9D9"/>
          </w:tcPr>
          <w:p>
            <w:pPr>
              <w:pStyle w:val="TableParagraph"/>
              <w:spacing w:line="240" w:lineRule="exact"/>
              <w:ind w:left="53" w:right="1"/>
              <w:jc w:val="center"/>
              <w:rPr>
                <w:sz w:val="21"/>
              </w:rPr>
            </w:pPr>
            <w:r>
              <w:rPr>
                <w:spacing w:val="-4"/>
                <w:sz w:val="21"/>
              </w:rPr>
              <w:t>人为年满 </w:t>
            </w:r>
            <w:r>
              <w:rPr>
                <w:sz w:val="21"/>
              </w:rPr>
              <w:t>18</w:t>
            </w:r>
            <w:r>
              <w:rPr>
                <w:spacing w:val="-4"/>
                <w:sz w:val="21"/>
              </w:rPr>
              <w:t> 周岁的女性，本公司按投保人根据本附加险合同约定已支付</w:t>
            </w:r>
          </w:p>
        </w:tc>
      </w:tr>
      <w:tr>
        <w:trPr>
          <w:trHeight w:val="212" w:hRule="atLeast"/>
        </w:trPr>
        <w:tc>
          <w:tcPr>
            <w:tcW w:w="6716" w:type="dxa"/>
            <w:tcBorders>
              <w:left w:val="nil"/>
              <w:right w:val="nil"/>
            </w:tcBorders>
            <w:shd w:val="clear" w:color="auto" w:fill="D9D9D9"/>
          </w:tcPr>
          <w:p>
            <w:pPr>
              <w:pStyle w:val="TableParagraph"/>
              <w:spacing w:line="240" w:lineRule="exact"/>
              <w:ind w:left="23" w:right="-29"/>
              <w:jc w:val="center"/>
              <w:rPr>
                <w:sz w:val="21"/>
              </w:rPr>
            </w:pPr>
            <w:r>
              <w:rPr>
                <w:spacing w:val="-1"/>
                <w:sz w:val="21"/>
              </w:rPr>
              <w:t>的该被保险人对应的保险费给付女性特定疾病保险金，本公司对该被保险</w:t>
            </w:r>
          </w:p>
        </w:tc>
      </w:tr>
    </w:tbl>
    <w:p>
      <w:pPr>
        <w:pStyle w:val="BodyText"/>
        <w:ind w:left="252"/>
      </w:pPr>
      <w:r>
        <w:rPr>
          <w:shd w:fill="D9D9D9" w:color="auto" w:val="clear"/>
        </w:rPr>
        <w:t>人的保险责任终止。</w:t>
      </w:r>
    </w:p>
    <w:p>
      <w:pPr>
        <w:pStyle w:val="BodyText"/>
        <w:spacing w:line="280" w:lineRule="auto" w:before="45"/>
        <w:ind w:left="252" w:right="144"/>
      </w:pPr>
      <w:r>
        <w:rPr/>
        <w:t>若被保险人因遭受意外伤害被确诊初次发生本附加险合同约定的女性特定疾病，或在本附加险合同生效或最后一次复效（以较迟者为准）之日起</w:t>
      </w:r>
    </w:p>
    <w:p>
      <w:pPr>
        <w:pStyle w:val="BodyText"/>
        <w:spacing w:line="278" w:lineRule="auto" w:before="8"/>
        <w:ind w:left="252" w:right="146"/>
        <w:jc w:val="both"/>
      </w:pPr>
      <w:r>
        <w:rPr/>
        <w:t>90 日后因意外伤害以外的原因被确诊初次发生本附加险合同约定的女性特定疾病，且确诊时被保险人为年满 18 周岁的女性，本公司按本附加险合同约定的该被保险人对应的保险金额给付女性特定疾病保险金，本公司对该被保险人的保险责任终止。</w:t>
      </w:r>
    </w:p>
    <w:p>
      <w:pPr>
        <w:pStyle w:val="BodyText"/>
        <w:spacing w:before="153"/>
        <w:ind w:left="252"/>
      </w:pPr>
      <w:r>
        <w:rPr/>
        <w:t>(3)男性特定疾病保险金</w:t>
      </w:r>
    </w:p>
    <w:p>
      <w:pPr>
        <w:pStyle w:val="BodyText"/>
        <w:spacing w:before="12"/>
        <w:rPr>
          <w:sz w:val="4"/>
        </w:rPr>
      </w:pPr>
    </w:p>
    <w:tbl>
      <w:tblPr>
        <w:tblCellSpacing w:w="23" w:type="dxa"/>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6"/>
      </w:tblGrid>
      <w:tr>
        <w:trPr>
          <w:trHeight w:val="218" w:hRule="atLeast"/>
        </w:trPr>
        <w:tc>
          <w:tcPr>
            <w:tcW w:w="6716" w:type="dxa"/>
            <w:tcBorders>
              <w:bottom w:val="nil"/>
            </w:tcBorders>
            <w:shd w:val="clear" w:color="auto" w:fill="D9D9D9"/>
          </w:tcPr>
          <w:p>
            <w:pPr>
              <w:pStyle w:val="TableParagraph"/>
              <w:spacing w:line="246" w:lineRule="exact"/>
              <w:ind w:left="23" w:right="-29"/>
              <w:rPr>
                <w:sz w:val="21"/>
              </w:rPr>
            </w:pPr>
            <w:r>
              <w:rPr>
                <w:spacing w:val="-1"/>
                <w:sz w:val="21"/>
              </w:rPr>
              <w:t>若被保险人在本附加险合同生效或最后一次复效</w:t>
            </w:r>
            <w:r>
              <w:rPr>
                <w:sz w:val="21"/>
              </w:rPr>
              <w:t>（以较迟者为准</w:t>
            </w:r>
            <w:r>
              <w:rPr>
                <w:spacing w:val="-3"/>
                <w:sz w:val="21"/>
              </w:rPr>
              <w:t>）</w:t>
            </w:r>
            <w:r>
              <w:rPr>
                <w:sz w:val="21"/>
              </w:rPr>
              <w:t>之日起</w:t>
            </w:r>
          </w:p>
        </w:tc>
      </w:tr>
    </w:tbl>
    <w:p>
      <w:pPr>
        <w:pStyle w:val="BodyText"/>
        <w:ind w:left="252"/>
      </w:pPr>
      <w:r>
        <w:rPr>
          <w:shd w:fill="D9D9D9" w:color="auto" w:val="clear"/>
        </w:rPr>
        <w:t>90 日（90 日为等待期）内因意外伤害以外的原因被确诊初次发生本附加</w:t>
      </w:r>
    </w:p>
    <w:p>
      <w:pPr>
        <w:spacing w:after="0"/>
        <w:sectPr>
          <w:type w:val="continuous"/>
          <w:pgSz w:w="11910" w:h="16840"/>
          <w:pgMar w:top="1240" w:bottom="280" w:left="1680" w:right="1140"/>
          <w:cols w:num="2" w:equalWidth="0">
            <w:col w:w="1926" w:space="40"/>
            <w:col w:w="7124"/>
          </w:cols>
        </w:sectPr>
      </w:pPr>
    </w:p>
    <w:p>
      <w:pPr>
        <w:pStyle w:val="BodyText"/>
        <w:spacing w:before="5"/>
        <w:rPr>
          <w:sz w:val="2"/>
        </w:rPr>
      </w:pPr>
    </w:p>
    <w:tbl>
      <w:tblPr>
        <w:tblCellSpacing w:w="23" w:type="dxa"/>
        <w:tblW w:w="0" w:type="auto"/>
        <w:jc w:val="left"/>
        <w:tblInd w:w="2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6"/>
      </w:tblGrid>
      <w:tr>
        <w:trPr>
          <w:trHeight w:val="211" w:hRule="atLeast"/>
        </w:trPr>
        <w:tc>
          <w:tcPr>
            <w:tcW w:w="6716" w:type="dxa"/>
            <w:tcBorders>
              <w:top w:val="nil"/>
              <w:bottom w:val="nil"/>
            </w:tcBorders>
            <w:shd w:val="clear" w:color="auto" w:fill="D9D9D9"/>
          </w:tcPr>
          <w:p>
            <w:pPr>
              <w:pStyle w:val="TableParagraph"/>
              <w:spacing w:line="234" w:lineRule="exact"/>
              <w:ind w:left="53" w:right="1"/>
              <w:jc w:val="center"/>
              <w:rPr>
                <w:sz w:val="21"/>
              </w:rPr>
            </w:pPr>
            <w:r>
              <w:rPr>
                <w:sz w:val="21"/>
              </w:rPr>
              <w:t>险合同约定的男性特定疾病</w:t>
            </w:r>
            <w:r>
              <w:rPr>
                <w:spacing w:val="2"/>
                <w:sz w:val="21"/>
              </w:rPr>
              <w:t>（</w:t>
            </w:r>
            <w:r>
              <w:rPr>
                <w:sz w:val="21"/>
              </w:rPr>
              <w:t>无论一种或多种，下同</w:t>
            </w:r>
            <w:r>
              <w:rPr>
                <w:spacing w:val="-102"/>
                <w:sz w:val="21"/>
              </w:rPr>
              <w:t>）</w:t>
            </w:r>
            <w:r>
              <w:rPr>
                <w:sz w:val="21"/>
              </w:rPr>
              <w:t>，且确诊时被保险</w:t>
            </w:r>
          </w:p>
        </w:tc>
      </w:tr>
      <w:tr>
        <w:trPr>
          <w:trHeight w:val="218" w:hRule="atLeast"/>
        </w:trPr>
        <w:tc>
          <w:tcPr>
            <w:tcW w:w="6716" w:type="dxa"/>
            <w:tcBorders>
              <w:top w:val="nil"/>
            </w:tcBorders>
            <w:shd w:val="clear" w:color="auto" w:fill="D9D9D9"/>
          </w:tcPr>
          <w:p>
            <w:pPr>
              <w:pStyle w:val="TableParagraph"/>
              <w:spacing w:line="235" w:lineRule="exact"/>
              <w:ind w:left="53" w:right="1"/>
              <w:jc w:val="center"/>
              <w:rPr>
                <w:sz w:val="21"/>
              </w:rPr>
            </w:pPr>
            <w:r>
              <w:rPr>
                <w:spacing w:val="-4"/>
                <w:sz w:val="21"/>
              </w:rPr>
              <w:t>人为年满 </w:t>
            </w:r>
            <w:r>
              <w:rPr>
                <w:sz w:val="21"/>
              </w:rPr>
              <w:t>18</w:t>
            </w:r>
            <w:r>
              <w:rPr>
                <w:spacing w:val="-4"/>
                <w:sz w:val="21"/>
              </w:rPr>
              <w:t> 周岁的男性，本公司按投保人根据本附加险合同约定已支付</w:t>
            </w:r>
          </w:p>
        </w:tc>
      </w:tr>
    </w:tbl>
    <w:p>
      <w:pPr>
        <w:spacing w:after="0" w:line="235" w:lineRule="exact"/>
        <w:jc w:val="center"/>
        <w:rPr>
          <w:sz w:val="21"/>
        </w:rPr>
        <w:sectPr>
          <w:type w:val="continuous"/>
          <w:pgSz w:w="11910" w:h="16840"/>
          <w:pgMar w:top="1240" w:bottom="280" w:left="1680" w:right="1140"/>
        </w:sectPr>
      </w:pPr>
    </w:p>
    <w:p>
      <w:pPr>
        <w:pStyle w:val="BodyText"/>
        <w:spacing w:line="278" w:lineRule="auto" w:before="8"/>
        <w:ind w:left="2818" w:right="207"/>
        <w:jc w:val="both"/>
      </w:pPr>
      <w:r>
        <w:rPr>
          <w:shd w:fill="D9D9D9" w:color="auto" w:val="clear"/>
        </w:rPr>
        <w:t>的该被保险人对应的保险费给付男性特定疾病保险金，本公司对该被保险人的保险责任终止。</w:t>
      </w:r>
    </w:p>
    <w:p>
      <w:pPr>
        <w:pStyle w:val="BodyText"/>
        <w:spacing w:line="280" w:lineRule="auto" w:before="11"/>
        <w:ind w:left="2818" w:right="204"/>
        <w:jc w:val="both"/>
      </w:pPr>
      <w:r>
        <w:rPr/>
        <w:t>若被保险人因遭受意外伤害被确诊初次发生本附加险合同约定的男性特定疾病，或在本附加险合同生效或最后一次复效（以较迟者为准）之日起</w:t>
      </w:r>
    </w:p>
    <w:p>
      <w:pPr>
        <w:pStyle w:val="BodyText"/>
        <w:spacing w:line="278" w:lineRule="auto" w:before="8"/>
        <w:ind w:left="2818" w:right="206"/>
        <w:jc w:val="both"/>
      </w:pPr>
      <w:r>
        <w:rPr/>
        <w:t>90 日后因意外伤害以外的原因被确诊初次发生本附加险合同约定的男性特定疾病，且确诊时被保险人为年满 18 周岁的男性，本公司按本附加险合同约定的该被保险人对应的保险金额给付男性特定疾病保险金，本公司对该被保险人的保险责任终止。</w:t>
      </w:r>
    </w:p>
    <w:p>
      <w:pPr>
        <w:pStyle w:val="BodyText"/>
        <w:rPr>
          <w:sz w:val="9"/>
        </w:rPr>
      </w:pPr>
    </w:p>
    <w:p>
      <w:pPr>
        <w:pStyle w:val="BodyText"/>
        <w:spacing w:line="278" w:lineRule="auto" w:before="35"/>
        <w:ind w:left="2818" w:right="207"/>
        <w:jc w:val="both"/>
      </w:pPr>
      <w:r>
        <w:rPr>
          <w:spacing w:val="-1"/>
          <w:shd w:fill="D9D9D9" w:color="auto" w:val="clear"/>
        </w:rPr>
        <w:t>特定疾病保险金责任中约定的少儿特定疾病保险金、女性特定疾病保险金</w:t>
      </w:r>
      <w:r>
        <w:rPr>
          <w:spacing w:val="-3"/>
          <w:shd w:fill="D9D9D9" w:color="auto" w:val="clear"/>
        </w:rPr>
        <w:t>和男性特定疾病保险金，任意两项或数项不可兼得，即若本公司向该被保险人给付其中任何一项保险金</w:t>
      </w:r>
      <w:r>
        <w:rPr>
          <w:spacing w:val="-16"/>
          <w:shd w:fill="D9D9D9" w:color="auto" w:val="clear"/>
        </w:rPr>
        <w:t>，则其他保险金均不再给付，且该项责任的给付以一次为限。</w:t>
      </w:r>
    </w:p>
    <w:p>
      <w:pPr>
        <w:pStyle w:val="ListParagraph"/>
        <w:numPr>
          <w:ilvl w:val="1"/>
          <w:numId w:val="9"/>
        </w:numPr>
        <w:tabs>
          <w:tab w:pos="1266" w:val="left" w:leader="none"/>
          <w:tab w:pos="1267" w:val="left" w:leader="none"/>
          <w:tab w:pos="2818" w:val="left" w:leader="none"/>
        </w:tabs>
        <w:spacing w:line="278" w:lineRule="auto" w:before="153" w:after="0"/>
        <w:ind w:left="2818" w:right="281" w:hanging="2609"/>
        <w:jc w:val="left"/>
        <w:rPr>
          <w:sz w:val="21"/>
        </w:rPr>
      </w:pPr>
      <w:r>
        <w:rPr>
          <w:rFonts w:ascii="黑体" w:eastAsia="黑体" w:hint="eastAsia"/>
          <w:sz w:val="21"/>
        </w:rPr>
        <w:t>责任免除</w:t>
        <w:tab/>
      </w:r>
      <w:r>
        <w:rPr>
          <w:spacing w:val="-1"/>
          <w:sz w:val="21"/>
          <w:shd w:fill="D9D9D9" w:color="auto" w:val="clear"/>
        </w:rPr>
        <w:t>因下</w:t>
      </w:r>
      <w:r>
        <w:rPr>
          <w:sz w:val="21"/>
          <w:shd w:fill="D9D9D9" w:color="auto" w:val="clear"/>
        </w:rPr>
        <w:t>列情形之一导致被保险人发生疾病</w:t>
      </w:r>
      <w:r>
        <w:rPr>
          <w:spacing w:val="-39"/>
          <w:sz w:val="21"/>
          <w:shd w:fill="D9D9D9" w:color="auto" w:val="clear"/>
        </w:rPr>
        <w:t>、</w:t>
      </w:r>
      <w:r>
        <w:rPr>
          <w:sz w:val="21"/>
          <w:shd w:fill="D9D9D9" w:color="auto" w:val="clear"/>
        </w:rPr>
        <w:t>达到疾病状态或进行手术的</w:t>
      </w:r>
      <w:r>
        <w:rPr>
          <w:spacing w:val="-39"/>
          <w:sz w:val="21"/>
          <w:shd w:fill="D9D9D9" w:color="auto" w:val="clear"/>
        </w:rPr>
        <w:t>，</w:t>
      </w:r>
      <w:r>
        <w:rPr>
          <w:sz w:val="21"/>
          <w:shd w:fill="D9D9D9" w:color="auto" w:val="clear"/>
        </w:rPr>
        <w:t>本公司不承担给付保险金的责任：</w:t>
      </w:r>
      <w:r>
        <w:rPr>
          <w:sz w:val="21"/>
        </w:rPr>
        <w:t> </w:t>
      </w:r>
      <w:r>
        <w:rPr>
          <w:sz w:val="21"/>
          <w:shd w:fill="D9D9D9" w:color="auto" w:val="clear"/>
        </w:rPr>
        <w:t>                                (1)投保人对被保险人的故意杀害、故意伤害；</w:t>
      </w:r>
      <w:r>
        <w:rPr>
          <w:sz w:val="21"/>
        </w:rPr>
        <w:t> </w:t>
      </w:r>
      <w:r>
        <w:rPr>
          <w:sz w:val="21"/>
          <w:shd w:fill="D9D9D9" w:color="auto" w:val="clear"/>
        </w:rPr>
        <w:t>                   </w:t>
      </w:r>
      <w:r>
        <w:rPr>
          <w:spacing w:val="-1"/>
          <w:sz w:val="21"/>
          <w:shd w:fill="D9D9D9" w:color="auto" w:val="clear"/>
        </w:rPr>
        <w:t>(2)被保险人故意自伤、故意犯罪或抗拒依法采取的刑事强制措施；</w:t>
      </w:r>
    </w:p>
    <w:p>
      <w:pPr>
        <w:pStyle w:val="BodyText"/>
        <w:spacing w:line="288" w:lineRule="exact"/>
        <w:ind w:left="2818"/>
      </w:pPr>
      <w:r>
        <w:rPr>
          <w:shd w:fill="D9D9D9" w:color="auto" w:val="clear"/>
        </w:rPr>
        <w:t>(3)被保险人主动吸食或注射</w:t>
      </w:r>
      <w:r>
        <w:rPr>
          <w:rFonts w:ascii="Microsoft JhengHei" w:eastAsia="Microsoft JhengHei" w:hint="eastAsia"/>
          <w:b/>
          <w:shd w:fill="D9D9D9" w:color="auto" w:val="clear"/>
        </w:rPr>
        <w:t>毒品</w:t>
      </w:r>
      <w:r>
        <w:rPr>
          <w:shd w:fill="D9D9D9" w:color="auto" w:val="clear"/>
        </w:rPr>
        <w:t>；</w:t>
      </w:r>
    </w:p>
    <w:p>
      <w:pPr>
        <w:spacing w:line="208" w:lineRule="auto" w:before="25"/>
        <w:ind w:left="3134" w:right="281" w:hanging="316"/>
        <w:jc w:val="left"/>
        <w:rPr>
          <w:sz w:val="21"/>
        </w:rPr>
      </w:pPr>
      <w:r>
        <w:rPr>
          <w:sz w:val="21"/>
          <w:shd w:fill="D9D9D9" w:color="auto" w:val="clear"/>
        </w:rPr>
        <w:t>(4)被保险人</w:t>
      </w:r>
      <w:r>
        <w:rPr>
          <w:rFonts w:ascii="Microsoft JhengHei" w:eastAsia="Microsoft JhengHei" w:hint="eastAsia"/>
          <w:b/>
          <w:sz w:val="21"/>
          <w:shd w:fill="D9D9D9" w:color="auto" w:val="clear"/>
        </w:rPr>
        <w:t>酒后驾驶</w:t>
      </w:r>
      <w:r>
        <w:rPr>
          <w:sz w:val="21"/>
          <w:shd w:fill="D9D9D9" w:color="auto" w:val="clear"/>
        </w:rPr>
        <w:t>，</w:t>
      </w:r>
      <w:r>
        <w:rPr>
          <w:rFonts w:ascii="Microsoft JhengHei" w:eastAsia="Microsoft JhengHei" w:hint="eastAsia"/>
          <w:b/>
          <w:sz w:val="21"/>
          <w:shd w:fill="D9D9D9" w:color="auto" w:val="clear"/>
        </w:rPr>
        <w:t>无合法有效驾驶证驾驶</w:t>
      </w:r>
      <w:r>
        <w:rPr>
          <w:sz w:val="21"/>
          <w:shd w:fill="D9D9D9" w:color="auto" w:val="clear"/>
        </w:rPr>
        <w:t>，或驾驶</w:t>
      </w:r>
      <w:r>
        <w:rPr>
          <w:rFonts w:ascii="Microsoft JhengHei" w:eastAsia="Microsoft JhengHei" w:hint="eastAsia"/>
          <w:b/>
          <w:sz w:val="21"/>
          <w:shd w:fill="D9D9D9" w:color="auto" w:val="clear"/>
        </w:rPr>
        <w:t>无有效行驶证</w:t>
      </w:r>
      <w:r>
        <w:rPr>
          <w:sz w:val="21"/>
          <w:shd w:fill="D9D9D9" w:color="auto" w:val="clear"/>
        </w:rPr>
        <w:t>的</w:t>
      </w:r>
      <w:r>
        <w:rPr>
          <w:rFonts w:ascii="Microsoft JhengHei" w:eastAsia="Microsoft JhengHei" w:hint="eastAsia"/>
          <w:b/>
          <w:sz w:val="21"/>
          <w:shd w:fill="D9D9D9" w:color="auto" w:val="clear"/>
        </w:rPr>
        <w:t>机动车</w:t>
      </w:r>
      <w:r>
        <w:rPr>
          <w:sz w:val="21"/>
          <w:shd w:fill="D9D9D9" w:color="auto" w:val="clear"/>
        </w:rPr>
        <w:t>；</w:t>
      </w:r>
    </w:p>
    <w:p>
      <w:pPr>
        <w:spacing w:line="320" w:lineRule="exact" w:before="0"/>
        <w:ind w:left="3134" w:right="0" w:hanging="316"/>
        <w:jc w:val="left"/>
        <w:rPr>
          <w:sz w:val="21"/>
        </w:rPr>
      </w:pPr>
      <w:r>
        <w:rPr>
          <w:sz w:val="21"/>
          <w:shd w:fill="D9D9D9" w:color="auto" w:val="clear"/>
        </w:rPr>
        <w:t>(5)被保险人</w:t>
      </w:r>
      <w:r>
        <w:rPr>
          <w:rFonts w:ascii="Microsoft JhengHei" w:hAnsi="Microsoft JhengHei" w:eastAsia="Microsoft JhengHei" w:hint="eastAsia"/>
          <w:b/>
          <w:sz w:val="21"/>
          <w:shd w:fill="D9D9D9" w:color="auto" w:val="clear"/>
        </w:rPr>
        <w:t>感染艾滋病病毒或患艾滋病</w:t>
      </w:r>
      <w:r>
        <w:rPr>
          <w:sz w:val="21"/>
          <w:shd w:fill="D9D9D9" w:color="auto" w:val="clear"/>
        </w:rPr>
        <w:t>，但若属于主险合同所保障的“经</w:t>
      </w:r>
    </w:p>
    <w:p>
      <w:pPr>
        <w:pStyle w:val="BodyText"/>
        <w:spacing w:line="278" w:lineRule="auto" w:before="22"/>
        <w:ind w:left="3134" w:right="206"/>
      </w:pPr>
      <w:r>
        <w:rPr>
          <w:shd w:fill="D9D9D9" w:color="auto" w:val="clear"/>
        </w:rPr>
        <w:t>输血导致的人类免疫缺陷病毒（HIV）感染”或“因职业关系导致的人类免疫缺陷病毒（HIV）感染”，则不在此限；</w:t>
      </w:r>
    </w:p>
    <w:p>
      <w:pPr>
        <w:pStyle w:val="BodyText"/>
        <w:spacing w:line="280" w:lineRule="auto" w:before="12"/>
        <w:ind w:left="2818" w:right="3237"/>
      </w:pPr>
      <w:r>
        <w:rPr>
          <w:shd w:fill="D9D9D9" w:color="auto" w:val="clear"/>
        </w:rPr>
        <w:t>(6)战争、军事冲突、暴乱或武装叛乱；</w:t>
      </w:r>
      <w:r>
        <w:rPr/>
        <w:t> </w:t>
      </w:r>
      <w:r>
        <w:rPr>
          <w:shd w:fill="D9D9D9" w:color="auto" w:val="clear"/>
        </w:rPr>
        <w:t>(7)核爆炸、核辐射或核污染；</w:t>
      </w:r>
    </w:p>
    <w:p>
      <w:pPr>
        <w:spacing w:line="307" w:lineRule="exact" w:before="0"/>
        <w:ind w:left="2818" w:right="0" w:firstLine="0"/>
        <w:jc w:val="left"/>
        <w:rPr>
          <w:sz w:val="21"/>
        </w:rPr>
      </w:pPr>
      <w:r>
        <w:rPr>
          <w:sz w:val="21"/>
          <w:shd w:fill="D9D9D9" w:color="auto" w:val="clear"/>
        </w:rPr>
        <w:t>(8)</w:t>
      </w:r>
      <w:r>
        <w:rPr>
          <w:rFonts w:ascii="Microsoft JhengHei" w:eastAsia="Microsoft JhengHei" w:hint="eastAsia"/>
          <w:b/>
          <w:sz w:val="21"/>
          <w:shd w:fill="D9D9D9" w:color="auto" w:val="clear"/>
        </w:rPr>
        <w:t>遗传性疾病</w:t>
      </w:r>
      <w:r>
        <w:rPr>
          <w:sz w:val="21"/>
          <w:shd w:fill="D9D9D9" w:color="auto" w:val="clear"/>
        </w:rPr>
        <w:t>，</w:t>
      </w:r>
      <w:r>
        <w:rPr>
          <w:rFonts w:ascii="Microsoft JhengHei" w:eastAsia="Microsoft JhengHei" w:hint="eastAsia"/>
          <w:b/>
          <w:sz w:val="21"/>
          <w:shd w:fill="D9D9D9" w:color="auto" w:val="clear"/>
        </w:rPr>
        <w:t>先天性畸形、变形或染色体异常</w:t>
      </w:r>
      <w:r>
        <w:rPr>
          <w:sz w:val="21"/>
          <w:shd w:fill="D9D9D9" w:color="auto" w:val="clear"/>
        </w:rPr>
        <w:t>。</w:t>
      </w:r>
    </w:p>
    <w:p>
      <w:pPr>
        <w:pStyle w:val="BodyText"/>
        <w:spacing w:before="22"/>
        <w:ind w:left="2818"/>
      </w:pPr>
      <w:r>
        <w:rPr>
          <w:shd w:fill="D9D9D9" w:color="auto" w:val="clear"/>
        </w:rPr>
        <w:t>发生上述第(1)项情形导致被保险人被确诊发生本附加险合同约定的轻症</w:t>
      </w:r>
    </w:p>
    <w:p>
      <w:pPr>
        <w:pStyle w:val="BodyText"/>
        <w:spacing w:line="223" w:lineRule="auto" w:before="65"/>
        <w:ind w:left="2818" w:right="208"/>
      </w:pPr>
      <w:r>
        <w:rPr>
          <w:shd w:fill="D9D9D9" w:color="auto" w:val="clear"/>
        </w:rPr>
        <w:t>疾病和特定疾病的，本公司对该被保险人的保险责任终止，投保人已交足2 年以上保险费的，本公司向该被保险人退还相应的</w:t>
      </w:r>
      <w:r>
        <w:rPr>
          <w:rFonts w:ascii="Microsoft JhengHei" w:eastAsia="Microsoft JhengHei" w:hint="eastAsia"/>
          <w:b/>
          <w:shd w:fill="D9D9D9" w:color="auto" w:val="clear"/>
        </w:rPr>
        <w:t>现金价值</w:t>
      </w:r>
      <w:r>
        <w:rPr>
          <w:shd w:fill="D9D9D9" w:color="auto" w:val="clear"/>
        </w:rPr>
        <w:t>。</w:t>
      </w:r>
    </w:p>
    <w:p>
      <w:pPr>
        <w:pStyle w:val="BodyText"/>
        <w:spacing w:line="278" w:lineRule="auto" w:before="21"/>
        <w:ind w:left="2818" w:right="204"/>
        <w:jc w:val="both"/>
      </w:pPr>
      <w:r>
        <w:rPr>
          <w:shd w:fill="D9D9D9" w:color="auto" w:val="clear"/>
        </w:rPr>
        <w:t>发生上述其他情形导致被保险人被确诊发生本附加险合同约定的轻症疾病和特定疾病的，本公司对该被保险人的保险责任终止，本公司向投保人退还相应的现金价值。</w:t>
      </w:r>
    </w:p>
    <w:p>
      <w:pPr>
        <w:pStyle w:val="BodyText"/>
        <w:rPr>
          <w:sz w:val="9"/>
        </w:rPr>
      </w:pPr>
      <w:r>
        <w:rPr/>
        <w:pict>
          <v:shape style="position:absolute;margin-left:59.099998pt;margin-top:7.128015pt;width:477.1pt;height:15.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1"/>
        <w:rPr>
          <w:sz w:val="7"/>
        </w:rPr>
      </w:pPr>
    </w:p>
    <w:p>
      <w:pPr>
        <w:pStyle w:val="ListParagraph"/>
        <w:numPr>
          <w:ilvl w:val="1"/>
          <w:numId w:val="10"/>
        </w:numPr>
        <w:tabs>
          <w:tab w:pos="1265" w:val="left" w:leader="none"/>
          <w:tab w:pos="1266" w:val="left" w:leader="none"/>
          <w:tab w:pos="2818" w:val="left" w:leader="none"/>
        </w:tabs>
        <w:spacing w:line="278" w:lineRule="auto" w:before="35" w:after="0"/>
        <w:ind w:left="2818" w:right="207" w:hanging="2608"/>
        <w:jc w:val="left"/>
        <w:rPr>
          <w:sz w:val="21"/>
        </w:rPr>
      </w:pPr>
      <w:r>
        <w:rPr>
          <w:rFonts w:ascii="黑体" w:eastAsia="黑体" w:hint="eastAsia"/>
          <w:sz w:val="21"/>
        </w:rPr>
        <w:t>受益人</w:t>
        <w:tab/>
      </w:r>
      <w:r>
        <w:rPr>
          <w:spacing w:val="-1"/>
          <w:sz w:val="21"/>
        </w:rPr>
        <w:t>除另有指定外</w:t>
      </w:r>
      <w:r>
        <w:rPr>
          <w:sz w:val="21"/>
        </w:rPr>
        <w:t>，轻症疾病保险金、少儿特定疾病保险金、女性特定疾病保险金、男性特定疾病保险金的受益人为被保险人本人。</w:t>
      </w:r>
    </w:p>
    <w:p>
      <w:pPr>
        <w:pStyle w:val="ListParagraph"/>
        <w:numPr>
          <w:ilvl w:val="1"/>
          <w:numId w:val="10"/>
        </w:numPr>
        <w:tabs>
          <w:tab w:pos="1265" w:val="left" w:leader="none"/>
          <w:tab w:pos="1266" w:val="left" w:leader="none"/>
          <w:tab w:pos="2818" w:val="left" w:leader="none"/>
        </w:tabs>
        <w:spacing w:line="240" w:lineRule="auto" w:before="153" w:after="0"/>
        <w:ind w:left="1265" w:right="0" w:hanging="1055"/>
        <w:jc w:val="left"/>
        <w:rPr>
          <w:sz w:val="21"/>
        </w:rPr>
      </w:pPr>
      <w:r>
        <w:rPr>
          <w:rFonts w:ascii="黑体" w:eastAsia="黑体" w:hint="eastAsia"/>
          <w:sz w:val="21"/>
        </w:rPr>
        <w:t>保险金申请</w:t>
        <w:tab/>
      </w:r>
      <w:r>
        <w:rPr>
          <w:sz w:val="21"/>
        </w:rPr>
        <w:t>在申请保险金时，请按照下列方式办理：</w:t>
      </w:r>
    </w:p>
    <w:p>
      <w:pPr>
        <w:pStyle w:val="BodyText"/>
        <w:spacing w:before="7"/>
        <w:rPr>
          <w:sz w:val="11"/>
        </w:rPr>
      </w:pPr>
    </w:p>
    <w:p>
      <w:pPr>
        <w:spacing w:after="0"/>
        <w:rPr>
          <w:sz w:val="11"/>
        </w:rPr>
        <w:sectPr>
          <w:pgSz w:w="11910" w:h="16840"/>
          <w:pgMar w:top="1420" w:bottom="280" w:left="1080" w:right="1080"/>
        </w:sectPr>
      </w:pPr>
    </w:p>
    <w:p>
      <w:pPr>
        <w:pStyle w:val="BodyText"/>
        <w:spacing w:line="280" w:lineRule="auto" w:before="36"/>
        <w:ind w:left="1266"/>
        <w:jc w:val="both"/>
        <w:rPr>
          <w:rFonts w:ascii="黑体" w:eastAsia="黑体" w:hint="eastAsia"/>
        </w:rPr>
      </w:pPr>
      <w:r>
        <w:rPr>
          <w:rFonts w:ascii="黑体" w:eastAsia="黑体" w:hint="eastAsia"/>
        </w:rPr>
        <w:t>轻症疾病保险金、特定疾病保险金申请</w:t>
      </w:r>
    </w:p>
    <w:p>
      <w:pPr>
        <w:pStyle w:val="BodyText"/>
        <w:spacing w:line="280" w:lineRule="auto" w:before="36"/>
        <w:ind w:left="252" w:right="1451"/>
      </w:pPr>
      <w:r>
        <w:rPr/>
        <w:br w:type="column"/>
      </w:r>
      <w:r>
        <w:rPr/>
        <w:t>申请人须填写保险金给付申请书，并提供下列证明和资料： (1)保险合同或其他保险凭证；</w:t>
      </w:r>
    </w:p>
    <w:p>
      <w:pPr>
        <w:spacing w:line="309" w:lineRule="exact" w:before="0"/>
        <w:ind w:left="252" w:right="0" w:firstLine="0"/>
        <w:jc w:val="left"/>
        <w:rPr>
          <w:sz w:val="21"/>
        </w:rPr>
      </w:pPr>
      <w:r>
        <w:rPr>
          <w:sz w:val="21"/>
        </w:rPr>
        <w:t>(2)申请人的</w:t>
      </w:r>
      <w:r>
        <w:rPr>
          <w:rFonts w:ascii="Microsoft JhengHei" w:eastAsia="Microsoft JhengHei" w:hint="eastAsia"/>
          <w:b/>
          <w:sz w:val="21"/>
        </w:rPr>
        <w:t>有效身份证件</w:t>
      </w:r>
      <w:r>
        <w:rPr>
          <w:sz w:val="21"/>
        </w:rPr>
        <w:t>；</w:t>
      </w:r>
    </w:p>
    <w:p>
      <w:pPr>
        <w:pStyle w:val="BodyText"/>
        <w:spacing w:line="280" w:lineRule="auto" w:before="20"/>
        <w:ind w:left="568" w:right="208" w:hanging="316"/>
      </w:pPr>
      <w:r>
        <w:rPr/>
        <w:t>(3)卫生行政部门认定的二级以上（含二级）医院出具的附有病理显微镜检查报告、血液检查及其他科学方法检验报告的病史资料及疾病诊断</w:t>
      </w:r>
    </w:p>
    <w:p>
      <w:pPr>
        <w:spacing w:after="0" w:line="280" w:lineRule="auto"/>
        <w:sectPr>
          <w:type w:val="continuous"/>
          <w:pgSz w:w="11910" w:h="16840"/>
          <w:pgMar w:top="1240" w:bottom="280" w:left="1080" w:right="1080"/>
          <w:cols w:num="2" w:equalWidth="0">
            <w:col w:w="2527" w:space="40"/>
            <w:col w:w="7183"/>
          </w:cols>
        </w:sectPr>
      </w:pPr>
    </w:p>
    <w:p>
      <w:pPr>
        <w:pStyle w:val="BodyText"/>
        <w:spacing w:line="278" w:lineRule="auto" w:before="8"/>
        <w:ind w:left="3134" w:right="208"/>
      </w:pPr>
      <w:r>
        <w:rPr/>
        <w:t>报告书；如有必要，本公司有权对被保险人进行复检，复检费用由本公司承担；</w:t>
      </w:r>
    </w:p>
    <w:p>
      <w:pPr>
        <w:pStyle w:val="BodyText"/>
        <w:spacing w:before="10"/>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883"/>
        <w:gridCol w:w="6863"/>
      </w:tblGrid>
      <w:tr>
        <w:trPr>
          <w:trHeight w:val="335" w:hRule="atLeast"/>
        </w:trPr>
        <w:tc>
          <w:tcPr>
            <w:tcW w:w="2677" w:type="dxa"/>
            <w:gridSpan w:val="2"/>
            <w:vMerge w:val="restart"/>
          </w:tcPr>
          <w:p>
            <w:pPr>
              <w:pStyle w:val="TableParagraph"/>
              <w:rPr>
                <w:rFonts w:ascii="Times New Roman"/>
                <w:sz w:val="20"/>
              </w:rPr>
            </w:pPr>
          </w:p>
        </w:tc>
        <w:tc>
          <w:tcPr>
            <w:tcW w:w="6863" w:type="dxa"/>
          </w:tcPr>
          <w:p>
            <w:pPr>
              <w:pStyle w:val="TableParagraph"/>
              <w:spacing w:line="210" w:lineRule="exact"/>
              <w:ind w:left="39"/>
              <w:rPr>
                <w:sz w:val="21"/>
              </w:rPr>
            </w:pPr>
            <w:r>
              <w:rPr>
                <w:sz w:val="21"/>
              </w:rPr>
              <w:t>(4)所能提供的与确认保险事故的性质、原因等有关的其他证明和资料。</w:t>
            </w:r>
          </w:p>
        </w:tc>
      </w:tr>
      <w:tr>
        <w:trPr>
          <w:trHeight w:val="782" w:hRule="atLeast"/>
        </w:trPr>
        <w:tc>
          <w:tcPr>
            <w:tcW w:w="2677" w:type="dxa"/>
            <w:gridSpan w:val="2"/>
            <w:vMerge/>
            <w:tcBorders>
              <w:top w:val="nil"/>
            </w:tcBorders>
          </w:tcPr>
          <w:p>
            <w:pPr>
              <w:rPr>
                <w:sz w:val="2"/>
                <w:szCs w:val="2"/>
              </w:rPr>
            </w:pPr>
          </w:p>
        </w:tc>
        <w:tc>
          <w:tcPr>
            <w:tcW w:w="6863" w:type="dxa"/>
          </w:tcPr>
          <w:p>
            <w:pPr>
              <w:pStyle w:val="TableParagraph"/>
              <w:spacing w:line="280" w:lineRule="auto" w:before="61"/>
              <w:ind w:left="39" w:right="63"/>
              <w:rPr>
                <w:sz w:val="21"/>
              </w:rPr>
            </w:pPr>
            <w:r>
              <w:rPr>
                <w:sz w:val="21"/>
              </w:rPr>
              <w:t>以上保险金申请的证明和资料不完整的，本公司将及时一次性通知申请人补充提供有关证明和资料。</w:t>
            </w:r>
          </w:p>
        </w:tc>
      </w:tr>
      <w:tr>
        <w:trPr>
          <w:trHeight w:val="3981" w:hRule="atLeast"/>
        </w:trPr>
        <w:tc>
          <w:tcPr>
            <w:tcW w:w="794" w:type="dxa"/>
          </w:tcPr>
          <w:p>
            <w:pPr>
              <w:pStyle w:val="TableParagraph"/>
              <w:spacing w:before="61"/>
              <w:ind w:left="107"/>
              <w:rPr>
                <w:rFonts w:ascii="黑体"/>
                <w:sz w:val="21"/>
              </w:rPr>
            </w:pPr>
            <w:r>
              <w:rPr>
                <w:rFonts w:ascii="黑体"/>
                <w:sz w:val="21"/>
              </w:rPr>
              <w:t>3.3</w:t>
            </w:r>
          </w:p>
        </w:tc>
        <w:tc>
          <w:tcPr>
            <w:tcW w:w="1883" w:type="dxa"/>
          </w:tcPr>
          <w:p>
            <w:pPr>
              <w:pStyle w:val="TableParagraph"/>
              <w:spacing w:before="61"/>
              <w:ind w:left="370"/>
              <w:rPr>
                <w:rFonts w:ascii="黑体" w:eastAsia="黑体" w:hint="eastAsia"/>
                <w:sz w:val="21"/>
              </w:rPr>
            </w:pPr>
            <w:r>
              <w:rPr>
                <w:rFonts w:ascii="黑体" w:eastAsia="黑体" w:hint="eastAsia"/>
                <w:sz w:val="21"/>
              </w:rPr>
              <w:t>保险金给付</w:t>
            </w:r>
          </w:p>
        </w:tc>
        <w:tc>
          <w:tcPr>
            <w:tcW w:w="6863" w:type="dxa"/>
          </w:tcPr>
          <w:p>
            <w:pPr>
              <w:pStyle w:val="TableParagraph"/>
              <w:spacing w:line="264" w:lineRule="exact" w:before="61"/>
              <w:ind w:left="39"/>
              <w:rPr>
                <w:sz w:val="21"/>
              </w:rPr>
            </w:pPr>
            <w:r>
              <w:rPr>
                <w:spacing w:val="-3"/>
                <w:sz w:val="21"/>
              </w:rPr>
              <w:t>本公司在收到保险金给付申请书及合同约定的证明和资料后，将在 </w:t>
            </w:r>
            <w:r>
              <w:rPr>
                <w:sz w:val="21"/>
              </w:rPr>
              <w:t>5</w:t>
            </w:r>
            <w:r>
              <w:rPr>
                <w:spacing w:val="-18"/>
                <w:sz w:val="21"/>
              </w:rPr>
              <w:t> 个工</w:t>
            </w:r>
          </w:p>
          <w:p>
            <w:pPr>
              <w:pStyle w:val="TableParagraph"/>
              <w:spacing w:line="354" w:lineRule="exact"/>
              <w:ind w:left="39"/>
              <w:rPr>
                <w:sz w:val="21"/>
              </w:rPr>
            </w:pPr>
            <w:r>
              <w:rPr>
                <w:spacing w:val="-1"/>
                <w:sz w:val="21"/>
              </w:rPr>
              <w:t>作日内作出核定；</w:t>
            </w:r>
            <w:r>
              <w:rPr>
                <w:rFonts w:ascii="Microsoft JhengHei" w:eastAsia="Microsoft JhengHei" w:hint="eastAsia"/>
                <w:b/>
                <w:sz w:val="21"/>
              </w:rPr>
              <w:t>情形复杂</w:t>
            </w:r>
            <w:r>
              <w:rPr>
                <w:spacing w:val="-15"/>
                <w:sz w:val="21"/>
              </w:rPr>
              <w:t>的，在 </w:t>
            </w:r>
            <w:r>
              <w:rPr>
                <w:sz w:val="21"/>
              </w:rPr>
              <w:t>30</w:t>
            </w:r>
            <w:r>
              <w:rPr>
                <w:spacing w:val="-8"/>
                <w:sz w:val="21"/>
              </w:rPr>
              <w:t> 日内作出核定。对属于保险责任的，</w:t>
            </w:r>
          </w:p>
          <w:p>
            <w:pPr>
              <w:pStyle w:val="TableParagraph"/>
              <w:spacing w:line="280" w:lineRule="auto" w:before="22"/>
              <w:ind w:left="39" w:right="106"/>
              <w:jc w:val="both"/>
              <w:rPr>
                <w:sz w:val="21"/>
              </w:rPr>
            </w:pPr>
            <w:r>
              <w:rPr>
                <w:spacing w:val="-1"/>
                <w:sz w:val="21"/>
              </w:rPr>
              <w:t>本公司在与受益人达成给付保险金的协议后 </w:t>
            </w:r>
            <w:r>
              <w:rPr>
                <w:sz w:val="21"/>
              </w:rPr>
              <w:t>10</w:t>
            </w:r>
            <w:r>
              <w:rPr>
                <w:spacing w:val="-4"/>
                <w:sz w:val="21"/>
              </w:rPr>
              <w:t> 日内，履行给付保险金义务。</w:t>
            </w:r>
          </w:p>
          <w:p>
            <w:pPr>
              <w:pStyle w:val="TableParagraph"/>
              <w:spacing w:line="280" w:lineRule="auto" w:before="8"/>
              <w:ind w:left="39" w:right="104"/>
              <w:jc w:val="both"/>
              <w:rPr>
                <w:sz w:val="21"/>
              </w:rPr>
            </w:pPr>
            <w:r>
              <w:rPr>
                <w:spacing w:val="-2"/>
                <w:sz w:val="21"/>
              </w:rPr>
              <w:t>本公司未及时履行前款规定义务的，除支付保险金外，应当赔偿受益人因</w:t>
            </w:r>
            <w:r>
              <w:rPr>
                <w:spacing w:val="-1"/>
                <w:sz w:val="21"/>
              </w:rPr>
              <w:t>此受到的损失。前述“损失”是指根据中国人民银行公布的同时期的人民币活期存款基准利率计算的利息损失。</w:t>
            </w:r>
          </w:p>
          <w:p>
            <w:pPr>
              <w:pStyle w:val="TableParagraph"/>
              <w:spacing w:line="280" w:lineRule="auto" w:before="8"/>
              <w:ind w:left="39" w:right="104"/>
              <w:jc w:val="both"/>
              <w:rPr>
                <w:sz w:val="21"/>
              </w:rPr>
            </w:pPr>
            <w:r>
              <w:rPr>
                <w:spacing w:val="-4"/>
                <w:sz w:val="21"/>
              </w:rPr>
              <w:t>对不属于保险责任的，本公司自作出核定之日起 </w:t>
            </w:r>
            <w:r>
              <w:rPr>
                <w:sz w:val="21"/>
              </w:rPr>
              <w:t>3</w:t>
            </w:r>
            <w:r>
              <w:rPr>
                <w:spacing w:val="-8"/>
                <w:sz w:val="21"/>
              </w:rPr>
              <w:t> 日内向受益人发出拒绝给付保险金通知书并说明理由。</w:t>
            </w:r>
          </w:p>
          <w:p>
            <w:pPr>
              <w:pStyle w:val="TableParagraph"/>
              <w:spacing w:line="278" w:lineRule="auto" w:before="10"/>
              <w:ind w:left="39" w:right="104"/>
              <w:jc w:val="both"/>
              <w:rPr>
                <w:sz w:val="21"/>
              </w:rPr>
            </w:pPr>
            <w:r>
              <w:rPr>
                <w:spacing w:val="-1"/>
                <w:sz w:val="21"/>
              </w:rPr>
              <w:t>本公司在收到保险金给付申请书及有关证明和资料之日起 </w:t>
            </w:r>
            <w:r>
              <w:rPr>
                <w:sz w:val="21"/>
              </w:rPr>
              <w:t>60</w:t>
            </w:r>
            <w:r>
              <w:rPr>
                <w:spacing w:val="-2"/>
                <w:sz w:val="21"/>
              </w:rPr>
              <w:t> 日内，对给</w:t>
            </w:r>
            <w:r>
              <w:rPr>
                <w:spacing w:val="-3"/>
                <w:sz w:val="21"/>
              </w:rPr>
              <w:t>付保险金的数额不能确定的，根据已有证明和资料可以确定的数额先予支付；本公司最终确定给付保险金的数额后，将支付相应的差额。</w:t>
            </w:r>
          </w:p>
        </w:tc>
      </w:tr>
      <w:tr>
        <w:trPr>
          <w:trHeight w:val="833" w:hRule="atLeast"/>
        </w:trPr>
        <w:tc>
          <w:tcPr>
            <w:tcW w:w="794" w:type="dxa"/>
          </w:tcPr>
          <w:p>
            <w:pPr>
              <w:pStyle w:val="TableParagraph"/>
              <w:spacing w:before="61"/>
              <w:ind w:left="107"/>
              <w:rPr>
                <w:rFonts w:ascii="黑体"/>
                <w:sz w:val="21"/>
              </w:rPr>
            </w:pPr>
            <w:r>
              <w:rPr>
                <w:rFonts w:ascii="黑体"/>
                <w:sz w:val="21"/>
              </w:rPr>
              <w:t>3.4</w:t>
            </w:r>
          </w:p>
        </w:tc>
        <w:tc>
          <w:tcPr>
            <w:tcW w:w="1883" w:type="dxa"/>
          </w:tcPr>
          <w:p>
            <w:pPr>
              <w:pStyle w:val="TableParagraph"/>
              <w:spacing w:before="61"/>
              <w:ind w:left="369"/>
              <w:rPr>
                <w:rFonts w:ascii="黑体" w:eastAsia="黑体" w:hint="eastAsia"/>
                <w:sz w:val="21"/>
              </w:rPr>
            </w:pPr>
            <w:r>
              <w:rPr>
                <w:rFonts w:ascii="黑体" w:eastAsia="黑体" w:hint="eastAsia"/>
                <w:sz w:val="21"/>
              </w:rPr>
              <w:t>诉讼时效</w:t>
            </w:r>
          </w:p>
        </w:tc>
        <w:tc>
          <w:tcPr>
            <w:tcW w:w="6863" w:type="dxa"/>
          </w:tcPr>
          <w:p>
            <w:pPr>
              <w:pStyle w:val="TableParagraph"/>
              <w:spacing w:line="280" w:lineRule="auto" w:before="61"/>
              <w:ind w:left="39" w:right="104"/>
              <w:rPr>
                <w:sz w:val="21"/>
              </w:rPr>
            </w:pPr>
            <w:r>
              <w:rPr>
                <w:spacing w:val="-3"/>
                <w:sz w:val="21"/>
              </w:rPr>
              <w:t>受益人向本公司请求给付保险金的诉讼时效期间为 </w:t>
            </w:r>
            <w:r>
              <w:rPr>
                <w:sz w:val="21"/>
              </w:rPr>
              <w:t>2</w:t>
            </w:r>
            <w:r>
              <w:rPr>
                <w:spacing w:val="-8"/>
                <w:sz w:val="21"/>
              </w:rPr>
              <w:t> 年，自其知道或应当知道保险事故发生之日起计算。</w:t>
            </w:r>
          </w:p>
        </w:tc>
      </w:tr>
      <w:tr>
        <w:trPr>
          <w:trHeight w:val="312" w:hRule="atLeast"/>
        </w:trPr>
        <w:tc>
          <w:tcPr>
            <w:tcW w:w="794"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883" w:type="dxa"/>
            <w:shd w:val="clear" w:color="auto" w:fill="D3D3D3"/>
          </w:tcPr>
          <w:p>
            <w:pPr>
              <w:pStyle w:val="TableParagraph"/>
              <w:spacing w:before="10"/>
              <w:ind w:left="369"/>
              <w:rPr>
                <w:rFonts w:ascii="黑体" w:eastAsia="黑体" w:hint="eastAsia"/>
                <w:b/>
                <w:sz w:val="21"/>
              </w:rPr>
            </w:pPr>
            <w:r>
              <w:rPr>
                <w:rFonts w:ascii="黑体" w:eastAsia="黑体" w:hint="eastAsia"/>
                <w:b/>
                <w:w w:val="95"/>
                <w:sz w:val="21"/>
              </w:rPr>
              <w:t>保险费的支付</w:t>
            </w:r>
          </w:p>
        </w:tc>
        <w:tc>
          <w:tcPr>
            <w:tcW w:w="6863" w:type="dxa"/>
            <w:shd w:val="clear" w:color="auto" w:fill="D3D3D3"/>
          </w:tcPr>
          <w:p>
            <w:pPr>
              <w:pStyle w:val="TableParagraph"/>
              <w:rPr>
                <w:rFonts w:ascii="Times New Roman"/>
                <w:sz w:val="20"/>
              </w:rPr>
            </w:pPr>
          </w:p>
        </w:tc>
      </w:tr>
      <w:tr>
        <w:trPr>
          <w:trHeight w:val="923" w:hRule="atLeast"/>
        </w:trPr>
        <w:tc>
          <w:tcPr>
            <w:tcW w:w="794" w:type="dxa"/>
          </w:tcPr>
          <w:p>
            <w:pPr>
              <w:pStyle w:val="TableParagraph"/>
              <w:spacing w:before="152"/>
              <w:ind w:left="108"/>
              <w:rPr>
                <w:rFonts w:ascii="黑体"/>
                <w:sz w:val="21"/>
              </w:rPr>
            </w:pPr>
            <w:r>
              <w:rPr>
                <w:rFonts w:ascii="黑体"/>
                <w:sz w:val="21"/>
              </w:rPr>
              <w:t>4.1</w:t>
            </w:r>
          </w:p>
        </w:tc>
        <w:tc>
          <w:tcPr>
            <w:tcW w:w="1883" w:type="dxa"/>
          </w:tcPr>
          <w:p>
            <w:pPr>
              <w:pStyle w:val="TableParagraph"/>
              <w:spacing w:before="152"/>
              <w:ind w:left="370"/>
              <w:rPr>
                <w:rFonts w:ascii="黑体" w:eastAsia="黑体" w:hint="eastAsia"/>
                <w:sz w:val="21"/>
              </w:rPr>
            </w:pPr>
            <w:r>
              <w:rPr>
                <w:rFonts w:ascii="黑体" w:eastAsia="黑体" w:hint="eastAsia"/>
                <w:sz w:val="21"/>
              </w:rPr>
              <w:t>保险费的支付</w:t>
            </w:r>
          </w:p>
        </w:tc>
        <w:tc>
          <w:tcPr>
            <w:tcW w:w="6863" w:type="dxa"/>
          </w:tcPr>
          <w:p>
            <w:pPr>
              <w:pStyle w:val="TableParagraph"/>
              <w:spacing w:line="280" w:lineRule="auto" w:before="152"/>
              <w:ind w:left="39" w:right="63"/>
              <w:rPr>
                <w:sz w:val="21"/>
              </w:rPr>
            </w:pPr>
            <w:r>
              <w:rPr>
                <w:sz w:val="21"/>
              </w:rPr>
              <w:t>本附加险合同的保险费交费方式、交费期间及保险费约定支付日与主险合同一致。</w:t>
            </w:r>
          </w:p>
        </w:tc>
      </w:tr>
      <w:tr>
        <w:trPr>
          <w:trHeight w:val="312" w:hRule="atLeast"/>
        </w:trPr>
        <w:tc>
          <w:tcPr>
            <w:tcW w:w="794"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883" w:type="dxa"/>
            <w:shd w:val="clear" w:color="auto" w:fill="D3D3D3"/>
          </w:tcPr>
          <w:p>
            <w:pPr>
              <w:pStyle w:val="TableParagraph"/>
              <w:spacing w:before="10"/>
              <w:ind w:left="369"/>
              <w:rPr>
                <w:rFonts w:ascii="黑体" w:eastAsia="黑体" w:hint="eastAsia"/>
                <w:b/>
                <w:sz w:val="21"/>
              </w:rPr>
            </w:pPr>
            <w:r>
              <w:rPr>
                <w:rFonts w:ascii="黑体" w:eastAsia="黑体" w:hint="eastAsia"/>
                <w:b/>
                <w:w w:val="95"/>
                <w:sz w:val="21"/>
              </w:rPr>
              <w:t>合同终止与解除</w:t>
            </w:r>
          </w:p>
        </w:tc>
        <w:tc>
          <w:tcPr>
            <w:tcW w:w="6863" w:type="dxa"/>
            <w:shd w:val="clear" w:color="auto" w:fill="D3D3D3"/>
          </w:tcPr>
          <w:p>
            <w:pPr>
              <w:pStyle w:val="TableParagraph"/>
              <w:rPr>
                <w:rFonts w:ascii="Times New Roman"/>
                <w:sz w:val="20"/>
              </w:rPr>
            </w:pPr>
          </w:p>
        </w:tc>
      </w:tr>
      <w:tr>
        <w:trPr>
          <w:trHeight w:val="1192" w:hRule="atLeast"/>
        </w:trPr>
        <w:tc>
          <w:tcPr>
            <w:tcW w:w="794" w:type="dxa"/>
          </w:tcPr>
          <w:p>
            <w:pPr>
              <w:pStyle w:val="TableParagraph"/>
              <w:spacing w:before="152"/>
              <w:ind w:left="107"/>
              <w:rPr>
                <w:rFonts w:ascii="黑体"/>
                <w:sz w:val="21"/>
              </w:rPr>
            </w:pPr>
            <w:r>
              <w:rPr>
                <w:rFonts w:ascii="黑体"/>
                <w:sz w:val="21"/>
              </w:rPr>
              <w:t>5.1</w:t>
            </w:r>
          </w:p>
        </w:tc>
        <w:tc>
          <w:tcPr>
            <w:tcW w:w="1883" w:type="dxa"/>
          </w:tcPr>
          <w:p>
            <w:pPr>
              <w:pStyle w:val="TableParagraph"/>
              <w:spacing w:before="152"/>
              <w:ind w:left="370"/>
              <w:rPr>
                <w:rFonts w:ascii="黑体" w:eastAsia="黑体" w:hint="eastAsia"/>
                <w:sz w:val="21"/>
              </w:rPr>
            </w:pPr>
            <w:r>
              <w:rPr>
                <w:rFonts w:ascii="黑体" w:eastAsia="黑体" w:hint="eastAsia"/>
                <w:sz w:val="21"/>
              </w:rPr>
              <w:t>合同终止</w:t>
            </w:r>
          </w:p>
        </w:tc>
        <w:tc>
          <w:tcPr>
            <w:tcW w:w="6863" w:type="dxa"/>
          </w:tcPr>
          <w:p>
            <w:pPr>
              <w:pStyle w:val="TableParagraph"/>
              <w:spacing w:line="278" w:lineRule="auto" w:before="152"/>
              <w:ind w:left="39" w:right="2411"/>
              <w:rPr>
                <w:sz w:val="21"/>
              </w:rPr>
            </w:pPr>
            <w:r>
              <w:rPr>
                <w:sz w:val="21"/>
                <w:shd w:fill="D9D9D9" w:color="auto" w:val="clear"/>
              </w:rPr>
              <w:t>发生下列情形之一时，本附加险合同效力终止：</w:t>
            </w:r>
            <w:r>
              <w:rPr>
                <w:sz w:val="21"/>
              </w:rPr>
              <w:t> </w:t>
            </w:r>
            <w:r>
              <w:rPr>
                <w:sz w:val="21"/>
                <w:shd w:fill="D9D9D9" w:color="auto" w:val="clear"/>
              </w:rPr>
              <w:t>(1)主险合同效力终止；</w:t>
            </w:r>
            <w:r>
              <w:rPr>
                <w:sz w:val="21"/>
              </w:rPr>
              <w:t> </w:t>
            </w:r>
            <w:r>
              <w:rPr>
                <w:sz w:val="21"/>
                <w:shd w:fill="D9D9D9" w:color="auto" w:val="clear"/>
              </w:rPr>
              <w:t>                  </w:t>
            </w:r>
            <w:r>
              <w:rPr>
                <w:spacing w:val="-1"/>
                <w:sz w:val="21"/>
                <w:shd w:fill="D9D9D9" w:color="auto" w:val="clear"/>
              </w:rPr>
              <w:t>(2)因本附加险条款的其他约定而效力终止。</w:t>
            </w:r>
          </w:p>
        </w:tc>
      </w:tr>
      <w:tr>
        <w:trPr>
          <w:trHeight w:val="2896" w:hRule="atLeast"/>
        </w:trPr>
        <w:tc>
          <w:tcPr>
            <w:tcW w:w="794" w:type="dxa"/>
          </w:tcPr>
          <w:p>
            <w:pPr>
              <w:pStyle w:val="TableParagraph"/>
              <w:spacing w:before="61"/>
              <w:ind w:left="107"/>
              <w:rPr>
                <w:rFonts w:ascii="黑体"/>
                <w:sz w:val="21"/>
              </w:rPr>
            </w:pPr>
            <w:r>
              <w:rPr>
                <w:rFonts w:ascii="黑体"/>
                <w:sz w:val="21"/>
              </w:rPr>
              <w:t>5.2</w:t>
            </w:r>
          </w:p>
        </w:tc>
        <w:tc>
          <w:tcPr>
            <w:tcW w:w="1883" w:type="dxa"/>
          </w:tcPr>
          <w:p>
            <w:pPr>
              <w:pStyle w:val="TableParagraph"/>
              <w:spacing w:line="280" w:lineRule="auto" w:before="61"/>
              <w:ind w:left="369" w:right="251"/>
              <w:jc w:val="both"/>
              <w:rPr>
                <w:rFonts w:ascii="黑体" w:eastAsia="黑体" w:hint="eastAsia"/>
                <w:sz w:val="21"/>
              </w:rPr>
            </w:pPr>
            <w:r>
              <w:rPr>
                <w:rFonts w:ascii="黑体" w:eastAsia="黑体" w:hint="eastAsia"/>
                <w:sz w:val="21"/>
              </w:rPr>
              <w:t>投保人解除合同的手续及风险</w:t>
            </w:r>
          </w:p>
        </w:tc>
        <w:tc>
          <w:tcPr>
            <w:tcW w:w="6863" w:type="dxa"/>
          </w:tcPr>
          <w:p>
            <w:pPr>
              <w:pStyle w:val="TableParagraph"/>
              <w:spacing w:before="61"/>
              <w:ind w:left="39"/>
              <w:rPr>
                <w:sz w:val="21"/>
              </w:rPr>
            </w:pPr>
            <w:r>
              <w:rPr>
                <w:sz w:val="21"/>
                <w:shd w:fill="D9D9D9" w:color="auto" w:val="clear"/>
              </w:rPr>
              <w:t>本附加险合同可与主险合同一并解除，但不得单独解除。</w:t>
            </w:r>
          </w:p>
          <w:p>
            <w:pPr>
              <w:pStyle w:val="TableParagraph"/>
              <w:spacing w:line="280" w:lineRule="auto" w:before="45"/>
              <w:ind w:left="39" w:right="63"/>
              <w:rPr>
                <w:sz w:val="21"/>
              </w:rPr>
            </w:pPr>
            <w:r>
              <w:rPr>
                <w:sz w:val="21"/>
              </w:rPr>
              <w:t>如投保人在犹豫期后申请解除本附加险合同，请填写解除合同申请书并向本公司提供下列资料：</w:t>
            </w:r>
          </w:p>
          <w:p>
            <w:pPr>
              <w:pStyle w:val="TableParagraph"/>
              <w:spacing w:line="280" w:lineRule="auto" w:before="8"/>
              <w:ind w:left="39" w:right="3986"/>
              <w:rPr>
                <w:sz w:val="21"/>
              </w:rPr>
            </w:pPr>
            <w:r>
              <w:rPr>
                <w:sz w:val="21"/>
              </w:rPr>
              <w:t>(1)保险合同或其他保险凭证； (2)投保人单位证明。</w:t>
            </w:r>
          </w:p>
          <w:p>
            <w:pPr>
              <w:pStyle w:val="TableParagraph"/>
              <w:spacing w:line="278" w:lineRule="auto" w:before="9"/>
              <w:ind w:left="39" w:right="105"/>
              <w:jc w:val="both"/>
              <w:rPr>
                <w:sz w:val="21"/>
              </w:rPr>
            </w:pPr>
            <w:r>
              <w:rPr>
                <w:spacing w:val="-2"/>
                <w:sz w:val="21"/>
              </w:rPr>
              <w:t>自本公司收到解除合同申请书时起，本附加险合同终止。本公司自收到解</w:t>
            </w:r>
            <w:r>
              <w:rPr>
                <w:spacing w:val="-4"/>
                <w:sz w:val="21"/>
              </w:rPr>
              <w:t>除合同申请书之日起 </w:t>
            </w:r>
            <w:r>
              <w:rPr>
                <w:sz w:val="21"/>
              </w:rPr>
              <w:t>30</w:t>
            </w:r>
            <w:r>
              <w:rPr>
                <w:spacing w:val="-4"/>
                <w:sz w:val="21"/>
              </w:rPr>
              <w:t> 日内向投保人退还本附加险合同保险单的现金价值。</w:t>
            </w:r>
          </w:p>
          <w:p>
            <w:pPr>
              <w:pStyle w:val="TableParagraph"/>
              <w:spacing w:line="255" w:lineRule="exact" w:before="11"/>
              <w:ind w:left="39"/>
              <w:jc w:val="both"/>
              <w:rPr>
                <w:sz w:val="21"/>
              </w:rPr>
            </w:pPr>
            <w:r>
              <w:rPr>
                <w:sz w:val="21"/>
                <w:shd w:fill="D9D9D9" w:color="auto" w:val="clear"/>
              </w:rPr>
              <w:t>投保人犹豫期后解除合同会遭受一定损失。</w:t>
            </w:r>
          </w:p>
        </w:tc>
      </w:tr>
    </w:tbl>
    <w:p>
      <w:pPr>
        <w:pStyle w:val="BodyText"/>
        <w:spacing w:before="9"/>
        <w:rPr>
          <w:sz w:val="11"/>
        </w:rPr>
      </w:pPr>
      <w:r>
        <w:rPr/>
        <w:pict>
          <v:shape style="position:absolute;margin-left:59.099998pt;margin-top:8.876139pt;width:477.1pt;height:15.6pt;mso-position-horizontal-relative:page;mso-position-vertical-relative:paragraph;z-index:1144;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ListParagraph"/>
        <w:numPr>
          <w:ilvl w:val="1"/>
          <w:numId w:val="11"/>
        </w:numPr>
        <w:tabs>
          <w:tab w:pos="1266" w:val="left" w:leader="none"/>
          <w:tab w:pos="1267" w:val="left" w:leader="none"/>
        </w:tabs>
        <w:spacing w:line="280" w:lineRule="auto" w:before="35" w:after="0"/>
        <w:ind w:left="1266" w:right="0" w:hanging="1057"/>
        <w:jc w:val="left"/>
        <w:rPr>
          <w:rFonts w:ascii="黑体" w:eastAsia="黑体" w:hint="eastAsia"/>
          <w:sz w:val="21"/>
        </w:rPr>
      </w:pPr>
      <w:r>
        <w:rPr>
          <w:rFonts w:ascii="黑体" w:eastAsia="黑体" w:hint="eastAsia"/>
          <w:spacing w:val="-1"/>
          <w:sz w:val="21"/>
        </w:rPr>
        <w:t>适用主险合同条款</w:t>
      </w:r>
    </w:p>
    <w:p>
      <w:pPr>
        <w:pStyle w:val="BodyText"/>
        <w:spacing w:line="278" w:lineRule="auto" w:before="35"/>
        <w:ind w:left="209" w:right="3983"/>
      </w:pPr>
      <w:r>
        <w:rPr/>
        <w:br w:type="column"/>
      </w:r>
      <w:r>
        <w:rPr/>
        <w:t>下列事项，适用主险合同条款： (1)犹豫期；               </w:t>
      </w:r>
      <w:r>
        <w:rPr>
          <w:spacing w:val="-1"/>
        </w:rPr>
        <w:t>(2)保险事故通知；</w:t>
      </w:r>
    </w:p>
    <w:p>
      <w:pPr>
        <w:spacing w:after="0" w:line="278" w:lineRule="auto"/>
        <w:sectPr>
          <w:type w:val="continuous"/>
          <w:pgSz w:w="11910" w:h="16840"/>
          <w:pgMar w:top="1240" w:bottom="280" w:left="1080" w:right="1080"/>
          <w:cols w:num="2" w:equalWidth="0">
            <w:col w:w="2526" w:space="83"/>
            <w:col w:w="7141"/>
          </w:cols>
        </w:sectPr>
      </w:pPr>
    </w:p>
    <w:p>
      <w:pPr>
        <w:pStyle w:val="BodyText"/>
        <w:spacing w:line="278" w:lineRule="auto" w:before="8"/>
        <w:ind w:left="2818" w:right="4509"/>
      </w:pPr>
      <w:r>
        <w:rPr/>
        <w:t>(3)宽限期；          (4)效力中止；        (5)效力恢复；        </w:t>
      </w:r>
      <w:r>
        <w:rPr>
          <w:spacing w:val="-1"/>
        </w:rPr>
        <w:t>(6)明确说明与如实告知；</w:t>
      </w:r>
    </w:p>
    <w:p>
      <w:pPr>
        <w:pStyle w:val="BodyText"/>
        <w:spacing w:line="278" w:lineRule="auto" w:before="10"/>
        <w:ind w:left="2818" w:right="4089"/>
      </w:pPr>
      <w:r>
        <w:rPr/>
        <w:t>(7)本公司合同解除权的限制； (8)未还款项；            (9)合同内容变更；       (10)联系方式变更；      (11)争议处理。</w:t>
      </w:r>
    </w:p>
    <w:p>
      <w:pPr>
        <w:pStyle w:val="ListParagraph"/>
        <w:numPr>
          <w:ilvl w:val="1"/>
          <w:numId w:val="11"/>
        </w:numPr>
        <w:tabs>
          <w:tab w:pos="1265" w:val="left" w:leader="none"/>
          <w:tab w:pos="1267" w:val="left" w:leader="none"/>
          <w:tab w:pos="2818" w:val="left" w:leader="none"/>
        </w:tabs>
        <w:spacing w:line="280" w:lineRule="auto" w:before="153" w:after="0"/>
        <w:ind w:left="2818" w:right="207" w:hanging="2609"/>
        <w:jc w:val="left"/>
        <w:rPr>
          <w:sz w:val="21"/>
        </w:rPr>
      </w:pPr>
      <w:r>
        <w:rPr>
          <w:rFonts w:ascii="黑体" w:eastAsia="黑体" w:hint="eastAsia"/>
          <w:sz w:val="21"/>
        </w:rPr>
        <w:t>年龄错误</w:t>
        <w:tab/>
      </w:r>
      <w:r>
        <w:rPr>
          <w:sz w:val="21"/>
        </w:rPr>
        <w:t>投保人在申请投保时</w:t>
      </w:r>
      <w:r>
        <w:rPr>
          <w:spacing w:val="-4"/>
          <w:sz w:val="21"/>
        </w:rPr>
        <w:t>，</w:t>
      </w:r>
      <w:r>
        <w:rPr>
          <w:sz w:val="21"/>
        </w:rPr>
        <w:t>应将与有效身份证件相符的被保险人的出生日期在投保单上填明，如果发生错误按照下列方式办理：</w:t>
      </w:r>
    </w:p>
    <w:p>
      <w:pPr>
        <w:pStyle w:val="BodyText"/>
        <w:spacing w:line="278" w:lineRule="auto" w:before="8"/>
        <w:ind w:left="3134" w:right="207" w:hanging="316"/>
        <w:jc w:val="both"/>
      </w:pPr>
      <w:r>
        <w:rPr/>
        <w:t>(1)投保人申报的被保险人年龄不真实，并且其真实年龄不符合本附加险合同约定投保年龄限制的，在保险事故发生之前本公司有权解除合同或终止对该被保险人的保险责任，并向投保人退还相应的现金价值。</w:t>
      </w:r>
      <w:r>
        <w:rPr>
          <w:spacing w:val="-5"/>
        </w:rPr>
        <w:t>本条规定的合同解除权，自本公司知道有解除事由之日起，超过 </w:t>
      </w:r>
      <w:r>
        <w:rPr/>
        <w:t>30</w:t>
      </w:r>
      <w:r>
        <w:rPr>
          <w:spacing w:val="-33"/>
        </w:rPr>
        <w:t> 日</w:t>
      </w:r>
    </w:p>
    <w:p>
      <w:pPr>
        <w:pStyle w:val="BodyText"/>
        <w:spacing w:line="280" w:lineRule="auto" w:before="12"/>
        <w:ind w:left="3134" w:right="207"/>
      </w:pPr>
      <w:r>
        <w:rPr/>
        <w:t>不行使而消灭。自本附加险合同成立之日起超过 2 年的，本公司不得解除合同；发生保险事故的，本公司承担给付保险金的责任。</w:t>
      </w:r>
    </w:p>
    <w:p>
      <w:pPr>
        <w:pStyle w:val="BodyText"/>
        <w:spacing w:line="280" w:lineRule="auto" w:before="9"/>
        <w:ind w:left="3134" w:right="208" w:hanging="316"/>
        <w:jc w:val="both"/>
      </w:pPr>
      <w:r>
        <w:rPr/>
        <w:t>(2)投保人申报的被保险人年龄不真实，致使投保人实付保险费少于应付保险费的，本公司有权更正并要求投保人补交保险费。</w:t>
      </w:r>
      <w:r>
        <w:rPr>
          <w:shd w:fill="D9D9D9" w:color="auto" w:val="clear"/>
        </w:rPr>
        <w:t>若已经发生保险事故，在给付保险金时按实付保险费和应付保险费的比例给付。</w:t>
      </w:r>
    </w:p>
    <w:p>
      <w:pPr>
        <w:pStyle w:val="BodyText"/>
        <w:spacing w:line="280" w:lineRule="auto" w:before="9"/>
        <w:ind w:left="3134" w:right="208" w:hanging="316"/>
        <w:jc w:val="both"/>
      </w:pPr>
      <w:r>
        <w:rPr/>
        <w:t>(3)投保人申报的被保险人年龄不真实，致使投保人实付保险费多于应付保险费的，本公司会将多收的保险费退还给投保人。</w:t>
      </w:r>
    </w:p>
    <w:p>
      <w:pPr>
        <w:pStyle w:val="BodyText"/>
        <w:spacing w:before="10"/>
        <w:ind w:left="2818"/>
      </w:pPr>
      <w:r>
        <w:rPr/>
        <w:t>(4)投保人申报的被保险人年龄不真实，致使现金价值与实际不符的，本</w:t>
      </w:r>
    </w:p>
    <w:p>
      <w:pPr>
        <w:pStyle w:val="BodyText"/>
        <w:spacing w:before="4"/>
        <w:rPr>
          <w:sz w:val="8"/>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1779"/>
        <w:gridCol w:w="6863"/>
      </w:tblGrid>
      <w:tr>
        <w:trPr>
          <w:trHeight w:val="386" w:hRule="atLeast"/>
        </w:trPr>
        <w:tc>
          <w:tcPr>
            <w:tcW w:w="898" w:type="dxa"/>
          </w:tcPr>
          <w:p>
            <w:pPr>
              <w:pStyle w:val="TableParagraph"/>
              <w:rPr>
                <w:rFonts w:ascii="Times New Roman"/>
                <w:sz w:val="20"/>
              </w:rPr>
            </w:pPr>
          </w:p>
        </w:tc>
        <w:tc>
          <w:tcPr>
            <w:tcW w:w="1779" w:type="dxa"/>
          </w:tcPr>
          <w:p>
            <w:pPr>
              <w:pStyle w:val="TableParagraph"/>
              <w:rPr>
                <w:rFonts w:ascii="Times New Roman"/>
                <w:sz w:val="20"/>
              </w:rPr>
            </w:pPr>
          </w:p>
        </w:tc>
        <w:tc>
          <w:tcPr>
            <w:tcW w:w="6863" w:type="dxa"/>
          </w:tcPr>
          <w:p>
            <w:pPr>
              <w:pStyle w:val="TableParagraph"/>
              <w:spacing w:line="210" w:lineRule="exact"/>
              <w:ind w:left="355"/>
              <w:rPr>
                <w:sz w:val="21"/>
              </w:rPr>
            </w:pPr>
            <w:r>
              <w:rPr>
                <w:sz w:val="21"/>
              </w:rPr>
              <w:t>公司有权根据被保险人的实际年龄调整。</w:t>
            </w:r>
          </w:p>
        </w:tc>
      </w:tr>
      <w:tr>
        <w:trPr>
          <w:trHeight w:val="312" w:hRule="atLeast"/>
        </w:trPr>
        <w:tc>
          <w:tcPr>
            <w:tcW w:w="898"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7．</w:t>
            </w:r>
          </w:p>
        </w:tc>
        <w:tc>
          <w:tcPr>
            <w:tcW w:w="1779" w:type="dxa"/>
            <w:shd w:val="clear" w:color="auto" w:fill="D3D3D3"/>
          </w:tcPr>
          <w:p>
            <w:pPr>
              <w:pStyle w:val="TableParagraph"/>
              <w:spacing w:before="10"/>
              <w:ind w:left="265"/>
              <w:rPr>
                <w:rFonts w:ascii="黑体" w:eastAsia="黑体" w:hint="eastAsia"/>
                <w:b/>
                <w:sz w:val="21"/>
              </w:rPr>
            </w:pPr>
            <w:r>
              <w:rPr>
                <w:rFonts w:ascii="黑体" w:eastAsia="黑体" w:hint="eastAsia"/>
                <w:b/>
                <w:w w:val="95"/>
                <w:sz w:val="21"/>
              </w:rPr>
              <w:t>轻症疾病的定义</w:t>
            </w:r>
          </w:p>
        </w:tc>
        <w:tc>
          <w:tcPr>
            <w:tcW w:w="6863" w:type="dxa"/>
            <w:shd w:val="clear" w:color="auto" w:fill="D3D3D3"/>
          </w:tcPr>
          <w:p>
            <w:pPr>
              <w:pStyle w:val="TableParagraph"/>
              <w:rPr>
                <w:rFonts w:ascii="Times New Roman"/>
                <w:sz w:val="20"/>
              </w:rPr>
            </w:pPr>
          </w:p>
        </w:tc>
      </w:tr>
      <w:tr>
        <w:trPr>
          <w:trHeight w:val="1193" w:hRule="atLeast"/>
        </w:trPr>
        <w:tc>
          <w:tcPr>
            <w:tcW w:w="898" w:type="dxa"/>
          </w:tcPr>
          <w:p>
            <w:pPr>
              <w:pStyle w:val="TableParagraph"/>
              <w:spacing w:before="153"/>
              <w:ind w:left="107"/>
              <w:rPr>
                <w:rFonts w:ascii="黑体"/>
                <w:sz w:val="21"/>
              </w:rPr>
            </w:pPr>
            <w:r>
              <w:rPr>
                <w:rFonts w:ascii="黑体"/>
                <w:sz w:val="21"/>
              </w:rPr>
              <w:t>7.1</w:t>
            </w:r>
          </w:p>
        </w:tc>
        <w:tc>
          <w:tcPr>
            <w:tcW w:w="1779" w:type="dxa"/>
          </w:tcPr>
          <w:p>
            <w:pPr>
              <w:pStyle w:val="TableParagraph"/>
              <w:spacing w:line="278" w:lineRule="auto" w:before="153"/>
              <w:ind w:left="266" w:right="251"/>
              <w:rPr>
                <w:rFonts w:ascii="黑体" w:eastAsia="黑体" w:hint="eastAsia"/>
                <w:sz w:val="21"/>
              </w:rPr>
            </w:pPr>
            <w:r>
              <w:rPr>
                <w:rFonts w:ascii="黑体" w:eastAsia="黑体" w:hint="eastAsia"/>
                <w:sz w:val="21"/>
              </w:rPr>
              <w:t>轻症疾病的定义</w:t>
            </w:r>
          </w:p>
        </w:tc>
        <w:tc>
          <w:tcPr>
            <w:tcW w:w="6863" w:type="dxa"/>
          </w:tcPr>
          <w:p>
            <w:pPr>
              <w:pStyle w:val="TableParagraph"/>
              <w:spacing w:before="153"/>
              <w:ind w:left="39" w:right="104"/>
              <w:jc w:val="both"/>
              <w:rPr>
                <w:sz w:val="21"/>
              </w:rPr>
            </w:pPr>
            <w:r>
              <w:rPr>
                <w:spacing w:val="-1"/>
                <w:sz w:val="21"/>
              </w:rPr>
              <w:t>本附加险合同所保障的轻症疾病，是指被保险人在主险合同有效且本附加</w:t>
            </w:r>
            <w:r>
              <w:rPr>
                <w:spacing w:val="5"/>
                <w:sz w:val="21"/>
              </w:rPr>
              <w:t>险合同有效期间内经</w:t>
            </w:r>
            <w:r>
              <w:rPr>
                <w:rFonts w:ascii="Microsoft JhengHei" w:eastAsia="Microsoft JhengHei" w:hint="eastAsia"/>
                <w:b/>
                <w:spacing w:val="5"/>
                <w:sz w:val="21"/>
              </w:rPr>
              <w:t>专科医生</w:t>
            </w:r>
            <w:r>
              <w:rPr>
                <w:spacing w:val="3"/>
                <w:sz w:val="21"/>
              </w:rPr>
              <w:t>明确诊断初次患下列疾病或初次达到下列疾病状态或在医院初次接受下列手术：</w:t>
            </w:r>
          </w:p>
        </w:tc>
      </w:tr>
      <w:tr>
        <w:trPr>
          <w:trHeight w:val="2382" w:hRule="atLeast"/>
        </w:trPr>
        <w:tc>
          <w:tcPr>
            <w:tcW w:w="898" w:type="dxa"/>
          </w:tcPr>
          <w:p>
            <w:pPr>
              <w:pStyle w:val="TableParagraph"/>
              <w:spacing w:before="61"/>
              <w:ind w:left="107"/>
              <w:rPr>
                <w:rFonts w:ascii="黑体"/>
                <w:sz w:val="21"/>
              </w:rPr>
            </w:pPr>
            <w:r>
              <w:rPr>
                <w:rFonts w:ascii="黑体"/>
                <w:sz w:val="21"/>
              </w:rPr>
              <w:t>7.1.1</w:t>
            </w:r>
          </w:p>
        </w:tc>
        <w:tc>
          <w:tcPr>
            <w:tcW w:w="1779" w:type="dxa"/>
          </w:tcPr>
          <w:p>
            <w:pPr>
              <w:pStyle w:val="TableParagraph"/>
              <w:spacing w:line="280" w:lineRule="auto" w:before="61"/>
              <w:ind w:left="266" w:right="251"/>
              <w:rPr>
                <w:rFonts w:ascii="黑体" w:eastAsia="黑体" w:hint="eastAsia"/>
                <w:sz w:val="21"/>
              </w:rPr>
            </w:pPr>
            <w:r>
              <w:rPr>
                <w:rFonts w:ascii="黑体" w:eastAsia="黑体" w:hint="eastAsia"/>
                <w:sz w:val="21"/>
              </w:rPr>
              <w:t>非危及Th命的恶性病变</w:t>
            </w:r>
          </w:p>
        </w:tc>
        <w:tc>
          <w:tcPr>
            <w:tcW w:w="6863" w:type="dxa"/>
          </w:tcPr>
          <w:p>
            <w:pPr>
              <w:pStyle w:val="TableParagraph"/>
              <w:spacing w:line="280" w:lineRule="auto" w:before="61"/>
              <w:ind w:left="39" w:right="102"/>
              <w:rPr>
                <w:sz w:val="21"/>
              </w:rPr>
            </w:pPr>
            <w:r>
              <w:rPr>
                <w:sz w:val="21"/>
              </w:rPr>
              <w:t>指经组织病理学检查被明确诊断为下列恶性病变，并且接受了相应的治疗。</w:t>
            </w:r>
          </w:p>
          <w:p>
            <w:pPr>
              <w:pStyle w:val="TableParagraph"/>
              <w:spacing w:before="8"/>
              <w:ind w:left="39"/>
              <w:rPr>
                <w:sz w:val="21"/>
              </w:rPr>
            </w:pPr>
            <w:r>
              <w:rPr>
                <w:sz w:val="21"/>
              </w:rPr>
              <w:t>(1)原位癌；</w:t>
            </w:r>
          </w:p>
          <w:p>
            <w:pPr>
              <w:pStyle w:val="TableParagraph"/>
              <w:spacing w:line="278" w:lineRule="auto" w:before="45"/>
              <w:ind w:left="39" w:right="1280"/>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14"/>
                <w:sz w:val="21"/>
              </w:rPr>
              <w:t>相当于 </w:t>
            </w:r>
            <w:r>
              <w:rPr>
                <w:sz w:val="21"/>
              </w:rPr>
              <w:t>Ann</w:t>
            </w:r>
            <w:r>
              <w:rPr>
                <w:spacing w:val="20"/>
                <w:sz w:val="21"/>
              </w:rPr>
              <w:t> </w:t>
            </w:r>
            <w:r>
              <w:rPr>
                <w:sz w:val="21"/>
              </w:rPr>
              <w:t>Arbor</w:t>
            </w:r>
            <w:r>
              <w:rPr>
                <w:spacing w:val="-3"/>
                <w:sz w:val="21"/>
              </w:rPr>
              <w:t> 分期方案 </w:t>
            </w:r>
            <w:r>
              <w:rPr>
                <w:sz w:val="21"/>
              </w:rPr>
              <w:t>I</w:t>
            </w:r>
            <w:r>
              <w:rPr>
                <w:spacing w:val="-6"/>
                <w:sz w:val="21"/>
              </w:rPr>
              <w:t> 期程度的何杰金氏病； </w:t>
            </w:r>
            <w:r>
              <w:rPr>
                <w:spacing w:val="-1"/>
                <w:sz w:val="21"/>
              </w:rPr>
              <w:t>(4)皮肤癌；</w:t>
            </w:r>
          </w:p>
          <w:p>
            <w:pPr>
              <w:pStyle w:val="TableParagraph"/>
              <w:spacing w:before="11"/>
              <w:ind w:left="3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616" w:hRule="atLeast"/>
        </w:trPr>
        <w:tc>
          <w:tcPr>
            <w:tcW w:w="898" w:type="dxa"/>
          </w:tcPr>
          <w:p>
            <w:pPr>
              <w:pStyle w:val="TableParagraph"/>
              <w:spacing w:before="61"/>
              <w:ind w:left="107"/>
              <w:rPr>
                <w:rFonts w:ascii="黑体"/>
                <w:sz w:val="21"/>
              </w:rPr>
            </w:pPr>
            <w:r>
              <w:rPr>
                <w:rFonts w:ascii="黑体"/>
                <w:sz w:val="21"/>
              </w:rPr>
              <w:t>7.1.2</w:t>
            </w:r>
          </w:p>
        </w:tc>
        <w:tc>
          <w:tcPr>
            <w:tcW w:w="1779" w:type="dxa"/>
          </w:tcPr>
          <w:p>
            <w:pPr>
              <w:pStyle w:val="TableParagraph"/>
              <w:spacing w:line="280" w:lineRule="auto" w:before="61"/>
              <w:ind w:left="265" w:right="251"/>
              <w:rPr>
                <w:rFonts w:ascii="黑体" w:eastAsia="黑体" w:hint="eastAsia"/>
                <w:sz w:val="21"/>
              </w:rPr>
            </w:pPr>
            <w:r>
              <w:rPr>
                <w:rFonts w:ascii="黑体" w:eastAsia="黑体" w:hint="eastAsia"/>
                <w:sz w:val="21"/>
              </w:rPr>
              <w:t>不典型的急性心肌梗塞</w:t>
            </w:r>
          </w:p>
        </w:tc>
        <w:tc>
          <w:tcPr>
            <w:tcW w:w="6863" w:type="dxa"/>
          </w:tcPr>
          <w:p>
            <w:pPr>
              <w:pStyle w:val="TableParagraph"/>
              <w:spacing w:line="278" w:lineRule="auto" w:before="61"/>
              <w:ind w:left="39" w:right="101"/>
              <w:jc w:val="both"/>
              <w:rPr>
                <w:sz w:val="21"/>
              </w:rPr>
            </w:pPr>
            <w:r>
              <w:rPr>
                <w:sz w:val="21"/>
              </w:rPr>
              <w:t>指被临床诊断为急性心肌梗塞并接受了急性心肌梗塞治疗，虽然未达到主险合同“重大疾病的定义”条款中“急性心肌梗塞”所定义的给付标准， 但满足下列全部条件：</w:t>
            </w:r>
          </w:p>
          <w:p>
            <w:pPr>
              <w:pStyle w:val="TableParagraph"/>
              <w:spacing w:line="320" w:lineRule="exact" w:before="1"/>
              <w:ind w:left="39" w:right="1992"/>
              <w:rPr>
                <w:sz w:val="21"/>
              </w:rPr>
            </w:pPr>
            <w:r>
              <w:rPr>
                <w:sz w:val="21"/>
              </w:rPr>
              <w:t>(1)肌钙蛋白有诊断意义的升高；               (2)</w:t>
            </w:r>
            <w:r>
              <w:rPr>
                <w:spacing w:val="-7"/>
                <w:sz w:val="21"/>
              </w:rPr>
              <w:t>心电图有损伤性的 </w:t>
            </w:r>
            <w:r>
              <w:rPr>
                <w:sz w:val="21"/>
              </w:rPr>
              <w:t>ST</w:t>
            </w:r>
            <w:r>
              <w:rPr>
                <w:spacing w:val="-13"/>
                <w:sz w:val="21"/>
              </w:rPr>
              <w:t> 段改变但未出现病理 </w:t>
            </w:r>
            <w:r>
              <w:rPr>
                <w:sz w:val="21"/>
              </w:rPr>
              <w:t>Q</w:t>
            </w:r>
            <w:r>
              <w:rPr>
                <w:spacing w:val="-20"/>
                <w:sz w:val="21"/>
              </w:rPr>
              <w:t> 波。</w:t>
            </w:r>
          </w:p>
        </w:tc>
      </w:tr>
    </w:tbl>
    <w:p>
      <w:pPr>
        <w:spacing w:after="0" w:line="320" w:lineRule="exact"/>
        <w:rPr>
          <w:sz w:val="21"/>
        </w:rPr>
        <w:sectPr>
          <w:pgSz w:w="11910" w:h="16840"/>
          <w:pgMar w:top="1420" w:bottom="280" w:left="1080" w:right="1080"/>
        </w:sectPr>
      </w:pPr>
    </w:p>
    <w:p>
      <w:pPr>
        <w:pStyle w:val="ListParagraph"/>
        <w:numPr>
          <w:ilvl w:val="2"/>
          <w:numId w:val="12"/>
        </w:numPr>
        <w:tabs>
          <w:tab w:pos="1227" w:val="left" w:leader="none"/>
        </w:tabs>
        <w:spacing w:line="278" w:lineRule="auto" w:before="8" w:after="0"/>
        <w:ind w:left="2778" w:right="207" w:hanging="2608"/>
        <w:jc w:val="both"/>
        <w:rPr>
          <w:sz w:val="21"/>
        </w:rPr>
      </w:pPr>
      <w:r>
        <w:rPr>
          <w:rFonts w:ascii="黑体" w:hAnsi="黑体" w:eastAsia="黑体" w:hint="eastAsia"/>
          <w:spacing w:val="12"/>
          <w:sz w:val="21"/>
        </w:rPr>
        <w:t>轻微脑中风 </w:t>
      </w:r>
      <w:r>
        <w:rPr>
          <w:spacing w:val="-1"/>
          <w:sz w:val="21"/>
        </w:rPr>
        <w:t>指实际发生了脑血管的突发病变出现神经系统功能障碍表现，头颅断层扫描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pacing w:val="-1"/>
          <w:sz w:val="21"/>
        </w:rPr>
        <w:t>等影像学检查证实存在对应病灶，确诊为脑出血</w:t>
      </w:r>
      <w:r>
        <w:rPr>
          <w:spacing w:val="-7"/>
          <w:sz w:val="21"/>
        </w:rPr>
        <w:t>、脑栓塞或脑梗塞，在确诊 </w:t>
      </w:r>
      <w:r>
        <w:rPr>
          <w:sz w:val="21"/>
        </w:rPr>
        <w:t>180</w:t>
      </w:r>
      <w:r>
        <w:rPr>
          <w:spacing w:val="-8"/>
          <w:sz w:val="21"/>
        </w:rPr>
        <w:t> 天后未遗留神经系统功能障碍或后遗的神经系统功能障碍程度未达到主险合同“重大疾病的定义”条款中“脑中风后遗症”所定义的给付标准。</w:t>
      </w:r>
    </w:p>
    <w:p>
      <w:pPr>
        <w:pStyle w:val="BodyText"/>
        <w:spacing w:before="12"/>
        <w:rPr>
          <w:sz w:val="8"/>
        </w:rPr>
      </w:pPr>
    </w:p>
    <w:p>
      <w:pPr>
        <w:spacing w:after="0"/>
        <w:rPr>
          <w:sz w:val="8"/>
        </w:rPr>
        <w:sectPr>
          <w:pgSz w:w="11910" w:h="16840"/>
          <w:pgMar w:top="1420" w:bottom="280" w:left="1120" w:right="1080"/>
        </w:sectPr>
      </w:pPr>
    </w:p>
    <w:p>
      <w:pPr>
        <w:pStyle w:val="ListParagraph"/>
        <w:numPr>
          <w:ilvl w:val="2"/>
          <w:numId w:val="12"/>
        </w:numPr>
        <w:tabs>
          <w:tab w:pos="1225" w:val="left" w:leader="none"/>
          <w:tab w:pos="1227" w:val="left" w:leader="none"/>
        </w:tabs>
        <w:spacing w:line="280" w:lineRule="auto" w:before="36" w:after="0"/>
        <w:ind w:left="1226" w:right="0" w:hanging="1056"/>
        <w:jc w:val="left"/>
        <w:rPr>
          <w:rFonts w:ascii="黑体" w:eastAsia="黑体" w:hint="eastAsia"/>
          <w:sz w:val="21"/>
        </w:rPr>
      </w:pPr>
      <w:r>
        <w:rPr>
          <w:rFonts w:ascii="黑体" w:eastAsia="黑体" w:hint="eastAsia"/>
          <w:spacing w:val="-1"/>
          <w:sz w:val="21"/>
        </w:rPr>
        <w:t>冠状动脉介入手术</w:t>
      </w:r>
    </w:p>
    <w:p>
      <w:pPr>
        <w:pStyle w:val="BodyText"/>
        <w:spacing w:line="280" w:lineRule="auto" w:before="36"/>
        <w:ind w:left="170" w:right="207"/>
      </w:pPr>
      <w:r>
        <w:rPr/>
        <w:br w:type="column"/>
      </w:r>
      <w:r>
        <w:rPr/>
        <w:t>为了治疗明显的冠状动脉狭窄性疾病，首次实际实施了冠状动脉球囊扩张成形术、冠状动脉支架植入术或激光冠状动脉成形术。</w:t>
      </w:r>
    </w:p>
    <w:p>
      <w:pPr>
        <w:spacing w:after="0" w:line="280" w:lineRule="auto"/>
        <w:sectPr>
          <w:type w:val="continuous"/>
          <w:pgSz w:w="11910" w:h="16840"/>
          <w:pgMar w:top="1240" w:bottom="280" w:left="1120" w:right="1080"/>
          <w:cols w:num="2" w:equalWidth="0">
            <w:col w:w="2486" w:space="123"/>
            <w:col w:w="7101"/>
          </w:cols>
        </w:sectPr>
      </w:pPr>
    </w:p>
    <w:p>
      <w:pPr>
        <w:pStyle w:val="BodyText"/>
        <w:spacing w:before="11"/>
        <w:rPr>
          <w:sz w:val="8"/>
        </w:rPr>
      </w:pPr>
    </w:p>
    <w:p>
      <w:pPr>
        <w:spacing w:after="0"/>
        <w:rPr>
          <w:sz w:val="8"/>
        </w:rPr>
        <w:sectPr>
          <w:type w:val="continuous"/>
          <w:pgSz w:w="11910" w:h="16840"/>
          <w:pgMar w:top="1240" w:bottom="280" w:left="1120" w:right="1080"/>
        </w:sectPr>
      </w:pPr>
    </w:p>
    <w:p>
      <w:pPr>
        <w:pStyle w:val="ListParagraph"/>
        <w:numPr>
          <w:ilvl w:val="2"/>
          <w:numId w:val="12"/>
        </w:numPr>
        <w:tabs>
          <w:tab w:pos="1225" w:val="left" w:leader="none"/>
          <w:tab w:pos="1227" w:val="left" w:leader="none"/>
        </w:tabs>
        <w:spacing w:line="280" w:lineRule="auto" w:before="35" w:after="0"/>
        <w:ind w:left="1226" w:right="0" w:hanging="1056"/>
        <w:jc w:val="left"/>
        <w:rPr>
          <w:rFonts w:ascii="黑体" w:eastAsia="黑体" w:hint="eastAsia"/>
          <w:sz w:val="21"/>
        </w:rPr>
      </w:pPr>
      <w:r>
        <w:rPr>
          <w:rFonts w:ascii="黑体" w:eastAsia="黑体" w:hint="eastAsia"/>
          <w:spacing w:val="-1"/>
          <w:sz w:val="21"/>
        </w:rPr>
        <w:t>心脏瓣膜介入手术</w:t>
      </w:r>
    </w:p>
    <w:p>
      <w:pPr>
        <w:pStyle w:val="BodyText"/>
        <w:spacing w:line="280" w:lineRule="auto" w:before="35"/>
        <w:ind w:left="170" w:right="207"/>
      </w:pPr>
      <w:r>
        <w:rPr/>
        <w:br w:type="column"/>
      </w:r>
      <w:r>
        <w:rPr/>
        <w:t>为了治疗心脏瓣膜疾病，实际实施了非开胸的经胸壁打孔内镜手术或经皮经导管介入手术进行的心脏瓣膜置换或修复手术。</w:t>
      </w:r>
    </w:p>
    <w:p>
      <w:pPr>
        <w:spacing w:after="0" w:line="280" w:lineRule="auto"/>
        <w:sectPr>
          <w:type w:val="continuous"/>
          <w:pgSz w:w="11910" w:h="16840"/>
          <w:pgMar w:top="1240" w:bottom="280" w:left="1120" w:right="1080"/>
          <w:cols w:num="2" w:equalWidth="0">
            <w:col w:w="2486" w:space="123"/>
            <w:col w:w="7101"/>
          </w:cols>
        </w:sectPr>
      </w:pPr>
    </w:p>
    <w:p>
      <w:pPr>
        <w:pStyle w:val="BodyText"/>
        <w:spacing w:before="10"/>
        <w:rPr>
          <w:sz w:val="8"/>
        </w:rPr>
      </w:pPr>
    </w:p>
    <w:p>
      <w:pPr>
        <w:pStyle w:val="ListParagraph"/>
        <w:numPr>
          <w:ilvl w:val="2"/>
          <w:numId w:val="12"/>
        </w:numPr>
        <w:tabs>
          <w:tab w:pos="1226" w:val="left" w:leader="none"/>
          <w:tab w:pos="1227" w:val="left" w:leader="none"/>
          <w:tab w:pos="2778" w:val="left" w:leader="none"/>
        </w:tabs>
        <w:spacing w:line="320" w:lineRule="exact" w:before="25" w:after="0"/>
        <w:ind w:left="2778" w:right="208" w:hanging="2608"/>
        <w:jc w:val="left"/>
        <w:rPr>
          <w:sz w:val="21"/>
        </w:rPr>
      </w:pPr>
      <w:r>
        <w:rPr>
          <w:rFonts w:ascii="黑体" w:hAnsi="黑体" w:eastAsia="黑体" w:hint="eastAsia"/>
          <w:sz w:val="21"/>
        </w:rPr>
        <w:t>视力严重受损</w:t>
        <w:tab/>
      </w:r>
      <w:r>
        <w:rPr>
          <w:sz w:val="21"/>
        </w:rPr>
        <w:t>指因疾病或意外伤害导致双目视力</w:t>
      </w:r>
      <w:r>
        <w:rPr>
          <w:rFonts w:ascii="Microsoft JhengHei" w:hAnsi="Microsoft JhengHei" w:eastAsia="Microsoft JhengHei" w:hint="eastAsia"/>
          <w:b/>
          <w:sz w:val="21"/>
        </w:rPr>
        <w:t>永久不可逆</w:t>
      </w:r>
      <w:r>
        <w:rPr>
          <w:sz w:val="21"/>
        </w:rPr>
        <w:t>性丧失</w:t>
      </w:r>
      <w:r>
        <w:rPr>
          <w:spacing w:val="-9"/>
          <w:sz w:val="21"/>
        </w:rPr>
        <w:t>，</w:t>
      </w:r>
      <w:r>
        <w:rPr>
          <w:sz w:val="21"/>
        </w:rPr>
        <w:t>虽然未达到主险合 </w:t>
      </w:r>
      <w:r>
        <w:rPr>
          <w:spacing w:val="-1"/>
          <w:sz w:val="21"/>
        </w:rPr>
        <w:t>同“重大疾病的定义</w:t>
      </w:r>
      <w:r>
        <w:rPr>
          <w:sz w:val="21"/>
        </w:rPr>
        <w:t>”条款中“双目失明”所定义的给付标准，但满足下</w:t>
      </w:r>
    </w:p>
    <w:p>
      <w:pPr>
        <w:pStyle w:val="BodyText"/>
        <w:spacing w:before="10"/>
        <w:ind w:left="2778"/>
      </w:pPr>
      <w:r>
        <w:rPr/>
        <w:t>列全部条件：</w:t>
      </w:r>
    </w:p>
    <w:p>
      <w:pPr>
        <w:pStyle w:val="BodyText"/>
        <w:spacing w:line="278" w:lineRule="auto" w:before="45"/>
        <w:ind w:left="3094" w:right="208" w:hanging="316"/>
      </w:pPr>
      <w:r>
        <w:rPr/>
        <w:t>(1)</w:t>
      </w:r>
      <w:r>
        <w:rPr>
          <w:spacing w:val="-6"/>
        </w:rPr>
        <w:t>双眼中较好眼矫正视力低于 </w:t>
      </w:r>
      <w:r>
        <w:rPr>
          <w:spacing w:val="-8"/>
        </w:rPr>
        <w:t>0.1（</w:t>
      </w:r>
      <w:r>
        <w:rPr>
          <w:spacing w:val="-3"/>
        </w:rPr>
        <w:t>采用国际标准视力表，如果使用其他视力表应进行换算</w:t>
      </w:r>
      <w:r>
        <w:rPr>
          <w:spacing w:val="-105"/>
        </w:rPr>
        <w:t>）</w:t>
      </w:r>
      <w:r>
        <w:rPr/>
        <w:t>；</w:t>
      </w:r>
    </w:p>
    <w:p>
      <w:pPr>
        <w:pStyle w:val="BodyText"/>
        <w:spacing w:before="11"/>
        <w:rPr>
          <w:sz w:val="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6912"/>
      </w:tblGrid>
      <w:tr>
        <w:trPr>
          <w:trHeight w:val="975" w:hRule="atLeast"/>
        </w:trPr>
        <w:tc>
          <w:tcPr>
            <w:tcW w:w="893" w:type="dxa"/>
          </w:tcPr>
          <w:p>
            <w:pPr>
              <w:pStyle w:val="TableParagraph"/>
              <w:rPr>
                <w:rFonts w:ascii="Times New Roman"/>
                <w:sz w:val="20"/>
              </w:rPr>
            </w:pPr>
          </w:p>
        </w:tc>
        <w:tc>
          <w:tcPr>
            <w:tcW w:w="1619" w:type="dxa"/>
          </w:tcPr>
          <w:p>
            <w:pPr>
              <w:pStyle w:val="TableParagraph"/>
              <w:rPr>
                <w:rFonts w:ascii="Times New Roman"/>
                <w:sz w:val="20"/>
              </w:rPr>
            </w:pPr>
          </w:p>
        </w:tc>
        <w:tc>
          <w:tcPr>
            <w:tcW w:w="6912" w:type="dxa"/>
          </w:tcPr>
          <w:p>
            <w:pPr>
              <w:pStyle w:val="TableParagraph"/>
              <w:spacing w:line="210" w:lineRule="exact"/>
              <w:ind w:left="146"/>
              <w:rPr>
                <w:sz w:val="21"/>
              </w:rPr>
            </w:pPr>
            <w:r>
              <w:rPr>
                <w:sz w:val="21"/>
              </w:rPr>
              <w:t>(2)视野半径小于 20 度。</w:t>
            </w:r>
          </w:p>
          <w:p>
            <w:pPr>
              <w:pStyle w:val="TableParagraph"/>
              <w:spacing w:line="278" w:lineRule="auto" w:before="45"/>
              <w:ind w:left="146" w:right="46"/>
              <w:rPr>
                <w:sz w:val="21"/>
              </w:rPr>
            </w:pPr>
            <w:r>
              <w:rPr>
                <w:spacing w:val="-5"/>
                <w:sz w:val="21"/>
                <w:shd w:fill="D9D9D9" w:color="auto" w:val="clear"/>
              </w:rPr>
              <w:t>申请理赔时，被保险人年龄必须在 </w:t>
            </w:r>
            <w:r>
              <w:rPr>
                <w:sz w:val="21"/>
                <w:shd w:fill="D9D9D9" w:color="auto" w:val="clear"/>
              </w:rPr>
              <w:t>3</w:t>
            </w:r>
            <w:r>
              <w:rPr>
                <w:spacing w:val="-8"/>
                <w:sz w:val="21"/>
                <w:shd w:fill="D9D9D9" w:color="auto" w:val="clear"/>
              </w:rPr>
              <w:t> 周岁以上，并且须提供理赔当时的视力严重受损诊断及检查证据。</w:t>
            </w:r>
          </w:p>
        </w:tc>
      </w:tr>
      <w:tr>
        <w:trPr>
          <w:trHeight w:val="782" w:hRule="atLeast"/>
        </w:trPr>
        <w:tc>
          <w:tcPr>
            <w:tcW w:w="893" w:type="dxa"/>
          </w:tcPr>
          <w:p>
            <w:pPr>
              <w:pStyle w:val="TableParagraph"/>
              <w:spacing w:before="61"/>
              <w:ind w:left="50"/>
              <w:rPr>
                <w:rFonts w:ascii="黑体"/>
                <w:sz w:val="21"/>
              </w:rPr>
            </w:pPr>
            <w:r>
              <w:rPr>
                <w:rFonts w:ascii="黑体"/>
                <w:sz w:val="21"/>
              </w:rPr>
              <w:t>7.1.7</w:t>
            </w:r>
          </w:p>
        </w:tc>
        <w:tc>
          <w:tcPr>
            <w:tcW w:w="1619" w:type="dxa"/>
          </w:tcPr>
          <w:p>
            <w:pPr>
              <w:pStyle w:val="TableParagraph"/>
              <w:spacing w:before="61"/>
              <w:ind w:left="192" w:right="126"/>
              <w:jc w:val="center"/>
              <w:rPr>
                <w:rFonts w:ascii="黑体" w:eastAsia="黑体" w:hint="eastAsia"/>
                <w:sz w:val="21"/>
              </w:rPr>
            </w:pPr>
            <w:r>
              <w:rPr>
                <w:rFonts w:ascii="黑体" w:eastAsia="黑体" w:hint="eastAsia"/>
                <w:sz w:val="21"/>
              </w:rPr>
              <w:t>主动脉内手术</w:t>
            </w:r>
          </w:p>
        </w:tc>
        <w:tc>
          <w:tcPr>
            <w:tcW w:w="6912" w:type="dxa"/>
          </w:tcPr>
          <w:p>
            <w:pPr>
              <w:pStyle w:val="TableParagraph"/>
              <w:spacing w:line="280" w:lineRule="auto" w:before="61"/>
              <w:ind w:left="146" w:right="22"/>
              <w:rPr>
                <w:sz w:val="21"/>
              </w:rPr>
            </w:pPr>
            <w:r>
              <w:rPr>
                <w:sz w:val="21"/>
              </w:rPr>
              <w:t>为了治疗主动脉疾病实际实施了经皮经导管进行的动脉内手术。主动脉指胸主动脉和腹主动脉，不包括胸主动脉和腹主动脉的分支血管。</w:t>
            </w:r>
          </w:p>
        </w:tc>
      </w:tr>
      <w:tr>
        <w:trPr>
          <w:trHeight w:val="1742" w:hRule="atLeast"/>
        </w:trPr>
        <w:tc>
          <w:tcPr>
            <w:tcW w:w="893" w:type="dxa"/>
          </w:tcPr>
          <w:p>
            <w:pPr>
              <w:pStyle w:val="TableParagraph"/>
              <w:spacing w:before="61"/>
              <w:ind w:left="50"/>
              <w:rPr>
                <w:rFonts w:ascii="黑体"/>
                <w:sz w:val="21"/>
              </w:rPr>
            </w:pPr>
            <w:r>
              <w:rPr>
                <w:rFonts w:ascii="黑体"/>
                <w:sz w:val="21"/>
              </w:rPr>
              <w:t>7.1.8</w:t>
            </w:r>
          </w:p>
        </w:tc>
        <w:tc>
          <w:tcPr>
            <w:tcW w:w="1619" w:type="dxa"/>
          </w:tcPr>
          <w:p>
            <w:pPr>
              <w:pStyle w:val="TableParagraph"/>
              <w:spacing w:line="278" w:lineRule="auto" w:before="61"/>
              <w:ind w:left="213" w:right="143"/>
              <w:jc w:val="both"/>
              <w:rPr>
                <w:rFonts w:ascii="黑体" w:eastAsia="黑体" w:hint="eastAsia"/>
                <w:sz w:val="21"/>
              </w:rPr>
            </w:pPr>
            <w:r>
              <w:rPr>
                <w:rFonts w:ascii="黑体" w:eastAsia="黑体" w:hint="eastAsia"/>
                <w:sz w:val="21"/>
              </w:rPr>
              <w:t>脑垂体瘤、脑囊肿、脑动脉瘤及脑血管瘤</w:t>
            </w:r>
          </w:p>
        </w:tc>
        <w:tc>
          <w:tcPr>
            <w:tcW w:w="6912" w:type="dxa"/>
          </w:tcPr>
          <w:p>
            <w:pPr>
              <w:pStyle w:val="TableParagraph"/>
              <w:spacing w:line="280" w:lineRule="auto" w:before="61"/>
              <w:ind w:left="146" w:right="46"/>
              <w:rPr>
                <w:sz w:val="21"/>
              </w:rPr>
            </w:pPr>
            <w:r>
              <w:rPr>
                <w:spacing w:val="-2"/>
                <w:sz w:val="21"/>
              </w:rPr>
              <w:t>指经头颅断层扫描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z w:val="21"/>
              </w:rPr>
              <w:t>或其他影像学检查被确诊为下列病变，并实际接受了手术或放射治疗。</w:t>
            </w:r>
          </w:p>
          <w:p>
            <w:pPr>
              <w:pStyle w:val="TableParagraph"/>
              <w:spacing w:line="280" w:lineRule="auto" w:before="8"/>
              <w:ind w:left="146" w:right="4348"/>
              <w:rPr>
                <w:sz w:val="21"/>
              </w:rPr>
            </w:pPr>
            <w:r>
              <w:rPr>
                <w:sz w:val="21"/>
              </w:rPr>
              <w:t>(1)脑垂体瘤；        (2)脑囊肿；          </w:t>
            </w:r>
            <w:r>
              <w:rPr>
                <w:spacing w:val="-1"/>
                <w:sz w:val="21"/>
              </w:rPr>
              <w:t>(3)脑动脉瘤、脑血管瘤。</w:t>
            </w:r>
          </w:p>
        </w:tc>
      </w:tr>
      <w:tr>
        <w:trPr>
          <w:trHeight w:val="781" w:hRule="atLeast"/>
        </w:trPr>
        <w:tc>
          <w:tcPr>
            <w:tcW w:w="893" w:type="dxa"/>
          </w:tcPr>
          <w:p>
            <w:pPr>
              <w:pStyle w:val="TableParagraph"/>
              <w:spacing w:before="61"/>
              <w:ind w:left="50"/>
              <w:rPr>
                <w:rFonts w:ascii="黑体"/>
                <w:sz w:val="21"/>
              </w:rPr>
            </w:pPr>
            <w:r>
              <w:rPr>
                <w:rFonts w:ascii="黑体"/>
                <w:sz w:val="21"/>
              </w:rPr>
              <w:t>7.1.9</w:t>
            </w:r>
          </w:p>
        </w:tc>
        <w:tc>
          <w:tcPr>
            <w:tcW w:w="1619" w:type="dxa"/>
          </w:tcPr>
          <w:p>
            <w:pPr>
              <w:pStyle w:val="TableParagraph"/>
              <w:spacing w:line="278" w:lineRule="auto" w:before="61"/>
              <w:ind w:left="213" w:right="144"/>
              <w:rPr>
                <w:rFonts w:ascii="黑体" w:hAnsi="黑体" w:eastAsia="黑体" w:hint="eastAsia"/>
                <w:sz w:val="21"/>
              </w:rPr>
            </w:pPr>
            <w:r>
              <w:rPr>
                <w:rFonts w:ascii="黑体" w:hAnsi="黑体" w:eastAsia="黑体" w:hint="eastAsia"/>
                <w:sz w:val="21"/>
              </w:rPr>
              <w:t>特定面积Ⅲ度烧伤</w:t>
            </w:r>
          </w:p>
        </w:tc>
        <w:tc>
          <w:tcPr>
            <w:tcW w:w="6912" w:type="dxa"/>
          </w:tcPr>
          <w:p>
            <w:pPr>
              <w:pStyle w:val="TableParagraph"/>
              <w:spacing w:before="64"/>
              <w:ind w:left="146"/>
              <w:rPr>
                <w:sz w:val="21"/>
              </w:rPr>
            </w:pPr>
            <w:r>
              <w:rPr>
                <w:spacing w:val="-1"/>
                <w:sz w:val="21"/>
              </w:rPr>
              <w:t>指烧伤程度为Ⅲ度，且Ⅲ度烧伤面积为全身体表面积</w:t>
            </w:r>
            <w:r>
              <w:rPr>
                <w:sz w:val="21"/>
              </w:rPr>
              <w:t>的</w:t>
            </w:r>
            <w:r>
              <w:rPr>
                <w:spacing w:val="-2"/>
                <w:sz w:val="21"/>
              </w:rPr>
              <w:t> </w:t>
            </w:r>
            <w:r>
              <w:rPr>
                <w:spacing w:val="3"/>
                <w:sz w:val="21"/>
              </w:rPr>
              <w:drawing>
                <wp:inline distT="0" distB="0" distL="0" distR="0">
                  <wp:extent cx="59721" cy="10372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1"/>
                <w:sz w:val="21"/>
              </w:rPr>
              <w:t> </w:t>
            </w:r>
            <w:r>
              <w:rPr>
                <w:spacing w:val="3"/>
                <w:sz w:val="21"/>
              </w:rPr>
              <w:drawing>
                <wp:inline distT="0" distB="0" distL="0" distR="0">
                  <wp:extent cx="59721" cy="10372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w:t>
            </w:r>
          </w:p>
          <w:p>
            <w:pPr>
              <w:pStyle w:val="TableParagraph"/>
              <w:spacing w:before="44"/>
              <w:ind w:left="146"/>
              <w:rPr>
                <w:sz w:val="21"/>
              </w:rPr>
            </w:pPr>
            <w:r>
              <w:rPr>
                <w:spacing w:val="-1"/>
                <w:sz w:val="21"/>
              </w:rPr>
              <w:t>但尚未达</w:t>
            </w:r>
            <w:r>
              <w:rPr>
                <w:sz w:val="21"/>
              </w:rPr>
              <w:t>到</w:t>
            </w:r>
            <w:r>
              <w:rPr>
                <w:spacing w:val="-53"/>
                <w:sz w:val="21"/>
              </w:rPr>
              <w:t> </w:t>
            </w:r>
            <w:r>
              <w:rPr>
                <w:spacing w:val="3"/>
                <w:sz w:val="21"/>
              </w:rPr>
              <w:drawing>
                <wp:inline distT="0" distB="0" distL="0" distR="0">
                  <wp:extent cx="59721" cy="103727"/>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1936" w:hRule="atLeast"/>
        </w:trPr>
        <w:tc>
          <w:tcPr>
            <w:tcW w:w="893" w:type="dxa"/>
          </w:tcPr>
          <w:p>
            <w:pPr>
              <w:pStyle w:val="TableParagraph"/>
              <w:spacing w:before="61"/>
              <w:ind w:left="50"/>
              <w:rPr>
                <w:rFonts w:ascii="黑体"/>
                <w:sz w:val="21"/>
              </w:rPr>
            </w:pPr>
            <w:r>
              <w:rPr>
                <w:rFonts w:ascii="黑体"/>
                <w:sz w:val="21"/>
              </w:rPr>
              <w:t>7.1.10</w:t>
            </w:r>
          </w:p>
        </w:tc>
        <w:tc>
          <w:tcPr>
            <w:tcW w:w="1619" w:type="dxa"/>
          </w:tcPr>
          <w:p>
            <w:pPr>
              <w:pStyle w:val="TableParagraph"/>
              <w:spacing w:before="61"/>
              <w:ind w:left="192" w:right="125"/>
              <w:jc w:val="center"/>
              <w:rPr>
                <w:rFonts w:ascii="黑体" w:eastAsia="黑体" w:hint="eastAsia"/>
                <w:sz w:val="21"/>
              </w:rPr>
            </w:pPr>
            <w:r>
              <w:rPr>
                <w:rFonts w:ascii="黑体" w:eastAsia="黑体" w:hint="eastAsia"/>
                <w:sz w:val="21"/>
              </w:rPr>
              <w:t>严重头部外伤</w:t>
            </w:r>
          </w:p>
        </w:tc>
        <w:tc>
          <w:tcPr>
            <w:tcW w:w="6912" w:type="dxa"/>
          </w:tcPr>
          <w:p>
            <w:pPr>
              <w:pStyle w:val="TableParagraph"/>
              <w:spacing w:line="278" w:lineRule="auto" w:before="61"/>
              <w:ind w:left="146" w:right="46"/>
              <w:rPr>
                <w:sz w:val="21"/>
              </w:rPr>
            </w:pPr>
            <w:r>
              <w:rPr>
                <w:spacing w:val="-2"/>
                <w:sz w:val="21"/>
              </w:rPr>
              <w:t>指因头部遭受机械性外力伤害，引起脑重要部位损伤，并且由头颅断层扫</w:t>
            </w:r>
            <w:r>
              <w:rPr>
                <w:spacing w:val="2"/>
                <w:sz w:val="21"/>
              </w:rPr>
              <w:t>描（</w:t>
            </w:r>
            <w:r>
              <w:rPr>
                <w:spacing w:val="-1"/>
                <w:sz w:val="21"/>
              </w:rPr>
              <w:t>C</w:t>
            </w:r>
            <w:r>
              <w:rPr>
                <w:spacing w:val="2"/>
                <w:sz w:val="21"/>
              </w:rPr>
              <w:t>T</w:t>
            </w:r>
            <w:r>
              <w:rPr>
                <w:spacing w:val="-103"/>
                <w:sz w:val="21"/>
              </w:rPr>
              <w:t>）</w:t>
            </w:r>
            <w:r>
              <w:rPr>
                <w:sz w:val="21"/>
              </w:rPr>
              <w:t>、核磁共振检查</w:t>
            </w:r>
            <w:r>
              <w:rPr>
                <w:spacing w:val="2"/>
                <w:sz w:val="21"/>
              </w:rPr>
              <w:t>（</w:t>
            </w:r>
            <w:r>
              <w:rPr>
                <w:sz w:val="21"/>
              </w:rPr>
              <w:t>M</w:t>
            </w:r>
            <w:r>
              <w:rPr>
                <w:spacing w:val="-1"/>
                <w:sz w:val="21"/>
              </w:rPr>
              <w:t>R</w:t>
            </w:r>
            <w:r>
              <w:rPr>
                <w:spacing w:val="2"/>
                <w:sz w:val="21"/>
              </w:rPr>
              <w:t>I）</w:t>
            </w:r>
            <w:r>
              <w:rPr>
                <w:sz w:val="21"/>
              </w:rPr>
              <w:t>或正电子发射断层扫描</w:t>
            </w:r>
            <w:r>
              <w:rPr>
                <w:spacing w:val="2"/>
                <w:sz w:val="21"/>
              </w:rPr>
              <w:t>（</w:t>
            </w:r>
            <w:r>
              <w:rPr>
                <w:spacing w:val="-1"/>
                <w:sz w:val="21"/>
              </w:rPr>
              <w:t>PE</w:t>
            </w:r>
            <w:r>
              <w:rPr>
                <w:spacing w:val="2"/>
                <w:sz w:val="21"/>
              </w:rPr>
              <w:t>T）</w:t>
            </w:r>
            <w:r>
              <w:rPr>
                <w:spacing w:val="0"/>
                <w:sz w:val="21"/>
              </w:rPr>
              <w:t>等影像学</w:t>
            </w:r>
            <w:r>
              <w:rPr>
                <w:spacing w:val="-1"/>
                <w:sz w:val="21"/>
              </w:rPr>
              <w:t>检查证实。头部外伤导致神经系统功能障碍，虽然未达到本附加险合同所指男性特定疾病“严重脑损伤”的给付标准，但须满足下列条件之一： (1)已接受全麻下颅骨切开颅内血肿清除术（颅骨钻孔术除外</w:t>
            </w:r>
            <w:r>
              <w:rPr>
                <w:spacing w:val="-105"/>
                <w:sz w:val="21"/>
              </w:rPr>
              <w:t>）</w:t>
            </w:r>
            <w:r>
              <w:rPr>
                <w:sz w:val="21"/>
              </w:rPr>
              <w:t>；</w:t>
            </w:r>
          </w:p>
          <w:p>
            <w:pPr>
              <w:pStyle w:val="TableParagraph"/>
              <w:spacing w:line="255" w:lineRule="exact" w:before="11"/>
              <w:ind w:left="146"/>
              <w:rPr>
                <w:sz w:val="21"/>
              </w:rPr>
            </w:pPr>
            <w:r>
              <w:rPr>
                <w:sz w:val="21"/>
              </w:rPr>
              <w:t>(2)在遭受外伤 180 天后一肢或一肢以上肢体机能部分丧失，其肢体肌力</w:t>
            </w:r>
          </w:p>
        </w:tc>
      </w:tr>
    </w:tbl>
    <w:p>
      <w:pPr>
        <w:pStyle w:val="BodyText"/>
        <w:spacing w:before="45"/>
        <w:ind w:left="3094"/>
      </w:pPr>
      <w:r>
        <w:rPr/>
        <w:t>为Ⅲ级,或小于Ⅲ级。</w:t>
      </w:r>
    </w:p>
    <w:p>
      <w:pPr>
        <w:pStyle w:val="BodyText"/>
        <w:spacing w:before="8"/>
        <w:rPr>
          <w:sz w:val="11"/>
        </w:rPr>
      </w:pPr>
    </w:p>
    <w:p>
      <w:pPr>
        <w:spacing w:after="0"/>
        <w:rPr>
          <w:sz w:val="11"/>
        </w:rPr>
        <w:sectPr>
          <w:type w:val="continuous"/>
          <w:pgSz w:w="11910" w:h="16840"/>
          <w:pgMar w:top="1240" w:bottom="280" w:left="1120" w:right="1080"/>
        </w:sectPr>
      </w:pPr>
    </w:p>
    <w:p>
      <w:pPr>
        <w:pStyle w:val="ListParagraph"/>
        <w:numPr>
          <w:ilvl w:val="2"/>
          <w:numId w:val="13"/>
        </w:numPr>
        <w:tabs>
          <w:tab w:pos="1225" w:val="left" w:leader="none"/>
          <w:tab w:pos="1227" w:val="left" w:leader="none"/>
        </w:tabs>
        <w:spacing w:line="240" w:lineRule="auto" w:before="35" w:after="0"/>
        <w:ind w:left="2778" w:right="0" w:hanging="2608"/>
        <w:jc w:val="left"/>
        <w:rPr>
          <w:rFonts w:ascii="黑体" w:eastAsia="黑体" w:hint="eastAsia"/>
          <w:sz w:val="21"/>
        </w:rPr>
      </w:pPr>
      <w:r>
        <w:rPr>
          <w:rFonts w:ascii="黑体" w:eastAsia="黑体" w:hint="eastAsia"/>
          <w:sz w:val="21"/>
        </w:rPr>
        <w:t>原发性肺动脉</w:t>
      </w:r>
    </w:p>
    <w:p>
      <w:pPr>
        <w:pStyle w:val="BodyText"/>
        <w:spacing w:before="45"/>
        <w:ind w:left="1206" w:right="820"/>
        <w:jc w:val="center"/>
        <w:rPr>
          <w:rFonts w:ascii="黑体" w:eastAsia="黑体" w:hint="eastAsia"/>
        </w:rPr>
      </w:pPr>
      <w:r>
        <w:rPr>
          <w:rFonts w:ascii="黑体" w:eastAsia="黑体" w:hint="eastAsia"/>
        </w:rPr>
        <w:t>高压</w:t>
      </w:r>
    </w:p>
    <w:p>
      <w:pPr>
        <w:pStyle w:val="BodyText"/>
        <w:spacing w:line="280" w:lineRule="auto" w:before="35"/>
        <w:ind w:left="170" w:right="204"/>
      </w:pPr>
      <w:r>
        <w:rPr/>
        <w:br w:type="column"/>
      </w:r>
      <w:r>
        <w:rPr/>
        <w:t>指由于原发性肺动脉高压进行性发展而导致右心室肥厚，已经造成永久不可逆性的体力活动能力受限，达到美国纽约心脏病学会心功能状态分级</w:t>
      </w:r>
    </w:p>
    <w:p>
      <w:pPr>
        <w:pStyle w:val="BodyText"/>
        <w:spacing w:line="278" w:lineRule="auto" w:before="9"/>
        <w:ind w:left="170" w:right="103"/>
      </w:pPr>
      <w:r>
        <w:rPr/>
        <w:t>III</w:t>
      </w:r>
      <w:r>
        <w:rPr>
          <w:spacing w:val="-10"/>
        </w:rPr>
        <w:t> 级及以上，但尚未达到</w:t>
      </w:r>
      <w:r>
        <w:rPr/>
        <w:t>IV</w:t>
      </w:r>
      <w:r>
        <w:rPr>
          <w:spacing w:val="-13"/>
        </w:rPr>
        <w:t> 级，且静息状态下肺动脉平均压超过</w:t>
      </w:r>
      <w:r>
        <w:rPr/>
        <w:t>25mmHg， </w:t>
      </w:r>
      <w:r>
        <w:rPr>
          <w:spacing w:val="-11"/>
        </w:rPr>
        <w:t>但尚未超过 </w:t>
      </w:r>
      <w:r>
        <w:rPr/>
        <w:t>30mmHg。</w:t>
      </w:r>
    </w:p>
    <w:p>
      <w:pPr>
        <w:spacing w:after="0" w:line="278" w:lineRule="auto"/>
        <w:sectPr>
          <w:type w:val="continuous"/>
          <w:pgSz w:w="11910" w:h="16840"/>
          <w:pgMar w:top="1240" w:bottom="280" w:left="1120" w:right="1080"/>
          <w:cols w:num="2" w:equalWidth="0">
            <w:col w:w="2487" w:space="122"/>
            <w:col w:w="7101"/>
          </w:cols>
        </w:sectPr>
      </w:pPr>
    </w:p>
    <w:p>
      <w:pPr>
        <w:pStyle w:val="BodyText"/>
        <w:rPr>
          <w:sz w:val="9"/>
        </w:rPr>
      </w:pPr>
    </w:p>
    <w:p>
      <w:pPr>
        <w:pStyle w:val="ListParagraph"/>
        <w:numPr>
          <w:ilvl w:val="2"/>
          <w:numId w:val="13"/>
        </w:numPr>
        <w:tabs>
          <w:tab w:pos="1225" w:val="left" w:leader="none"/>
          <w:tab w:pos="1227" w:val="left" w:leader="none"/>
          <w:tab w:pos="2778" w:val="left" w:leader="none"/>
        </w:tabs>
        <w:spacing w:line="280" w:lineRule="auto" w:before="35" w:after="0"/>
        <w:ind w:left="2778" w:right="207" w:hanging="2608"/>
        <w:jc w:val="left"/>
        <w:rPr>
          <w:sz w:val="21"/>
        </w:rPr>
      </w:pPr>
      <w:r>
        <w:rPr>
          <w:rFonts w:ascii="黑体" w:eastAsia="黑体" w:hint="eastAsia"/>
          <w:sz w:val="21"/>
        </w:rPr>
        <w:t>运动神经元病</w:t>
        <w:tab/>
      </w:r>
      <w:r>
        <w:rPr>
          <w:sz w:val="21"/>
        </w:rPr>
        <w:t>是一组中枢神经系统运动神经元的进行性变性疾病</w:t>
      </w:r>
      <w:r>
        <w:rPr>
          <w:spacing w:val="-4"/>
          <w:sz w:val="21"/>
        </w:rPr>
        <w:t>，</w:t>
      </w:r>
      <w:r>
        <w:rPr>
          <w:sz w:val="21"/>
        </w:rPr>
        <w:t>包括进行性脊肌萎缩</w:t>
      </w:r>
      <w:r>
        <w:rPr>
          <w:spacing w:val="-1"/>
          <w:sz w:val="21"/>
        </w:rPr>
        <w:t>症、进行性延髓麻</w:t>
      </w:r>
      <w:r>
        <w:rPr>
          <w:sz w:val="21"/>
        </w:rPr>
        <w:t>痹症、原发性侧索硬化症、肌萎缩性侧索硬化症。须满</w:t>
      </w:r>
    </w:p>
    <w:p>
      <w:pPr>
        <w:spacing w:after="0" w:line="280" w:lineRule="auto"/>
        <w:jc w:val="left"/>
        <w:rPr>
          <w:sz w:val="21"/>
        </w:rPr>
        <w:sectPr>
          <w:type w:val="continuous"/>
          <w:pgSz w:w="11910" w:h="16840"/>
          <w:pgMar w:top="1240" w:bottom="280" w:left="1120" w:right="1080"/>
        </w:sect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19"/>
        <w:gridCol w:w="6913"/>
      </w:tblGrid>
      <w:tr>
        <w:trPr>
          <w:trHeight w:val="655" w:hRule="atLeast"/>
        </w:trPr>
        <w:tc>
          <w:tcPr>
            <w:tcW w:w="2513" w:type="dxa"/>
            <w:gridSpan w:val="2"/>
          </w:tcPr>
          <w:p>
            <w:pPr>
              <w:pStyle w:val="TableParagraph"/>
              <w:rPr>
                <w:rFonts w:ascii="Times New Roman"/>
                <w:sz w:val="20"/>
              </w:rPr>
            </w:pPr>
          </w:p>
        </w:tc>
        <w:tc>
          <w:tcPr>
            <w:tcW w:w="6913" w:type="dxa"/>
          </w:tcPr>
          <w:p>
            <w:pPr>
              <w:pStyle w:val="TableParagraph"/>
              <w:spacing w:line="227" w:lineRule="exact"/>
              <w:ind w:left="145"/>
              <w:rPr>
                <w:sz w:val="21"/>
              </w:rPr>
            </w:pPr>
            <w:r>
              <w:rPr>
                <w:sz w:val="21"/>
              </w:rPr>
              <w:t>足自主生活能力完全丧失，无法独立完成</w:t>
            </w:r>
            <w:r>
              <w:rPr>
                <w:rFonts w:ascii="Microsoft JhengHei" w:eastAsia="Microsoft JhengHei" w:hint="eastAsia"/>
                <w:b/>
                <w:sz w:val="21"/>
              </w:rPr>
              <w:t>六项基本日常生活活动</w:t>
            </w:r>
            <w:r>
              <w:rPr>
                <w:sz w:val="21"/>
              </w:rPr>
              <w:t>中的二项</w:t>
            </w:r>
          </w:p>
          <w:p>
            <w:pPr>
              <w:pStyle w:val="TableParagraph"/>
              <w:spacing w:before="20"/>
              <w:ind w:left="145"/>
              <w:rPr>
                <w:sz w:val="21"/>
              </w:rPr>
            </w:pPr>
            <w:r>
              <w:rPr>
                <w:sz w:val="21"/>
              </w:rPr>
              <w:t>条件。</w:t>
            </w:r>
          </w:p>
        </w:tc>
      </w:tr>
      <w:tr>
        <w:trPr>
          <w:trHeight w:val="1102" w:hRule="atLeast"/>
        </w:trPr>
        <w:tc>
          <w:tcPr>
            <w:tcW w:w="894" w:type="dxa"/>
          </w:tcPr>
          <w:p>
            <w:pPr>
              <w:pStyle w:val="TableParagraph"/>
              <w:spacing w:before="54"/>
              <w:ind w:left="50"/>
              <w:rPr>
                <w:rFonts w:ascii="黑体"/>
                <w:sz w:val="21"/>
              </w:rPr>
            </w:pPr>
            <w:r>
              <w:rPr>
                <w:rFonts w:ascii="黑体"/>
                <w:sz w:val="21"/>
              </w:rPr>
              <w:t>7.1.13</w:t>
            </w:r>
          </w:p>
        </w:tc>
        <w:tc>
          <w:tcPr>
            <w:tcW w:w="1619" w:type="dxa"/>
          </w:tcPr>
          <w:p>
            <w:pPr>
              <w:pStyle w:val="TableParagraph"/>
              <w:spacing w:before="54"/>
              <w:ind w:left="212"/>
              <w:rPr>
                <w:rFonts w:ascii="黑体" w:eastAsia="黑体" w:hint="eastAsia"/>
                <w:sz w:val="21"/>
              </w:rPr>
            </w:pPr>
            <w:r>
              <w:rPr>
                <w:rFonts w:ascii="黑体" w:eastAsia="黑体" w:hint="eastAsia"/>
                <w:sz w:val="21"/>
              </w:rPr>
              <w:t>单侧肺脏切除</w:t>
            </w:r>
          </w:p>
        </w:tc>
        <w:tc>
          <w:tcPr>
            <w:tcW w:w="6913" w:type="dxa"/>
          </w:tcPr>
          <w:p>
            <w:pPr>
              <w:pStyle w:val="TableParagraph"/>
              <w:spacing w:line="280" w:lineRule="auto" w:before="54"/>
              <w:ind w:left="145" w:right="23"/>
              <w:rPr>
                <w:sz w:val="21"/>
              </w:rPr>
            </w:pPr>
            <w:r>
              <w:rPr>
                <w:sz w:val="21"/>
              </w:rPr>
              <w:t>指因疾病或意外而确实已经接受手术完全切除了左全肺或右全肺。手术必须被专科医生视为必要的。</w:t>
            </w:r>
          </w:p>
          <w:p>
            <w:pPr>
              <w:pStyle w:val="TableParagraph"/>
              <w:spacing w:before="9"/>
              <w:ind w:left="145"/>
              <w:rPr>
                <w:sz w:val="21"/>
              </w:rPr>
            </w:pPr>
            <w:r>
              <w:rPr>
                <w:sz w:val="21"/>
                <w:shd w:fill="D9D9D9" w:color="auto" w:val="clear"/>
              </w:rPr>
              <w:t>部分切除一个肺或因捐赠肺脏而所需的手术不在保障范围内。</w:t>
            </w:r>
          </w:p>
        </w:tc>
      </w:tr>
      <w:tr>
        <w:trPr>
          <w:trHeight w:val="1935" w:hRule="atLeast"/>
        </w:trPr>
        <w:tc>
          <w:tcPr>
            <w:tcW w:w="894" w:type="dxa"/>
          </w:tcPr>
          <w:p>
            <w:pPr>
              <w:pStyle w:val="TableParagraph"/>
              <w:spacing w:before="54"/>
              <w:ind w:left="50"/>
              <w:rPr>
                <w:rFonts w:ascii="黑体"/>
                <w:sz w:val="21"/>
              </w:rPr>
            </w:pPr>
            <w:r>
              <w:rPr>
                <w:rFonts w:ascii="黑体"/>
                <w:sz w:val="21"/>
              </w:rPr>
              <w:t>7.1.14</w:t>
            </w:r>
          </w:p>
        </w:tc>
        <w:tc>
          <w:tcPr>
            <w:tcW w:w="1619" w:type="dxa"/>
          </w:tcPr>
          <w:p>
            <w:pPr>
              <w:pStyle w:val="TableParagraph"/>
              <w:spacing w:line="278" w:lineRule="auto" w:before="54"/>
              <w:ind w:left="212" w:right="144"/>
              <w:jc w:val="both"/>
              <w:rPr>
                <w:rFonts w:ascii="黑体" w:eastAsia="黑体" w:hint="eastAsia"/>
                <w:sz w:val="21"/>
              </w:rPr>
            </w:pPr>
            <w:r>
              <w:rPr>
                <w:rFonts w:ascii="黑体" w:eastAsia="黑体" w:hint="eastAsia"/>
                <w:sz w:val="21"/>
              </w:rPr>
              <w:t>于颈动脉进行血管成形术或内膜切除术</w:t>
            </w:r>
          </w:p>
        </w:tc>
        <w:tc>
          <w:tcPr>
            <w:tcW w:w="6913" w:type="dxa"/>
          </w:tcPr>
          <w:p>
            <w:pPr>
              <w:pStyle w:val="TableParagraph"/>
              <w:spacing w:line="278" w:lineRule="auto" w:before="54"/>
              <w:ind w:left="145" w:right="49"/>
              <w:rPr>
                <w:sz w:val="21"/>
              </w:rPr>
            </w:pPr>
            <w:r>
              <w:rPr>
                <w:sz w:val="21"/>
              </w:rPr>
              <w:t>指为了治疗颈动脉狭窄性病变已经实施了颈动脉血管成形术或内膜切除</w:t>
            </w:r>
            <w:r>
              <w:rPr>
                <w:spacing w:val="-3"/>
                <w:sz w:val="21"/>
              </w:rPr>
              <w:t>术，须由颈动脉造影检查证实一条或以上颈动脉存在严重狭窄</w:t>
            </w:r>
            <w:r>
              <w:rPr>
                <w:sz w:val="21"/>
              </w:rPr>
              <w:t>（即狭窄程</w:t>
            </w:r>
            <w:r>
              <w:rPr>
                <w:spacing w:val="-1"/>
                <w:sz w:val="21"/>
              </w:rPr>
              <w:t>度超过原有管径</w:t>
            </w:r>
            <w:r>
              <w:rPr>
                <w:sz w:val="21"/>
              </w:rPr>
              <w:t>的</w:t>
            </w:r>
            <w:r>
              <w:rPr>
                <w:spacing w:val="-53"/>
                <w:sz w:val="21"/>
              </w:rPr>
              <w:t> </w:t>
            </w:r>
            <w:r>
              <w:rPr>
                <w:spacing w:val="3"/>
                <w:sz w:val="21"/>
              </w:rPr>
              <w:drawing>
                <wp:inline distT="0" distB="0" distL="0" distR="0">
                  <wp:extent cx="59721" cy="103727"/>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以上</w:t>
            </w:r>
            <w:r>
              <w:rPr>
                <w:spacing w:val="-105"/>
                <w:sz w:val="21"/>
              </w:rPr>
              <w:t>）</w:t>
            </w:r>
            <w:r>
              <w:rPr>
                <w:spacing w:val="-29"/>
                <w:sz w:val="21"/>
              </w:rPr>
              <w:t>。</w:t>
            </w:r>
            <w:r>
              <w:rPr>
                <w:sz w:val="21"/>
              </w:rPr>
              <w:t>本病须专科医生明确诊断</w:t>
            </w:r>
            <w:r>
              <w:rPr>
                <w:spacing w:val="-29"/>
                <w:sz w:val="21"/>
              </w:rPr>
              <w:t>，</w:t>
            </w:r>
            <w:r>
              <w:rPr>
                <w:sz w:val="21"/>
              </w:rPr>
              <w:t>同时需采用以下 手术以减轻症状：</w:t>
            </w:r>
          </w:p>
          <w:p>
            <w:pPr>
              <w:pStyle w:val="TableParagraph"/>
              <w:spacing w:before="10"/>
              <w:ind w:left="145"/>
              <w:rPr>
                <w:sz w:val="21"/>
              </w:rPr>
            </w:pPr>
            <w:r>
              <w:rPr>
                <w:sz w:val="21"/>
              </w:rPr>
              <w:t>(1)动脉内膜切除术；</w:t>
            </w:r>
          </w:p>
          <w:p>
            <w:pPr>
              <w:pStyle w:val="TableParagraph"/>
              <w:spacing w:line="261" w:lineRule="exact" w:before="45"/>
              <w:ind w:left="145"/>
              <w:rPr>
                <w:sz w:val="21"/>
              </w:rPr>
            </w:pPr>
            <w:r>
              <w:rPr>
                <w:sz w:val="21"/>
              </w:rPr>
              <w:t>(2)血管介入手术，例如血管成形术及/或进行植入支架或动脉粥样瘤清除</w:t>
            </w:r>
          </w:p>
        </w:tc>
      </w:tr>
    </w:tbl>
    <w:p>
      <w:pPr>
        <w:pStyle w:val="BodyText"/>
        <w:spacing w:before="39"/>
        <w:ind w:left="3134"/>
      </w:pPr>
      <w:r>
        <w:rPr/>
        <w:t>手术。</w:t>
      </w:r>
    </w:p>
    <w:p>
      <w:pPr>
        <w:pStyle w:val="BodyText"/>
        <w:spacing w:before="7"/>
        <w:rPr>
          <w:sz w:val="11"/>
        </w:rPr>
      </w:pPr>
    </w:p>
    <w:p>
      <w:pPr>
        <w:pStyle w:val="ListParagraph"/>
        <w:numPr>
          <w:ilvl w:val="2"/>
          <w:numId w:val="14"/>
        </w:numPr>
        <w:tabs>
          <w:tab w:pos="1265" w:val="left" w:leader="none"/>
          <w:tab w:pos="1267" w:val="left" w:leader="none"/>
          <w:tab w:pos="2818" w:val="left" w:leader="none"/>
        </w:tabs>
        <w:spacing w:line="278" w:lineRule="auto" w:before="36" w:after="0"/>
        <w:ind w:left="2818" w:right="413" w:hanging="2608"/>
        <w:jc w:val="left"/>
        <w:rPr>
          <w:sz w:val="21"/>
        </w:rPr>
      </w:pPr>
      <w:r>
        <w:rPr>
          <w:rFonts w:ascii="黑体" w:eastAsia="黑体" w:hint="eastAsia"/>
          <w:sz w:val="21"/>
        </w:rPr>
        <w:t>轻度颅脑手术</w:t>
        <w:tab/>
      </w:r>
      <w:r>
        <w:rPr>
          <w:sz w:val="21"/>
        </w:rPr>
        <w:t>指因疾病被保险人确已实施全麻下的颅骨钻孔手术或者经鼻蝶窦入颅手术。</w:t>
      </w:r>
    </w:p>
    <w:p>
      <w:pPr>
        <w:pStyle w:val="BodyText"/>
        <w:spacing w:before="12"/>
        <w:ind w:left="2818"/>
      </w:pPr>
      <w:r>
        <w:rPr>
          <w:shd w:fill="D9D9D9" w:color="auto" w:val="clear"/>
        </w:rPr>
        <w:t>因外伤而实施的脑外科手术不在保障范围内。</w:t>
      </w:r>
    </w:p>
    <w:p>
      <w:pPr>
        <w:pStyle w:val="BodyText"/>
        <w:spacing w:before="4"/>
        <w:rPr>
          <w:sz w:val="14"/>
        </w:rPr>
      </w:pPr>
    </w:p>
    <w:p>
      <w:pPr>
        <w:pStyle w:val="ListParagraph"/>
        <w:numPr>
          <w:ilvl w:val="2"/>
          <w:numId w:val="14"/>
        </w:numPr>
        <w:tabs>
          <w:tab w:pos="1265" w:val="left" w:leader="none"/>
          <w:tab w:pos="1266" w:val="left" w:leader="none"/>
          <w:tab w:pos="2818" w:val="left" w:leader="none"/>
        </w:tabs>
        <w:spacing w:line="240" w:lineRule="auto" w:before="0" w:after="0"/>
        <w:ind w:left="1265" w:right="0" w:hanging="1056"/>
        <w:jc w:val="left"/>
        <w:rPr>
          <w:sz w:val="21"/>
        </w:rPr>
      </w:pPr>
      <w:r>
        <w:rPr>
          <w:rFonts w:ascii="黑体" w:eastAsia="黑体" w:hint="eastAsia"/>
          <w:sz w:val="21"/>
        </w:rPr>
        <w:t>单耳失聪</w:t>
        <w:tab/>
      </w:r>
      <w:r>
        <w:rPr>
          <w:sz w:val="21"/>
        </w:rPr>
        <w:t>指因疾病或者意外伤害导致单耳听力永久不可逆性丧失，在</w:t>
      </w:r>
      <w:r>
        <w:rPr>
          <w:spacing w:val="-53"/>
          <w:sz w:val="21"/>
        </w:rPr>
        <w:t> </w:t>
      </w:r>
      <w:r>
        <w:rPr>
          <w:sz w:val="21"/>
        </w:rPr>
        <w:t>500 赫兹、</w:t>
      </w:r>
    </w:p>
    <w:p>
      <w:pPr>
        <w:pStyle w:val="BodyText"/>
        <w:spacing w:line="278" w:lineRule="auto" w:before="45"/>
        <w:ind w:left="2818" w:right="205"/>
        <w:jc w:val="both"/>
      </w:pPr>
      <w:r>
        <w:rPr/>
        <w:t>1000</w:t>
      </w:r>
      <w:r>
        <w:rPr>
          <w:spacing w:val="-22"/>
        </w:rPr>
        <w:t> 赫兹和 </w:t>
      </w:r>
      <w:r>
        <w:rPr/>
        <w:t>2000</w:t>
      </w:r>
      <w:r>
        <w:rPr>
          <w:spacing w:val="-4"/>
        </w:rPr>
        <w:t> 赫兹语音频率下，平均听阈大于 </w:t>
      </w:r>
      <w:r>
        <w:rPr/>
        <w:t>90 分贝，且经纯音听</w:t>
      </w:r>
      <w:r>
        <w:rPr>
          <w:spacing w:val="-14"/>
        </w:rPr>
        <w:t>力测试、声导抗检测或者听觉诱发电位检测等证实，但未达到主险合同“重大疾病的定义”条款中“双耳失聪”所定义的给付标准。</w:t>
      </w:r>
    </w:p>
    <w:p>
      <w:pPr>
        <w:pStyle w:val="BodyText"/>
        <w:spacing w:line="278" w:lineRule="auto" w:before="11"/>
        <w:ind w:left="2818" w:right="207"/>
        <w:jc w:val="both"/>
      </w:pPr>
      <w:r>
        <w:rPr/>
        <w:t>除内耳结构损伤等情形外，申请理赔时应提供理赔当时的听力丧失诊断及检查证据。</w:t>
      </w:r>
    </w:p>
    <w:p>
      <w:pPr>
        <w:pStyle w:val="BodyText"/>
        <w:rPr>
          <w:sz w:val="9"/>
        </w:rPr>
      </w:pPr>
    </w:p>
    <w:p>
      <w:pPr>
        <w:spacing w:after="0"/>
        <w:rPr>
          <w:sz w:val="9"/>
        </w:rPr>
        <w:sectPr>
          <w:pgSz w:w="11910" w:h="16840"/>
          <w:pgMar w:top="1500" w:bottom="280" w:left="1080" w:right="1080"/>
        </w:sectPr>
      </w:pPr>
    </w:p>
    <w:p>
      <w:pPr>
        <w:pStyle w:val="ListParagraph"/>
        <w:numPr>
          <w:ilvl w:val="2"/>
          <w:numId w:val="14"/>
        </w:numPr>
        <w:tabs>
          <w:tab w:pos="1265" w:val="left" w:leader="none"/>
          <w:tab w:pos="1267" w:val="left" w:leader="none"/>
        </w:tabs>
        <w:spacing w:line="240" w:lineRule="auto" w:before="35" w:after="0"/>
        <w:ind w:left="2818" w:right="0" w:hanging="2608"/>
        <w:jc w:val="left"/>
        <w:rPr>
          <w:rFonts w:ascii="黑体" w:eastAsia="黑体" w:hint="eastAsia"/>
          <w:sz w:val="21"/>
        </w:rPr>
      </w:pPr>
      <w:r>
        <w:rPr>
          <w:rFonts w:ascii="黑体" w:eastAsia="黑体" w:hint="eastAsia"/>
          <w:sz w:val="21"/>
        </w:rPr>
        <w:t>起搏器或除颤</w:t>
      </w:r>
    </w:p>
    <w:p>
      <w:pPr>
        <w:pStyle w:val="BodyText"/>
        <w:spacing w:before="45"/>
        <w:ind w:left="1266"/>
        <w:rPr>
          <w:rFonts w:ascii="黑体" w:eastAsia="黑体" w:hint="eastAsia"/>
        </w:rPr>
      </w:pPr>
      <w:r>
        <w:rPr>
          <w:rFonts w:ascii="黑体" w:eastAsia="黑体" w:hint="eastAsia"/>
        </w:rPr>
        <w:t>器植入</w:t>
      </w:r>
    </w:p>
    <w:p>
      <w:pPr>
        <w:pStyle w:val="BodyText"/>
        <w:spacing w:line="280" w:lineRule="auto" w:before="35"/>
        <w:ind w:left="210" w:right="208"/>
      </w:pPr>
      <w:r>
        <w:rPr/>
        <w:br w:type="column"/>
      </w:r>
      <w:r>
        <w:rPr/>
        <w:t>因严重心律失常而确实已经实施植入永久性心脏除纤颤器或心脏起搏器的手术。理赔时须提供完整病历资料及手术记录，诊断及治疗均须专科医生认为是医疗必须的情况下进行。</w:t>
      </w:r>
    </w:p>
    <w:p>
      <w:pPr>
        <w:spacing w:after="0" w:line="280" w:lineRule="auto"/>
        <w:sectPr>
          <w:type w:val="continuous"/>
          <w:pgSz w:w="11910" w:h="16840"/>
          <w:pgMar w:top="1240" w:bottom="280" w:left="1080" w:right="1080"/>
          <w:cols w:num="2" w:equalWidth="0">
            <w:col w:w="2527" w:space="82"/>
            <w:col w:w="7141"/>
          </w:cols>
        </w:sectPr>
      </w:pPr>
    </w:p>
    <w:p>
      <w:pPr>
        <w:pStyle w:val="BodyText"/>
        <w:spacing w:before="11"/>
        <w:rPr>
          <w:sz w:val="8"/>
        </w:rPr>
      </w:pPr>
    </w:p>
    <w:p>
      <w:pPr>
        <w:pStyle w:val="ListParagraph"/>
        <w:numPr>
          <w:ilvl w:val="2"/>
          <w:numId w:val="14"/>
        </w:numPr>
        <w:tabs>
          <w:tab w:pos="1265" w:val="left" w:leader="none"/>
          <w:tab w:pos="1267" w:val="left" w:leader="none"/>
          <w:tab w:pos="2818" w:val="left" w:leader="none"/>
        </w:tabs>
        <w:spacing w:line="278" w:lineRule="auto" w:before="35" w:after="0"/>
        <w:ind w:left="2818" w:right="207" w:hanging="2608"/>
        <w:jc w:val="left"/>
        <w:rPr>
          <w:sz w:val="21"/>
        </w:rPr>
      </w:pPr>
      <w:r>
        <w:rPr>
          <w:rFonts w:ascii="黑体" w:eastAsia="黑体" w:hint="eastAsia"/>
          <w:sz w:val="21"/>
        </w:rPr>
        <w:t>心包膜切除术</w:t>
        <w:tab/>
      </w:r>
      <w:r>
        <w:rPr>
          <w:sz w:val="21"/>
        </w:rPr>
        <w:t>因心包膜疾病导致已经接受心包膜切除术</w:t>
      </w:r>
      <w:r>
        <w:rPr>
          <w:spacing w:val="-4"/>
          <w:sz w:val="21"/>
        </w:rPr>
        <w:t>。</w:t>
      </w:r>
      <w:r>
        <w:rPr>
          <w:sz w:val="21"/>
        </w:rPr>
        <w:t>手术必须由心脏专科医生认为是医学上必须的情况下进行。</w:t>
      </w:r>
    </w:p>
    <w:p>
      <w:pPr>
        <w:pStyle w:val="ListParagraph"/>
        <w:numPr>
          <w:ilvl w:val="2"/>
          <w:numId w:val="14"/>
        </w:numPr>
        <w:tabs>
          <w:tab w:pos="1265" w:val="left" w:leader="none"/>
          <w:tab w:pos="1267" w:val="left" w:leader="none"/>
          <w:tab w:pos="2818" w:val="left" w:leader="none"/>
        </w:tabs>
        <w:spacing w:line="280" w:lineRule="auto" w:before="153" w:after="0"/>
        <w:ind w:left="2818" w:right="413" w:hanging="2608"/>
        <w:jc w:val="left"/>
        <w:rPr>
          <w:sz w:val="21"/>
        </w:rPr>
      </w:pPr>
      <w:r>
        <w:rPr>
          <w:rFonts w:ascii="黑体" w:eastAsia="黑体" w:hint="eastAsia"/>
          <w:sz w:val="21"/>
        </w:rPr>
        <w:t>肝叶切除</w:t>
        <w:tab/>
      </w:r>
      <w:r>
        <w:rPr>
          <w:sz w:val="21"/>
        </w:rPr>
        <w:t>指因疾病或意外导致必须以部分肝脏切除术切除最少一整叶左肝脏或一整叶右肝脏。</w:t>
      </w:r>
    </w:p>
    <w:p>
      <w:pPr>
        <w:pStyle w:val="BodyText"/>
        <w:spacing w:before="10"/>
        <w:ind w:left="2818"/>
      </w:pPr>
      <w:r>
        <w:rPr/>
        <w:t>诊断及治疗均须由专科医生认为是医疗必须的情况下进行。</w:t>
      </w:r>
    </w:p>
    <w:p>
      <w:pPr>
        <w:pStyle w:val="BodyText"/>
        <w:spacing w:line="280" w:lineRule="auto" w:before="44"/>
        <w:ind w:left="2818" w:right="309"/>
      </w:pPr>
      <w:r>
        <w:rPr>
          <w:shd w:fill="D9D9D9" w:color="auto" w:val="clear"/>
        </w:rPr>
        <w:t>因酒精或者滥用药物引致的疾病或者紊乱及/或因捐赠肝脏而实施的肝脏手术均不在保障范围内。</w:t>
      </w:r>
    </w:p>
    <w:p>
      <w:pPr>
        <w:pStyle w:val="ListParagraph"/>
        <w:numPr>
          <w:ilvl w:val="2"/>
          <w:numId w:val="14"/>
        </w:numPr>
        <w:tabs>
          <w:tab w:pos="1265" w:val="left" w:leader="none"/>
          <w:tab w:pos="1266" w:val="left" w:leader="none"/>
          <w:tab w:pos="2818" w:val="left" w:leader="none"/>
        </w:tabs>
        <w:spacing w:line="278" w:lineRule="auto" w:before="151" w:after="0"/>
        <w:ind w:left="2818" w:right="207" w:hanging="2609"/>
        <w:jc w:val="left"/>
        <w:rPr>
          <w:sz w:val="21"/>
        </w:rPr>
      </w:pPr>
      <w:r>
        <w:rPr>
          <w:rFonts w:ascii="黑体" w:hAnsi="黑体" w:eastAsia="黑体" w:hint="eastAsia"/>
          <w:sz w:val="21"/>
        </w:rPr>
        <w:t>单个肢体缺失</w:t>
        <w:tab/>
      </w:r>
      <w:r>
        <w:rPr>
          <w:spacing w:val="-1"/>
          <w:sz w:val="21"/>
        </w:rPr>
        <w:t>指一个肢体自</w:t>
      </w:r>
      <w:r>
        <w:rPr>
          <w:sz w:val="21"/>
        </w:rPr>
        <w:t>腕关节或踝关节近端（靠近躯干端）以上完全性断离，但未达到主险合同“重大疾病的定义”条款中</w:t>
      </w:r>
      <w:r>
        <w:rPr>
          <w:spacing w:val="-14"/>
          <w:sz w:val="21"/>
        </w:rPr>
        <w:t> </w:t>
      </w:r>
      <w:r>
        <w:rPr>
          <w:sz w:val="21"/>
        </w:rPr>
        <w:t>“多个肢体缺失”所定义的给付标准。</w:t>
      </w:r>
    </w:p>
    <w:p>
      <w:pPr>
        <w:pStyle w:val="BodyText"/>
        <w:rPr>
          <w:sz w:val="9"/>
        </w:rPr>
      </w:pPr>
    </w:p>
    <w:p>
      <w:pPr>
        <w:spacing w:after="0"/>
        <w:rPr>
          <w:sz w:val="9"/>
        </w:rPr>
        <w:sectPr>
          <w:type w:val="continuous"/>
          <w:pgSz w:w="11910" w:h="16840"/>
          <w:pgMar w:top="1240" w:bottom="280" w:left="1080" w:right="1080"/>
        </w:sectPr>
      </w:pPr>
    </w:p>
    <w:p>
      <w:pPr>
        <w:pStyle w:val="BodyText"/>
        <w:tabs>
          <w:tab w:pos="1266" w:val="left" w:leader="none"/>
        </w:tabs>
        <w:spacing w:line="280" w:lineRule="auto" w:before="36"/>
        <w:ind w:left="1265" w:hanging="1057"/>
        <w:rPr>
          <w:rFonts w:ascii="黑体" w:eastAsia="黑体" w:hint="eastAsia"/>
        </w:rPr>
      </w:pPr>
      <w:r>
        <w:rPr>
          <w:rFonts w:ascii="黑体" w:eastAsia="黑体" w:hint="eastAsia"/>
        </w:rPr>
        <w:t>7.2</w:t>
        <w:tab/>
        <w:tab/>
      </w:r>
      <w:r>
        <w:rPr>
          <w:rFonts w:ascii="黑体" w:eastAsia="黑体" w:hint="eastAsia"/>
          <w:spacing w:val="-1"/>
        </w:rPr>
        <w:t>定义来源及确</w:t>
      </w:r>
      <w:r>
        <w:rPr>
          <w:rFonts w:ascii="黑体" w:eastAsia="黑体" w:hint="eastAsia"/>
        </w:rPr>
        <w:t>诊医院范围</w:t>
      </w:r>
    </w:p>
    <w:p>
      <w:pPr>
        <w:pStyle w:val="BodyText"/>
        <w:spacing w:before="36"/>
        <w:ind w:left="209"/>
      </w:pPr>
      <w:r>
        <w:rPr/>
        <w:br w:type="column"/>
      </w:r>
      <w:r>
        <w:rPr/>
        <w:t>以上轻症疾病定义由本公司根据通行的医学标准制定。</w:t>
      </w:r>
    </w:p>
    <w:p>
      <w:pPr>
        <w:pStyle w:val="BodyText"/>
        <w:spacing w:before="45"/>
        <w:ind w:left="209"/>
      </w:pPr>
      <w:r>
        <w:rPr/>
        <w:t>以上轻症疾病均须在卫生行政部门认定的二级以上（含二级）医院确诊。</w:t>
      </w:r>
    </w:p>
    <w:p>
      <w:pPr>
        <w:spacing w:after="0"/>
        <w:sectPr>
          <w:type w:val="continuous"/>
          <w:pgSz w:w="11910" w:h="16840"/>
          <w:pgMar w:top="1240" w:bottom="280" w:left="1080" w:right="1080"/>
          <w:cols w:num="2" w:equalWidth="0">
            <w:col w:w="2526" w:space="83"/>
            <w:col w:w="7141"/>
          </w:cols>
        </w:sectPr>
      </w:pPr>
    </w:p>
    <w:p>
      <w:pPr>
        <w:pStyle w:val="BodyText"/>
        <w:spacing w:before="10"/>
        <w:rPr>
          <w:sz w:val="10"/>
        </w:rPr>
      </w:pPr>
    </w:p>
    <w:p>
      <w:pPr>
        <w:pStyle w:val="BodyText"/>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特定疾病的定义</w:t>
                  </w:r>
                </w:p>
              </w:txbxContent>
            </v:textbox>
            <v:fill type="solid"/>
          </v:shape>
        </w:pict>
      </w:r>
      <w:r>
        <w:rPr>
          <w:sz w:val="20"/>
        </w:rPr>
      </w:r>
    </w:p>
    <w:p>
      <w:pPr>
        <w:pStyle w:val="BodyText"/>
        <w:spacing w:before="7"/>
        <w:rPr>
          <w:sz w:val="7"/>
        </w:rPr>
      </w:pPr>
    </w:p>
    <w:p>
      <w:pPr>
        <w:pStyle w:val="BodyText"/>
        <w:tabs>
          <w:tab w:pos="1266" w:val="left" w:leader="none"/>
          <w:tab w:pos="2818" w:val="left" w:leader="none"/>
        </w:tabs>
        <w:spacing w:before="35"/>
        <w:ind w:left="209"/>
      </w:pPr>
      <w:r>
        <w:rPr>
          <w:rFonts w:ascii="黑体" w:eastAsia="黑体" w:hint="eastAsia"/>
        </w:rPr>
        <w:t>8.1</w:t>
        <w:tab/>
        <w:t>特定疾病的定</w:t>
        <w:tab/>
      </w:r>
      <w:r>
        <w:rPr/>
        <w:t>本附加险合同所保障的特定疾病</w:t>
      </w:r>
      <w:r>
        <w:rPr>
          <w:spacing w:val="-3"/>
        </w:rPr>
        <w:t>，</w:t>
      </w:r>
      <w:r>
        <w:rPr/>
        <w:t>分为少儿特定疾病</w:t>
      </w:r>
      <w:r>
        <w:rPr>
          <w:spacing w:val="-3"/>
        </w:rPr>
        <w:t>、</w:t>
      </w:r>
      <w:r>
        <w:rPr/>
        <w:t>女性特定疾病和男</w:t>
      </w:r>
    </w:p>
    <w:p>
      <w:pPr>
        <w:spacing w:after="0"/>
        <w:sectPr>
          <w:type w:val="continuous"/>
          <w:pgSz w:w="11910" w:h="16840"/>
          <w:pgMar w:top="1240" w:bottom="280" w:left="1080" w:right="1080"/>
        </w:sectPr>
      </w:pPr>
    </w:p>
    <w:p>
      <w:pPr>
        <w:pStyle w:val="BodyText"/>
        <w:tabs>
          <w:tab w:pos="2718" w:val="left" w:leader="none"/>
        </w:tabs>
        <w:spacing w:line="278" w:lineRule="auto" w:before="8"/>
        <w:ind w:left="2718" w:right="204" w:hanging="1553"/>
        <w:jc w:val="both"/>
      </w:pPr>
      <w:r>
        <w:rPr>
          <w:rFonts w:ascii="黑体" w:eastAsia="黑体" w:hint="eastAsia"/>
        </w:rPr>
        <w:t>义</w:t>
        <w:tab/>
      </w:r>
      <w:r>
        <w:rPr/>
        <w:t>性特定疾病</w:t>
      </w:r>
      <w:r>
        <w:rPr>
          <w:spacing w:val="-4"/>
        </w:rPr>
        <w:t>，</w:t>
      </w:r>
      <w:r>
        <w:rPr/>
        <w:t>是指被保险人在主险合同有效且本附加险合同有效期间内经</w:t>
      </w:r>
      <w:r>
        <w:rPr>
          <w:spacing w:val="5"/>
        </w:rPr>
        <w:t>专科医生</w:t>
      </w:r>
      <w:r>
        <w:rPr>
          <w:spacing w:val="5"/>
        </w:rPr>
        <w:t>明</w:t>
      </w:r>
      <w:r>
        <w:rPr>
          <w:spacing w:val="5"/>
        </w:rPr>
        <w:t>确诊断初</w:t>
      </w:r>
      <w:r>
        <w:rPr>
          <w:spacing w:val="5"/>
        </w:rPr>
        <w:t>次</w:t>
      </w:r>
      <w:r>
        <w:rPr>
          <w:spacing w:val="5"/>
        </w:rPr>
        <w:t>患下列疾</w:t>
      </w:r>
      <w:r>
        <w:rPr>
          <w:spacing w:val="5"/>
        </w:rPr>
        <w:t>病</w:t>
      </w:r>
      <w:r>
        <w:rPr>
          <w:spacing w:val="5"/>
        </w:rPr>
        <w:t>或初次达</w:t>
      </w:r>
      <w:r>
        <w:rPr>
          <w:spacing w:val="5"/>
        </w:rPr>
        <w:t>到</w:t>
      </w:r>
      <w:r>
        <w:rPr>
          <w:spacing w:val="5"/>
        </w:rPr>
        <w:t>下列疾病</w:t>
      </w:r>
      <w:r>
        <w:rPr>
          <w:spacing w:val="5"/>
        </w:rPr>
        <w:t>状</w:t>
      </w:r>
      <w:r>
        <w:rPr>
          <w:spacing w:val="5"/>
        </w:rPr>
        <w:t>态或在医</w:t>
      </w:r>
      <w:r>
        <w:rPr>
          <w:spacing w:val="5"/>
        </w:rPr>
        <w:t>院</w:t>
      </w:r>
      <w:r>
        <w:rPr/>
        <w:t>初次接受下列手术：</w:t>
      </w:r>
    </w:p>
    <w:p>
      <w:pPr>
        <w:pStyle w:val="ListParagraph"/>
        <w:numPr>
          <w:ilvl w:val="2"/>
          <w:numId w:val="15"/>
        </w:numPr>
        <w:tabs>
          <w:tab w:pos="1166" w:val="left" w:leader="none"/>
          <w:tab w:pos="1167" w:val="left" w:leader="none"/>
          <w:tab w:pos="2718" w:val="left" w:leader="none"/>
        </w:tabs>
        <w:spacing w:line="240" w:lineRule="auto" w:before="153" w:after="0"/>
        <w:ind w:left="1166" w:right="0" w:hanging="1057"/>
        <w:jc w:val="left"/>
        <w:rPr>
          <w:sz w:val="21"/>
        </w:rPr>
      </w:pPr>
      <w:r>
        <w:rPr>
          <w:rFonts w:ascii="黑体" w:eastAsia="黑体" w:hint="eastAsia"/>
          <w:sz w:val="21"/>
        </w:rPr>
        <w:t>少儿特定疾病</w:t>
        <w:tab/>
      </w:r>
      <w:r>
        <w:rPr>
          <w:sz w:val="21"/>
        </w:rPr>
        <w:t>本附加险合同所保障的少儿特定疾病，包括以下三种疾病：</w:t>
      </w:r>
    </w:p>
    <w:p>
      <w:pPr>
        <w:pStyle w:val="BodyText"/>
        <w:spacing w:line="278" w:lineRule="auto" w:before="45"/>
        <w:ind w:left="3034" w:right="208" w:hanging="316"/>
        <w:jc w:val="both"/>
      </w:pPr>
      <w:r>
        <w:rPr/>
        <w:t>(1)严重心肌炎：指心肌局限性或弥漫性的急性或慢性炎症病变，导致心</w:t>
      </w:r>
      <w:r>
        <w:rPr>
          <w:spacing w:val="-4"/>
        </w:rPr>
        <w:t>脏功能障碍，达到美国纽约心脏病学会心功能状态分级 </w:t>
      </w:r>
      <w:r>
        <w:rPr/>
        <w:t>IV</w:t>
      </w:r>
      <w:r>
        <w:rPr>
          <w:spacing w:val="-13"/>
        </w:rPr>
        <w:t> 级，且持续</w:t>
      </w:r>
      <w:r>
        <w:rPr>
          <w:spacing w:val="-27"/>
        </w:rPr>
        <w:t>至少 </w:t>
      </w:r>
      <w:r>
        <w:rPr/>
        <w:t>90</w:t>
      </w:r>
      <w:r>
        <w:rPr>
          <w:spacing w:val="-19"/>
        </w:rPr>
        <w:t> 天。</w:t>
      </w:r>
    </w:p>
    <w:p>
      <w:pPr>
        <w:pStyle w:val="BodyText"/>
        <w:spacing w:line="278" w:lineRule="auto" w:before="11"/>
        <w:ind w:left="3034" w:right="102" w:hanging="316"/>
      </w:pPr>
      <w:r>
        <w:rPr/>
        <w:t>(2)脑炎后遗症或脑膜炎后遗症：指因患脑炎或脑膜炎导致的神经系统永 </w:t>
      </w:r>
      <w:r>
        <w:rPr>
          <w:spacing w:val="-4"/>
        </w:rPr>
        <w:t>久性的功能障碍。神经系统永久性的功能障碍，指疾病确诊 </w:t>
      </w:r>
      <w:r>
        <w:rPr/>
        <w:t>180</w:t>
      </w:r>
      <w:r>
        <w:rPr>
          <w:spacing w:val="-14"/>
        </w:rPr>
        <w:t> 天后， 仍遗留下列一种或一种以上障碍：</w:t>
      </w:r>
    </w:p>
    <w:p>
      <w:pPr>
        <w:spacing w:line="288" w:lineRule="exact" w:before="0"/>
        <w:ind w:left="3033" w:right="0" w:firstLine="0"/>
        <w:jc w:val="left"/>
        <w:rPr>
          <w:sz w:val="21"/>
        </w:rPr>
      </w:pPr>
      <w:r>
        <w:rPr>
          <w:sz w:val="21"/>
        </w:rPr>
        <w:t>①一肢或一肢以上</w:t>
      </w:r>
      <w:r>
        <w:rPr>
          <w:rFonts w:ascii="Microsoft JhengHei" w:hAnsi="Microsoft JhengHei" w:eastAsia="Microsoft JhengHei" w:hint="eastAsia"/>
          <w:b/>
          <w:sz w:val="21"/>
        </w:rPr>
        <w:t>肢体机能完全丧失</w:t>
      </w:r>
      <w:r>
        <w:rPr>
          <w:sz w:val="21"/>
        </w:rPr>
        <w:t>；</w:t>
      </w:r>
    </w:p>
    <w:p>
      <w:pPr>
        <w:pStyle w:val="Heading2"/>
        <w:spacing w:line="342" w:lineRule="exact" w:before="0"/>
        <w:ind w:left="3033"/>
        <w:rPr>
          <w:rFonts w:ascii="宋体" w:hAnsi="宋体" w:eastAsia="宋体" w:hint="eastAsia"/>
          <w:b w:val="0"/>
        </w:rPr>
      </w:pPr>
      <w:r>
        <w:rPr>
          <w:rFonts w:ascii="宋体" w:hAnsi="宋体" w:eastAsia="宋体" w:hint="eastAsia"/>
          <w:b w:val="0"/>
        </w:rPr>
        <w:t>②</w:t>
      </w:r>
      <w:r>
        <w:rPr>
          <w:rFonts w:ascii="Microsoft JhengHei" w:hAnsi="Microsoft JhengHei" w:eastAsia="Microsoft JhengHei" w:hint="eastAsia"/>
        </w:rPr>
        <w:t>语言能力或咀嚼吞咽能力完全丧失</w:t>
      </w:r>
      <w:r>
        <w:rPr>
          <w:rFonts w:ascii="宋体" w:hAnsi="宋体" w:eastAsia="宋体" w:hint="eastAsia"/>
          <w:b w:val="0"/>
        </w:rPr>
        <w:t>；</w:t>
      </w:r>
    </w:p>
    <w:p>
      <w:pPr>
        <w:pStyle w:val="BodyText"/>
        <w:spacing w:line="280" w:lineRule="auto" w:before="21"/>
        <w:ind w:left="3244" w:right="205" w:hanging="212"/>
      </w:pPr>
      <w:r>
        <w:rPr/>
        <w:t>③自主生活能力完全丧失，无法独立完成六项基本日常生活活动中的三项或三项以上。</w:t>
      </w:r>
    </w:p>
    <w:p>
      <w:pPr>
        <w:pStyle w:val="BodyText"/>
        <w:spacing w:before="8"/>
        <w:ind w:left="2718"/>
      </w:pPr>
      <w:r>
        <w:rPr/>
        <w:t>(3)肌营养不良症：由专科医师确认的诊断为 Duchenne，Becker，或 Limb</w:t>
      </w:r>
    </w:p>
    <w:p>
      <w:pPr>
        <w:pStyle w:val="BodyText"/>
        <w:spacing w:line="278" w:lineRule="auto" w:before="45"/>
        <w:ind w:left="3033" w:right="103" w:firstLine="1"/>
      </w:pPr>
      <w:r>
        <w:rPr/>
        <w:t>Girdle</w:t>
      </w:r>
      <w:r>
        <w:rPr>
          <w:spacing w:val="-4"/>
        </w:rPr>
        <w:t> 肌营养不良症</w:t>
      </w:r>
      <w:r>
        <w:rPr/>
        <w:t>（所有其他类型的肌营养不良症均不在保障范围内</w:t>
      </w:r>
      <w:r>
        <w:rPr>
          <w:spacing w:val="-105"/>
        </w:rPr>
        <w:t>）</w:t>
      </w:r>
      <w:r>
        <w:rPr>
          <w:spacing w:val="-9"/>
        </w:rPr>
        <w:t>，已进行了至少 </w:t>
      </w:r>
      <w:r>
        <w:rPr>
          <w:spacing w:val="-1"/>
        </w:rPr>
        <w:t>9</w:t>
      </w:r>
      <w:r>
        <w:rPr/>
        <w:t>0</w:t>
      </w:r>
      <w:r>
        <w:rPr>
          <w:spacing w:val="-12"/>
        </w:rPr>
        <w:t> 天的治疗，并提供肌肉活检和血 </w:t>
      </w:r>
      <w:r>
        <w:rPr>
          <w:spacing w:val="-1"/>
        </w:rPr>
        <w:t>CP</w:t>
      </w:r>
      <w:r>
        <w:rPr/>
        <w:t>K</w:t>
      </w:r>
      <w:r>
        <w:rPr>
          <w:spacing w:val="-11"/>
        </w:rPr>
        <w:t> 检测证实。</w:t>
      </w:r>
      <w:r>
        <w:rPr/>
        <w:t>该疾病须导致被保险人自主生活能力完全丧失，无法独立完成六项基 本日常生活活动中的三项或三项以上，或者导致被保险人永久性的卧 床，没有外部帮助无法起床。</w:t>
      </w:r>
    </w:p>
    <w:p>
      <w:pPr>
        <w:pStyle w:val="ListParagraph"/>
        <w:numPr>
          <w:ilvl w:val="2"/>
          <w:numId w:val="15"/>
        </w:numPr>
        <w:tabs>
          <w:tab w:pos="1166" w:val="left" w:leader="none"/>
          <w:tab w:pos="1167" w:val="left" w:leader="none"/>
          <w:tab w:pos="2718" w:val="left" w:leader="none"/>
        </w:tabs>
        <w:spacing w:line="240" w:lineRule="auto" w:before="153" w:after="0"/>
        <w:ind w:left="1166" w:right="0" w:hanging="1057"/>
        <w:jc w:val="left"/>
        <w:rPr>
          <w:sz w:val="21"/>
        </w:rPr>
      </w:pPr>
      <w:r>
        <w:rPr>
          <w:rFonts w:ascii="黑体" w:eastAsia="黑体" w:hint="eastAsia"/>
          <w:sz w:val="21"/>
        </w:rPr>
        <w:t>女性特定疾病</w:t>
        <w:tab/>
      </w:r>
      <w:r>
        <w:rPr>
          <w:sz w:val="21"/>
        </w:rPr>
        <w:t>本附加险合同所保障的女性特定疾病，包括以下三种疾病：</w:t>
      </w:r>
    </w:p>
    <w:p>
      <w:pPr>
        <w:pStyle w:val="BodyText"/>
        <w:spacing w:line="280" w:lineRule="auto" w:before="44"/>
        <w:ind w:left="3034" w:right="257" w:hanging="316"/>
        <w:jc w:val="both"/>
      </w:pPr>
      <w:r>
        <w:rPr/>
        <w:t>(1)系统性红斑狼疮－(并发）III</w:t>
      </w:r>
      <w:r>
        <w:rPr>
          <w:spacing w:val="-9"/>
        </w:rPr>
        <w:t> 型或以上狼疮性肾炎：系统性红斑狼疮是由多种因素引起，累及多系统的自身免疫性疾病。其特点是生成自</w:t>
      </w:r>
      <w:r>
        <w:rPr>
          <w:spacing w:val="-1"/>
        </w:rPr>
        <w:t>身抗体对抗多种自身抗原。多见于育龄妇女。</w:t>
      </w:r>
    </w:p>
    <w:p>
      <w:pPr>
        <w:pStyle w:val="BodyText"/>
        <w:spacing w:line="278" w:lineRule="auto" w:before="8"/>
        <w:ind w:left="3034" w:right="207" w:hanging="1"/>
      </w:pPr>
      <w:r>
        <w:rPr/>
        <w:t>本附加险合同所指的系统性红斑狼疮仅限于累及肾脏（经肾脏活检确</w:t>
      </w:r>
      <w:r>
        <w:rPr>
          <w:spacing w:val="-2"/>
        </w:rPr>
        <w:t>认的，符合 </w:t>
      </w:r>
      <w:r>
        <w:rPr/>
        <w:t>WHO</w:t>
      </w:r>
      <w:r>
        <w:rPr>
          <w:spacing w:val="-10"/>
        </w:rPr>
        <w:t> 诊断标准定义 </w:t>
      </w:r>
      <w:r>
        <w:rPr/>
        <w:t>III</w:t>
      </w:r>
      <w:r>
        <w:rPr>
          <w:spacing w:val="-29"/>
        </w:rPr>
        <w:t> 型或 </w:t>
      </w:r>
      <w:r>
        <w:rPr/>
        <w:t>III</w:t>
      </w:r>
      <w:r>
        <w:rPr>
          <w:spacing w:val="-8"/>
        </w:rPr>
        <w:t> 型以上狼疮性肾炎</w:t>
      </w:r>
      <w:r>
        <w:rPr>
          <w:spacing w:val="-3"/>
        </w:rPr>
        <w:t>）</w:t>
      </w:r>
      <w:r>
        <w:rPr/>
        <w:t>的系统性红斑狼疮。</w:t>
      </w:r>
      <w:r>
        <w:rPr>
          <w:shd w:fill="D9D9D9" w:color="auto" w:val="clear"/>
        </w:rPr>
        <w:t>其他类型的红斑性狼疮，如盘状狼疮、仅累及血液及关节的狼疮不在保障范围内。</w:t>
      </w:r>
    </w:p>
    <w:p>
      <w:pPr>
        <w:pStyle w:val="BodyText"/>
        <w:spacing w:before="11" w:after="35"/>
        <w:ind w:left="3033"/>
      </w:pPr>
      <w:r>
        <w:rPr/>
        <w:t>世界卫生组织(WHO）狼疮性肾炎分型：</w:t>
      </w:r>
    </w:p>
    <w:tbl>
      <w:tblPr>
        <w:tblW w:w="0" w:type="auto"/>
        <w:jc w:val="left"/>
        <w:tblInd w:w="3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0"/>
        <w:gridCol w:w="3237"/>
      </w:tblGrid>
      <w:tr>
        <w:trPr>
          <w:trHeight w:val="320" w:hRule="atLeast"/>
        </w:trPr>
        <w:tc>
          <w:tcPr>
            <w:tcW w:w="2860" w:type="dxa"/>
          </w:tcPr>
          <w:p>
            <w:pPr>
              <w:pStyle w:val="TableParagraph"/>
              <w:spacing w:before="10"/>
              <w:ind w:left="107"/>
              <w:rPr>
                <w:sz w:val="21"/>
              </w:rPr>
            </w:pPr>
            <w:r>
              <w:rPr>
                <w:sz w:val="21"/>
              </w:rPr>
              <w:t>I 型</w:t>
            </w:r>
          </w:p>
        </w:tc>
        <w:tc>
          <w:tcPr>
            <w:tcW w:w="3237" w:type="dxa"/>
          </w:tcPr>
          <w:p>
            <w:pPr>
              <w:pStyle w:val="TableParagraph"/>
              <w:spacing w:before="10"/>
              <w:ind w:left="107"/>
              <w:rPr>
                <w:sz w:val="21"/>
              </w:rPr>
            </w:pPr>
            <w:r>
              <w:rPr>
                <w:sz w:val="21"/>
              </w:rPr>
              <w:t>微小病变型</w:t>
            </w:r>
          </w:p>
        </w:tc>
      </w:tr>
      <w:tr>
        <w:trPr>
          <w:trHeight w:val="320" w:hRule="atLeast"/>
        </w:trPr>
        <w:tc>
          <w:tcPr>
            <w:tcW w:w="2860" w:type="dxa"/>
          </w:tcPr>
          <w:p>
            <w:pPr>
              <w:pStyle w:val="TableParagraph"/>
              <w:spacing w:before="10"/>
              <w:ind w:left="107"/>
              <w:rPr>
                <w:sz w:val="21"/>
              </w:rPr>
            </w:pPr>
            <w:r>
              <w:rPr>
                <w:sz w:val="21"/>
              </w:rPr>
              <w:t>II 型</w:t>
            </w:r>
          </w:p>
        </w:tc>
        <w:tc>
          <w:tcPr>
            <w:tcW w:w="3237" w:type="dxa"/>
          </w:tcPr>
          <w:p>
            <w:pPr>
              <w:pStyle w:val="TableParagraph"/>
              <w:spacing w:before="10"/>
              <w:ind w:left="107"/>
              <w:rPr>
                <w:sz w:val="21"/>
              </w:rPr>
            </w:pPr>
            <w:r>
              <w:rPr>
                <w:sz w:val="21"/>
              </w:rPr>
              <w:t>系膜病变型</w:t>
            </w:r>
          </w:p>
        </w:tc>
      </w:tr>
      <w:tr>
        <w:trPr>
          <w:trHeight w:val="320" w:hRule="atLeast"/>
        </w:trPr>
        <w:tc>
          <w:tcPr>
            <w:tcW w:w="2860" w:type="dxa"/>
          </w:tcPr>
          <w:p>
            <w:pPr>
              <w:pStyle w:val="TableParagraph"/>
              <w:spacing w:before="10"/>
              <w:ind w:left="107"/>
              <w:rPr>
                <w:sz w:val="21"/>
              </w:rPr>
            </w:pPr>
            <w:r>
              <w:rPr>
                <w:sz w:val="21"/>
              </w:rPr>
              <w:t>III 型</w:t>
            </w:r>
          </w:p>
        </w:tc>
        <w:tc>
          <w:tcPr>
            <w:tcW w:w="3237" w:type="dxa"/>
          </w:tcPr>
          <w:p>
            <w:pPr>
              <w:pStyle w:val="TableParagraph"/>
              <w:spacing w:before="10"/>
              <w:ind w:left="107"/>
              <w:rPr>
                <w:sz w:val="21"/>
              </w:rPr>
            </w:pPr>
            <w:r>
              <w:rPr>
                <w:sz w:val="21"/>
              </w:rPr>
              <w:t>局灶及节段增生型</w:t>
            </w:r>
          </w:p>
        </w:tc>
      </w:tr>
      <w:tr>
        <w:trPr>
          <w:trHeight w:val="320" w:hRule="atLeast"/>
        </w:trPr>
        <w:tc>
          <w:tcPr>
            <w:tcW w:w="2860" w:type="dxa"/>
          </w:tcPr>
          <w:p>
            <w:pPr>
              <w:pStyle w:val="TableParagraph"/>
              <w:spacing w:before="10"/>
              <w:ind w:left="107"/>
              <w:rPr>
                <w:sz w:val="21"/>
              </w:rPr>
            </w:pPr>
            <w:r>
              <w:rPr>
                <w:sz w:val="21"/>
              </w:rPr>
              <w:t>IV 型</w:t>
            </w:r>
          </w:p>
        </w:tc>
        <w:tc>
          <w:tcPr>
            <w:tcW w:w="3237" w:type="dxa"/>
          </w:tcPr>
          <w:p>
            <w:pPr>
              <w:pStyle w:val="TableParagraph"/>
              <w:spacing w:before="10"/>
              <w:ind w:left="107"/>
              <w:rPr>
                <w:sz w:val="21"/>
              </w:rPr>
            </w:pPr>
            <w:r>
              <w:rPr>
                <w:sz w:val="21"/>
              </w:rPr>
              <w:t>弥漫增生型</w:t>
            </w:r>
          </w:p>
        </w:tc>
      </w:tr>
      <w:tr>
        <w:trPr>
          <w:trHeight w:val="320" w:hRule="atLeast"/>
        </w:trPr>
        <w:tc>
          <w:tcPr>
            <w:tcW w:w="2860" w:type="dxa"/>
          </w:tcPr>
          <w:p>
            <w:pPr>
              <w:pStyle w:val="TableParagraph"/>
              <w:spacing w:before="10"/>
              <w:ind w:left="107"/>
              <w:rPr>
                <w:sz w:val="21"/>
              </w:rPr>
            </w:pPr>
            <w:r>
              <w:rPr>
                <w:sz w:val="21"/>
              </w:rPr>
              <w:t>V 型</w:t>
            </w:r>
          </w:p>
        </w:tc>
        <w:tc>
          <w:tcPr>
            <w:tcW w:w="3237" w:type="dxa"/>
          </w:tcPr>
          <w:p>
            <w:pPr>
              <w:pStyle w:val="TableParagraph"/>
              <w:spacing w:before="10"/>
              <w:ind w:left="107"/>
              <w:rPr>
                <w:sz w:val="21"/>
              </w:rPr>
            </w:pPr>
            <w:r>
              <w:rPr>
                <w:sz w:val="21"/>
              </w:rPr>
              <w:t>膜型</w:t>
            </w:r>
          </w:p>
        </w:tc>
      </w:tr>
      <w:tr>
        <w:trPr>
          <w:trHeight w:val="320" w:hRule="atLeast"/>
        </w:trPr>
        <w:tc>
          <w:tcPr>
            <w:tcW w:w="2860" w:type="dxa"/>
          </w:tcPr>
          <w:p>
            <w:pPr>
              <w:pStyle w:val="TableParagraph"/>
              <w:spacing w:before="10"/>
              <w:ind w:left="107"/>
              <w:rPr>
                <w:sz w:val="21"/>
              </w:rPr>
            </w:pPr>
            <w:r>
              <w:rPr>
                <w:sz w:val="21"/>
              </w:rPr>
              <w:t>VI 型</w:t>
            </w:r>
          </w:p>
        </w:tc>
        <w:tc>
          <w:tcPr>
            <w:tcW w:w="3237" w:type="dxa"/>
          </w:tcPr>
          <w:p>
            <w:pPr>
              <w:pStyle w:val="TableParagraph"/>
              <w:spacing w:before="10"/>
              <w:ind w:left="107"/>
              <w:rPr>
                <w:sz w:val="21"/>
              </w:rPr>
            </w:pPr>
            <w:r>
              <w:rPr>
                <w:sz w:val="21"/>
              </w:rPr>
              <w:t>肾小球硬化型</w:t>
            </w:r>
          </w:p>
        </w:tc>
      </w:tr>
    </w:tbl>
    <w:p>
      <w:pPr>
        <w:pStyle w:val="BodyText"/>
        <w:spacing w:line="278" w:lineRule="auto" w:before="10"/>
        <w:ind w:left="3034" w:right="208" w:hanging="316"/>
        <w:jc w:val="both"/>
      </w:pPr>
      <w:r>
        <w:rPr>
          <w:spacing w:val="-1"/>
        </w:rPr>
        <w:t>(2)</w:t>
      </w:r>
      <w:r>
        <w:rPr>
          <w:spacing w:val="-2"/>
        </w:rPr>
        <w:t>侵蚀性葡萄胎</w:t>
      </w:r>
      <w:r>
        <w:rPr>
          <w:spacing w:val="-1"/>
        </w:rPr>
        <w:t>（或称恶性葡萄胎</w:t>
      </w:r>
      <w:r>
        <w:rPr>
          <w:spacing w:val="-106"/>
        </w:rPr>
        <w:t>）</w:t>
      </w:r>
      <w:r>
        <w:rPr>
          <w:spacing w:val="-2"/>
        </w:rPr>
        <w:t>：该类疾病是指异常增生的绒毛组织浸润性生长侵入子宫肌层或转移至其他器官或组织的葡萄胎，并已经进行化疗或手术治疗的。</w:t>
      </w:r>
    </w:p>
    <w:p>
      <w:pPr>
        <w:pStyle w:val="BodyText"/>
        <w:spacing w:line="278" w:lineRule="auto" w:before="11"/>
        <w:ind w:left="3034" w:right="207" w:hanging="316"/>
        <w:jc w:val="both"/>
      </w:pPr>
      <w:r>
        <w:rPr>
          <w:spacing w:val="-1"/>
        </w:rPr>
        <w:t>(3)</w:t>
      </w:r>
      <w:r>
        <w:rPr>
          <w:spacing w:val="-2"/>
        </w:rPr>
        <w:t>系统性硬化病</w:t>
      </w:r>
      <w:r>
        <w:rPr>
          <w:spacing w:val="-1"/>
        </w:rPr>
        <w:t>（硬皮病</w:t>
      </w:r>
      <w:r>
        <w:rPr>
          <w:spacing w:val="-105"/>
        </w:rPr>
        <w:t>）</w:t>
      </w:r>
      <w:r>
        <w:rPr>
          <w:spacing w:val="-2"/>
        </w:rPr>
        <w:t>：是指一种以皮肤、血管和内脏器官出现异常纤维化为特征的系统性结缔组织病，表现为进行性的皮肤和内脏器官的胶原化和纤维化，以及伴有皮肤和器官损害的阻塞性血管病（</w:t>
      </w:r>
      <w:r>
        <w:rPr>
          <w:spacing w:val="0"/>
        </w:rPr>
        <w:t>血管</w:t>
      </w:r>
      <w:r>
        <w:rPr>
          <w:spacing w:val="-1"/>
        </w:rPr>
        <w:t>栓塞</w:t>
      </w:r>
      <w:r>
        <w:rPr>
          <w:spacing w:val="-105"/>
        </w:rPr>
        <w:t>）</w:t>
      </w:r>
      <w:r>
        <w:rPr>
          <w:spacing w:val="-2"/>
        </w:rPr>
        <w:t>。须提供下列一项或一项以上内脏器官受累的检查报告及诊疗记</w:t>
      </w:r>
    </w:p>
    <w:p>
      <w:pPr>
        <w:spacing w:after="0" w:line="278" w:lineRule="auto"/>
        <w:jc w:val="both"/>
        <w:sectPr>
          <w:pgSz w:w="11910" w:h="16840"/>
          <w:pgMar w:top="1420" w:bottom="280" w:left="1180" w:right="1080"/>
        </w:sectPr>
      </w:pPr>
    </w:p>
    <w:p>
      <w:pPr>
        <w:pStyle w:val="BodyText"/>
        <w:spacing w:before="8"/>
        <w:ind w:left="3134"/>
      </w:pPr>
      <w:r>
        <w:rPr/>
        <w:t>录：</w:t>
      </w:r>
    </w:p>
    <w:p>
      <w:pPr>
        <w:pStyle w:val="BodyText"/>
        <w:spacing w:before="43"/>
        <w:ind w:left="3133"/>
      </w:pPr>
      <w:r>
        <w:rPr/>
        <w:t>①肺脏：肺部病变进而发展为肺动脉高压、肺心病；</w:t>
      </w:r>
    </w:p>
    <w:p>
      <w:pPr>
        <w:pStyle w:val="BodyText"/>
        <w:spacing w:line="280" w:lineRule="auto" w:before="45"/>
        <w:ind w:left="3344" w:right="205" w:hanging="212"/>
      </w:pPr>
      <w:r>
        <w:rPr/>
        <w:t>②心脏：心室功能受损而导致的体力活动受限并至少达到美国纽约心脏病学会心功能状态分级Ⅲ级；</w:t>
      </w:r>
    </w:p>
    <w:p>
      <w:pPr>
        <w:pStyle w:val="BodyText"/>
        <w:spacing w:before="8"/>
        <w:ind w:left="3133"/>
      </w:pPr>
      <w:r>
        <w:rPr/>
        <w:t>③肾脏：肾脏受损导致出现肾功能不全。</w:t>
      </w:r>
    </w:p>
    <w:p>
      <w:pPr>
        <w:pStyle w:val="BodyText"/>
        <w:spacing w:before="3"/>
        <w:rPr>
          <w:sz w:val="14"/>
        </w:rPr>
      </w:pPr>
    </w:p>
    <w:p>
      <w:pPr>
        <w:pStyle w:val="ListParagraph"/>
        <w:numPr>
          <w:ilvl w:val="2"/>
          <w:numId w:val="15"/>
        </w:numPr>
        <w:tabs>
          <w:tab w:pos="1266" w:val="left" w:leader="none"/>
          <w:tab w:pos="1267" w:val="left" w:leader="none"/>
          <w:tab w:pos="2818" w:val="left" w:leader="none"/>
        </w:tabs>
        <w:spacing w:line="240" w:lineRule="auto" w:before="0" w:after="0"/>
        <w:ind w:left="1266" w:right="0" w:hanging="1057"/>
        <w:jc w:val="left"/>
        <w:rPr>
          <w:sz w:val="21"/>
        </w:rPr>
      </w:pPr>
      <w:r>
        <w:rPr>
          <w:rFonts w:ascii="黑体" w:eastAsia="黑体" w:hint="eastAsia"/>
          <w:sz w:val="21"/>
        </w:rPr>
        <w:t>男性特定疾病</w:t>
        <w:tab/>
      </w:r>
      <w:r>
        <w:rPr>
          <w:sz w:val="21"/>
        </w:rPr>
        <w:t>本附加险合同所保障的男性特定疾病，包括以下三种疾病：</w:t>
      </w:r>
    </w:p>
    <w:p>
      <w:pPr>
        <w:pStyle w:val="BodyText"/>
        <w:spacing w:line="280" w:lineRule="auto" w:before="45"/>
        <w:ind w:left="3134" w:right="208" w:hanging="316"/>
      </w:pPr>
      <w:r>
        <w:rPr/>
        <w:t>(1)终末期肺病：指患有终末期肺病而出现慢性呼吸功能衰竭。须满足下列全部条件：</w:t>
      </w:r>
    </w:p>
    <w:p>
      <w:pPr>
        <w:pStyle w:val="BodyText"/>
        <w:spacing w:before="8"/>
        <w:ind w:left="3134"/>
      </w:pPr>
      <w:r>
        <w:rPr/>
        <w:t>①肺功能测试其 FEV1 持续低于 1 升；</w:t>
      </w:r>
    </w:p>
    <w:p>
      <w:pPr>
        <w:pStyle w:val="BodyText"/>
        <w:spacing w:before="45"/>
        <w:ind w:left="3134"/>
      </w:pPr>
      <w:r>
        <w:rPr/>
        <w:t>②病人血氧不足必须持续地进行输氧治疗；</w:t>
      </w:r>
    </w:p>
    <w:p>
      <w:pPr>
        <w:pStyle w:val="BodyText"/>
        <w:spacing w:before="45"/>
        <w:ind w:left="3134"/>
      </w:pPr>
      <w:r>
        <w:rPr/>
        <w:t>③动脉血气分析氧分压等于或低于 55mmHg；</w:t>
      </w:r>
    </w:p>
    <w:p>
      <w:pPr>
        <w:pStyle w:val="BodyText"/>
        <w:spacing w:before="44"/>
        <w:ind w:left="3134"/>
      </w:pPr>
      <w:r>
        <w:rPr/>
        <w:t>④休息时出现呼吸困难。</w:t>
      </w:r>
    </w:p>
    <w:p>
      <w:pPr>
        <w:pStyle w:val="BodyText"/>
        <w:spacing w:line="280" w:lineRule="auto" w:before="45"/>
        <w:ind w:left="3134" w:right="207" w:hanging="316"/>
      </w:pPr>
      <w:r>
        <w:rPr/>
        <w:t>(2)严重脑损伤：指因头部遭受机械性外力，引起脑重要部位损伤，导致</w:t>
      </w:r>
      <w:r>
        <w:rPr>
          <w:spacing w:val="-2"/>
        </w:rPr>
        <w:t>神经系统永久性的功能障碍。须由头颅断层扫描</w:t>
      </w:r>
      <w:r>
        <w:rPr>
          <w:spacing w:val="-1"/>
        </w:rPr>
        <w:t>（CT</w:t>
      </w:r>
      <w:r>
        <w:rPr>
          <w:spacing w:val="-104"/>
        </w:rPr>
        <w:t>）</w:t>
      </w:r>
      <w:r>
        <w:rPr>
          <w:spacing w:val="-2"/>
        </w:rPr>
        <w:t>、核磁共振检查</w:t>
      </w:r>
    </w:p>
    <w:p>
      <w:pPr>
        <w:pStyle w:val="BodyText"/>
        <w:spacing w:line="280" w:lineRule="auto" w:before="8"/>
        <w:ind w:left="3134" w:right="205"/>
        <w:jc w:val="both"/>
      </w:pPr>
      <w:r>
        <w:rPr/>
        <w:t>（MRI）或正电子发射断层扫描（PET）等影像学检查证实。神经系统永久性的功能障碍，指脑损伤 180 天后，仍遗留下列一种或一种以上障碍：</w:t>
      </w:r>
    </w:p>
    <w:p>
      <w:pPr>
        <w:pStyle w:val="BodyText"/>
        <w:spacing w:before="8"/>
        <w:ind w:left="3133"/>
      </w:pPr>
      <w:r>
        <w:rPr/>
        <w:t>①一肢或一肢以上肢体机能完全丧失；</w:t>
      </w:r>
    </w:p>
    <w:p>
      <w:pPr>
        <w:pStyle w:val="BodyText"/>
        <w:spacing w:before="45"/>
        <w:ind w:left="3133"/>
      </w:pPr>
      <w:r>
        <w:rPr/>
        <w:t>②语言能力或咀嚼吞咽能力完全丧失；</w:t>
      </w:r>
    </w:p>
    <w:p>
      <w:pPr>
        <w:pStyle w:val="BodyText"/>
        <w:spacing w:line="278" w:lineRule="auto" w:before="45"/>
        <w:ind w:left="3344" w:right="205" w:hanging="212"/>
      </w:pPr>
      <w:r>
        <w:rPr/>
        <w:t>③自主生活能力完全丧失，无法独立完成六项基本日常生活活动中的三项或三项以上。</w:t>
      </w:r>
    </w:p>
    <w:p>
      <w:pPr>
        <w:pStyle w:val="BodyText"/>
        <w:spacing w:line="280" w:lineRule="auto" w:before="11"/>
        <w:ind w:left="3134" w:right="208" w:hanging="316"/>
      </w:pPr>
      <w:r>
        <w:rPr/>
        <w:t>(3)急性出血性坏死性胰腺炎：由专科医生确诊为急性出血性坏死性胰腺炎，并已实施了胰腺组织清除、病灶切除或胰腺切除的手术。</w:t>
      </w:r>
    </w:p>
    <w:p>
      <w:pPr>
        <w:pStyle w:val="BodyText"/>
        <w:spacing w:before="8"/>
        <w:ind w:left="3134"/>
      </w:pPr>
      <w:r>
        <w:rPr>
          <w:shd w:fill="D9D9D9" w:color="auto" w:val="clear"/>
        </w:rPr>
        <w:t>因酗酒所致的急性出血性坏死性胰腺炎不在保障范围内。</w:t>
      </w:r>
    </w:p>
    <w:p>
      <w:pPr>
        <w:pStyle w:val="BodyText"/>
        <w:spacing w:before="7"/>
        <w:rPr>
          <w:sz w:val="11"/>
        </w:rPr>
      </w:pPr>
    </w:p>
    <w:p>
      <w:pPr>
        <w:spacing w:after="0"/>
        <w:rPr>
          <w:sz w:val="11"/>
        </w:rPr>
        <w:sectPr>
          <w:pgSz w:w="11910" w:h="16840"/>
          <w:pgMar w:top="1420" w:bottom="280" w:left="1080" w:right="1080"/>
        </w:sectPr>
      </w:pPr>
    </w:p>
    <w:p>
      <w:pPr>
        <w:pStyle w:val="ListParagraph"/>
        <w:numPr>
          <w:ilvl w:val="1"/>
          <w:numId w:val="15"/>
        </w:numPr>
        <w:tabs>
          <w:tab w:pos="1266" w:val="left" w:leader="none"/>
          <w:tab w:pos="1267" w:val="left" w:leader="none"/>
        </w:tabs>
        <w:spacing w:line="280" w:lineRule="auto" w:before="36" w:after="0"/>
        <w:ind w:left="1266" w:right="0" w:hanging="1056"/>
        <w:jc w:val="left"/>
        <w:rPr>
          <w:rFonts w:ascii="黑体" w:eastAsia="黑体" w:hint="eastAsia"/>
          <w:sz w:val="21"/>
        </w:rPr>
      </w:pPr>
      <w:r>
        <w:rPr>
          <w:rFonts w:ascii="黑体" w:eastAsia="黑体" w:hint="eastAsia"/>
          <w:spacing w:val="-1"/>
          <w:sz w:val="21"/>
        </w:rPr>
        <w:t>定义来源及确诊医院范围</w:t>
      </w:r>
    </w:p>
    <w:p>
      <w:pPr>
        <w:pStyle w:val="BodyText"/>
        <w:spacing w:line="280" w:lineRule="auto" w:before="36"/>
        <w:ind w:left="210" w:right="207"/>
        <w:jc w:val="both"/>
      </w:pPr>
      <w:r>
        <w:rPr/>
        <w:br w:type="column"/>
      </w:r>
      <w:r>
        <w:rPr>
          <w:spacing w:val="-1"/>
        </w:rPr>
        <w:t>以上“脑炎后遗症或脑膜炎后遗症”定义根据中国保险行业协会 </w:t>
      </w:r>
      <w:r>
        <w:rPr/>
        <w:t>2007</w:t>
      </w:r>
      <w:r>
        <w:rPr>
          <w:spacing w:val="-8"/>
        </w:rPr>
        <w:t> 年公布的《重大疾病保险的疾病定义使用规范》作出，其他特定疾病由本公司增加，其定义由本公司根据通行的医学标准制定。</w:t>
      </w:r>
    </w:p>
    <w:p>
      <w:pPr>
        <w:pStyle w:val="BodyText"/>
        <w:spacing w:before="8"/>
        <w:ind w:left="210"/>
        <w:jc w:val="both"/>
      </w:pPr>
      <w:r>
        <w:rPr/>
        <w:t>以上特定疾病均须在卫生行政部门认定的二级以上（含二级）医院确诊。</w:t>
      </w:r>
    </w:p>
    <w:p>
      <w:pPr>
        <w:spacing w:after="0"/>
        <w:jc w:val="both"/>
        <w:sectPr>
          <w:type w:val="continuous"/>
          <w:pgSz w:w="11910" w:h="16840"/>
          <w:pgMar w:top="1240" w:bottom="280" w:left="1080" w:right="1080"/>
          <w:cols w:num="2" w:equalWidth="0">
            <w:col w:w="2526" w:space="83"/>
            <w:col w:w="7141"/>
          </w:cols>
        </w:sectPr>
      </w:pPr>
    </w:p>
    <w:p>
      <w:pPr>
        <w:pStyle w:val="BodyText"/>
        <w:spacing w:before="6"/>
        <w:rPr>
          <w:sz w:val="13"/>
        </w:rPr>
      </w:pPr>
    </w:p>
    <w:p>
      <w:pPr>
        <w:pStyle w:val="BodyText"/>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释义</w:t>
                  </w:r>
                </w:p>
              </w:txbxContent>
            </v:textbox>
            <v:fill type="solid"/>
          </v:shape>
        </w:pict>
      </w:r>
      <w:r>
        <w:rPr>
          <w:sz w:val="20"/>
        </w:rPr>
      </w:r>
    </w:p>
    <w:p>
      <w:pPr>
        <w:pStyle w:val="BodyText"/>
        <w:spacing w:before="8"/>
        <w:rPr>
          <w:sz w:val="7"/>
        </w:rPr>
      </w:pPr>
    </w:p>
    <w:p>
      <w:pPr>
        <w:pStyle w:val="ListParagraph"/>
        <w:numPr>
          <w:ilvl w:val="1"/>
          <w:numId w:val="16"/>
        </w:numPr>
        <w:tabs>
          <w:tab w:pos="1266" w:val="left" w:leader="none"/>
          <w:tab w:pos="1267" w:val="left" w:leader="none"/>
          <w:tab w:pos="2818" w:val="left" w:leader="none"/>
        </w:tabs>
        <w:spacing w:line="278" w:lineRule="auto" w:before="35" w:after="0"/>
        <w:ind w:left="2818" w:right="207" w:hanging="2608"/>
        <w:jc w:val="left"/>
        <w:rPr>
          <w:sz w:val="21"/>
        </w:rPr>
      </w:pPr>
      <w:r>
        <w:rPr>
          <w:rFonts w:ascii="黑体" w:eastAsia="黑体" w:hint="eastAsia"/>
          <w:sz w:val="21"/>
        </w:rPr>
        <w:t>意外伤害</w:t>
        <w:tab/>
      </w:r>
      <w:r>
        <w:rPr>
          <w:spacing w:val="-1"/>
          <w:sz w:val="21"/>
        </w:rPr>
        <w:t>指遭受外来的</w:t>
      </w:r>
      <w:r>
        <w:rPr>
          <w:sz w:val="21"/>
        </w:rPr>
        <w:t>、突发的、非本意的、非疾病的客观事件直接致使身体受到的伤害。</w:t>
      </w:r>
    </w:p>
    <w:p>
      <w:pPr>
        <w:pStyle w:val="ListParagraph"/>
        <w:numPr>
          <w:ilvl w:val="1"/>
          <w:numId w:val="16"/>
        </w:numPr>
        <w:tabs>
          <w:tab w:pos="1266" w:val="left" w:leader="none"/>
          <w:tab w:pos="1267" w:val="left" w:leader="none"/>
          <w:tab w:pos="2818" w:val="left" w:leader="none"/>
        </w:tabs>
        <w:spacing w:line="280" w:lineRule="auto" w:before="153" w:after="0"/>
        <w:ind w:left="2818" w:right="204" w:hanging="2608"/>
        <w:jc w:val="left"/>
        <w:rPr>
          <w:sz w:val="21"/>
        </w:rPr>
      </w:pPr>
      <w:r>
        <w:rPr>
          <w:rFonts w:ascii="黑体" w:eastAsia="黑体" w:hint="eastAsia"/>
          <w:sz w:val="21"/>
        </w:rPr>
        <w:t>周岁</w:t>
        <w:tab/>
      </w:r>
      <w:r>
        <w:rPr>
          <w:spacing w:val="5"/>
          <w:sz w:val="21"/>
        </w:rPr>
        <w:t>指按有效</w:t>
      </w:r>
      <w:r>
        <w:rPr>
          <w:spacing w:val="5"/>
          <w:sz w:val="21"/>
        </w:rPr>
        <w:t>身</w:t>
      </w:r>
      <w:r>
        <w:rPr>
          <w:spacing w:val="5"/>
          <w:sz w:val="21"/>
        </w:rPr>
        <w:t>份证件中</w:t>
      </w:r>
      <w:r>
        <w:rPr>
          <w:spacing w:val="5"/>
          <w:sz w:val="21"/>
        </w:rPr>
        <w:t>记</w:t>
      </w:r>
      <w:r>
        <w:rPr>
          <w:spacing w:val="5"/>
          <w:sz w:val="21"/>
        </w:rPr>
        <w:t>载的出生</w:t>
      </w:r>
      <w:r>
        <w:rPr>
          <w:spacing w:val="5"/>
          <w:sz w:val="21"/>
        </w:rPr>
        <w:t>日</w:t>
      </w:r>
      <w:r>
        <w:rPr>
          <w:spacing w:val="5"/>
          <w:sz w:val="21"/>
        </w:rPr>
        <w:t>期计算的</w:t>
      </w:r>
      <w:r>
        <w:rPr>
          <w:spacing w:val="5"/>
          <w:sz w:val="21"/>
        </w:rPr>
        <w:t>年</w:t>
      </w:r>
      <w:r>
        <w:rPr>
          <w:spacing w:val="5"/>
          <w:sz w:val="21"/>
        </w:rPr>
        <w:t>龄，自出</w:t>
      </w:r>
      <w:r>
        <w:rPr>
          <w:spacing w:val="5"/>
          <w:sz w:val="21"/>
        </w:rPr>
        <w:t>生</w:t>
      </w:r>
      <w:r>
        <w:rPr>
          <w:spacing w:val="5"/>
          <w:sz w:val="21"/>
        </w:rPr>
        <w:t>之日起为</w:t>
      </w:r>
      <w:r>
        <w:rPr>
          <w:spacing w:val="5"/>
          <w:sz w:val="21"/>
        </w:rPr>
        <w:t>零</w:t>
      </w:r>
      <w:r>
        <w:rPr>
          <w:sz w:val="21"/>
        </w:rPr>
        <w:t>周 岁，每经过一年增加一岁，不足一年的不计。</w:t>
      </w:r>
    </w:p>
    <w:p>
      <w:pPr>
        <w:pStyle w:val="ListParagraph"/>
        <w:numPr>
          <w:ilvl w:val="1"/>
          <w:numId w:val="16"/>
        </w:numPr>
        <w:tabs>
          <w:tab w:pos="1266" w:val="left" w:leader="none"/>
          <w:tab w:pos="1267" w:val="left" w:leader="none"/>
          <w:tab w:pos="2818" w:val="left" w:leader="none"/>
        </w:tabs>
        <w:spacing w:line="278" w:lineRule="auto" w:before="151" w:after="0"/>
        <w:ind w:left="2818" w:right="102" w:hanging="2608"/>
        <w:jc w:val="left"/>
        <w:rPr>
          <w:sz w:val="21"/>
        </w:rPr>
      </w:pPr>
      <w:r>
        <w:rPr>
          <w:rFonts w:ascii="黑体" w:eastAsia="黑体" w:hint="eastAsia"/>
          <w:sz w:val="21"/>
        </w:rPr>
        <w:t>毒品</w:t>
        <w:tab/>
      </w:r>
      <w:r>
        <w:rPr>
          <w:spacing w:val="-1"/>
          <w:sz w:val="21"/>
        </w:rPr>
        <w:t>指中华人民共和国</w:t>
      </w:r>
      <w:r>
        <w:rPr>
          <w:sz w:val="21"/>
        </w:rPr>
        <w:t>刑法规定的鸦片、海洛因、甲基苯丙胺（冰毒</w:t>
      </w:r>
      <w:r>
        <w:rPr>
          <w:spacing w:val="-105"/>
          <w:sz w:val="21"/>
        </w:rPr>
        <w:t>）</w:t>
      </w:r>
      <w:r>
        <w:rPr>
          <w:sz w:val="21"/>
        </w:rPr>
        <w:t>、吗啡、大麻</w:t>
      </w:r>
      <w:r>
        <w:rPr>
          <w:spacing w:val="-4"/>
          <w:sz w:val="21"/>
        </w:rPr>
        <w:t>、</w:t>
      </w:r>
      <w:r>
        <w:rPr>
          <w:sz w:val="21"/>
        </w:rPr>
        <w:t>可卡因以及国家规定管制的其他能够使人形成瘾癖的麻醉药品和精神药品</w:t>
      </w:r>
      <w:r>
        <w:rPr>
          <w:spacing w:val="-4"/>
          <w:sz w:val="21"/>
        </w:rPr>
        <w:t>，</w:t>
      </w:r>
      <w:r>
        <w:rPr>
          <w:sz w:val="21"/>
        </w:rPr>
        <w:t>但不包括由医生开具并遵医嘱使用的用于治疗疾病但含有毒品成分的处方药品。</w:t>
      </w:r>
    </w:p>
    <w:p>
      <w:pPr>
        <w:pStyle w:val="ListParagraph"/>
        <w:numPr>
          <w:ilvl w:val="1"/>
          <w:numId w:val="16"/>
        </w:numPr>
        <w:tabs>
          <w:tab w:pos="1267" w:val="left" w:leader="none"/>
        </w:tabs>
        <w:spacing w:line="278" w:lineRule="auto" w:before="153" w:after="0"/>
        <w:ind w:left="2818" w:right="207" w:hanging="2608"/>
        <w:jc w:val="both"/>
        <w:rPr>
          <w:sz w:val="21"/>
        </w:rPr>
      </w:pPr>
      <w:r>
        <w:rPr>
          <w:rFonts w:ascii="黑体" w:eastAsia="黑体" w:hint="eastAsia"/>
          <w:spacing w:val="7"/>
          <w:sz w:val="21"/>
        </w:rPr>
        <w:t>酒后驾驶     </w:t>
      </w:r>
      <w:r>
        <w:rPr>
          <w:spacing w:val="-1"/>
          <w:sz w:val="21"/>
        </w:rPr>
        <w:t>指经检测或鉴定，发生事故时车辆驾驶人员每百毫升血液中的酒精含量达到或超过一定的标准，公安机关交通管理部门依据《道路交通安全法》的规定认定为饮酒后驾驶或醉酒后驾驶。</w:t>
      </w:r>
    </w:p>
    <w:p>
      <w:pPr>
        <w:spacing w:after="0" w:line="278" w:lineRule="auto"/>
        <w:jc w:val="both"/>
        <w:rPr>
          <w:sz w:val="21"/>
        </w:rPr>
        <w:sectPr>
          <w:type w:val="continuous"/>
          <w:pgSz w:w="11910" w:h="16840"/>
          <w:pgMar w:top="1240" w:bottom="280" w:left="1080" w:right="1080"/>
        </w:sectPr>
      </w:pPr>
    </w:p>
    <w:p>
      <w:pPr>
        <w:pStyle w:val="BodyText"/>
        <w:spacing w:before="8"/>
        <w:rPr>
          <w:sz w:val="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24"/>
        <w:gridCol w:w="7024"/>
      </w:tblGrid>
      <w:tr>
        <w:trPr>
          <w:trHeight w:val="265" w:hRule="atLeast"/>
        </w:trPr>
        <w:tc>
          <w:tcPr>
            <w:tcW w:w="788" w:type="dxa"/>
          </w:tcPr>
          <w:p>
            <w:pPr>
              <w:pStyle w:val="TableParagraph"/>
              <w:spacing w:line="210" w:lineRule="exact"/>
              <w:ind w:left="50"/>
              <w:rPr>
                <w:rFonts w:ascii="黑体"/>
                <w:sz w:val="21"/>
              </w:rPr>
            </w:pPr>
            <w:r>
              <w:rPr>
                <w:rFonts w:ascii="黑体"/>
                <w:sz w:val="21"/>
              </w:rPr>
              <w:t>9.5</w:t>
            </w:r>
          </w:p>
        </w:tc>
        <w:tc>
          <w:tcPr>
            <w:tcW w:w="1724" w:type="dxa"/>
          </w:tcPr>
          <w:p>
            <w:pPr>
              <w:pStyle w:val="TableParagraph"/>
              <w:spacing w:line="210" w:lineRule="exact"/>
              <w:ind w:left="318"/>
              <w:rPr>
                <w:rFonts w:ascii="黑体" w:eastAsia="黑体" w:hint="eastAsia"/>
                <w:sz w:val="21"/>
              </w:rPr>
            </w:pPr>
            <w:r>
              <w:rPr>
                <w:rFonts w:ascii="黑体" w:eastAsia="黑体" w:hint="eastAsia"/>
                <w:sz w:val="21"/>
              </w:rPr>
              <w:t>无合法有效驾</w:t>
            </w:r>
          </w:p>
        </w:tc>
        <w:tc>
          <w:tcPr>
            <w:tcW w:w="7024" w:type="dxa"/>
          </w:tcPr>
          <w:p>
            <w:pPr>
              <w:pStyle w:val="TableParagraph"/>
              <w:spacing w:line="210" w:lineRule="exact"/>
              <w:ind w:left="146"/>
              <w:rPr>
                <w:sz w:val="21"/>
              </w:rPr>
            </w:pPr>
            <w:r>
              <w:rPr>
                <w:sz w:val="21"/>
              </w:rPr>
              <w:t>指下列情形之一：</w:t>
            </w:r>
          </w:p>
        </w:tc>
      </w:tr>
      <w:tr>
        <w:trPr>
          <w:trHeight w:val="319" w:hRule="atLeast"/>
        </w:trPr>
        <w:tc>
          <w:tcPr>
            <w:tcW w:w="788" w:type="dxa"/>
          </w:tcPr>
          <w:p>
            <w:pPr>
              <w:pStyle w:val="TableParagraph"/>
              <w:rPr>
                <w:rFonts w:ascii="Times New Roman"/>
                <w:sz w:val="20"/>
              </w:rPr>
            </w:pPr>
          </w:p>
        </w:tc>
        <w:tc>
          <w:tcPr>
            <w:tcW w:w="1724" w:type="dxa"/>
          </w:tcPr>
          <w:p>
            <w:pPr>
              <w:pStyle w:val="TableParagraph"/>
              <w:spacing w:line="265" w:lineRule="exact"/>
              <w:ind w:left="318"/>
              <w:rPr>
                <w:rFonts w:ascii="黑体" w:eastAsia="黑体" w:hint="eastAsia"/>
                <w:sz w:val="21"/>
              </w:rPr>
            </w:pPr>
            <w:r>
              <w:rPr>
                <w:rFonts w:ascii="黑体" w:eastAsia="黑体" w:hint="eastAsia"/>
                <w:sz w:val="21"/>
              </w:rPr>
              <w:t>驶证驾驶</w:t>
            </w:r>
          </w:p>
        </w:tc>
        <w:tc>
          <w:tcPr>
            <w:tcW w:w="7024" w:type="dxa"/>
          </w:tcPr>
          <w:p>
            <w:pPr>
              <w:pStyle w:val="TableParagraph"/>
              <w:spacing w:line="265" w:lineRule="exact"/>
              <w:ind w:left="146"/>
              <w:rPr>
                <w:sz w:val="21"/>
              </w:rPr>
            </w:pPr>
            <w:r>
              <w:rPr>
                <w:sz w:val="21"/>
              </w:rPr>
              <w:t>(1)没有取得驾驶资格；</w:t>
            </w:r>
          </w:p>
        </w:tc>
      </w:tr>
      <w:tr>
        <w:trPr>
          <w:trHeight w:val="319"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(2)驾驶与驾驶证准驾车型不相符合的车辆；</w:t>
            </w:r>
          </w:p>
        </w:tc>
      </w:tr>
      <w:tr>
        <w:trPr>
          <w:trHeight w:val="320"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(3)持审验不合格的驾驶证驾驶；</w:t>
            </w:r>
          </w:p>
        </w:tc>
      </w:tr>
      <w:tr>
        <w:trPr>
          <w:trHeight w:val="710"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78" w:lineRule="auto"/>
              <w:ind w:left="462" w:right="160" w:hanging="316"/>
              <w:rPr>
                <w:sz w:val="21"/>
              </w:rPr>
            </w:pPr>
            <w:r>
              <w:rPr>
                <w:sz w:val="21"/>
              </w:rPr>
              <w:t>(4)持学习驾驶证学习驾车时，无教练员随车指导，或不按指定时间、路线学习驾车。</w:t>
            </w:r>
          </w:p>
        </w:tc>
      </w:tr>
      <w:tr>
        <w:trPr>
          <w:trHeight w:val="391" w:hRule="atLeast"/>
        </w:trPr>
        <w:tc>
          <w:tcPr>
            <w:tcW w:w="788" w:type="dxa"/>
          </w:tcPr>
          <w:p>
            <w:pPr>
              <w:pStyle w:val="TableParagraph"/>
              <w:spacing w:before="61"/>
              <w:ind w:left="50"/>
              <w:rPr>
                <w:rFonts w:ascii="黑体"/>
                <w:sz w:val="21"/>
              </w:rPr>
            </w:pPr>
            <w:r>
              <w:rPr>
                <w:rFonts w:ascii="黑体"/>
                <w:sz w:val="21"/>
              </w:rPr>
              <w:t>9.6</w:t>
            </w:r>
          </w:p>
        </w:tc>
        <w:tc>
          <w:tcPr>
            <w:tcW w:w="1724" w:type="dxa"/>
          </w:tcPr>
          <w:p>
            <w:pPr>
              <w:pStyle w:val="TableParagraph"/>
              <w:spacing w:before="61"/>
              <w:ind w:left="318"/>
              <w:rPr>
                <w:rFonts w:ascii="黑体" w:eastAsia="黑体" w:hint="eastAsia"/>
                <w:sz w:val="21"/>
              </w:rPr>
            </w:pPr>
            <w:r>
              <w:rPr>
                <w:rFonts w:ascii="黑体" w:eastAsia="黑体" w:hint="eastAsia"/>
                <w:sz w:val="21"/>
              </w:rPr>
              <w:t>无有效行驶证</w:t>
            </w:r>
          </w:p>
        </w:tc>
        <w:tc>
          <w:tcPr>
            <w:tcW w:w="7024" w:type="dxa"/>
          </w:tcPr>
          <w:p>
            <w:pPr>
              <w:pStyle w:val="TableParagraph"/>
              <w:spacing w:before="61"/>
              <w:ind w:left="146"/>
              <w:rPr>
                <w:sz w:val="21"/>
              </w:rPr>
            </w:pPr>
            <w:r>
              <w:rPr>
                <w:sz w:val="21"/>
              </w:rPr>
              <w:t>指下列情形之一：</w:t>
            </w:r>
          </w:p>
        </w:tc>
      </w:tr>
      <w:tr>
        <w:trPr>
          <w:trHeight w:val="320"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(1)机动车被依法注销登记的；</w:t>
            </w:r>
          </w:p>
        </w:tc>
      </w:tr>
      <w:tr>
        <w:trPr>
          <w:trHeight w:val="391"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(2)未依法按时进行或通过机动车安全技术检验。</w:t>
            </w:r>
          </w:p>
        </w:tc>
      </w:tr>
      <w:tr>
        <w:trPr>
          <w:trHeight w:val="390" w:hRule="atLeast"/>
        </w:trPr>
        <w:tc>
          <w:tcPr>
            <w:tcW w:w="788" w:type="dxa"/>
          </w:tcPr>
          <w:p>
            <w:pPr>
              <w:pStyle w:val="TableParagraph"/>
              <w:spacing w:before="61"/>
              <w:ind w:left="50"/>
              <w:rPr>
                <w:rFonts w:ascii="黑体"/>
                <w:sz w:val="21"/>
              </w:rPr>
            </w:pPr>
            <w:r>
              <w:rPr>
                <w:rFonts w:ascii="黑体"/>
                <w:sz w:val="21"/>
              </w:rPr>
              <w:t>9.7</w:t>
            </w:r>
          </w:p>
        </w:tc>
        <w:tc>
          <w:tcPr>
            <w:tcW w:w="1724" w:type="dxa"/>
          </w:tcPr>
          <w:p>
            <w:pPr>
              <w:pStyle w:val="TableParagraph"/>
              <w:spacing w:before="61"/>
              <w:ind w:left="318"/>
              <w:rPr>
                <w:rFonts w:ascii="黑体" w:eastAsia="黑体" w:hint="eastAsia"/>
                <w:sz w:val="21"/>
              </w:rPr>
            </w:pPr>
            <w:r>
              <w:rPr>
                <w:rFonts w:ascii="黑体" w:eastAsia="黑体" w:hint="eastAsia"/>
                <w:sz w:val="21"/>
              </w:rPr>
              <w:t>机动车</w:t>
            </w:r>
          </w:p>
        </w:tc>
        <w:tc>
          <w:tcPr>
            <w:tcW w:w="7024" w:type="dxa"/>
          </w:tcPr>
          <w:p>
            <w:pPr>
              <w:pStyle w:val="TableParagraph"/>
              <w:spacing w:before="61"/>
              <w:ind w:left="146"/>
              <w:rPr>
                <w:sz w:val="21"/>
              </w:rPr>
            </w:pPr>
            <w:r>
              <w:rPr>
                <w:sz w:val="21"/>
              </w:rPr>
              <w:t>指以动力装置驱动或者牵引，上道路行驶的供人员乘用或者用于运送物品</w:t>
            </w:r>
          </w:p>
        </w:tc>
      </w:tr>
      <w:tr>
        <w:trPr>
          <w:trHeight w:val="390"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以及进行工程专项作业的轮式车辆。</w:t>
            </w:r>
          </w:p>
        </w:tc>
      </w:tr>
      <w:tr>
        <w:trPr>
          <w:trHeight w:val="391" w:hRule="atLeast"/>
        </w:trPr>
        <w:tc>
          <w:tcPr>
            <w:tcW w:w="788" w:type="dxa"/>
          </w:tcPr>
          <w:p>
            <w:pPr>
              <w:pStyle w:val="TableParagraph"/>
              <w:spacing w:before="61"/>
              <w:ind w:left="50"/>
              <w:rPr>
                <w:rFonts w:ascii="黑体"/>
                <w:sz w:val="21"/>
              </w:rPr>
            </w:pPr>
            <w:r>
              <w:rPr>
                <w:rFonts w:ascii="黑体"/>
                <w:sz w:val="21"/>
              </w:rPr>
              <w:t>9.8</w:t>
            </w:r>
          </w:p>
        </w:tc>
        <w:tc>
          <w:tcPr>
            <w:tcW w:w="1724" w:type="dxa"/>
          </w:tcPr>
          <w:p>
            <w:pPr>
              <w:pStyle w:val="TableParagraph"/>
              <w:spacing w:before="61"/>
              <w:ind w:left="318"/>
              <w:rPr>
                <w:rFonts w:ascii="黑体" w:eastAsia="黑体" w:hint="eastAsia"/>
                <w:sz w:val="21"/>
              </w:rPr>
            </w:pPr>
            <w:r>
              <w:rPr>
                <w:rFonts w:ascii="黑体" w:eastAsia="黑体" w:hint="eastAsia"/>
                <w:sz w:val="21"/>
              </w:rPr>
              <w:t>感染艾滋病病</w:t>
            </w:r>
          </w:p>
        </w:tc>
        <w:tc>
          <w:tcPr>
            <w:tcW w:w="7024" w:type="dxa"/>
          </w:tcPr>
          <w:p>
            <w:pPr>
              <w:pStyle w:val="TableParagraph"/>
              <w:spacing w:before="61"/>
              <w:ind w:left="146"/>
              <w:rPr>
                <w:sz w:val="21"/>
              </w:rPr>
            </w:pPr>
            <w:r>
              <w:rPr>
                <w:sz w:val="21"/>
              </w:rPr>
              <w:t>艾滋病病毒指人类免疫缺陷病毒，英文缩写为 HIV。艾滋病指人类免疫缺</w:t>
            </w:r>
          </w:p>
        </w:tc>
      </w:tr>
      <w:tr>
        <w:trPr>
          <w:trHeight w:val="320" w:hRule="atLeast"/>
        </w:trPr>
        <w:tc>
          <w:tcPr>
            <w:tcW w:w="788" w:type="dxa"/>
          </w:tcPr>
          <w:p>
            <w:pPr>
              <w:pStyle w:val="TableParagraph"/>
              <w:rPr>
                <w:rFonts w:ascii="Times New Roman"/>
                <w:sz w:val="20"/>
              </w:rPr>
            </w:pPr>
          </w:p>
        </w:tc>
        <w:tc>
          <w:tcPr>
            <w:tcW w:w="1724" w:type="dxa"/>
          </w:tcPr>
          <w:p>
            <w:pPr>
              <w:pStyle w:val="TableParagraph"/>
              <w:spacing w:line="265" w:lineRule="exact"/>
              <w:ind w:left="318"/>
              <w:rPr>
                <w:rFonts w:ascii="黑体" w:eastAsia="黑体" w:hint="eastAsia"/>
                <w:sz w:val="21"/>
              </w:rPr>
            </w:pPr>
            <w:r>
              <w:rPr>
                <w:rFonts w:ascii="黑体" w:eastAsia="黑体" w:hint="eastAsia"/>
                <w:sz w:val="21"/>
              </w:rPr>
              <w:t>毒或患艾滋病</w:t>
            </w:r>
          </w:p>
        </w:tc>
        <w:tc>
          <w:tcPr>
            <w:tcW w:w="7024" w:type="dxa"/>
          </w:tcPr>
          <w:p>
            <w:pPr>
              <w:pStyle w:val="TableParagraph"/>
              <w:spacing w:line="265" w:lineRule="exact"/>
              <w:ind w:left="146"/>
              <w:rPr>
                <w:sz w:val="21"/>
              </w:rPr>
            </w:pPr>
            <w:r>
              <w:rPr>
                <w:sz w:val="21"/>
              </w:rPr>
              <w:t>陷病毒引起的获得性免疫缺陷综合征，英文缩写为 AIDS。</w:t>
            </w:r>
          </w:p>
        </w:tc>
      </w:tr>
      <w:tr>
        <w:trPr>
          <w:trHeight w:val="319"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在人体血液或其他样本中检测到艾滋病病毒或其抗体呈阳性，没有出现临</w:t>
            </w:r>
          </w:p>
        </w:tc>
      </w:tr>
      <w:tr>
        <w:trPr>
          <w:trHeight w:val="319"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床症状或体征的，为感染艾滋病病毒；如果同时出现了明显临床症状或体</w:t>
            </w:r>
          </w:p>
        </w:tc>
      </w:tr>
      <w:tr>
        <w:trPr>
          <w:trHeight w:val="391"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征的，为患艾滋病。</w:t>
            </w:r>
          </w:p>
        </w:tc>
      </w:tr>
      <w:tr>
        <w:trPr>
          <w:trHeight w:val="391" w:hRule="atLeast"/>
        </w:trPr>
        <w:tc>
          <w:tcPr>
            <w:tcW w:w="788" w:type="dxa"/>
          </w:tcPr>
          <w:p>
            <w:pPr>
              <w:pStyle w:val="TableParagraph"/>
              <w:spacing w:before="61"/>
              <w:ind w:left="50"/>
              <w:rPr>
                <w:rFonts w:ascii="黑体"/>
                <w:sz w:val="21"/>
              </w:rPr>
            </w:pPr>
            <w:r>
              <w:rPr>
                <w:rFonts w:ascii="黑体"/>
                <w:sz w:val="21"/>
              </w:rPr>
              <w:t>9.9</w:t>
            </w:r>
          </w:p>
        </w:tc>
        <w:tc>
          <w:tcPr>
            <w:tcW w:w="1724" w:type="dxa"/>
          </w:tcPr>
          <w:p>
            <w:pPr>
              <w:pStyle w:val="TableParagraph"/>
              <w:spacing w:before="61"/>
              <w:ind w:left="318"/>
              <w:rPr>
                <w:rFonts w:ascii="黑体" w:eastAsia="黑体" w:hint="eastAsia"/>
                <w:sz w:val="21"/>
              </w:rPr>
            </w:pPr>
            <w:r>
              <w:rPr>
                <w:rFonts w:ascii="黑体" w:eastAsia="黑体" w:hint="eastAsia"/>
                <w:sz w:val="21"/>
              </w:rPr>
              <w:t>遗传性疾病</w:t>
            </w:r>
          </w:p>
        </w:tc>
        <w:tc>
          <w:tcPr>
            <w:tcW w:w="7024" w:type="dxa"/>
          </w:tcPr>
          <w:p>
            <w:pPr>
              <w:pStyle w:val="TableParagraph"/>
              <w:spacing w:before="61"/>
              <w:ind w:left="146"/>
              <w:rPr>
                <w:sz w:val="21"/>
              </w:rPr>
            </w:pPr>
            <w:r>
              <w:rPr>
                <w:sz w:val="21"/>
              </w:rPr>
              <w:t>指生殖细胞或受精卵的遗传物质（染色体和基因）发生突变或畸变所引起</w:t>
            </w:r>
          </w:p>
        </w:tc>
      </w:tr>
      <w:tr>
        <w:trPr>
          <w:trHeight w:val="391"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的疾病，通常具有由亲代传至后代的垂直传递的特征。</w:t>
            </w:r>
          </w:p>
        </w:tc>
      </w:tr>
      <w:tr>
        <w:trPr>
          <w:trHeight w:val="390" w:hRule="atLeast"/>
        </w:trPr>
        <w:tc>
          <w:tcPr>
            <w:tcW w:w="788" w:type="dxa"/>
          </w:tcPr>
          <w:p>
            <w:pPr>
              <w:pStyle w:val="TableParagraph"/>
              <w:spacing w:before="61"/>
              <w:ind w:left="50"/>
              <w:rPr>
                <w:rFonts w:ascii="黑体"/>
                <w:sz w:val="21"/>
              </w:rPr>
            </w:pPr>
            <w:r>
              <w:rPr>
                <w:rFonts w:ascii="黑体"/>
                <w:sz w:val="21"/>
              </w:rPr>
              <w:t>9.10</w:t>
            </w:r>
          </w:p>
        </w:tc>
        <w:tc>
          <w:tcPr>
            <w:tcW w:w="1724" w:type="dxa"/>
          </w:tcPr>
          <w:p>
            <w:pPr>
              <w:pStyle w:val="TableParagraph"/>
              <w:spacing w:before="61"/>
              <w:ind w:left="318"/>
              <w:rPr>
                <w:rFonts w:ascii="黑体" w:eastAsia="黑体" w:hint="eastAsia"/>
                <w:sz w:val="21"/>
              </w:rPr>
            </w:pPr>
            <w:r>
              <w:rPr>
                <w:rFonts w:ascii="黑体" w:eastAsia="黑体" w:hint="eastAsia"/>
                <w:sz w:val="21"/>
              </w:rPr>
              <w:t>先天性畸形、</w:t>
            </w:r>
          </w:p>
        </w:tc>
        <w:tc>
          <w:tcPr>
            <w:tcW w:w="7024" w:type="dxa"/>
          </w:tcPr>
          <w:p>
            <w:pPr>
              <w:pStyle w:val="TableParagraph"/>
              <w:spacing w:before="61"/>
              <w:ind w:left="146"/>
              <w:rPr>
                <w:sz w:val="21"/>
              </w:rPr>
            </w:pPr>
            <w:r>
              <w:rPr>
                <w:sz w:val="21"/>
              </w:rPr>
              <w:t>指被保险人出生时就具有的畸形、变形或染色体异常。先天性畸形、变形</w:t>
            </w:r>
          </w:p>
        </w:tc>
      </w:tr>
      <w:tr>
        <w:trPr>
          <w:trHeight w:val="319" w:hRule="atLeast"/>
        </w:trPr>
        <w:tc>
          <w:tcPr>
            <w:tcW w:w="788" w:type="dxa"/>
          </w:tcPr>
          <w:p>
            <w:pPr>
              <w:pStyle w:val="TableParagraph"/>
              <w:rPr>
                <w:rFonts w:ascii="Times New Roman"/>
                <w:sz w:val="20"/>
              </w:rPr>
            </w:pPr>
          </w:p>
        </w:tc>
        <w:tc>
          <w:tcPr>
            <w:tcW w:w="1724" w:type="dxa"/>
          </w:tcPr>
          <w:p>
            <w:pPr>
              <w:pStyle w:val="TableParagraph"/>
              <w:spacing w:line="265" w:lineRule="exact"/>
              <w:ind w:left="318"/>
              <w:rPr>
                <w:rFonts w:ascii="黑体" w:eastAsia="黑体" w:hint="eastAsia"/>
                <w:sz w:val="21"/>
              </w:rPr>
            </w:pPr>
            <w:r>
              <w:rPr>
                <w:rFonts w:ascii="黑体" w:eastAsia="黑体" w:hint="eastAsia"/>
                <w:sz w:val="21"/>
              </w:rPr>
              <w:t>变形或染色体</w:t>
            </w:r>
          </w:p>
        </w:tc>
        <w:tc>
          <w:tcPr>
            <w:tcW w:w="7024" w:type="dxa"/>
          </w:tcPr>
          <w:p>
            <w:pPr>
              <w:pStyle w:val="TableParagraph"/>
              <w:spacing w:line="265" w:lineRule="exact"/>
              <w:ind w:left="146"/>
              <w:rPr>
                <w:sz w:val="21"/>
              </w:rPr>
            </w:pPr>
            <w:r>
              <w:rPr>
                <w:sz w:val="21"/>
              </w:rPr>
              <w:t>和染色体异常依照世界卫生组织《疾病和有关健康问题的国际统计分类》</w:t>
            </w:r>
          </w:p>
        </w:tc>
      </w:tr>
      <w:tr>
        <w:trPr>
          <w:trHeight w:val="391" w:hRule="atLeast"/>
        </w:trPr>
        <w:tc>
          <w:tcPr>
            <w:tcW w:w="788" w:type="dxa"/>
          </w:tcPr>
          <w:p>
            <w:pPr>
              <w:pStyle w:val="TableParagraph"/>
              <w:rPr>
                <w:rFonts w:ascii="Times New Roman"/>
                <w:sz w:val="20"/>
              </w:rPr>
            </w:pPr>
          </w:p>
        </w:tc>
        <w:tc>
          <w:tcPr>
            <w:tcW w:w="1724" w:type="dxa"/>
          </w:tcPr>
          <w:p>
            <w:pPr>
              <w:pStyle w:val="TableParagraph"/>
              <w:spacing w:line="265" w:lineRule="exact"/>
              <w:ind w:left="318"/>
              <w:rPr>
                <w:rFonts w:ascii="黑体" w:eastAsia="黑体" w:hint="eastAsia"/>
                <w:sz w:val="21"/>
              </w:rPr>
            </w:pPr>
            <w:r>
              <w:rPr>
                <w:rFonts w:ascii="黑体" w:eastAsia="黑体" w:hint="eastAsia"/>
                <w:sz w:val="21"/>
              </w:rPr>
              <w:t>异常</w:t>
            </w:r>
          </w:p>
        </w:tc>
        <w:tc>
          <w:tcPr>
            <w:tcW w:w="7024" w:type="dxa"/>
          </w:tcPr>
          <w:p>
            <w:pPr>
              <w:pStyle w:val="TableParagraph"/>
              <w:spacing w:line="265" w:lineRule="exact"/>
              <w:ind w:left="146"/>
              <w:rPr>
                <w:sz w:val="21"/>
              </w:rPr>
            </w:pPr>
            <w:r>
              <w:rPr>
                <w:sz w:val="21"/>
              </w:rPr>
              <w:t>（ICD-10）确定。</w:t>
            </w:r>
          </w:p>
        </w:tc>
      </w:tr>
      <w:tr>
        <w:trPr>
          <w:trHeight w:val="391" w:hRule="atLeast"/>
        </w:trPr>
        <w:tc>
          <w:tcPr>
            <w:tcW w:w="788" w:type="dxa"/>
          </w:tcPr>
          <w:p>
            <w:pPr>
              <w:pStyle w:val="TableParagraph"/>
              <w:spacing w:before="61"/>
              <w:ind w:left="50"/>
              <w:rPr>
                <w:rFonts w:ascii="黑体"/>
                <w:sz w:val="21"/>
              </w:rPr>
            </w:pPr>
            <w:r>
              <w:rPr>
                <w:rFonts w:ascii="黑体"/>
                <w:sz w:val="21"/>
              </w:rPr>
              <w:t>9.11</w:t>
            </w:r>
          </w:p>
        </w:tc>
        <w:tc>
          <w:tcPr>
            <w:tcW w:w="1724" w:type="dxa"/>
          </w:tcPr>
          <w:p>
            <w:pPr>
              <w:pStyle w:val="TableParagraph"/>
              <w:spacing w:before="61"/>
              <w:ind w:left="318"/>
              <w:rPr>
                <w:rFonts w:ascii="黑体" w:eastAsia="黑体" w:hint="eastAsia"/>
                <w:sz w:val="21"/>
              </w:rPr>
            </w:pPr>
            <w:r>
              <w:rPr>
                <w:rFonts w:ascii="黑体" w:eastAsia="黑体" w:hint="eastAsia"/>
                <w:sz w:val="21"/>
              </w:rPr>
              <w:t>现金价值</w:t>
            </w:r>
          </w:p>
        </w:tc>
        <w:tc>
          <w:tcPr>
            <w:tcW w:w="7024" w:type="dxa"/>
          </w:tcPr>
          <w:p>
            <w:pPr>
              <w:pStyle w:val="TableParagraph"/>
              <w:spacing w:before="61"/>
              <w:ind w:left="146"/>
              <w:rPr>
                <w:sz w:val="21"/>
              </w:rPr>
            </w:pPr>
            <w:r>
              <w:rPr>
                <w:sz w:val="21"/>
              </w:rPr>
              <w:t>指保险单所具有的价值，通常体现为解除合同时，根据精算原理计算的，</w:t>
            </w:r>
          </w:p>
        </w:tc>
      </w:tr>
      <w:tr>
        <w:trPr>
          <w:trHeight w:val="319"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由本公司退还的那部分金额。本附加险合同保险单的现金价值见本附加险</w:t>
            </w:r>
          </w:p>
        </w:tc>
      </w:tr>
      <w:tr>
        <w:trPr>
          <w:trHeight w:val="390"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合同相应栏目。</w:t>
            </w:r>
          </w:p>
        </w:tc>
      </w:tr>
      <w:tr>
        <w:trPr>
          <w:trHeight w:val="391" w:hRule="atLeast"/>
        </w:trPr>
        <w:tc>
          <w:tcPr>
            <w:tcW w:w="788" w:type="dxa"/>
          </w:tcPr>
          <w:p>
            <w:pPr>
              <w:pStyle w:val="TableParagraph"/>
              <w:spacing w:before="61"/>
              <w:ind w:left="50"/>
              <w:rPr>
                <w:rFonts w:ascii="黑体"/>
                <w:sz w:val="21"/>
              </w:rPr>
            </w:pPr>
            <w:r>
              <w:rPr>
                <w:rFonts w:ascii="黑体"/>
                <w:sz w:val="21"/>
              </w:rPr>
              <w:t>9.12</w:t>
            </w:r>
          </w:p>
        </w:tc>
        <w:tc>
          <w:tcPr>
            <w:tcW w:w="1724" w:type="dxa"/>
          </w:tcPr>
          <w:p>
            <w:pPr>
              <w:pStyle w:val="TableParagraph"/>
              <w:spacing w:before="61"/>
              <w:ind w:left="318"/>
              <w:rPr>
                <w:rFonts w:ascii="黑体" w:eastAsia="黑体" w:hint="eastAsia"/>
                <w:sz w:val="21"/>
              </w:rPr>
            </w:pPr>
            <w:r>
              <w:rPr>
                <w:rFonts w:ascii="黑体" w:eastAsia="黑体" w:hint="eastAsia"/>
                <w:sz w:val="21"/>
              </w:rPr>
              <w:t>有效身份证件</w:t>
            </w:r>
          </w:p>
        </w:tc>
        <w:tc>
          <w:tcPr>
            <w:tcW w:w="7024" w:type="dxa"/>
          </w:tcPr>
          <w:p>
            <w:pPr>
              <w:pStyle w:val="TableParagraph"/>
              <w:spacing w:before="61"/>
              <w:ind w:left="146"/>
              <w:rPr>
                <w:sz w:val="21"/>
              </w:rPr>
            </w:pPr>
            <w:r>
              <w:rPr>
                <w:sz w:val="21"/>
              </w:rPr>
              <w:t>指由政府主管部门规定的证明其身份的证件，如：居民身份证、按规定可</w:t>
            </w:r>
          </w:p>
        </w:tc>
      </w:tr>
      <w:tr>
        <w:trPr>
          <w:trHeight w:val="391"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使用的有效护照、军官证、警官证、士兵证、户口簿等证件。</w:t>
            </w:r>
          </w:p>
        </w:tc>
      </w:tr>
      <w:tr>
        <w:trPr>
          <w:trHeight w:val="391" w:hRule="atLeast"/>
        </w:trPr>
        <w:tc>
          <w:tcPr>
            <w:tcW w:w="788" w:type="dxa"/>
          </w:tcPr>
          <w:p>
            <w:pPr>
              <w:pStyle w:val="TableParagraph"/>
              <w:spacing w:before="61"/>
              <w:ind w:left="50"/>
              <w:rPr>
                <w:rFonts w:ascii="黑体"/>
                <w:sz w:val="21"/>
              </w:rPr>
            </w:pPr>
            <w:r>
              <w:rPr>
                <w:rFonts w:ascii="黑体"/>
                <w:sz w:val="21"/>
              </w:rPr>
              <w:t>9.13</w:t>
            </w:r>
          </w:p>
        </w:tc>
        <w:tc>
          <w:tcPr>
            <w:tcW w:w="1724" w:type="dxa"/>
          </w:tcPr>
          <w:p>
            <w:pPr>
              <w:pStyle w:val="TableParagraph"/>
              <w:spacing w:before="61"/>
              <w:ind w:left="318"/>
              <w:rPr>
                <w:rFonts w:ascii="黑体" w:eastAsia="黑体" w:hint="eastAsia"/>
                <w:sz w:val="21"/>
              </w:rPr>
            </w:pPr>
            <w:r>
              <w:rPr>
                <w:rFonts w:ascii="黑体" w:eastAsia="黑体" w:hint="eastAsia"/>
                <w:sz w:val="21"/>
              </w:rPr>
              <w:t>情形复杂</w:t>
            </w:r>
          </w:p>
        </w:tc>
        <w:tc>
          <w:tcPr>
            <w:tcW w:w="7024" w:type="dxa"/>
          </w:tcPr>
          <w:p>
            <w:pPr>
              <w:pStyle w:val="TableParagraph"/>
              <w:spacing w:before="61"/>
              <w:ind w:left="146"/>
              <w:rPr>
                <w:sz w:val="21"/>
              </w:rPr>
            </w:pPr>
            <w:r>
              <w:rPr>
                <w:sz w:val="21"/>
              </w:rPr>
              <w:t>指保险事故的性质、原因、伤害或损失程度等在本公司收到保险金给付申</w:t>
            </w:r>
          </w:p>
        </w:tc>
      </w:tr>
      <w:tr>
        <w:trPr>
          <w:trHeight w:val="391"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pacing w:val="-4"/>
                <w:sz w:val="21"/>
              </w:rPr>
              <w:t>请书及合同约定的证明和资料后 </w:t>
            </w:r>
            <w:r>
              <w:rPr>
                <w:sz w:val="21"/>
              </w:rPr>
              <w:t>5</w:t>
            </w:r>
            <w:r>
              <w:rPr>
                <w:spacing w:val="-14"/>
                <w:sz w:val="21"/>
              </w:rPr>
              <w:t> 个工作日内无法确定，需要进一步核实。</w:t>
            </w:r>
          </w:p>
        </w:tc>
      </w:tr>
      <w:tr>
        <w:trPr>
          <w:trHeight w:val="390" w:hRule="atLeast"/>
        </w:trPr>
        <w:tc>
          <w:tcPr>
            <w:tcW w:w="788" w:type="dxa"/>
          </w:tcPr>
          <w:p>
            <w:pPr>
              <w:pStyle w:val="TableParagraph"/>
              <w:spacing w:before="61"/>
              <w:ind w:left="50"/>
              <w:rPr>
                <w:rFonts w:ascii="黑体"/>
                <w:sz w:val="21"/>
              </w:rPr>
            </w:pPr>
            <w:r>
              <w:rPr>
                <w:rFonts w:ascii="黑体"/>
                <w:sz w:val="21"/>
              </w:rPr>
              <w:t>9.14</w:t>
            </w:r>
          </w:p>
        </w:tc>
        <w:tc>
          <w:tcPr>
            <w:tcW w:w="1724" w:type="dxa"/>
          </w:tcPr>
          <w:p>
            <w:pPr>
              <w:pStyle w:val="TableParagraph"/>
              <w:spacing w:before="61"/>
              <w:ind w:left="318"/>
              <w:rPr>
                <w:rFonts w:ascii="黑体" w:eastAsia="黑体" w:hint="eastAsia"/>
                <w:sz w:val="21"/>
              </w:rPr>
            </w:pPr>
            <w:r>
              <w:rPr>
                <w:rFonts w:ascii="黑体" w:eastAsia="黑体" w:hint="eastAsia"/>
                <w:sz w:val="21"/>
              </w:rPr>
              <w:t>专科医Th</w:t>
            </w:r>
          </w:p>
        </w:tc>
        <w:tc>
          <w:tcPr>
            <w:tcW w:w="7024" w:type="dxa"/>
          </w:tcPr>
          <w:p>
            <w:pPr>
              <w:pStyle w:val="TableParagraph"/>
              <w:spacing w:before="61"/>
              <w:ind w:left="146"/>
              <w:rPr>
                <w:sz w:val="21"/>
              </w:rPr>
            </w:pPr>
            <w:r>
              <w:rPr>
                <w:sz w:val="21"/>
              </w:rPr>
              <w:t>专科医生应当同时满足以下四项资格条件：</w:t>
            </w:r>
          </w:p>
        </w:tc>
      </w:tr>
      <w:tr>
        <w:trPr>
          <w:trHeight w:val="319"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(1)具有有效的中华人民共和国《医师资格证书》；</w:t>
            </w:r>
          </w:p>
        </w:tc>
      </w:tr>
      <w:tr>
        <w:trPr>
          <w:trHeight w:val="585" w:hRule="atLeast"/>
        </w:trPr>
        <w:tc>
          <w:tcPr>
            <w:tcW w:w="788" w:type="dxa"/>
          </w:tcPr>
          <w:p>
            <w:pPr>
              <w:pStyle w:val="TableParagraph"/>
              <w:rPr>
                <w:rFonts w:ascii="Times New Roman"/>
                <w:sz w:val="20"/>
              </w:rPr>
            </w:pPr>
          </w:p>
        </w:tc>
        <w:tc>
          <w:tcPr>
            <w:tcW w:w="1724" w:type="dxa"/>
          </w:tcPr>
          <w:p>
            <w:pPr>
              <w:pStyle w:val="TableParagraph"/>
              <w:rPr>
                <w:rFonts w:ascii="Times New Roman"/>
                <w:sz w:val="20"/>
              </w:rPr>
            </w:pPr>
          </w:p>
        </w:tc>
        <w:tc>
          <w:tcPr>
            <w:tcW w:w="7024" w:type="dxa"/>
          </w:tcPr>
          <w:p>
            <w:pPr>
              <w:pStyle w:val="TableParagraph"/>
              <w:spacing w:line="265" w:lineRule="exact"/>
              <w:ind w:left="146"/>
              <w:rPr>
                <w:sz w:val="21"/>
              </w:rPr>
            </w:pPr>
            <w:r>
              <w:rPr>
                <w:sz w:val="21"/>
              </w:rPr>
              <w:t>(2)具有有效的中华人民共和国《医师执业证书》，并按期到相关部门登记</w:t>
            </w:r>
          </w:p>
          <w:p>
            <w:pPr>
              <w:pStyle w:val="TableParagraph"/>
              <w:spacing w:line="255" w:lineRule="exact" w:before="45"/>
              <w:ind w:left="462"/>
              <w:rPr>
                <w:sz w:val="21"/>
              </w:rPr>
            </w:pPr>
            <w:r>
              <w:rPr>
                <w:sz w:val="21"/>
              </w:rPr>
              <w:t>注册；</w:t>
            </w:r>
          </w:p>
        </w:tc>
      </w:tr>
    </w:tbl>
    <w:p>
      <w:pPr>
        <w:pStyle w:val="BodyText"/>
        <w:spacing w:line="280" w:lineRule="auto" w:before="45"/>
        <w:ind w:left="3074" w:right="268" w:hanging="316"/>
      </w:pPr>
      <w:r>
        <w:rPr/>
        <w:t>(3)具有有效的中华人民共和国主治医师或主治医师以上职称的《医师职称证书》；</w:t>
      </w:r>
    </w:p>
    <w:p>
      <w:pPr>
        <w:pStyle w:val="BodyText"/>
        <w:spacing w:before="9"/>
        <w:ind w:left="2758"/>
      </w:pPr>
      <w:r>
        <w:rPr/>
        <w:t>(4)在二级或二级以上医院的相应科室从事临床工作三年以上。</w:t>
      </w:r>
    </w:p>
    <w:p>
      <w:pPr>
        <w:pStyle w:val="BodyText"/>
        <w:spacing w:before="3"/>
        <w:rPr>
          <w:sz w:val="14"/>
        </w:rPr>
      </w:pPr>
    </w:p>
    <w:p>
      <w:pPr>
        <w:pStyle w:val="ListParagraph"/>
        <w:numPr>
          <w:ilvl w:val="1"/>
          <w:numId w:val="17"/>
        </w:numPr>
        <w:tabs>
          <w:tab w:pos="1205" w:val="left" w:leader="none"/>
          <w:tab w:pos="1207" w:val="left" w:leader="none"/>
          <w:tab w:pos="2758" w:val="left" w:leader="none"/>
        </w:tabs>
        <w:spacing w:line="278" w:lineRule="auto" w:before="0" w:after="0"/>
        <w:ind w:left="2758" w:right="268" w:hanging="2608"/>
        <w:jc w:val="left"/>
        <w:rPr>
          <w:sz w:val="21"/>
        </w:rPr>
      </w:pPr>
      <w:r>
        <w:rPr>
          <w:rFonts w:ascii="黑体" w:eastAsia="黑体" w:hint="eastAsia"/>
          <w:sz w:val="21"/>
        </w:rPr>
        <w:t>永久不可逆</w:t>
        <w:tab/>
      </w:r>
      <w:r>
        <w:rPr>
          <w:sz w:val="21"/>
        </w:rPr>
        <w:t>指自疾病确诊或意外伤害发生之日起</w:t>
      </w:r>
      <w:r>
        <w:rPr>
          <w:spacing w:val="-3"/>
          <w:sz w:val="21"/>
        </w:rPr>
        <w:t>，</w:t>
      </w:r>
      <w:r>
        <w:rPr>
          <w:sz w:val="21"/>
        </w:rPr>
        <w:t>经过积极治疗</w:t>
      </w:r>
      <w:r>
        <w:rPr>
          <w:spacing w:val="-53"/>
          <w:sz w:val="21"/>
        </w:rPr>
        <w:t> </w:t>
      </w:r>
      <w:r>
        <w:rPr>
          <w:sz w:val="21"/>
        </w:rPr>
        <w:t>180</w:t>
      </w:r>
      <w:r>
        <w:rPr>
          <w:spacing w:val="-53"/>
          <w:sz w:val="21"/>
        </w:rPr>
        <w:t> </w:t>
      </w:r>
      <w:r>
        <w:rPr>
          <w:sz w:val="21"/>
        </w:rPr>
        <w:t>天后</w:t>
      </w:r>
      <w:r>
        <w:rPr>
          <w:spacing w:val="-3"/>
          <w:sz w:val="21"/>
        </w:rPr>
        <w:t>，</w:t>
      </w:r>
      <w:r>
        <w:rPr>
          <w:sz w:val="21"/>
        </w:rPr>
        <w:t>仍无法通过现有医疗手段恢复。</w:t>
      </w:r>
    </w:p>
    <w:p>
      <w:pPr>
        <w:pStyle w:val="ListParagraph"/>
        <w:numPr>
          <w:ilvl w:val="1"/>
          <w:numId w:val="17"/>
        </w:numPr>
        <w:tabs>
          <w:tab w:pos="1205" w:val="left" w:leader="none"/>
          <w:tab w:pos="1207" w:val="left" w:leader="none"/>
          <w:tab w:pos="2758" w:val="left" w:leader="none"/>
        </w:tabs>
        <w:spacing w:line="240" w:lineRule="auto" w:before="153" w:after="0"/>
        <w:ind w:left="2758" w:right="0" w:hanging="2608"/>
        <w:jc w:val="left"/>
        <w:rPr>
          <w:sz w:val="21"/>
        </w:rPr>
      </w:pPr>
      <w:r>
        <w:rPr>
          <w:rFonts w:ascii="黑体" w:eastAsia="黑体" w:hint="eastAsia"/>
          <w:sz w:val="21"/>
        </w:rPr>
        <w:t>六项基本日常</w:t>
        <w:tab/>
      </w:r>
      <w:r>
        <w:rPr>
          <w:sz w:val="21"/>
        </w:rPr>
        <w:t>六项基本日常生活活动是指：</w:t>
      </w:r>
    </w:p>
    <w:p>
      <w:pPr>
        <w:spacing w:after="0" w:line="240" w:lineRule="auto"/>
        <w:jc w:val="left"/>
        <w:rPr>
          <w:sz w:val="21"/>
        </w:rPr>
        <w:sectPr>
          <w:pgSz w:w="11910" w:h="16840"/>
          <w:pgMar w:top="1600" w:bottom="280" w:left="114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24"/>
        <w:gridCol w:w="6916"/>
      </w:tblGrid>
      <w:tr>
        <w:trPr>
          <w:trHeight w:val="2184" w:hRule="atLeast"/>
        </w:trPr>
        <w:tc>
          <w:tcPr>
            <w:tcW w:w="78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1"/>
              </w:rPr>
            </w:pPr>
          </w:p>
          <w:p>
            <w:pPr>
              <w:pStyle w:val="TableParagraph"/>
              <w:ind w:left="50"/>
              <w:rPr>
                <w:rFonts w:ascii="黑体"/>
                <w:sz w:val="21"/>
              </w:rPr>
            </w:pPr>
            <w:r>
              <w:rPr>
                <w:rFonts w:ascii="黑体"/>
                <w:sz w:val="21"/>
              </w:rPr>
              <w:t>9.17</w:t>
            </w:r>
          </w:p>
        </w:tc>
        <w:tc>
          <w:tcPr>
            <w:tcW w:w="1724" w:type="dxa"/>
          </w:tcPr>
          <w:p>
            <w:pPr>
              <w:pStyle w:val="TableParagraph"/>
              <w:spacing w:line="204" w:lineRule="exact"/>
              <w:ind w:left="318"/>
              <w:rPr>
                <w:rFonts w:ascii="黑体" w:eastAsia="黑体" w:hint="eastAsia"/>
                <w:sz w:val="21"/>
              </w:rPr>
            </w:pPr>
            <w:r>
              <w:rPr>
                <w:rFonts w:ascii="黑体" w:eastAsia="黑体" w:hint="eastAsia"/>
                <w:sz w:val="21"/>
              </w:rPr>
              <w:t>Th活活动</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5"/>
              </w:rPr>
            </w:pPr>
          </w:p>
          <w:p>
            <w:pPr>
              <w:pStyle w:val="TableParagraph"/>
              <w:ind w:left="318"/>
              <w:rPr>
                <w:rFonts w:ascii="黑体" w:eastAsia="黑体" w:hint="eastAsia"/>
                <w:sz w:val="21"/>
              </w:rPr>
            </w:pPr>
            <w:r>
              <w:rPr>
                <w:rFonts w:ascii="黑体" w:eastAsia="黑体" w:hint="eastAsia"/>
                <w:sz w:val="21"/>
              </w:rPr>
              <w:t>肢体机能完全</w:t>
            </w:r>
          </w:p>
        </w:tc>
        <w:tc>
          <w:tcPr>
            <w:tcW w:w="6916" w:type="dxa"/>
          </w:tcPr>
          <w:p>
            <w:pPr>
              <w:pStyle w:val="TableParagraph"/>
              <w:spacing w:line="204" w:lineRule="exact"/>
              <w:ind w:left="146"/>
              <w:rPr>
                <w:sz w:val="21"/>
              </w:rPr>
            </w:pPr>
            <w:r>
              <w:rPr>
                <w:sz w:val="21"/>
              </w:rPr>
              <w:t>(1)穿衣：自己能够穿衣及脱衣；</w:t>
            </w:r>
          </w:p>
          <w:p>
            <w:pPr>
              <w:pStyle w:val="TableParagraph"/>
              <w:spacing w:line="278" w:lineRule="auto" w:before="44"/>
              <w:ind w:left="146" w:right="1622"/>
              <w:rPr>
                <w:sz w:val="21"/>
              </w:rPr>
            </w:pPr>
            <w:r>
              <w:rPr>
                <w:sz w:val="21"/>
              </w:rPr>
              <w:t>(2)移动：自己从一个房间到另一个房间；          (3)行动：自己上下床或上下轮椅；                (4)如厕：自己控制进行大小便；                  </w:t>
            </w:r>
            <w:r>
              <w:rPr>
                <w:spacing w:val="-1"/>
                <w:sz w:val="21"/>
              </w:rPr>
              <w:t>(5)进食：自己从已准备好的碗或碟中取食物放入口中； (6)洗澡：自己进行淋浴或盆浴。</w:t>
            </w:r>
          </w:p>
          <w:p>
            <w:pPr>
              <w:pStyle w:val="TableParagraph"/>
              <w:spacing w:before="11"/>
              <w:ind w:left="146"/>
              <w:rPr>
                <w:sz w:val="21"/>
              </w:rPr>
            </w:pPr>
            <w:r>
              <w:rPr>
                <w:sz w:val="21"/>
              </w:rPr>
              <w:t>指肢体的三大关节中的两大关节僵硬，或不能随意识活动。肢体是指包括</w:t>
            </w:r>
          </w:p>
        </w:tc>
      </w:tr>
      <w:tr>
        <w:trPr>
          <w:trHeight w:val="390" w:hRule="atLeast"/>
        </w:trPr>
        <w:tc>
          <w:tcPr>
            <w:tcW w:w="788" w:type="dxa"/>
          </w:tcPr>
          <w:p>
            <w:pPr>
              <w:pStyle w:val="TableParagraph"/>
              <w:rPr>
                <w:rFonts w:ascii="Times New Roman"/>
                <w:sz w:val="20"/>
              </w:rPr>
            </w:pPr>
          </w:p>
        </w:tc>
        <w:tc>
          <w:tcPr>
            <w:tcW w:w="1724" w:type="dxa"/>
          </w:tcPr>
          <w:p>
            <w:pPr>
              <w:pStyle w:val="TableParagraph"/>
              <w:spacing w:line="258" w:lineRule="exact"/>
              <w:ind w:left="318"/>
              <w:rPr>
                <w:rFonts w:ascii="黑体" w:eastAsia="黑体" w:hint="eastAsia"/>
                <w:sz w:val="21"/>
              </w:rPr>
            </w:pPr>
            <w:r>
              <w:rPr>
                <w:rFonts w:ascii="黑体" w:eastAsia="黑体" w:hint="eastAsia"/>
                <w:sz w:val="21"/>
              </w:rPr>
              <w:t>丧失</w:t>
            </w:r>
          </w:p>
        </w:tc>
        <w:tc>
          <w:tcPr>
            <w:tcW w:w="6916" w:type="dxa"/>
          </w:tcPr>
          <w:p>
            <w:pPr>
              <w:pStyle w:val="TableParagraph"/>
              <w:spacing w:line="258" w:lineRule="exact"/>
              <w:ind w:left="146"/>
              <w:rPr>
                <w:sz w:val="21"/>
              </w:rPr>
            </w:pPr>
            <w:r>
              <w:rPr>
                <w:sz w:val="21"/>
              </w:rPr>
              <w:t>肩关节的整个上肢或包括髋关节的整个下肢。</w:t>
            </w:r>
          </w:p>
        </w:tc>
      </w:tr>
      <w:tr>
        <w:trPr>
          <w:trHeight w:val="1616" w:hRule="atLeast"/>
        </w:trPr>
        <w:tc>
          <w:tcPr>
            <w:tcW w:w="788" w:type="dxa"/>
          </w:tcPr>
          <w:p>
            <w:pPr>
              <w:pStyle w:val="TableParagraph"/>
              <w:spacing w:before="54"/>
              <w:ind w:left="50"/>
              <w:rPr>
                <w:rFonts w:ascii="黑体"/>
                <w:sz w:val="21"/>
              </w:rPr>
            </w:pPr>
            <w:r>
              <w:rPr>
                <w:rFonts w:ascii="黑体"/>
                <w:sz w:val="21"/>
              </w:rPr>
              <w:t>9.18</w:t>
            </w:r>
          </w:p>
        </w:tc>
        <w:tc>
          <w:tcPr>
            <w:tcW w:w="1724" w:type="dxa"/>
          </w:tcPr>
          <w:p>
            <w:pPr>
              <w:pStyle w:val="TableParagraph"/>
              <w:spacing w:line="280" w:lineRule="auto" w:before="54"/>
              <w:ind w:left="318" w:right="143"/>
              <w:jc w:val="both"/>
              <w:rPr>
                <w:rFonts w:ascii="黑体" w:eastAsia="黑体" w:hint="eastAsia"/>
                <w:sz w:val="21"/>
              </w:rPr>
            </w:pPr>
            <w:r>
              <w:rPr>
                <w:rFonts w:ascii="黑体" w:eastAsia="黑体" w:hint="eastAsia"/>
                <w:sz w:val="21"/>
              </w:rPr>
              <w:t>语言能力或咀嚼吞咽能力完全丧失</w:t>
            </w:r>
          </w:p>
        </w:tc>
        <w:tc>
          <w:tcPr>
            <w:tcW w:w="6916" w:type="dxa"/>
          </w:tcPr>
          <w:p>
            <w:pPr>
              <w:pStyle w:val="TableParagraph"/>
              <w:spacing w:line="280" w:lineRule="auto" w:before="54"/>
              <w:ind w:left="146" w:right="50"/>
              <w:jc w:val="both"/>
              <w:rPr>
                <w:sz w:val="21"/>
              </w:rPr>
            </w:pPr>
            <w:r>
              <w:rPr>
                <w:spacing w:val="-1"/>
                <w:sz w:val="21"/>
              </w:rPr>
              <w:t>语言能力完全丧失，指无法发出四种语音</w:t>
            </w:r>
            <w:r>
              <w:rPr>
                <w:sz w:val="21"/>
              </w:rPr>
              <w:t>（包括口唇音、齿舌音、口盖音</w:t>
            </w:r>
            <w:r>
              <w:rPr>
                <w:spacing w:val="-1"/>
                <w:sz w:val="21"/>
              </w:rPr>
              <w:t>和喉头音</w:t>
            </w:r>
            <w:r>
              <w:rPr>
                <w:sz w:val="21"/>
              </w:rPr>
              <w:t>）中的任何三种、或声带全部切除，或因大脑语言中枢受伤害而患失语症。</w:t>
            </w:r>
          </w:p>
          <w:p>
            <w:pPr>
              <w:pStyle w:val="TableParagraph"/>
              <w:spacing w:before="8"/>
              <w:ind w:left="146"/>
              <w:jc w:val="both"/>
              <w:rPr>
                <w:sz w:val="21"/>
              </w:rPr>
            </w:pPr>
            <w:r>
              <w:rPr>
                <w:sz w:val="21"/>
              </w:rPr>
              <w:t>咀嚼吞咽能力完全丧失，指因牙齿以外的原因导致器质障碍或机能障碍，</w:t>
            </w:r>
          </w:p>
          <w:p>
            <w:pPr>
              <w:pStyle w:val="TableParagraph"/>
              <w:spacing w:line="261" w:lineRule="exact" w:before="45"/>
              <w:ind w:left="146"/>
              <w:jc w:val="both"/>
              <w:rPr>
                <w:sz w:val="21"/>
              </w:rPr>
            </w:pPr>
            <w:r>
              <w:rPr>
                <w:sz w:val="21"/>
              </w:rPr>
              <w:t>以致不能作咀嚼吞咽运动，除流质食物外不能摄取或吞咽的状态。</w:t>
            </w:r>
          </w:p>
        </w:tc>
      </w:tr>
    </w:tbl>
    <w:sectPr>
      <w:pgSz w:w="11910" w:h="16840"/>
      <w:pgMar w:top="1500" w:bottom="280" w:left="11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9"/>
      <w:numFmt w:val="decimal"/>
      <w:lvlText w:val="%1"/>
      <w:lvlJc w:val="left"/>
      <w:pPr>
        <w:ind w:left="2758" w:hanging="1057"/>
        <w:jc w:val="left"/>
      </w:pPr>
      <w:rPr>
        <w:rFonts w:hint="default"/>
      </w:rPr>
    </w:lvl>
    <w:lvl w:ilvl="1">
      <w:start w:val="15"/>
      <w:numFmt w:val="decimal"/>
      <w:lvlText w:val="%1.%2"/>
      <w:lvlJc w:val="left"/>
      <w:pPr>
        <w:ind w:left="2758" w:hanging="1057"/>
        <w:jc w:val="left"/>
      </w:pPr>
      <w:rPr>
        <w:rFonts w:hint="default" w:ascii="黑体" w:hAnsi="黑体" w:eastAsia="黑体" w:cs="黑体"/>
        <w:spacing w:val="-53"/>
        <w:w w:val="100"/>
        <w:sz w:val="21"/>
        <w:szCs w:val="21"/>
      </w:rPr>
    </w:lvl>
    <w:lvl w:ilvl="2">
      <w:start w:val="0"/>
      <w:numFmt w:val="bullet"/>
      <w:lvlText w:val="•"/>
      <w:lvlJc w:val="left"/>
      <w:pPr>
        <w:ind w:left="4156" w:hanging="1057"/>
      </w:pPr>
      <w:rPr>
        <w:rFonts w:hint="default"/>
      </w:rPr>
    </w:lvl>
    <w:lvl w:ilvl="3">
      <w:start w:val="0"/>
      <w:numFmt w:val="bullet"/>
      <w:lvlText w:val="•"/>
      <w:lvlJc w:val="left"/>
      <w:pPr>
        <w:ind w:left="4855" w:hanging="1057"/>
      </w:pPr>
      <w:rPr>
        <w:rFonts w:hint="default"/>
      </w:rPr>
    </w:lvl>
    <w:lvl w:ilvl="4">
      <w:start w:val="0"/>
      <w:numFmt w:val="bullet"/>
      <w:lvlText w:val="•"/>
      <w:lvlJc w:val="left"/>
      <w:pPr>
        <w:ind w:left="5553" w:hanging="1057"/>
      </w:pPr>
      <w:rPr>
        <w:rFonts w:hint="default"/>
      </w:rPr>
    </w:lvl>
    <w:lvl w:ilvl="5">
      <w:start w:val="0"/>
      <w:numFmt w:val="bullet"/>
      <w:lvlText w:val="•"/>
      <w:lvlJc w:val="left"/>
      <w:pPr>
        <w:ind w:left="6252" w:hanging="1057"/>
      </w:pPr>
      <w:rPr>
        <w:rFonts w:hint="default"/>
      </w:rPr>
    </w:lvl>
    <w:lvl w:ilvl="6">
      <w:start w:val="0"/>
      <w:numFmt w:val="bullet"/>
      <w:lvlText w:val="•"/>
      <w:lvlJc w:val="left"/>
      <w:pPr>
        <w:ind w:left="6950" w:hanging="1057"/>
      </w:pPr>
      <w:rPr>
        <w:rFonts w:hint="default"/>
      </w:rPr>
    </w:lvl>
    <w:lvl w:ilvl="7">
      <w:start w:val="0"/>
      <w:numFmt w:val="bullet"/>
      <w:lvlText w:val="•"/>
      <w:lvlJc w:val="left"/>
      <w:pPr>
        <w:ind w:left="7649" w:hanging="1057"/>
      </w:pPr>
      <w:rPr>
        <w:rFonts w:hint="default"/>
      </w:rPr>
    </w:lvl>
    <w:lvl w:ilvl="8">
      <w:start w:val="0"/>
      <w:numFmt w:val="bullet"/>
      <w:lvlText w:val="•"/>
      <w:lvlJc w:val="left"/>
      <w:pPr>
        <w:ind w:left="8347" w:hanging="1057"/>
      </w:pPr>
      <w:rPr>
        <w:rFonts w:hint="default"/>
      </w:rPr>
    </w:lvl>
  </w:abstractNum>
  <w:abstractNum w:abstractNumId="15">
    <w:multiLevelType w:val="hybridMultilevel"/>
    <w:lvl w:ilvl="0">
      <w:start w:val="9"/>
      <w:numFmt w:val="decimal"/>
      <w:lvlText w:val="%1"/>
      <w:lvlJc w:val="left"/>
      <w:pPr>
        <w:ind w:left="2818" w:hanging="1057"/>
        <w:jc w:val="left"/>
      </w:pPr>
      <w:rPr>
        <w:rFonts w:hint="default"/>
      </w:rPr>
    </w:lvl>
    <w:lvl w:ilvl="1">
      <w:start w:val="1"/>
      <w:numFmt w:val="decimal"/>
      <w:lvlText w:val="%1.%2"/>
      <w:lvlJc w:val="left"/>
      <w:pPr>
        <w:ind w:left="2818" w:hanging="1057"/>
        <w:jc w:val="left"/>
      </w:pPr>
      <w:rPr>
        <w:rFonts w:hint="default" w:ascii="黑体" w:hAnsi="黑体" w:eastAsia="黑体" w:cs="黑体"/>
        <w:spacing w:val="-2"/>
        <w:w w:val="100"/>
        <w:sz w:val="21"/>
        <w:szCs w:val="21"/>
      </w:rPr>
    </w:lvl>
    <w:lvl w:ilvl="2">
      <w:start w:val="0"/>
      <w:numFmt w:val="bullet"/>
      <w:lvlText w:val="•"/>
      <w:lvlJc w:val="left"/>
      <w:pPr>
        <w:ind w:left="4204" w:hanging="1057"/>
      </w:pPr>
      <w:rPr>
        <w:rFonts w:hint="default"/>
      </w:rPr>
    </w:lvl>
    <w:lvl w:ilvl="3">
      <w:start w:val="0"/>
      <w:numFmt w:val="bullet"/>
      <w:lvlText w:val="•"/>
      <w:lvlJc w:val="left"/>
      <w:pPr>
        <w:ind w:left="4897" w:hanging="1057"/>
      </w:pPr>
      <w:rPr>
        <w:rFonts w:hint="default"/>
      </w:rPr>
    </w:lvl>
    <w:lvl w:ilvl="4">
      <w:start w:val="0"/>
      <w:numFmt w:val="bullet"/>
      <w:lvlText w:val="•"/>
      <w:lvlJc w:val="left"/>
      <w:pPr>
        <w:ind w:left="5589" w:hanging="1057"/>
      </w:pPr>
      <w:rPr>
        <w:rFonts w:hint="default"/>
      </w:rPr>
    </w:lvl>
    <w:lvl w:ilvl="5">
      <w:start w:val="0"/>
      <w:numFmt w:val="bullet"/>
      <w:lvlText w:val="•"/>
      <w:lvlJc w:val="left"/>
      <w:pPr>
        <w:ind w:left="6282" w:hanging="1057"/>
      </w:pPr>
      <w:rPr>
        <w:rFonts w:hint="default"/>
      </w:rPr>
    </w:lvl>
    <w:lvl w:ilvl="6">
      <w:start w:val="0"/>
      <w:numFmt w:val="bullet"/>
      <w:lvlText w:val="•"/>
      <w:lvlJc w:val="left"/>
      <w:pPr>
        <w:ind w:left="6974" w:hanging="1057"/>
      </w:pPr>
      <w:rPr>
        <w:rFonts w:hint="default"/>
      </w:rPr>
    </w:lvl>
    <w:lvl w:ilvl="7">
      <w:start w:val="0"/>
      <w:numFmt w:val="bullet"/>
      <w:lvlText w:val="•"/>
      <w:lvlJc w:val="left"/>
      <w:pPr>
        <w:ind w:left="7667" w:hanging="1057"/>
      </w:pPr>
      <w:rPr>
        <w:rFonts w:hint="default"/>
      </w:rPr>
    </w:lvl>
    <w:lvl w:ilvl="8">
      <w:start w:val="0"/>
      <w:numFmt w:val="bullet"/>
      <w:lvlText w:val="•"/>
      <w:lvlJc w:val="left"/>
      <w:pPr>
        <w:ind w:left="8359" w:hanging="1057"/>
      </w:pPr>
      <w:rPr>
        <w:rFonts w:hint="default"/>
      </w:rPr>
    </w:lvl>
  </w:abstractNum>
  <w:abstractNum w:abstractNumId="14">
    <w:multiLevelType w:val="hybridMultilevel"/>
    <w:lvl w:ilvl="0">
      <w:start w:val="8"/>
      <w:numFmt w:val="decimal"/>
      <w:lvlText w:val="%1"/>
      <w:lvlJc w:val="left"/>
      <w:pPr>
        <w:ind w:left="1166" w:hanging="1057"/>
        <w:jc w:val="left"/>
      </w:pPr>
      <w:rPr>
        <w:rFonts w:hint="default"/>
      </w:rPr>
    </w:lvl>
    <w:lvl w:ilvl="1">
      <w:start w:val="1"/>
      <w:numFmt w:val="decimal"/>
      <w:lvlText w:val="%1.%2"/>
      <w:lvlJc w:val="left"/>
      <w:pPr>
        <w:ind w:left="1266" w:hanging="1057"/>
        <w:jc w:val="right"/>
      </w:pPr>
      <w:rPr>
        <w:rFonts w:hint="default"/>
      </w:rPr>
    </w:lvl>
    <w:lvl w:ilvl="2">
      <w:start w:val="1"/>
      <w:numFmt w:val="decimal"/>
      <w:lvlText w:val="%1.%2.%3"/>
      <w:lvlJc w:val="left"/>
      <w:pPr>
        <w:ind w:left="1166" w:hanging="1057"/>
        <w:jc w:val="right"/>
      </w:pPr>
      <w:rPr>
        <w:rFonts w:hint="default" w:ascii="黑体" w:hAnsi="黑体" w:eastAsia="黑体" w:cs="黑体"/>
        <w:spacing w:val="-1"/>
        <w:w w:val="100"/>
        <w:sz w:val="21"/>
        <w:szCs w:val="21"/>
      </w:rPr>
    </w:lvl>
    <w:lvl w:ilvl="3">
      <w:start w:val="0"/>
      <w:numFmt w:val="bullet"/>
      <w:lvlText w:val="•"/>
      <w:lvlJc w:val="left"/>
      <w:pPr>
        <w:ind w:left="3123" w:hanging="1057"/>
      </w:pPr>
      <w:rPr>
        <w:rFonts w:hint="default"/>
      </w:rPr>
    </w:lvl>
    <w:lvl w:ilvl="4">
      <w:start w:val="0"/>
      <w:numFmt w:val="bullet"/>
      <w:lvlText w:val="•"/>
      <w:lvlJc w:val="left"/>
      <w:pPr>
        <w:ind w:left="4054" w:hanging="1057"/>
      </w:pPr>
      <w:rPr>
        <w:rFonts w:hint="default"/>
      </w:rPr>
    </w:lvl>
    <w:lvl w:ilvl="5">
      <w:start w:val="0"/>
      <w:numFmt w:val="bullet"/>
      <w:lvlText w:val="•"/>
      <w:lvlJc w:val="left"/>
      <w:pPr>
        <w:ind w:left="4986" w:hanging="1057"/>
      </w:pPr>
      <w:rPr>
        <w:rFonts w:hint="default"/>
      </w:rPr>
    </w:lvl>
    <w:lvl w:ilvl="6">
      <w:start w:val="0"/>
      <w:numFmt w:val="bullet"/>
      <w:lvlText w:val="•"/>
      <w:lvlJc w:val="left"/>
      <w:pPr>
        <w:ind w:left="5918" w:hanging="1057"/>
      </w:pPr>
      <w:rPr>
        <w:rFonts w:hint="default"/>
      </w:rPr>
    </w:lvl>
    <w:lvl w:ilvl="7">
      <w:start w:val="0"/>
      <w:numFmt w:val="bullet"/>
      <w:lvlText w:val="•"/>
      <w:lvlJc w:val="left"/>
      <w:pPr>
        <w:ind w:left="6849" w:hanging="1057"/>
      </w:pPr>
      <w:rPr>
        <w:rFonts w:hint="default"/>
      </w:rPr>
    </w:lvl>
    <w:lvl w:ilvl="8">
      <w:start w:val="0"/>
      <w:numFmt w:val="bullet"/>
      <w:lvlText w:val="•"/>
      <w:lvlJc w:val="left"/>
      <w:pPr>
        <w:ind w:left="7781" w:hanging="1057"/>
      </w:pPr>
      <w:rPr>
        <w:rFonts w:hint="default"/>
      </w:rPr>
    </w:lvl>
  </w:abstractNum>
  <w:abstractNum w:abstractNumId="13">
    <w:multiLevelType w:val="hybridMultilevel"/>
    <w:lvl w:ilvl="0">
      <w:start w:val="7"/>
      <w:numFmt w:val="decimal"/>
      <w:lvlText w:val="%1"/>
      <w:lvlJc w:val="left"/>
      <w:pPr>
        <w:ind w:left="2818" w:hanging="1057"/>
        <w:jc w:val="left"/>
      </w:pPr>
      <w:rPr>
        <w:rFonts w:hint="default"/>
      </w:rPr>
    </w:lvl>
    <w:lvl w:ilvl="1">
      <w:start w:val="1"/>
      <w:numFmt w:val="decimal"/>
      <w:lvlText w:val="%1.%2"/>
      <w:lvlJc w:val="left"/>
      <w:pPr>
        <w:ind w:left="2818" w:hanging="1057"/>
        <w:jc w:val="left"/>
      </w:pPr>
      <w:rPr>
        <w:rFonts w:hint="default"/>
      </w:rPr>
    </w:lvl>
    <w:lvl w:ilvl="2">
      <w:start w:val="15"/>
      <w:numFmt w:val="decimal"/>
      <w:lvlText w:val="%1.%2.%3"/>
      <w:lvlJc w:val="left"/>
      <w:pPr>
        <w:ind w:left="2818" w:hanging="1057"/>
        <w:jc w:val="left"/>
      </w:pPr>
      <w:rPr>
        <w:rFonts w:hint="default" w:ascii="黑体" w:hAnsi="黑体" w:eastAsia="黑体" w:cs="黑体"/>
        <w:spacing w:val="-1"/>
        <w:w w:val="100"/>
        <w:sz w:val="21"/>
        <w:szCs w:val="21"/>
      </w:rPr>
    </w:lvl>
    <w:lvl w:ilvl="3">
      <w:start w:val="0"/>
      <w:numFmt w:val="bullet"/>
      <w:lvlText w:val="•"/>
      <w:lvlJc w:val="left"/>
      <w:pPr>
        <w:ind w:left="4897" w:hanging="1057"/>
      </w:pPr>
      <w:rPr>
        <w:rFonts w:hint="default"/>
      </w:rPr>
    </w:lvl>
    <w:lvl w:ilvl="4">
      <w:start w:val="0"/>
      <w:numFmt w:val="bullet"/>
      <w:lvlText w:val="•"/>
      <w:lvlJc w:val="left"/>
      <w:pPr>
        <w:ind w:left="5589" w:hanging="1057"/>
      </w:pPr>
      <w:rPr>
        <w:rFonts w:hint="default"/>
      </w:rPr>
    </w:lvl>
    <w:lvl w:ilvl="5">
      <w:start w:val="0"/>
      <w:numFmt w:val="bullet"/>
      <w:lvlText w:val="•"/>
      <w:lvlJc w:val="left"/>
      <w:pPr>
        <w:ind w:left="6282" w:hanging="1057"/>
      </w:pPr>
      <w:rPr>
        <w:rFonts w:hint="default"/>
      </w:rPr>
    </w:lvl>
    <w:lvl w:ilvl="6">
      <w:start w:val="0"/>
      <w:numFmt w:val="bullet"/>
      <w:lvlText w:val="•"/>
      <w:lvlJc w:val="left"/>
      <w:pPr>
        <w:ind w:left="6974" w:hanging="1057"/>
      </w:pPr>
      <w:rPr>
        <w:rFonts w:hint="default"/>
      </w:rPr>
    </w:lvl>
    <w:lvl w:ilvl="7">
      <w:start w:val="0"/>
      <w:numFmt w:val="bullet"/>
      <w:lvlText w:val="•"/>
      <w:lvlJc w:val="left"/>
      <w:pPr>
        <w:ind w:left="7667" w:hanging="1057"/>
      </w:pPr>
      <w:rPr>
        <w:rFonts w:hint="default"/>
      </w:rPr>
    </w:lvl>
    <w:lvl w:ilvl="8">
      <w:start w:val="0"/>
      <w:numFmt w:val="bullet"/>
      <w:lvlText w:val="•"/>
      <w:lvlJc w:val="left"/>
      <w:pPr>
        <w:ind w:left="8359" w:hanging="1057"/>
      </w:pPr>
      <w:rPr>
        <w:rFonts w:hint="default"/>
      </w:rPr>
    </w:lvl>
  </w:abstractNum>
  <w:abstractNum w:abstractNumId="12">
    <w:multiLevelType w:val="hybridMultilevel"/>
    <w:lvl w:ilvl="0">
      <w:start w:val="7"/>
      <w:numFmt w:val="decimal"/>
      <w:lvlText w:val="%1"/>
      <w:lvlJc w:val="left"/>
      <w:pPr>
        <w:ind w:left="2778" w:hanging="1057"/>
        <w:jc w:val="left"/>
      </w:pPr>
      <w:rPr>
        <w:rFonts w:hint="default"/>
      </w:rPr>
    </w:lvl>
    <w:lvl w:ilvl="1">
      <w:start w:val="1"/>
      <w:numFmt w:val="decimal"/>
      <w:lvlText w:val="%1.%2"/>
      <w:lvlJc w:val="left"/>
      <w:pPr>
        <w:ind w:left="2778" w:hanging="1057"/>
        <w:jc w:val="left"/>
      </w:pPr>
      <w:rPr>
        <w:rFonts w:hint="default"/>
      </w:rPr>
    </w:lvl>
    <w:lvl w:ilvl="2">
      <w:start w:val="11"/>
      <w:numFmt w:val="decimal"/>
      <w:lvlText w:val="%1.%2.%3"/>
      <w:lvlJc w:val="left"/>
      <w:pPr>
        <w:ind w:left="2778" w:hanging="1057"/>
        <w:jc w:val="left"/>
      </w:pPr>
      <w:rPr>
        <w:rFonts w:hint="default" w:ascii="黑体" w:hAnsi="黑体" w:eastAsia="黑体" w:cs="黑体"/>
        <w:w w:val="100"/>
        <w:sz w:val="21"/>
        <w:szCs w:val="21"/>
      </w:rPr>
    </w:lvl>
    <w:lvl w:ilvl="3">
      <w:start w:val="0"/>
      <w:numFmt w:val="bullet"/>
      <w:lvlText w:val="•"/>
      <w:lvlJc w:val="left"/>
      <w:pPr>
        <w:ind w:left="2691" w:hanging="1057"/>
      </w:pPr>
      <w:rPr>
        <w:rFonts w:hint="default"/>
      </w:rPr>
    </w:lvl>
    <w:lvl w:ilvl="4">
      <w:start w:val="0"/>
      <w:numFmt w:val="bullet"/>
      <w:lvlText w:val="•"/>
      <w:lvlJc w:val="left"/>
      <w:pPr>
        <w:ind w:left="2662" w:hanging="1057"/>
      </w:pPr>
      <w:rPr>
        <w:rFonts w:hint="default"/>
      </w:rPr>
    </w:lvl>
    <w:lvl w:ilvl="5">
      <w:start w:val="0"/>
      <w:numFmt w:val="bullet"/>
      <w:lvlText w:val="•"/>
      <w:lvlJc w:val="left"/>
      <w:pPr>
        <w:ind w:left="2633" w:hanging="1057"/>
      </w:pPr>
      <w:rPr>
        <w:rFonts w:hint="default"/>
      </w:rPr>
    </w:lvl>
    <w:lvl w:ilvl="6">
      <w:start w:val="0"/>
      <w:numFmt w:val="bullet"/>
      <w:lvlText w:val="•"/>
      <w:lvlJc w:val="left"/>
      <w:pPr>
        <w:ind w:left="2603" w:hanging="1057"/>
      </w:pPr>
      <w:rPr>
        <w:rFonts w:hint="default"/>
      </w:rPr>
    </w:lvl>
    <w:lvl w:ilvl="7">
      <w:start w:val="0"/>
      <w:numFmt w:val="bullet"/>
      <w:lvlText w:val="•"/>
      <w:lvlJc w:val="left"/>
      <w:pPr>
        <w:ind w:left="2574" w:hanging="1057"/>
      </w:pPr>
      <w:rPr>
        <w:rFonts w:hint="default"/>
      </w:rPr>
    </w:lvl>
    <w:lvl w:ilvl="8">
      <w:start w:val="0"/>
      <w:numFmt w:val="bullet"/>
      <w:lvlText w:val="•"/>
      <w:lvlJc w:val="left"/>
      <w:pPr>
        <w:ind w:left="2544" w:hanging="1057"/>
      </w:pPr>
      <w:rPr>
        <w:rFonts w:hint="default"/>
      </w:rPr>
    </w:lvl>
  </w:abstractNum>
  <w:abstractNum w:abstractNumId="11">
    <w:multiLevelType w:val="hybridMultilevel"/>
    <w:lvl w:ilvl="0">
      <w:start w:val="7"/>
      <w:numFmt w:val="decimal"/>
      <w:lvlText w:val="%1"/>
      <w:lvlJc w:val="left"/>
      <w:pPr>
        <w:ind w:left="2778" w:hanging="1057"/>
        <w:jc w:val="left"/>
      </w:pPr>
      <w:rPr>
        <w:rFonts w:hint="default"/>
      </w:rPr>
    </w:lvl>
    <w:lvl w:ilvl="1">
      <w:start w:val="1"/>
      <w:numFmt w:val="decimal"/>
      <w:lvlText w:val="%1.%2"/>
      <w:lvlJc w:val="left"/>
      <w:pPr>
        <w:ind w:left="2778" w:hanging="1057"/>
        <w:jc w:val="left"/>
      </w:pPr>
      <w:rPr>
        <w:rFonts w:hint="default"/>
      </w:rPr>
    </w:lvl>
    <w:lvl w:ilvl="2">
      <w:start w:val="3"/>
      <w:numFmt w:val="decimal"/>
      <w:lvlText w:val="%1.%2.%3"/>
      <w:lvlJc w:val="left"/>
      <w:pPr>
        <w:ind w:left="2778" w:hanging="1057"/>
        <w:jc w:val="left"/>
      </w:pPr>
      <w:rPr>
        <w:rFonts w:hint="default" w:ascii="黑体" w:hAnsi="黑体" w:eastAsia="黑体" w:cs="黑体"/>
        <w:spacing w:val="-105"/>
        <w:w w:val="100"/>
        <w:sz w:val="21"/>
        <w:szCs w:val="21"/>
      </w:rPr>
    </w:lvl>
    <w:lvl w:ilvl="3">
      <w:start w:val="0"/>
      <w:numFmt w:val="bullet"/>
      <w:lvlText w:val="•"/>
      <w:lvlJc w:val="left"/>
      <w:pPr>
        <w:ind w:left="4857" w:hanging="1057"/>
      </w:pPr>
      <w:rPr>
        <w:rFonts w:hint="default"/>
      </w:rPr>
    </w:lvl>
    <w:lvl w:ilvl="4">
      <w:start w:val="0"/>
      <w:numFmt w:val="bullet"/>
      <w:lvlText w:val="•"/>
      <w:lvlJc w:val="left"/>
      <w:pPr>
        <w:ind w:left="5549" w:hanging="1057"/>
      </w:pPr>
      <w:rPr>
        <w:rFonts w:hint="default"/>
      </w:rPr>
    </w:lvl>
    <w:lvl w:ilvl="5">
      <w:start w:val="0"/>
      <w:numFmt w:val="bullet"/>
      <w:lvlText w:val="•"/>
      <w:lvlJc w:val="left"/>
      <w:pPr>
        <w:ind w:left="6242" w:hanging="1057"/>
      </w:pPr>
      <w:rPr>
        <w:rFonts w:hint="default"/>
      </w:rPr>
    </w:lvl>
    <w:lvl w:ilvl="6">
      <w:start w:val="0"/>
      <w:numFmt w:val="bullet"/>
      <w:lvlText w:val="•"/>
      <w:lvlJc w:val="left"/>
      <w:pPr>
        <w:ind w:left="6934" w:hanging="1057"/>
      </w:pPr>
      <w:rPr>
        <w:rFonts w:hint="default"/>
      </w:rPr>
    </w:lvl>
    <w:lvl w:ilvl="7">
      <w:start w:val="0"/>
      <w:numFmt w:val="bullet"/>
      <w:lvlText w:val="•"/>
      <w:lvlJc w:val="left"/>
      <w:pPr>
        <w:ind w:left="7627" w:hanging="1057"/>
      </w:pPr>
      <w:rPr>
        <w:rFonts w:hint="default"/>
      </w:rPr>
    </w:lvl>
    <w:lvl w:ilvl="8">
      <w:start w:val="0"/>
      <w:numFmt w:val="bullet"/>
      <w:lvlText w:val="•"/>
      <w:lvlJc w:val="left"/>
      <w:pPr>
        <w:ind w:left="8319" w:hanging="1057"/>
      </w:pPr>
      <w:rPr>
        <w:rFonts w:hint="default"/>
      </w:rPr>
    </w:lvl>
  </w:abstractNum>
  <w:abstractNum w:abstractNumId="10">
    <w:multiLevelType w:val="hybridMultilevel"/>
    <w:lvl w:ilvl="0">
      <w:start w:val="6"/>
      <w:numFmt w:val="decimal"/>
      <w:lvlText w:val="%1"/>
      <w:lvlJc w:val="left"/>
      <w:pPr>
        <w:ind w:left="1266" w:hanging="1057"/>
        <w:jc w:val="left"/>
      </w:pPr>
      <w:rPr>
        <w:rFonts w:hint="default"/>
      </w:rPr>
    </w:lvl>
    <w:lvl w:ilvl="1">
      <w:start w:val="1"/>
      <w:numFmt w:val="decimal"/>
      <w:lvlText w:val="%1.%2"/>
      <w:lvlJc w:val="left"/>
      <w:pPr>
        <w:ind w:left="1266" w:hanging="1057"/>
        <w:jc w:val="left"/>
      </w:pPr>
      <w:rPr>
        <w:rFonts w:hint="default" w:ascii="黑体" w:hAnsi="黑体" w:eastAsia="黑体" w:cs="黑体"/>
        <w:spacing w:val="-1"/>
        <w:w w:val="100"/>
        <w:sz w:val="21"/>
        <w:szCs w:val="21"/>
      </w:rPr>
    </w:lvl>
    <w:lvl w:ilvl="2">
      <w:start w:val="0"/>
      <w:numFmt w:val="bullet"/>
      <w:lvlText w:val="•"/>
      <w:lvlJc w:val="left"/>
      <w:pPr>
        <w:ind w:left="1513" w:hanging="1057"/>
      </w:pPr>
      <w:rPr>
        <w:rFonts w:hint="default"/>
      </w:rPr>
    </w:lvl>
    <w:lvl w:ilvl="3">
      <w:start w:val="0"/>
      <w:numFmt w:val="bullet"/>
      <w:lvlText w:val="•"/>
      <w:lvlJc w:val="left"/>
      <w:pPr>
        <w:ind w:left="1639" w:hanging="1057"/>
      </w:pPr>
      <w:rPr>
        <w:rFonts w:hint="default"/>
      </w:rPr>
    </w:lvl>
    <w:lvl w:ilvl="4">
      <w:start w:val="0"/>
      <w:numFmt w:val="bullet"/>
      <w:lvlText w:val="•"/>
      <w:lvlJc w:val="left"/>
      <w:pPr>
        <w:ind w:left="1766" w:hanging="1057"/>
      </w:pPr>
      <w:rPr>
        <w:rFonts w:hint="default"/>
      </w:rPr>
    </w:lvl>
    <w:lvl w:ilvl="5">
      <w:start w:val="0"/>
      <w:numFmt w:val="bullet"/>
      <w:lvlText w:val="•"/>
      <w:lvlJc w:val="left"/>
      <w:pPr>
        <w:ind w:left="1892" w:hanging="1057"/>
      </w:pPr>
      <w:rPr>
        <w:rFonts w:hint="default"/>
      </w:rPr>
    </w:lvl>
    <w:lvl w:ilvl="6">
      <w:start w:val="0"/>
      <w:numFmt w:val="bullet"/>
      <w:lvlText w:val="•"/>
      <w:lvlJc w:val="left"/>
      <w:pPr>
        <w:ind w:left="2019" w:hanging="1057"/>
      </w:pPr>
      <w:rPr>
        <w:rFonts w:hint="default"/>
      </w:rPr>
    </w:lvl>
    <w:lvl w:ilvl="7">
      <w:start w:val="0"/>
      <w:numFmt w:val="bullet"/>
      <w:lvlText w:val="•"/>
      <w:lvlJc w:val="left"/>
      <w:pPr>
        <w:ind w:left="2145" w:hanging="1057"/>
      </w:pPr>
      <w:rPr>
        <w:rFonts w:hint="default"/>
      </w:rPr>
    </w:lvl>
    <w:lvl w:ilvl="8">
      <w:start w:val="0"/>
      <w:numFmt w:val="bullet"/>
      <w:lvlText w:val="•"/>
      <w:lvlJc w:val="left"/>
      <w:pPr>
        <w:ind w:left="2272" w:hanging="1057"/>
      </w:pPr>
      <w:rPr>
        <w:rFonts w:hint="default"/>
      </w:rPr>
    </w:lvl>
  </w:abstractNum>
  <w:abstractNum w:abstractNumId="9">
    <w:multiLevelType w:val="hybridMultilevel"/>
    <w:lvl w:ilvl="0">
      <w:start w:val="3"/>
      <w:numFmt w:val="decimal"/>
      <w:lvlText w:val="%1"/>
      <w:lvlJc w:val="left"/>
      <w:pPr>
        <w:ind w:left="2818" w:hanging="1056"/>
        <w:jc w:val="left"/>
      </w:pPr>
      <w:rPr>
        <w:rFonts w:hint="default"/>
      </w:rPr>
    </w:lvl>
    <w:lvl w:ilvl="1">
      <w:start w:val="1"/>
      <w:numFmt w:val="decimal"/>
      <w:lvlText w:val="%1.%2"/>
      <w:lvlJc w:val="left"/>
      <w:pPr>
        <w:ind w:left="2818" w:hanging="1056"/>
        <w:jc w:val="left"/>
      </w:pPr>
      <w:rPr>
        <w:rFonts w:hint="default" w:ascii="黑体" w:hAnsi="黑体" w:eastAsia="黑体" w:cs="黑体"/>
        <w:spacing w:val="-2"/>
        <w:w w:val="100"/>
        <w:sz w:val="21"/>
        <w:szCs w:val="21"/>
      </w:rPr>
    </w:lvl>
    <w:lvl w:ilvl="2">
      <w:start w:val="0"/>
      <w:numFmt w:val="bullet"/>
      <w:lvlText w:val="•"/>
      <w:lvlJc w:val="left"/>
      <w:pPr>
        <w:ind w:left="4204" w:hanging="1056"/>
      </w:pPr>
      <w:rPr>
        <w:rFonts w:hint="default"/>
      </w:rPr>
    </w:lvl>
    <w:lvl w:ilvl="3">
      <w:start w:val="0"/>
      <w:numFmt w:val="bullet"/>
      <w:lvlText w:val="•"/>
      <w:lvlJc w:val="left"/>
      <w:pPr>
        <w:ind w:left="4897" w:hanging="1056"/>
      </w:pPr>
      <w:rPr>
        <w:rFonts w:hint="default"/>
      </w:rPr>
    </w:lvl>
    <w:lvl w:ilvl="4">
      <w:start w:val="0"/>
      <w:numFmt w:val="bullet"/>
      <w:lvlText w:val="•"/>
      <w:lvlJc w:val="left"/>
      <w:pPr>
        <w:ind w:left="5589" w:hanging="1056"/>
      </w:pPr>
      <w:rPr>
        <w:rFonts w:hint="default"/>
      </w:rPr>
    </w:lvl>
    <w:lvl w:ilvl="5">
      <w:start w:val="0"/>
      <w:numFmt w:val="bullet"/>
      <w:lvlText w:val="•"/>
      <w:lvlJc w:val="left"/>
      <w:pPr>
        <w:ind w:left="6282" w:hanging="1056"/>
      </w:pPr>
      <w:rPr>
        <w:rFonts w:hint="default"/>
      </w:rPr>
    </w:lvl>
    <w:lvl w:ilvl="6">
      <w:start w:val="0"/>
      <w:numFmt w:val="bullet"/>
      <w:lvlText w:val="•"/>
      <w:lvlJc w:val="left"/>
      <w:pPr>
        <w:ind w:left="6974" w:hanging="1056"/>
      </w:pPr>
      <w:rPr>
        <w:rFonts w:hint="default"/>
      </w:rPr>
    </w:lvl>
    <w:lvl w:ilvl="7">
      <w:start w:val="0"/>
      <w:numFmt w:val="bullet"/>
      <w:lvlText w:val="•"/>
      <w:lvlJc w:val="left"/>
      <w:pPr>
        <w:ind w:left="7667" w:hanging="1056"/>
      </w:pPr>
      <w:rPr>
        <w:rFonts w:hint="default"/>
      </w:rPr>
    </w:lvl>
    <w:lvl w:ilvl="8">
      <w:start w:val="0"/>
      <w:numFmt w:val="bullet"/>
      <w:lvlText w:val="•"/>
      <w:lvlJc w:val="left"/>
      <w:pPr>
        <w:ind w:left="8359" w:hanging="1056"/>
      </w:pPr>
      <w:rPr>
        <w:rFonts w:hint="default"/>
      </w:rPr>
    </w:lvl>
  </w:abstractNum>
  <w:abstractNum w:abstractNumId="8">
    <w:multiLevelType w:val="hybridMultilevel"/>
    <w:lvl w:ilvl="0">
      <w:start w:val="2"/>
      <w:numFmt w:val="decimal"/>
      <w:lvlText w:val="%1"/>
      <w:lvlJc w:val="left"/>
      <w:pPr>
        <w:ind w:left="2878" w:hanging="1057"/>
        <w:jc w:val="left"/>
      </w:pPr>
      <w:rPr>
        <w:rFonts w:hint="default"/>
      </w:rPr>
    </w:lvl>
    <w:lvl w:ilvl="1">
      <w:start w:val="1"/>
      <w:numFmt w:val="decimal"/>
      <w:lvlText w:val="%1.%2"/>
      <w:lvlJc w:val="left"/>
      <w:pPr>
        <w:ind w:left="2878" w:hanging="1057"/>
        <w:jc w:val="right"/>
      </w:pPr>
      <w:rPr>
        <w:rFonts w:hint="default" w:ascii="黑体" w:hAnsi="黑体" w:eastAsia="黑体" w:cs="黑体"/>
        <w:spacing w:val="-23"/>
        <w:w w:val="100"/>
        <w:sz w:val="21"/>
        <w:szCs w:val="21"/>
      </w:rPr>
    </w:lvl>
    <w:lvl w:ilvl="2">
      <w:start w:val="0"/>
      <w:numFmt w:val="bullet"/>
      <w:lvlText w:val="•"/>
      <w:lvlJc w:val="left"/>
      <w:pPr>
        <w:ind w:left="4264" w:hanging="1057"/>
      </w:pPr>
      <w:rPr>
        <w:rFonts w:hint="default"/>
      </w:rPr>
    </w:lvl>
    <w:lvl w:ilvl="3">
      <w:start w:val="0"/>
      <w:numFmt w:val="bullet"/>
      <w:lvlText w:val="•"/>
      <w:lvlJc w:val="left"/>
      <w:pPr>
        <w:ind w:left="4957" w:hanging="1057"/>
      </w:pPr>
      <w:rPr>
        <w:rFonts w:hint="default"/>
      </w:rPr>
    </w:lvl>
    <w:lvl w:ilvl="4">
      <w:start w:val="0"/>
      <w:numFmt w:val="bullet"/>
      <w:lvlText w:val="•"/>
      <w:lvlJc w:val="left"/>
      <w:pPr>
        <w:ind w:left="5649" w:hanging="1057"/>
      </w:pPr>
      <w:rPr>
        <w:rFonts w:hint="default"/>
      </w:rPr>
    </w:lvl>
    <w:lvl w:ilvl="5">
      <w:start w:val="0"/>
      <w:numFmt w:val="bullet"/>
      <w:lvlText w:val="•"/>
      <w:lvlJc w:val="left"/>
      <w:pPr>
        <w:ind w:left="6342" w:hanging="1057"/>
      </w:pPr>
      <w:rPr>
        <w:rFonts w:hint="default"/>
      </w:rPr>
    </w:lvl>
    <w:lvl w:ilvl="6">
      <w:start w:val="0"/>
      <w:numFmt w:val="bullet"/>
      <w:lvlText w:val="•"/>
      <w:lvlJc w:val="left"/>
      <w:pPr>
        <w:ind w:left="7034" w:hanging="1057"/>
      </w:pPr>
      <w:rPr>
        <w:rFonts w:hint="default"/>
      </w:rPr>
    </w:lvl>
    <w:lvl w:ilvl="7">
      <w:start w:val="0"/>
      <w:numFmt w:val="bullet"/>
      <w:lvlText w:val="•"/>
      <w:lvlJc w:val="left"/>
      <w:pPr>
        <w:ind w:left="7727" w:hanging="1057"/>
      </w:pPr>
      <w:rPr>
        <w:rFonts w:hint="default"/>
      </w:rPr>
    </w:lvl>
    <w:lvl w:ilvl="8">
      <w:start w:val="0"/>
      <w:numFmt w:val="bullet"/>
      <w:lvlText w:val="•"/>
      <w:lvlJc w:val="left"/>
      <w:pPr>
        <w:ind w:left="8419" w:hanging="1057"/>
      </w:pPr>
      <w:rPr>
        <w:rFonts w:hint="default"/>
      </w:rPr>
    </w:lvl>
  </w:abstractNum>
  <w:abstractNum w:abstractNumId="7">
    <w:multiLevelType w:val="hybridMultilevel"/>
    <w:lvl w:ilvl="0">
      <w:start w:val="1"/>
      <w:numFmt w:val="decimal"/>
      <w:lvlText w:val="%1"/>
      <w:lvlJc w:val="left"/>
      <w:pPr>
        <w:ind w:left="2878" w:hanging="1056"/>
        <w:jc w:val="left"/>
      </w:pPr>
      <w:rPr>
        <w:rFonts w:hint="default"/>
      </w:rPr>
    </w:lvl>
    <w:lvl w:ilvl="1">
      <w:start w:val="1"/>
      <w:numFmt w:val="decimal"/>
      <w:lvlText w:val="%1.%2"/>
      <w:lvlJc w:val="left"/>
      <w:pPr>
        <w:ind w:left="2878" w:hanging="1056"/>
        <w:jc w:val="left"/>
      </w:pPr>
      <w:rPr>
        <w:rFonts w:hint="default" w:ascii="黑体" w:hAnsi="黑体" w:eastAsia="黑体" w:cs="黑体"/>
        <w:spacing w:val="-1"/>
        <w:w w:val="100"/>
        <w:sz w:val="21"/>
        <w:szCs w:val="21"/>
      </w:rPr>
    </w:lvl>
    <w:lvl w:ilvl="2">
      <w:start w:val="0"/>
      <w:numFmt w:val="bullet"/>
      <w:lvlText w:val="•"/>
      <w:lvlJc w:val="left"/>
      <w:pPr>
        <w:ind w:left="4264" w:hanging="1056"/>
      </w:pPr>
      <w:rPr>
        <w:rFonts w:hint="default"/>
      </w:rPr>
    </w:lvl>
    <w:lvl w:ilvl="3">
      <w:start w:val="0"/>
      <w:numFmt w:val="bullet"/>
      <w:lvlText w:val="•"/>
      <w:lvlJc w:val="left"/>
      <w:pPr>
        <w:ind w:left="4957" w:hanging="1056"/>
      </w:pPr>
      <w:rPr>
        <w:rFonts w:hint="default"/>
      </w:rPr>
    </w:lvl>
    <w:lvl w:ilvl="4">
      <w:start w:val="0"/>
      <w:numFmt w:val="bullet"/>
      <w:lvlText w:val="•"/>
      <w:lvlJc w:val="left"/>
      <w:pPr>
        <w:ind w:left="5649" w:hanging="1056"/>
      </w:pPr>
      <w:rPr>
        <w:rFonts w:hint="default"/>
      </w:rPr>
    </w:lvl>
    <w:lvl w:ilvl="5">
      <w:start w:val="0"/>
      <w:numFmt w:val="bullet"/>
      <w:lvlText w:val="•"/>
      <w:lvlJc w:val="left"/>
      <w:pPr>
        <w:ind w:left="6342" w:hanging="1056"/>
      </w:pPr>
      <w:rPr>
        <w:rFonts w:hint="default"/>
      </w:rPr>
    </w:lvl>
    <w:lvl w:ilvl="6">
      <w:start w:val="0"/>
      <w:numFmt w:val="bullet"/>
      <w:lvlText w:val="•"/>
      <w:lvlJc w:val="left"/>
      <w:pPr>
        <w:ind w:left="7034" w:hanging="1056"/>
      </w:pPr>
      <w:rPr>
        <w:rFonts w:hint="default"/>
      </w:rPr>
    </w:lvl>
    <w:lvl w:ilvl="7">
      <w:start w:val="0"/>
      <w:numFmt w:val="bullet"/>
      <w:lvlText w:val="•"/>
      <w:lvlJc w:val="left"/>
      <w:pPr>
        <w:ind w:left="7727" w:hanging="1056"/>
      </w:pPr>
      <w:rPr>
        <w:rFonts w:hint="default"/>
      </w:rPr>
    </w:lvl>
    <w:lvl w:ilvl="8">
      <w:start w:val="0"/>
      <w:numFmt w:val="bullet"/>
      <w:lvlText w:val="•"/>
      <w:lvlJc w:val="left"/>
      <w:pPr>
        <w:ind w:left="8419" w:hanging="1056"/>
      </w:pPr>
      <w:rPr>
        <w:rFonts w:hint="default"/>
      </w:rPr>
    </w:lvl>
  </w:abstractNum>
  <w:abstractNum w:abstractNumId="6">
    <w:multiLevelType w:val="hybridMultilevel"/>
    <w:lvl w:ilvl="0">
      <w:start w:val="9"/>
      <w:numFmt w:val="decimal"/>
      <w:lvlText w:val="%1"/>
      <w:lvlJc w:val="left"/>
      <w:pPr>
        <w:ind w:left="360" w:hanging="360"/>
        <w:jc w:val="left"/>
      </w:pPr>
      <w:rPr>
        <w:rFonts w:hint="default"/>
      </w:rPr>
    </w:lvl>
    <w:lvl w:ilvl="1">
      <w:start w:val="3"/>
      <w:numFmt w:val="decimal"/>
      <w:lvlText w:val="%1.%2"/>
      <w:lvlJc w:val="left"/>
      <w:pPr>
        <w:ind w:left="360" w:hanging="360"/>
        <w:jc w:val="left"/>
      </w:pPr>
      <w:rPr>
        <w:rFonts w:hint="default" w:ascii="黑体" w:hAnsi="黑体" w:eastAsia="黑体" w:cs="黑体"/>
        <w:w w:val="100"/>
        <w:sz w:val="18"/>
        <w:szCs w:val="18"/>
      </w:rPr>
    </w:lvl>
    <w:lvl w:ilvl="2">
      <w:start w:val="0"/>
      <w:numFmt w:val="bullet"/>
      <w:lvlText w:val="•"/>
      <w:lvlJc w:val="left"/>
      <w:pPr>
        <w:ind w:left="828" w:hanging="360"/>
      </w:pPr>
      <w:rPr>
        <w:rFonts w:hint="default"/>
      </w:rPr>
    </w:lvl>
    <w:lvl w:ilvl="3">
      <w:start w:val="0"/>
      <w:numFmt w:val="bullet"/>
      <w:lvlText w:val="•"/>
      <w:lvlJc w:val="left"/>
      <w:pPr>
        <w:ind w:left="1062" w:hanging="360"/>
      </w:pPr>
      <w:rPr>
        <w:rFonts w:hint="default"/>
      </w:rPr>
    </w:lvl>
    <w:lvl w:ilvl="4">
      <w:start w:val="0"/>
      <w:numFmt w:val="bullet"/>
      <w:lvlText w:val="•"/>
      <w:lvlJc w:val="left"/>
      <w:pPr>
        <w:ind w:left="1296" w:hanging="360"/>
      </w:pPr>
      <w:rPr>
        <w:rFonts w:hint="default"/>
      </w:rPr>
    </w:lvl>
    <w:lvl w:ilvl="5">
      <w:start w:val="0"/>
      <w:numFmt w:val="bullet"/>
      <w:lvlText w:val="•"/>
      <w:lvlJc w:val="left"/>
      <w:pPr>
        <w:ind w:left="1530" w:hanging="360"/>
      </w:pPr>
      <w:rPr>
        <w:rFonts w:hint="default"/>
      </w:rPr>
    </w:lvl>
    <w:lvl w:ilvl="6">
      <w:start w:val="0"/>
      <w:numFmt w:val="bullet"/>
      <w:lvlText w:val="•"/>
      <w:lvlJc w:val="left"/>
      <w:pPr>
        <w:ind w:left="1764" w:hanging="360"/>
      </w:pPr>
      <w:rPr>
        <w:rFonts w:hint="default"/>
      </w:rPr>
    </w:lvl>
    <w:lvl w:ilvl="7">
      <w:start w:val="0"/>
      <w:numFmt w:val="bullet"/>
      <w:lvlText w:val="•"/>
      <w:lvlJc w:val="left"/>
      <w:pPr>
        <w:ind w:left="1998" w:hanging="360"/>
      </w:pPr>
      <w:rPr>
        <w:rFonts w:hint="default"/>
      </w:rPr>
    </w:lvl>
    <w:lvl w:ilvl="8">
      <w:start w:val="0"/>
      <w:numFmt w:val="bullet"/>
      <w:lvlText w:val="•"/>
      <w:lvlJc w:val="left"/>
      <w:pPr>
        <w:ind w:left="2232" w:hanging="360"/>
      </w:pPr>
      <w:rPr>
        <w:rFonts w:hint="default"/>
      </w:rPr>
    </w:lvl>
  </w:abstractNum>
  <w:abstractNum w:abstractNumId="5">
    <w:multiLevelType w:val="hybridMultilevel"/>
    <w:lvl w:ilvl="0">
      <w:start w:val="7"/>
      <w:numFmt w:val="decimal"/>
      <w:lvlText w:val="%1"/>
      <w:lvlJc w:val="left"/>
      <w:pPr>
        <w:ind w:left="360" w:hanging="360"/>
        <w:jc w:val="left"/>
      </w:pPr>
      <w:rPr>
        <w:rFonts w:hint="default"/>
      </w:rPr>
    </w:lvl>
    <w:lvl w:ilvl="1">
      <w:start w:val="1"/>
      <w:numFmt w:val="decimal"/>
      <w:lvlText w:val="%1.%2"/>
      <w:lvlJc w:val="left"/>
      <w:pPr>
        <w:ind w:left="360" w:hanging="360"/>
        <w:jc w:val="left"/>
      </w:pPr>
      <w:rPr>
        <w:rFonts w:hint="default" w:ascii="黑体" w:hAnsi="黑体" w:eastAsia="黑体" w:cs="黑体"/>
        <w:w w:val="100"/>
        <w:sz w:val="18"/>
        <w:szCs w:val="18"/>
      </w:rPr>
    </w:lvl>
    <w:lvl w:ilvl="2">
      <w:start w:val="0"/>
      <w:numFmt w:val="bullet"/>
      <w:lvlText w:val="•"/>
      <w:lvlJc w:val="left"/>
      <w:pPr>
        <w:ind w:left="828" w:hanging="360"/>
      </w:pPr>
      <w:rPr>
        <w:rFonts w:hint="default"/>
      </w:rPr>
    </w:lvl>
    <w:lvl w:ilvl="3">
      <w:start w:val="0"/>
      <w:numFmt w:val="bullet"/>
      <w:lvlText w:val="•"/>
      <w:lvlJc w:val="left"/>
      <w:pPr>
        <w:ind w:left="1062" w:hanging="360"/>
      </w:pPr>
      <w:rPr>
        <w:rFonts w:hint="default"/>
      </w:rPr>
    </w:lvl>
    <w:lvl w:ilvl="4">
      <w:start w:val="0"/>
      <w:numFmt w:val="bullet"/>
      <w:lvlText w:val="•"/>
      <w:lvlJc w:val="left"/>
      <w:pPr>
        <w:ind w:left="1296" w:hanging="360"/>
      </w:pPr>
      <w:rPr>
        <w:rFonts w:hint="default"/>
      </w:rPr>
    </w:lvl>
    <w:lvl w:ilvl="5">
      <w:start w:val="0"/>
      <w:numFmt w:val="bullet"/>
      <w:lvlText w:val="•"/>
      <w:lvlJc w:val="left"/>
      <w:pPr>
        <w:ind w:left="1530" w:hanging="360"/>
      </w:pPr>
      <w:rPr>
        <w:rFonts w:hint="default"/>
      </w:rPr>
    </w:lvl>
    <w:lvl w:ilvl="6">
      <w:start w:val="0"/>
      <w:numFmt w:val="bullet"/>
      <w:lvlText w:val="•"/>
      <w:lvlJc w:val="left"/>
      <w:pPr>
        <w:ind w:left="1764" w:hanging="360"/>
      </w:pPr>
      <w:rPr>
        <w:rFonts w:hint="default"/>
      </w:rPr>
    </w:lvl>
    <w:lvl w:ilvl="7">
      <w:start w:val="0"/>
      <w:numFmt w:val="bullet"/>
      <w:lvlText w:val="•"/>
      <w:lvlJc w:val="left"/>
      <w:pPr>
        <w:ind w:left="1998" w:hanging="360"/>
      </w:pPr>
      <w:rPr>
        <w:rFonts w:hint="default"/>
      </w:rPr>
    </w:lvl>
    <w:lvl w:ilvl="8">
      <w:start w:val="0"/>
      <w:numFmt w:val="bullet"/>
      <w:lvlText w:val="•"/>
      <w:lvlJc w:val="left"/>
      <w:pPr>
        <w:ind w:left="2232" w:hanging="360"/>
      </w:pPr>
      <w:rPr>
        <w:rFonts w:hint="default"/>
      </w:rPr>
    </w:lvl>
  </w:abstractNum>
  <w:abstractNum w:abstractNumId="4">
    <w:multiLevelType w:val="hybridMultilevel"/>
    <w:lvl w:ilvl="0">
      <w:start w:val="2"/>
      <w:numFmt w:val="decimal"/>
      <w:lvlText w:val="%1"/>
      <w:lvlJc w:val="left"/>
      <w:pPr>
        <w:ind w:left="410" w:hanging="360"/>
        <w:jc w:val="left"/>
      </w:pPr>
      <w:rPr>
        <w:rFonts w:hint="default"/>
      </w:rPr>
    </w:lvl>
    <w:lvl w:ilvl="1">
      <w:start w:val="2"/>
      <w:numFmt w:val="decimal"/>
      <w:lvlText w:val="%1.%2"/>
      <w:lvlJc w:val="left"/>
      <w:pPr>
        <w:ind w:left="410" w:hanging="360"/>
        <w:jc w:val="left"/>
      </w:pPr>
      <w:rPr>
        <w:rFonts w:hint="default" w:ascii="黑体" w:hAnsi="黑体" w:eastAsia="黑体" w:cs="黑体"/>
        <w:w w:val="100"/>
        <w:sz w:val="18"/>
        <w:szCs w:val="18"/>
      </w:rPr>
    </w:lvl>
    <w:lvl w:ilvl="2">
      <w:start w:val="0"/>
      <w:numFmt w:val="bullet"/>
      <w:lvlText w:val="•"/>
      <w:lvlJc w:val="left"/>
      <w:pPr>
        <w:ind w:left="945" w:hanging="360"/>
      </w:pPr>
      <w:rPr>
        <w:rFonts w:hint="default"/>
      </w:rPr>
    </w:lvl>
    <w:lvl w:ilvl="3">
      <w:start w:val="0"/>
      <w:numFmt w:val="bullet"/>
      <w:lvlText w:val="•"/>
      <w:lvlJc w:val="left"/>
      <w:pPr>
        <w:ind w:left="1207" w:hanging="360"/>
      </w:pPr>
      <w:rPr>
        <w:rFonts w:hint="default"/>
      </w:rPr>
    </w:lvl>
    <w:lvl w:ilvl="4">
      <w:start w:val="0"/>
      <w:numFmt w:val="bullet"/>
      <w:lvlText w:val="•"/>
      <w:lvlJc w:val="left"/>
      <w:pPr>
        <w:ind w:left="1470" w:hanging="360"/>
      </w:pPr>
      <w:rPr>
        <w:rFonts w:hint="default"/>
      </w:rPr>
    </w:lvl>
    <w:lvl w:ilvl="5">
      <w:start w:val="0"/>
      <w:numFmt w:val="bullet"/>
      <w:lvlText w:val="•"/>
      <w:lvlJc w:val="left"/>
      <w:pPr>
        <w:ind w:left="1732" w:hanging="360"/>
      </w:pPr>
      <w:rPr>
        <w:rFonts w:hint="default"/>
      </w:rPr>
    </w:lvl>
    <w:lvl w:ilvl="6">
      <w:start w:val="0"/>
      <w:numFmt w:val="bullet"/>
      <w:lvlText w:val="•"/>
      <w:lvlJc w:val="left"/>
      <w:pPr>
        <w:ind w:left="1995" w:hanging="360"/>
      </w:pPr>
      <w:rPr>
        <w:rFonts w:hint="default"/>
      </w:rPr>
    </w:lvl>
    <w:lvl w:ilvl="7">
      <w:start w:val="0"/>
      <w:numFmt w:val="bullet"/>
      <w:lvlText w:val="•"/>
      <w:lvlJc w:val="left"/>
      <w:pPr>
        <w:ind w:left="2257" w:hanging="360"/>
      </w:pPr>
      <w:rPr>
        <w:rFonts w:hint="default"/>
      </w:rPr>
    </w:lvl>
    <w:lvl w:ilvl="8">
      <w:start w:val="0"/>
      <w:numFmt w:val="bullet"/>
      <w:lvlText w:val="•"/>
      <w:lvlJc w:val="left"/>
      <w:pPr>
        <w:ind w:left="2520" w:hanging="360"/>
      </w:pPr>
      <w:rPr>
        <w:rFonts w:hint="default"/>
      </w:rPr>
    </w:lvl>
  </w:abstractNum>
  <w:abstractNum w:abstractNumId="3">
    <w:multiLevelType w:val="hybridMultilevel"/>
    <w:lvl w:ilvl="0">
      <w:start w:val="9"/>
      <w:numFmt w:val="decimal"/>
      <w:lvlText w:val="%1"/>
      <w:lvlJc w:val="left"/>
      <w:pPr>
        <w:ind w:left="1222" w:hanging="360"/>
        <w:jc w:val="left"/>
      </w:pPr>
      <w:rPr>
        <w:rFonts w:hint="default"/>
      </w:rPr>
    </w:lvl>
    <w:lvl w:ilvl="1">
      <w:start w:val="6"/>
      <w:numFmt w:val="decimal"/>
      <w:lvlText w:val="%1.%2"/>
      <w:lvlJc w:val="left"/>
      <w:pPr>
        <w:ind w:left="1222" w:hanging="360"/>
        <w:jc w:val="left"/>
      </w:pPr>
      <w:rPr>
        <w:rFonts w:hint="default" w:ascii="黑体" w:hAnsi="黑体" w:eastAsia="黑体" w:cs="黑体"/>
        <w:w w:val="100"/>
        <w:sz w:val="18"/>
        <w:szCs w:val="18"/>
      </w:rPr>
    </w:lvl>
    <w:lvl w:ilvl="2">
      <w:start w:val="0"/>
      <w:numFmt w:val="bullet"/>
      <w:lvlText w:val="•"/>
      <w:lvlJc w:val="left"/>
      <w:pPr>
        <w:ind w:left="1644" w:hanging="360"/>
      </w:pPr>
      <w:rPr>
        <w:rFonts w:hint="default"/>
      </w:rPr>
    </w:lvl>
    <w:lvl w:ilvl="3">
      <w:start w:val="0"/>
      <w:numFmt w:val="bullet"/>
      <w:lvlText w:val="•"/>
      <w:lvlJc w:val="left"/>
      <w:pPr>
        <w:ind w:left="1856" w:hanging="360"/>
      </w:pPr>
      <w:rPr>
        <w:rFonts w:hint="default"/>
      </w:rPr>
    </w:lvl>
    <w:lvl w:ilvl="4">
      <w:start w:val="0"/>
      <w:numFmt w:val="bullet"/>
      <w:lvlText w:val="•"/>
      <w:lvlJc w:val="left"/>
      <w:pPr>
        <w:ind w:left="2068" w:hanging="360"/>
      </w:pPr>
      <w:rPr>
        <w:rFonts w:hint="default"/>
      </w:rPr>
    </w:lvl>
    <w:lvl w:ilvl="5">
      <w:start w:val="0"/>
      <w:numFmt w:val="bullet"/>
      <w:lvlText w:val="•"/>
      <w:lvlJc w:val="left"/>
      <w:pPr>
        <w:ind w:left="2281" w:hanging="360"/>
      </w:pPr>
      <w:rPr>
        <w:rFonts w:hint="default"/>
      </w:rPr>
    </w:lvl>
    <w:lvl w:ilvl="6">
      <w:start w:val="0"/>
      <w:numFmt w:val="bullet"/>
      <w:lvlText w:val="•"/>
      <w:lvlJc w:val="left"/>
      <w:pPr>
        <w:ind w:left="2493" w:hanging="360"/>
      </w:pPr>
      <w:rPr>
        <w:rFonts w:hint="default"/>
      </w:rPr>
    </w:lvl>
    <w:lvl w:ilvl="7">
      <w:start w:val="0"/>
      <w:numFmt w:val="bullet"/>
      <w:lvlText w:val="•"/>
      <w:lvlJc w:val="left"/>
      <w:pPr>
        <w:ind w:left="2705" w:hanging="360"/>
      </w:pPr>
      <w:rPr>
        <w:rFonts w:hint="default"/>
      </w:rPr>
    </w:lvl>
    <w:lvl w:ilvl="8">
      <w:start w:val="0"/>
      <w:numFmt w:val="bullet"/>
      <w:lvlText w:val="•"/>
      <w:lvlJc w:val="left"/>
      <w:pPr>
        <w:ind w:left="2917" w:hanging="360"/>
      </w:pPr>
      <w:rPr>
        <w:rFonts w:hint="default"/>
      </w:rPr>
    </w:lvl>
  </w:abstractNum>
  <w:abstractNum w:abstractNumId="2">
    <w:multiLevelType w:val="hybridMultilevel"/>
    <w:lvl w:ilvl="0">
      <w:start w:val="5"/>
      <w:numFmt w:val="decimal"/>
      <w:lvlText w:val="%1"/>
      <w:lvlJc w:val="left"/>
      <w:pPr>
        <w:ind w:left="360" w:hanging="360"/>
        <w:jc w:val="left"/>
      </w:pPr>
      <w:rPr>
        <w:rFonts w:hint="default"/>
      </w:rPr>
    </w:lvl>
    <w:lvl w:ilvl="1">
      <w:start w:val="1"/>
      <w:numFmt w:val="decimal"/>
      <w:lvlText w:val="%1.%2"/>
      <w:lvlJc w:val="left"/>
      <w:pPr>
        <w:ind w:left="360" w:hanging="360"/>
        <w:jc w:val="left"/>
      </w:pPr>
      <w:rPr>
        <w:rFonts w:hint="default" w:ascii="黑体" w:hAnsi="黑体" w:eastAsia="黑体" w:cs="黑体"/>
        <w:w w:val="100"/>
        <w:sz w:val="18"/>
        <w:szCs w:val="18"/>
      </w:rPr>
    </w:lvl>
    <w:lvl w:ilvl="2">
      <w:start w:val="0"/>
      <w:numFmt w:val="bullet"/>
      <w:lvlText w:val="•"/>
      <w:lvlJc w:val="left"/>
      <w:pPr>
        <w:ind w:left="828" w:hanging="360"/>
      </w:pPr>
      <w:rPr>
        <w:rFonts w:hint="default"/>
      </w:rPr>
    </w:lvl>
    <w:lvl w:ilvl="3">
      <w:start w:val="0"/>
      <w:numFmt w:val="bullet"/>
      <w:lvlText w:val="•"/>
      <w:lvlJc w:val="left"/>
      <w:pPr>
        <w:ind w:left="1062" w:hanging="360"/>
      </w:pPr>
      <w:rPr>
        <w:rFonts w:hint="default"/>
      </w:rPr>
    </w:lvl>
    <w:lvl w:ilvl="4">
      <w:start w:val="0"/>
      <w:numFmt w:val="bullet"/>
      <w:lvlText w:val="•"/>
      <w:lvlJc w:val="left"/>
      <w:pPr>
        <w:ind w:left="1296" w:hanging="360"/>
      </w:pPr>
      <w:rPr>
        <w:rFonts w:hint="default"/>
      </w:rPr>
    </w:lvl>
    <w:lvl w:ilvl="5">
      <w:start w:val="0"/>
      <w:numFmt w:val="bullet"/>
      <w:lvlText w:val="•"/>
      <w:lvlJc w:val="left"/>
      <w:pPr>
        <w:ind w:left="1530" w:hanging="360"/>
      </w:pPr>
      <w:rPr>
        <w:rFonts w:hint="default"/>
      </w:rPr>
    </w:lvl>
    <w:lvl w:ilvl="6">
      <w:start w:val="0"/>
      <w:numFmt w:val="bullet"/>
      <w:lvlText w:val="•"/>
      <w:lvlJc w:val="left"/>
      <w:pPr>
        <w:ind w:left="1764" w:hanging="360"/>
      </w:pPr>
      <w:rPr>
        <w:rFonts w:hint="default"/>
      </w:rPr>
    </w:lvl>
    <w:lvl w:ilvl="7">
      <w:start w:val="0"/>
      <w:numFmt w:val="bullet"/>
      <w:lvlText w:val="•"/>
      <w:lvlJc w:val="left"/>
      <w:pPr>
        <w:ind w:left="1998" w:hanging="360"/>
      </w:pPr>
      <w:rPr>
        <w:rFonts w:hint="default"/>
      </w:rPr>
    </w:lvl>
    <w:lvl w:ilvl="8">
      <w:start w:val="0"/>
      <w:numFmt w:val="bullet"/>
      <w:lvlText w:val="•"/>
      <w:lvlJc w:val="left"/>
      <w:pPr>
        <w:ind w:left="2232" w:hanging="360"/>
      </w:pPr>
      <w:rPr>
        <w:rFonts w:hint="default"/>
      </w:rPr>
    </w:lvl>
  </w:abstractNum>
  <w:abstractNum w:abstractNumId="1">
    <w:multiLevelType w:val="hybridMultilevel"/>
    <w:lvl w:ilvl="0">
      <w:start w:val="1"/>
      <w:numFmt w:val="decimal"/>
      <w:lvlText w:val="%1"/>
      <w:lvlJc w:val="left"/>
      <w:pPr>
        <w:ind w:left="410" w:hanging="360"/>
        <w:jc w:val="left"/>
      </w:pPr>
      <w:rPr>
        <w:rFonts w:hint="default"/>
      </w:rPr>
    </w:lvl>
    <w:lvl w:ilvl="1">
      <w:start w:val="1"/>
      <w:numFmt w:val="decimal"/>
      <w:lvlText w:val="%1.%2"/>
      <w:lvlJc w:val="left"/>
      <w:pPr>
        <w:ind w:left="410" w:hanging="360"/>
        <w:jc w:val="left"/>
      </w:pPr>
      <w:rPr>
        <w:rFonts w:hint="default" w:ascii="黑体" w:hAnsi="黑体" w:eastAsia="黑体" w:cs="黑体"/>
        <w:w w:val="100"/>
        <w:sz w:val="18"/>
        <w:szCs w:val="18"/>
      </w:rPr>
    </w:lvl>
    <w:lvl w:ilvl="2">
      <w:start w:val="0"/>
      <w:numFmt w:val="bullet"/>
      <w:lvlText w:val="•"/>
      <w:lvlJc w:val="left"/>
      <w:pPr>
        <w:ind w:left="945" w:hanging="360"/>
      </w:pPr>
      <w:rPr>
        <w:rFonts w:hint="default"/>
      </w:rPr>
    </w:lvl>
    <w:lvl w:ilvl="3">
      <w:start w:val="0"/>
      <w:numFmt w:val="bullet"/>
      <w:lvlText w:val="•"/>
      <w:lvlJc w:val="left"/>
      <w:pPr>
        <w:ind w:left="1207" w:hanging="360"/>
      </w:pPr>
      <w:rPr>
        <w:rFonts w:hint="default"/>
      </w:rPr>
    </w:lvl>
    <w:lvl w:ilvl="4">
      <w:start w:val="0"/>
      <w:numFmt w:val="bullet"/>
      <w:lvlText w:val="•"/>
      <w:lvlJc w:val="left"/>
      <w:pPr>
        <w:ind w:left="1470" w:hanging="360"/>
      </w:pPr>
      <w:rPr>
        <w:rFonts w:hint="default"/>
      </w:rPr>
    </w:lvl>
    <w:lvl w:ilvl="5">
      <w:start w:val="0"/>
      <w:numFmt w:val="bullet"/>
      <w:lvlText w:val="•"/>
      <w:lvlJc w:val="left"/>
      <w:pPr>
        <w:ind w:left="1732" w:hanging="360"/>
      </w:pPr>
      <w:rPr>
        <w:rFonts w:hint="default"/>
      </w:rPr>
    </w:lvl>
    <w:lvl w:ilvl="6">
      <w:start w:val="0"/>
      <w:numFmt w:val="bullet"/>
      <w:lvlText w:val="•"/>
      <w:lvlJc w:val="left"/>
      <w:pPr>
        <w:ind w:left="1995" w:hanging="360"/>
      </w:pPr>
      <w:rPr>
        <w:rFonts w:hint="default"/>
      </w:rPr>
    </w:lvl>
    <w:lvl w:ilvl="7">
      <w:start w:val="0"/>
      <w:numFmt w:val="bullet"/>
      <w:lvlText w:val="•"/>
      <w:lvlJc w:val="left"/>
      <w:pPr>
        <w:ind w:left="2257" w:hanging="360"/>
      </w:pPr>
      <w:rPr>
        <w:rFonts w:hint="default"/>
      </w:rPr>
    </w:lvl>
    <w:lvl w:ilvl="8">
      <w:start w:val="0"/>
      <w:numFmt w:val="bullet"/>
      <w:lvlText w:val="•"/>
      <w:lvlJc w:val="left"/>
      <w:pPr>
        <w:ind w:left="2520" w:hanging="360"/>
      </w:pPr>
      <w:rPr>
        <w:rFonts w:hint="default"/>
      </w:rPr>
    </w:lvl>
  </w:abstractNum>
  <w:abstractNum w:abstractNumId="0">
    <w:multiLevelType w:val="hybridMultilevel"/>
    <w:lvl w:ilvl="0">
      <w:start w:val="0"/>
      <w:numFmt w:val="bullet"/>
      <w:lvlText w:val=""/>
      <w:lvlJc w:val="left"/>
      <w:pPr>
        <w:ind w:left="843" w:hanging="453"/>
      </w:pPr>
      <w:rPr>
        <w:rFonts w:hint="default" w:ascii="Wingdings" w:hAnsi="Wingdings" w:eastAsia="Wingdings" w:cs="Wingdings"/>
        <w:w w:val="100"/>
        <w:sz w:val="18"/>
        <w:szCs w:val="18"/>
      </w:rPr>
    </w:lvl>
    <w:lvl w:ilvl="1">
      <w:start w:val="0"/>
      <w:numFmt w:val="bullet"/>
      <w:lvlText w:val="•"/>
      <w:lvlJc w:val="left"/>
      <w:pPr>
        <w:ind w:left="1724" w:hanging="453"/>
      </w:pPr>
      <w:rPr>
        <w:rFonts w:hint="default"/>
      </w:rPr>
    </w:lvl>
    <w:lvl w:ilvl="2">
      <w:start w:val="0"/>
      <w:numFmt w:val="bullet"/>
      <w:lvlText w:val="•"/>
      <w:lvlJc w:val="left"/>
      <w:pPr>
        <w:ind w:left="2608" w:hanging="453"/>
      </w:pPr>
      <w:rPr>
        <w:rFonts w:hint="default"/>
      </w:rPr>
    </w:lvl>
    <w:lvl w:ilvl="3">
      <w:start w:val="0"/>
      <w:numFmt w:val="bullet"/>
      <w:lvlText w:val="•"/>
      <w:lvlJc w:val="left"/>
      <w:pPr>
        <w:ind w:left="3493" w:hanging="453"/>
      </w:pPr>
      <w:rPr>
        <w:rFonts w:hint="default"/>
      </w:rPr>
    </w:lvl>
    <w:lvl w:ilvl="4">
      <w:start w:val="0"/>
      <w:numFmt w:val="bullet"/>
      <w:lvlText w:val="•"/>
      <w:lvlJc w:val="left"/>
      <w:pPr>
        <w:ind w:left="4377" w:hanging="453"/>
      </w:pPr>
      <w:rPr>
        <w:rFonts w:hint="default"/>
      </w:rPr>
    </w:lvl>
    <w:lvl w:ilvl="5">
      <w:start w:val="0"/>
      <w:numFmt w:val="bullet"/>
      <w:lvlText w:val="•"/>
      <w:lvlJc w:val="left"/>
      <w:pPr>
        <w:ind w:left="5262" w:hanging="453"/>
      </w:pPr>
      <w:rPr>
        <w:rFonts w:hint="default"/>
      </w:rPr>
    </w:lvl>
    <w:lvl w:ilvl="6">
      <w:start w:val="0"/>
      <w:numFmt w:val="bullet"/>
      <w:lvlText w:val="•"/>
      <w:lvlJc w:val="left"/>
      <w:pPr>
        <w:ind w:left="6146" w:hanging="453"/>
      </w:pPr>
      <w:rPr>
        <w:rFonts w:hint="default"/>
      </w:rPr>
    </w:lvl>
    <w:lvl w:ilvl="7">
      <w:start w:val="0"/>
      <w:numFmt w:val="bullet"/>
      <w:lvlText w:val="•"/>
      <w:lvlJc w:val="left"/>
      <w:pPr>
        <w:ind w:left="7031" w:hanging="453"/>
      </w:pPr>
      <w:rPr>
        <w:rFonts w:hint="default"/>
      </w:rPr>
    </w:lvl>
    <w:lvl w:ilvl="8">
      <w:start w:val="0"/>
      <w:numFmt w:val="bullet"/>
      <w:lvlText w:val="•"/>
      <w:lvlJc w:val="left"/>
      <w:pPr>
        <w:ind w:left="7915" w:hanging="453"/>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1"/>
      <w:ind w:left="106" w:right="75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818" w:hanging="260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huangyijing</dc:creator>
  <dc:title>&lt;4D6963726F736F667420576F7264202D20CCABB1A3CAD9A1B232303137A1B3323036BAC5B8BDBCFE3720B8BDBCD3CDC5CCE5D6D5C9EDCCD8B6A8BCB2B2A1B1A3CFD5CCF5BFEE2E646F6378&gt;</dc:title>
  <dcterms:created xsi:type="dcterms:W3CDTF">2018-10-20T00:19:45Z</dcterms:created>
  <dcterms:modified xsi:type="dcterms:W3CDTF">2018-10-20T00:19:45Z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2017-07-06T00:00:00Z</vt:filetime>
  </property>
  <property fmtid="{D5CDD505-2E9C-101B-9397-08002B2CF9AE}" pid="3" name="Creator">
    <vt:lpwstr>PScript5.dll Version 5.2.2</vt:lpwstr>
  </property>
  <property fmtid="{D5CDD505-2E9C-101B-9397-08002B2CF9AE}" pid="4" name="LastSaved">
    <vt:filetime>2018-10-19T00:00:00Z</vt:filetime>
  </property>
</Properties>
</file>