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after="1"/>
        <w:rPr>
          <w:rFonts w:ascii="Times New Roman"/>
          <w:sz w:val="28"/>
        </w:rPr>
      </w:pPr>
    </w:p>
    <w:p>
      <w:pPr>
        <w:pStyle w:val="BodyText"/>
        <w:ind w:left="1772"/>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4" w:lineRule="exact" w:before="0"/>
        <w:ind w:left="466" w:right="0" w:firstLine="0"/>
        <w:jc w:val="left"/>
        <w:rPr>
          <w:rFonts w:ascii="Microsoft JhengHei UI" w:eastAsia="Microsoft JhengHei UI" w:hint="eastAsia"/>
          <w:b/>
          <w:sz w:val="32"/>
        </w:rPr>
      </w:pPr>
      <w:r>
        <w:rPr/>
        <w:drawing>
          <wp:anchor distT="0" distB="0" distL="0" distR="0" allowOverlap="1" layoutInCell="1" locked="0" behindDoc="0" simplePos="0" relativeHeight="1072">
            <wp:simplePos x="0" y="0"/>
            <wp:positionH relativeFrom="page">
              <wp:posOffset>5259070</wp:posOffset>
            </wp:positionH>
            <wp:positionV relativeFrom="paragraph">
              <wp:posOffset>-593399</wp:posOffset>
            </wp:positionV>
            <wp:extent cx="1800225" cy="10572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00225" cy="1057275"/>
                    </a:xfrm>
                    <a:prstGeom prst="rect">
                      <a:avLst/>
                    </a:prstGeom>
                  </pic:spPr>
                </pic:pic>
              </a:graphicData>
            </a:graphic>
          </wp:anchor>
        </w:drawing>
      </w:r>
      <w:r>
        <w:rPr>
          <w:rFonts w:ascii="Microsoft JhengHei UI" w:eastAsia="Microsoft JhengHei UI" w:hint="eastAsia"/>
          <w:b/>
          <w:w w:val="95"/>
          <w:sz w:val="32"/>
        </w:rPr>
        <w:t>百年附加财富通提前给付重大疾病保险A款条款</w:t>
      </w:r>
    </w:p>
    <w:p>
      <w:pPr>
        <w:pStyle w:val="BodyText"/>
        <w:rPr>
          <w:rFonts w:ascii="Microsoft JhengHei UI"/>
          <w:b/>
          <w:sz w:val="20"/>
        </w:rPr>
      </w:pPr>
    </w:p>
    <w:p>
      <w:pPr>
        <w:pStyle w:val="BodyText"/>
        <w:spacing w:before="13"/>
        <w:rPr>
          <w:rFonts w:ascii="Microsoft JhengHei UI"/>
          <w:b/>
          <w:sz w:val="18"/>
        </w:rPr>
      </w:pPr>
      <w:r>
        <w:rPr/>
        <w:pict>
          <v:line style="position:absolute;mso-position-horizontal-relative:page;mso-position-vertical-relative:paragraph;z-index:0;mso-wrap-distance-left:0;mso-wrap-distance-right:0" from="66.599998pt,17.970284pt" to="528.599998pt,17.970284pt" stroked="true" strokeweight=".75pt" strokecolor="#000000">
            <v:stroke dashstyle="solid"/>
            <w10:wrap type="topAndBottom"/>
          </v:line>
        </w:pict>
      </w:r>
      <w:r>
        <w:rPr/>
        <w:pict>
          <v:shape style="position:absolute;margin-left:231.5pt;margin-top:30.190285pt;width:131.25pt;height:39pt;mso-position-horizontal-relative:page;mso-position-vertical-relative:paragraph;z-index:1048;mso-wrap-distance-left:0;mso-wrap-distance-right:0" type="#_x0000_t202" filled="false" stroked="true" strokeweight="1pt" strokecolor="#000000">
            <v:textbox inset="0,0,0,0">
              <w:txbxContent>
                <w:p>
                  <w:pPr>
                    <w:spacing w:before="62"/>
                    <w:ind w:left="422" w:right="0" w:firstLine="0"/>
                    <w:jc w:val="left"/>
                    <w:rPr>
                      <w:rFonts w:ascii="Microsoft JhengHei UI" w:eastAsia="Microsoft JhengHei UI" w:hint="eastAsia"/>
                      <w:b/>
                      <w:sz w:val="32"/>
                    </w:rPr>
                  </w:pPr>
                  <w:r>
                    <w:rPr>
                      <w:rFonts w:ascii="Microsoft JhengHei UI" w:eastAsia="Microsoft JhengHei UI" w:hint="eastAsia"/>
                      <w:b/>
                      <w:sz w:val="32"/>
                    </w:rPr>
                    <w:t>阅  读  指  引</w:t>
                  </w:r>
                </w:p>
              </w:txbxContent>
            </v:textbox>
            <v:stroke linestyle="thinThin" dashstyle="solid"/>
            <w10:wrap type="topAndBottom"/>
          </v:shape>
        </w:pict>
      </w:r>
    </w:p>
    <w:p>
      <w:pPr>
        <w:pStyle w:val="BodyText"/>
        <w:spacing w:before="8"/>
        <w:rPr>
          <w:rFonts w:ascii="Microsoft JhengHei UI"/>
          <w:b/>
          <w:sz w:val="9"/>
        </w:rPr>
      </w:pPr>
    </w:p>
    <w:p>
      <w:pPr>
        <w:pStyle w:val="BodyText"/>
        <w:spacing w:before="7"/>
        <w:rPr>
          <w:rFonts w:ascii="Microsoft JhengHei UI"/>
          <w:b/>
          <w:sz w:val="11"/>
        </w:rPr>
      </w:pPr>
    </w:p>
    <w:p>
      <w:pPr>
        <w:pStyle w:val="BodyText"/>
        <w:spacing w:before="37"/>
        <w:ind w:left="1918"/>
      </w:pPr>
      <w:r>
        <w:rPr/>
        <w:t>本阅读指引有助于您理解条款，对本附加合同内容的解释以条款为准。</w:t>
      </w:r>
    </w:p>
    <w:p>
      <w:pPr>
        <w:tabs>
          <w:tab w:pos="973" w:val="left" w:leader="none"/>
        </w:tabs>
        <w:spacing w:before="37"/>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3"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tabs>
          <w:tab w:pos="973" w:val="left" w:leader="none"/>
        </w:tabs>
        <w:spacing w:before="22"/>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spacing w:before="22"/>
        <w:ind w:left="697" w:right="0" w:firstLine="0"/>
        <w:jc w:val="left"/>
        <w:rPr>
          <w:sz w:val="21"/>
        </w:rPr>
      </w:pPr>
      <w:r>
        <w:rPr>
          <w:b/>
          <w:sz w:val="21"/>
        </w:rPr>
        <w:t>条款是保险合同的重要内容，为充分保障您的权益，请您仔细阅读本条款</w:t>
      </w:r>
      <w:r>
        <w:rPr>
          <w:sz w:val="21"/>
        </w:rPr>
        <w:t>。</w:t>
      </w:r>
    </w:p>
    <w:p>
      <w:pPr>
        <w:spacing w:before="36" w:after="22"/>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4"/>
        <w:gridCol w:w="3092"/>
        <w:gridCol w:w="3197"/>
      </w:tblGrid>
      <w:tr>
        <w:trPr>
          <w:trHeight w:val="6340" w:hRule="atLeast"/>
        </w:trPr>
        <w:tc>
          <w:tcPr>
            <w:tcW w:w="3124" w:type="dxa"/>
          </w:tcPr>
          <w:p>
            <w:pPr>
              <w:pStyle w:val="TableParagraph"/>
              <w:spacing w:before="61"/>
              <w:ind w:left="152"/>
              <w:rPr>
                <w:b/>
                <w:sz w:val="21"/>
              </w:rPr>
            </w:pPr>
            <w:r>
              <w:rPr>
                <w:b/>
                <w:sz w:val="21"/>
              </w:rPr>
              <w:t>1． 您与我们订立的合同</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合同构成</w:t>
            </w:r>
          </w:p>
          <w:p>
            <w:pPr>
              <w:pStyle w:val="TableParagraph"/>
              <w:numPr>
                <w:ilvl w:val="1"/>
                <w:numId w:val="2"/>
              </w:numPr>
              <w:tabs>
                <w:tab w:pos="918" w:val="left" w:leader="none"/>
              </w:tabs>
              <w:spacing w:line="240" w:lineRule="auto" w:before="37" w:after="0"/>
              <w:ind w:left="918" w:right="0" w:hanging="406"/>
              <w:jc w:val="left"/>
              <w:rPr>
                <w:sz w:val="21"/>
              </w:rPr>
            </w:pPr>
            <w:r>
              <w:rPr>
                <w:spacing w:val="-2"/>
                <w:sz w:val="21"/>
              </w:rPr>
              <w:t>合同成立与生效</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投保年龄</w:t>
            </w:r>
          </w:p>
          <w:p>
            <w:pPr>
              <w:pStyle w:val="TableParagraph"/>
              <w:numPr>
                <w:ilvl w:val="1"/>
                <w:numId w:val="2"/>
              </w:numPr>
              <w:tabs>
                <w:tab w:pos="918" w:val="left" w:leader="none"/>
              </w:tabs>
              <w:spacing w:line="240" w:lineRule="auto" w:before="37" w:after="0"/>
              <w:ind w:left="918" w:right="0" w:hanging="406"/>
              <w:jc w:val="left"/>
              <w:rPr>
                <w:sz w:val="21"/>
              </w:rPr>
            </w:pPr>
            <w:r>
              <w:rPr>
                <w:sz w:val="21"/>
              </w:rPr>
              <w:t>犹豫期</w:t>
            </w:r>
          </w:p>
          <w:p>
            <w:pPr>
              <w:pStyle w:val="TableParagraph"/>
              <w:spacing w:before="37"/>
              <w:ind w:left="152"/>
              <w:rPr>
                <w:b/>
                <w:sz w:val="21"/>
              </w:rPr>
            </w:pPr>
            <w:r>
              <w:rPr>
                <w:b/>
                <w:sz w:val="21"/>
              </w:rPr>
              <w:t>2． 我们提供的保障</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基本保额</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保险期间</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保险责任</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责任免除</w:t>
            </w:r>
          </w:p>
          <w:p>
            <w:pPr>
              <w:pStyle w:val="TableParagraph"/>
              <w:numPr>
                <w:ilvl w:val="0"/>
                <w:numId w:val="4"/>
              </w:numPr>
              <w:tabs>
                <w:tab w:pos="470" w:val="left" w:leader="none"/>
              </w:tabs>
              <w:spacing w:line="240" w:lineRule="auto" w:before="37" w:after="0"/>
              <w:ind w:left="469" w:right="0" w:hanging="317"/>
              <w:jc w:val="left"/>
              <w:rPr>
                <w:b/>
                <w:sz w:val="21"/>
              </w:rPr>
            </w:pPr>
            <w:r>
              <w:rPr>
                <w:b/>
                <w:sz w:val="21"/>
              </w:rPr>
              <w:t>重大疾病</w:t>
            </w:r>
          </w:p>
          <w:p>
            <w:pPr>
              <w:pStyle w:val="TableParagraph"/>
              <w:numPr>
                <w:ilvl w:val="1"/>
                <w:numId w:val="4"/>
              </w:numPr>
              <w:tabs>
                <w:tab w:pos="935" w:val="left" w:leader="none"/>
              </w:tabs>
              <w:spacing w:line="240" w:lineRule="auto" w:before="37" w:after="0"/>
              <w:ind w:left="152" w:right="0" w:firstLine="360"/>
              <w:jc w:val="left"/>
              <w:rPr>
                <w:sz w:val="21"/>
              </w:rPr>
            </w:pPr>
            <w:r>
              <w:rPr>
                <w:spacing w:val="-3"/>
                <w:sz w:val="21"/>
              </w:rPr>
              <w:t>重大疾病范围</w:t>
            </w:r>
          </w:p>
          <w:p>
            <w:pPr>
              <w:pStyle w:val="TableParagraph"/>
              <w:numPr>
                <w:ilvl w:val="1"/>
                <w:numId w:val="4"/>
              </w:numPr>
              <w:tabs>
                <w:tab w:pos="935" w:val="left" w:leader="none"/>
              </w:tabs>
              <w:spacing w:line="273" w:lineRule="auto" w:before="37" w:after="0"/>
              <w:ind w:left="152" w:right="911"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5" w:val="left" w:leader="none"/>
              </w:tabs>
              <w:spacing w:line="240" w:lineRule="auto" w:before="8" w:after="0"/>
              <w:ind w:left="932" w:right="0" w:hanging="420"/>
              <w:jc w:val="left"/>
              <w:rPr>
                <w:sz w:val="21"/>
              </w:rPr>
            </w:pPr>
            <w:r>
              <w:rPr>
                <w:spacing w:val="-2"/>
                <w:sz w:val="21"/>
              </w:rPr>
              <w:t>受益人</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保险事故通知</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保险金申请</w:t>
            </w:r>
          </w:p>
          <w:p>
            <w:pPr>
              <w:pStyle w:val="TableParagraph"/>
              <w:numPr>
                <w:ilvl w:val="1"/>
                <w:numId w:val="5"/>
              </w:numPr>
              <w:tabs>
                <w:tab w:pos="935" w:val="left" w:leader="none"/>
              </w:tabs>
              <w:spacing w:line="273" w:lineRule="auto" w:before="37" w:after="0"/>
              <w:ind w:left="932" w:right="280" w:hanging="420"/>
              <w:jc w:val="left"/>
              <w:rPr>
                <w:sz w:val="21"/>
              </w:rPr>
            </w:pPr>
            <w:r>
              <w:rPr>
                <w:spacing w:val="-3"/>
                <w:sz w:val="21"/>
              </w:rPr>
              <w:t>委托他人代为申请保险金</w:t>
            </w:r>
          </w:p>
          <w:p>
            <w:pPr>
              <w:pStyle w:val="TableParagraph"/>
              <w:numPr>
                <w:ilvl w:val="1"/>
                <w:numId w:val="5"/>
              </w:numPr>
              <w:tabs>
                <w:tab w:pos="935" w:val="left" w:leader="none"/>
              </w:tabs>
              <w:spacing w:line="240" w:lineRule="auto" w:before="7" w:after="0"/>
              <w:ind w:left="932" w:right="0" w:hanging="420"/>
              <w:jc w:val="left"/>
              <w:rPr>
                <w:sz w:val="21"/>
              </w:rPr>
            </w:pPr>
            <w:r>
              <w:rPr>
                <w:spacing w:val="-3"/>
                <w:sz w:val="21"/>
              </w:rPr>
              <w:t>提供补充材料</w:t>
            </w:r>
          </w:p>
        </w:tc>
        <w:tc>
          <w:tcPr>
            <w:tcW w:w="3092" w:type="dxa"/>
          </w:tcPr>
          <w:p>
            <w:pPr>
              <w:pStyle w:val="TableParagraph"/>
              <w:numPr>
                <w:ilvl w:val="1"/>
                <w:numId w:val="6"/>
              </w:numPr>
              <w:tabs>
                <w:tab w:pos="937" w:val="left" w:leader="none"/>
              </w:tabs>
              <w:spacing w:line="240" w:lineRule="auto" w:before="61" w:after="0"/>
              <w:ind w:left="936" w:right="0" w:hanging="423"/>
              <w:jc w:val="left"/>
              <w:rPr>
                <w:sz w:val="21"/>
              </w:rPr>
            </w:pPr>
            <w:r>
              <w:rPr>
                <w:spacing w:val="-3"/>
                <w:sz w:val="21"/>
              </w:rPr>
              <w:t>保险金给付</w:t>
            </w:r>
          </w:p>
          <w:p>
            <w:pPr>
              <w:pStyle w:val="TableParagraph"/>
              <w:numPr>
                <w:ilvl w:val="1"/>
                <w:numId w:val="6"/>
              </w:numPr>
              <w:tabs>
                <w:tab w:pos="937" w:val="left" w:leader="none"/>
              </w:tabs>
              <w:spacing w:line="240" w:lineRule="auto" w:before="37" w:after="0"/>
              <w:ind w:left="936" w:right="0" w:hanging="423"/>
              <w:jc w:val="left"/>
              <w:rPr>
                <w:sz w:val="21"/>
              </w:rPr>
            </w:pPr>
            <w:r>
              <w:rPr>
                <w:spacing w:val="-3"/>
                <w:sz w:val="21"/>
              </w:rPr>
              <w:t>诉讼时效</w:t>
            </w:r>
          </w:p>
          <w:p>
            <w:pPr>
              <w:pStyle w:val="TableParagraph"/>
              <w:spacing w:before="37"/>
              <w:ind w:left="153"/>
              <w:rPr>
                <w:b/>
                <w:sz w:val="21"/>
              </w:rPr>
            </w:pPr>
            <w:r>
              <w:rPr>
                <w:b/>
                <w:sz w:val="21"/>
              </w:rPr>
              <w:t>5．保险费的交纳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3"/>
                <w:sz w:val="21"/>
              </w:rPr>
              <w:t>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2"/>
                <w:sz w:val="21"/>
              </w:rPr>
              <w:t>宽限期</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合同效力中止与恢复</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效力中止</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效力恢复</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犹豫期后的合同解除</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您解除合同的手续</w:t>
            </w:r>
          </w:p>
          <w:p>
            <w:pPr>
              <w:pStyle w:val="TableParagraph"/>
              <w:spacing w:before="37"/>
              <w:ind w:left="153"/>
              <w:rPr>
                <w:b/>
                <w:sz w:val="21"/>
              </w:rPr>
            </w:pPr>
            <w:r>
              <w:rPr>
                <w:b/>
                <w:sz w:val="21"/>
              </w:rPr>
              <w:t>8．明确说明与如实告知</w:t>
            </w:r>
          </w:p>
          <w:p>
            <w:pPr>
              <w:pStyle w:val="TableParagraph"/>
              <w:numPr>
                <w:ilvl w:val="1"/>
                <w:numId w:val="9"/>
              </w:numPr>
              <w:tabs>
                <w:tab w:pos="937" w:val="left" w:leader="none"/>
              </w:tabs>
              <w:spacing w:line="240" w:lineRule="auto" w:before="37" w:after="0"/>
              <w:ind w:left="933" w:right="0" w:hanging="420"/>
              <w:jc w:val="left"/>
              <w:rPr>
                <w:sz w:val="21"/>
              </w:rPr>
            </w:pPr>
            <w:r>
              <w:rPr>
                <w:spacing w:val="-3"/>
                <w:sz w:val="21"/>
              </w:rPr>
              <w:t>明确说明与如实告知</w:t>
            </w:r>
          </w:p>
          <w:p>
            <w:pPr>
              <w:pStyle w:val="TableParagraph"/>
              <w:numPr>
                <w:ilvl w:val="1"/>
                <w:numId w:val="9"/>
              </w:numPr>
              <w:tabs>
                <w:tab w:pos="937" w:val="left" w:leader="none"/>
              </w:tabs>
              <w:spacing w:line="273" w:lineRule="auto" w:before="37" w:after="0"/>
              <w:ind w:left="933" w:right="247" w:hanging="420"/>
              <w:jc w:val="left"/>
              <w:rPr>
                <w:sz w:val="21"/>
              </w:rPr>
            </w:pPr>
            <w:r>
              <w:rPr>
                <w:spacing w:val="-3"/>
                <w:sz w:val="21"/>
              </w:rPr>
              <w:t>本公司合同解除权的限制</w:t>
            </w:r>
          </w:p>
          <w:p>
            <w:pPr>
              <w:pStyle w:val="TableParagraph"/>
              <w:spacing w:before="8"/>
              <w:ind w:left="153"/>
              <w:rPr>
                <w:b/>
                <w:sz w:val="21"/>
              </w:rPr>
            </w:pPr>
            <w:r>
              <w:rPr>
                <w:b/>
                <w:sz w:val="21"/>
              </w:rPr>
              <w:t>9．其他需要关注的事项</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年龄性别错误</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合同效力终止</w:t>
            </w:r>
          </w:p>
          <w:p>
            <w:pPr>
              <w:pStyle w:val="TableParagraph"/>
              <w:numPr>
                <w:ilvl w:val="1"/>
                <w:numId w:val="10"/>
              </w:numPr>
              <w:tabs>
                <w:tab w:pos="937" w:val="left" w:leader="none"/>
              </w:tabs>
              <w:spacing w:line="273" w:lineRule="auto" w:before="37" w:after="0"/>
              <w:ind w:left="933" w:right="247" w:hanging="420"/>
              <w:jc w:val="left"/>
              <w:rPr>
                <w:sz w:val="21"/>
              </w:rPr>
            </w:pPr>
            <w:r>
              <w:rPr>
                <w:spacing w:val="-3"/>
                <w:sz w:val="21"/>
              </w:rPr>
              <w:t>与主合同不一致的解决</w:t>
            </w:r>
          </w:p>
          <w:p>
            <w:pPr>
              <w:pStyle w:val="TableParagraph"/>
              <w:spacing w:before="7"/>
              <w:ind w:left="153"/>
              <w:rPr>
                <w:b/>
                <w:sz w:val="21"/>
              </w:rPr>
            </w:pPr>
            <w:r>
              <w:rPr>
                <w:b/>
                <w:sz w:val="21"/>
              </w:rPr>
              <w:t>10. 释义</w:t>
            </w:r>
          </w:p>
        </w:tc>
        <w:tc>
          <w:tcPr>
            <w:tcW w:w="3197" w:type="dxa"/>
          </w:tcPr>
          <w:p>
            <w:pPr>
              <w:pStyle w:val="TableParagraph"/>
              <w:numPr>
                <w:ilvl w:val="1"/>
                <w:numId w:val="11"/>
              </w:numPr>
              <w:tabs>
                <w:tab w:pos="891" w:val="left" w:leader="none"/>
              </w:tabs>
              <w:spacing w:line="240" w:lineRule="auto" w:before="61" w:after="0"/>
              <w:ind w:left="928" w:right="0" w:hanging="564"/>
              <w:jc w:val="left"/>
              <w:rPr>
                <w:sz w:val="21"/>
              </w:rPr>
            </w:pPr>
            <w:r>
              <w:rPr>
                <w:spacing w:val="-3"/>
                <w:sz w:val="21"/>
              </w:rPr>
              <w:t>我们认可的医院</w:t>
            </w:r>
          </w:p>
          <w:p>
            <w:pPr>
              <w:pStyle w:val="TableParagraph"/>
              <w:numPr>
                <w:ilvl w:val="1"/>
                <w:numId w:val="11"/>
              </w:numPr>
              <w:tabs>
                <w:tab w:pos="891" w:val="left" w:leader="none"/>
              </w:tabs>
              <w:spacing w:line="240" w:lineRule="auto" w:before="37" w:after="0"/>
              <w:ind w:left="928" w:right="0" w:hanging="564"/>
              <w:jc w:val="left"/>
              <w:rPr>
                <w:sz w:val="21"/>
              </w:rPr>
            </w:pPr>
            <w:r>
              <w:rPr>
                <w:sz w:val="21"/>
              </w:rPr>
              <w:t>毒品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管制药品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酒后驾驶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无合法有效驾驶证驾驶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无有效行驶证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机动车</w:t>
            </w:r>
          </w:p>
          <w:p>
            <w:pPr>
              <w:pStyle w:val="TableParagraph"/>
              <w:numPr>
                <w:ilvl w:val="1"/>
                <w:numId w:val="11"/>
              </w:numPr>
              <w:tabs>
                <w:tab w:pos="893" w:val="left" w:leader="none"/>
              </w:tabs>
              <w:spacing w:line="273" w:lineRule="auto" w:before="37" w:after="0"/>
              <w:ind w:left="928" w:right="128" w:hanging="566"/>
              <w:jc w:val="left"/>
              <w:rPr>
                <w:sz w:val="21"/>
              </w:rPr>
            </w:pPr>
            <w:r>
              <w:rPr>
                <w:spacing w:val="1"/>
                <w:sz w:val="21"/>
              </w:rPr>
              <w:t>感染艾滋病病毒或患艾滋病</w:t>
            </w:r>
          </w:p>
          <w:p>
            <w:pPr>
              <w:pStyle w:val="TableParagraph"/>
              <w:numPr>
                <w:ilvl w:val="1"/>
                <w:numId w:val="11"/>
              </w:numPr>
              <w:tabs>
                <w:tab w:pos="891" w:val="left" w:leader="none"/>
              </w:tabs>
              <w:spacing w:line="240" w:lineRule="auto" w:before="7" w:after="0"/>
              <w:ind w:left="928" w:right="0" w:hanging="564"/>
              <w:jc w:val="left"/>
              <w:rPr>
                <w:sz w:val="21"/>
              </w:rPr>
            </w:pPr>
            <w:r>
              <w:rPr>
                <w:spacing w:val="-3"/>
                <w:sz w:val="21"/>
              </w:rPr>
              <w:t>遗传性疾病</w:t>
            </w:r>
          </w:p>
          <w:p>
            <w:pPr>
              <w:pStyle w:val="TableParagraph"/>
              <w:numPr>
                <w:ilvl w:val="1"/>
                <w:numId w:val="11"/>
              </w:numPr>
              <w:tabs>
                <w:tab w:pos="999" w:val="left" w:leader="none"/>
              </w:tabs>
              <w:spacing w:line="268" w:lineRule="auto" w:before="31" w:after="0"/>
              <w:ind w:left="993" w:right="131" w:hanging="629"/>
              <w:jc w:val="left"/>
              <w:rPr>
                <w:sz w:val="21"/>
              </w:rPr>
            </w:pPr>
            <w:r>
              <w:rPr>
                <w:spacing w:val="-10"/>
                <w:position w:val="1"/>
                <w:sz w:val="21"/>
              </w:rPr>
              <w:t>先天性畸形、变</w:t>
            </w:r>
            <w:r>
              <w:rPr>
                <w:sz w:val="21"/>
              </w:rPr>
              <w:t>形或染色体异常</w:t>
            </w:r>
          </w:p>
          <w:p>
            <w:pPr>
              <w:pStyle w:val="TableParagraph"/>
              <w:numPr>
                <w:ilvl w:val="1"/>
                <w:numId w:val="11"/>
              </w:numPr>
              <w:tabs>
                <w:tab w:pos="996" w:val="left" w:leader="none"/>
              </w:tabs>
              <w:spacing w:line="240" w:lineRule="auto" w:before="11" w:after="0"/>
              <w:ind w:left="995" w:right="0" w:hanging="631"/>
              <w:jc w:val="left"/>
              <w:rPr>
                <w:sz w:val="21"/>
              </w:rPr>
            </w:pPr>
            <w:r>
              <w:rPr>
                <w:spacing w:val="-2"/>
                <w:sz w:val="21"/>
              </w:rPr>
              <w:t>现金价值</w:t>
            </w:r>
          </w:p>
          <w:p>
            <w:pPr>
              <w:pStyle w:val="TableParagraph"/>
              <w:numPr>
                <w:ilvl w:val="1"/>
                <w:numId w:val="11"/>
              </w:numPr>
              <w:tabs>
                <w:tab w:pos="996" w:val="left" w:leader="none"/>
              </w:tabs>
              <w:spacing w:line="240" w:lineRule="auto" w:before="37" w:after="0"/>
              <w:ind w:left="995" w:right="0" w:hanging="631"/>
              <w:jc w:val="left"/>
              <w:rPr>
                <w:sz w:val="21"/>
              </w:rPr>
            </w:pPr>
            <w:r>
              <w:rPr>
                <w:spacing w:val="-2"/>
                <w:sz w:val="21"/>
              </w:rPr>
              <w:t>专科医生</w:t>
            </w:r>
          </w:p>
          <w:p>
            <w:pPr>
              <w:pStyle w:val="TableParagraph"/>
              <w:numPr>
                <w:ilvl w:val="1"/>
                <w:numId w:val="11"/>
              </w:numPr>
              <w:tabs>
                <w:tab w:pos="996" w:val="left" w:leader="none"/>
              </w:tabs>
              <w:spacing w:line="240" w:lineRule="auto" w:before="37" w:after="0"/>
              <w:ind w:left="995" w:right="0" w:hanging="631"/>
              <w:jc w:val="left"/>
              <w:rPr>
                <w:sz w:val="21"/>
              </w:rPr>
            </w:pPr>
            <w:r>
              <w:rPr>
                <w:spacing w:val="-3"/>
                <w:sz w:val="21"/>
              </w:rPr>
              <w:t>肢体机能完全丧失</w:t>
            </w:r>
          </w:p>
          <w:p>
            <w:pPr>
              <w:pStyle w:val="TableParagraph"/>
              <w:numPr>
                <w:ilvl w:val="1"/>
                <w:numId w:val="11"/>
              </w:numPr>
              <w:tabs>
                <w:tab w:pos="996" w:val="left" w:leader="none"/>
              </w:tabs>
              <w:spacing w:line="273" w:lineRule="auto" w:before="37" w:after="0"/>
              <w:ind w:left="993" w:right="292" w:hanging="629"/>
              <w:jc w:val="left"/>
              <w:rPr>
                <w:sz w:val="21"/>
              </w:rPr>
            </w:pPr>
            <w:r>
              <w:rPr>
                <w:spacing w:val="-3"/>
                <w:sz w:val="21"/>
              </w:rPr>
              <w:t>语言能力或咀嚼吞咽能力完全丧失</w:t>
            </w:r>
          </w:p>
          <w:p>
            <w:pPr>
              <w:pStyle w:val="TableParagraph"/>
              <w:numPr>
                <w:ilvl w:val="1"/>
                <w:numId w:val="11"/>
              </w:numPr>
              <w:tabs>
                <w:tab w:pos="996" w:val="left" w:leader="none"/>
              </w:tabs>
              <w:spacing w:line="240" w:lineRule="auto" w:before="2" w:after="0"/>
              <w:ind w:left="995" w:right="0" w:hanging="631"/>
              <w:jc w:val="left"/>
              <w:rPr>
                <w:sz w:val="21"/>
              </w:rPr>
            </w:pPr>
            <w:r>
              <w:rPr>
                <w:spacing w:val="-20"/>
                <w:position w:val="1"/>
                <w:sz w:val="21"/>
              </w:rPr>
              <w:t>六项基本日常生活活动</w:t>
            </w:r>
          </w:p>
          <w:p>
            <w:pPr>
              <w:pStyle w:val="TableParagraph"/>
              <w:numPr>
                <w:ilvl w:val="1"/>
                <w:numId w:val="11"/>
              </w:numPr>
              <w:tabs>
                <w:tab w:pos="996" w:val="left" w:leader="none"/>
              </w:tabs>
              <w:spacing w:line="240" w:lineRule="auto" w:before="27" w:after="0"/>
              <w:ind w:left="995" w:right="0" w:hanging="631"/>
              <w:jc w:val="left"/>
              <w:rPr>
                <w:sz w:val="21"/>
              </w:rPr>
            </w:pPr>
            <w:r>
              <w:rPr>
                <w:position w:val="1"/>
                <w:sz w:val="21"/>
              </w:rPr>
              <w:t>永久不可逆</w:t>
            </w:r>
          </w:p>
          <w:p>
            <w:pPr>
              <w:pStyle w:val="TableParagraph"/>
              <w:numPr>
                <w:ilvl w:val="1"/>
                <w:numId w:val="11"/>
              </w:numPr>
              <w:tabs>
                <w:tab w:pos="996" w:val="left" w:leader="none"/>
              </w:tabs>
              <w:spacing w:line="240" w:lineRule="auto" w:before="32" w:after="0"/>
              <w:ind w:left="995" w:right="0" w:hanging="631"/>
              <w:jc w:val="left"/>
              <w:rPr>
                <w:sz w:val="21"/>
              </w:rPr>
            </w:pPr>
            <w:r>
              <w:rPr>
                <w:spacing w:val="-3"/>
                <w:sz w:val="21"/>
              </w:rPr>
              <w:t>本合同约定利率</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68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（以下简称本合同）指您与我们之间订立的“百年附加财富通提前给付重大疾病 A 款保险合同”。</w:t>
      </w:r>
    </w:p>
    <w:p>
      <w:pPr>
        <w:pStyle w:val="BodyText"/>
        <w:spacing w:before="6"/>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6"/>
      </w:tblGrid>
      <w:tr>
        <w:trPr>
          <w:trHeight w:val="402" w:hRule="atLeast"/>
        </w:trPr>
        <w:tc>
          <w:tcPr>
            <w:tcW w:w="627" w:type="dxa"/>
            <w:tcBorders>
              <w:bottom w:val="single" w:sz="6" w:space="0" w:color="000000"/>
            </w:tcBorders>
          </w:tcPr>
          <w:p>
            <w:pPr>
              <w:pStyle w:val="TableParagraph"/>
              <w:spacing w:line="322" w:lineRule="exact" w:before="0"/>
              <w:ind w:left="-2"/>
              <w:rPr>
                <w:b/>
                <w:sz w:val="28"/>
              </w:rPr>
            </w:pPr>
            <w:r>
              <w:rPr>
                <w:b/>
                <w:w w:val="99"/>
                <w:sz w:val="28"/>
              </w:rPr>
              <w:t>⒈</w:t>
            </w:r>
          </w:p>
        </w:tc>
        <w:tc>
          <w:tcPr>
            <w:tcW w:w="9352"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5" w:hRule="atLeast"/>
        </w:trPr>
        <w:tc>
          <w:tcPr>
            <w:tcW w:w="627" w:type="dxa"/>
            <w:tcBorders>
              <w:top w:val="single" w:sz="6" w:space="0" w:color="000000"/>
            </w:tcBorders>
          </w:tcPr>
          <w:p>
            <w:pPr>
              <w:pStyle w:val="TableParagraph"/>
              <w:spacing w:before="150"/>
              <w:ind w:left="-2"/>
              <w:rPr>
                <w:b/>
                <w:sz w:val="21"/>
              </w:rPr>
            </w:pPr>
            <w:r>
              <w:rPr>
                <w:b/>
                <w:sz w:val="21"/>
              </w:rPr>
              <w:t>1.1</w:t>
            </w:r>
          </w:p>
        </w:tc>
        <w:tc>
          <w:tcPr>
            <w:tcW w:w="1776" w:type="dxa"/>
            <w:tcBorders>
              <w:top w:val="single" w:sz="6" w:space="0" w:color="000000"/>
            </w:tcBorders>
          </w:tcPr>
          <w:p>
            <w:pPr>
              <w:pStyle w:val="TableParagraph"/>
              <w:spacing w:before="150"/>
              <w:ind w:left="310"/>
              <w:rPr>
                <w:b/>
                <w:sz w:val="21"/>
              </w:rPr>
            </w:pPr>
            <w:r>
              <w:rPr>
                <w:b/>
                <w:sz w:val="21"/>
              </w:rPr>
              <w:t>合同构成</w:t>
            </w:r>
          </w:p>
        </w:tc>
        <w:tc>
          <w:tcPr>
            <w:tcW w:w="7576" w:type="dxa"/>
            <w:tcBorders>
              <w:top w:val="single" w:sz="6" w:space="0" w:color="000000"/>
            </w:tcBorders>
          </w:tcPr>
          <w:p>
            <w:pPr>
              <w:pStyle w:val="TableParagraph"/>
              <w:spacing w:line="273" w:lineRule="auto" w:before="150"/>
              <w:ind w:left="197" w:right="18"/>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97" w:right="105"/>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7" w:type="dxa"/>
          </w:tcPr>
          <w:p>
            <w:pPr>
              <w:pStyle w:val="TableParagraph"/>
              <w:ind w:left="-2"/>
              <w:rPr>
                <w:b/>
                <w:sz w:val="21"/>
              </w:rPr>
            </w:pPr>
            <w:r>
              <w:rPr>
                <w:b/>
                <w:sz w:val="21"/>
              </w:rPr>
              <w:t>1.2</w:t>
            </w:r>
          </w:p>
        </w:tc>
        <w:tc>
          <w:tcPr>
            <w:tcW w:w="1776" w:type="dxa"/>
          </w:tcPr>
          <w:p>
            <w:pPr>
              <w:pStyle w:val="TableParagraph"/>
              <w:spacing w:line="273" w:lineRule="auto"/>
              <w:ind w:left="310" w:right="196"/>
              <w:rPr>
                <w:b/>
                <w:sz w:val="21"/>
              </w:rPr>
            </w:pPr>
            <w:r>
              <w:rPr>
                <w:b/>
                <w:sz w:val="21"/>
              </w:rPr>
              <w:t>合同成立与生效</w:t>
            </w:r>
          </w:p>
        </w:tc>
        <w:tc>
          <w:tcPr>
            <w:tcW w:w="7576" w:type="dxa"/>
          </w:tcPr>
          <w:p>
            <w:pPr>
              <w:pStyle w:val="TableParagraph"/>
              <w:ind w:left="197"/>
              <w:rPr>
                <w:sz w:val="21"/>
              </w:rPr>
            </w:pPr>
            <w:r>
              <w:rPr>
                <w:sz w:val="21"/>
              </w:rPr>
              <w:t>本合同须与主合同同时投保，本合同成立及生效日与主合同相同。</w:t>
            </w:r>
          </w:p>
        </w:tc>
      </w:tr>
      <w:tr>
        <w:trPr>
          <w:trHeight w:val="804" w:hRule="atLeast"/>
        </w:trPr>
        <w:tc>
          <w:tcPr>
            <w:tcW w:w="627" w:type="dxa"/>
          </w:tcPr>
          <w:p>
            <w:pPr>
              <w:pStyle w:val="TableParagraph"/>
              <w:spacing w:before="77"/>
              <w:ind w:left="-2"/>
              <w:rPr>
                <w:b/>
                <w:sz w:val="21"/>
              </w:rPr>
            </w:pPr>
            <w:r>
              <w:rPr>
                <w:b/>
                <w:sz w:val="21"/>
              </w:rPr>
              <w:t>1.3</w:t>
            </w:r>
          </w:p>
        </w:tc>
        <w:tc>
          <w:tcPr>
            <w:tcW w:w="1776" w:type="dxa"/>
          </w:tcPr>
          <w:p>
            <w:pPr>
              <w:pStyle w:val="TableParagraph"/>
              <w:spacing w:before="77"/>
              <w:ind w:left="310"/>
              <w:rPr>
                <w:b/>
                <w:sz w:val="21"/>
              </w:rPr>
            </w:pPr>
            <w:r>
              <w:rPr>
                <w:b/>
                <w:sz w:val="21"/>
              </w:rPr>
              <w:t>投保年龄</w:t>
            </w:r>
          </w:p>
        </w:tc>
        <w:tc>
          <w:tcPr>
            <w:tcW w:w="7576" w:type="dxa"/>
          </w:tcPr>
          <w:p>
            <w:pPr>
              <w:pStyle w:val="TableParagraph"/>
              <w:spacing w:before="77"/>
              <w:ind w:left="197"/>
              <w:rPr>
                <w:sz w:val="21"/>
              </w:rPr>
            </w:pPr>
            <w:r>
              <w:rPr>
                <w:sz w:val="21"/>
              </w:rPr>
              <w:t>指您投保时被保险人的年龄，投保年龄以周岁计算，本合同接受的投保年龄为</w:t>
            </w:r>
          </w:p>
          <w:p>
            <w:pPr>
              <w:pStyle w:val="TableParagraph"/>
              <w:spacing w:before="37"/>
              <w:ind w:left="197"/>
              <w:rPr>
                <w:sz w:val="21"/>
              </w:rPr>
            </w:pPr>
            <w:r>
              <w:rPr>
                <w:sz w:val="21"/>
              </w:rPr>
              <w:t>18 周岁至 60 周岁。</w:t>
            </w:r>
          </w:p>
        </w:tc>
      </w:tr>
      <w:tr>
        <w:trPr>
          <w:trHeight w:val="1792" w:hRule="atLeast"/>
        </w:trPr>
        <w:tc>
          <w:tcPr>
            <w:tcW w:w="627" w:type="dxa"/>
          </w:tcPr>
          <w:p>
            <w:pPr>
              <w:pStyle w:val="TableParagraph"/>
              <w:ind w:left="-2"/>
              <w:rPr>
                <w:b/>
                <w:sz w:val="21"/>
              </w:rPr>
            </w:pPr>
            <w:r>
              <w:rPr>
                <w:b/>
                <w:sz w:val="21"/>
              </w:rPr>
              <w:t>1.4</w:t>
            </w:r>
          </w:p>
        </w:tc>
        <w:tc>
          <w:tcPr>
            <w:tcW w:w="1776" w:type="dxa"/>
          </w:tcPr>
          <w:p>
            <w:pPr>
              <w:pStyle w:val="TableParagraph"/>
              <w:ind w:left="310"/>
              <w:rPr>
                <w:b/>
                <w:sz w:val="21"/>
              </w:rPr>
            </w:pPr>
            <w:r>
              <w:rPr>
                <w:b/>
                <w:sz w:val="21"/>
              </w:rPr>
              <w:t>犹豫期</w:t>
            </w:r>
          </w:p>
        </w:tc>
        <w:tc>
          <w:tcPr>
            <w:tcW w:w="7576" w:type="dxa"/>
          </w:tcPr>
          <w:p>
            <w:pPr>
              <w:pStyle w:val="TableParagraph"/>
              <w:spacing w:line="273" w:lineRule="auto"/>
              <w:ind w:left="197" w:right="100"/>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以及您所能提供的其他与解除合同有关的材料提交给我们。自您书面申请解除合同之日起，本合同正式解除，我们自本合同</w:t>
            </w:r>
            <w:r>
              <w:rPr>
                <w:rFonts w:ascii="黑体" w:eastAsia="黑体" w:hint="eastAsia"/>
                <w:b/>
                <w:sz w:val="21"/>
              </w:rPr>
              <w:t>Th</w:t>
            </w:r>
            <w:r>
              <w:rPr>
                <w:rFonts w:ascii="黑体" w:eastAsia="黑体" w:hint="eastAsia"/>
                <w:b/>
                <w:spacing w:val="-2"/>
                <w:sz w:val="21"/>
              </w:rPr>
              <w:t>效之日起自始不承担</w:t>
            </w:r>
            <w:r>
              <w:rPr>
                <w:rFonts w:ascii="黑体" w:eastAsia="黑体" w:hint="eastAsia"/>
                <w:b/>
                <w:spacing w:val="-3"/>
                <w:sz w:val="21"/>
              </w:rPr>
              <w:t>保险责任，但无息退还您所交纳的保险费。</w:t>
            </w:r>
          </w:p>
        </w:tc>
      </w:tr>
      <w:tr>
        <w:trPr>
          <w:trHeight w:val="593" w:hRule="atLeast"/>
        </w:trPr>
        <w:tc>
          <w:tcPr>
            <w:tcW w:w="627" w:type="dxa"/>
            <w:tcBorders>
              <w:bottom w:val="single" w:sz="6" w:space="0" w:color="000000"/>
            </w:tcBorders>
          </w:tcPr>
          <w:p>
            <w:pPr>
              <w:pStyle w:val="TableParagraph"/>
              <w:spacing w:before="122"/>
              <w:ind w:left="-2"/>
              <w:rPr>
                <w:b/>
                <w:sz w:val="28"/>
              </w:rPr>
            </w:pPr>
            <w:r>
              <w:rPr>
                <w:b/>
                <w:w w:val="99"/>
                <w:sz w:val="28"/>
              </w:rPr>
              <w:t>⒉</w:t>
            </w:r>
          </w:p>
        </w:tc>
        <w:tc>
          <w:tcPr>
            <w:tcW w:w="9352" w:type="dxa"/>
            <w:gridSpan w:val="2"/>
            <w:tcBorders>
              <w:bottom w:val="single" w:sz="6" w:space="0" w:color="000000"/>
            </w:tcBorders>
          </w:tcPr>
          <w:p>
            <w:pPr>
              <w:pStyle w:val="TableParagraph"/>
              <w:spacing w:before="118"/>
              <w:ind w:left="310"/>
              <w:rPr>
                <w:b/>
                <w:sz w:val="24"/>
              </w:rPr>
            </w:pPr>
            <w:r>
              <w:rPr>
                <w:b/>
                <w:sz w:val="24"/>
              </w:rPr>
              <w:t>我们提供的保障</w:t>
            </w:r>
          </w:p>
        </w:tc>
      </w:tr>
      <w:tr>
        <w:trPr>
          <w:trHeight w:val="567" w:hRule="atLeast"/>
        </w:trPr>
        <w:tc>
          <w:tcPr>
            <w:tcW w:w="627" w:type="dxa"/>
            <w:tcBorders>
              <w:top w:val="single" w:sz="6" w:space="0" w:color="000000"/>
            </w:tcBorders>
          </w:tcPr>
          <w:p>
            <w:pPr>
              <w:pStyle w:val="TableParagraph"/>
              <w:spacing w:before="152"/>
              <w:ind w:left="-2"/>
              <w:rPr>
                <w:b/>
                <w:sz w:val="21"/>
              </w:rPr>
            </w:pPr>
            <w:r>
              <w:rPr>
                <w:b/>
                <w:sz w:val="21"/>
              </w:rPr>
              <w:t>2.1</w:t>
            </w:r>
          </w:p>
        </w:tc>
        <w:tc>
          <w:tcPr>
            <w:tcW w:w="1776" w:type="dxa"/>
            <w:tcBorders>
              <w:top w:val="single" w:sz="6" w:space="0" w:color="000000"/>
            </w:tcBorders>
          </w:tcPr>
          <w:p>
            <w:pPr>
              <w:pStyle w:val="TableParagraph"/>
              <w:spacing w:before="152"/>
              <w:ind w:left="310"/>
              <w:rPr>
                <w:b/>
                <w:sz w:val="21"/>
              </w:rPr>
            </w:pPr>
            <w:r>
              <w:rPr>
                <w:b/>
                <w:sz w:val="21"/>
              </w:rPr>
              <w:t>基本保额</w:t>
            </w:r>
          </w:p>
        </w:tc>
        <w:tc>
          <w:tcPr>
            <w:tcW w:w="7576" w:type="dxa"/>
            <w:tcBorders>
              <w:top w:val="single" w:sz="6" w:space="0" w:color="000000"/>
            </w:tcBorders>
          </w:tcPr>
          <w:p>
            <w:pPr>
              <w:pStyle w:val="TableParagraph"/>
              <w:spacing w:before="152"/>
              <w:ind w:left="197"/>
              <w:rPr>
                <w:sz w:val="21"/>
              </w:rPr>
            </w:pPr>
            <w:r>
              <w:rPr>
                <w:sz w:val="21"/>
              </w:rPr>
              <w:t>本合同的基本保额由您与我们约定并在保险单上载明。</w:t>
            </w:r>
          </w:p>
        </w:tc>
      </w:tr>
      <w:tr>
        <w:trPr>
          <w:trHeight w:val="581" w:hRule="atLeast"/>
        </w:trPr>
        <w:tc>
          <w:tcPr>
            <w:tcW w:w="627" w:type="dxa"/>
          </w:tcPr>
          <w:p>
            <w:pPr>
              <w:pStyle w:val="TableParagraph"/>
              <w:spacing w:before="77"/>
              <w:ind w:left="-2"/>
              <w:rPr>
                <w:b/>
                <w:sz w:val="21"/>
              </w:rPr>
            </w:pPr>
            <w:r>
              <w:rPr>
                <w:b/>
                <w:sz w:val="21"/>
              </w:rPr>
              <w:t>2.2</w:t>
            </w:r>
          </w:p>
        </w:tc>
        <w:tc>
          <w:tcPr>
            <w:tcW w:w="1776" w:type="dxa"/>
          </w:tcPr>
          <w:p>
            <w:pPr>
              <w:pStyle w:val="TableParagraph"/>
              <w:spacing w:before="77"/>
              <w:ind w:left="310"/>
              <w:rPr>
                <w:b/>
                <w:sz w:val="21"/>
              </w:rPr>
            </w:pPr>
            <w:r>
              <w:rPr>
                <w:b/>
                <w:sz w:val="21"/>
              </w:rPr>
              <w:t>保险期间</w:t>
            </w:r>
          </w:p>
        </w:tc>
        <w:tc>
          <w:tcPr>
            <w:tcW w:w="7576" w:type="dxa"/>
          </w:tcPr>
          <w:p>
            <w:pPr>
              <w:pStyle w:val="TableParagraph"/>
              <w:spacing w:before="77"/>
              <w:ind w:left="197"/>
              <w:rPr>
                <w:sz w:val="21"/>
              </w:rPr>
            </w:pPr>
            <w:r>
              <w:rPr>
                <w:sz w:val="21"/>
              </w:rPr>
              <w:t>本合同的保险期间与主合同一致。</w:t>
            </w:r>
          </w:p>
        </w:tc>
      </w:tr>
      <w:tr>
        <w:trPr>
          <w:trHeight w:val="3744" w:hRule="atLeast"/>
        </w:trPr>
        <w:tc>
          <w:tcPr>
            <w:tcW w:w="627" w:type="dxa"/>
          </w:tcPr>
          <w:p>
            <w:pPr>
              <w:pStyle w:val="TableParagraph"/>
              <w:spacing w:line="262" w:lineRule="exact" w:before="0"/>
              <w:ind w:left="-2"/>
              <w:rPr>
                <w:b/>
                <w:sz w:val="21"/>
              </w:rPr>
            </w:pPr>
            <w:r>
              <w:rPr>
                <w:b/>
                <w:sz w:val="21"/>
              </w:rPr>
              <w:t>2.3</w:t>
            </w:r>
          </w:p>
        </w:tc>
        <w:tc>
          <w:tcPr>
            <w:tcW w:w="1776" w:type="dxa"/>
          </w:tcPr>
          <w:p>
            <w:pPr>
              <w:pStyle w:val="TableParagraph"/>
              <w:spacing w:line="262" w:lineRule="exact" w:before="0"/>
              <w:ind w:left="310"/>
              <w:rPr>
                <w:b/>
                <w:sz w:val="21"/>
              </w:rPr>
            </w:pPr>
            <w:r>
              <w:rPr>
                <w:b/>
                <w:sz w:val="21"/>
              </w:rPr>
              <w:t>保险责任</w:t>
            </w:r>
          </w:p>
        </w:tc>
        <w:tc>
          <w:tcPr>
            <w:tcW w:w="7576" w:type="dxa"/>
            <w:tcBorders>
              <w:right w:val="single" w:sz="4" w:space="0" w:color="FFFFFF"/>
            </w:tcBorders>
          </w:tcPr>
          <w:p>
            <w:pPr>
              <w:pStyle w:val="TableParagraph"/>
              <w:spacing w:line="262" w:lineRule="exact" w:before="0"/>
              <w:ind w:left="197"/>
              <w:rPr>
                <w:sz w:val="21"/>
              </w:rPr>
            </w:pPr>
            <w:r>
              <w:rPr>
                <w:sz w:val="21"/>
              </w:rPr>
              <w:t>在本合同有效期间内，我们承担下列保险责任：</w:t>
            </w:r>
          </w:p>
          <w:p>
            <w:pPr>
              <w:pStyle w:val="TableParagraph"/>
              <w:spacing w:before="9"/>
              <w:ind w:left="0"/>
              <w:rPr>
                <w:sz w:val="14"/>
              </w:rPr>
            </w:pPr>
          </w:p>
          <w:p>
            <w:pPr>
              <w:pStyle w:val="TableParagraph"/>
              <w:spacing w:line="273" w:lineRule="auto" w:before="1"/>
              <w:ind w:left="197" w:right="99"/>
              <w:jc w:val="both"/>
              <w:rPr>
                <w:sz w:val="21"/>
              </w:rPr>
            </w:pPr>
            <w:r>
              <w:rPr>
                <w:spacing w:val="-3"/>
                <w:sz w:val="21"/>
              </w:rPr>
              <w:t>在本合同生效日或本合同中止后的最后复效日</w:t>
            </w:r>
            <w:r>
              <w:rPr>
                <w:sz w:val="21"/>
              </w:rPr>
              <w:t>（</w:t>
            </w:r>
            <w:r>
              <w:rPr>
                <w:spacing w:val="-3"/>
                <w:sz w:val="21"/>
              </w:rPr>
              <w:t>以较迟者为准</w:t>
            </w:r>
            <w:r>
              <w:rPr>
                <w:sz w:val="21"/>
              </w:rPr>
              <w:t>）</w:t>
            </w:r>
            <w:r>
              <w:rPr>
                <w:spacing w:val="-13"/>
                <w:sz w:val="21"/>
              </w:rPr>
              <w:t>起 </w:t>
            </w:r>
            <w:r>
              <w:rPr>
                <w:sz w:val="21"/>
              </w:rPr>
              <w:t>90</w:t>
            </w:r>
            <w:r>
              <w:rPr>
                <w:spacing w:val="-8"/>
                <w:sz w:val="21"/>
              </w:rPr>
              <w:t> 日以后， 被保险人经</w:t>
            </w:r>
            <w:r>
              <w:rPr>
                <w:b/>
                <w:spacing w:val="-8"/>
                <w:sz w:val="21"/>
              </w:rPr>
              <w:t>我们认可的医院</w:t>
            </w:r>
            <w:r>
              <w:rPr>
                <w:b/>
                <w:spacing w:val="-8"/>
                <w:position w:val="11"/>
                <w:sz w:val="11"/>
              </w:rPr>
              <w:t>［10.1］</w:t>
            </w:r>
            <w:r>
              <w:rPr>
                <w:spacing w:val="-8"/>
                <w:sz w:val="21"/>
              </w:rPr>
              <w:t>确诊初次患上一种或多种本合同所约定的重大</w:t>
            </w:r>
            <w:r>
              <w:rPr>
                <w:spacing w:val="-3"/>
                <w:sz w:val="21"/>
              </w:rPr>
              <w:t>疾病，我们按本合同基本保额给付重大疾病保险金，本合同效力终止。</w:t>
            </w:r>
          </w:p>
          <w:p>
            <w:pPr>
              <w:pStyle w:val="TableParagraph"/>
              <w:spacing w:line="273" w:lineRule="auto" w:before="164"/>
              <w:ind w:left="197" w:right="-15"/>
              <w:rPr>
                <w:sz w:val="21"/>
              </w:rPr>
            </w:pPr>
            <w:r>
              <w:rPr>
                <w:spacing w:val="-6"/>
                <w:sz w:val="21"/>
              </w:rPr>
              <w:t>本合同生效日或本合同中止后的最后复效日</w:t>
            </w:r>
            <w:r>
              <w:rPr>
                <w:sz w:val="21"/>
              </w:rPr>
              <w:t>（</w:t>
            </w:r>
            <w:r>
              <w:rPr>
                <w:spacing w:val="-3"/>
                <w:sz w:val="21"/>
              </w:rPr>
              <w:t>以较迟者为准</w:t>
            </w:r>
            <w:r>
              <w:rPr>
                <w:spacing w:val="-46"/>
                <w:sz w:val="21"/>
              </w:rPr>
              <w:t>）</w:t>
            </w:r>
            <w:r>
              <w:rPr>
                <w:spacing w:val="-18"/>
                <w:sz w:val="21"/>
              </w:rPr>
              <w:t>起 </w:t>
            </w:r>
            <w:r>
              <w:rPr>
                <w:sz w:val="21"/>
              </w:rPr>
              <w:t>90</w:t>
            </w:r>
            <w:r>
              <w:rPr>
                <w:spacing w:val="-9"/>
                <w:sz w:val="21"/>
              </w:rPr>
              <w:t> 日为等待期。</w:t>
            </w:r>
            <w:r>
              <w:rPr>
                <w:spacing w:val="-6"/>
                <w:sz w:val="21"/>
              </w:rPr>
              <w:t>等待期是指本合同生效后我们不承担保险责任的一段时间。发生以下情形之一 </w:t>
            </w:r>
            <w:r>
              <w:rPr>
                <w:spacing w:val="-4"/>
                <w:sz w:val="21"/>
              </w:rPr>
              <w:t>时，我们不承担保险责任，但无息返还本合同已交的保险费，本合同效力终止。</w:t>
            </w:r>
          </w:p>
          <w:p>
            <w:pPr>
              <w:pStyle w:val="TableParagraph"/>
              <w:spacing w:line="273" w:lineRule="auto" w:before="8"/>
              <w:ind w:left="197" w:right="105"/>
              <w:rPr>
                <w:sz w:val="21"/>
              </w:rPr>
            </w:pPr>
            <w:r>
              <w:rPr>
                <w:sz w:val="21"/>
              </w:rPr>
              <w:t>（1）等待期内被保险人经我们认可的医院确诊初次患上一种或多种本合同所约定的重大疾病；</w:t>
            </w:r>
          </w:p>
          <w:p>
            <w:pPr>
              <w:pStyle w:val="TableParagraph"/>
              <w:spacing w:line="273" w:lineRule="auto" w:before="8"/>
              <w:ind w:left="197" w:right="105"/>
              <w:rPr>
                <w:sz w:val="21"/>
              </w:rPr>
            </w:pPr>
            <w:r>
              <w:rPr>
                <w:sz w:val="21"/>
              </w:rPr>
              <w:t>（2）等待期内被保险人已经发生的疾病、症状或病理改变且延续到等待期以后经我们认可的医院确诊初次患上一种或多种本合同所约定的重大疾病。</w:t>
            </w:r>
          </w:p>
        </w:tc>
      </w:tr>
      <w:tr>
        <w:trPr>
          <w:trHeight w:val="1707" w:hRule="atLeast"/>
        </w:trPr>
        <w:tc>
          <w:tcPr>
            <w:tcW w:w="627" w:type="dxa"/>
          </w:tcPr>
          <w:p>
            <w:pPr>
              <w:pStyle w:val="TableParagraph"/>
              <w:spacing w:before="167"/>
              <w:ind w:left="-2"/>
              <w:rPr>
                <w:b/>
                <w:sz w:val="21"/>
              </w:rPr>
            </w:pPr>
            <w:r>
              <w:rPr>
                <w:b/>
                <w:sz w:val="21"/>
              </w:rPr>
              <w:t>2.4</w:t>
            </w:r>
          </w:p>
        </w:tc>
        <w:tc>
          <w:tcPr>
            <w:tcW w:w="1776" w:type="dxa"/>
          </w:tcPr>
          <w:p>
            <w:pPr>
              <w:pStyle w:val="TableParagraph"/>
              <w:spacing w:before="167"/>
              <w:ind w:left="310"/>
              <w:rPr>
                <w:b/>
                <w:sz w:val="21"/>
              </w:rPr>
            </w:pPr>
            <w:r>
              <w:rPr>
                <w:b/>
                <w:sz w:val="21"/>
              </w:rPr>
              <w:t>责任免除</w:t>
            </w:r>
          </w:p>
        </w:tc>
        <w:tc>
          <w:tcPr>
            <w:tcW w:w="7576" w:type="dxa"/>
          </w:tcPr>
          <w:p>
            <w:pPr>
              <w:pStyle w:val="TableParagraph"/>
              <w:spacing w:line="273" w:lineRule="auto" w:before="167"/>
              <w:ind w:left="197" w:right="207"/>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before="7"/>
              <w:ind w:left="197"/>
              <w:rPr>
                <w:rFonts w:ascii="黑体" w:eastAsia="黑体" w:hint="eastAsia"/>
                <w:b/>
                <w:sz w:val="21"/>
              </w:rPr>
            </w:pPr>
            <w:r>
              <w:rPr>
                <w:rFonts w:ascii="黑体" w:eastAsia="黑体" w:hint="eastAsia"/>
                <w:b/>
                <w:sz w:val="21"/>
              </w:rPr>
              <w:t>（1）投保人对被保险人的故意杀害、故意伤害；</w:t>
            </w:r>
          </w:p>
          <w:p>
            <w:pPr>
              <w:pStyle w:val="TableParagraph"/>
              <w:spacing w:before="37"/>
              <w:ind w:left="197"/>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line="255" w:lineRule="exact" w:before="54"/>
              <w:ind w:left="197"/>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tc>
      </w:tr>
    </w:tbl>
    <w:p>
      <w:pPr>
        <w:spacing w:after="0" w:line="255" w:lineRule="exact"/>
        <w:rPr>
          <w:rFonts w:ascii="黑体" w:eastAsia="黑体" w:hint="eastAsia"/>
          <w:sz w:val="21"/>
        </w:rPr>
        <w:sectPr>
          <w:pgSz w:w="11910" w:h="16840"/>
          <w:pgMar w:header="566" w:footer="664" w:top="1000" w:bottom="86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0"/>
        <w:gridCol w:w="7559"/>
      </w:tblGrid>
      <w:tr>
        <w:trPr>
          <w:trHeight w:val="3062" w:hRule="atLeast"/>
        </w:trPr>
        <w:tc>
          <w:tcPr>
            <w:tcW w:w="762" w:type="dxa"/>
            <w:tcBorders>
              <w:top w:val="single" w:sz="6" w:space="0" w:color="000000"/>
            </w:tcBorders>
          </w:tcPr>
          <w:p>
            <w:pPr>
              <w:pStyle w:val="TableParagraph"/>
              <w:spacing w:before="0"/>
              <w:ind w:left="0"/>
              <w:rPr>
                <w:rFonts w:ascii="Times New Roman"/>
                <w:sz w:val="20"/>
              </w:rPr>
            </w:pPr>
          </w:p>
        </w:tc>
        <w:tc>
          <w:tcPr>
            <w:tcW w:w="1670" w:type="dxa"/>
            <w:tcBorders>
              <w:top w:val="single" w:sz="6" w:space="0" w:color="000000"/>
            </w:tcBorders>
          </w:tcPr>
          <w:p>
            <w:pPr>
              <w:pStyle w:val="TableParagraph"/>
              <w:spacing w:before="0"/>
              <w:ind w:left="0"/>
              <w:rPr>
                <w:rFonts w:ascii="Times New Roman"/>
                <w:sz w:val="20"/>
              </w:rPr>
            </w:pPr>
          </w:p>
        </w:tc>
        <w:tc>
          <w:tcPr>
            <w:tcW w:w="7559" w:type="dxa"/>
            <w:tcBorders>
              <w:top w:val="single" w:sz="6" w:space="0" w:color="000000"/>
              <w:right w:val="single" w:sz="4" w:space="0" w:color="FFFFFF"/>
            </w:tcBorders>
          </w:tcPr>
          <w:p>
            <w:pPr>
              <w:pStyle w:val="TableParagraph"/>
              <w:spacing w:before="2"/>
              <w:ind w:left="0"/>
              <w:rPr>
                <w:sz w:val="32"/>
              </w:rPr>
            </w:pPr>
          </w:p>
          <w:p>
            <w:pPr>
              <w:pStyle w:val="TableParagraph"/>
              <w:spacing w:before="1"/>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p>
            <w:pPr>
              <w:pStyle w:val="TableParagraph"/>
              <w:spacing w:before="37"/>
              <w:ind w:left="715"/>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p>
            <w:pPr>
              <w:pStyle w:val="TableParagraph"/>
              <w:spacing w:line="273" w:lineRule="auto" w:before="38"/>
              <w:ind w:left="715" w:right="55" w:hanging="51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（因本条款第3.2.34项所导致的除外）；</w:t>
            </w:r>
          </w:p>
          <w:p>
            <w:pPr>
              <w:pStyle w:val="TableParagraph"/>
              <w:spacing w:line="273" w:lineRule="exact" w:before="0"/>
              <w:ind w:right="-44"/>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39"/>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p>
            <w:pPr>
              <w:pStyle w:val="TableParagraph"/>
              <w:spacing w:line="310" w:lineRule="atLeast" w:before="140"/>
              <w:ind w:right="185"/>
              <w:rPr>
                <w:rFonts w:ascii="黑体" w:eastAsia="黑体" w:hint="eastAsia"/>
                <w:b/>
                <w:sz w:val="21"/>
              </w:rPr>
            </w:pPr>
            <w:r>
              <w:rPr>
                <w:rFonts w:ascii="黑体" w:eastAsia="黑体" w:hint="eastAsia"/>
                <w:b/>
                <w:sz w:val="21"/>
              </w:rPr>
              <w:t>发Th上述情形之一导致被保险人初次发Th本合同所约定的重大疾病，本合同效力终止，我们退还本合同当时的现金价值</w:t>
            </w:r>
            <w:r>
              <w:rPr>
                <w:rFonts w:ascii="黑体" w:eastAsia="黑体" w:hint="eastAsia"/>
                <w:b/>
                <w:position w:val="11"/>
                <w:sz w:val="11"/>
              </w:rPr>
              <w:t>［10.11］</w:t>
            </w:r>
            <w:r>
              <w:rPr>
                <w:rFonts w:ascii="黑体" w:eastAsia="黑体" w:hint="eastAsia"/>
                <w:b/>
                <w:sz w:val="21"/>
              </w:rPr>
              <w:t>。</w:t>
            </w:r>
          </w:p>
        </w:tc>
      </w:tr>
      <w:tr>
        <w:trPr>
          <w:trHeight w:val="728" w:hRule="atLeast"/>
        </w:trPr>
        <w:tc>
          <w:tcPr>
            <w:tcW w:w="762" w:type="dxa"/>
            <w:tcBorders>
              <w:bottom w:val="single" w:sz="6" w:space="0" w:color="000000"/>
            </w:tcBorders>
          </w:tcPr>
          <w:p>
            <w:pPr>
              <w:pStyle w:val="TableParagraph"/>
              <w:spacing w:before="4"/>
              <w:ind w:left="0"/>
              <w:rPr>
                <w:sz w:val="20"/>
              </w:rPr>
            </w:pPr>
          </w:p>
          <w:p>
            <w:pPr>
              <w:pStyle w:val="TableParagraph"/>
              <w:spacing w:before="0"/>
              <w:ind w:left="28"/>
              <w:rPr>
                <w:b/>
                <w:sz w:val="28"/>
              </w:rPr>
            </w:pPr>
            <w:r>
              <w:rPr>
                <w:b/>
                <w:w w:val="99"/>
                <w:sz w:val="28"/>
              </w:rPr>
              <w:t>⒊</w:t>
            </w:r>
          </w:p>
        </w:tc>
        <w:tc>
          <w:tcPr>
            <w:tcW w:w="1670" w:type="dxa"/>
            <w:tcBorders>
              <w:bottom w:val="single" w:sz="6" w:space="0" w:color="000000"/>
            </w:tcBorders>
          </w:tcPr>
          <w:p>
            <w:pPr>
              <w:pStyle w:val="TableParagraph"/>
              <w:spacing w:before="0"/>
              <w:ind w:left="0"/>
              <w:rPr>
                <w:sz w:val="20"/>
              </w:rPr>
            </w:pPr>
          </w:p>
          <w:p>
            <w:pPr>
              <w:pStyle w:val="TableParagraph"/>
              <w:spacing w:before="0"/>
              <w:ind w:left="205"/>
              <w:rPr>
                <w:b/>
                <w:sz w:val="24"/>
              </w:rPr>
            </w:pPr>
            <w:r>
              <w:rPr>
                <w:b/>
                <w:sz w:val="24"/>
              </w:rPr>
              <w:t>重大疾病</w:t>
            </w:r>
          </w:p>
        </w:tc>
        <w:tc>
          <w:tcPr>
            <w:tcW w:w="7559" w:type="dxa"/>
            <w:tcBorders>
              <w:bottom w:val="single" w:sz="6" w:space="0" w:color="000000"/>
            </w:tcBorders>
          </w:tcPr>
          <w:p>
            <w:pPr>
              <w:pStyle w:val="TableParagraph"/>
              <w:spacing w:before="0"/>
              <w:ind w:left="0"/>
              <w:rPr>
                <w:rFonts w:ascii="Times New Roman"/>
                <w:sz w:val="20"/>
              </w:rPr>
            </w:pPr>
          </w:p>
        </w:tc>
      </w:tr>
      <w:tr>
        <w:trPr>
          <w:trHeight w:val="1500" w:hRule="atLeast"/>
        </w:trPr>
        <w:tc>
          <w:tcPr>
            <w:tcW w:w="762" w:type="dxa"/>
            <w:tcBorders>
              <w:top w:val="single" w:sz="6" w:space="0" w:color="000000"/>
            </w:tcBorders>
          </w:tcPr>
          <w:p>
            <w:pPr>
              <w:pStyle w:val="TableParagraph"/>
              <w:spacing w:before="161"/>
              <w:ind w:left="28"/>
              <w:rPr>
                <w:b/>
                <w:sz w:val="21"/>
              </w:rPr>
            </w:pPr>
            <w:r>
              <w:rPr>
                <w:b/>
                <w:sz w:val="21"/>
              </w:rPr>
              <w:t>3.1</w:t>
            </w:r>
          </w:p>
        </w:tc>
        <w:tc>
          <w:tcPr>
            <w:tcW w:w="1670" w:type="dxa"/>
            <w:tcBorders>
              <w:top w:val="single" w:sz="6" w:space="0" w:color="000000"/>
            </w:tcBorders>
          </w:tcPr>
          <w:p>
            <w:pPr>
              <w:pStyle w:val="TableParagraph"/>
              <w:spacing w:before="120"/>
              <w:ind w:left="205"/>
              <w:rPr>
                <w:b/>
                <w:sz w:val="21"/>
              </w:rPr>
            </w:pPr>
            <w:r>
              <w:rPr>
                <w:b/>
                <w:sz w:val="21"/>
              </w:rPr>
              <w:t>重大疾病范围</w:t>
            </w:r>
          </w:p>
        </w:tc>
        <w:tc>
          <w:tcPr>
            <w:tcW w:w="7559" w:type="dxa"/>
            <w:tcBorders>
              <w:top w:val="single" w:sz="6" w:space="0" w:color="000000"/>
            </w:tcBorders>
          </w:tcPr>
          <w:p>
            <w:pPr>
              <w:pStyle w:val="TableParagraph"/>
              <w:spacing w:line="273" w:lineRule="auto" w:before="161"/>
              <w:ind w:right="87"/>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0" w:hRule="atLeast"/>
        </w:trPr>
        <w:tc>
          <w:tcPr>
            <w:tcW w:w="762" w:type="dxa"/>
          </w:tcPr>
          <w:p>
            <w:pPr>
              <w:pStyle w:val="TableParagraph"/>
              <w:spacing w:before="88"/>
              <w:ind w:left="2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59" w:type="dxa"/>
          </w:tcPr>
          <w:p>
            <w:pPr>
              <w:pStyle w:val="TableParagraph"/>
              <w:spacing w:line="273" w:lineRule="auto" w:before="88"/>
              <w:ind w:right="86"/>
              <w:jc w:val="both"/>
              <w:rPr>
                <w:sz w:val="21"/>
              </w:rPr>
            </w:pPr>
            <w:r>
              <w:rPr>
                <w:spacing w:val="-3"/>
                <w:sz w:val="21"/>
              </w:rPr>
              <w:t>本合同所指重大疾病，是被保险人发生经我们认可的医院</w:t>
            </w:r>
            <w:r>
              <w:rPr>
                <w:b/>
                <w:sz w:val="21"/>
              </w:rPr>
              <w:t>专科医生</w:t>
            </w:r>
            <w:r>
              <w:rPr>
                <w:b/>
                <w:position w:val="11"/>
                <w:sz w:val="11"/>
              </w:rPr>
              <w:t>［10.12］</w:t>
            </w:r>
            <w:r>
              <w:rPr>
                <w:spacing w:val="-3"/>
                <w:sz w:val="21"/>
              </w:rPr>
              <w:t>明确诊</w:t>
            </w:r>
            <w:r>
              <w:rPr>
                <w:spacing w:val="-10"/>
                <w:sz w:val="21"/>
              </w:rPr>
              <w:t>断，符合以下定义所述条件的疾病、疾病状态或手术，共 </w:t>
            </w:r>
            <w:r>
              <w:rPr>
                <w:sz w:val="21"/>
              </w:rPr>
              <w:t>35</w:t>
            </w:r>
            <w:r>
              <w:rPr>
                <w:spacing w:val="-55"/>
                <w:sz w:val="21"/>
              </w:rPr>
              <w:t> 种。</w:t>
            </w:r>
            <w:r>
              <w:rPr>
                <w:sz w:val="21"/>
              </w:rPr>
              <w:t>（</w:t>
            </w:r>
            <w:r>
              <w:rPr>
                <w:spacing w:val="-3"/>
                <w:sz w:val="21"/>
              </w:rPr>
              <w:t>重大疾病定义</w:t>
            </w:r>
          </w:p>
          <w:p>
            <w:pPr>
              <w:pStyle w:val="TableParagraph"/>
              <w:spacing w:line="273" w:lineRule="auto" w:before="7"/>
              <w:ind w:right="86"/>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5" w:hRule="atLeast"/>
        </w:trPr>
        <w:tc>
          <w:tcPr>
            <w:tcW w:w="762" w:type="dxa"/>
          </w:tcPr>
          <w:p>
            <w:pPr>
              <w:pStyle w:val="TableParagraph"/>
              <w:spacing w:line="262" w:lineRule="exact" w:before="0"/>
              <w:ind w:left="28"/>
              <w:rPr>
                <w:b/>
                <w:sz w:val="21"/>
              </w:rPr>
            </w:pPr>
            <w:r>
              <w:rPr>
                <w:b/>
                <w:sz w:val="21"/>
              </w:rPr>
              <w:t>3.2.1</w:t>
            </w:r>
          </w:p>
        </w:tc>
        <w:tc>
          <w:tcPr>
            <w:tcW w:w="1670" w:type="dxa"/>
          </w:tcPr>
          <w:p>
            <w:pPr>
              <w:pStyle w:val="TableParagraph"/>
              <w:spacing w:line="262" w:lineRule="exact" w:before="0"/>
              <w:ind w:left="205"/>
              <w:rPr>
                <w:b/>
                <w:sz w:val="21"/>
              </w:rPr>
            </w:pPr>
            <w:r>
              <w:rPr>
                <w:b/>
                <w:sz w:val="21"/>
              </w:rPr>
              <w:t>恶性肿瘤</w:t>
            </w:r>
          </w:p>
        </w:tc>
        <w:tc>
          <w:tcPr>
            <w:tcW w:w="7559" w:type="dxa"/>
            <w:tcBorders>
              <w:right w:val="single" w:sz="4" w:space="0" w:color="FFFFFF"/>
            </w:tcBorders>
          </w:tcPr>
          <w:p>
            <w:pPr>
              <w:pStyle w:val="TableParagraph"/>
              <w:spacing w:line="240" w:lineRule="exact" w:before="0"/>
              <w:rPr>
                <w:sz w:val="21"/>
              </w:rPr>
            </w:pPr>
            <w:r>
              <w:rPr>
                <w:sz w:val="21"/>
              </w:rPr>
              <w:t>指恶性细胞不受控制的进行性增长和扩散，浸润和破坏周围正常组织，可以经血</w:t>
            </w:r>
          </w:p>
          <w:p>
            <w:pPr>
              <w:pStyle w:val="TableParagraph"/>
              <w:spacing w:line="237" w:lineRule="auto" w:before="2"/>
              <w:ind w:right="-29"/>
              <w:jc w:val="both"/>
              <w:rPr>
                <w:sz w:val="21"/>
              </w:rPr>
            </w:pP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before="0"/>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jc w:val="both"/>
              <w:rPr>
                <w:rFonts w:ascii="黑体" w:eastAsia="黑体" w:hint="eastAsia"/>
                <w:b/>
                <w:sz w:val="21"/>
              </w:rPr>
            </w:pPr>
            <w:r>
              <w:rPr>
                <w:rFonts w:ascii="黑体" w:eastAsia="黑体" w:hint="eastAsia"/>
                <w:b/>
                <w:sz w:val="21"/>
              </w:rPr>
              <w:t>（1）原位癌；</w:t>
            </w:r>
          </w:p>
          <w:p>
            <w:pPr>
              <w:pStyle w:val="TableParagraph"/>
              <w:spacing w:line="272" w:lineRule="exact" w:before="0"/>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jc w:val="both"/>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jc w:val="both"/>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before="0"/>
              <w:jc w:val="both"/>
              <w:rPr>
                <w:rFonts w:ascii="黑体" w:eastAsia="黑体" w:hint="eastAsia"/>
                <w:b/>
                <w:sz w:val="21"/>
              </w:rPr>
            </w:pPr>
            <w:r>
              <w:rPr>
                <w:rFonts w:ascii="黑体" w:eastAsia="黑体" w:hint="eastAsia"/>
                <w:b/>
                <w:sz w:val="21"/>
              </w:rPr>
              <w:t>（6）感染艾滋病病毒或患艾滋病期间所患恶性肿瘤。</w:t>
            </w:r>
          </w:p>
        </w:tc>
      </w:tr>
      <w:tr>
        <w:trPr>
          <w:trHeight w:val="180" w:hRule="atLeast"/>
        </w:trPr>
        <w:tc>
          <w:tcPr>
            <w:tcW w:w="762" w:type="dxa"/>
          </w:tcPr>
          <w:p>
            <w:pPr>
              <w:pStyle w:val="TableParagraph"/>
              <w:spacing w:before="0"/>
              <w:ind w:left="0"/>
              <w:rPr>
                <w:rFonts w:ascii="Times New Roman"/>
                <w:sz w:val="12"/>
              </w:rPr>
            </w:pPr>
          </w:p>
        </w:tc>
        <w:tc>
          <w:tcPr>
            <w:tcW w:w="1670" w:type="dxa"/>
          </w:tcPr>
          <w:p>
            <w:pPr>
              <w:pStyle w:val="TableParagraph"/>
              <w:spacing w:before="0"/>
              <w:ind w:left="0"/>
              <w:rPr>
                <w:rFonts w:ascii="Times New Roman"/>
                <w:sz w:val="12"/>
              </w:rPr>
            </w:pPr>
          </w:p>
        </w:tc>
        <w:tc>
          <w:tcPr>
            <w:tcW w:w="7559" w:type="dxa"/>
          </w:tcPr>
          <w:p>
            <w:pPr>
              <w:pStyle w:val="TableParagraph"/>
              <w:spacing w:before="0"/>
              <w:ind w:left="0"/>
              <w:rPr>
                <w:rFonts w:ascii="Times New Roman"/>
                <w:sz w:val="12"/>
              </w:rPr>
            </w:pPr>
          </w:p>
        </w:tc>
      </w:tr>
      <w:tr>
        <w:trPr>
          <w:trHeight w:val="1908" w:hRule="atLeast"/>
        </w:trPr>
        <w:tc>
          <w:tcPr>
            <w:tcW w:w="762" w:type="dxa"/>
          </w:tcPr>
          <w:p>
            <w:pPr>
              <w:pStyle w:val="TableParagraph"/>
              <w:spacing w:line="262" w:lineRule="exact" w:before="0"/>
              <w:ind w:left="28"/>
              <w:rPr>
                <w:b/>
                <w:sz w:val="21"/>
              </w:rPr>
            </w:pPr>
            <w:r>
              <w:rPr>
                <w:b/>
                <w:sz w:val="21"/>
              </w:rPr>
              <w:t>3.2.2</w:t>
            </w:r>
          </w:p>
        </w:tc>
        <w:tc>
          <w:tcPr>
            <w:tcW w:w="1670" w:type="dxa"/>
          </w:tcPr>
          <w:p>
            <w:pPr>
              <w:pStyle w:val="TableParagraph"/>
              <w:spacing w:line="262" w:lineRule="exact" w:before="0"/>
              <w:ind w:left="205"/>
              <w:rPr>
                <w:b/>
                <w:sz w:val="21"/>
              </w:rPr>
            </w:pPr>
            <w:r>
              <w:rPr>
                <w:b/>
                <w:sz w:val="21"/>
              </w:rPr>
              <w:t>急性心肌梗塞</w:t>
            </w:r>
          </w:p>
        </w:tc>
        <w:tc>
          <w:tcPr>
            <w:tcW w:w="7559" w:type="dxa"/>
            <w:tcBorders>
              <w:right w:val="single" w:sz="4" w:space="0" w:color="FFFFFF"/>
            </w:tcBorders>
          </w:tcPr>
          <w:p>
            <w:pPr>
              <w:pStyle w:val="TableParagraph"/>
              <w:spacing w:line="240" w:lineRule="exact" w:before="0"/>
              <w:rPr>
                <w:sz w:val="21"/>
              </w:rPr>
            </w:pPr>
            <w:r>
              <w:rPr>
                <w:sz w:val="21"/>
              </w:rPr>
              <w:t>指因冠状动脉阻塞导致的相应区域供血不足造成部分心肌坏死。须满足下列至少</w:t>
            </w:r>
          </w:p>
          <w:p>
            <w:pPr>
              <w:pStyle w:val="TableParagraph"/>
              <w:spacing w:line="272" w:lineRule="exact" w:before="0"/>
              <w:rPr>
                <w:sz w:val="21"/>
              </w:rPr>
            </w:pPr>
            <w:r>
              <w:rPr>
                <w:sz w:val="21"/>
              </w:rPr>
              <w:t>三项条件：</w:t>
            </w:r>
          </w:p>
          <w:p>
            <w:pPr>
              <w:pStyle w:val="TableParagraph"/>
              <w:spacing w:line="272" w:lineRule="exact" w:before="0"/>
              <w:rPr>
                <w:sz w:val="21"/>
              </w:rPr>
            </w:pPr>
            <w:r>
              <w:rPr>
                <w:sz w:val="21"/>
              </w:rPr>
              <w:t>（1）典型临床表现，例如急性胸痛等；</w:t>
            </w:r>
          </w:p>
          <w:p>
            <w:pPr>
              <w:pStyle w:val="TableParagraph"/>
              <w:spacing w:line="272" w:lineRule="exact" w:before="0"/>
              <w:rPr>
                <w:sz w:val="21"/>
              </w:rPr>
            </w:pPr>
            <w:r>
              <w:rPr>
                <w:sz w:val="21"/>
              </w:rPr>
              <w:t>（2）新近的心电图改变提示急性心肌梗塞；</w:t>
            </w:r>
          </w:p>
          <w:p>
            <w:pPr>
              <w:pStyle w:val="TableParagraph"/>
              <w:spacing w:before="0"/>
              <w:ind w:left="725" w:right="87" w:hanging="527"/>
              <w:rPr>
                <w:sz w:val="21"/>
              </w:rPr>
            </w:pPr>
            <w:r>
              <w:rPr>
                <w:sz w:val="21"/>
              </w:rPr>
              <w:t>（3）心肌酶或肌钙蛋白有诊断意义的升高，或呈符合急性心肌梗塞的动态性变化；</w:t>
            </w:r>
          </w:p>
          <w:p>
            <w:pPr>
              <w:pStyle w:val="TableParagraph"/>
              <w:spacing w:line="271" w:lineRule="exact" w:before="2"/>
              <w:ind w:right="-29"/>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2002" w:hRule="atLeast"/>
        </w:trPr>
        <w:tc>
          <w:tcPr>
            <w:tcW w:w="762" w:type="dxa"/>
          </w:tcPr>
          <w:p>
            <w:pPr>
              <w:pStyle w:val="TableParagraph"/>
              <w:spacing w:before="167"/>
              <w:ind w:left="2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59" w:type="dxa"/>
          </w:tcPr>
          <w:p>
            <w:pPr>
              <w:pStyle w:val="TableParagraph"/>
              <w:spacing w:line="273" w:lineRule="auto" w:before="167"/>
              <w:ind w:right="87"/>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before="7"/>
              <w:jc w:val="both"/>
              <w:rPr>
                <w:sz w:val="21"/>
              </w:rPr>
            </w:pPr>
            <w:r>
              <w:rPr>
                <w:sz w:val="21"/>
              </w:rPr>
              <w:t>（1）一肢或一肢以上</w:t>
            </w:r>
            <w:r>
              <w:rPr>
                <w:b/>
                <w:sz w:val="21"/>
              </w:rPr>
              <w:t>肢体机能完全丧失</w:t>
            </w:r>
            <w:r>
              <w:rPr>
                <w:b/>
                <w:position w:val="11"/>
                <w:sz w:val="11"/>
              </w:rPr>
              <w:t>［10.13］</w:t>
            </w:r>
            <w:r>
              <w:rPr>
                <w:sz w:val="21"/>
              </w:rPr>
              <w:t>；</w:t>
            </w:r>
          </w:p>
          <w:p>
            <w:pPr>
              <w:pStyle w:val="TableParagraph"/>
              <w:spacing w:before="37"/>
              <w:jc w:val="both"/>
              <w:rPr>
                <w:sz w:val="21"/>
              </w:rPr>
            </w:pPr>
            <w:r>
              <w:rPr>
                <w:sz w:val="21"/>
              </w:rPr>
              <w:t>（2）</w:t>
            </w:r>
            <w:r>
              <w:rPr>
                <w:b/>
                <w:sz w:val="21"/>
              </w:rPr>
              <w:t>语言能力或咀嚼吞咽能力完全丧失</w:t>
            </w:r>
            <w:r>
              <w:rPr>
                <w:b/>
                <w:position w:val="11"/>
                <w:sz w:val="11"/>
              </w:rPr>
              <w:t>［10.14］</w:t>
            </w:r>
            <w:r>
              <w:rPr>
                <w:sz w:val="21"/>
              </w:rPr>
              <w:t>；</w:t>
            </w:r>
          </w:p>
          <w:p>
            <w:pPr>
              <w:pStyle w:val="TableParagraph"/>
              <w:spacing w:line="255" w:lineRule="exact" w:before="37"/>
              <w:jc w:val="both"/>
              <w:rPr>
                <w:sz w:val="21"/>
              </w:rPr>
            </w:pPr>
            <w:r>
              <w:rPr>
                <w:sz w:val="21"/>
              </w:rPr>
              <w:t>（3）自主生活能力完全丧失，无法独立完成</w:t>
            </w:r>
            <w:r>
              <w:rPr>
                <w:b/>
                <w:sz w:val="21"/>
              </w:rPr>
              <w:t>六项基本日常生活活动</w:t>
            </w:r>
            <w:r>
              <w:rPr>
                <w:b/>
                <w:position w:val="11"/>
                <w:sz w:val="11"/>
              </w:rPr>
              <w:t>［10.15］</w:t>
            </w:r>
            <w:r>
              <w:rPr>
                <w:sz w:val="21"/>
              </w:rPr>
              <w:t>中的三</w:t>
            </w:r>
          </w:p>
        </w:tc>
      </w:tr>
    </w:tbl>
    <w:p>
      <w:pPr>
        <w:spacing w:after="0" w:line="255" w:lineRule="exact"/>
        <w:jc w:val="both"/>
        <w:rPr>
          <w:sz w:val="21"/>
        </w:rPr>
        <w:sectPr>
          <w:headerReference w:type="default" r:id="rId9"/>
          <w:pgSz w:w="11910" w:h="16840"/>
          <w:pgMar w:header="566" w:footer="664" w:top="1000" w:bottom="860" w:left="1000" w:right="7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351"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618"/>
              <w:rPr>
                <w:sz w:val="21"/>
              </w:rPr>
            </w:pPr>
            <w:r>
              <w:rPr>
                <w:sz w:val="21"/>
              </w:rPr>
              <w:t>项或三项以上。</w:t>
            </w:r>
          </w:p>
        </w:tc>
      </w:tr>
      <w:tr>
        <w:trPr>
          <w:trHeight w:val="1719" w:hRule="atLeast"/>
        </w:trPr>
        <w:tc>
          <w:tcPr>
            <w:tcW w:w="989" w:type="dxa"/>
          </w:tcPr>
          <w:p>
            <w:pPr>
              <w:pStyle w:val="TableParagraph"/>
              <w:spacing w:before="77"/>
              <w:ind w:left="200"/>
              <w:rPr>
                <w:b/>
                <w:sz w:val="21"/>
              </w:rPr>
            </w:pPr>
            <w:r>
              <w:rPr>
                <w:b/>
                <w:sz w:val="21"/>
              </w:rPr>
              <w:t>3.2.4</w:t>
            </w:r>
          </w:p>
        </w:tc>
        <w:tc>
          <w:tcPr>
            <w:tcW w:w="1721" w:type="dxa"/>
          </w:tcPr>
          <w:p>
            <w:pPr>
              <w:pStyle w:val="TableParagraph"/>
              <w:spacing w:line="273" w:lineRule="auto" w:before="77"/>
              <w:ind w:left="149" w:right="303"/>
              <w:jc w:val="both"/>
              <w:rPr>
                <w:b/>
                <w:sz w:val="21"/>
              </w:rPr>
            </w:pPr>
            <w:r>
              <w:rPr>
                <w:b/>
                <w:sz w:val="21"/>
              </w:rPr>
              <w:t>重大器官移植术或造血干细胞移植术</w:t>
            </w:r>
          </w:p>
        </w:tc>
        <w:tc>
          <w:tcPr>
            <w:tcW w:w="7467" w:type="dxa"/>
          </w:tcPr>
          <w:p>
            <w:pPr>
              <w:pStyle w:val="TableParagraph"/>
              <w:spacing w:line="273" w:lineRule="auto" w:before="77"/>
              <w:ind w:left="92" w:right="102"/>
              <w:jc w:val="both"/>
              <w:rPr>
                <w:sz w:val="21"/>
              </w:rPr>
            </w:pPr>
            <w:r>
              <w:rPr>
                <w:spacing w:val="-8"/>
                <w:sz w:val="21"/>
              </w:rPr>
              <w:t>重大器官移植术，指因相应器官功能衰竭，已经实施了肾脏、肝脏、心脏或肺脏</w:t>
            </w:r>
            <w:r>
              <w:rPr>
                <w:spacing w:val="-5"/>
                <w:sz w:val="21"/>
              </w:rPr>
              <w:t>的异体移植手术。</w:t>
            </w:r>
          </w:p>
          <w:p>
            <w:pPr>
              <w:pStyle w:val="TableParagraph"/>
              <w:spacing w:line="273" w:lineRule="auto" w:before="8"/>
              <w:ind w:left="92"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89" w:type="dxa"/>
          </w:tcPr>
          <w:p>
            <w:pPr>
              <w:pStyle w:val="TableParagraph"/>
              <w:ind w:left="200"/>
              <w:rPr>
                <w:b/>
                <w:sz w:val="21"/>
              </w:rPr>
            </w:pPr>
            <w:r>
              <w:rPr>
                <w:b/>
                <w:sz w:val="21"/>
              </w:rPr>
              <w:t>3.2.6</w:t>
            </w:r>
          </w:p>
        </w:tc>
        <w:tc>
          <w:tcPr>
            <w:tcW w:w="1721" w:type="dxa"/>
          </w:tcPr>
          <w:p>
            <w:pPr>
              <w:pStyle w:val="TableParagraph"/>
              <w:spacing w:line="273" w:lineRule="auto"/>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4" w:hRule="atLeast"/>
        </w:trPr>
        <w:tc>
          <w:tcPr>
            <w:tcW w:w="989" w:type="dxa"/>
          </w:tcPr>
          <w:p>
            <w:pPr>
              <w:pStyle w:val="TableParagraph"/>
              <w:spacing w:before="77"/>
              <w:ind w:left="200"/>
              <w:rPr>
                <w:b/>
                <w:sz w:val="21"/>
              </w:rPr>
            </w:pPr>
            <w:r>
              <w:rPr>
                <w:b/>
                <w:sz w:val="21"/>
              </w:rPr>
              <w:t>3.2.7</w:t>
            </w:r>
          </w:p>
        </w:tc>
        <w:tc>
          <w:tcPr>
            <w:tcW w:w="1721" w:type="dxa"/>
          </w:tcPr>
          <w:p>
            <w:pPr>
              <w:pStyle w:val="TableParagraph"/>
              <w:spacing w:before="77"/>
              <w:ind w:left="149"/>
              <w:rPr>
                <w:b/>
                <w:sz w:val="21"/>
              </w:rPr>
            </w:pPr>
            <w:r>
              <w:rPr>
                <w:b/>
                <w:sz w:val="21"/>
              </w:rPr>
              <w:t>多个肢体缺失</w:t>
            </w:r>
          </w:p>
        </w:tc>
        <w:tc>
          <w:tcPr>
            <w:tcW w:w="7467" w:type="dxa"/>
          </w:tcPr>
          <w:p>
            <w:pPr>
              <w:pStyle w:val="TableParagraph"/>
              <w:spacing w:line="273" w:lineRule="auto" w:before="77"/>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467" w:type="dxa"/>
          </w:tcPr>
          <w:p>
            <w:pPr>
              <w:pStyle w:val="TableParagraph"/>
              <w:spacing w:line="273" w:lineRule="auto"/>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4" w:hRule="atLeast"/>
        </w:trPr>
        <w:tc>
          <w:tcPr>
            <w:tcW w:w="989" w:type="dxa"/>
          </w:tcPr>
          <w:p>
            <w:pPr>
              <w:pStyle w:val="TableParagraph"/>
              <w:spacing w:line="262" w:lineRule="exact" w:before="0"/>
              <w:ind w:left="200"/>
              <w:rPr>
                <w:b/>
                <w:sz w:val="21"/>
              </w:rPr>
            </w:pPr>
            <w:r>
              <w:rPr>
                <w:b/>
                <w:sz w:val="21"/>
              </w:rPr>
              <w:t>3.2.9</w:t>
            </w:r>
          </w:p>
        </w:tc>
        <w:tc>
          <w:tcPr>
            <w:tcW w:w="1721" w:type="dxa"/>
          </w:tcPr>
          <w:p>
            <w:pPr>
              <w:pStyle w:val="TableParagraph"/>
              <w:spacing w:line="262"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ind w:left="92"/>
              <w:rPr>
                <w:rFonts w:ascii="黑体" w:eastAsia="黑体" w:hint="eastAsia"/>
                <w:b/>
                <w:sz w:val="21"/>
              </w:rPr>
            </w:pPr>
            <w:r>
              <w:rPr>
                <w:rFonts w:ascii="黑体" w:eastAsia="黑体" w:hint="eastAsia"/>
                <w:b/>
                <w:sz w:val="21"/>
              </w:rPr>
              <w:t>脑垂体瘤、脑囊肿、脑血管性疾病不在保障范围内。</w:t>
            </w:r>
          </w:p>
        </w:tc>
      </w:tr>
      <w:tr>
        <w:trPr>
          <w:trHeight w:val="2143"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36"/>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9" w:type="dxa"/>
          </w:tcPr>
          <w:p>
            <w:pPr>
              <w:pStyle w:val="TableParagraph"/>
              <w:spacing w:before="77"/>
              <w:ind w:left="200"/>
              <w:rPr>
                <w:b/>
                <w:sz w:val="21"/>
              </w:rPr>
            </w:pPr>
            <w:r>
              <w:rPr>
                <w:b/>
                <w:sz w:val="21"/>
              </w:rPr>
              <w:t>3.2.11</w:t>
            </w:r>
          </w:p>
        </w:tc>
        <w:tc>
          <w:tcPr>
            <w:tcW w:w="1721" w:type="dxa"/>
          </w:tcPr>
          <w:p>
            <w:pPr>
              <w:pStyle w:val="TableParagraph"/>
              <w:spacing w:line="273" w:lineRule="auto" w:before="77"/>
              <w:ind w:left="149" w:right="121"/>
              <w:rPr>
                <w:b/>
                <w:sz w:val="21"/>
              </w:rPr>
            </w:pPr>
            <w:r>
              <w:rPr>
                <w:b/>
                <w:sz w:val="21"/>
              </w:rPr>
              <w:t>脑炎后遗 症或脑膜炎后遗症</w:t>
            </w:r>
          </w:p>
        </w:tc>
        <w:tc>
          <w:tcPr>
            <w:tcW w:w="7467" w:type="dxa"/>
          </w:tcPr>
          <w:p>
            <w:pPr>
              <w:pStyle w:val="TableParagraph"/>
              <w:spacing w:line="273" w:lineRule="auto" w:before="77"/>
              <w:ind w:left="92" w:right="102"/>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723" w:right="101" w:hanging="526"/>
              <w:rPr>
                <w:sz w:val="21"/>
              </w:rPr>
            </w:pPr>
            <w:r>
              <w:rPr>
                <w:spacing w:val="-15"/>
                <w:sz w:val="21"/>
              </w:rPr>
              <w:t>（3）</w:t>
            </w:r>
            <w:r>
              <w:rPr>
                <w:spacing w:val="-7"/>
                <w:sz w:val="21"/>
              </w:rPr>
              <w:t>自主生活能力完全丧失，无法独立完成六项基本日常生活活动中的三项或</w:t>
            </w:r>
            <w:r>
              <w:rPr>
                <w:spacing w:val="-4"/>
                <w:sz w:val="21"/>
              </w:rPr>
              <w:t>三项以上。</w:t>
            </w:r>
          </w:p>
        </w:tc>
      </w:tr>
      <w:tr>
        <w:trPr>
          <w:trHeight w:val="363" w:hRule="atLeast"/>
        </w:trPr>
        <w:tc>
          <w:tcPr>
            <w:tcW w:w="989" w:type="dxa"/>
          </w:tcPr>
          <w:p>
            <w:pPr>
              <w:pStyle w:val="TableParagraph"/>
              <w:spacing w:line="255" w:lineRule="exact" w:before="88"/>
              <w:ind w:left="200"/>
              <w:rPr>
                <w:b/>
                <w:sz w:val="21"/>
              </w:rPr>
            </w:pPr>
            <w:r>
              <w:rPr>
                <w:b/>
                <w:sz w:val="21"/>
              </w:rPr>
              <w:t>3.2.12</w:t>
            </w:r>
          </w:p>
        </w:tc>
        <w:tc>
          <w:tcPr>
            <w:tcW w:w="1721" w:type="dxa"/>
          </w:tcPr>
          <w:p>
            <w:pPr>
              <w:pStyle w:val="TableParagraph"/>
              <w:spacing w:line="255" w:lineRule="exact" w:before="88"/>
              <w:ind w:left="149"/>
              <w:rPr>
                <w:b/>
                <w:sz w:val="21"/>
              </w:rPr>
            </w:pPr>
            <w:r>
              <w:rPr>
                <w:b/>
                <w:sz w:val="21"/>
              </w:rPr>
              <w:t>双耳失聪</w:t>
            </w:r>
          </w:p>
        </w:tc>
        <w:tc>
          <w:tcPr>
            <w:tcW w:w="7467" w:type="dxa"/>
          </w:tcPr>
          <w:p>
            <w:pPr>
              <w:pStyle w:val="TableParagraph"/>
              <w:spacing w:line="255" w:lineRule="exact" w:before="88"/>
              <w:ind w:left="92"/>
              <w:rPr>
                <w:sz w:val="21"/>
              </w:rPr>
            </w:pPr>
            <w:r>
              <w:rPr>
                <w:spacing w:val="-3"/>
                <w:sz w:val="21"/>
              </w:rPr>
              <w:t>指因疾病或意外伤害导致双耳听力</w:t>
            </w:r>
            <w:r>
              <w:rPr>
                <w:b/>
                <w:spacing w:val="-9"/>
                <w:sz w:val="21"/>
              </w:rPr>
              <w:t>永久不可逆</w:t>
            </w:r>
            <w:r>
              <w:rPr>
                <w:b/>
                <w:spacing w:val="-7"/>
                <w:position w:val="11"/>
                <w:sz w:val="11"/>
              </w:rPr>
              <w:t>［10.16］</w:t>
            </w:r>
            <w:r>
              <w:rPr>
                <w:spacing w:val="-25"/>
                <w:sz w:val="21"/>
              </w:rPr>
              <w:t>性丧失，在 </w:t>
            </w:r>
            <w:r>
              <w:rPr>
                <w:sz w:val="21"/>
              </w:rPr>
              <w:t>500</w:t>
            </w:r>
            <w:r>
              <w:rPr>
                <w:spacing w:val="-36"/>
                <w:sz w:val="21"/>
              </w:rPr>
              <w:t> 赫兹、</w:t>
            </w:r>
            <w:r>
              <w:rPr>
                <w:sz w:val="21"/>
              </w:rPr>
              <w:t>1000</w:t>
            </w:r>
            <w:r>
              <w:rPr>
                <w:spacing w:val="5"/>
                <w:sz w:val="21"/>
              </w:rPr>
              <w:t> 赫</w:t>
            </w:r>
          </w:p>
        </w:tc>
      </w:tr>
    </w:tbl>
    <w:p>
      <w:pPr>
        <w:spacing w:after="0" w:line="255" w:lineRule="exact"/>
        <w:rPr>
          <w:sz w:val="21"/>
        </w:rPr>
        <w:sectPr>
          <w:headerReference w:type="default" r:id="rId10"/>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976"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92"/>
              <w:rPr>
                <w:sz w:val="21"/>
              </w:rPr>
            </w:pPr>
            <w:r>
              <w:rPr>
                <w:sz w:val="21"/>
              </w:rPr>
              <w:t>兹和 2000 赫兹语音频率下，平均听阈大于 90 分贝，且经纯音听力测试、声导</w:t>
            </w:r>
          </w:p>
          <w:p>
            <w:pPr>
              <w:pStyle w:val="TableParagraph"/>
              <w:spacing w:before="37"/>
              <w:ind w:left="92"/>
              <w:rPr>
                <w:sz w:val="21"/>
              </w:rPr>
            </w:pPr>
            <w:r>
              <w:rPr>
                <w:sz w:val="21"/>
              </w:rPr>
              <w:t>抗检测或听觉诱发电位检测等证实。</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3" w:hRule="atLeast"/>
        </w:trPr>
        <w:tc>
          <w:tcPr>
            <w:tcW w:w="989" w:type="dxa"/>
          </w:tcPr>
          <w:p>
            <w:pPr>
              <w:pStyle w:val="TableParagraph"/>
              <w:ind w:left="179" w:right="132"/>
              <w:jc w:val="center"/>
              <w:rPr>
                <w:b/>
                <w:sz w:val="21"/>
              </w:rPr>
            </w:pPr>
            <w:r>
              <w:rPr>
                <w:b/>
                <w:sz w:val="21"/>
              </w:rPr>
              <w:t>3.2.13</w:t>
            </w:r>
          </w:p>
        </w:tc>
        <w:tc>
          <w:tcPr>
            <w:tcW w:w="1721" w:type="dxa"/>
          </w:tcPr>
          <w:p>
            <w:pPr>
              <w:pStyle w:val="TableParagraph"/>
              <w:ind w:left="149"/>
              <w:rPr>
                <w:b/>
                <w:sz w:val="21"/>
              </w:rPr>
            </w:pPr>
            <w:r>
              <w:rPr>
                <w:b/>
                <w:sz w:val="21"/>
              </w:rPr>
              <w:t>双目失明</w:t>
            </w:r>
          </w:p>
        </w:tc>
        <w:tc>
          <w:tcPr>
            <w:tcW w:w="7467" w:type="dxa"/>
          </w:tcPr>
          <w:p>
            <w:pPr>
              <w:pStyle w:val="TableParagraph"/>
              <w:spacing w:line="273" w:lineRule="auto"/>
              <w:ind w:left="92" w:right="101"/>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before="7"/>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ind w:left="179" w:right="132"/>
              <w:jc w:val="center"/>
              <w:rPr>
                <w:b/>
                <w:sz w:val="21"/>
              </w:rPr>
            </w:pPr>
            <w:r>
              <w:rPr>
                <w:b/>
                <w:sz w:val="21"/>
              </w:rPr>
              <w:t>3.2.14</w:t>
            </w:r>
          </w:p>
        </w:tc>
        <w:tc>
          <w:tcPr>
            <w:tcW w:w="1721" w:type="dxa"/>
          </w:tcPr>
          <w:p>
            <w:pPr>
              <w:pStyle w:val="TableParagraph"/>
              <w:ind w:left="149"/>
              <w:rPr>
                <w:b/>
                <w:sz w:val="21"/>
              </w:rPr>
            </w:pPr>
            <w:r>
              <w:rPr>
                <w:b/>
                <w:sz w:val="21"/>
              </w:rPr>
              <w:t>瘫痪</w:t>
            </w:r>
          </w:p>
        </w:tc>
        <w:tc>
          <w:tcPr>
            <w:tcW w:w="7467" w:type="dxa"/>
          </w:tcPr>
          <w:p>
            <w:pPr>
              <w:pStyle w:val="TableParagraph"/>
              <w:spacing w:line="273" w:lineRule="auto"/>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ind w:left="179" w:right="132"/>
              <w:jc w:val="center"/>
              <w:rPr>
                <w:b/>
                <w:sz w:val="21"/>
              </w:rPr>
            </w:pPr>
            <w:r>
              <w:rPr>
                <w:b/>
                <w:sz w:val="21"/>
              </w:rPr>
              <w:t>3.2.15</w:t>
            </w:r>
          </w:p>
        </w:tc>
        <w:tc>
          <w:tcPr>
            <w:tcW w:w="1721" w:type="dxa"/>
          </w:tcPr>
          <w:p>
            <w:pPr>
              <w:pStyle w:val="TableParagraph"/>
              <w:ind w:left="149"/>
              <w:rPr>
                <w:b/>
                <w:sz w:val="21"/>
              </w:rPr>
            </w:pPr>
            <w:r>
              <w:rPr>
                <w:b/>
                <w:sz w:val="21"/>
              </w:rPr>
              <w:t>心脏瓣膜手术</w:t>
            </w:r>
          </w:p>
        </w:tc>
        <w:tc>
          <w:tcPr>
            <w:tcW w:w="7467" w:type="dxa"/>
          </w:tcPr>
          <w:p>
            <w:pPr>
              <w:pStyle w:val="TableParagraph"/>
              <w:ind w:left="92"/>
              <w:rPr>
                <w:sz w:val="21"/>
              </w:rPr>
            </w:pPr>
            <w:r>
              <w:rPr>
                <w:sz w:val="21"/>
              </w:rPr>
              <w:t>指为治疗心脏瓣膜疾病，实际实施了开胸进行的心脏瓣膜置换或修复的手术。</w:t>
            </w:r>
          </w:p>
        </w:tc>
      </w:tr>
      <w:tr>
        <w:trPr>
          <w:trHeight w:val="2151"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2"/>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6" w:hRule="atLeast"/>
        </w:trPr>
        <w:tc>
          <w:tcPr>
            <w:tcW w:w="989" w:type="dxa"/>
          </w:tcPr>
          <w:p>
            <w:pPr>
              <w:pStyle w:val="TableParagraph"/>
              <w:spacing w:line="262" w:lineRule="exact" w:before="0"/>
              <w:ind w:left="179" w:right="132"/>
              <w:jc w:val="center"/>
              <w:rPr>
                <w:b/>
                <w:sz w:val="21"/>
              </w:rPr>
            </w:pPr>
            <w:r>
              <w:rPr>
                <w:b/>
                <w:sz w:val="21"/>
              </w:rPr>
              <w:t>3.2.17</w:t>
            </w:r>
          </w:p>
        </w:tc>
        <w:tc>
          <w:tcPr>
            <w:tcW w:w="1721" w:type="dxa"/>
          </w:tcPr>
          <w:p>
            <w:pPr>
              <w:pStyle w:val="TableParagraph"/>
              <w:spacing w:line="262" w:lineRule="exact" w:before="0"/>
              <w:ind w:left="149"/>
              <w:rPr>
                <w:b/>
                <w:sz w:val="21"/>
              </w:rPr>
            </w:pPr>
            <w:r>
              <w:rPr>
                <w:b/>
                <w:sz w:val="21"/>
              </w:rPr>
              <w:t>严重脑损伤</w:t>
            </w:r>
          </w:p>
        </w:tc>
        <w:tc>
          <w:tcPr>
            <w:tcW w:w="7467" w:type="dxa"/>
            <w:tcBorders>
              <w:right w:val="single" w:sz="4" w:space="0" w:color="FFFFFF"/>
            </w:tcBorders>
          </w:tcPr>
          <w:p>
            <w:pPr>
              <w:pStyle w:val="TableParagraph"/>
              <w:spacing w:line="273" w:lineRule="auto" w:before="0"/>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118" w:hanging="527"/>
              <w:rPr>
                <w:sz w:val="21"/>
              </w:rPr>
            </w:pPr>
            <w:r>
              <w:rPr>
                <w:sz w:val="21"/>
              </w:rPr>
              <w:t>（3）自主生活能力完全丧失，无法独立完成六项基本日常生活活动中的三项或三项以上。</w:t>
            </w:r>
          </w:p>
        </w:tc>
      </w:tr>
      <w:tr>
        <w:trPr>
          <w:trHeight w:val="2135" w:hRule="atLeast"/>
        </w:trPr>
        <w:tc>
          <w:tcPr>
            <w:tcW w:w="989" w:type="dxa"/>
          </w:tcPr>
          <w:p>
            <w:pPr>
              <w:pStyle w:val="TableParagraph"/>
              <w:spacing w:before="167"/>
              <w:ind w:left="179" w:right="132"/>
              <w:jc w:val="center"/>
              <w:rPr>
                <w:b/>
                <w:sz w:val="21"/>
              </w:rPr>
            </w:pPr>
            <w:r>
              <w:rPr>
                <w:b/>
                <w:sz w:val="21"/>
              </w:rPr>
              <w:t>3.2.18</w:t>
            </w:r>
          </w:p>
        </w:tc>
        <w:tc>
          <w:tcPr>
            <w:tcW w:w="1721" w:type="dxa"/>
          </w:tcPr>
          <w:p>
            <w:pPr>
              <w:pStyle w:val="TableParagraph"/>
              <w:spacing w:before="167"/>
              <w:ind w:left="149"/>
              <w:rPr>
                <w:b/>
                <w:sz w:val="21"/>
              </w:rPr>
            </w:pPr>
            <w:r>
              <w:rPr>
                <w:b/>
                <w:sz w:val="21"/>
              </w:rPr>
              <w:t>严重帕金森病</w:t>
            </w:r>
          </w:p>
        </w:tc>
        <w:tc>
          <w:tcPr>
            <w:tcW w:w="7467" w:type="dxa"/>
          </w:tcPr>
          <w:p>
            <w:pPr>
              <w:pStyle w:val="TableParagraph"/>
              <w:spacing w:before="0"/>
              <w:ind w:left="0"/>
              <w:rPr>
                <w:rFonts w:ascii="Times New Roman"/>
                <w:sz w:val="16"/>
              </w:rPr>
            </w:pPr>
          </w:p>
          <w:p>
            <w:pPr>
              <w:pStyle w:val="TableParagraph"/>
              <w:spacing w:line="273" w:lineRule="auto" w:before="0"/>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804" w:hRule="atLeast"/>
        </w:trPr>
        <w:tc>
          <w:tcPr>
            <w:tcW w:w="989" w:type="dxa"/>
          </w:tcPr>
          <w:p>
            <w:pPr>
              <w:pStyle w:val="TableParagraph"/>
              <w:spacing w:before="77"/>
              <w:ind w:left="180" w:right="131"/>
              <w:jc w:val="center"/>
              <w:rPr>
                <w:b/>
                <w:sz w:val="21"/>
              </w:rPr>
            </w:pPr>
            <w:r>
              <w:rPr>
                <w:b/>
                <w:sz w:val="21"/>
              </w:rPr>
              <w:t>3.2.19</w:t>
            </w:r>
          </w:p>
        </w:tc>
        <w:tc>
          <w:tcPr>
            <w:tcW w:w="1721" w:type="dxa"/>
          </w:tcPr>
          <w:p>
            <w:pPr>
              <w:pStyle w:val="TableParagraph"/>
              <w:spacing w:before="77"/>
              <w:ind w:left="149"/>
              <w:rPr>
                <w:b/>
                <w:sz w:val="21"/>
              </w:rPr>
            </w:pPr>
            <w:r>
              <w:rPr>
                <w:b/>
                <w:sz w:val="21"/>
              </w:rPr>
              <w:t>严重Ⅲ度烧伤</w:t>
            </w:r>
          </w:p>
        </w:tc>
        <w:tc>
          <w:tcPr>
            <w:tcW w:w="7467" w:type="dxa"/>
          </w:tcPr>
          <w:p>
            <w:pPr>
              <w:pStyle w:val="TableParagraph"/>
              <w:spacing w:line="273" w:lineRule="auto" w:before="77"/>
              <w:ind w:left="92" w:right="22"/>
              <w:rPr>
                <w:sz w:val="21"/>
              </w:rPr>
            </w:pPr>
            <w:r>
              <w:rPr>
                <w:sz w:val="21"/>
              </w:rPr>
              <w:t>指烧伤程度为Ⅲ度，且Ⅲ度烧伤面积达到全身体表面积的 20％或 20％以上。体表面积根据《中国新九分法》计算。</w:t>
            </w:r>
          </w:p>
        </w:tc>
      </w:tr>
      <w:tr>
        <w:trPr>
          <w:trHeight w:val="1115"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273" w:lineRule="auto"/>
              <w:ind w:left="149" w:right="303"/>
              <w:rPr>
                <w:b/>
                <w:sz w:val="21"/>
              </w:rPr>
            </w:pPr>
            <w:r>
              <w:rPr>
                <w:b/>
                <w:sz w:val="21"/>
              </w:rPr>
              <w:t>严重原发性肺动脉高压</w:t>
            </w:r>
          </w:p>
        </w:tc>
        <w:tc>
          <w:tcPr>
            <w:tcW w:w="7467" w:type="dxa"/>
          </w:tcPr>
          <w:p>
            <w:pPr>
              <w:pStyle w:val="TableParagraph"/>
              <w:spacing w:line="273" w:lineRule="auto"/>
              <w:ind w:left="92" w:right="102"/>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7"/>
              <w:ind w:left="92"/>
              <w:rPr>
                <w:sz w:val="21"/>
              </w:rPr>
            </w:pPr>
            <w:r>
              <w:rPr>
                <w:sz w:val="21"/>
              </w:rPr>
              <w:t>IV 级，且静息状态下肺动脉平均压超过 30mmHg。</w:t>
            </w:r>
          </w:p>
        </w:tc>
      </w:tr>
      <w:tr>
        <w:trPr>
          <w:trHeight w:val="351" w:hRule="atLeast"/>
        </w:trPr>
        <w:tc>
          <w:tcPr>
            <w:tcW w:w="989" w:type="dxa"/>
          </w:tcPr>
          <w:p>
            <w:pPr>
              <w:pStyle w:val="TableParagraph"/>
              <w:spacing w:line="255" w:lineRule="exact"/>
              <w:ind w:left="179" w:right="132"/>
              <w:jc w:val="center"/>
              <w:rPr>
                <w:b/>
                <w:sz w:val="21"/>
              </w:rPr>
            </w:pPr>
            <w:r>
              <w:rPr>
                <w:b/>
                <w:sz w:val="21"/>
              </w:rPr>
              <w:t>3.2.21</w:t>
            </w:r>
          </w:p>
        </w:tc>
        <w:tc>
          <w:tcPr>
            <w:tcW w:w="1721" w:type="dxa"/>
          </w:tcPr>
          <w:p>
            <w:pPr>
              <w:pStyle w:val="TableParagraph"/>
              <w:spacing w:line="255" w:lineRule="exact"/>
              <w:ind w:left="149"/>
              <w:rPr>
                <w:b/>
                <w:sz w:val="21"/>
              </w:rPr>
            </w:pPr>
            <w:r>
              <w:rPr>
                <w:b/>
                <w:sz w:val="21"/>
              </w:rPr>
              <w:t>严重运动神经</w:t>
            </w:r>
          </w:p>
        </w:tc>
        <w:tc>
          <w:tcPr>
            <w:tcW w:w="7467" w:type="dxa"/>
          </w:tcPr>
          <w:p>
            <w:pPr>
              <w:pStyle w:val="TableParagraph"/>
              <w:spacing w:line="255" w:lineRule="exact"/>
              <w:ind w:left="92"/>
              <w:rPr>
                <w:sz w:val="21"/>
              </w:rPr>
            </w:pPr>
            <w:r>
              <w:rPr>
                <w:sz w:val="21"/>
              </w:rPr>
              <w:t>是一组中枢神经系统运动神经元的进行性变性疾病，包括进行性脊肌萎缩症、进</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753"/>
      </w:tblGrid>
      <w:tr>
        <w:trPr>
          <w:trHeight w:val="664" w:hRule="atLeast"/>
        </w:trPr>
        <w:tc>
          <w:tcPr>
            <w:tcW w:w="989" w:type="dxa"/>
          </w:tcPr>
          <w:p>
            <w:pPr>
              <w:pStyle w:val="TableParagraph"/>
              <w:spacing w:before="0"/>
              <w:ind w:left="0"/>
              <w:rPr>
                <w:rFonts w:ascii="Times New Roman"/>
                <w:sz w:val="20"/>
              </w:rPr>
            </w:pPr>
          </w:p>
        </w:tc>
        <w:tc>
          <w:tcPr>
            <w:tcW w:w="1615" w:type="dxa"/>
          </w:tcPr>
          <w:p>
            <w:pPr>
              <w:pStyle w:val="TableParagraph"/>
              <w:spacing w:line="211" w:lineRule="exact" w:before="0"/>
              <w:ind w:left="149"/>
              <w:rPr>
                <w:b/>
                <w:sz w:val="21"/>
              </w:rPr>
            </w:pPr>
            <w:r>
              <w:rPr>
                <w:b/>
                <w:sz w:val="21"/>
              </w:rPr>
              <w:t>元病</w:t>
            </w:r>
          </w:p>
        </w:tc>
        <w:tc>
          <w:tcPr>
            <w:tcW w:w="7753" w:type="dxa"/>
          </w:tcPr>
          <w:p>
            <w:pPr>
              <w:pStyle w:val="TableParagraph"/>
              <w:spacing w:line="211" w:lineRule="exact" w:before="0"/>
              <w:rPr>
                <w:sz w:val="21"/>
              </w:rPr>
            </w:pPr>
            <w:r>
              <w:rPr>
                <w:sz w:val="21"/>
              </w:rPr>
              <w:t>行性延髓麻痹症、原发性侧索硬化症、肌萎缩性侧索硬化症。须满足自主生活能</w:t>
            </w:r>
          </w:p>
          <w:p>
            <w:pPr>
              <w:pStyle w:val="TableParagraph"/>
              <w:spacing w:before="37"/>
              <w:rPr>
                <w:sz w:val="21"/>
              </w:rPr>
            </w:pPr>
            <w:r>
              <w:rPr>
                <w:sz w:val="21"/>
              </w:rPr>
              <w:t>力完全丧失，无法独立完成六项基本日常生活活动中的三项或三项以上的条件。</w:t>
            </w:r>
          </w:p>
        </w:tc>
      </w:tr>
      <w:tr>
        <w:trPr>
          <w:trHeight w:val="1427" w:hRule="atLeast"/>
        </w:trPr>
        <w:tc>
          <w:tcPr>
            <w:tcW w:w="989" w:type="dxa"/>
          </w:tcPr>
          <w:p>
            <w:pPr>
              <w:pStyle w:val="TableParagraph"/>
              <w:ind w:left="179" w:right="132"/>
              <w:jc w:val="center"/>
              <w:rPr>
                <w:b/>
                <w:sz w:val="21"/>
              </w:rPr>
            </w:pPr>
            <w:r>
              <w:rPr>
                <w:b/>
                <w:sz w:val="21"/>
              </w:rPr>
              <w:t>3.2.22</w:t>
            </w:r>
          </w:p>
        </w:tc>
        <w:tc>
          <w:tcPr>
            <w:tcW w:w="1615" w:type="dxa"/>
          </w:tcPr>
          <w:p>
            <w:pPr>
              <w:pStyle w:val="TableParagraph"/>
              <w:ind w:left="149"/>
              <w:rPr>
                <w:b/>
                <w:sz w:val="21"/>
              </w:rPr>
            </w:pPr>
            <w:r>
              <w:rPr>
                <w:b/>
                <w:sz w:val="21"/>
              </w:rPr>
              <w:t>语言能力丧失</w:t>
            </w:r>
          </w:p>
        </w:tc>
        <w:tc>
          <w:tcPr>
            <w:tcW w:w="7753" w:type="dxa"/>
          </w:tcPr>
          <w:p>
            <w:pPr>
              <w:pStyle w:val="TableParagraph"/>
              <w:spacing w:line="273" w:lineRule="auto"/>
              <w:ind w:right="303"/>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9" w:hRule="atLeast"/>
        </w:trPr>
        <w:tc>
          <w:tcPr>
            <w:tcW w:w="989" w:type="dxa"/>
          </w:tcPr>
          <w:p>
            <w:pPr>
              <w:pStyle w:val="TableParagraph"/>
              <w:ind w:left="179" w:right="132"/>
              <w:jc w:val="center"/>
              <w:rPr>
                <w:b/>
                <w:sz w:val="21"/>
              </w:rPr>
            </w:pPr>
            <w:r>
              <w:rPr>
                <w:b/>
                <w:sz w:val="21"/>
              </w:rPr>
              <w:t>3.2.23</w:t>
            </w:r>
          </w:p>
        </w:tc>
        <w:tc>
          <w:tcPr>
            <w:tcW w:w="1615" w:type="dxa"/>
          </w:tcPr>
          <w:p>
            <w:pPr>
              <w:pStyle w:val="TableParagraph"/>
              <w:spacing w:line="273" w:lineRule="auto"/>
              <w:ind w:left="149" w:right="197"/>
              <w:rPr>
                <w:b/>
                <w:sz w:val="21"/>
              </w:rPr>
            </w:pPr>
            <w:r>
              <w:rPr>
                <w:b/>
                <w:sz w:val="21"/>
              </w:rPr>
              <w:t>重型再生障碍性贫血</w:t>
            </w:r>
          </w:p>
        </w:tc>
        <w:tc>
          <w:tcPr>
            <w:tcW w:w="7753" w:type="dxa"/>
          </w:tcPr>
          <w:p>
            <w:pPr>
              <w:pStyle w:val="TableParagraph"/>
              <w:spacing w:line="273" w:lineRule="auto" w:before="96"/>
              <w:ind w:right="477"/>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1"/>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1"/>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753" w:type="dxa"/>
          </w:tcPr>
          <w:p>
            <w:pPr>
              <w:pStyle w:val="TableParagraph"/>
              <w:spacing w:line="273" w:lineRule="auto" w:before="96"/>
              <w:ind w:right="469"/>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8"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427" w:hRule="atLeast"/>
        </w:trPr>
        <w:tc>
          <w:tcPr>
            <w:tcW w:w="989" w:type="dxa"/>
          </w:tcPr>
          <w:p>
            <w:pPr>
              <w:pStyle w:val="TableParagraph"/>
              <w:ind w:left="179" w:right="132"/>
              <w:jc w:val="center"/>
              <w:rPr>
                <w:b/>
                <w:sz w:val="21"/>
              </w:rPr>
            </w:pPr>
            <w:r>
              <w:rPr>
                <w:b/>
                <w:sz w:val="21"/>
              </w:rPr>
              <w:t>3.2.25</w:t>
            </w:r>
          </w:p>
        </w:tc>
        <w:tc>
          <w:tcPr>
            <w:tcW w:w="1615" w:type="dxa"/>
          </w:tcPr>
          <w:p>
            <w:pPr>
              <w:pStyle w:val="TableParagraph"/>
              <w:spacing w:line="273" w:lineRule="auto"/>
              <w:ind w:left="149" w:right="197"/>
              <w:rPr>
                <w:b/>
                <w:sz w:val="21"/>
              </w:rPr>
            </w:pPr>
            <w:r>
              <w:rPr>
                <w:b/>
                <w:sz w:val="21"/>
              </w:rPr>
              <w:t>严重多发性硬化症</w:t>
            </w:r>
          </w:p>
        </w:tc>
        <w:tc>
          <w:tcPr>
            <w:tcW w:w="7753" w:type="dxa"/>
          </w:tcPr>
          <w:p>
            <w:pPr>
              <w:pStyle w:val="TableParagraph"/>
              <w:spacing w:line="273" w:lineRule="auto"/>
              <w:ind w:right="282"/>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8"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753" w:type="dxa"/>
          </w:tcPr>
          <w:p>
            <w:pPr>
              <w:pStyle w:val="TableParagraph"/>
              <w:spacing w:line="273" w:lineRule="auto"/>
              <w:ind w:right="281"/>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7"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753" w:type="dxa"/>
          </w:tcPr>
          <w:p>
            <w:pPr>
              <w:pStyle w:val="TableParagraph"/>
              <w:spacing w:line="273" w:lineRule="auto"/>
              <w:ind w:right="282"/>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753"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6"/>
              <w:rPr>
                <w:sz w:val="21"/>
              </w:rPr>
            </w:pPr>
            <w:r>
              <w:rPr>
                <w:sz w:val="21"/>
              </w:rPr>
              <w:t>（3) 残气容积占肺总量(TLC)的 60%以上；</w:t>
            </w:r>
          </w:p>
          <w:p>
            <w:pPr>
              <w:pStyle w:val="TableParagraph"/>
              <w:spacing w:before="37"/>
              <w:rPr>
                <w:sz w:val="21"/>
              </w:rPr>
            </w:pPr>
            <w:r>
              <w:rPr>
                <w:sz w:val="21"/>
              </w:rPr>
              <w:t>（4) 胸内气体容积升高，超过 170(基值的百分比)；</w:t>
            </w:r>
          </w:p>
          <w:p>
            <w:pPr>
              <w:pStyle w:val="TableParagraph"/>
              <w:spacing w:before="37"/>
              <w:rPr>
                <w:sz w:val="21"/>
              </w:rPr>
            </w:pPr>
            <w:r>
              <w:rPr>
                <w:sz w:val="21"/>
              </w:rPr>
              <w:t>（5) PaO2&lt;60mmHg，PaCO2&gt;50mmHg。</w:t>
            </w:r>
          </w:p>
        </w:tc>
      </w:tr>
      <w:tr>
        <w:trPr>
          <w:trHeight w:val="1427"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753" w:type="dxa"/>
          </w:tcPr>
          <w:p>
            <w:pPr>
              <w:pStyle w:val="TableParagraph"/>
              <w:spacing w:line="273" w:lineRule="auto"/>
              <w:ind w:right="303"/>
              <w:jc w:val="both"/>
              <w:rPr>
                <w:rFonts w:ascii="黑体" w:eastAsia="黑体" w:hint="eastAsia"/>
                <w:b/>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2"/>
                <w:sz w:val="21"/>
              </w:rPr>
              <w:t> 日。</w:t>
            </w:r>
            <w:r>
              <w:rPr>
                <w:rFonts w:ascii="黑体" w:eastAsia="黑体" w:hint="eastAsia"/>
                <w:b/>
                <w:spacing w:val="-2"/>
                <w:sz w:val="21"/>
              </w:rPr>
              <w:t>因酗酒或滥用药物所致的植物人状态不在保障范围内。</w:t>
            </w:r>
          </w:p>
        </w:tc>
      </w:tr>
      <w:tr>
        <w:trPr>
          <w:trHeight w:val="351" w:hRule="atLeast"/>
        </w:trPr>
        <w:tc>
          <w:tcPr>
            <w:tcW w:w="989" w:type="dxa"/>
          </w:tcPr>
          <w:p>
            <w:pPr>
              <w:pStyle w:val="TableParagraph"/>
              <w:spacing w:line="255" w:lineRule="exact"/>
              <w:ind w:left="179" w:right="132"/>
              <w:jc w:val="center"/>
              <w:rPr>
                <w:b/>
                <w:sz w:val="21"/>
              </w:rPr>
            </w:pPr>
            <w:r>
              <w:rPr>
                <w:b/>
                <w:sz w:val="21"/>
              </w:rPr>
              <w:t>3.2.30</w:t>
            </w:r>
          </w:p>
        </w:tc>
        <w:tc>
          <w:tcPr>
            <w:tcW w:w="1615" w:type="dxa"/>
          </w:tcPr>
          <w:p>
            <w:pPr>
              <w:pStyle w:val="TableParagraph"/>
              <w:spacing w:line="255" w:lineRule="exact"/>
              <w:ind w:left="149"/>
              <w:rPr>
                <w:b/>
                <w:sz w:val="21"/>
              </w:rPr>
            </w:pPr>
            <w:r>
              <w:rPr>
                <w:b/>
                <w:sz w:val="21"/>
              </w:rPr>
              <w:t>系统性红斑狼</w:t>
            </w:r>
          </w:p>
        </w:tc>
        <w:tc>
          <w:tcPr>
            <w:tcW w:w="7753" w:type="dxa"/>
          </w:tcPr>
          <w:p>
            <w:pPr>
              <w:pStyle w:val="TableParagraph"/>
              <w:spacing w:line="255" w:lineRule="exact"/>
              <w:rPr>
                <w:sz w:val="21"/>
              </w:rPr>
            </w:pPr>
            <w:r>
              <w:rPr>
                <w:sz w:val="21"/>
              </w:rPr>
              <w:t>指系统性红斑狼疮累及肾脏导致的功能损害，经肾脏活检，病理结果符合世界卫</w:t>
            </w:r>
          </w:p>
        </w:tc>
      </w:tr>
    </w:tbl>
    <w:p>
      <w:pPr>
        <w:spacing w:after="0" w:line="255" w:lineRule="exact"/>
        <w:rPr>
          <w:sz w:val="21"/>
        </w:rPr>
        <w:sectPr>
          <w:pgSz w:w="11910" w:h="16840"/>
          <w:pgMar w:header="566" w:footer="664" w:top="1000" w:bottom="860" w:left="820" w:right="5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580"/>
      </w:tblGrid>
      <w:tr>
        <w:trPr>
          <w:trHeight w:val="2847" w:hRule="atLeast"/>
        </w:trPr>
        <w:tc>
          <w:tcPr>
            <w:tcW w:w="988" w:type="dxa"/>
          </w:tcPr>
          <w:p>
            <w:pPr>
              <w:pStyle w:val="TableParagraph"/>
              <w:spacing w:before="0"/>
              <w:ind w:left="0"/>
              <w:rPr>
                <w:rFonts w:ascii="Times New Roman"/>
                <w:sz w:val="20"/>
              </w:rPr>
            </w:pPr>
          </w:p>
        </w:tc>
        <w:tc>
          <w:tcPr>
            <w:tcW w:w="1707" w:type="dxa"/>
          </w:tcPr>
          <w:p>
            <w:pPr>
              <w:pStyle w:val="TableParagraph"/>
              <w:spacing w:line="211" w:lineRule="exact" w:before="0"/>
              <w:ind w:left="150"/>
              <w:rPr>
                <w:b/>
                <w:sz w:val="21"/>
              </w:rPr>
            </w:pPr>
            <w:r>
              <w:rPr>
                <w:b/>
                <w:sz w:val="21"/>
              </w:rPr>
              <w:t>疮性肾炎</w:t>
            </w:r>
          </w:p>
        </w:tc>
        <w:tc>
          <w:tcPr>
            <w:tcW w:w="7580" w:type="dxa"/>
          </w:tcPr>
          <w:p>
            <w:pPr>
              <w:pStyle w:val="TableParagraph"/>
              <w:spacing w:line="211" w:lineRule="exact" w:before="0"/>
              <w:ind w:left="107"/>
              <w:rPr>
                <w:sz w:val="21"/>
              </w:rPr>
            </w:pPr>
            <w:r>
              <w:rPr>
                <w:spacing w:val="-11"/>
                <w:sz w:val="21"/>
              </w:rPr>
              <w:t>生组织</w:t>
            </w:r>
            <w:r>
              <w:rPr>
                <w:spacing w:val="-7"/>
                <w:sz w:val="21"/>
              </w:rPr>
              <w:t>（WHO）</w:t>
            </w:r>
            <w:r>
              <w:rPr>
                <w:spacing w:val="-8"/>
                <w:sz w:val="21"/>
              </w:rPr>
              <w:t>诊断标准定义中的 </w:t>
            </w:r>
            <w:r>
              <w:rPr>
                <w:sz w:val="21"/>
              </w:rPr>
              <w:t>III</w:t>
            </w:r>
            <w:r>
              <w:rPr>
                <w:spacing w:val="-23"/>
                <w:sz w:val="21"/>
              </w:rPr>
              <w:t> 型至 </w:t>
            </w:r>
            <w:r>
              <w:rPr>
                <w:sz w:val="21"/>
              </w:rPr>
              <w:t>VI</w:t>
            </w:r>
            <w:r>
              <w:rPr>
                <w:spacing w:val="-10"/>
                <w:sz w:val="21"/>
              </w:rPr>
              <w:t> 型的狼疮性肾炎，血肌酐清除率持</w:t>
            </w:r>
          </w:p>
          <w:p>
            <w:pPr>
              <w:pStyle w:val="TableParagraph"/>
              <w:spacing w:before="37"/>
              <w:ind w:left="107"/>
              <w:rPr>
                <w:sz w:val="21"/>
              </w:rPr>
            </w:pPr>
            <w:r>
              <w:rPr>
                <w:sz w:val="21"/>
              </w:rPr>
              <w:t>续每分钟 30ml。</w:t>
            </w:r>
          </w:p>
          <w:p>
            <w:pPr>
              <w:pStyle w:val="TableParagraph"/>
              <w:spacing w:before="36"/>
              <w:ind w:left="107"/>
              <w:rPr>
                <w:sz w:val="21"/>
              </w:rPr>
            </w:pPr>
            <w:r>
              <w:rPr>
                <w:sz w:val="21"/>
              </w:rPr>
              <w:t>世界卫生组织（WHO）狼疮性肾炎分型：</w:t>
            </w:r>
          </w:p>
          <w:p>
            <w:pPr>
              <w:pStyle w:val="TableParagraph"/>
              <w:numPr>
                <w:ilvl w:val="0"/>
                <w:numId w:val="12"/>
              </w:numPr>
              <w:tabs>
                <w:tab w:pos="266" w:val="left" w:leader="none"/>
              </w:tabs>
              <w:spacing w:line="240" w:lineRule="auto" w:before="36" w:after="0"/>
              <w:ind w:left="266" w:right="0" w:hanging="159"/>
              <w:jc w:val="left"/>
              <w:rPr>
                <w:sz w:val="21"/>
              </w:rPr>
            </w:pPr>
            <w:r>
              <w:rPr>
                <w:spacing w:val="-3"/>
                <w:sz w:val="21"/>
              </w:rPr>
              <w:t>型：微小病变型</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型：系膜增殖性狼疮性肾炎</w:t>
            </w:r>
          </w:p>
          <w:p>
            <w:pPr>
              <w:pStyle w:val="TableParagraph"/>
              <w:numPr>
                <w:ilvl w:val="0"/>
                <w:numId w:val="12"/>
              </w:numPr>
              <w:tabs>
                <w:tab w:pos="478" w:val="left" w:leader="none"/>
              </w:tabs>
              <w:spacing w:line="240" w:lineRule="auto" w:before="36" w:after="0"/>
              <w:ind w:left="477" w:right="0" w:hanging="370"/>
              <w:jc w:val="left"/>
              <w:rPr>
                <w:sz w:val="21"/>
              </w:rPr>
            </w:pPr>
            <w:r>
              <w:rPr>
                <w:spacing w:val="-3"/>
                <w:sz w:val="21"/>
              </w:rPr>
              <w:t>型：局灶节段增殖性狼疮性肾炎</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型：弥漫增殖性狼疮性肾炎</w:t>
            </w:r>
          </w:p>
          <w:p>
            <w:pPr>
              <w:pStyle w:val="TableParagraph"/>
              <w:numPr>
                <w:ilvl w:val="0"/>
                <w:numId w:val="12"/>
              </w:numPr>
              <w:tabs>
                <w:tab w:pos="266" w:val="left" w:leader="none"/>
              </w:tabs>
              <w:spacing w:line="240" w:lineRule="auto" w:before="36" w:after="0"/>
              <w:ind w:left="266" w:right="0" w:hanging="159"/>
              <w:jc w:val="left"/>
              <w:rPr>
                <w:sz w:val="21"/>
              </w:rPr>
            </w:pPr>
            <w:r>
              <w:rPr>
                <w:spacing w:val="-3"/>
                <w:sz w:val="21"/>
              </w:rPr>
              <w:t>型：膜性狼疮性肾炎</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型：肾小球硬化性狼疮性肾炎</w:t>
            </w:r>
          </w:p>
        </w:tc>
      </w:tr>
      <w:tr>
        <w:trPr>
          <w:trHeight w:val="2676" w:hRule="atLeast"/>
        </w:trPr>
        <w:tc>
          <w:tcPr>
            <w:tcW w:w="988" w:type="dxa"/>
          </w:tcPr>
          <w:p>
            <w:pPr>
              <w:pStyle w:val="TableParagraph"/>
              <w:ind w:left="180" w:right="132"/>
              <w:jc w:val="center"/>
              <w:rPr>
                <w:b/>
                <w:sz w:val="21"/>
              </w:rPr>
            </w:pPr>
            <w:r>
              <w:rPr>
                <w:b/>
                <w:sz w:val="21"/>
              </w:rPr>
              <w:t>3.2.31</w:t>
            </w:r>
          </w:p>
        </w:tc>
        <w:tc>
          <w:tcPr>
            <w:tcW w:w="1707" w:type="dxa"/>
          </w:tcPr>
          <w:p>
            <w:pPr>
              <w:pStyle w:val="TableParagraph"/>
              <w:spacing w:line="273" w:lineRule="auto"/>
              <w:ind w:left="150" w:right="288"/>
              <w:rPr>
                <w:b/>
                <w:sz w:val="21"/>
              </w:rPr>
            </w:pPr>
            <w:r>
              <w:rPr>
                <w:b/>
                <w:sz w:val="21"/>
              </w:rPr>
              <w:t>严重类风湿性关节炎</w:t>
            </w:r>
          </w:p>
        </w:tc>
        <w:tc>
          <w:tcPr>
            <w:tcW w:w="7580" w:type="dxa"/>
          </w:tcPr>
          <w:p>
            <w:pPr>
              <w:pStyle w:val="TableParagraph"/>
              <w:spacing w:line="273" w:lineRule="auto"/>
              <w:ind w:left="107" w:right="200"/>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633" w:right="199"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8"/>
              <w:ind w:left="107"/>
              <w:rPr>
                <w:sz w:val="21"/>
              </w:rPr>
            </w:pPr>
            <w:r>
              <w:rPr>
                <w:sz w:val="21"/>
              </w:rPr>
              <w:t>（2）X 线检查可见类风湿性关节炎的典型变化；</w:t>
            </w:r>
          </w:p>
          <w:p>
            <w:pPr>
              <w:pStyle w:val="TableParagraph"/>
              <w:spacing w:before="37"/>
              <w:ind w:left="107"/>
              <w:rPr>
                <w:sz w:val="21"/>
              </w:rPr>
            </w:pPr>
            <w:r>
              <w:rPr>
                <w:sz w:val="21"/>
              </w:rPr>
              <w:t>（3）关节的畸形改变至少持续 180 日；</w:t>
            </w:r>
          </w:p>
          <w:p>
            <w:pPr>
              <w:pStyle w:val="TableParagraph"/>
              <w:spacing w:line="273" w:lineRule="auto" w:before="37"/>
              <w:ind w:left="633" w:right="221"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ind w:left="180" w:right="132"/>
              <w:jc w:val="center"/>
              <w:rPr>
                <w:b/>
                <w:sz w:val="21"/>
              </w:rPr>
            </w:pPr>
            <w:r>
              <w:rPr>
                <w:b/>
                <w:sz w:val="21"/>
              </w:rPr>
              <w:t>3.2.32</w:t>
            </w:r>
          </w:p>
        </w:tc>
        <w:tc>
          <w:tcPr>
            <w:tcW w:w="1707" w:type="dxa"/>
          </w:tcPr>
          <w:p>
            <w:pPr>
              <w:pStyle w:val="TableParagraph"/>
              <w:ind w:left="150"/>
              <w:rPr>
                <w:b/>
                <w:sz w:val="21"/>
              </w:rPr>
            </w:pPr>
            <w:r>
              <w:rPr>
                <w:b/>
                <w:sz w:val="21"/>
              </w:rPr>
              <w:t>坏死性筋膜炎</w:t>
            </w:r>
          </w:p>
        </w:tc>
        <w:tc>
          <w:tcPr>
            <w:tcW w:w="7580" w:type="dxa"/>
          </w:tcPr>
          <w:p>
            <w:pPr>
              <w:pStyle w:val="TableParagraph"/>
              <w:spacing w:line="273" w:lineRule="auto"/>
              <w:ind w:left="107" w:right="200"/>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7"/>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7"/>
              <w:ind w:left="671"/>
              <w:rPr>
                <w:sz w:val="21"/>
              </w:rPr>
            </w:pPr>
            <w:r>
              <w:rPr>
                <w:sz w:val="21"/>
              </w:rPr>
              <w:t>180 日。</w:t>
            </w:r>
          </w:p>
        </w:tc>
      </w:tr>
      <w:tr>
        <w:trPr>
          <w:trHeight w:val="2141" w:hRule="atLeast"/>
        </w:trPr>
        <w:tc>
          <w:tcPr>
            <w:tcW w:w="988" w:type="dxa"/>
          </w:tcPr>
          <w:p>
            <w:pPr>
              <w:pStyle w:val="TableParagraph"/>
              <w:ind w:left="180" w:right="132"/>
              <w:jc w:val="center"/>
              <w:rPr>
                <w:b/>
                <w:sz w:val="21"/>
              </w:rPr>
            </w:pPr>
            <w:r>
              <w:rPr>
                <w:b/>
                <w:sz w:val="21"/>
              </w:rPr>
              <w:t>3.2.33</w:t>
            </w:r>
          </w:p>
        </w:tc>
        <w:tc>
          <w:tcPr>
            <w:tcW w:w="1707" w:type="dxa"/>
          </w:tcPr>
          <w:p>
            <w:pPr>
              <w:pStyle w:val="TableParagraph"/>
              <w:ind w:left="150"/>
              <w:rPr>
                <w:b/>
                <w:sz w:val="21"/>
              </w:rPr>
            </w:pPr>
            <w:r>
              <w:rPr>
                <w:b/>
                <w:sz w:val="21"/>
              </w:rPr>
              <w:t>重症肌无力</w:t>
            </w:r>
          </w:p>
        </w:tc>
        <w:tc>
          <w:tcPr>
            <w:tcW w:w="7580" w:type="dxa"/>
          </w:tcPr>
          <w:p>
            <w:pPr>
              <w:pStyle w:val="TableParagraph"/>
              <w:spacing w:line="273" w:lineRule="auto"/>
              <w:ind w:left="107" w:right="200"/>
              <w:rPr>
                <w:sz w:val="21"/>
              </w:rPr>
            </w:pPr>
            <w:r>
              <w:rPr>
                <w:spacing w:val="-7"/>
                <w:sz w:val="21"/>
              </w:rPr>
              <w:t>指一种神经与肌肉接头部位传递障碍的自身免疫性疾病，临床特征是局部或全身</w:t>
            </w:r>
            <w:r>
              <w:rPr>
                <w:spacing w:val="-5"/>
                <w:sz w:val="21"/>
              </w:rPr>
              <w:t>肌肉于活动时易于疲劳无力，须经专科医生明确诊断，并满足下列全部条件：</w:t>
            </w:r>
          </w:p>
          <w:p>
            <w:pPr>
              <w:pStyle w:val="TableParagraph"/>
              <w:spacing w:line="273" w:lineRule="auto" w:before="7"/>
              <w:ind w:left="633" w:right="221" w:hanging="527"/>
              <w:rPr>
                <w:sz w:val="21"/>
              </w:rPr>
            </w:pPr>
            <w:r>
              <w:rPr>
                <w:sz w:val="21"/>
              </w:rPr>
              <w:t>（1）经药物治疗或胸腺手术治疗一年以上无法控制病情，症状缓解、复发及恶化交替出现；</w:t>
            </w:r>
          </w:p>
          <w:p>
            <w:pPr>
              <w:pStyle w:val="TableParagraph"/>
              <w:spacing w:line="273" w:lineRule="auto" w:before="7"/>
              <w:ind w:left="633" w:right="221"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before="0"/>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580"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32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08"/>
              <w:rPr>
                <w:sz w:val="21"/>
              </w:rPr>
            </w:pPr>
            <w:r>
              <w:rPr>
                <w:sz w:val="21"/>
              </w:rPr>
              <w:t>（3）受感染的被保险人不是血友病患者。</w:t>
            </w:r>
          </w:p>
          <w:p>
            <w:pPr>
              <w:pStyle w:val="TableParagraph"/>
              <w:spacing w:line="273" w:lineRule="auto" w:before="36"/>
              <w:ind w:left="102" w:right="202"/>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7"/>
              <w:ind w:left="102" w:right="199"/>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r>
        <w:trPr>
          <w:trHeight w:val="1066" w:hRule="atLeast"/>
        </w:trPr>
        <w:tc>
          <w:tcPr>
            <w:tcW w:w="988" w:type="dxa"/>
          </w:tcPr>
          <w:p>
            <w:pPr>
              <w:pStyle w:val="TableParagraph"/>
              <w:spacing w:before="167"/>
              <w:ind w:left="180" w:right="132"/>
              <w:jc w:val="center"/>
              <w:rPr>
                <w:b/>
                <w:sz w:val="21"/>
              </w:rPr>
            </w:pPr>
            <w:r>
              <w:rPr>
                <w:b/>
                <w:sz w:val="21"/>
              </w:rPr>
              <w:t>3.2.35</w:t>
            </w:r>
          </w:p>
        </w:tc>
        <w:tc>
          <w:tcPr>
            <w:tcW w:w="1707" w:type="dxa"/>
          </w:tcPr>
          <w:p>
            <w:pPr>
              <w:pStyle w:val="TableParagraph"/>
              <w:spacing w:before="167"/>
              <w:ind w:left="150"/>
              <w:rPr>
                <w:b/>
                <w:sz w:val="21"/>
              </w:rPr>
            </w:pPr>
            <w:r>
              <w:rPr>
                <w:b/>
                <w:sz w:val="21"/>
              </w:rPr>
              <w:t>肌营养不良</w:t>
            </w:r>
          </w:p>
        </w:tc>
        <w:tc>
          <w:tcPr>
            <w:tcW w:w="7580" w:type="dxa"/>
          </w:tcPr>
          <w:p>
            <w:pPr>
              <w:pStyle w:val="TableParagraph"/>
              <w:spacing w:line="273" w:lineRule="auto" w:before="167"/>
              <w:ind w:left="107" w:right="200"/>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spacing w:line="255" w:lineRule="exact" w:before="7"/>
              <w:ind w:left="107"/>
              <w:rPr>
                <w:sz w:val="21"/>
              </w:rPr>
            </w:pPr>
            <w:r>
              <w:rPr>
                <w:sz w:val="21"/>
              </w:rPr>
              <w:t>（1）肌肉组织活检结果满足肌营养不良症的肌肉细胞变性、坏死等阳性改变；</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r>
        <w:rPr/>
        <w:pict>
          <v:line style="position:absolute;mso-position-horizontal-relative:page;mso-position-vertical-relative:page;z-index:-32200" from="555.459961pt,388.249969pt" to="555.459961pt,528.669969pt" stroked="true" strokeweight=".47998pt" strokecolor="#ffffff">
            <v:stroke dashstyle="solid"/>
            <w10:wrap type="none"/>
          </v:line>
        </w:pict>
      </w:r>
    </w:p>
    <w:p>
      <w:pPr>
        <w:pStyle w:val="BodyText"/>
        <w:spacing w:before="4"/>
        <w:rPr>
          <w:rFonts w:ascii="Times New Roman"/>
          <w:sz w:val="2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76"/>
        <w:gridCol w:w="7637"/>
      </w:tblGrid>
      <w:tr>
        <w:trPr>
          <w:trHeight w:val="724" w:hRule="atLeast"/>
        </w:trPr>
        <w:tc>
          <w:tcPr>
            <w:tcW w:w="628"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7637" w:type="dxa"/>
          </w:tcPr>
          <w:p>
            <w:pPr>
              <w:pStyle w:val="TableParagraph"/>
              <w:spacing w:line="211" w:lineRule="exact" w:before="0"/>
              <w:rPr>
                <w:sz w:val="21"/>
              </w:rPr>
            </w:pPr>
            <w:r>
              <w:rPr>
                <w:sz w:val="21"/>
              </w:rPr>
              <w:t>（2）自主生活能力完全丧失，无法独立完成六项基本日常生活活动中的三项或</w:t>
            </w:r>
          </w:p>
          <w:p>
            <w:pPr>
              <w:pStyle w:val="TableParagraph"/>
              <w:spacing w:before="37"/>
              <w:ind w:left="724"/>
              <w:rPr>
                <w:sz w:val="21"/>
              </w:rPr>
            </w:pPr>
            <w:r>
              <w:rPr>
                <w:sz w:val="21"/>
              </w:rPr>
              <w:t>三项以上。</w:t>
            </w:r>
          </w:p>
        </w:tc>
      </w:tr>
      <w:tr>
        <w:trPr>
          <w:trHeight w:val="662" w:hRule="atLeast"/>
        </w:trPr>
        <w:tc>
          <w:tcPr>
            <w:tcW w:w="628" w:type="dxa"/>
            <w:tcBorders>
              <w:bottom w:val="single" w:sz="6" w:space="0" w:color="000000"/>
            </w:tcBorders>
          </w:tcPr>
          <w:p>
            <w:pPr>
              <w:pStyle w:val="TableParagraph"/>
              <w:spacing w:before="114"/>
              <w:ind w:left="0"/>
              <w:rPr>
                <w:b/>
                <w:sz w:val="28"/>
              </w:rPr>
            </w:pPr>
            <w:r>
              <w:rPr>
                <w:b/>
                <w:w w:val="99"/>
                <w:sz w:val="28"/>
              </w:rPr>
              <w:t>⒋</w:t>
            </w:r>
          </w:p>
        </w:tc>
        <w:tc>
          <w:tcPr>
            <w:tcW w:w="1776" w:type="dxa"/>
            <w:tcBorders>
              <w:bottom w:val="single" w:sz="6" w:space="0" w:color="000000"/>
            </w:tcBorders>
          </w:tcPr>
          <w:p>
            <w:pPr>
              <w:pStyle w:val="TableParagraph"/>
              <w:spacing w:before="144"/>
              <w:ind w:left="310"/>
              <w:rPr>
                <w:b/>
                <w:sz w:val="24"/>
              </w:rPr>
            </w:pPr>
            <w:r>
              <w:rPr>
                <w:b/>
                <w:w w:val="95"/>
                <w:sz w:val="24"/>
              </w:rPr>
              <w:t>保险金的申请</w:t>
            </w:r>
          </w:p>
        </w:tc>
        <w:tc>
          <w:tcPr>
            <w:tcW w:w="7637" w:type="dxa"/>
            <w:tcBorders>
              <w:bottom w:val="single" w:sz="6" w:space="0" w:color="000000"/>
            </w:tcBorders>
          </w:tcPr>
          <w:p>
            <w:pPr>
              <w:pStyle w:val="TableParagraph"/>
              <w:spacing w:before="0"/>
              <w:ind w:left="0"/>
              <w:rPr>
                <w:rFonts w:ascii="Times New Roman"/>
                <w:sz w:val="20"/>
              </w:rPr>
            </w:pPr>
          </w:p>
        </w:tc>
      </w:tr>
      <w:tr>
        <w:trPr>
          <w:trHeight w:val="1806" w:hRule="atLeast"/>
        </w:trPr>
        <w:tc>
          <w:tcPr>
            <w:tcW w:w="628" w:type="dxa"/>
            <w:tcBorders>
              <w:top w:val="single" w:sz="6" w:space="0" w:color="000000"/>
            </w:tcBorders>
          </w:tcPr>
          <w:p>
            <w:pPr>
              <w:pStyle w:val="TableParagraph"/>
              <w:spacing w:before="143"/>
              <w:ind w:left="0"/>
              <w:rPr>
                <w:b/>
                <w:sz w:val="21"/>
              </w:rPr>
            </w:pPr>
            <w:r>
              <w:rPr>
                <w:b/>
                <w:sz w:val="21"/>
              </w:rPr>
              <w:t>4.1</w:t>
            </w:r>
          </w:p>
        </w:tc>
        <w:tc>
          <w:tcPr>
            <w:tcW w:w="1776" w:type="dxa"/>
            <w:tcBorders>
              <w:top w:val="single" w:sz="6" w:space="0" w:color="000000"/>
            </w:tcBorders>
          </w:tcPr>
          <w:p>
            <w:pPr>
              <w:pStyle w:val="TableParagraph"/>
              <w:spacing w:before="143"/>
              <w:ind w:left="310"/>
              <w:rPr>
                <w:b/>
                <w:sz w:val="21"/>
              </w:rPr>
            </w:pPr>
            <w:r>
              <w:rPr>
                <w:b/>
                <w:sz w:val="21"/>
              </w:rPr>
              <w:t>受益人</w:t>
            </w:r>
          </w:p>
        </w:tc>
        <w:tc>
          <w:tcPr>
            <w:tcW w:w="7637" w:type="dxa"/>
            <w:tcBorders>
              <w:top w:val="single" w:sz="6" w:space="0" w:color="000000"/>
            </w:tcBorders>
          </w:tcPr>
          <w:p>
            <w:pPr>
              <w:pStyle w:val="TableParagraph"/>
              <w:spacing w:before="143"/>
              <w:rPr>
                <w:sz w:val="21"/>
              </w:rPr>
            </w:pPr>
            <w:r>
              <w:rPr>
                <w:sz w:val="21"/>
              </w:rPr>
              <w:t>除另有约定外，本合同重大疾病保险金的受益人为被保险人本人。</w:t>
            </w:r>
          </w:p>
          <w:p>
            <w:pPr>
              <w:pStyle w:val="TableParagraph"/>
              <w:spacing w:line="273" w:lineRule="auto" w:before="36"/>
              <w:ind w:right="166"/>
              <w:rPr>
                <w:sz w:val="21"/>
              </w:rPr>
            </w:pPr>
            <w:r>
              <w:rPr>
                <w:spacing w:val="-7"/>
                <w:sz w:val="21"/>
              </w:rPr>
              <w:t>被保险人为无民事行为能力人或限制民事行为能力人的，可以由其监护人指定受益人。</w:t>
            </w:r>
          </w:p>
          <w:p>
            <w:pPr>
              <w:pStyle w:val="TableParagraph"/>
              <w:spacing w:line="273" w:lineRule="auto" w:before="7"/>
              <w:ind w:right="79"/>
              <w:rPr>
                <w:sz w:val="21"/>
              </w:rPr>
            </w:pPr>
            <w:r>
              <w:rPr>
                <w:sz w:val="21"/>
              </w:rPr>
              <w:t>受益人故意造成被保险人身故、伤残、疾病的，或者故意杀害被保险人未遂的， 该受益人丧失受益权。</w:t>
            </w:r>
          </w:p>
        </w:tc>
      </w:tr>
      <w:tr>
        <w:trPr>
          <w:trHeight w:val="2988" w:hRule="atLeast"/>
        </w:trPr>
        <w:tc>
          <w:tcPr>
            <w:tcW w:w="628" w:type="dxa"/>
          </w:tcPr>
          <w:p>
            <w:pPr>
              <w:pStyle w:val="TableParagraph"/>
              <w:ind w:left="0"/>
              <w:rPr>
                <w:b/>
                <w:sz w:val="21"/>
              </w:rPr>
            </w:pPr>
            <w:r>
              <w:rPr>
                <w:b/>
                <w:sz w:val="21"/>
              </w:rPr>
              <w:t>4.2</w:t>
            </w:r>
          </w:p>
        </w:tc>
        <w:tc>
          <w:tcPr>
            <w:tcW w:w="1776" w:type="dxa"/>
          </w:tcPr>
          <w:p>
            <w:pPr>
              <w:pStyle w:val="TableParagraph"/>
              <w:ind w:left="310"/>
              <w:rPr>
                <w:b/>
                <w:sz w:val="21"/>
              </w:rPr>
            </w:pPr>
            <w:r>
              <w:rPr>
                <w:b/>
                <w:sz w:val="21"/>
              </w:rPr>
              <w:t>保险事故通知</w:t>
            </w:r>
          </w:p>
        </w:tc>
        <w:tc>
          <w:tcPr>
            <w:tcW w:w="7637" w:type="dxa"/>
          </w:tcPr>
          <w:p>
            <w:pPr>
              <w:pStyle w:val="TableParagraph"/>
              <w:rPr>
                <w:sz w:val="21"/>
              </w:rPr>
            </w:pPr>
            <w:r>
              <w:rPr>
                <w:sz w:val="21"/>
              </w:rPr>
              <w:t>请您、被保险人、受益人或其他有权领取保险金的人在知道保险事故发生之日起</w:t>
            </w:r>
          </w:p>
          <w:p>
            <w:pPr>
              <w:pStyle w:val="TableParagraph"/>
              <w:spacing w:line="259" w:lineRule="auto" w:before="27"/>
              <w:ind w:right="168"/>
              <w:rPr>
                <w:sz w:val="22"/>
              </w:rPr>
            </w:pPr>
            <w:r>
              <w:rPr>
                <w:sz w:val="21"/>
              </w:rPr>
              <w:t>10</w:t>
            </w:r>
            <w:r>
              <w:rPr>
                <w:spacing w:val="-3"/>
                <w:sz w:val="21"/>
              </w:rPr>
              <w:t>日内通知我们，</w:t>
            </w:r>
            <w:r>
              <w:rPr>
                <w:spacing w:val="-2"/>
                <w:sz w:val="22"/>
              </w:rPr>
              <w:t>否则</w:t>
            </w:r>
            <w:r>
              <w:rPr>
                <w:spacing w:val="-3"/>
                <w:sz w:val="21"/>
              </w:rPr>
              <w:t>您、被保险人、受益人或其他有权领取保险金的人</w:t>
            </w:r>
            <w:r>
              <w:rPr>
                <w:spacing w:val="-3"/>
                <w:sz w:val="22"/>
              </w:rPr>
              <w:t>需承</w:t>
            </w:r>
            <w:r>
              <w:rPr>
                <w:spacing w:val="-8"/>
                <w:sz w:val="22"/>
              </w:rPr>
              <w:t>担由于延迟通知致使我们增加的勘查、检验等费用，</w:t>
            </w:r>
            <w:r>
              <w:rPr>
                <w:spacing w:val="-3"/>
                <w:sz w:val="21"/>
              </w:rPr>
              <w:t>因不可抗力导致的通知延</w:t>
            </w:r>
            <w:r>
              <w:rPr>
                <w:spacing w:val="-1"/>
                <w:sz w:val="21"/>
              </w:rPr>
              <w:t>迟除外</w:t>
            </w:r>
            <w:r>
              <w:rPr>
                <w:sz w:val="22"/>
              </w:rPr>
              <w:t>。</w:t>
            </w:r>
          </w:p>
          <w:p>
            <w:pPr>
              <w:pStyle w:val="TableParagraph"/>
              <w:spacing w:line="273" w:lineRule="auto" w:before="15"/>
              <w:ind w:right="269"/>
              <w:jc w:val="both"/>
              <w:rPr>
                <w:rFonts w:ascii="黑体" w:eastAsia="黑体" w:hint="eastAsia"/>
                <w:b/>
                <w:sz w:val="21"/>
              </w:rPr>
            </w:pPr>
            <w:r>
              <w:rPr>
                <w:rFonts w:ascii="黑体" w:eastAsia="黑体" w:hint="eastAsia"/>
                <w:b/>
                <w:sz w:val="21"/>
              </w:rPr>
              <w:t>如果您、被保险人、受益人或其他有权领取保险金的人故意或者因重大过失未及时通知我们，致使保险事故的性质、原因、伤害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2977" w:hRule="atLeast"/>
        </w:trPr>
        <w:tc>
          <w:tcPr>
            <w:tcW w:w="628" w:type="dxa"/>
          </w:tcPr>
          <w:p>
            <w:pPr>
              <w:pStyle w:val="TableParagraph"/>
              <w:ind w:left="0"/>
              <w:rPr>
                <w:b/>
                <w:sz w:val="21"/>
              </w:rPr>
            </w:pPr>
            <w:r>
              <w:rPr>
                <w:b/>
                <w:sz w:val="21"/>
              </w:rPr>
              <w:t>4.3</w:t>
            </w:r>
          </w:p>
        </w:tc>
        <w:tc>
          <w:tcPr>
            <w:tcW w:w="1776" w:type="dxa"/>
          </w:tcPr>
          <w:p>
            <w:pPr>
              <w:pStyle w:val="TableParagraph"/>
              <w:ind w:left="310"/>
              <w:rPr>
                <w:b/>
                <w:sz w:val="21"/>
              </w:rPr>
            </w:pPr>
            <w:r>
              <w:rPr>
                <w:b/>
                <w:sz w:val="21"/>
              </w:rPr>
              <w:t>保险金申请</w:t>
            </w:r>
          </w:p>
        </w:tc>
        <w:tc>
          <w:tcPr>
            <w:tcW w:w="7637" w:type="dxa"/>
          </w:tcPr>
          <w:p>
            <w:pPr>
              <w:pStyle w:val="TableParagraph"/>
              <w:rPr>
                <w:sz w:val="21"/>
              </w:rPr>
            </w:pPr>
            <w:r>
              <w:rPr>
                <w:sz w:val="21"/>
              </w:rPr>
              <w:t>申请人须填写保险金给付申请书，并须提供下列证明和资料：</w:t>
            </w:r>
          </w:p>
          <w:p>
            <w:pPr>
              <w:pStyle w:val="TableParagraph"/>
              <w:spacing w:before="36"/>
              <w:rPr>
                <w:sz w:val="21"/>
              </w:rPr>
            </w:pPr>
            <w:r>
              <w:rPr>
                <w:sz w:val="21"/>
              </w:rPr>
              <w:t>（1）理赔申请书；</w:t>
            </w:r>
          </w:p>
          <w:p>
            <w:pPr>
              <w:pStyle w:val="TableParagraph"/>
              <w:spacing w:before="36"/>
              <w:rPr>
                <w:sz w:val="21"/>
              </w:rPr>
            </w:pPr>
            <w:r>
              <w:rPr>
                <w:sz w:val="21"/>
              </w:rPr>
              <w:t>（2）保险合同；</w:t>
            </w:r>
          </w:p>
          <w:p>
            <w:pPr>
              <w:pStyle w:val="TableParagraph"/>
              <w:spacing w:before="36"/>
              <w:rPr>
                <w:sz w:val="21"/>
              </w:rPr>
            </w:pPr>
            <w:r>
              <w:rPr>
                <w:sz w:val="21"/>
              </w:rPr>
              <w:t>（3）被保险人法定有效身份证明；</w:t>
            </w:r>
          </w:p>
          <w:p>
            <w:pPr>
              <w:pStyle w:val="TableParagraph"/>
              <w:spacing w:before="36"/>
              <w:rPr>
                <w:sz w:val="21"/>
              </w:rPr>
            </w:pPr>
            <w:r>
              <w:rPr>
                <w:sz w:val="21"/>
              </w:rPr>
              <w:t>（4）申请人的法定有效身份证明及关系证明；</w:t>
            </w:r>
          </w:p>
          <w:p>
            <w:pPr>
              <w:pStyle w:val="TableParagraph"/>
              <w:spacing w:line="273" w:lineRule="auto" w:before="37"/>
              <w:ind w:left="714" w:right="187" w:hanging="517"/>
              <w:jc w:val="both"/>
              <w:rPr>
                <w:sz w:val="21"/>
              </w:rPr>
            </w:pPr>
            <w:r>
              <w:rPr>
                <w:sz w:val="21"/>
              </w:rPr>
              <w:t>（5）能够证明符合约定重大疾病定义的我们认可的医院出具的医学诊断书、医疗病历、检查报告以及其他医学证明文件或司法鉴定机构出具的法医鉴定报告；</w:t>
            </w:r>
          </w:p>
          <w:p>
            <w:pPr>
              <w:pStyle w:val="TableParagraph"/>
              <w:spacing w:before="8"/>
              <w:rPr>
                <w:sz w:val="21"/>
              </w:rPr>
            </w:pPr>
            <w:r>
              <w:rPr>
                <w:spacing w:val="-15"/>
                <w:sz w:val="21"/>
              </w:rPr>
              <w:t>（6）</w:t>
            </w:r>
            <w:r>
              <w:rPr>
                <w:spacing w:val="-6"/>
                <w:sz w:val="21"/>
              </w:rPr>
              <w:t>申请人所能提供的与确认保险事故的性质、原因等有关的其他证明和资料。</w:t>
            </w:r>
          </w:p>
        </w:tc>
      </w:tr>
      <w:tr>
        <w:trPr>
          <w:trHeight w:val="814" w:hRule="atLeast"/>
        </w:trPr>
        <w:tc>
          <w:tcPr>
            <w:tcW w:w="628" w:type="dxa"/>
          </w:tcPr>
          <w:p>
            <w:pPr>
              <w:pStyle w:val="TableParagraph"/>
              <w:spacing w:before="87"/>
              <w:ind w:left="0"/>
              <w:rPr>
                <w:b/>
                <w:sz w:val="21"/>
              </w:rPr>
            </w:pPr>
            <w:r>
              <w:rPr>
                <w:b/>
                <w:sz w:val="21"/>
              </w:rPr>
              <w:t>4.4</w:t>
            </w:r>
          </w:p>
        </w:tc>
        <w:tc>
          <w:tcPr>
            <w:tcW w:w="1776" w:type="dxa"/>
          </w:tcPr>
          <w:p>
            <w:pPr>
              <w:pStyle w:val="TableParagraph"/>
              <w:spacing w:line="273" w:lineRule="auto" w:before="87"/>
              <w:ind w:left="310" w:right="197"/>
              <w:rPr>
                <w:b/>
                <w:sz w:val="21"/>
              </w:rPr>
            </w:pPr>
            <w:r>
              <w:rPr>
                <w:b/>
                <w:sz w:val="21"/>
              </w:rPr>
              <w:t>委托他人代为申请保险金</w:t>
            </w:r>
          </w:p>
        </w:tc>
        <w:tc>
          <w:tcPr>
            <w:tcW w:w="7637" w:type="dxa"/>
          </w:tcPr>
          <w:p>
            <w:pPr>
              <w:pStyle w:val="TableParagraph"/>
              <w:spacing w:line="237" w:lineRule="auto" w:before="68"/>
              <w:ind w:right="163"/>
              <w:rPr>
                <w:sz w:val="21"/>
              </w:rPr>
            </w:pPr>
            <w:r>
              <w:rPr>
                <w:sz w:val="21"/>
              </w:rPr>
              <w:t>若申请人委托他人代为申请保险金，受委托人还应提供申请人亲笔签字的理赔授权委托书、受委托人的法定有效身份证明等相关证明文件。</w:t>
            </w:r>
          </w:p>
        </w:tc>
      </w:tr>
      <w:tr>
        <w:trPr>
          <w:trHeight w:val="803" w:hRule="atLeast"/>
        </w:trPr>
        <w:tc>
          <w:tcPr>
            <w:tcW w:w="628" w:type="dxa"/>
          </w:tcPr>
          <w:p>
            <w:pPr>
              <w:pStyle w:val="TableParagraph"/>
              <w:ind w:left="0"/>
              <w:rPr>
                <w:b/>
                <w:sz w:val="21"/>
              </w:rPr>
            </w:pPr>
            <w:r>
              <w:rPr>
                <w:b/>
                <w:sz w:val="21"/>
              </w:rPr>
              <w:t>4.5</w:t>
            </w:r>
          </w:p>
        </w:tc>
        <w:tc>
          <w:tcPr>
            <w:tcW w:w="1776" w:type="dxa"/>
          </w:tcPr>
          <w:p>
            <w:pPr>
              <w:pStyle w:val="TableParagraph"/>
              <w:ind w:left="310"/>
              <w:rPr>
                <w:b/>
                <w:sz w:val="21"/>
              </w:rPr>
            </w:pPr>
            <w:r>
              <w:rPr>
                <w:b/>
                <w:sz w:val="21"/>
              </w:rPr>
              <w:t>提供补充材料</w:t>
            </w:r>
          </w:p>
        </w:tc>
        <w:tc>
          <w:tcPr>
            <w:tcW w:w="7637" w:type="dxa"/>
          </w:tcPr>
          <w:p>
            <w:pPr>
              <w:pStyle w:val="TableParagraph"/>
              <w:spacing w:line="273" w:lineRule="auto"/>
              <w:ind w:right="166"/>
              <w:rPr>
                <w:sz w:val="21"/>
              </w:rPr>
            </w:pPr>
            <w:r>
              <w:rPr>
                <w:spacing w:val="-8"/>
                <w:sz w:val="21"/>
              </w:rPr>
              <w:t>以上保险金申请的证明和资料不完整的，我们将一次性通知申请人补充提供有关</w:t>
            </w:r>
            <w:r>
              <w:rPr>
                <w:spacing w:val="-5"/>
                <w:sz w:val="21"/>
              </w:rPr>
              <w:t>的证明和资料，但出现不可预知的新情况除外。</w:t>
            </w:r>
          </w:p>
        </w:tc>
      </w:tr>
      <w:tr>
        <w:trPr>
          <w:trHeight w:val="3160" w:hRule="atLeast"/>
        </w:trPr>
        <w:tc>
          <w:tcPr>
            <w:tcW w:w="628" w:type="dxa"/>
          </w:tcPr>
          <w:p>
            <w:pPr>
              <w:pStyle w:val="TableParagraph"/>
              <w:ind w:left="0"/>
              <w:rPr>
                <w:b/>
                <w:sz w:val="21"/>
              </w:rPr>
            </w:pPr>
            <w:r>
              <w:rPr>
                <w:b/>
                <w:sz w:val="21"/>
              </w:rPr>
              <w:t>4.6</w:t>
            </w:r>
          </w:p>
        </w:tc>
        <w:tc>
          <w:tcPr>
            <w:tcW w:w="1776" w:type="dxa"/>
          </w:tcPr>
          <w:p>
            <w:pPr>
              <w:pStyle w:val="TableParagraph"/>
              <w:ind w:left="310"/>
              <w:rPr>
                <w:b/>
                <w:sz w:val="21"/>
              </w:rPr>
            </w:pPr>
            <w:r>
              <w:rPr>
                <w:b/>
                <w:sz w:val="21"/>
              </w:rPr>
              <w:t>保险金给付</w:t>
            </w:r>
          </w:p>
        </w:tc>
        <w:tc>
          <w:tcPr>
            <w:tcW w:w="7637" w:type="dxa"/>
          </w:tcPr>
          <w:p>
            <w:pPr>
              <w:pStyle w:val="TableParagraph"/>
              <w:rPr>
                <w:sz w:val="21"/>
              </w:rPr>
            </w:pPr>
            <w:r>
              <w:rPr>
                <w:sz w:val="21"/>
              </w:rPr>
              <w:t>（1）我们在收到保险金给付申请书及合同约定的证明和资料后，将在 5 日内作</w:t>
            </w:r>
          </w:p>
          <w:p>
            <w:pPr>
              <w:pStyle w:val="TableParagraph"/>
              <w:spacing w:line="273" w:lineRule="auto" w:before="36"/>
              <w:ind w:left="724" w:right="81"/>
              <w:rPr>
                <w:sz w:val="21"/>
              </w:rPr>
            </w:pPr>
            <w:r>
              <w:rPr>
                <w:spacing w:val="-11"/>
                <w:sz w:val="21"/>
              </w:rPr>
              <w:t>出核定；情形复杂的，在 </w:t>
            </w:r>
            <w:r>
              <w:rPr>
                <w:sz w:val="21"/>
              </w:rPr>
              <w:t>30</w:t>
            </w:r>
            <w:r>
              <w:rPr>
                <w:spacing w:val="-11"/>
                <w:sz w:val="21"/>
              </w:rPr>
              <w:t> 日内作出核定，但合同另有约定的除外。我们</w:t>
            </w:r>
            <w:r>
              <w:rPr>
                <w:spacing w:val="-8"/>
                <w:sz w:val="21"/>
              </w:rPr>
              <w:t>应当将核定结果通知被保险人或者受益人；对属于保险责任的，在与被保</w:t>
            </w:r>
            <w:r>
              <w:rPr>
                <w:spacing w:val="-7"/>
                <w:sz w:val="21"/>
              </w:rPr>
              <w:t>险人或者受益人达成给付保险金的协议后 </w:t>
            </w:r>
            <w:r>
              <w:rPr>
                <w:sz w:val="21"/>
              </w:rPr>
              <w:t>10</w:t>
            </w:r>
            <w:r>
              <w:rPr>
                <w:spacing w:val="-8"/>
                <w:sz w:val="21"/>
              </w:rPr>
              <w:t> 日内，履行给付保险金义务。</w:t>
            </w:r>
            <w:r>
              <w:rPr>
                <w:spacing w:val="-7"/>
                <w:sz w:val="21"/>
              </w:rPr>
              <w:t>本合同对给付保险金的期限有约定的，我们应当按照约定履行给付保险金义务。</w:t>
            </w:r>
          </w:p>
          <w:p>
            <w:pPr>
              <w:pStyle w:val="TableParagraph"/>
              <w:spacing w:line="273" w:lineRule="auto" w:before="7"/>
              <w:ind w:left="724" w:right="170" w:hanging="527"/>
              <w:rPr>
                <w:sz w:val="21"/>
              </w:rPr>
            </w:pPr>
            <w:r>
              <w:rPr>
                <w:sz w:val="21"/>
              </w:rPr>
              <w:t>（2）我们未及时履行前款规定义务的，除支付保险金外，应当赔偿被保险人或者受益人因此受到的损失。</w:t>
            </w:r>
          </w:p>
          <w:p>
            <w:pPr>
              <w:pStyle w:val="TableParagraph"/>
              <w:spacing w:line="312" w:lineRule="exact" w:before="3"/>
              <w:ind w:left="724" w:right="165" w:hanging="527"/>
              <w:rPr>
                <w:sz w:val="21"/>
              </w:rPr>
            </w:pPr>
            <w:r>
              <w:rPr>
                <w:sz w:val="21"/>
              </w:rPr>
              <w:t>（3）</w:t>
            </w:r>
            <w:r>
              <w:rPr>
                <w:spacing w:val="-3"/>
                <w:sz w:val="21"/>
              </w:rPr>
              <w:t>我们依照前款的规定作出核定后，对不属于保险责任的，应当自作出核定</w:t>
            </w:r>
            <w:r>
              <w:rPr>
                <w:spacing w:val="-9"/>
                <w:sz w:val="21"/>
              </w:rPr>
              <w:t>之日起 </w:t>
            </w:r>
            <w:r>
              <w:rPr>
                <w:sz w:val="21"/>
              </w:rPr>
              <w:t>3</w:t>
            </w:r>
            <w:r>
              <w:rPr>
                <w:spacing w:val="-7"/>
                <w:sz w:val="21"/>
              </w:rPr>
              <w:t> 日内向被保险人或者受益人发出拒绝给付保险金通知书，并说明</w:t>
            </w:r>
          </w:p>
        </w:tc>
      </w:tr>
    </w:tbl>
    <w:p>
      <w:pPr>
        <w:spacing w:after="0" w:line="312" w:lineRule="exact"/>
        <w:rPr>
          <w:sz w:val="21"/>
        </w:rPr>
        <w:sectPr>
          <w:pgSz w:w="11910" w:h="16840"/>
          <w:pgMar w:header="566" w:footer="664" w:top="1000" w:bottom="860" w:left="1000" w:right="620"/>
        </w:sectPr>
      </w:pPr>
    </w:p>
    <w:p>
      <w:pPr>
        <w:pStyle w:val="BodyText"/>
        <w:rPr>
          <w:rFonts w:ascii="Times New Roman"/>
          <w:sz w:val="20"/>
        </w:rPr>
      </w:pPr>
    </w:p>
    <w:p>
      <w:pPr>
        <w:pStyle w:val="BodyText"/>
        <w:spacing w:before="4"/>
        <w:rPr>
          <w:rFonts w:ascii="Times New Roman"/>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80"/>
        <w:gridCol w:w="7579"/>
      </w:tblGrid>
      <w:tr>
        <w:trPr>
          <w:trHeight w:val="1287" w:hRule="atLeast"/>
        </w:trPr>
        <w:tc>
          <w:tcPr>
            <w:tcW w:w="689" w:type="dxa"/>
          </w:tcPr>
          <w:p>
            <w:pPr>
              <w:pStyle w:val="TableParagraph"/>
              <w:spacing w:before="0"/>
              <w:ind w:left="0"/>
              <w:rPr>
                <w:rFonts w:ascii="Times New Roman"/>
                <w:sz w:val="20"/>
              </w:rPr>
            </w:pPr>
          </w:p>
        </w:tc>
        <w:tc>
          <w:tcPr>
            <w:tcW w:w="1780" w:type="dxa"/>
          </w:tcPr>
          <w:p>
            <w:pPr>
              <w:pStyle w:val="TableParagraph"/>
              <w:spacing w:before="0"/>
              <w:ind w:left="0"/>
              <w:rPr>
                <w:rFonts w:ascii="Times New Roman"/>
                <w:sz w:val="20"/>
              </w:rPr>
            </w:pPr>
          </w:p>
        </w:tc>
        <w:tc>
          <w:tcPr>
            <w:tcW w:w="7579" w:type="dxa"/>
          </w:tcPr>
          <w:p>
            <w:pPr>
              <w:pStyle w:val="TableParagraph"/>
              <w:spacing w:line="211" w:lineRule="exact" w:before="0"/>
              <w:ind w:left="720"/>
              <w:rPr>
                <w:sz w:val="21"/>
              </w:rPr>
            </w:pPr>
            <w:r>
              <w:rPr>
                <w:sz w:val="21"/>
              </w:rPr>
              <w:t>理由。</w:t>
            </w:r>
          </w:p>
          <w:p>
            <w:pPr>
              <w:pStyle w:val="TableParagraph"/>
              <w:spacing w:line="264" w:lineRule="auto" w:before="37"/>
              <w:ind w:left="720" w:right="111" w:hanging="527"/>
              <w:jc w:val="both"/>
              <w:rPr>
                <w:sz w:val="21"/>
              </w:rPr>
            </w:pPr>
            <w:r>
              <w:rPr>
                <w:spacing w:val="-15"/>
                <w:sz w:val="21"/>
              </w:rPr>
              <w:t>（4）</w:t>
            </w:r>
            <w:r>
              <w:rPr>
                <w:spacing w:val="-5"/>
                <w:sz w:val="21"/>
              </w:rPr>
              <w:t>我们在收到保险金给付申请书及有关证明和资料之日起 </w:t>
            </w:r>
            <w:r>
              <w:rPr>
                <w:rFonts w:ascii="Times New Roman" w:eastAsia="Times New Roman"/>
                <w:sz w:val="21"/>
              </w:rPr>
              <w:t>60 </w:t>
            </w:r>
            <w:r>
              <w:rPr>
                <w:spacing w:val="-9"/>
                <w:sz w:val="21"/>
              </w:rPr>
              <w:t>日内，对给付保</w:t>
            </w:r>
            <w:r>
              <w:rPr>
                <w:spacing w:val="-5"/>
                <w:sz w:val="21"/>
              </w:rPr>
              <w:t>险金的数额不能确定的，应当根据已有证明和资料可以确定的数额先予支</w:t>
            </w:r>
            <w:r>
              <w:rPr>
                <w:spacing w:val="-3"/>
                <w:sz w:val="21"/>
              </w:rPr>
              <w:t>付；我们最终确定给付保险金的数额后，应当支付相应的差额。</w:t>
            </w:r>
          </w:p>
        </w:tc>
      </w:tr>
      <w:tr>
        <w:trPr>
          <w:trHeight w:val="864" w:hRule="atLeast"/>
        </w:trPr>
        <w:tc>
          <w:tcPr>
            <w:tcW w:w="689" w:type="dxa"/>
          </w:tcPr>
          <w:p>
            <w:pPr>
              <w:pStyle w:val="TableParagraph"/>
              <w:ind w:left="61"/>
              <w:rPr>
                <w:b/>
                <w:sz w:val="21"/>
              </w:rPr>
            </w:pPr>
            <w:r>
              <w:rPr>
                <w:b/>
                <w:sz w:val="21"/>
              </w:rPr>
              <w:t>4.7</w:t>
            </w:r>
          </w:p>
        </w:tc>
        <w:tc>
          <w:tcPr>
            <w:tcW w:w="1780" w:type="dxa"/>
          </w:tcPr>
          <w:p>
            <w:pPr>
              <w:pStyle w:val="TableParagraph"/>
              <w:ind w:left="311"/>
              <w:rPr>
                <w:b/>
                <w:sz w:val="21"/>
              </w:rPr>
            </w:pPr>
            <w:r>
              <w:rPr>
                <w:b/>
                <w:sz w:val="21"/>
              </w:rPr>
              <w:t>诉讼时效</w:t>
            </w:r>
          </w:p>
        </w:tc>
        <w:tc>
          <w:tcPr>
            <w:tcW w:w="7579" w:type="dxa"/>
          </w:tcPr>
          <w:p>
            <w:pPr>
              <w:pStyle w:val="TableParagraph"/>
              <w:spacing w:line="273" w:lineRule="auto"/>
              <w:ind w:left="194" w:right="111"/>
              <w:rPr>
                <w:sz w:val="21"/>
              </w:rPr>
            </w:pPr>
            <w:r>
              <w:rPr>
                <w:spacing w:val="-5"/>
                <w:sz w:val="21"/>
              </w:rPr>
              <w:t>申请人向我们申请给付保险金的诉讼时效期间为 </w:t>
            </w:r>
            <w:r>
              <w:rPr>
                <w:sz w:val="21"/>
              </w:rPr>
              <w:t>2</w:t>
            </w:r>
            <w:r>
              <w:rPr>
                <w:spacing w:val="-13"/>
                <w:sz w:val="21"/>
              </w:rPr>
              <w:t> 年，自其知道或应当知道保险</w:t>
            </w:r>
            <w:r>
              <w:rPr>
                <w:spacing w:val="-6"/>
                <w:sz w:val="21"/>
              </w:rPr>
              <w:t>事故发生之日起计算。</w:t>
            </w:r>
          </w:p>
        </w:tc>
      </w:tr>
      <w:tr>
        <w:trPr>
          <w:trHeight w:val="625" w:hRule="atLeast"/>
        </w:trPr>
        <w:tc>
          <w:tcPr>
            <w:tcW w:w="689" w:type="dxa"/>
            <w:tcBorders>
              <w:bottom w:val="single" w:sz="6" w:space="0" w:color="000000"/>
            </w:tcBorders>
          </w:tcPr>
          <w:p>
            <w:pPr>
              <w:pStyle w:val="TableParagraph"/>
              <w:spacing w:before="114"/>
              <w:ind w:left="61"/>
              <w:rPr>
                <w:b/>
                <w:sz w:val="28"/>
              </w:rPr>
            </w:pPr>
            <w:r>
              <w:rPr>
                <w:b/>
                <w:w w:val="99"/>
                <w:sz w:val="28"/>
              </w:rPr>
              <w:t>⒌</w:t>
            </w:r>
          </w:p>
        </w:tc>
        <w:tc>
          <w:tcPr>
            <w:tcW w:w="1780" w:type="dxa"/>
            <w:tcBorders>
              <w:bottom w:val="single" w:sz="6" w:space="0" w:color="000000"/>
            </w:tcBorders>
          </w:tcPr>
          <w:p>
            <w:pPr>
              <w:pStyle w:val="TableParagraph"/>
              <w:spacing w:before="144"/>
              <w:ind w:left="311"/>
              <w:rPr>
                <w:b/>
                <w:sz w:val="24"/>
              </w:rPr>
            </w:pPr>
            <w:r>
              <w:rPr>
                <w:b/>
                <w:w w:val="95"/>
                <w:sz w:val="24"/>
              </w:rPr>
              <w:t>保险费的交纳</w:t>
            </w:r>
          </w:p>
        </w:tc>
        <w:tc>
          <w:tcPr>
            <w:tcW w:w="7579" w:type="dxa"/>
            <w:tcBorders>
              <w:bottom w:val="single" w:sz="6" w:space="0" w:color="000000"/>
            </w:tcBorders>
          </w:tcPr>
          <w:p>
            <w:pPr>
              <w:pStyle w:val="TableParagraph"/>
              <w:spacing w:before="0"/>
              <w:ind w:left="0"/>
              <w:rPr>
                <w:rFonts w:ascii="Times New Roman"/>
                <w:sz w:val="20"/>
              </w:rPr>
            </w:pPr>
          </w:p>
        </w:tc>
      </w:tr>
      <w:tr>
        <w:trPr>
          <w:trHeight w:val="1220" w:hRule="atLeast"/>
        </w:trPr>
        <w:tc>
          <w:tcPr>
            <w:tcW w:w="689" w:type="dxa"/>
            <w:tcBorders>
              <w:top w:val="single" w:sz="6" w:space="0" w:color="000000"/>
            </w:tcBorders>
          </w:tcPr>
          <w:p>
            <w:pPr>
              <w:pStyle w:val="TableParagraph"/>
              <w:spacing w:before="7"/>
              <w:ind w:left="0"/>
              <w:rPr>
                <w:rFonts w:ascii="Times New Roman"/>
                <w:sz w:val="15"/>
              </w:rPr>
            </w:pPr>
          </w:p>
          <w:p>
            <w:pPr>
              <w:pStyle w:val="TableParagraph"/>
              <w:spacing w:before="1"/>
              <w:ind w:left="61"/>
              <w:rPr>
                <w:b/>
                <w:sz w:val="21"/>
              </w:rPr>
            </w:pPr>
            <w:r>
              <w:rPr>
                <w:b/>
                <w:sz w:val="21"/>
              </w:rPr>
              <w:t>5.1</w:t>
            </w:r>
          </w:p>
        </w:tc>
        <w:tc>
          <w:tcPr>
            <w:tcW w:w="1780" w:type="dxa"/>
            <w:tcBorders>
              <w:top w:val="single" w:sz="6" w:space="0" w:color="000000"/>
            </w:tcBorders>
          </w:tcPr>
          <w:p>
            <w:pPr>
              <w:pStyle w:val="TableParagraph"/>
              <w:spacing w:before="7"/>
              <w:ind w:left="0"/>
              <w:rPr>
                <w:rFonts w:ascii="Times New Roman"/>
                <w:sz w:val="15"/>
              </w:rPr>
            </w:pPr>
          </w:p>
          <w:p>
            <w:pPr>
              <w:pStyle w:val="TableParagraph"/>
              <w:spacing w:before="1"/>
              <w:ind w:left="311"/>
              <w:rPr>
                <w:b/>
                <w:sz w:val="21"/>
              </w:rPr>
            </w:pPr>
            <w:r>
              <w:rPr>
                <w:b/>
                <w:sz w:val="21"/>
              </w:rPr>
              <w:t>保险费的交纳</w:t>
            </w:r>
          </w:p>
        </w:tc>
        <w:tc>
          <w:tcPr>
            <w:tcW w:w="7579" w:type="dxa"/>
            <w:tcBorders>
              <w:top w:val="single" w:sz="6" w:space="0" w:color="000000"/>
            </w:tcBorders>
          </w:tcPr>
          <w:p>
            <w:pPr>
              <w:pStyle w:val="TableParagraph"/>
              <w:spacing w:before="7"/>
              <w:ind w:left="0"/>
              <w:rPr>
                <w:rFonts w:ascii="Times New Roman"/>
                <w:sz w:val="15"/>
              </w:rPr>
            </w:pPr>
          </w:p>
          <w:p>
            <w:pPr>
              <w:pStyle w:val="TableParagraph"/>
              <w:spacing w:before="1"/>
              <w:ind w:left="194"/>
              <w:rPr>
                <w:sz w:val="21"/>
              </w:rPr>
            </w:pPr>
            <w:r>
              <w:rPr>
                <w:sz w:val="21"/>
              </w:rPr>
              <w:t>本合同的交费频次和交费期间由您和我们约定并在保险单上载明。</w:t>
            </w:r>
          </w:p>
          <w:p>
            <w:pPr>
              <w:pStyle w:val="TableParagraph"/>
              <w:spacing w:line="273" w:lineRule="auto" w:before="37"/>
              <w:ind w:left="194" w:right="176"/>
              <w:rPr>
                <w:sz w:val="21"/>
              </w:rPr>
            </w:pPr>
            <w:r>
              <w:rPr>
                <w:sz w:val="21"/>
              </w:rPr>
              <w:t>分期支付保险费的，在交纳首期保险费后，您应当按照约定，在每个保险费约定交纳日交纳其余各期的保险费。</w:t>
            </w:r>
          </w:p>
        </w:tc>
      </w:tr>
      <w:tr>
        <w:trPr>
          <w:trHeight w:val="1800" w:hRule="atLeast"/>
        </w:trPr>
        <w:tc>
          <w:tcPr>
            <w:tcW w:w="689" w:type="dxa"/>
          </w:tcPr>
          <w:p>
            <w:pPr>
              <w:pStyle w:val="TableParagraph"/>
              <w:spacing w:before="77"/>
              <w:ind w:left="61"/>
              <w:rPr>
                <w:b/>
                <w:sz w:val="21"/>
              </w:rPr>
            </w:pPr>
            <w:r>
              <w:rPr>
                <w:b/>
                <w:sz w:val="21"/>
              </w:rPr>
              <w:t>5.2</w:t>
            </w:r>
          </w:p>
        </w:tc>
        <w:tc>
          <w:tcPr>
            <w:tcW w:w="1780" w:type="dxa"/>
          </w:tcPr>
          <w:p>
            <w:pPr>
              <w:pStyle w:val="TableParagraph"/>
              <w:spacing w:before="77"/>
              <w:ind w:left="311"/>
              <w:rPr>
                <w:b/>
                <w:sz w:val="21"/>
              </w:rPr>
            </w:pPr>
            <w:r>
              <w:rPr>
                <w:b/>
                <w:sz w:val="21"/>
              </w:rPr>
              <w:t>宽限期</w:t>
            </w:r>
          </w:p>
        </w:tc>
        <w:tc>
          <w:tcPr>
            <w:tcW w:w="7579" w:type="dxa"/>
          </w:tcPr>
          <w:p>
            <w:pPr>
              <w:pStyle w:val="TableParagraph"/>
              <w:spacing w:line="273" w:lineRule="auto" w:before="77"/>
              <w:ind w:left="194" w:right="112"/>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273" w:lineRule="auto" w:before="8"/>
              <w:ind w:left="194" w:right="111"/>
              <w:jc w:val="both"/>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r>
        <w:trPr>
          <w:trHeight w:val="615" w:hRule="atLeast"/>
        </w:trPr>
        <w:tc>
          <w:tcPr>
            <w:tcW w:w="689" w:type="dxa"/>
            <w:tcBorders>
              <w:bottom w:val="single" w:sz="6" w:space="0" w:color="000000"/>
            </w:tcBorders>
          </w:tcPr>
          <w:p>
            <w:pPr>
              <w:pStyle w:val="TableParagraph"/>
              <w:spacing w:before="114"/>
              <w:ind w:left="61"/>
              <w:rPr>
                <w:b/>
                <w:sz w:val="28"/>
              </w:rPr>
            </w:pPr>
            <w:r>
              <w:rPr>
                <w:b/>
                <w:w w:val="99"/>
                <w:sz w:val="28"/>
              </w:rPr>
              <w:t>⒍</w:t>
            </w:r>
          </w:p>
        </w:tc>
        <w:tc>
          <w:tcPr>
            <w:tcW w:w="9359" w:type="dxa"/>
            <w:gridSpan w:val="2"/>
            <w:tcBorders>
              <w:bottom w:val="single" w:sz="6" w:space="0" w:color="000000"/>
            </w:tcBorders>
          </w:tcPr>
          <w:p>
            <w:pPr>
              <w:pStyle w:val="TableParagraph"/>
              <w:spacing w:before="144"/>
              <w:ind w:left="311"/>
              <w:rPr>
                <w:b/>
                <w:sz w:val="24"/>
              </w:rPr>
            </w:pPr>
            <w:r>
              <w:rPr>
                <w:b/>
                <w:w w:val="95"/>
                <w:sz w:val="24"/>
              </w:rPr>
              <w:t>合同效力的中止与恢复</w:t>
            </w:r>
          </w:p>
        </w:tc>
      </w:tr>
      <w:tr>
        <w:trPr>
          <w:trHeight w:val="1229" w:hRule="atLeast"/>
        </w:trPr>
        <w:tc>
          <w:tcPr>
            <w:tcW w:w="689" w:type="dxa"/>
            <w:tcBorders>
              <w:top w:val="single" w:sz="6" w:space="0" w:color="000000"/>
            </w:tcBorders>
          </w:tcPr>
          <w:p>
            <w:pPr>
              <w:pStyle w:val="TableParagraph"/>
              <w:spacing w:before="6"/>
              <w:ind w:left="0"/>
              <w:rPr>
                <w:rFonts w:ascii="Times New Roman"/>
                <w:sz w:val="16"/>
              </w:rPr>
            </w:pPr>
          </w:p>
          <w:p>
            <w:pPr>
              <w:pStyle w:val="TableParagraph"/>
              <w:spacing w:before="0"/>
              <w:ind w:left="61"/>
              <w:rPr>
                <w:b/>
                <w:sz w:val="21"/>
              </w:rPr>
            </w:pPr>
            <w:r>
              <w:rPr>
                <w:b/>
                <w:sz w:val="21"/>
              </w:rPr>
              <w:t>6.1</w:t>
            </w:r>
          </w:p>
        </w:tc>
        <w:tc>
          <w:tcPr>
            <w:tcW w:w="1780" w:type="dxa"/>
            <w:tcBorders>
              <w:top w:val="single" w:sz="6" w:space="0" w:color="000000"/>
            </w:tcBorders>
          </w:tcPr>
          <w:p>
            <w:pPr>
              <w:pStyle w:val="TableParagraph"/>
              <w:spacing w:before="6"/>
              <w:ind w:left="0"/>
              <w:rPr>
                <w:rFonts w:ascii="Times New Roman"/>
                <w:sz w:val="16"/>
              </w:rPr>
            </w:pPr>
          </w:p>
          <w:p>
            <w:pPr>
              <w:pStyle w:val="TableParagraph"/>
              <w:spacing w:before="0"/>
              <w:ind w:left="311"/>
              <w:rPr>
                <w:b/>
                <w:sz w:val="21"/>
              </w:rPr>
            </w:pPr>
            <w:r>
              <w:rPr>
                <w:b/>
                <w:sz w:val="21"/>
              </w:rPr>
              <w:t>效力中止</w:t>
            </w:r>
          </w:p>
        </w:tc>
        <w:tc>
          <w:tcPr>
            <w:tcW w:w="7579" w:type="dxa"/>
            <w:tcBorders>
              <w:top w:val="single" w:sz="6" w:space="0" w:color="000000"/>
            </w:tcBorders>
          </w:tcPr>
          <w:p>
            <w:pPr>
              <w:pStyle w:val="TableParagraph"/>
              <w:spacing w:before="6"/>
              <w:ind w:left="0"/>
              <w:rPr>
                <w:rFonts w:ascii="Times New Roman"/>
                <w:sz w:val="16"/>
              </w:rPr>
            </w:pPr>
          </w:p>
          <w:p>
            <w:pPr>
              <w:pStyle w:val="TableParagraph"/>
              <w:spacing w:line="273" w:lineRule="auto" w:before="0"/>
              <w:ind w:left="194" w:right="215"/>
              <w:jc w:val="both"/>
              <w:rPr>
                <w:rFonts w:ascii="黑体" w:eastAsia="黑体" w:hint="eastAsia"/>
                <w:b/>
                <w:sz w:val="21"/>
              </w:rPr>
            </w:pPr>
            <w:r>
              <w:rPr>
                <w:rFonts w:ascii="黑体" w:eastAsia="黑体" w:hint="eastAsia"/>
                <w:b/>
                <w:sz w:val="21"/>
              </w:rPr>
              <w:t>如您超过宽限期仍未交纳当期保险费，本合同自宽限期满的次日零时起效力中止。主合同效力中止的同时，本合同的效力也中止。在本合同效力中止期间， 我们不承担保险责任。</w:t>
            </w:r>
          </w:p>
        </w:tc>
      </w:tr>
      <w:tr>
        <w:trPr>
          <w:trHeight w:val="2736" w:hRule="atLeast"/>
        </w:trPr>
        <w:tc>
          <w:tcPr>
            <w:tcW w:w="689" w:type="dxa"/>
          </w:tcPr>
          <w:p>
            <w:pPr>
              <w:pStyle w:val="TableParagraph"/>
              <w:spacing w:before="77"/>
              <w:ind w:left="61"/>
              <w:rPr>
                <w:b/>
                <w:sz w:val="21"/>
              </w:rPr>
            </w:pPr>
            <w:r>
              <w:rPr>
                <w:b/>
                <w:sz w:val="21"/>
              </w:rPr>
              <w:t>6.2</w:t>
            </w:r>
          </w:p>
        </w:tc>
        <w:tc>
          <w:tcPr>
            <w:tcW w:w="1780" w:type="dxa"/>
          </w:tcPr>
          <w:p>
            <w:pPr>
              <w:pStyle w:val="TableParagraph"/>
              <w:spacing w:before="77"/>
              <w:ind w:left="311"/>
              <w:rPr>
                <w:b/>
                <w:sz w:val="21"/>
              </w:rPr>
            </w:pPr>
            <w:r>
              <w:rPr>
                <w:b/>
                <w:sz w:val="21"/>
              </w:rPr>
              <w:t>效力恢复</w:t>
            </w:r>
          </w:p>
        </w:tc>
        <w:tc>
          <w:tcPr>
            <w:tcW w:w="7579" w:type="dxa"/>
          </w:tcPr>
          <w:p>
            <w:pPr>
              <w:pStyle w:val="TableParagraph"/>
              <w:spacing w:line="273" w:lineRule="auto" w:before="77"/>
              <w:ind w:left="194" w:right="112"/>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8"/>
              <w:ind w:left="194" w:right="157"/>
              <w:jc w:val="both"/>
              <w:rPr>
                <w:sz w:val="21"/>
              </w:rPr>
            </w:pPr>
            <w:r>
              <w:rPr>
                <w:sz w:val="21"/>
              </w:rPr>
              <w:t>经双方达成复效协议，自您补交保险费及利息（按</w:t>
            </w:r>
            <w:r>
              <w:rPr>
                <w:b/>
                <w:sz w:val="21"/>
              </w:rPr>
              <w:t>本合同约定利率</w:t>
            </w:r>
            <w:r>
              <w:rPr>
                <w:b/>
                <w:position w:val="11"/>
                <w:sz w:val="11"/>
              </w:rPr>
              <w:t>［10.17］</w:t>
            </w:r>
            <w:r>
              <w:rPr>
                <w:sz w:val="21"/>
              </w:rPr>
              <w:t>计算） 和其他未还款项的次日零时起，本合同效力恢复。</w:t>
            </w:r>
          </w:p>
          <w:p>
            <w:pPr>
              <w:pStyle w:val="TableParagraph"/>
              <w:spacing w:line="273" w:lineRule="auto" w:before="8"/>
              <w:ind w:left="194" w:right="132"/>
              <w:jc w:val="both"/>
              <w:rPr>
                <w:sz w:val="21"/>
              </w:rPr>
            </w:pPr>
            <w:r>
              <w:rPr>
                <w:sz w:val="21"/>
              </w:rPr>
              <w:t>自本合同效力中止之日起满2年双方未达成复效协议的，本合同效力终止，我们向您退还本合同效力中止时的现金价值。</w:t>
            </w:r>
          </w:p>
          <w:p>
            <w:pPr>
              <w:pStyle w:val="TableParagraph"/>
              <w:spacing w:before="8"/>
              <w:ind w:left="194"/>
              <w:jc w:val="both"/>
              <w:rPr>
                <w:sz w:val="21"/>
              </w:rPr>
            </w:pPr>
            <w:r>
              <w:rPr>
                <w:sz w:val="21"/>
              </w:rPr>
              <w:t>主合同效力中止期间，本合同不得单独申请复效。</w:t>
            </w:r>
          </w:p>
        </w:tc>
      </w:tr>
      <w:tr>
        <w:trPr>
          <w:trHeight w:val="675" w:hRule="atLeast"/>
        </w:trPr>
        <w:tc>
          <w:tcPr>
            <w:tcW w:w="689" w:type="dxa"/>
            <w:tcBorders>
              <w:bottom w:val="single" w:sz="6" w:space="0" w:color="000000"/>
            </w:tcBorders>
          </w:tcPr>
          <w:p>
            <w:pPr>
              <w:pStyle w:val="TableParagraph"/>
              <w:spacing w:before="114"/>
              <w:ind w:left="61"/>
              <w:rPr>
                <w:b/>
                <w:sz w:val="28"/>
              </w:rPr>
            </w:pPr>
            <w:r>
              <w:rPr>
                <w:b/>
                <w:w w:val="99"/>
                <w:sz w:val="28"/>
              </w:rPr>
              <w:t>⒎</w:t>
            </w:r>
          </w:p>
        </w:tc>
        <w:tc>
          <w:tcPr>
            <w:tcW w:w="9359" w:type="dxa"/>
            <w:gridSpan w:val="2"/>
            <w:tcBorders>
              <w:bottom w:val="single" w:sz="6" w:space="0" w:color="000000"/>
            </w:tcBorders>
          </w:tcPr>
          <w:p>
            <w:pPr>
              <w:pStyle w:val="TableParagraph"/>
              <w:spacing w:before="144"/>
              <w:ind w:left="311"/>
              <w:rPr>
                <w:b/>
                <w:sz w:val="24"/>
              </w:rPr>
            </w:pPr>
            <w:r>
              <w:rPr>
                <w:b/>
                <w:w w:val="95"/>
                <w:sz w:val="24"/>
              </w:rPr>
              <w:t>犹豫期后的合同解除</w:t>
            </w:r>
          </w:p>
        </w:tc>
      </w:tr>
      <w:tr>
        <w:trPr>
          <w:trHeight w:val="2402" w:hRule="atLeast"/>
        </w:trPr>
        <w:tc>
          <w:tcPr>
            <w:tcW w:w="689" w:type="dxa"/>
            <w:tcBorders>
              <w:top w:val="single" w:sz="6" w:space="0" w:color="000000"/>
            </w:tcBorders>
          </w:tcPr>
          <w:p>
            <w:pPr>
              <w:pStyle w:val="TableParagraph"/>
              <w:spacing w:before="130"/>
              <w:ind w:left="61"/>
              <w:rPr>
                <w:b/>
                <w:sz w:val="21"/>
              </w:rPr>
            </w:pPr>
            <w:r>
              <w:rPr>
                <w:b/>
                <w:sz w:val="21"/>
              </w:rPr>
              <w:t>7.1</w:t>
            </w:r>
          </w:p>
        </w:tc>
        <w:tc>
          <w:tcPr>
            <w:tcW w:w="1780" w:type="dxa"/>
            <w:tcBorders>
              <w:top w:val="single" w:sz="6" w:space="0" w:color="000000"/>
            </w:tcBorders>
          </w:tcPr>
          <w:p>
            <w:pPr>
              <w:pStyle w:val="TableParagraph"/>
              <w:spacing w:line="273" w:lineRule="auto" w:before="130"/>
              <w:ind w:left="311" w:right="199"/>
              <w:rPr>
                <w:b/>
                <w:sz w:val="21"/>
              </w:rPr>
            </w:pPr>
            <w:r>
              <w:rPr>
                <w:b/>
                <w:sz w:val="21"/>
              </w:rPr>
              <w:t>您解除合同的手续</w:t>
            </w:r>
          </w:p>
        </w:tc>
        <w:tc>
          <w:tcPr>
            <w:tcW w:w="7579" w:type="dxa"/>
            <w:tcBorders>
              <w:top w:val="single" w:sz="6" w:space="0" w:color="000000"/>
            </w:tcBorders>
          </w:tcPr>
          <w:p>
            <w:pPr>
              <w:pStyle w:val="TableParagraph"/>
              <w:spacing w:before="89"/>
              <w:ind w:left="194"/>
              <w:rPr>
                <w:sz w:val="21"/>
              </w:rPr>
            </w:pPr>
            <w:r>
              <w:rPr>
                <w:sz w:val="21"/>
              </w:rPr>
              <w:t>您在犹豫期后，可以书面通知要求解除本合同，并向我们提供下列证明和资料：</w:t>
            </w:r>
          </w:p>
          <w:p>
            <w:pPr>
              <w:pStyle w:val="TableParagraph"/>
              <w:spacing w:before="22"/>
              <w:ind w:left="194"/>
              <w:rPr>
                <w:sz w:val="21"/>
              </w:rPr>
            </w:pPr>
            <w:r>
              <w:rPr>
                <w:sz w:val="21"/>
              </w:rPr>
              <w:t>（1）保险合同；</w:t>
            </w:r>
          </w:p>
          <w:p>
            <w:pPr>
              <w:pStyle w:val="TableParagraph"/>
              <w:spacing w:before="34"/>
              <w:ind w:left="194"/>
              <w:rPr>
                <w:sz w:val="21"/>
              </w:rPr>
            </w:pPr>
            <w:r>
              <w:rPr>
                <w:sz w:val="21"/>
              </w:rPr>
              <w:t>（2）解除合同申请书；</w:t>
            </w:r>
          </w:p>
          <w:p>
            <w:pPr>
              <w:pStyle w:val="TableParagraph"/>
              <w:spacing w:before="39"/>
              <w:ind w:left="194"/>
              <w:rPr>
                <w:sz w:val="21"/>
              </w:rPr>
            </w:pPr>
            <w:r>
              <w:rPr>
                <w:sz w:val="21"/>
              </w:rPr>
              <w:t>（3）您的法定有效身份证明。</w:t>
            </w:r>
          </w:p>
          <w:p>
            <w:pPr>
              <w:pStyle w:val="TableParagraph"/>
              <w:spacing w:line="273" w:lineRule="auto" w:before="20"/>
              <w:ind w:left="194" w:right="112"/>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p>
            <w:pPr>
              <w:pStyle w:val="TableParagraph"/>
              <w:spacing w:before="8"/>
              <w:ind w:left="194"/>
              <w:rPr>
                <w:sz w:val="21"/>
              </w:rPr>
            </w:pPr>
            <w:r>
              <w:rPr>
                <w:sz w:val="21"/>
              </w:rPr>
              <w:t>您犹豫期后解除合同会遭受一定损失。</w:t>
            </w:r>
          </w:p>
        </w:tc>
      </w:tr>
      <w:tr>
        <w:trPr>
          <w:trHeight w:val="631" w:hRule="atLeast"/>
        </w:trPr>
        <w:tc>
          <w:tcPr>
            <w:tcW w:w="689" w:type="dxa"/>
            <w:tcBorders>
              <w:bottom w:val="single" w:sz="6" w:space="0" w:color="000000"/>
            </w:tcBorders>
          </w:tcPr>
          <w:p>
            <w:pPr>
              <w:pStyle w:val="TableParagraph"/>
              <w:spacing w:before="119"/>
              <w:ind w:left="61"/>
              <w:rPr>
                <w:b/>
                <w:sz w:val="28"/>
              </w:rPr>
            </w:pPr>
            <w:r>
              <w:rPr>
                <w:b/>
                <w:w w:val="99"/>
                <w:sz w:val="28"/>
              </w:rPr>
              <w:t>⒏</w:t>
            </w:r>
          </w:p>
        </w:tc>
        <w:tc>
          <w:tcPr>
            <w:tcW w:w="9359" w:type="dxa"/>
            <w:gridSpan w:val="2"/>
            <w:tcBorders>
              <w:bottom w:val="single" w:sz="6" w:space="0" w:color="000000"/>
            </w:tcBorders>
          </w:tcPr>
          <w:p>
            <w:pPr>
              <w:pStyle w:val="TableParagraph"/>
              <w:spacing w:before="122"/>
              <w:ind w:left="311"/>
              <w:rPr>
                <w:b/>
                <w:sz w:val="24"/>
              </w:rPr>
            </w:pPr>
            <w:r>
              <w:rPr>
                <w:b/>
                <w:w w:val="95"/>
                <w:sz w:val="24"/>
              </w:rPr>
              <w:t>明确说明与如实告知</w:t>
            </w:r>
          </w:p>
        </w:tc>
      </w:tr>
    </w:tbl>
    <w:p>
      <w:pPr>
        <w:spacing w:after="0"/>
        <w:rPr>
          <w:sz w:val="24"/>
        </w:rPr>
        <w:sectPr>
          <w:pgSz w:w="11910" w:h="16840"/>
          <w:pgMar w:header="566" w:footer="664" w:top="1000" w:bottom="860" w:left="960" w:right="6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776"/>
        <w:gridCol w:w="7550"/>
      </w:tblGrid>
      <w:tr>
        <w:trPr>
          <w:trHeight w:val="3627" w:hRule="atLeast"/>
        </w:trPr>
        <w:tc>
          <w:tcPr>
            <w:tcW w:w="685" w:type="dxa"/>
          </w:tcPr>
          <w:p>
            <w:pPr>
              <w:pStyle w:val="TableParagraph"/>
              <w:spacing w:line="211" w:lineRule="exact" w:before="0"/>
              <w:ind w:left="57"/>
              <w:rPr>
                <w:b/>
                <w:sz w:val="21"/>
              </w:rPr>
            </w:pPr>
            <w:r>
              <w:rPr>
                <w:b/>
                <w:sz w:val="21"/>
              </w:rPr>
              <w:t>8.1</w:t>
            </w:r>
          </w:p>
        </w:tc>
        <w:tc>
          <w:tcPr>
            <w:tcW w:w="1776" w:type="dxa"/>
          </w:tcPr>
          <w:p>
            <w:pPr>
              <w:pStyle w:val="TableParagraph"/>
              <w:spacing w:line="211" w:lineRule="exact" w:before="0"/>
              <w:ind w:left="310"/>
              <w:rPr>
                <w:b/>
                <w:sz w:val="21"/>
              </w:rPr>
            </w:pPr>
            <w:r>
              <w:rPr>
                <w:b/>
                <w:sz w:val="21"/>
              </w:rPr>
              <w:t>明确说明与如</w:t>
            </w:r>
          </w:p>
          <w:p>
            <w:pPr>
              <w:pStyle w:val="TableParagraph"/>
              <w:spacing w:before="37"/>
              <w:ind w:left="310"/>
              <w:rPr>
                <w:b/>
                <w:sz w:val="21"/>
              </w:rPr>
            </w:pPr>
            <w:r>
              <w:rPr>
                <w:b/>
                <w:sz w:val="21"/>
              </w:rPr>
              <w:t>实告知</w:t>
            </w:r>
          </w:p>
        </w:tc>
        <w:tc>
          <w:tcPr>
            <w:tcW w:w="7550" w:type="dxa"/>
          </w:tcPr>
          <w:p>
            <w:pPr>
              <w:pStyle w:val="TableParagraph"/>
              <w:spacing w:line="211" w:lineRule="exact" w:before="0"/>
              <w:rPr>
                <w:sz w:val="21"/>
              </w:rPr>
            </w:pPr>
            <w:r>
              <w:rPr>
                <w:sz w:val="21"/>
              </w:rPr>
              <w:t>订立本合同时，我们会向您说明本合同的内容。</w:t>
            </w:r>
          </w:p>
          <w:p>
            <w:pPr>
              <w:pStyle w:val="TableParagraph"/>
              <w:spacing w:line="273" w:lineRule="auto" w:before="37"/>
              <w:ind w:right="79"/>
              <w:jc w:val="both"/>
              <w:rPr>
                <w:sz w:val="21"/>
              </w:rPr>
            </w:pPr>
            <w:r>
              <w:rPr>
                <w:spacing w:val="-8"/>
                <w:sz w:val="21"/>
              </w:rPr>
              <w:t>对保险条款中免除我们责任的条款，我们在订立合同时会在投保单、保险单或者</w:t>
            </w:r>
            <w:r>
              <w:rPr>
                <w:spacing w:val="-10"/>
                <w:sz w:val="21"/>
              </w:rPr>
              <w:t>其他保险凭证上作出足以引起您注意的提示，并对该条款的内容以书面或者口头</w:t>
            </w:r>
            <w:r>
              <w:rPr>
                <w:spacing w:val="-5"/>
                <w:sz w:val="21"/>
              </w:rPr>
              <w:t>形式向您作出明确说明，未作提示或明确说明的，该条款不产生效力。</w:t>
            </w:r>
          </w:p>
          <w:p>
            <w:pPr>
              <w:pStyle w:val="TableParagraph"/>
              <w:spacing w:line="273" w:lineRule="auto" w:before="7"/>
              <w:ind w:right="79"/>
              <w:rPr>
                <w:sz w:val="21"/>
              </w:rPr>
            </w:pPr>
            <w:r>
              <w:rPr>
                <w:spacing w:val="-3"/>
                <w:sz w:val="21"/>
              </w:rPr>
              <w:t>我们会就您、被保险人或受益人的有关情况提出书面询问，您应当如实告知。</w:t>
            </w:r>
            <w:r>
              <w:rPr>
                <w:spacing w:val="-7"/>
                <w:sz w:val="21"/>
              </w:rPr>
              <w:t>如果您故意或因重大过失不履行如实告知义务，足以影响我们决定是否同意承保</w:t>
            </w:r>
            <w:r>
              <w:rPr>
                <w:spacing w:val="-5"/>
                <w:sz w:val="21"/>
              </w:rPr>
              <w:t>或者提高保险费率的，我们有权解除本合同。</w:t>
            </w:r>
          </w:p>
          <w:p>
            <w:pPr>
              <w:pStyle w:val="TableParagraph"/>
              <w:spacing w:line="273" w:lineRule="auto" w:before="163"/>
              <w:ind w:right="143"/>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right="142"/>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2112" w:hRule="atLeast"/>
        </w:trPr>
        <w:tc>
          <w:tcPr>
            <w:tcW w:w="685" w:type="dxa"/>
          </w:tcPr>
          <w:p>
            <w:pPr>
              <w:pStyle w:val="TableParagraph"/>
              <w:ind w:left="57"/>
              <w:rPr>
                <w:b/>
                <w:sz w:val="21"/>
              </w:rPr>
            </w:pPr>
            <w:r>
              <w:rPr>
                <w:b/>
                <w:sz w:val="21"/>
              </w:rPr>
              <w:t>8.2</w:t>
            </w:r>
          </w:p>
        </w:tc>
        <w:tc>
          <w:tcPr>
            <w:tcW w:w="1776" w:type="dxa"/>
          </w:tcPr>
          <w:p>
            <w:pPr>
              <w:pStyle w:val="TableParagraph"/>
              <w:spacing w:line="273" w:lineRule="auto"/>
              <w:ind w:left="310" w:right="195"/>
              <w:rPr>
                <w:b/>
                <w:sz w:val="21"/>
              </w:rPr>
            </w:pPr>
            <w:r>
              <w:rPr>
                <w:b/>
                <w:sz w:val="21"/>
              </w:rPr>
              <w:t>本公司合同解除权的限制</w:t>
            </w:r>
          </w:p>
        </w:tc>
        <w:tc>
          <w:tcPr>
            <w:tcW w:w="7550" w:type="dxa"/>
          </w:tcPr>
          <w:p>
            <w:pPr>
              <w:pStyle w:val="TableParagraph"/>
              <w:rPr>
                <w:sz w:val="21"/>
              </w:rPr>
            </w:pPr>
            <w:r>
              <w:rPr>
                <w:sz w:val="21"/>
              </w:rPr>
              <w:t>您未履行如实告知义务，我们有权解除本合同，但受以下限制：</w:t>
            </w:r>
          </w:p>
          <w:p>
            <w:pPr>
              <w:pStyle w:val="TableParagraph"/>
              <w:spacing w:before="37"/>
              <w:rPr>
                <w:sz w:val="21"/>
              </w:rPr>
            </w:pPr>
            <w:r>
              <w:rPr>
                <w:sz w:val="21"/>
              </w:rPr>
              <w:t>（1）该解除权自我们知道有解除事由之日起，经过 30 日不行使而消灭；</w:t>
            </w:r>
          </w:p>
          <w:p>
            <w:pPr>
              <w:pStyle w:val="TableParagraph"/>
              <w:spacing w:line="273" w:lineRule="auto" w:before="37"/>
              <w:ind w:left="724" w:right="81"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5"/>
                <w:sz w:val="21"/>
              </w:rPr>
              <w:t>我们承担给付保险金的责任；</w:t>
            </w:r>
          </w:p>
          <w:p>
            <w:pPr>
              <w:pStyle w:val="TableParagraph"/>
              <w:spacing w:line="256" w:lineRule="auto" w:before="7"/>
              <w:ind w:left="724" w:right="100" w:hanging="527"/>
              <w:rPr>
                <w:sz w:val="21"/>
              </w:rPr>
            </w:pPr>
            <w:r>
              <w:rPr>
                <w:sz w:val="21"/>
              </w:rPr>
              <w:t>（</w:t>
            </w:r>
            <w:r>
              <w:rPr>
                <w:rFonts w:ascii="Times New Roman" w:eastAsia="Times New Roman"/>
                <w:sz w:val="21"/>
              </w:rPr>
              <w:t>3</w:t>
            </w:r>
            <w:r>
              <w:rPr>
                <w:sz w:val="21"/>
              </w:rPr>
              <w:t>）我们在本合同订立时已经知道未如实告知情况的，我们不得解除本合同； 发生保险事故的，我们承担给付保险金的责任。</w:t>
            </w:r>
          </w:p>
        </w:tc>
      </w:tr>
      <w:tr>
        <w:trPr>
          <w:trHeight w:val="676" w:hRule="atLeast"/>
        </w:trPr>
        <w:tc>
          <w:tcPr>
            <w:tcW w:w="685" w:type="dxa"/>
            <w:tcBorders>
              <w:bottom w:val="single" w:sz="6" w:space="0" w:color="000000"/>
            </w:tcBorders>
          </w:tcPr>
          <w:p>
            <w:pPr>
              <w:pStyle w:val="TableParagraph"/>
              <w:spacing w:before="114"/>
              <w:ind w:left="57"/>
              <w:rPr>
                <w:b/>
                <w:sz w:val="28"/>
              </w:rPr>
            </w:pPr>
            <w:r>
              <w:rPr>
                <w:b/>
                <w:w w:val="99"/>
                <w:sz w:val="28"/>
              </w:rPr>
              <w:t>⒐</w:t>
            </w:r>
          </w:p>
        </w:tc>
        <w:tc>
          <w:tcPr>
            <w:tcW w:w="9326" w:type="dxa"/>
            <w:gridSpan w:val="2"/>
            <w:tcBorders>
              <w:bottom w:val="single" w:sz="6" w:space="0" w:color="000000"/>
            </w:tcBorders>
          </w:tcPr>
          <w:p>
            <w:pPr>
              <w:pStyle w:val="TableParagraph"/>
              <w:spacing w:before="144"/>
              <w:ind w:left="310"/>
              <w:rPr>
                <w:b/>
                <w:sz w:val="24"/>
              </w:rPr>
            </w:pPr>
            <w:r>
              <w:rPr>
                <w:b/>
                <w:w w:val="95"/>
                <w:sz w:val="24"/>
              </w:rPr>
              <w:t>其他需要关注的事项</w:t>
            </w:r>
          </w:p>
        </w:tc>
      </w:tr>
      <w:tr>
        <w:trPr>
          <w:trHeight w:val="3262" w:hRule="atLeast"/>
        </w:trPr>
        <w:tc>
          <w:tcPr>
            <w:tcW w:w="685" w:type="dxa"/>
            <w:tcBorders>
              <w:top w:val="single" w:sz="6" w:space="0" w:color="000000"/>
            </w:tcBorders>
          </w:tcPr>
          <w:p>
            <w:pPr>
              <w:pStyle w:val="TableParagraph"/>
              <w:spacing w:before="129"/>
              <w:ind w:left="57"/>
              <w:rPr>
                <w:b/>
                <w:sz w:val="21"/>
              </w:rPr>
            </w:pPr>
            <w:r>
              <w:rPr>
                <w:b/>
                <w:sz w:val="21"/>
              </w:rPr>
              <w:t>9.1</w:t>
            </w:r>
          </w:p>
        </w:tc>
        <w:tc>
          <w:tcPr>
            <w:tcW w:w="1776" w:type="dxa"/>
            <w:tcBorders>
              <w:top w:val="single" w:sz="6" w:space="0" w:color="000000"/>
            </w:tcBorders>
          </w:tcPr>
          <w:p>
            <w:pPr>
              <w:pStyle w:val="TableParagraph"/>
              <w:spacing w:before="129"/>
              <w:ind w:left="310"/>
              <w:rPr>
                <w:b/>
                <w:sz w:val="21"/>
              </w:rPr>
            </w:pPr>
            <w:r>
              <w:rPr>
                <w:b/>
                <w:sz w:val="21"/>
              </w:rPr>
              <w:t>年龄性别错误</w:t>
            </w:r>
          </w:p>
        </w:tc>
        <w:tc>
          <w:tcPr>
            <w:tcW w:w="7550" w:type="dxa"/>
            <w:tcBorders>
              <w:top w:val="single" w:sz="6" w:space="0" w:color="000000"/>
              <w:right w:val="single" w:sz="4" w:space="0" w:color="FFFFFF"/>
            </w:tcBorders>
          </w:tcPr>
          <w:p>
            <w:pPr>
              <w:pStyle w:val="TableParagraph"/>
              <w:spacing w:line="273" w:lineRule="auto" w:before="129"/>
              <w:ind w:right="73"/>
              <w:rPr>
                <w:sz w:val="21"/>
              </w:rPr>
            </w:pPr>
            <w:r>
              <w:rPr>
                <w:spacing w:val="-12"/>
                <w:sz w:val="21"/>
              </w:rPr>
              <w:t>您在申请投保时，应将与法定有效身份证明相符的被保险人的出生日期和性别在</w:t>
            </w:r>
            <w:r>
              <w:rPr>
                <w:spacing w:val="-6"/>
                <w:sz w:val="21"/>
              </w:rPr>
              <w:t>投保书上填明，如果发生错误按照下列方式办理：</w:t>
            </w:r>
          </w:p>
          <w:p>
            <w:pPr>
              <w:pStyle w:val="TableParagraph"/>
              <w:spacing w:line="273" w:lineRule="auto" w:before="7"/>
              <w:ind w:left="724" w:right="-44" w:hanging="527"/>
              <w:rPr>
                <w:sz w:val="21"/>
              </w:rPr>
            </w:pPr>
            <w:r>
              <w:rPr>
                <w:sz w:val="21"/>
              </w:rPr>
              <w:t>（1）</w:t>
            </w:r>
            <w:r>
              <w:rPr>
                <w:spacing w:val="-3"/>
                <w:sz w:val="21"/>
              </w:rPr>
              <w:t>您申报的被保险人年龄不真实，并且其真实年龄不符合本合同约定投保年</w:t>
            </w:r>
            <w:r>
              <w:rPr>
                <w:spacing w:val="-11"/>
                <w:sz w:val="21"/>
              </w:rPr>
              <w:t>龄限制的，在保险事故发生之前我们有权解除合同，并向您退还现金价值。</w:t>
            </w:r>
            <w:r>
              <w:rPr>
                <w:spacing w:val="-3"/>
                <w:sz w:val="21"/>
              </w:rPr>
              <w:t>我们行使合同解除权适用本条款</w:t>
            </w:r>
            <w:r>
              <w:rPr>
                <w:sz w:val="21"/>
              </w:rPr>
              <w:t>“8.2</w:t>
            </w:r>
            <w:r>
              <w:rPr>
                <w:spacing w:val="-3"/>
                <w:sz w:val="21"/>
              </w:rPr>
              <w:t>本公司合同解除权的限制”的规定。</w:t>
            </w:r>
          </w:p>
          <w:p>
            <w:pPr>
              <w:pStyle w:val="TableParagraph"/>
              <w:spacing w:line="273" w:lineRule="auto" w:before="7"/>
              <w:ind w:left="724" w:right="71" w:hanging="527"/>
              <w:jc w:val="both"/>
              <w:rPr>
                <w:sz w:val="21"/>
              </w:rPr>
            </w:pPr>
            <w:r>
              <w:rPr>
                <w:sz w:val="21"/>
              </w:rPr>
              <w:t>（2）您申报的被保险人年龄不真实，致使您实交保险费少于应交保险费的，我们有权更正并要求您补交保险费。若已经发生保险事故，我们在给付保险金时按实交保险费和应交保险费的比例给付。</w:t>
            </w:r>
          </w:p>
          <w:p>
            <w:pPr>
              <w:pStyle w:val="TableParagraph"/>
              <w:spacing w:line="273" w:lineRule="auto" w:before="7"/>
              <w:ind w:left="724" w:right="95" w:hanging="527"/>
              <w:rPr>
                <w:sz w:val="21"/>
              </w:rPr>
            </w:pPr>
            <w:r>
              <w:rPr>
                <w:sz w:val="21"/>
              </w:rPr>
              <w:t>（3）您申报的被保险人年龄不真实，致使您实交保险费多于应交保险费的，我们会将多收的保险费无息退还给您。</w:t>
            </w:r>
          </w:p>
        </w:tc>
      </w:tr>
      <w:tr>
        <w:trPr>
          <w:trHeight w:val="1831" w:hRule="atLeast"/>
        </w:trPr>
        <w:tc>
          <w:tcPr>
            <w:tcW w:w="685" w:type="dxa"/>
          </w:tcPr>
          <w:p>
            <w:pPr>
              <w:pStyle w:val="TableParagraph"/>
              <w:spacing w:before="167"/>
              <w:ind w:left="57"/>
              <w:rPr>
                <w:b/>
                <w:sz w:val="21"/>
              </w:rPr>
            </w:pPr>
            <w:r>
              <w:rPr>
                <w:b/>
                <w:sz w:val="21"/>
              </w:rPr>
              <w:t>9.2</w:t>
            </w:r>
          </w:p>
        </w:tc>
        <w:tc>
          <w:tcPr>
            <w:tcW w:w="1776" w:type="dxa"/>
          </w:tcPr>
          <w:p>
            <w:pPr>
              <w:pStyle w:val="TableParagraph"/>
              <w:spacing w:before="167"/>
              <w:ind w:left="310"/>
              <w:rPr>
                <w:b/>
                <w:sz w:val="21"/>
              </w:rPr>
            </w:pPr>
            <w:r>
              <w:rPr>
                <w:b/>
                <w:sz w:val="21"/>
              </w:rPr>
              <w:t>合同效力终止</w:t>
            </w:r>
          </w:p>
        </w:tc>
        <w:tc>
          <w:tcPr>
            <w:tcW w:w="7550" w:type="dxa"/>
          </w:tcPr>
          <w:p>
            <w:pPr>
              <w:pStyle w:val="TableParagraph"/>
              <w:spacing w:before="167"/>
              <w:rPr>
                <w:sz w:val="21"/>
              </w:rPr>
            </w:pPr>
            <w:r>
              <w:rPr>
                <w:sz w:val="21"/>
              </w:rPr>
              <w:t>当发生下列情形之一时，本合同效力终止：</w:t>
            </w:r>
          </w:p>
          <w:p>
            <w:pPr>
              <w:pStyle w:val="TableParagraph"/>
              <w:spacing w:before="36"/>
              <w:rPr>
                <w:sz w:val="21"/>
              </w:rPr>
            </w:pPr>
            <w:r>
              <w:rPr>
                <w:sz w:val="21"/>
              </w:rPr>
              <w:t>（1）主合同解除、期满或效力终止；</w:t>
            </w:r>
          </w:p>
          <w:p>
            <w:pPr>
              <w:pStyle w:val="TableParagraph"/>
              <w:spacing w:before="36"/>
              <w:rPr>
                <w:sz w:val="21"/>
              </w:rPr>
            </w:pPr>
            <w:r>
              <w:rPr>
                <w:sz w:val="21"/>
              </w:rPr>
              <w:t>（2）出现主合同或本合同内的其他约定终止的情况。</w:t>
            </w:r>
          </w:p>
          <w:p>
            <w:pPr>
              <w:pStyle w:val="TableParagraph"/>
              <w:spacing w:line="273" w:lineRule="auto" w:before="36"/>
              <w:ind w:right="78"/>
              <w:rPr>
                <w:sz w:val="21"/>
              </w:rPr>
            </w:pPr>
            <w:r>
              <w:rPr>
                <w:spacing w:val="-11"/>
                <w:sz w:val="21"/>
              </w:rPr>
              <w:t>本合同效力终止后，除另有规定外，我们不退还本合同的现金价值或已交的保险费。</w:t>
            </w:r>
          </w:p>
        </w:tc>
      </w:tr>
      <w:tr>
        <w:trPr>
          <w:trHeight w:val="856" w:hRule="atLeast"/>
        </w:trPr>
        <w:tc>
          <w:tcPr>
            <w:tcW w:w="685" w:type="dxa"/>
          </w:tcPr>
          <w:p>
            <w:pPr>
              <w:pStyle w:val="TableParagraph"/>
              <w:spacing w:before="77"/>
              <w:ind w:left="57"/>
              <w:rPr>
                <w:b/>
                <w:sz w:val="21"/>
              </w:rPr>
            </w:pPr>
            <w:r>
              <w:rPr>
                <w:b/>
                <w:sz w:val="21"/>
              </w:rPr>
              <w:t>9.3</w:t>
            </w:r>
          </w:p>
        </w:tc>
        <w:tc>
          <w:tcPr>
            <w:tcW w:w="1776" w:type="dxa"/>
          </w:tcPr>
          <w:p>
            <w:pPr>
              <w:pStyle w:val="TableParagraph"/>
              <w:spacing w:line="273" w:lineRule="auto" w:before="77"/>
              <w:ind w:left="310" w:right="195"/>
              <w:rPr>
                <w:b/>
                <w:sz w:val="21"/>
              </w:rPr>
            </w:pPr>
            <w:r>
              <w:rPr>
                <w:b/>
                <w:sz w:val="21"/>
              </w:rPr>
              <w:t>与主合同不一致的解决</w:t>
            </w:r>
          </w:p>
        </w:tc>
        <w:tc>
          <w:tcPr>
            <w:tcW w:w="7550" w:type="dxa"/>
          </w:tcPr>
          <w:p>
            <w:pPr>
              <w:pStyle w:val="TableParagraph"/>
              <w:spacing w:line="273" w:lineRule="auto" w:before="77"/>
              <w:ind w:right="78"/>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r>
        <w:trPr>
          <w:trHeight w:val="581" w:hRule="atLeast"/>
        </w:trPr>
        <w:tc>
          <w:tcPr>
            <w:tcW w:w="685" w:type="dxa"/>
            <w:tcBorders>
              <w:bottom w:val="single" w:sz="8" w:space="0" w:color="000000"/>
            </w:tcBorders>
          </w:tcPr>
          <w:p>
            <w:pPr>
              <w:pStyle w:val="TableParagraph"/>
              <w:spacing w:before="122"/>
              <w:ind w:left="57"/>
              <w:rPr>
                <w:b/>
                <w:sz w:val="28"/>
              </w:rPr>
            </w:pPr>
            <w:r>
              <w:rPr>
                <w:b/>
                <w:w w:val="99"/>
                <w:sz w:val="28"/>
              </w:rPr>
              <w:t>⒑</w:t>
            </w:r>
          </w:p>
        </w:tc>
        <w:tc>
          <w:tcPr>
            <w:tcW w:w="1776" w:type="dxa"/>
            <w:tcBorders>
              <w:bottom w:val="single" w:sz="8" w:space="0" w:color="000000"/>
            </w:tcBorders>
          </w:tcPr>
          <w:p>
            <w:pPr>
              <w:pStyle w:val="TableParagraph"/>
              <w:spacing w:before="118"/>
              <w:ind w:left="310"/>
              <w:rPr>
                <w:b/>
                <w:sz w:val="24"/>
              </w:rPr>
            </w:pPr>
            <w:r>
              <w:rPr>
                <w:b/>
                <w:sz w:val="24"/>
              </w:rPr>
              <w:t>释义</w:t>
            </w:r>
          </w:p>
        </w:tc>
        <w:tc>
          <w:tcPr>
            <w:tcW w:w="7550" w:type="dxa"/>
            <w:tcBorders>
              <w:bottom w:val="single" w:sz="8" w:space="0" w:color="000000"/>
            </w:tcBorders>
          </w:tcPr>
          <w:p>
            <w:pPr>
              <w:pStyle w:val="TableParagraph"/>
              <w:spacing w:before="0"/>
              <w:ind w:left="0"/>
              <w:rPr>
                <w:rFonts w:ascii="Times New Roman"/>
                <w:sz w:val="20"/>
              </w:rPr>
            </w:pPr>
          </w:p>
        </w:tc>
      </w:tr>
      <w:tr>
        <w:trPr>
          <w:trHeight w:val="434" w:hRule="atLeast"/>
        </w:trPr>
        <w:tc>
          <w:tcPr>
            <w:tcW w:w="685" w:type="dxa"/>
            <w:tcBorders>
              <w:top w:val="single" w:sz="8" w:space="0" w:color="000000"/>
            </w:tcBorders>
          </w:tcPr>
          <w:p>
            <w:pPr>
              <w:pStyle w:val="TableParagraph"/>
              <w:spacing w:before="0"/>
              <w:ind w:left="0"/>
              <w:rPr>
                <w:rFonts w:ascii="Times New Roman"/>
                <w:sz w:val="20"/>
              </w:rPr>
            </w:pPr>
          </w:p>
        </w:tc>
        <w:tc>
          <w:tcPr>
            <w:tcW w:w="9326" w:type="dxa"/>
            <w:gridSpan w:val="2"/>
            <w:tcBorders>
              <w:top w:val="single" w:sz="8" w:space="0" w:color="000000"/>
            </w:tcBorders>
          </w:tcPr>
          <w:p>
            <w:pPr>
              <w:pStyle w:val="TableParagraph"/>
              <w:spacing w:line="255" w:lineRule="exact" w:before="159"/>
              <w:ind w:left="310"/>
              <w:rPr>
                <w:rFonts w:ascii="黑体" w:eastAsia="黑体" w:hint="eastAsia"/>
                <w:b/>
                <w:sz w:val="21"/>
              </w:rPr>
            </w:pPr>
            <w:r>
              <w:rPr>
                <w:rFonts w:ascii="黑体" w:eastAsia="黑体" w:hint="eastAsia"/>
                <w:b/>
                <w:sz w:val="21"/>
              </w:rPr>
              <w:t>本合同中具有特定含义的名词，除非本合同另有释义，适用主合同的释义。</w:t>
            </w:r>
          </w:p>
        </w:tc>
      </w:tr>
    </w:tbl>
    <w:p>
      <w:pPr>
        <w:spacing w:after="0" w:line="255" w:lineRule="exact"/>
        <w:rPr>
          <w:rFonts w:ascii="黑体" w:eastAsia="黑体" w:hint="eastAsia"/>
          <w:sz w:val="21"/>
        </w:rPr>
        <w:sectPr>
          <w:pgSz w:w="11910" w:h="16840"/>
          <w:pgMar w:header="566" w:footer="664" w:top="1000" w:bottom="860" w:left="960" w:right="7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62"/>
        <w:gridCol w:w="7482"/>
      </w:tblGrid>
      <w:tr>
        <w:trPr>
          <w:trHeight w:val="2001" w:hRule="atLeast"/>
        </w:trPr>
        <w:tc>
          <w:tcPr>
            <w:tcW w:w="934" w:type="dxa"/>
          </w:tcPr>
          <w:p>
            <w:pPr>
              <w:pStyle w:val="TableParagraph"/>
              <w:spacing w:line="211" w:lineRule="exact" w:before="0"/>
              <w:ind w:left="74" w:right="183"/>
              <w:jc w:val="center"/>
              <w:rPr>
                <w:b/>
                <w:sz w:val="21"/>
              </w:rPr>
            </w:pPr>
            <w:r>
              <w:rPr>
                <w:b/>
                <w:sz w:val="21"/>
              </w:rPr>
              <w:t>10.1</w:t>
            </w:r>
          </w:p>
        </w:tc>
        <w:tc>
          <w:tcPr>
            <w:tcW w:w="1762" w:type="dxa"/>
          </w:tcPr>
          <w:p>
            <w:pPr>
              <w:pStyle w:val="TableParagraph"/>
              <w:spacing w:line="211" w:lineRule="exact" w:before="0"/>
              <w:ind w:left="204"/>
              <w:rPr>
                <w:b/>
                <w:sz w:val="21"/>
              </w:rPr>
            </w:pPr>
            <w:r>
              <w:rPr>
                <w:b/>
                <w:sz w:val="21"/>
              </w:rPr>
              <w:t>我们认可 的医</w:t>
            </w:r>
          </w:p>
          <w:p>
            <w:pPr>
              <w:pStyle w:val="TableParagraph"/>
              <w:spacing w:before="37"/>
              <w:ind w:left="204"/>
              <w:rPr>
                <w:b/>
                <w:sz w:val="21"/>
              </w:rPr>
            </w:pPr>
            <w:r>
              <w:rPr>
                <w:b/>
                <w:w w:val="100"/>
                <w:sz w:val="21"/>
              </w:rPr>
              <w:t>院</w:t>
            </w:r>
          </w:p>
        </w:tc>
        <w:tc>
          <w:tcPr>
            <w:tcW w:w="7482" w:type="dxa"/>
          </w:tcPr>
          <w:p>
            <w:pPr>
              <w:pStyle w:val="TableParagraph"/>
              <w:spacing w:line="211" w:lineRule="exact" w:before="0"/>
              <w:ind w:left="106"/>
              <w:rPr>
                <w:sz w:val="21"/>
              </w:rPr>
            </w:pPr>
            <w:r>
              <w:rPr>
                <w:sz w:val="21"/>
              </w:rPr>
              <w:t>系指我们的定点医院，在无定点医院的县市地区选择医院时，须经我们同意且应</w:t>
            </w:r>
          </w:p>
          <w:p>
            <w:pPr>
              <w:pStyle w:val="TableParagraph"/>
              <w:spacing w:before="37"/>
              <w:ind w:left="106"/>
              <w:rPr>
                <w:sz w:val="21"/>
              </w:rPr>
            </w:pPr>
            <w:r>
              <w:rPr>
                <w:sz w:val="21"/>
              </w:rPr>
              <w:t>当满足以下条件：</w:t>
            </w:r>
          </w:p>
          <w:p>
            <w:pPr>
              <w:pStyle w:val="TableParagraph"/>
              <w:spacing w:line="273" w:lineRule="auto" w:before="36"/>
              <w:ind w:left="106" w:right="16"/>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935" w:hRule="atLeast"/>
        </w:trPr>
        <w:tc>
          <w:tcPr>
            <w:tcW w:w="934" w:type="dxa"/>
          </w:tcPr>
          <w:p>
            <w:pPr>
              <w:pStyle w:val="TableParagraph"/>
              <w:spacing w:line="262" w:lineRule="exact" w:before="0"/>
              <w:ind w:left="74" w:right="183"/>
              <w:jc w:val="center"/>
              <w:rPr>
                <w:b/>
                <w:sz w:val="21"/>
              </w:rPr>
            </w:pPr>
            <w:r>
              <w:rPr>
                <w:b/>
                <w:sz w:val="21"/>
              </w:rPr>
              <w:t>10.2</w:t>
            </w:r>
          </w:p>
        </w:tc>
        <w:tc>
          <w:tcPr>
            <w:tcW w:w="1762" w:type="dxa"/>
          </w:tcPr>
          <w:p>
            <w:pPr>
              <w:pStyle w:val="TableParagraph"/>
              <w:spacing w:line="262" w:lineRule="exact" w:before="0"/>
              <w:ind w:left="204"/>
              <w:rPr>
                <w:b/>
                <w:sz w:val="21"/>
              </w:rPr>
            </w:pPr>
            <w:r>
              <w:rPr>
                <w:b/>
                <w:sz w:val="21"/>
              </w:rPr>
              <w:t>毒品</w:t>
            </w:r>
          </w:p>
        </w:tc>
        <w:tc>
          <w:tcPr>
            <w:tcW w:w="7482" w:type="dxa"/>
            <w:tcBorders>
              <w:right w:val="single" w:sz="4" w:space="0" w:color="FFFFFF"/>
            </w:tcBorders>
          </w:tcPr>
          <w:p>
            <w:pPr>
              <w:pStyle w:val="TableParagraph"/>
              <w:spacing w:line="273" w:lineRule="auto" w:before="0"/>
              <w:ind w:left="106" w:right="-15"/>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4" w:hRule="atLeast"/>
        </w:trPr>
        <w:tc>
          <w:tcPr>
            <w:tcW w:w="934" w:type="dxa"/>
          </w:tcPr>
          <w:p>
            <w:pPr>
              <w:pStyle w:val="TableParagraph"/>
              <w:spacing w:before="167"/>
              <w:ind w:left="74" w:right="183"/>
              <w:jc w:val="center"/>
              <w:rPr>
                <w:b/>
                <w:sz w:val="21"/>
              </w:rPr>
            </w:pPr>
            <w:r>
              <w:rPr>
                <w:b/>
                <w:sz w:val="21"/>
              </w:rPr>
              <w:t>10.3</w:t>
            </w:r>
          </w:p>
        </w:tc>
        <w:tc>
          <w:tcPr>
            <w:tcW w:w="1762" w:type="dxa"/>
          </w:tcPr>
          <w:p>
            <w:pPr>
              <w:pStyle w:val="TableParagraph"/>
              <w:spacing w:before="167"/>
              <w:ind w:left="204"/>
              <w:rPr>
                <w:b/>
                <w:sz w:val="21"/>
              </w:rPr>
            </w:pPr>
            <w:r>
              <w:rPr>
                <w:b/>
                <w:sz w:val="21"/>
              </w:rPr>
              <w:t>管制药品</w:t>
            </w:r>
          </w:p>
        </w:tc>
        <w:tc>
          <w:tcPr>
            <w:tcW w:w="7482" w:type="dxa"/>
          </w:tcPr>
          <w:p>
            <w:pPr>
              <w:pStyle w:val="TableParagraph"/>
              <w:spacing w:line="273" w:lineRule="auto" w:before="167"/>
              <w:ind w:left="106" w:right="102"/>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804" w:hRule="atLeast"/>
        </w:trPr>
        <w:tc>
          <w:tcPr>
            <w:tcW w:w="934" w:type="dxa"/>
          </w:tcPr>
          <w:p>
            <w:pPr>
              <w:pStyle w:val="TableParagraph"/>
              <w:ind w:left="74" w:right="183"/>
              <w:jc w:val="center"/>
              <w:rPr>
                <w:b/>
                <w:sz w:val="21"/>
              </w:rPr>
            </w:pPr>
            <w:r>
              <w:rPr>
                <w:b/>
                <w:sz w:val="21"/>
              </w:rPr>
              <w:t>10.4</w:t>
            </w:r>
          </w:p>
        </w:tc>
        <w:tc>
          <w:tcPr>
            <w:tcW w:w="1762" w:type="dxa"/>
          </w:tcPr>
          <w:p>
            <w:pPr>
              <w:pStyle w:val="TableParagraph"/>
              <w:ind w:left="204"/>
              <w:rPr>
                <w:b/>
                <w:sz w:val="21"/>
              </w:rPr>
            </w:pPr>
            <w:r>
              <w:rPr>
                <w:b/>
                <w:sz w:val="21"/>
              </w:rPr>
              <w:t>酒后驾驶</w:t>
            </w:r>
          </w:p>
        </w:tc>
        <w:tc>
          <w:tcPr>
            <w:tcW w:w="7482" w:type="dxa"/>
          </w:tcPr>
          <w:p>
            <w:pPr>
              <w:pStyle w:val="TableParagraph"/>
              <w:spacing w:line="273" w:lineRule="auto"/>
              <w:ind w:left="106" w:right="103"/>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2676" w:hRule="atLeast"/>
        </w:trPr>
        <w:tc>
          <w:tcPr>
            <w:tcW w:w="934" w:type="dxa"/>
          </w:tcPr>
          <w:p>
            <w:pPr>
              <w:pStyle w:val="TableParagraph"/>
              <w:ind w:left="74" w:right="183"/>
              <w:jc w:val="center"/>
              <w:rPr>
                <w:b/>
                <w:sz w:val="21"/>
              </w:rPr>
            </w:pPr>
            <w:r>
              <w:rPr>
                <w:b/>
                <w:sz w:val="21"/>
              </w:rPr>
              <w:t>10.5</w:t>
            </w:r>
          </w:p>
        </w:tc>
        <w:tc>
          <w:tcPr>
            <w:tcW w:w="1762" w:type="dxa"/>
          </w:tcPr>
          <w:p>
            <w:pPr>
              <w:pStyle w:val="TableParagraph"/>
              <w:spacing w:line="273" w:lineRule="auto"/>
              <w:ind w:left="204" w:right="289"/>
              <w:rPr>
                <w:b/>
                <w:sz w:val="21"/>
              </w:rPr>
            </w:pPr>
            <w:r>
              <w:rPr>
                <w:b/>
                <w:sz w:val="21"/>
              </w:rPr>
              <w:t>无合法有效驾驶证驾驶</w:t>
            </w:r>
          </w:p>
        </w:tc>
        <w:tc>
          <w:tcPr>
            <w:tcW w:w="7482" w:type="dxa"/>
          </w:tcPr>
          <w:p>
            <w:pPr>
              <w:pStyle w:val="TableParagraph"/>
              <w:ind w:left="106"/>
              <w:rPr>
                <w:sz w:val="21"/>
              </w:rPr>
            </w:pPr>
            <w:r>
              <w:rPr>
                <w:sz w:val="21"/>
              </w:rPr>
              <w:t>指下列情形之一：</w:t>
            </w:r>
          </w:p>
          <w:p>
            <w:pPr>
              <w:pStyle w:val="TableParagraph"/>
              <w:spacing w:before="36"/>
              <w:ind w:left="106"/>
              <w:rPr>
                <w:sz w:val="21"/>
              </w:rPr>
            </w:pPr>
            <w:r>
              <w:rPr>
                <w:sz w:val="21"/>
              </w:rPr>
              <w:t>（1）没有驾驶证驾驶；</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（3）驾驶员持审验不合格的驾驶证驾驶；</w:t>
            </w:r>
          </w:p>
          <w:p>
            <w:pPr>
              <w:pStyle w:val="TableParagraph"/>
              <w:spacing w:before="36"/>
              <w:ind w:left="106"/>
              <w:rPr>
                <w:sz w:val="21"/>
              </w:rPr>
            </w:pPr>
            <w:r>
              <w:rPr>
                <w:sz w:val="21"/>
              </w:rPr>
              <w:t>（4）未经公安交通管理部门同意，持未审验的驾驶证驾驶；</w:t>
            </w:r>
          </w:p>
          <w:p>
            <w:pPr>
              <w:pStyle w:val="TableParagraph"/>
              <w:spacing w:line="273" w:lineRule="auto" w:before="36"/>
              <w:ind w:left="632" w:right="107" w:hanging="527"/>
              <w:rPr>
                <w:sz w:val="21"/>
              </w:rPr>
            </w:pPr>
            <w:r>
              <w:rPr>
                <w:sz w:val="21"/>
              </w:rPr>
              <w:t>（5）持学习驾驶证学习驾车时，无教练员随车指导，或不按指定时间、路线学习驾车；</w:t>
            </w:r>
          </w:p>
          <w:p>
            <w:pPr>
              <w:pStyle w:val="TableParagraph"/>
              <w:spacing w:before="7"/>
              <w:ind w:left="106"/>
              <w:rPr>
                <w:sz w:val="21"/>
              </w:rPr>
            </w:pPr>
            <w:r>
              <w:rPr>
                <w:sz w:val="21"/>
              </w:rPr>
              <w:t>（6）公安交通管理部门规定的其他无有效驾驶证驾驶的情况。</w:t>
            </w:r>
          </w:p>
        </w:tc>
      </w:tr>
      <w:tr>
        <w:trPr>
          <w:trHeight w:val="1116" w:hRule="atLeast"/>
        </w:trPr>
        <w:tc>
          <w:tcPr>
            <w:tcW w:w="934" w:type="dxa"/>
          </w:tcPr>
          <w:p>
            <w:pPr>
              <w:pStyle w:val="TableParagraph"/>
              <w:ind w:left="74" w:right="183"/>
              <w:jc w:val="center"/>
              <w:rPr>
                <w:b/>
                <w:sz w:val="21"/>
              </w:rPr>
            </w:pPr>
            <w:r>
              <w:rPr>
                <w:b/>
                <w:sz w:val="21"/>
              </w:rPr>
              <w:t>10.6</w:t>
            </w:r>
          </w:p>
        </w:tc>
        <w:tc>
          <w:tcPr>
            <w:tcW w:w="1762" w:type="dxa"/>
          </w:tcPr>
          <w:p>
            <w:pPr>
              <w:pStyle w:val="TableParagraph"/>
              <w:ind w:left="204"/>
              <w:rPr>
                <w:b/>
                <w:sz w:val="21"/>
              </w:rPr>
            </w:pPr>
            <w:r>
              <w:rPr>
                <w:b/>
                <w:sz w:val="21"/>
              </w:rPr>
              <w:t>无有效行驶证</w:t>
            </w:r>
          </w:p>
        </w:tc>
        <w:tc>
          <w:tcPr>
            <w:tcW w:w="7482" w:type="dxa"/>
          </w:tcPr>
          <w:p>
            <w:pPr>
              <w:pStyle w:val="TableParagraph"/>
              <w:ind w:left="106"/>
              <w:rPr>
                <w:sz w:val="21"/>
              </w:rPr>
            </w:pPr>
            <w:r>
              <w:rPr>
                <w:sz w:val="21"/>
              </w:rPr>
              <w:t>指下列情形之一：</w:t>
            </w:r>
          </w:p>
          <w:p>
            <w:pPr>
              <w:pStyle w:val="TableParagraph"/>
              <w:spacing w:before="36"/>
              <w:ind w:left="106"/>
              <w:rPr>
                <w:sz w:val="21"/>
              </w:rPr>
            </w:pPr>
            <w:r>
              <w:rPr>
                <w:sz w:val="21"/>
              </w:rPr>
              <w:t>（1）没有机动车行驶证；</w:t>
            </w:r>
          </w:p>
          <w:p>
            <w:pPr>
              <w:pStyle w:val="TableParagraph"/>
              <w:spacing w:before="37"/>
              <w:ind w:left="106"/>
              <w:rPr>
                <w:sz w:val="21"/>
              </w:rPr>
            </w:pPr>
            <w:r>
              <w:rPr>
                <w:sz w:val="21"/>
              </w:rPr>
              <w:t>（2）未在法律规定期限内按时进行或通过安全技术检验。</w:t>
            </w:r>
          </w:p>
        </w:tc>
      </w:tr>
      <w:tr>
        <w:trPr>
          <w:trHeight w:val="804" w:hRule="atLeast"/>
        </w:trPr>
        <w:tc>
          <w:tcPr>
            <w:tcW w:w="934" w:type="dxa"/>
          </w:tcPr>
          <w:p>
            <w:pPr>
              <w:pStyle w:val="TableParagraph"/>
              <w:ind w:left="74" w:right="183"/>
              <w:jc w:val="center"/>
              <w:rPr>
                <w:b/>
                <w:sz w:val="21"/>
              </w:rPr>
            </w:pPr>
            <w:r>
              <w:rPr>
                <w:b/>
                <w:sz w:val="21"/>
              </w:rPr>
              <w:t>10.7</w:t>
            </w:r>
          </w:p>
        </w:tc>
        <w:tc>
          <w:tcPr>
            <w:tcW w:w="1762" w:type="dxa"/>
          </w:tcPr>
          <w:p>
            <w:pPr>
              <w:pStyle w:val="TableParagraph"/>
              <w:ind w:left="204"/>
              <w:rPr>
                <w:b/>
                <w:sz w:val="21"/>
              </w:rPr>
            </w:pPr>
            <w:r>
              <w:rPr>
                <w:b/>
                <w:sz w:val="21"/>
              </w:rPr>
              <w:t>机动车</w:t>
            </w:r>
          </w:p>
        </w:tc>
        <w:tc>
          <w:tcPr>
            <w:tcW w:w="7482" w:type="dxa"/>
          </w:tcPr>
          <w:p>
            <w:pPr>
              <w:pStyle w:val="TableParagraph"/>
              <w:spacing w:line="273" w:lineRule="auto"/>
              <w:ind w:left="106" w:right="103"/>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934" w:type="dxa"/>
          </w:tcPr>
          <w:p>
            <w:pPr>
              <w:pStyle w:val="TableParagraph"/>
              <w:ind w:left="74" w:right="183"/>
              <w:jc w:val="center"/>
              <w:rPr>
                <w:b/>
                <w:sz w:val="21"/>
              </w:rPr>
            </w:pPr>
            <w:r>
              <w:rPr>
                <w:b/>
                <w:sz w:val="21"/>
              </w:rPr>
              <w:t>10.8</w:t>
            </w:r>
          </w:p>
        </w:tc>
        <w:tc>
          <w:tcPr>
            <w:tcW w:w="1762" w:type="dxa"/>
          </w:tcPr>
          <w:p>
            <w:pPr>
              <w:pStyle w:val="TableParagraph"/>
              <w:spacing w:line="273" w:lineRule="auto"/>
              <w:ind w:left="204" w:right="289"/>
              <w:rPr>
                <w:b/>
                <w:sz w:val="21"/>
              </w:rPr>
            </w:pPr>
            <w:r>
              <w:rPr>
                <w:b/>
                <w:sz w:val="21"/>
              </w:rPr>
              <w:t>感染艾滋病病毒或患艾滋病</w:t>
            </w:r>
          </w:p>
        </w:tc>
        <w:tc>
          <w:tcPr>
            <w:tcW w:w="7482" w:type="dxa"/>
          </w:tcPr>
          <w:p>
            <w:pPr>
              <w:pStyle w:val="TableParagraph"/>
              <w:spacing w:line="273" w:lineRule="auto"/>
              <w:ind w:left="106" w:right="103"/>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7"/>
              <w:ind w:left="106" w:right="103"/>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3" w:hRule="atLeast"/>
        </w:trPr>
        <w:tc>
          <w:tcPr>
            <w:tcW w:w="934" w:type="dxa"/>
          </w:tcPr>
          <w:p>
            <w:pPr>
              <w:pStyle w:val="TableParagraph"/>
              <w:spacing w:line="262" w:lineRule="exact" w:before="0"/>
              <w:ind w:left="74" w:right="183"/>
              <w:jc w:val="center"/>
              <w:rPr>
                <w:b/>
                <w:sz w:val="21"/>
              </w:rPr>
            </w:pPr>
            <w:r>
              <w:rPr>
                <w:b/>
                <w:sz w:val="21"/>
              </w:rPr>
              <w:t>10.9</w:t>
            </w:r>
          </w:p>
        </w:tc>
        <w:tc>
          <w:tcPr>
            <w:tcW w:w="1762" w:type="dxa"/>
          </w:tcPr>
          <w:p>
            <w:pPr>
              <w:pStyle w:val="TableParagraph"/>
              <w:spacing w:line="262" w:lineRule="exact" w:before="0"/>
              <w:ind w:left="204"/>
              <w:rPr>
                <w:b/>
                <w:sz w:val="21"/>
              </w:rPr>
            </w:pPr>
            <w:r>
              <w:rPr>
                <w:b/>
                <w:sz w:val="21"/>
              </w:rPr>
              <w:t>遗传性疾病</w:t>
            </w:r>
          </w:p>
        </w:tc>
        <w:tc>
          <w:tcPr>
            <w:tcW w:w="7482" w:type="dxa"/>
            <w:tcBorders>
              <w:right w:val="single" w:sz="4" w:space="0" w:color="FFFFFF"/>
            </w:tcBorders>
          </w:tcPr>
          <w:p>
            <w:pPr>
              <w:pStyle w:val="TableParagraph"/>
              <w:spacing w:line="273" w:lineRule="auto" w:before="0"/>
              <w:ind w:left="106"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207" w:hRule="atLeast"/>
        </w:trPr>
        <w:tc>
          <w:tcPr>
            <w:tcW w:w="934" w:type="dxa"/>
          </w:tcPr>
          <w:p>
            <w:pPr>
              <w:pStyle w:val="TableParagraph"/>
              <w:spacing w:before="168"/>
              <w:ind w:left="178" w:right="183"/>
              <w:jc w:val="center"/>
              <w:rPr>
                <w:b/>
                <w:sz w:val="21"/>
              </w:rPr>
            </w:pPr>
            <w:r>
              <w:rPr>
                <w:b/>
                <w:sz w:val="21"/>
              </w:rPr>
              <w:t>10.10</w:t>
            </w:r>
          </w:p>
        </w:tc>
        <w:tc>
          <w:tcPr>
            <w:tcW w:w="1762" w:type="dxa"/>
          </w:tcPr>
          <w:p>
            <w:pPr>
              <w:pStyle w:val="TableParagraph"/>
              <w:spacing w:line="273" w:lineRule="auto" w:before="168"/>
              <w:ind w:left="204" w:right="105"/>
              <w:jc w:val="both"/>
              <w:rPr>
                <w:b/>
                <w:sz w:val="21"/>
              </w:rPr>
            </w:pPr>
            <w:r>
              <w:rPr>
                <w:b/>
                <w:spacing w:val="-6"/>
                <w:sz w:val="21"/>
              </w:rPr>
              <w:t>先天性畸形、变</w:t>
            </w:r>
            <w:r>
              <w:rPr>
                <w:b/>
                <w:spacing w:val="7"/>
                <w:sz w:val="21"/>
              </w:rPr>
              <w:t>形 或染色体异常</w:t>
            </w:r>
          </w:p>
        </w:tc>
        <w:tc>
          <w:tcPr>
            <w:tcW w:w="7482" w:type="dxa"/>
          </w:tcPr>
          <w:p>
            <w:pPr>
              <w:pStyle w:val="TableParagraph"/>
              <w:spacing w:line="273" w:lineRule="auto" w:before="168"/>
              <w:ind w:left="106" w:right="102"/>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803" w:hRule="atLeast"/>
        </w:trPr>
        <w:tc>
          <w:tcPr>
            <w:tcW w:w="934" w:type="dxa"/>
          </w:tcPr>
          <w:p>
            <w:pPr>
              <w:pStyle w:val="TableParagraph"/>
              <w:ind w:left="178" w:right="183"/>
              <w:jc w:val="center"/>
              <w:rPr>
                <w:b/>
                <w:sz w:val="21"/>
              </w:rPr>
            </w:pPr>
            <w:r>
              <w:rPr>
                <w:b/>
                <w:sz w:val="21"/>
              </w:rPr>
              <w:t>10.11</w:t>
            </w:r>
          </w:p>
        </w:tc>
        <w:tc>
          <w:tcPr>
            <w:tcW w:w="1762" w:type="dxa"/>
          </w:tcPr>
          <w:p>
            <w:pPr>
              <w:pStyle w:val="TableParagraph"/>
              <w:ind w:left="204"/>
              <w:rPr>
                <w:b/>
                <w:sz w:val="21"/>
              </w:rPr>
            </w:pPr>
            <w:r>
              <w:rPr>
                <w:b/>
                <w:sz w:val="21"/>
              </w:rPr>
              <w:t>现金价值</w:t>
            </w:r>
          </w:p>
        </w:tc>
        <w:tc>
          <w:tcPr>
            <w:tcW w:w="7482" w:type="dxa"/>
          </w:tcPr>
          <w:p>
            <w:pPr>
              <w:pStyle w:val="TableParagraph"/>
              <w:spacing w:line="273" w:lineRule="auto"/>
              <w:ind w:left="106" w:right="103"/>
              <w:rPr>
                <w:sz w:val="21"/>
              </w:rPr>
            </w:pPr>
            <w:r>
              <w:rPr>
                <w:spacing w:val="-9"/>
                <w:sz w:val="21"/>
              </w:rPr>
              <w:t>一般指保险单所具有的价值，通常体现为解除本合同时，由我们向您退还的那部</w:t>
            </w:r>
            <w:r>
              <w:rPr>
                <w:spacing w:val="-6"/>
                <w:sz w:val="21"/>
              </w:rPr>
              <w:t>分金额。</w:t>
            </w:r>
          </w:p>
        </w:tc>
      </w:tr>
      <w:tr>
        <w:trPr>
          <w:trHeight w:val="351" w:hRule="atLeast"/>
        </w:trPr>
        <w:tc>
          <w:tcPr>
            <w:tcW w:w="934" w:type="dxa"/>
          </w:tcPr>
          <w:p>
            <w:pPr>
              <w:pStyle w:val="TableParagraph"/>
              <w:spacing w:line="255" w:lineRule="exact"/>
              <w:ind w:left="179" w:right="182"/>
              <w:jc w:val="center"/>
              <w:rPr>
                <w:b/>
                <w:sz w:val="21"/>
              </w:rPr>
            </w:pPr>
            <w:r>
              <w:rPr>
                <w:b/>
                <w:sz w:val="21"/>
              </w:rPr>
              <w:t>10.12</w:t>
            </w:r>
          </w:p>
        </w:tc>
        <w:tc>
          <w:tcPr>
            <w:tcW w:w="1762" w:type="dxa"/>
          </w:tcPr>
          <w:p>
            <w:pPr>
              <w:pStyle w:val="TableParagraph"/>
              <w:spacing w:line="255" w:lineRule="exact"/>
              <w:ind w:left="204"/>
              <w:rPr>
                <w:b/>
                <w:sz w:val="21"/>
              </w:rPr>
            </w:pPr>
            <w:r>
              <w:rPr>
                <w:b/>
                <w:sz w:val="21"/>
              </w:rPr>
              <w:t>专科医生</w:t>
            </w:r>
          </w:p>
        </w:tc>
        <w:tc>
          <w:tcPr>
            <w:tcW w:w="7482" w:type="dxa"/>
          </w:tcPr>
          <w:p>
            <w:pPr>
              <w:pStyle w:val="TableParagraph"/>
              <w:spacing w:line="255" w:lineRule="exact"/>
              <w:ind w:left="106"/>
              <w:rPr>
                <w:sz w:val="21"/>
              </w:rPr>
            </w:pPr>
            <w:r>
              <w:rPr>
                <w:sz w:val="21"/>
              </w:rPr>
              <w:t>专科医生应当同时满足以下四项资格条件：</w:t>
            </w:r>
          </w:p>
        </w:tc>
      </w:tr>
    </w:tbl>
    <w:p>
      <w:pPr>
        <w:spacing w:after="0" w:line="255" w:lineRule="exact"/>
        <w:rPr>
          <w:sz w:val="21"/>
        </w:rPr>
        <w:sectPr>
          <w:pgSz w:w="11910" w:h="16840"/>
          <w:pgMar w:header="566" w:footer="664" w:top="1000" w:bottom="860" w:left="820" w:right="680"/>
        </w:sectPr>
      </w:pPr>
    </w:p>
    <w:p>
      <w:pPr>
        <w:pStyle w:val="BodyText"/>
        <w:spacing w:before="3"/>
        <w:rPr>
          <w:rFonts w:ascii="Times New Roman"/>
          <w:sz w:val="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771"/>
        <w:gridCol w:w="7471"/>
      </w:tblGrid>
      <w:tr>
        <w:trPr>
          <w:trHeight w:val="1972" w:hRule="atLeast"/>
        </w:trPr>
        <w:tc>
          <w:tcPr>
            <w:tcW w:w="762" w:type="dxa"/>
            <w:tcBorders>
              <w:top w:val="single" w:sz="6" w:space="0" w:color="000000"/>
            </w:tcBorders>
          </w:tcPr>
          <w:p>
            <w:pPr>
              <w:pStyle w:val="TableParagraph"/>
              <w:spacing w:before="0"/>
              <w:ind w:left="0"/>
              <w:rPr>
                <w:rFonts w:ascii="Times New Roman"/>
                <w:sz w:val="20"/>
              </w:rPr>
            </w:pPr>
          </w:p>
        </w:tc>
        <w:tc>
          <w:tcPr>
            <w:tcW w:w="1771" w:type="dxa"/>
            <w:tcBorders>
              <w:top w:val="single" w:sz="6" w:space="0" w:color="000000"/>
            </w:tcBorders>
          </w:tcPr>
          <w:p>
            <w:pPr>
              <w:pStyle w:val="TableParagraph"/>
              <w:spacing w:before="0"/>
              <w:ind w:left="0"/>
              <w:rPr>
                <w:rFonts w:ascii="Times New Roman"/>
                <w:sz w:val="20"/>
              </w:rPr>
            </w:pPr>
          </w:p>
        </w:tc>
        <w:tc>
          <w:tcPr>
            <w:tcW w:w="7471" w:type="dxa"/>
            <w:tcBorders>
              <w:top w:val="single" w:sz="6" w:space="0" w:color="000000"/>
              <w:right w:val="single" w:sz="4" w:space="0" w:color="FFFFFF"/>
            </w:tcBorders>
          </w:tcPr>
          <w:p>
            <w:pPr>
              <w:pStyle w:val="TableParagraph"/>
              <w:spacing w:before="0"/>
              <w:ind w:left="0"/>
              <w:rPr>
                <w:rFonts w:ascii="Times New Roman"/>
                <w:sz w:val="20"/>
              </w:rPr>
            </w:pPr>
          </w:p>
          <w:p>
            <w:pPr>
              <w:pStyle w:val="TableParagraph"/>
              <w:spacing w:before="170"/>
              <w:ind w:left="97"/>
              <w:rPr>
                <w:sz w:val="21"/>
              </w:rPr>
            </w:pPr>
            <w:r>
              <w:rPr>
                <w:sz w:val="21"/>
              </w:rPr>
              <w:t>（1）具有有效的中华人民共和国《医师资格证书》；</w:t>
            </w:r>
          </w:p>
          <w:p>
            <w:pPr>
              <w:pStyle w:val="TableParagraph"/>
              <w:spacing w:before="37"/>
              <w:ind w:left="97"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6"/>
              <w:ind w:left="623" w:right="116" w:hanging="527"/>
              <w:rPr>
                <w:sz w:val="21"/>
              </w:rPr>
            </w:pPr>
            <w:r>
              <w:rPr>
                <w:sz w:val="21"/>
              </w:rPr>
              <w:t>（3）具有有效的中华人民共和国主治医师或主治医师以上职称的《医师职称证书》；</w:t>
            </w:r>
          </w:p>
          <w:p>
            <w:pPr>
              <w:pStyle w:val="TableParagraph"/>
              <w:spacing w:before="7"/>
              <w:ind w:left="97"/>
              <w:rPr>
                <w:sz w:val="21"/>
              </w:rPr>
            </w:pPr>
            <w:r>
              <w:rPr>
                <w:sz w:val="21"/>
              </w:rPr>
              <w:t>（4）在二级或二级以上医院的相应科室从事临床工作 3 年以上。</w:t>
            </w:r>
          </w:p>
        </w:tc>
      </w:tr>
      <w:tr>
        <w:trPr>
          <w:trHeight w:val="894" w:hRule="atLeast"/>
        </w:trPr>
        <w:tc>
          <w:tcPr>
            <w:tcW w:w="762" w:type="dxa"/>
          </w:tcPr>
          <w:p>
            <w:pPr>
              <w:pStyle w:val="TableParagraph"/>
              <w:spacing w:before="167"/>
              <w:ind w:left="28"/>
              <w:rPr>
                <w:b/>
                <w:sz w:val="21"/>
              </w:rPr>
            </w:pPr>
            <w:r>
              <w:rPr>
                <w:b/>
                <w:sz w:val="21"/>
              </w:rPr>
              <w:t>10.13</w:t>
            </w:r>
          </w:p>
        </w:tc>
        <w:tc>
          <w:tcPr>
            <w:tcW w:w="1771" w:type="dxa"/>
          </w:tcPr>
          <w:p>
            <w:pPr>
              <w:pStyle w:val="TableParagraph"/>
              <w:spacing w:line="273" w:lineRule="auto" w:before="167"/>
              <w:ind w:left="205" w:right="115"/>
              <w:rPr>
                <w:b/>
                <w:sz w:val="21"/>
              </w:rPr>
            </w:pPr>
            <w:r>
              <w:rPr>
                <w:b/>
                <w:sz w:val="21"/>
              </w:rPr>
              <w:t>肢体机能 完全丧失</w:t>
            </w:r>
          </w:p>
        </w:tc>
        <w:tc>
          <w:tcPr>
            <w:tcW w:w="7471" w:type="dxa"/>
          </w:tcPr>
          <w:p>
            <w:pPr>
              <w:pStyle w:val="TableParagraph"/>
              <w:spacing w:line="273" w:lineRule="auto" w:before="167"/>
              <w:ind w:left="97" w:right="100"/>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27" w:hRule="atLeast"/>
        </w:trPr>
        <w:tc>
          <w:tcPr>
            <w:tcW w:w="762" w:type="dxa"/>
          </w:tcPr>
          <w:p>
            <w:pPr>
              <w:pStyle w:val="TableParagraph"/>
              <w:ind w:left="28"/>
              <w:rPr>
                <w:b/>
                <w:sz w:val="21"/>
              </w:rPr>
            </w:pPr>
            <w:r>
              <w:rPr>
                <w:b/>
                <w:sz w:val="21"/>
              </w:rPr>
              <w:t>10.14</w:t>
            </w:r>
          </w:p>
        </w:tc>
        <w:tc>
          <w:tcPr>
            <w:tcW w:w="1771" w:type="dxa"/>
          </w:tcPr>
          <w:p>
            <w:pPr>
              <w:pStyle w:val="TableParagraph"/>
              <w:spacing w:line="273" w:lineRule="auto"/>
              <w:ind w:left="205" w:right="115"/>
              <w:jc w:val="both"/>
              <w:rPr>
                <w:b/>
                <w:sz w:val="21"/>
              </w:rPr>
            </w:pPr>
            <w:r>
              <w:rPr>
                <w:b/>
                <w:sz w:val="21"/>
              </w:rPr>
              <w:t>语言能力 或咀嚼吞咽能 力完全丧失</w:t>
            </w:r>
          </w:p>
        </w:tc>
        <w:tc>
          <w:tcPr>
            <w:tcW w:w="7471" w:type="dxa"/>
          </w:tcPr>
          <w:p>
            <w:pPr>
              <w:pStyle w:val="TableParagraph"/>
              <w:spacing w:line="273" w:lineRule="auto"/>
              <w:ind w:left="97" w:right="99"/>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2364" w:hRule="atLeast"/>
        </w:trPr>
        <w:tc>
          <w:tcPr>
            <w:tcW w:w="762" w:type="dxa"/>
          </w:tcPr>
          <w:p>
            <w:pPr>
              <w:pStyle w:val="TableParagraph"/>
              <w:ind w:left="28"/>
              <w:rPr>
                <w:b/>
                <w:sz w:val="21"/>
              </w:rPr>
            </w:pPr>
            <w:r>
              <w:rPr>
                <w:b/>
                <w:sz w:val="21"/>
              </w:rPr>
              <w:t>10.15</w:t>
            </w:r>
          </w:p>
        </w:tc>
        <w:tc>
          <w:tcPr>
            <w:tcW w:w="1771" w:type="dxa"/>
          </w:tcPr>
          <w:p>
            <w:pPr>
              <w:pStyle w:val="TableParagraph"/>
              <w:spacing w:line="273" w:lineRule="auto"/>
              <w:ind w:left="205" w:right="52"/>
              <w:rPr>
                <w:b/>
                <w:sz w:val="21"/>
              </w:rPr>
            </w:pPr>
            <w:r>
              <w:rPr>
                <w:b/>
                <w:sz w:val="21"/>
              </w:rPr>
              <w:t>六项基本日常生活活动</w:t>
            </w:r>
          </w:p>
        </w:tc>
        <w:tc>
          <w:tcPr>
            <w:tcW w:w="7471" w:type="dxa"/>
          </w:tcPr>
          <w:p>
            <w:pPr>
              <w:pStyle w:val="TableParagraph"/>
              <w:ind w:left="97"/>
              <w:rPr>
                <w:sz w:val="21"/>
              </w:rPr>
            </w:pPr>
            <w:r>
              <w:rPr>
                <w:sz w:val="21"/>
              </w:rPr>
              <w:t>六项基本日常生活活动是指：</w:t>
            </w:r>
          </w:p>
          <w:p>
            <w:pPr>
              <w:pStyle w:val="TableParagraph"/>
              <w:spacing w:before="37"/>
              <w:ind w:left="97"/>
              <w:rPr>
                <w:sz w:val="21"/>
              </w:rPr>
            </w:pPr>
            <w:r>
              <w:rPr>
                <w:sz w:val="21"/>
              </w:rPr>
              <w:t>（1）穿衣：自己能够穿衣及脱衣；</w:t>
            </w:r>
          </w:p>
          <w:p>
            <w:pPr>
              <w:pStyle w:val="TableParagraph"/>
              <w:spacing w:before="37"/>
              <w:ind w:left="97"/>
              <w:rPr>
                <w:sz w:val="21"/>
              </w:rPr>
            </w:pPr>
            <w:r>
              <w:rPr>
                <w:sz w:val="21"/>
              </w:rPr>
              <w:t>（2）移动：自己从一个房间到另一个房间；</w:t>
            </w:r>
          </w:p>
          <w:p>
            <w:pPr>
              <w:pStyle w:val="TableParagraph"/>
              <w:spacing w:before="37"/>
              <w:ind w:left="97"/>
              <w:rPr>
                <w:sz w:val="21"/>
              </w:rPr>
            </w:pPr>
            <w:r>
              <w:rPr>
                <w:sz w:val="21"/>
              </w:rPr>
              <w:t>（3）行动：自己上下床或上下轮椅；</w:t>
            </w:r>
          </w:p>
          <w:p>
            <w:pPr>
              <w:pStyle w:val="TableParagraph"/>
              <w:spacing w:before="37"/>
              <w:ind w:left="97"/>
              <w:rPr>
                <w:sz w:val="21"/>
              </w:rPr>
            </w:pPr>
            <w:r>
              <w:rPr>
                <w:sz w:val="21"/>
              </w:rPr>
              <w:t>（4）如厕：自己控制进行大小便；</w:t>
            </w:r>
          </w:p>
          <w:p>
            <w:pPr>
              <w:pStyle w:val="TableParagraph"/>
              <w:spacing w:before="37"/>
              <w:ind w:left="97"/>
              <w:rPr>
                <w:sz w:val="21"/>
              </w:rPr>
            </w:pPr>
            <w:r>
              <w:rPr>
                <w:sz w:val="21"/>
              </w:rPr>
              <w:t>（5）进食：自己从已准备好的碗或碟中取食物放入口中；</w:t>
            </w:r>
          </w:p>
          <w:p>
            <w:pPr>
              <w:pStyle w:val="TableParagraph"/>
              <w:spacing w:before="37"/>
              <w:ind w:left="97"/>
              <w:rPr>
                <w:sz w:val="21"/>
              </w:rPr>
            </w:pPr>
            <w:r>
              <w:rPr>
                <w:sz w:val="21"/>
              </w:rPr>
              <w:t>（6）洗澡：自己进行淋浴或盆浴。</w:t>
            </w:r>
          </w:p>
        </w:tc>
      </w:tr>
      <w:tr>
        <w:trPr>
          <w:trHeight w:val="804" w:hRule="atLeast"/>
        </w:trPr>
        <w:tc>
          <w:tcPr>
            <w:tcW w:w="762" w:type="dxa"/>
          </w:tcPr>
          <w:p>
            <w:pPr>
              <w:pStyle w:val="TableParagraph"/>
              <w:ind w:left="28"/>
              <w:rPr>
                <w:b/>
                <w:sz w:val="21"/>
              </w:rPr>
            </w:pPr>
            <w:r>
              <w:rPr>
                <w:b/>
                <w:sz w:val="21"/>
              </w:rPr>
              <w:t>10.16</w:t>
            </w:r>
          </w:p>
        </w:tc>
        <w:tc>
          <w:tcPr>
            <w:tcW w:w="1771" w:type="dxa"/>
          </w:tcPr>
          <w:p>
            <w:pPr>
              <w:pStyle w:val="TableParagraph"/>
              <w:ind w:left="205"/>
              <w:rPr>
                <w:b/>
                <w:sz w:val="21"/>
              </w:rPr>
            </w:pPr>
            <w:r>
              <w:rPr>
                <w:b/>
                <w:sz w:val="21"/>
              </w:rPr>
              <w:t>永久不可逆</w:t>
            </w:r>
          </w:p>
        </w:tc>
        <w:tc>
          <w:tcPr>
            <w:tcW w:w="7471" w:type="dxa"/>
          </w:tcPr>
          <w:p>
            <w:pPr>
              <w:pStyle w:val="TableParagraph"/>
              <w:spacing w:line="273" w:lineRule="auto"/>
              <w:ind w:left="97" w:right="99"/>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63" w:hRule="atLeast"/>
        </w:trPr>
        <w:tc>
          <w:tcPr>
            <w:tcW w:w="762" w:type="dxa"/>
          </w:tcPr>
          <w:p>
            <w:pPr>
              <w:pStyle w:val="TableParagraph"/>
              <w:ind w:left="28"/>
              <w:rPr>
                <w:b/>
                <w:sz w:val="21"/>
              </w:rPr>
            </w:pPr>
            <w:r>
              <w:rPr>
                <w:b/>
                <w:sz w:val="21"/>
              </w:rPr>
              <w:t>10.17</w:t>
            </w:r>
          </w:p>
        </w:tc>
        <w:tc>
          <w:tcPr>
            <w:tcW w:w="1771" w:type="dxa"/>
          </w:tcPr>
          <w:p>
            <w:pPr>
              <w:pStyle w:val="TableParagraph"/>
              <w:spacing w:line="310" w:lineRule="atLeast" w:before="41"/>
              <w:ind w:left="205" w:right="296"/>
              <w:rPr>
                <w:b/>
                <w:sz w:val="21"/>
              </w:rPr>
            </w:pPr>
            <w:r>
              <w:rPr>
                <w:b/>
                <w:sz w:val="21"/>
              </w:rPr>
              <w:t>本合同约定利率</w:t>
            </w:r>
          </w:p>
        </w:tc>
        <w:tc>
          <w:tcPr>
            <w:tcW w:w="7471" w:type="dxa"/>
          </w:tcPr>
          <w:p>
            <w:pPr>
              <w:pStyle w:val="TableParagraph"/>
              <w:ind w:left="97"/>
              <w:rPr>
                <w:sz w:val="21"/>
              </w:rPr>
            </w:pPr>
            <w:r>
              <w:rPr>
                <w:sz w:val="21"/>
              </w:rPr>
              <w:t>指我们参照中国人民银行最近一次规定的 6 个月期人民币贷款利率所确定的利</w:t>
            </w:r>
          </w:p>
          <w:p>
            <w:pPr>
              <w:pStyle w:val="TableParagraph"/>
              <w:spacing w:line="255" w:lineRule="exact" w:before="36"/>
              <w:ind w:left="97"/>
              <w:rPr>
                <w:sz w:val="21"/>
              </w:rPr>
            </w:pPr>
            <w:r>
              <w:rPr>
                <w:sz w:val="21"/>
              </w:rPr>
              <w:t>率。我们在每年的 1 月 1 日和 7 月 1 日确定并以适当方式公布。</w:t>
            </w:r>
          </w:p>
        </w:tc>
      </w:tr>
    </w:tbl>
    <w:sectPr>
      <w:headerReference w:type="default" r:id="rId11"/>
      <w:pgSz w:w="11910" w:h="16840"/>
      <w:pgMar w:header="566" w:footer="664" w:top="940" w:bottom="860" w:left="10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UI">
    <w:altName w:val="Microsoft JhengHei U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220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183">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2248"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46.109985pt;margin-top:37.585609pt;width:191.05pt;height:11pt;mso-position-horizontal-relative:page;mso-position-vertical-relative:page;z-index:-32224" type="#_x0000_t202" filled="false" stroked="false">
          <v:textbox inset="0,0,0,0">
            <w:txbxContent>
              <w:p>
                <w:pPr>
                  <w:spacing w:line="200" w:lineRule="exact" w:before="0"/>
                  <w:ind w:left="20" w:right="0" w:firstLine="0"/>
                  <w:jc w:val="left"/>
                  <w:rPr>
                    <w:sz w:val="18"/>
                  </w:rPr>
                </w:pPr>
                <w:r>
                  <w:rPr>
                    <w:spacing w:val="-4"/>
                    <w:sz w:val="18"/>
                  </w:rPr>
                  <w:t>百年附加财富通提前给付重大疾病保险 </w:t>
                </w:r>
                <w:r>
                  <w:rPr>
                    <w:sz w:val="18"/>
                  </w:rPr>
                  <w:t>A</w:t>
                </w:r>
                <w:r>
                  <w:rPr>
                    <w:spacing w:val="-12"/>
                    <w:sz w:val="18"/>
                  </w:rPr>
                  <w:t> 款条款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279">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46.109985pt;margin-top:37.585609pt;width:191.05pt;height:11pt;mso-position-horizontal-relative:page;mso-position-vertical-relative:page;z-index:-32152" type="#_x0000_t202" filled="false" stroked="false">
          <v:textbox inset="0,0,0,0">
            <w:txbxContent>
              <w:p>
                <w:pPr>
                  <w:spacing w:line="200" w:lineRule="exact" w:before="0"/>
                  <w:ind w:left="20" w:right="0" w:firstLine="0"/>
                  <w:jc w:val="left"/>
                  <w:rPr>
                    <w:sz w:val="18"/>
                  </w:rPr>
                </w:pPr>
                <w:r>
                  <w:rPr>
                    <w:spacing w:val="-4"/>
                    <w:sz w:val="18"/>
                  </w:rPr>
                  <w:t>百年附加财富通提前给付重大疾病保险 </w:t>
                </w:r>
                <w:r>
                  <w:rPr>
                    <w:sz w:val="18"/>
                  </w:rPr>
                  <w:t>A</w:t>
                </w:r>
                <w:r>
                  <w:rPr>
                    <w:spacing w:val="-12"/>
                    <w:sz w:val="18"/>
                  </w:rPr>
                  <w:t> 款条款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327">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2104" from="55.200001pt,50.399982pt" to="540.100001pt,50.399982pt" stroked="true" strokeweight=".72pt" strokecolor="#000000">
          <v:stroke dashstyle="solid"/>
          <w10:wrap type="none"/>
        </v:line>
      </w:pict>
    </w:r>
    <w:r>
      <w:rPr/>
      <w:pict>
        <v:shape style="position:absolute;margin-left:346.109985pt;margin-top:37.585609pt;width:191.05pt;height:11pt;mso-position-horizontal-relative:page;mso-position-vertical-relative:page;z-index:-32080" type="#_x0000_t202" filled="false" stroked="false">
          <v:textbox inset="0,0,0,0">
            <w:txbxContent>
              <w:p>
                <w:pPr>
                  <w:spacing w:line="200" w:lineRule="exact" w:before="0"/>
                  <w:ind w:left="20" w:right="0" w:firstLine="0"/>
                  <w:jc w:val="left"/>
                  <w:rPr>
                    <w:sz w:val="18"/>
                  </w:rPr>
                </w:pPr>
                <w:r>
                  <w:rPr>
                    <w:spacing w:val="-4"/>
                    <w:sz w:val="18"/>
                  </w:rPr>
                  <w:t>百年附加财富通提前给付重大疾病保险 </w:t>
                </w:r>
                <w:r>
                  <w:rPr>
                    <w:sz w:val="18"/>
                  </w:rPr>
                  <w:t>A</w:t>
                </w:r>
                <w:r>
                  <w:rPr>
                    <w:spacing w:val="-12"/>
                    <w:sz w:val="18"/>
                  </w:rPr>
                  <w:t> 款条款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399">
          <wp:simplePos x="0" y="0"/>
          <wp:positionH relativeFrom="page">
            <wp:posOffset>719455</wp:posOffset>
          </wp:positionH>
          <wp:positionV relativeFrom="page">
            <wp:posOffset>359409</wp:posOffset>
          </wp:positionV>
          <wp:extent cx="941705" cy="2286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46.109985pt;margin-top:37.585609pt;width:191.05pt;height:11pt;mso-position-horizontal-relative:page;mso-position-vertical-relative:page;z-index:-32032" type="#_x0000_t202" filled="false" stroked="false">
          <v:textbox inset="0,0,0,0">
            <w:txbxContent>
              <w:p>
                <w:pPr>
                  <w:spacing w:line="200" w:lineRule="exact" w:before="0"/>
                  <w:ind w:left="20" w:right="0" w:firstLine="0"/>
                  <w:jc w:val="left"/>
                  <w:rPr>
                    <w:sz w:val="18"/>
                  </w:rPr>
                </w:pPr>
                <w:r>
                  <w:rPr>
                    <w:spacing w:val="-4"/>
                    <w:sz w:val="18"/>
                  </w:rPr>
                  <w:t>百年附加财富通提前给付重大疾病保险 </w:t>
                </w:r>
                <w:r>
                  <w:rPr>
                    <w:sz w:val="18"/>
                  </w:rPr>
                  <w:t>A</w:t>
                </w:r>
                <w:r>
                  <w:rPr>
                    <w:spacing w:val="-12"/>
                    <w:sz w:val="18"/>
                  </w:rPr>
                  <w:t> 款条款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724" w:hanging="159"/>
      </w:pPr>
      <w:rPr>
        <w:rFonts w:hint="default"/>
      </w:rPr>
    </w:lvl>
    <w:lvl w:ilvl="3">
      <w:start w:val="0"/>
      <w:numFmt w:val="bullet"/>
      <w:lvlText w:val="•"/>
      <w:lvlJc w:val="left"/>
      <w:pPr>
        <w:ind w:left="2456" w:hanging="159"/>
      </w:pPr>
      <w:rPr>
        <w:rFonts w:hint="default"/>
      </w:rPr>
    </w:lvl>
    <w:lvl w:ilvl="4">
      <w:start w:val="0"/>
      <w:numFmt w:val="bullet"/>
      <w:lvlText w:val="•"/>
      <w:lvlJc w:val="left"/>
      <w:pPr>
        <w:ind w:left="3188" w:hanging="159"/>
      </w:pPr>
      <w:rPr>
        <w:rFonts w:hint="default"/>
      </w:rPr>
    </w:lvl>
    <w:lvl w:ilvl="5">
      <w:start w:val="0"/>
      <w:numFmt w:val="bullet"/>
      <w:lvlText w:val="•"/>
      <w:lvlJc w:val="left"/>
      <w:pPr>
        <w:ind w:left="3920" w:hanging="159"/>
      </w:pPr>
      <w:rPr>
        <w:rFonts w:hint="default"/>
      </w:rPr>
    </w:lvl>
    <w:lvl w:ilvl="6">
      <w:start w:val="0"/>
      <w:numFmt w:val="bullet"/>
      <w:lvlText w:val="•"/>
      <w:lvlJc w:val="left"/>
      <w:pPr>
        <w:ind w:left="4652" w:hanging="159"/>
      </w:pPr>
      <w:rPr>
        <w:rFonts w:hint="default"/>
      </w:rPr>
    </w:lvl>
    <w:lvl w:ilvl="7">
      <w:start w:val="0"/>
      <w:numFmt w:val="bullet"/>
      <w:lvlText w:val="•"/>
      <w:lvlJc w:val="left"/>
      <w:pPr>
        <w:ind w:left="5384" w:hanging="159"/>
      </w:pPr>
      <w:rPr>
        <w:rFonts w:hint="default"/>
      </w:rPr>
    </w:lvl>
    <w:lvl w:ilvl="8">
      <w:start w:val="0"/>
      <w:numFmt w:val="bullet"/>
      <w:lvlText w:val="•"/>
      <w:lvlJc w:val="left"/>
      <w:pPr>
        <w:ind w:left="6116" w:hanging="159"/>
      </w:pPr>
      <w:rPr>
        <w:rFonts w:hint="default"/>
      </w:rPr>
    </w:lvl>
  </w:abstractNum>
  <w:abstractNum w:abstractNumId="10">
    <w:multiLevelType w:val="hybridMultilevel"/>
    <w:lvl w:ilvl="0">
      <w:start w:val="10"/>
      <w:numFmt w:val="decimal"/>
      <w:lvlText w:val="%1"/>
      <w:lvlJc w:val="left"/>
      <w:pPr>
        <w:ind w:left="890" w:hanging="526"/>
        <w:jc w:val="left"/>
      </w:pPr>
      <w:rPr>
        <w:rFonts w:hint="default"/>
      </w:rPr>
    </w:lvl>
    <w:lvl w:ilvl="1">
      <w:start w:val="1"/>
      <w:numFmt w:val="decimal"/>
      <w:lvlText w:val="%1.%2"/>
      <w:lvlJc w:val="left"/>
      <w:pPr>
        <w:ind w:left="928"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22" w:hanging="526"/>
      </w:pPr>
      <w:rPr>
        <w:rFonts w:hint="default"/>
      </w:rPr>
    </w:lvl>
    <w:lvl w:ilvl="4">
      <w:start w:val="0"/>
      <w:numFmt w:val="bullet"/>
      <w:lvlText w:val="•"/>
      <w:lvlJc w:val="left"/>
      <w:pPr>
        <w:ind w:left="1674" w:hanging="526"/>
      </w:pPr>
      <w:rPr>
        <w:rFonts w:hint="default"/>
      </w:rPr>
    </w:lvl>
    <w:lvl w:ilvl="5">
      <w:start w:val="0"/>
      <w:numFmt w:val="bullet"/>
      <w:lvlText w:val="•"/>
      <w:lvlJc w:val="left"/>
      <w:pPr>
        <w:ind w:left="1925" w:hanging="526"/>
      </w:pPr>
      <w:rPr>
        <w:rFonts w:hint="default"/>
      </w:rPr>
    </w:lvl>
    <w:lvl w:ilvl="6">
      <w:start w:val="0"/>
      <w:numFmt w:val="bullet"/>
      <w:lvlText w:val="•"/>
      <w:lvlJc w:val="left"/>
      <w:pPr>
        <w:ind w:left="2176" w:hanging="526"/>
      </w:pPr>
      <w:rPr>
        <w:rFonts w:hint="default"/>
      </w:rPr>
    </w:lvl>
    <w:lvl w:ilvl="7">
      <w:start w:val="0"/>
      <w:numFmt w:val="bullet"/>
      <w:lvlText w:val="•"/>
      <w:lvlJc w:val="left"/>
      <w:pPr>
        <w:ind w:left="2428" w:hanging="526"/>
      </w:pPr>
      <w:rPr>
        <w:rFonts w:hint="default"/>
      </w:rPr>
    </w:lvl>
    <w:lvl w:ilvl="8">
      <w:start w:val="0"/>
      <w:numFmt w:val="bullet"/>
      <w:lvlText w:val="•"/>
      <w:lvlJc w:val="left"/>
      <w:pPr>
        <w:ind w:left="2679" w:hanging="526"/>
      </w:pPr>
      <w:rPr>
        <w:rFonts w:hint="default"/>
      </w:rPr>
    </w:lvl>
  </w:abstractNum>
  <w:abstractNum w:abstractNumId="9">
    <w:multiLevelType w:val="hybridMultilevel"/>
    <w:lvl w:ilvl="0">
      <w:start w:val="9"/>
      <w:numFmt w:val="decimal"/>
      <w:lvlText w:val="%1"/>
      <w:lvlJc w:val="left"/>
      <w:pPr>
        <w:ind w:left="936"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8">
    <w:multiLevelType w:val="hybridMultilevel"/>
    <w:lvl w:ilvl="0">
      <w:start w:val="8"/>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7">
    <w:multiLevelType w:val="hybridMultilevel"/>
    <w:lvl w:ilvl="0">
      <w:start w:val="6"/>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177" w:hanging="423"/>
      </w:pPr>
      <w:rPr>
        <w:rFonts w:hint="default"/>
      </w:rPr>
    </w:lvl>
    <w:lvl w:ilvl="3">
      <w:start w:val="0"/>
      <w:numFmt w:val="bullet"/>
      <w:lvlText w:val="•"/>
      <w:lvlJc w:val="left"/>
      <w:pPr>
        <w:ind w:left="1414" w:hanging="423"/>
      </w:pPr>
      <w:rPr>
        <w:rFonts w:hint="default"/>
      </w:rPr>
    </w:lvl>
    <w:lvl w:ilvl="4">
      <w:start w:val="0"/>
      <w:numFmt w:val="bullet"/>
      <w:lvlText w:val="•"/>
      <w:lvlJc w:val="left"/>
      <w:pPr>
        <w:ind w:left="1652" w:hanging="423"/>
      </w:pPr>
      <w:rPr>
        <w:rFonts w:hint="default"/>
      </w:rPr>
    </w:lvl>
    <w:lvl w:ilvl="5">
      <w:start w:val="0"/>
      <w:numFmt w:val="bullet"/>
      <w:lvlText w:val="•"/>
      <w:lvlJc w:val="left"/>
      <w:pPr>
        <w:ind w:left="1889" w:hanging="423"/>
      </w:pPr>
      <w:rPr>
        <w:rFonts w:hint="default"/>
      </w:rPr>
    </w:lvl>
    <w:lvl w:ilvl="6">
      <w:start w:val="0"/>
      <w:numFmt w:val="bullet"/>
      <w:lvlText w:val="•"/>
      <w:lvlJc w:val="left"/>
      <w:pPr>
        <w:ind w:left="2127" w:hanging="423"/>
      </w:pPr>
      <w:rPr>
        <w:rFonts w:hint="default"/>
      </w:rPr>
    </w:lvl>
    <w:lvl w:ilvl="7">
      <w:start w:val="0"/>
      <w:numFmt w:val="bullet"/>
      <w:lvlText w:val="•"/>
      <w:lvlJc w:val="left"/>
      <w:pPr>
        <w:ind w:left="2364" w:hanging="423"/>
      </w:pPr>
      <w:rPr>
        <w:rFonts w:hint="default"/>
      </w:rPr>
    </w:lvl>
    <w:lvl w:ilvl="8">
      <w:start w:val="0"/>
      <w:numFmt w:val="bullet"/>
      <w:lvlText w:val="•"/>
      <w:lvlJc w:val="left"/>
      <w:pPr>
        <w:ind w:left="2602" w:hanging="423"/>
      </w:pPr>
      <w:rPr>
        <w:rFonts w:hint="default"/>
      </w:rPr>
    </w:lvl>
  </w:abstractNum>
  <w:abstractNum w:abstractNumId="6">
    <w:multiLevelType w:val="hybridMultilevel"/>
    <w:lvl w:ilvl="0">
      <w:start w:val="5"/>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5">
    <w:multiLevelType w:val="hybridMultilevel"/>
    <w:lvl w:ilvl="0">
      <w:start w:val="4"/>
      <w:numFmt w:val="decimal"/>
      <w:lvlText w:val="%1"/>
      <w:lvlJc w:val="left"/>
      <w:pPr>
        <w:ind w:left="936" w:hanging="423"/>
        <w:jc w:val="left"/>
      </w:pPr>
      <w:rPr>
        <w:rFonts w:hint="default"/>
      </w:rPr>
    </w:lvl>
    <w:lvl w:ilvl="1">
      <w:start w:val="6"/>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4">
    <w:multiLevelType w:val="hybridMultilevel"/>
    <w:lvl w:ilvl="0">
      <w:start w:val="4"/>
      <w:numFmt w:val="decimal"/>
      <w:lvlText w:val="%1"/>
      <w:lvlJc w:val="left"/>
      <w:pPr>
        <w:ind w:left="934"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3">
    <w:multiLevelType w:val="hybridMultilevel"/>
    <w:lvl w:ilvl="0">
      <w:start w:val="3"/>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4" w:hanging="423"/>
      </w:pPr>
      <w:rPr>
        <w:rFonts w:hint="default"/>
      </w:rPr>
    </w:lvl>
    <w:lvl w:ilvl="3">
      <w:start w:val="0"/>
      <w:numFmt w:val="bullet"/>
      <w:lvlText w:val="•"/>
      <w:lvlJc w:val="left"/>
      <w:pPr>
        <w:ind w:left="1048"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37" w:hanging="423"/>
      </w:pPr>
      <w:rPr>
        <w:rFonts w:hint="default"/>
      </w:rPr>
    </w:lvl>
    <w:lvl w:ilvl="6">
      <w:start w:val="0"/>
      <w:numFmt w:val="bullet"/>
      <w:lvlText w:val="•"/>
      <w:lvlJc w:val="left"/>
      <w:pPr>
        <w:ind w:left="1931"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520"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57" w:hanging="406"/>
      </w:pPr>
      <w:rPr>
        <w:rFonts w:hint="default"/>
      </w:rPr>
    </w:lvl>
    <w:lvl w:ilvl="3">
      <w:start w:val="0"/>
      <w:numFmt w:val="bullet"/>
      <w:lvlText w:val="•"/>
      <w:lvlJc w:val="left"/>
      <w:pPr>
        <w:ind w:left="1576" w:hanging="406"/>
      </w:pPr>
      <w:rPr>
        <w:rFonts w:hint="default"/>
      </w:rPr>
    </w:lvl>
    <w:lvl w:ilvl="4">
      <w:start w:val="0"/>
      <w:numFmt w:val="bullet"/>
      <w:lvlText w:val="•"/>
      <w:lvlJc w:val="left"/>
      <w:pPr>
        <w:ind w:left="1795" w:hanging="406"/>
      </w:pPr>
      <w:rPr>
        <w:rFonts w:hint="default"/>
      </w:rPr>
    </w:lvl>
    <w:lvl w:ilvl="5">
      <w:start w:val="0"/>
      <w:numFmt w:val="bullet"/>
      <w:lvlText w:val="•"/>
      <w:lvlJc w:val="left"/>
      <w:pPr>
        <w:ind w:left="2014" w:hanging="406"/>
      </w:pPr>
      <w:rPr>
        <w:rFonts w:hint="default"/>
      </w:rPr>
    </w:lvl>
    <w:lvl w:ilvl="6">
      <w:start w:val="0"/>
      <w:numFmt w:val="bullet"/>
      <w:lvlText w:val="•"/>
      <w:lvlJc w:val="left"/>
      <w:pPr>
        <w:ind w:left="2233" w:hanging="406"/>
      </w:pPr>
      <w:rPr>
        <w:rFonts w:hint="default"/>
      </w:rPr>
    </w:lvl>
    <w:lvl w:ilvl="7">
      <w:start w:val="0"/>
      <w:numFmt w:val="bullet"/>
      <w:lvlText w:val="•"/>
      <w:lvlJc w:val="left"/>
      <w:pPr>
        <w:ind w:left="2452" w:hanging="406"/>
      </w:pPr>
      <w:rPr>
        <w:rFonts w:hint="default"/>
      </w:rPr>
    </w:lvl>
    <w:lvl w:ilvl="8">
      <w:start w:val="0"/>
      <w:numFmt w:val="bullet"/>
      <w:lvlText w:val="•"/>
      <w:lvlJc w:val="left"/>
      <w:pPr>
        <w:ind w:left="2671"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904" w:hanging="413"/>
      </w:pPr>
      <w:rPr>
        <w:rFonts w:hint="default"/>
      </w:rPr>
    </w:lvl>
    <w:lvl w:ilvl="2">
      <w:start w:val="0"/>
      <w:numFmt w:val="bullet"/>
      <w:lvlText w:val="•"/>
      <w:lvlJc w:val="left"/>
      <w:pPr>
        <w:ind w:left="2829" w:hanging="413"/>
      </w:pPr>
      <w:rPr>
        <w:rFonts w:hint="default"/>
      </w:rPr>
    </w:lvl>
    <w:lvl w:ilvl="3">
      <w:start w:val="0"/>
      <w:numFmt w:val="bullet"/>
      <w:lvlText w:val="•"/>
      <w:lvlJc w:val="left"/>
      <w:pPr>
        <w:ind w:left="3753" w:hanging="413"/>
      </w:pPr>
      <w:rPr>
        <w:rFonts w:hint="default"/>
      </w:rPr>
    </w:lvl>
    <w:lvl w:ilvl="4">
      <w:start w:val="0"/>
      <w:numFmt w:val="bullet"/>
      <w:lvlText w:val="•"/>
      <w:lvlJc w:val="left"/>
      <w:pPr>
        <w:ind w:left="4678" w:hanging="413"/>
      </w:pPr>
      <w:rPr>
        <w:rFonts w:hint="default"/>
      </w:rPr>
    </w:lvl>
    <w:lvl w:ilvl="5">
      <w:start w:val="0"/>
      <w:numFmt w:val="bullet"/>
      <w:lvlText w:val="•"/>
      <w:lvlJc w:val="left"/>
      <w:pPr>
        <w:ind w:left="5603" w:hanging="413"/>
      </w:pPr>
      <w:rPr>
        <w:rFonts w:hint="default"/>
      </w:rPr>
    </w:lvl>
    <w:lvl w:ilvl="6">
      <w:start w:val="0"/>
      <w:numFmt w:val="bullet"/>
      <w:lvlText w:val="•"/>
      <w:lvlJc w:val="left"/>
      <w:pPr>
        <w:ind w:left="6527" w:hanging="413"/>
      </w:pPr>
      <w:rPr>
        <w:rFonts w:hint="default"/>
      </w:rPr>
    </w:lvl>
    <w:lvl w:ilvl="7">
      <w:start w:val="0"/>
      <w:numFmt w:val="bullet"/>
      <w:lvlText w:val="•"/>
      <w:lvlJc w:val="left"/>
      <w:pPr>
        <w:ind w:left="7452" w:hanging="413"/>
      </w:pPr>
      <w:rPr>
        <w:rFonts w:hint="default"/>
      </w:rPr>
    </w:lvl>
    <w:lvl w:ilvl="8">
      <w:start w:val="0"/>
      <w:numFmt w:val="bullet"/>
      <w:lvlText w:val="•"/>
      <w:lvlJc w:val="left"/>
      <w:pPr>
        <w:ind w:left="8377"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2018-10-20T00:25:55Z</dcterms:created>
  <dcterms:modified xsi:type="dcterms:W3CDTF">2018-10-20T00:25:55Z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