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rPr>
          <w:rFonts w:ascii="Times New Roman"/>
          <w:sz w:val="27"/>
        </w:rPr>
      </w:pPr>
    </w:p>
    <w:p>
      <w:pPr>
        <w:pStyle w:val="BodyText"/>
        <w:ind w:left="8504"/>
        <w:rPr>
          <w:rFonts w:ascii="Times New Roman"/>
          <w:sz w:val="20"/>
        </w:rPr>
      </w:pPr>
      <w:r>
        <w:rPr>
          <w:rFonts w:ascii="Times New Roman"/>
          <w:sz w:val="20"/>
        </w:rPr>
        <w:drawing>
          <wp:inline distT="0" distB="0" distL="0" distR="0">
            <wp:extent cx="724154"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4154" cy="723900"/>
                    </a:xfrm>
                    <a:prstGeom prst="rect">
                      <a:avLst/>
                    </a:prstGeom>
                  </pic:spPr>
                </pic:pic>
              </a:graphicData>
            </a:graphic>
          </wp:inline>
        </w:drawing>
      </w:r>
      <w:r>
        <w:rPr>
          <w:rFonts w:ascii="Times New Roman"/>
          <w:sz w:val="20"/>
        </w:rPr>
      </w:r>
    </w:p>
    <w:p>
      <w:pPr>
        <w:spacing w:line="158" w:lineRule="exact" w:before="0"/>
        <w:ind w:left="0" w:right="140" w:firstLine="0"/>
        <w:jc w:val="right"/>
        <w:rPr>
          <w:sz w:val="14"/>
        </w:rPr>
      </w:pPr>
      <w:r>
        <w:rPr>
          <w:sz w:val="14"/>
        </w:rPr>
        <w:t>和谐健康[2013]疾病保险 010 号</w:t>
      </w:r>
    </w:p>
    <w:p>
      <w:pPr>
        <w:spacing w:line="92" w:lineRule="exact" w:before="0"/>
        <w:ind w:left="0" w:right="141" w:firstLine="0"/>
        <w:jc w:val="right"/>
        <w:rPr>
          <w:sz w:val="14"/>
        </w:rPr>
      </w:pPr>
      <w:r>
        <w:rPr>
          <w:w w:val="95"/>
          <w:sz w:val="14"/>
        </w:rPr>
        <w:t>请扫描以查询验证条款</w:t>
      </w:r>
    </w:p>
    <w:p>
      <w:pPr>
        <w:spacing w:line="670" w:lineRule="exact" w:before="0"/>
        <w:ind w:left="0" w:right="0" w:firstLine="0"/>
        <w:jc w:val="center"/>
        <w:rPr>
          <w:rFonts w:ascii="微软雅黑" w:eastAsia="微软雅黑" w:hint="eastAsia"/>
          <w:b/>
          <w:sz w:val="44"/>
        </w:rPr>
      </w:pPr>
      <w:r>
        <w:rPr>
          <w:rFonts w:ascii="微软雅黑" w:eastAsia="微软雅黑" w:hint="eastAsia"/>
          <w:b/>
          <w:sz w:val="44"/>
        </w:rPr>
        <w:t>和谐附加额外给付重大疾病保险条款</w:t>
      </w:r>
    </w:p>
    <w:p>
      <w:pPr>
        <w:spacing w:line="542" w:lineRule="exact" w:before="136"/>
        <w:ind w:left="0" w:right="0" w:firstLine="0"/>
        <w:jc w:val="center"/>
        <w:rPr>
          <w:rFonts w:ascii="微软雅黑" w:eastAsia="微软雅黑" w:hint="eastAsia"/>
          <w:b/>
          <w:sz w:val="32"/>
        </w:rPr>
      </w:pPr>
      <w:r>
        <w:rPr>
          <w:rFonts w:ascii="微软雅黑" w:eastAsia="微软雅黑" w:hint="eastAsia"/>
          <w:b/>
          <w:sz w:val="32"/>
        </w:rPr>
        <w:t>阅  读  指 引</w:t>
      </w:r>
    </w:p>
    <w:p>
      <w:pPr>
        <w:pStyle w:val="BodyText"/>
        <w:spacing w:line="344" w:lineRule="exact"/>
        <w:ind w:left="62"/>
        <w:jc w:val="center"/>
      </w:pPr>
      <w:r>
        <w:rPr>
          <w:spacing w:val="-149"/>
        </w:rPr>
        <w:t>本</w:t>
      </w:r>
      <w:r>
        <w:rPr>
          <w:spacing w:val="-63"/>
          <w:position w:val="-7"/>
        </w:rPr>
        <w:t>．</w:t>
      </w:r>
      <w:r>
        <w:rPr>
          <w:spacing w:val="-149"/>
        </w:rPr>
        <w:t>阅</w:t>
      </w:r>
      <w:r>
        <w:rPr>
          <w:spacing w:val="-63"/>
          <w:position w:val="-7"/>
        </w:rPr>
        <w:t>．</w:t>
      </w:r>
      <w:r>
        <w:rPr>
          <w:spacing w:val="-152"/>
        </w:rPr>
        <w:t>读</w:t>
      </w:r>
      <w:r>
        <w:rPr>
          <w:spacing w:val="-63"/>
          <w:position w:val="-7"/>
        </w:rPr>
        <w:t>．</w:t>
      </w:r>
      <w:r>
        <w:rPr>
          <w:spacing w:val="-149"/>
        </w:rPr>
        <w:t>指</w:t>
      </w:r>
      <w:r>
        <w:rPr>
          <w:spacing w:val="-63"/>
          <w:position w:val="-7"/>
        </w:rPr>
        <w:t>．</w:t>
      </w:r>
      <w:r>
        <w:rPr>
          <w:spacing w:val="-152"/>
        </w:rPr>
        <w:t>引</w:t>
      </w:r>
      <w:r>
        <w:rPr>
          <w:spacing w:val="-63"/>
          <w:position w:val="-7"/>
        </w:rPr>
        <w:t>．</w:t>
      </w:r>
      <w:r>
        <w:rPr>
          <w:spacing w:val="-149"/>
        </w:rPr>
        <w:t>有</w:t>
      </w:r>
      <w:r>
        <w:rPr>
          <w:spacing w:val="-63"/>
          <w:position w:val="-7"/>
        </w:rPr>
        <w:t>．</w:t>
      </w:r>
      <w:r>
        <w:rPr>
          <w:spacing w:val="-152"/>
        </w:rPr>
        <w:t>助</w:t>
      </w:r>
      <w:r>
        <w:rPr>
          <w:spacing w:val="-63"/>
          <w:position w:val="-7"/>
        </w:rPr>
        <w:t>．</w:t>
      </w:r>
      <w:r>
        <w:rPr>
          <w:spacing w:val="-150"/>
        </w:rPr>
        <w:t>于</w:t>
      </w:r>
      <w:r>
        <w:rPr>
          <w:spacing w:val="-63"/>
          <w:position w:val="-7"/>
        </w:rPr>
        <w:t>．</w:t>
      </w:r>
      <w:r>
        <w:rPr>
          <w:spacing w:val="-152"/>
        </w:rPr>
        <w:t>您</w:t>
      </w:r>
      <w:r>
        <w:rPr>
          <w:spacing w:val="-62"/>
          <w:position w:val="-7"/>
        </w:rPr>
        <w:t>．</w:t>
      </w:r>
      <w:r>
        <w:rPr>
          <w:spacing w:val="-149"/>
        </w:rPr>
        <w:t>理</w:t>
      </w:r>
      <w:r>
        <w:rPr>
          <w:spacing w:val="-63"/>
          <w:position w:val="-7"/>
        </w:rPr>
        <w:t>．</w:t>
      </w:r>
      <w:r>
        <w:rPr>
          <w:spacing w:val="-152"/>
        </w:rPr>
        <w:t>解</w:t>
      </w:r>
      <w:r>
        <w:rPr>
          <w:spacing w:val="-63"/>
          <w:position w:val="-7"/>
        </w:rPr>
        <w:t>．</w:t>
      </w:r>
      <w:r>
        <w:rPr>
          <w:spacing w:val="-149"/>
        </w:rPr>
        <w:t>条</w:t>
      </w:r>
      <w:r>
        <w:rPr>
          <w:spacing w:val="-63"/>
          <w:position w:val="-7"/>
        </w:rPr>
        <w:t>．</w:t>
      </w:r>
      <w:r>
        <w:rPr>
          <w:spacing w:val="-152"/>
        </w:rPr>
        <w:t>款</w:t>
      </w:r>
      <w:r>
        <w:rPr>
          <w:position w:val="-7"/>
        </w:rPr>
        <w:t>．</w:t>
      </w:r>
    </w:p>
    <w:p>
      <w:pPr>
        <w:spacing w:line="348" w:lineRule="exact" w:before="197"/>
        <w:ind w:left="4" w:right="0" w:firstLine="0"/>
        <w:jc w:val="center"/>
        <w:rPr>
          <w:rFonts w:ascii="微软雅黑" w:eastAsia="微软雅黑" w:hint="eastAsia"/>
          <w:b/>
          <w:sz w:val="21"/>
        </w:rPr>
      </w:pPr>
      <w:r>
        <w:rPr>
          <w:rFonts w:ascii="微软雅黑" w:eastAsia="微软雅黑" w:hint="eastAsia"/>
          <w:b/>
          <w:sz w:val="21"/>
        </w:rPr>
        <w:t>您拥有的重要权益</w:t>
      </w:r>
    </w:p>
    <w:p>
      <w:pPr>
        <w:pStyle w:val="BodyText"/>
        <w:tabs>
          <w:tab w:pos="9505" w:val="right" w:leader="dot"/>
        </w:tabs>
        <w:spacing w:line="268" w:lineRule="exact"/>
        <w:ind w:left="1"/>
        <w:jc w:val="center"/>
        <w:rPr>
          <w:rFonts w:ascii="Times New Roman" w:eastAsia="Times New Roman"/>
        </w:rPr>
      </w:pPr>
      <w:r>
        <w:rPr/>
        <w:t>签收</w:t>
      </w:r>
      <w:r>
        <w:rPr>
          <w:spacing w:val="-3"/>
        </w:rPr>
        <w:t>合</w:t>
      </w:r>
      <w:r>
        <w:rPr/>
        <w:t>同</w:t>
      </w:r>
      <w:r>
        <w:rPr>
          <w:spacing w:val="-3"/>
        </w:rPr>
        <w:t>之日</w:t>
      </w:r>
      <w:r>
        <w:rPr/>
        <w:t>起</w:t>
      </w:r>
      <w:r>
        <w:rPr>
          <w:spacing w:val="-52"/>
        </w:rPr>
        <w:t> </w:t>
      </w:r>
      <w:r>
        <w:rPr>
          <w:rFonts w:ascii="Times New Roman" w:eastAsia="Times New Roman"/>
        </w:rPr>
        <w:t>10</w:t>
      </w:r>
      <w:r>
        <w:rPr>
          <w:rFonts w:ascii="Times New Roman" w:eastAsia="Times New Roman"/>
          <w:spacing w:val="-2"/>
        </w:rPr>
        <w:t> </w:t>
      </w:r>
      <w:r>
        <w:rPr>
          <w:spacing w:val="-106"/>
        </w:rPr>
        <w:t>天</w:t>
      </w:r>
      <w:r>
        <w:rPr>
          <w:spacing w:val="-3"/>
        </w:rPr>
        <w:t>（即</w:t>
      </w:r>
      <w:r>
        <w:rPr/>
        <w:t>犹豫</w:t>
      </w:r>
      <w:r>
        <w:rPr>
          <w:spacing w:val="-3"/>
        </w:rPr>
        <w:t>期</w:t>
      </w:r>
      <w:r>
        <w:rPr>
          <w:spacing w:val="-106"/>
        </w:rPr>
        <w:t>）</w:t>
      </w:r>
      <w:r>
        <w:rPr>
          <w:spacing w:val="-3"/>
        </w:rPr>
        <w:t>内</w:t>
      </w:r>
      <w:r>
        <w:rPr/>
        <w:t>您</w:t>
      </w:r>
      <w:r>
        <w:rPr>
          <w:spacing w:val="-3"/>
        </w:rPr>
        <w:t>若</w:t>
      </w:r>
      <w:r>
        <w:rPr/>
        <w:t>要</w:t>
      </w:r>
      <w:r>
        <w:rPr>
          <w:spacing w:val="-3"/>
        </w:rPr>
        <w:t>求</w:t>
      </w:r>
      <w:r>
        <w:rPr/>
        <w:t>解</w:t>
      </w:r>
      <w:r>
        <w:rPr>
          <w:spacing w:val="-3"/>
        </w:rPr>
        <w:t>除合</w:t>
      </w:r>
      <w:r>
        <w:rPr/>
        <w:t>同</w:t>
      </w:r>
      <w:r>
        <w:rPr>
          <w:spacing w:val="-106"/>
        </w:rPr>
        <w:t>，</w:t>
      </w:r>
      <w:r>
        <w:rPr>
          <w:spacing w:val="-3"/>
        </w:rPr>
        <w:t>我</w:t>
      </w:r>
      <w:r>
        <w:rPr/>
        <w:t>们</w:t>
      </w:r>
      <w:r>
        <w:rPr>
          <w:spacing w:val="-3"/>
        </w:rPr>
        <w:t>无</w:t>
      </w:r>
      <w:r>
        <w:rPr/>
        <w:t>息</w:t>
      </w:r>
      <w:r>
        <w:rPr>
          <w:spacing w:val="-3"/>
        </w:rPr>
        <w:t>退</w:t>
      </w:r>
      <w:r>
        <w:rPr/>
        <w:t>还</w:t>
      </w:r>
      <w:r>
        <w:rPr>
          <w:spacing w:val="-3"/>
        </w:rPr>
        <w:t>您</w:t>
      </w:r>
      <w:r>
        <w:rPr/>
        <w:t>所</w:t>
      </w:r>
      <w:r>
        <w:rPr>
          <w:spacing w:val="-3"/>
        </w:rPr>
        <w:t>交风</w:t>
      </w:r>
      <w:r>
        <w:rPr/>
        <w:t>险保</w:t>
      </w:r>
      <w:r>
        <w:rPr>
          <w:spacing w:val="-3"/>
        </w:rPr>
        <w:t>险</w:t>
      </w:r>
      <w:r>
        <w:rPr/>
        <w:t>费</w:t>
        <w:tab/>
      </w:r>
      <w:r>
        <w:rPr>
          <w:rFonts w:ascii="Times New Roman" w:eastAsia="Times New Roman"/>
        </w:rPr>
        <w:t>1.4</w:t>
      </w:r>
    </w:p>
    <w:p>
      <w:pPr>
        <w:pStyle w:val="BodyText"/>
        <w:tabs>
          <w:tab w:pos="9505" w:val="right" w:leader="dot"/>
        </w:tabs>
        <w:spacing w:line="272" w:lineRule="exact"/>
        <w:ind w:left="1"/>
        <w:jc w:val="center"/>
        <w:rPr>
          <w:rFonts w:ascii="Times New Roman" w:eastAsia="Times New Roman"/>
        </w:rPr>
      </w:pPr>
      <w:r>
        <w:rPr/>
        <w:t>您有解</w:t>
      </w:r>
      <w:r>
        <w:rPr>
          <w:spacing w:val="-3"/>
        </w:rPr>
        <w:t>除</w:t>
      </w:r>
      <w:r>
        <w:rPr/>
        <w:t>合同</w:t>
      </w:r>
      <w:r>
        <w:rPr>
          <w:spacing w:val="-3"/>
        </w:rPr>
        <w:t>的</w:t>
      </w:r>
      <w:r>
        <w:rPr/>
        <w:t>权利</w:t>
        <w:tab/>
      </w:r>
      <w:r>
        <w:rPr>
          <w:rFonts w:ascii="Times New Roman" w:eastAsia="Times New Roman"/>
        </w:rPr>
        <w:t>1.5</w:t>
      </w:r>
    </w:p>
    <w:p>
      <w:pPr>
        <w:pStyle w:val="BodyText"/>
        <w:tabs>
          <w:tab w:pos="9505" w:val="right" w:leader="dot"/>
        </w:tabs>
        <w:spacing w:line="272" w:lineRule="exact"/>
        <w:ind w:left="1"/>
        <w:jc w:val="center"/>
        <w:rPr>
          <w:rFonts w:ascii="Times New Roman" w:eastAsia="Times New Roman"/>
        </w:rPr>
      </w:pPr>
      <w:r>
        <w:rPr/>
        <w:t>本附加</w:t>
      </w:r>
      <w:r>
        <w:rPr>
          <w:spacing w:val="-3"/>
        </w:rPr>
        <w:t>险</w:t>
      </w:r>
      <w:r>
        <w:rPr/>
        <w:t>合同提</w:t>
      </w:r>
      <w:r>
        <w:rPr>
          <w:spacing w:val="-3"/>
        </w:rPr>
        <w:t>供</w:t>
      </w:r>
      <w:r>
        <w:rPr/>
        <w:t>的保</w:t>
      </w:r>
      <w:r>
        <w:rPr>
          <w:spacing w:val="-3"/>
        </w:rPr>
        <w:t>障</w:t>
      </w:r>
      <w:r>
        <w:rPr/>
        <w:t>在保险</w:t>
      </w:r>
      <w:r>
        <w:rPr>
          <w:spacing w:val="-3"/>
        </w:rPr>
        <w:t>责</w:t>
      </w:r>
      <w:r>
        <w:rPr/>
        <w:t>任条款</w:t>
      </w:r>
      <w:r>
        <w:rPr>
          <w:spacing w:val="-3"/>
        </w:rPr>
        <w:t>中</w:t>
      </w:r>
      <w:r>
        <w:rPr/>
        <w:t>列明</w:t>
        <w:tab/>
      </w:r>
      <w:r>
        <w:rPr>
          <w:rFonts w:ascii="Times New Roman" w:eastAsia="Times New Roman"/>
        </w:rPr>
        <w:t>2.3</w:t>
      </w:r>
    </w:p>
    <w:p>
      <w:pPr>
        <w:pStyle w:val="BodyText"/>
        <w:tabs>
          <w:tab w:pos="9510" w:val="right" w:leader="dot"/>
        </w:tabs>
        <w:spacing w:line="282" w:lineRule="exact"/>
        <w:ind w:left="4"/>
        <w:jc w:val="center"/>
        <w:rPr>
          <w:rFonts w:ascii="Times New Roman" w:eastAsia="Times New Roman"/>
        </w:rPr>
      </w:pPr>
      <w:r>
        <w:rPr/>
        <w:t>本附</w:t>
      </w:r>
      <w:r>
        <w:rPr>
          <w:spacing w:val="-3"/>
        </w:rPr>
        <w:t>加</w:t>
      </w:r>
      <w:r>
        <w:rPr/>
        <w:t>险</w:t>
      </w:r>
      <w:r>
        <w:rPr>
          <w:spacing w:val="-3"/>
        </w:rPr>
        <w:t>合</w:t>
      </w:r>
      <w:r>
        <w:rPr/>
        <w:t>同</w:t>
      </w:r>
      <w:r>
        <w:rPr>
          <w:spacing w:val="-3"/>
        </w:rPr>
        <w:t>保</w:t>
      </w:r>
      <w:r>
        <w:rPr/>
        <w:t>证</w:t>
      </w:r>
      <w:r>
        <w:rPr>
          <w:spacing w:val="-3"/>
        </w:rPr>
        <w:t>续</w:t>
      </w:r>
      <w:r>
        <w:rPr/>
        <w:t>保</w:t>
      </w:r>
      <w:r>
        <w:rPr>
          <w:spacing w:val="-108"/>
        </w:rPr>
        <w:t>，</w:t>
      </w:r>
      <w:r>
        <w:rPr>
          <w:spacing w:val="-3"/>
        </w:rPr>
        <w:t>保</w:t>
      </w:r>
      <w:r>
        <w:rPr/>
        <w:t>证续</w:t>
      </w:r>
      <w:r>
        <w:rPr>
          <w:spacing w:val="-3"/>
        </w:rPr>
        <w:t>保</w:t>
      </w:r>
      <w:r>
        <w:rPr/>
        <w:t>期</w:t>
      </w:r>
      <w:r>
        <w:rPr>
          <w:spacing w:val="-3"/>
        </w:rPr>
        <w:t>间</w:t>
      </w:r>
      <w:r>
        <w:rPr/>
        <w:t>为</w:t>
      </w:r>
      <w:r>
        <w:rPr>
          <w:spacing w:val="-55"/>
        </w:rPr>
        <w:t> </w:t>
      </w:r>
      <w:r>
        <w:rPr>
          <w:rFonts w:ascii="Times New Roman" w:eastAsia="Times New Roman"/>
        </w:rPr>
        <w:t>5 </w:t>
      </w:r>
      <w:r>
        <w:rPr/>
        <w:t>年</w:t>
        <w:tab/>
      </w:r>
      <w:r>
        <w:rPr>
          <w:rFonts w:ascii="Times New Roman" w:eastAsia="Times New Roman"/>
        </w:rPr>
        <w:t>2.5</w:t>
      </w:r>
    </w:p>
    <w:p>
      <w:pPr>
        <w:spacing w:line="348" w:lineRule="exact" w:before="462"/>
        <w:ind w:left="2" w:right="0" w:firstLine="0"/>
        <w:jc w:val="center"/>
        <w:rPr>
          <w:rFonts w:ascii="微软雅黑" w:eastAsia="微软雅黑" w:hint="eastAsia"/>
          <w:b/>
          <w:sz w:val="21"/>
        </w:rPr>
      </w:pPr>
      <w:r>
        <w:rPr>
          <w:rFonts w:ascii="微软雅黑" w:eastAsia="微软雅黑" w:hint="eastAsia"/>
          <w:b/>
          <w:sz w:val="21"/>
        </w:rPr>
        <w:t>您应当特别注意的事项</w:t>
      </w:r>
    </w:p>
    <w:p>
      <w:pPr>
        <w:pStyle w:val="BodyText"/>
        <w:tabs>
          <w:tab w:pos="9510" w:val="right" w:leader="dot"/>
        </w:tabs>
        <w:spacing w:line="268" w:lineRule="exact"/>
        <w:ind w:left="4"/>
        <w:jc w:val="center"/>
        <w:rPr>
          <w:rFonts w:ascii="Times New Roman" w:eastAsia="Times New Roman"/>
        </w:rPr>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56"/>
        </w:rPr>
        <w:t>，</w:t>
      </w:r>
      <w:r>
        <w:rPr/>
        <w:t>请</w:t>
      </w:r>
      <w:r>
        <w:rPr>
          <w:spacing w:val="-3"/>
        </w:rPr>
        <w:t>您</w:t>
      </w:r>
      <w:r>
        <w:rPr/>
        <w:t>慎</w:t>
      </w:r>
      <w:r>
        <w:rPr>
          <w:spacing w:val="-3"/>
        </w:rPr>
        <w:t>重</w:t>
      </w:r>
      <w:r>
        <w:rPr/>
        <w:t>决策</w:t>
        <w:tab/>
      </w:r>
      <w:r>
        <w:rPr>
          <w:rFonts w:ascii="Times New Roman" w:eastAsia="Times New Roman"/>
        </w:rPr>
        <w:t>1.5</w:t>
      </w:r>
    </w:p>
    <w:p>
      <w:pPr>
        <w:pStyle w:val="BodyText"/>
        <w:tabs>
          <w:tab w:pos="9505" w:val="right" w:leader="dot"/>
        </w:tabs>
        <w:spacing w:line="272" w:lineRule="exact"/>
        <w:ind w:left="1"/>
        <w:jc w:val="center"/>
        <w:rPr>
          <w:rFonts w:ascii="Times New Roman" w:eastAsia="Times New Roman"/>
        </w:rPr>
      </w:pPr>
      <w:r>
        <w:rPr/>
        <w:t>本附</w:t>
      </w:r>
      <w:r>
        <w:rPr>
          <w:spacing w:val="-3"/>
        </w:rPr>
        <w:t>加</w:t>
      </w:r>
      <w:r>
        <w:rPr/>
        <w:t>险</w:t>
      </w:r>
      <w:r>
        <w:rPr>
          <w:spacing w:val="-3"/>
        </w:rPr>
        <w:t>合同</w:t>
      </w:r>
      <w:r>
        <w:rPr/>
        <w:t>有</w:t>
      </w:r>
      <w:r>
        <w:rPr>
          <w:spacing w:val="-53"/>
        </w:rPr>
        <w:t> </w:t>
      </w:r>
      <w:r>
        <w:rPr>
          <w:rFonts w:ascii="Times New Roman" w:eastAsia="Times New Roman"/>
        </w:rPr>
        <w:t>180 </w:t>
      </w:r>
      <w:r>
        <w:rPr>
          <w:spacing w:val="-3"/>
        </w:rPr>
        <w:t>日的</w:t>
      </w:r>
      <w:r>
        <w:rPr/>
        <w:t>等待期</w:t>
        <w:tab/>
      </w:r>
      <w:r>
        <w:rPr>
          <w:rFonts w:ascii="Times New Roman" w:eastAsia="Times New Roman"/>
        </w:rPr>
        <w:t>2.3</w:t>
      </w:r>
    </w:p>
    <w:p>
      <w:pPr>
        <w:pStyle w:val="BodyText"/>
        <w:tabs>
          <w:tab w:pos="9505" w:val="right" w:leader="dot"/>
        </w:tabs>
        <w:spacing w:line="272" w:lineRule="exact"/>
        <w:ind w:left="1"/>
        <w:jc w:val="center"/>
        <w:rPr>
          <w:rFonts w:ascii="Times New Roman" w:eastAsia="Times New Roman"/>
        </w:rPr>
      </w:pPr>
      <w:r>
        <w:rPr/>
        <w:t>在某</w:t>
      </w:r>
      <w:r>
        <w:rPr>
          <w:spacing w:val="-3"/>
        </w:rPr>
        <w:t>些</w:t>
      </w:r>
      <w:r>
        <w:rPr/>
        <w:t>情</w:t>
      </w:r>
      <w:r>
        <w:rPr>
          <w:spacing w:val="-3"/>
        </w:rPr>
        <w:t>况下</w:t>
      </w:r>
      <w:r>
        <w:rPr>
          <w:spacing w:val="-53"/>
        </w:rPr>
        <w:t>，</w:t>
      </w:r>
      <w:r>
        <w:rPr>
          <w:spacing w:val="-3"/>
        </w:rPr>
        <w:t>本</w:t>
      </w:r>
      <w:r>
        <w:rPr/>
        <w:t>公</w:t>
      </w:r>
      <w:r>
        <w:rPr>
          <w:spacing w:val="-3"/>
        </w:rPr>
        <w:t>司不</w:t>
      </w:r>
      <w:r>
        <w:rPr/>
        <w:t>承担</w:t>
      </w:r>
      <w:r>
        <w:rPr>
          <w:spacing w:val="-3"/>
        </w:rPr>
        <w:t>保</w:t>
      </w:r>
      <w:r>
        <w:rPr/>
        <w:t>险</w:t>
      </w:r>
      <w:r>
        <w:rPr>
          <w:spacing w:val="-3"/>
        </w:rPr>
        <w:t>责</w:t>
      </w:r>
      <w:r>
        <w:rPr/>
        <w:t>任</w:t>
        <w:tab/>
      </w:r>
      <w:r>
        <w:rPr>
          <w:rFonts w:ascii="Times New Roman" w:eastAsia="Times New Roman"/>
        </w:rPr>
        <w:t>2.4</w:t>
      </w:r>
    </w:p>
    <w:p>
      <w:pPr>
        <w:pStyle w:val="BodyText"/>
        <w:tabs>
          <w:tab w:pos="9505" w:val="right" w:leader="dot"/>
        </w:tabs>
        <w:spacing w:line="273" w:lineRule="exact"/>
        <w:ind w:left="1"/>
        <w:jc w:val="center"/>
        <w:rPr>
          <w:rFonts w:ascii="Times New Roman" w:eastAsia="Times New Roman"/>
        </w:rPr>
      </w:pPr>
      <w:r>
        <w:rPr/>
        <w:t>保险事</w:t>
      </w:r>
      <w:r>
        <w:rPr>
          <w:spacing w:val="-3"/>
        </w:rPr>
        <w:t>故</w:t>
      </w:r>
      <w:r>
        <w:rPr/>
        <w:t>发生</w:t>
      </w:r>
      <w:r>
        <w:rPr>
          <w:spacing w:val="-3"/>
        </w:rPr>
        <w:t>后</w:t>
      </w:r>
      <w:r>
        <w:rPr/>
        <w:t>请您</w:t>
      </w:r>
      <w:r>
        <w:rPr>
          <w:spacing w:val="-3"/>
        </w:rPr>
        <w:t>及时</w:t>
      </w:r>
      <w:r>
        <w:rPr/>
        <w:t>通知本</w:t>
      </w:r>
      <w:r>
        <w:rPr>
          <w:spacing w:val="-3"/>
        </w:rPr>
        <w:t>公</w:t>
      </w:r>
      <w:r>
        <w:rPr/>
        <w:t>司</w:t>
        <w:tab/>
      </w:r>
      <w:r>
        <w:rPr>
          <w:rFonts w:ascii="Times New Roman" w:eastAsia="Times New Roman"/>
        </w:rPr>
        <w:t>6.4</w:t>
      </w:r>
    </w:p>
    <w:p>
      <w:pPr>
        <w:pStyle w:val="BodyText"/>
        <w:tabs>
          <w:tab w:pos="9505" w:val="right" w:leader="dot"/>
        </w:tabs>
        <w:spacing w:line="273" w:lineRule="exact"/>
        <w:ind w:left="1"/>
        <w:jc w:val="center"/>
        <w:rPr>
          <w:rFonts w:ascii="Times New Roman" w:eastAsia="Times New Roman"/>
        </w:rPr>
      </w:pPr>
      <w:r>
        <w:rPr/>
        <w:t>您有如</w:t>
      </w:r>
      <w:r>
        <w:rPr>
          <w:spacing w:val="-3"/>
        </w:rPr>
        <w:t>实</w:t>
      </w:r>
      <w:r>
        <w:rPr/>
        <w:t>告知</w:t>
      </w:r>
      <w:r>
        <w:rPr>
          <w:spacing w:val="-3"/>
        </w:rPr>
        <w:t>的</w:t>
      </w:r>
      <w:r>
        <w:rPr/>
        <w:t>义务</w:t>
        <w:tab/>
      </w:r>
      <w:r>
        <w:rPr>
          <w:rFonts w:ascii="Times New Roman" w:eastAsia="Times New Roman"/>
        </w:rPr>
        <w:t>6.4</w:t>
      </w:r>
    </w:p>
    <w:p>
      <w:pPr>
        <w:pStyle w:val="BodyText"/>
        <w:tabs>
          <w:tab w:pos="9510" w:val="right" w:leader="dot"/>
        </w:tabs>
        <w:spacing w:line="282" w:lineRule="exact"/>
        <w:ind w:left="4"/>
        <w:jc w:val="center"/>
        <w:rPr>
          <w:rFonts w:ascii="Times New Roman" w:eastAsia="Times New Roman"/>
        </w:rPr>
      </w:pPr>
      <w:r>
        <w:rPr/>
        <w:t>本公</w:t>
      </w:r>
      <w:r>
        <w:rPr>
          <w:spacing w:val="-3"/>
        </w:rPr>
        <w:t>司</w:t>
      </w:r>
      <w:r>
        <w:rPr/>
        <w:t>对</w:t>
      </w:r>
      <w:r>
        <w:rPr>
          <w:spacing w:val="-3"/>
        </w:rPr>
        <w:t>一</w:t>
      </w:r>
      <w:r>
        <w:rPr/>
        <w:t>些</w:t>
      </w:r>
      <w:r>
        <w:rPr>
          <w:spacing w:val="-3"/>
        </w:rPr>
        <w:t>重</w:t>
      </w:r>
      <w:r>
        <w:rPr/>
        <w:t>要</w:t>
      </w:r>
      <w:r>
        <w:rPr>
          <w:spacing w:val="-3"/>
        </w:rPr>
        <w:t>术</w:t>
      </w:r>
      <w:r>
        <w:rPr/>
        <w:t>语</w:t>
      </w:r>
      <w:r>
        <w:rPr>
          <w:spacing w:val="-3"/>
        </w:rPr>
        <w:t>进</w:t>
      </w:r>
      <w:r>
        <w:rPr/>
        <w:t>行了</w:t>
      </w:r>
      <w:r>
        <w:rPr>
          <w:spacing w:val="-3"/>
        </w:rPr>
        <w:t>解</w:t>
      </w:r>
      <w:r>
        <w:rPr/>
        <w:t>释</w:t>
      </w:r>
      <w:r>
        <w:rPr>
          <w:spacing w:val="-82"/>
        </w:rPr>
        <w:t>，</w:t>
      </w:r>
      <w:r>
        <w:rPr/>
        <w:t>并</w:t>
      </w:r>
      <w:r>
        <w:rPr>
          <w:spacing w:val="-3"/>
        </w:rPr>
        <w:t>作</w:t>
      </w:r>
      <w:r>
        <w:rPr/>
        <w:t>了</w:t>
      </w:r>
      <w:r>
        <w:rPr>
          <w:spacing w:val="-3"/>
        </w:rPr>
        <w:t>显</w:t>
      </w:r>
      <w:r>
        <w:rPr/>
        <w:t>著</w:t>
      </w:r>
      <w:r>
        <w:rPr>
          <w:spacing w:val="-3"/>
        </w:rPr>
        <w:t>标识</w:t>
      </w:r>
      <w:r>
        <w:rPr>
          <w:spacing w:val="-80"/>
        </w:rPr>
        <w:t>，</w:t>
      </w:r>
      <w:r>
        <w:rPr/>
        <w:t>请</w:t>
      </w:r>
      <w:r>
        <w:rPr>
          <w:spacing w:val="-3"/>
        </w:rPr>
        <w:t>您</w:t>
      </w:r>
      <w:r>
        <w:rPr/>
        <w:t>注意</w:t>
        <w:tab/>
      </w:r>
      <w:r>
        <w:rPr>
          <w:rFonts w:ascii="Times New Roman" w:eastAsia="Times New Roman"/>
        </w:rPr>
        <w:t>7</w:t>
      </w:r>
    </w:p>
    <w:p>
      <w:pPr>
        <w:spacing w:line="349" w:lineRule="exact" w:before="462"/>
        <w:ind w:left="4" w:right="0" w:firstLine="0"/>
        <w:jc w:val="center"/>
        <w:rPr>
          <w:rFonts w:ascii="微软雅黑" w:eastAsia="微软雅黑" w:hint="eastAsia"/>
          <w:b/>
          <w:sz w:val="21"/>
        </w:rPr>
      </w:pPr>
      <w:r>
        <w:rPr>
          <w:rFonts w:ascii="微软雅黑" w:eastAsia="微软雅黑" w:hint="eastAsia"/>
          <w:b/>
          <w:sz w:val="21"/>
        </w:rPr>
        <w:t>条款目录</w:t>
      </w:r>
    </w:p>
    <w:p>
      <w:pPr>
        <w:pStyle w:val="BodyText"/>
        <w:spacing w:line="341" w:lineRule="exact" w:after="21"/>
        <w:ind w:left="64"/>
        <w:jc w:val="center"/>
      </w:pPr>
      <w:r>
        <w:rPr/>
        <w:pict>
          <v:group style="position:absolute;margin-left:217.490005pt;margin-top:19.517822pt;width:.5pt;height:231.65pt;mso-position-horizontal-relative:page;mso-position-vertical-relative:paragraph;z-index:-25672" coordorigin="4350,390" coordsize="10,4633">
            <v:shape style="position:absolute;left:4349;top:390;width:10;height:3" type="#_x0000_t75" stroked="false">
              <v:imagedata r:id="rId8" o:title=""/>
            </v:shape>
            <v:shape style="position:absolute;left:4349;top:392;width:10;height:4631" type="#_x0000_t75" stroked="false">
              <v:imagedata r:id="rId9" o:title=""/>
            </v:shape>
            <w10:wrap type="none"/>
          </v:group>
        </w:pict>
      </w:r>
      <w:r>
        <w:rPr/>
        <w:pict>
          <v:group style="position:absolute;margin-left:385.98999pt;margin-top:19.517822pt;width:.5pt;height:231.65pt;mso-position-horizontal-relative:page;mso-position-vertical-relative:paragraph;z-index:-25648" coordorigin="7720,390" coordsize="10,4633">
            <v:shape style="position:absolute;left:7719;top:390;width:10;height:3" type="#_x0000_t75" stroked="false">
              <v:imagedata r:id="rId8" o:title=""/>
            </v:shape>
            <v:shape style="position:absolute;left:7719;top:392;width:10;height:4631" type="#_x0000_t75" stroked="false">
              <v:imagedata r:id="rId9" o:title=""/>
            </v:shape>
            <w10:wrap type="none"/>
          </v:group>
        </w:pic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2"/>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1"/>
          <w:w w:val="100"/>
        </w:rPr>
        <w:t>为</w:t>
      </w:r>
      <w:r>
        <w:rPr>
          <w:spacing w:val="-63"/>
          <w:w w:val="100"/>
          <w:position w:val="-7"/>
        </w:rPr>
        <w:t>．</w:t>
      </w:r>
      <w:r>
        <w:rPr>
          <w:spacing w:val="-149"/>
          <w:w w:val="100"/>
        </w:rPr>
        <w:t>充</w:t>
      </w:r>
      <w:r>
        <w:rPr>
          <w:spacing w:val="-63"/>
          <w:w w:val="100"/>
          <w:position w:val="-7"/>
        </w:rPr>
        <w:t>．</w:t>
      </w:r>
      <w:r>
        <w:rPr>
          <w:spacing w:val="-152"/>
          <w:w w:val="100"/>
        </w:rPr>
        <w:t>分</w:t>
      </w:r>
      <w:r>
        <w:rPr>
          <w:spacing w:val="-63"/>
          <w:w w:val="100"/>
          <w:position w:val="-7"/>
        </w:rPr>
        <w:t>．</w:t>
      </w:r>
      <w:r>
        <w:rPr>
          <w:spacing w:val="-149"/>
          <w:w w:val="100"/>
        </w:rPr>
        <w:t>保</w:t>
      </w:r>
      <w:r>
        <w:rPr>
          <w:spacing w:val="-63"/>
          <w:w w:val="100"/>
          <w:position w:val="-7"/>
        </w:rPr>
        <w:t>．</w:t>
      </w:r>
      <w:r>
        <w:rPr>
          <w:spacing w:val="-152"/>
          <w:w w:val="100"/>
        </w:rPr>
        <w:t>障</w:t>
      </w:r>
      <w:r>
        <w:rPr>
          <w:spacing w:val="-63"/>
          <w:w w:val="100"/>
          <w:position w:val="-7"/>
        </w:rPr>
        <w:t>．</w:t>
      </w:r>
      <w:r>
        <w:rPr>
          <w:spacing w:val="-149"/>
          <w:w w:val="100"/>
        </w:rPr>
        <w:t>您</w:t>
      </w:r>
      <w:r>
        <w:rPr>
          <w:spacing w:val="-63"/>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1"/>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1"/>
          <w:w w:val="100"/>
        </w:rPr>
        <w:t>您</w:t>
      </w:r>
      <w:r>
        <w:rPr>
          <w:spacing w:val="-63"/>
          <w:w w:val="100"/>
          <w:position w:val="-7"/>
        </w:rPr>
        <w:t>．</w:t>
      </w:r>
      <w:r>
        <w:rPr>
          <w:spacing w:val="-149"/>
          <w:w w:val="100"/>
        </w:rPr>
        <w:t>仔</w:t>
      </w:r>
      <w:r>
        <w:rPr>
          <w:spacing w:val="-63"/>
          <w:w w:val="100"/>
          <w:position w:val="-7"/>
        </w:rPr>
        <w:t>．</w:t>
      </w:r>
      <w:r>
        <w:rPr>
          <w:spacing w:val="-152"/>
          <w:w w:val="100"/>
        </w:rPr>
        <w:t>细</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本</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1"/>
          <w:w w:val="100"/>
        </w:rPr>
        <w:t>。</w:t>
      </w:r>
      <w:r>
        <w:rPr>
          <w:w w:val="100"/>
          <w:position w:val="-7"/>
        </w:rPr>
        <w:t>．</w:t>
      </w: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57"/>
        <w:gridCol w:w="3059"/>
        <w:gridCol w:w="3292"/>
      </w:tblGrid>
      <w:tr>
        <w:trPr>
          <w:trHeight w:val="4631" w:hRule="atLeast"/>
        </w:trPr>
        <w:tc>
          <w:tcPr>
            <w:tcW w:w="3157" w:type="dxa"/>
            <w:tcBorders>
              <w:top w:val="single" w:sz="12" w:space="0" w:color="000000"/>
              <w:bottom w:val="single" w:sz="12" w:space="0" w:color="000000"/>
            </w:tcBorders>
          </w:tcPr>
          <w:p>
            <w:pPr>
              <w:pStyle w:val="TableParagraph"/>
              <w:numPr>
                <w:ilvl w:val="0"/>
                <w:numId w:val="1"/>
              </w:numPr>
              <w:tabs>
                <w:tab w:pos="535" w:val="left" w:leader="none"/>
                <w:tab w:pos="536" w:val="left" w:leader="none"/>
              </w:tabs>
              <w:spacing w:line="252" w:lineRule="exact" w:before="0" w:after="0"/>
              <w:ind w:left="535" w:right="0" w:hanging="420"/>
              <w:jc w:val="left"/>
              <w:rPr>
                <w:rFonts w:ascii="微软雅黑" w:eastAsia="微软雅黑" w:hint="eastAsia"/>
                <w:b/>
                <w:sz w:val="21"/>
              </w:rPr>
            </w:pPr>
            <w:r>
              <w:rPr>
                <w:rFonts w:ascii="微软雅黑" w:eastAsia="微软雅黑" w:hint="eastAsia"/>
                <w:b/>
                <w:sz w:val="21"/>
              </w:rPr>
              <w:t>您与我们的合同</w:t>
            </w:r>
          </w:p>
          <w:p>
            <w:pPr>
              <w:pStyle w:val="TableParagraph"/>
              <w:numPr>
                <w:ilvl w:val="1"/>
                <w:numId w:val="1"/>
              </w:numPr>
              <w:tabs>
                <w:tab w:pos="647" w:val="left" w:leader="none"/>
              </w:tabs>
              <w:spacing w:line="268" w:lineRule="exact" w:before="0" w:after="0"/>
              <w:ind w:left="646" w:right="0" w:hanging="425"/>
              <w:jc w:val="left"/>
              <w:rPr>
                <w:sz w:val="21"/>
              </w:rPr>
            </w:pPr>
            <w:r>
              <w:rPr>
                <w:spacing w:val="-1"/>
                <w:sz w:val="21"/>
              </w:rPr>
              <w:t>合同构成</w:t>
            </w:r>
          </w:p>
          <w:p>
            <w:pPr>
              <w:pStyle w:val="TableParagraph"/>
              <w:numPr>
                <w:ilvl w:val="1"/>
                <w:numId w:val="1"/>
              </w:numPr>
              <w:tabs>
                <w:tab w:pos="647" w:val="left" w:leader="none"/>
              </w:tabs>
              <w:spacing w:line="271" w:lineRule="exact" w:before="0" w:after="0"/>
              <w:ind w:left="646" w:right="0" w:hanging="425"/>
              <w:jc w:val="left"/>
              <w:rPr>
                <w:sz w:val="21"/>
              </w:rPr>
            </w:pPr>
            <w:r>
              <w:rPr>
                <w:spacing w:val="-3"/>
                <w:sz w:val="21"/>
              </w:rPr>
              <w:t>投保年龄</w:t>
            </w:r>
          </w:p>
          <w:p>
            <w:pPr>
              <w:pStyle w:val="TableParagraph"/>
              <w:numPr>
                <w:ilvl w:val="1"/>
                <w:numId w:val="1"/>
              </w:numPr>
              <w:tabs>
                <w:tab w:pos="647" w:val="left" w:leader="none"/>
              </w:tabs>
              <w:spacing w:line="225" w:lineRule="auto" w:before="7" w:after="0"/>
              <w:ind w:left="646" w:right="106" w:hanging="425"/>
              <w:jc w:val="left"/>
              <w:rPr>
                <w:sz w:val="21"/>
              </w:rPr>
            </w:pPr>
            <w:r>
              <w:rPr>
                <w:spacing w:val="3"/>
                <w:sz w:val="21"/>
              </w:rPr>
              <w:t>合同成立与生效和保险责任开始</w:t>
            </w:r>
          </w:p>
          <w:p>
            <w:pPr>
              <w:pStyle w:val="TableParagraph"/>
              <w:numPr>
                <w:ilvl w:val="1"/>
                <w:numId w:val="1"/>
              </w:numPr>
              <w:tabs>
                <w:tab w:pos="647" w:val="left" w:leader="none"/>
              </w:tabs>
              <w:spacing w:line="279" w:lineRule="exact" w:before="0" w:after="0"/>
              <w:ind w:left="646" w:right="0" w:hanging="425"/>
              <w:jc w:val="left"/>
              <w:rPr>
                <w:sz w:val="21"/>
              </w:rPr>
            </w:pPr>
            <w:r>
              <w:rPr>
                <w:sz w:val="21"/>
              </w:rPr>
              <w:t>犹豫期</w:t>
            </w:r>
          </w:p>
          <w:p>
            <w:pPr>
              <w:pStyle w:val="TableParagraph"/>
              <w:numPr>
                <w:ilvl w:val="1"/>
                <w:numId w:val="1"/>
              </w:numPr>
              <w:tabs>
                <w:tab w:pos="647" w:val="left" w:leader="none"/>
              </w:tabs>
              <w:spacing w:line="282" w:lineRule="exact" w:before="0" w:after="0"/>
              <w:ind w:left="646" w:right="0" w:hanging="425"/>
              <w:jc w:val="left"/>
              <w:rPr>
                <w:sz w:val="21"/>
              </w:rPr>
            </w:pPr>
            <w:r>
              <w:rPr>
                <w:spacing w:val="-3"/>
                <w:sz w:val="21"/>
              </w:rPr>
              <w:t>您解除合同的手续及风险</w:t>
            </w:r>
          </w:p>
          <w:p>
            <w:pPr>
              <w:pStyle w:val="TableParagraph"/>
              <w:numPr>
                <w:ilvl w:val="0"/>
                <w:numId w:val="1"/>
              </w:numPr>
              <w:tabs>
                <w:tab w:pos="535" w:val="left" w:leader="none"/>
                <w:tab w:pos="536" w:val="left" w:leader="none"/>
              </w:tabs>
              <w:spacing w:line="348" w:lineRule="exact" w:before="191" w:after="0"/>
              <w:ind w:left="535" w:right="0" w:hanging="420"/>
              <w:jc w:val="left"/>
              <w:rPr>
                <w:rFonts w:ascii="微软雅黑" w:eastAsia="微软雅黑" w:hint="eastAsia"/>
                <w:b/>
                <w:sz w:val="21"/>
              </w:rPr>
            </w:pPr>
            <w:r>
              <w:rPr>
                <w:rFonts w:ascii="微软雅黑" w:eastAsia="微软雅黑" w:hint="eastAsia"/>
                <w:b/>
                <w:sz w:val="21"/>
              </w:rPr>
              <w:t>我们提供的保障</w:t>
            </w:r>
          </w:p>
          <w:p>
            <w:pPr>
              <w:pStyle w:val="TableParagraph"/>
              <w:numPr>
                <w:ilvl w:val="1"/>
                <w:numId w:val="1"/>
              </w:numPr>
              <w:tabs>
                <w:tab w:pos="647" w:val="left" w:leader="none"/>
              </w:tabs>
              <w:spacing w:line="268" w:lineRule="exact" w:before="0" w:after="0"/>
              <w:ind w:left="646" w:right="0" w:hanging="425"/>
              <w:jc w:val="left"/>
              <w:rPr>
                <w:sz w:val="21"/>
              </w:rPr>
            </w:pPr>
            <w:r>
              <w:rPr>
                <w:spacing w:val="-1"/>
                <w:sz w:val="21"/>
              </w:rPr>
              <w:t>保险金额</w:t>
            </w:r>
          </w:p>
          <w:p>
            <w:pPr>
              <w:pStyle w:val="TableParagraph"/>
              <w:numPr>
                <w:ilvl w:val="1"/>
                <w:numId w:val="1"/>
              </w:numPr>
              <w:tabs>
                <w:tab w:pos="647" w:val="left" w:leader="none"/>
              </w:tabs>
              <w:spacing w:line="272" w:lineRule="exact" w:before="0" w:after="0"/>
              <w:ind w:left="646" w:right="0" w:hanging="425"/>
              <w:jc w:val="left"/>
              <w:rPr>
                <w:sz w:val="21"/>
              </w:rPr>
            </w:pPr>
            <w:r>
              <w:rPr>
                <w:spacing w:val="-1"/>
                <w:sz w:val="21"/>
              </w:rPr>
              <w:t>保险期间</w:t>
            </w:r>
          </w:p>
          <w:p>
            <w:pPr>
              <w:pStyle w:val="TableParagraph"/>
              <w:numPr>
                <w:ilvl w:val="1"/>
                <w:numId w:val="1"/>
              </w:numPr>
              <w:tabs>
                <w:tab w:pos="647" w:val="left" w:leader="none"/>
              </w:tabs>
              <w:spacing w:line="272" w:lineRule="exact" w:before="0" w:after="0"/>
              <w:ind w:left="646" w:right="0" w:hanging="425"/>
              <w:jc w:val="left"/>
              <w:rPr>
                <w:sz w:val="21"/>
              </w:rPr>
            </w:pPr>
            <w:r>
              <w:rPr>
                <w:spacing w:val="-1"/>
                <w:sz w:val="21"/>
              </w:rPr>
              <w:t>保险责任</w:t>
            </w:r>
          </w:p>
          <w:p>
            <w:pPr>
              <w:pStyle w:val="TableParagraph"/>
              <w:numPr>
                <w:ilvl w:val="1"/>
                <w:numId w:val="1"/>
              </w:numPr>
              <w:tabs>
                <w:tab w:pos="647" w:val="left" w:leader="none"/>
              </w:tabs>
              <w:spacing w:line="272" w:lineRule="exact" w:before="0" w:after="0"/>
              <w:ind w:left="646" w:right="0" w:hanging="425"/>
              <w:jc w:val="left"/>
              <w:rPr>
                <w:sz w:val="21"/>
              </w:rPr>
            </w:pPr>
            <w:r>
              <w:rPr>
                <w:spacing w:val="-3"/>
                <w:sz w:val="21"/>
              </w:rPr>
              <w:t>责任免除</w:t>
            </w:r>
          </w:p>
          <w:p>
            <w:pPr>
              <w:pStyle w:val="TableParagraph"/>
              <w:numPr>
                <w:ilvl w:val="1"/>
                <w:numId w:val="1"/>
              </w:numPr>
              <w:tabs>
                <w:tab w:pos="647" w:val="left" w:leader="none"/>
              </w:tabs>
              <w:spacing w:line="272" w:lineRule="exact" w:before="0" w:after="0"/>
              <w:ind w:left="646" w:right="0" w:hanging="425"/>
              <w:jc w:val="left"/>
              <w:rPr>
                <w:sz w:val="21"/>
              </w:rPr>
            </w:pPr>
            <w:r>
              <w:rPr>
                <w:spacing w:val="-2"/>
                <w:sz w:val="21"/>
              </w:rPr>
              <w:t>保证续保期间</w:t>
            </w:r>
          </w:p>
          <w:p>
            <w:pPr>
              <w:pStyle w:val="TableParagraph"/>
              <w:numPr>
                <w:ilvl w:val="1"/>
                <w:numId w:val="1"/>
              </w:numPr>
              <w:tabs>
                <w:tab w:pos="647" w:val="left" w:leader="none"/>
              </w:tabs>
              <w:spacing w:line="272" w:lineRule="exact" w:before="0" w:after="0"/>
              <w:ind w:left="646" w:right="0" w:hanging="425"/>
              <w:jc w:val="left"/>
              <w:rPr>
                <w:sz w:val="21"/>
              </w:rPr>
            </w:pPr>
            <w:r>
              <w:rPr>
                <w:spacing w:val="-1"/>
                <w:sz w:val="21"/>
              </w:rPr>
              <w:t>保证续保</w:t>
            </w:r>
          </w:p>
          <w:p>
            <w:pPr>
              <w:pStyle w:val="TableParagraph"/>
              <w:numPr>
                <w:ilvl w:val="1"/>
                <w:numId w:val="1"/>
              </w:numPr>
              <w:tabs>
                <w:tab w:pos="647" w:val="left" w:leader="none"/>
              </w:tabs>
              <w:spacing w:line="225" w:lineRule="auto" w:before="7" w:after="0"/>
              <w:ind w:left="646" w:right="106" w:hanging="425"/>
              <w:jc w:val="left"/>
              <w:rPr>
                <w:sz w:val="21"/>
              </w:rPr>
            </w:pPr>
            <w:r>
              <w:rPr>
                <w:spacing w:val="3"/>
                <w:sz w:val="21"/>
              </w:rPr>
              <w:t>保证续保期间届满后的续保</w:t>
            </w:r>
          </w:p>
        </w:tc>
        <w:tc>
          <w:tcPr>
            <w:tcW w:w="3059" w:type="dxa"/>
            <w:tcBorders>
              <w:top w:val="single" w:sz="12" w:space="0" w:color="000000"/>
              <w:bottom w:val="single" w:sz="12" w:space="0" w:color="000000"/>
            </w:tcBorders>
          </w:tcPr>
          <w:p>
            <w:pPr>
              <w:pStyle w:val="TableParagraph"/>
              <w:numPr>
                <w:ilvl w:val="0"/>
                <w:numId w:val="2"/>
              </w:numPr>
              <w:tabs>
                <w:tab w:pos="527" w:val="left" w:leader="none"/>
                <w:tab w:pos="528" w:val="left" w:leader="none"/>
              </w:tabs>
              <w:spacing w:line="252" w:lineRule="exact" w:before="0" w:after="0"/>
              <w:ind w:left="528" w:right="0" w:hanging="420"/>
              <w:jc w:val="left"/>
              <w:rPr>
                <w:rFonts w:ascii="微软雅黑" w:eastAsia="微软雅黑" w:hint="eastAsia"/>
                <w:b/>
                <w:sz w:val="21"/>
              </w:rPr>
            </w:pPr>
            <w:r>
              <w:rPr>
                <w:rFonts w:ascii="微软雅黑" w:eastAsia="微软雅黑" w:hint="eastAsia"/>
                <w:b/>
                <w:sz w:val="21"/>
              </w:rPr>
              <w:t>如何申请领取保险金</w:t>
            </w:r>
          </w:p>
          <w:p>
            <w:pPr>
              <w:pStyle w:val="TableParagraph"/>
              <w:numPr>
                <w:ilvl w:val="1"/>
                <w:numId w:val="2"/>
              </w:numPr>
              <w:tabs>
                <w:tab w:pos="641" w:val="left" w:leader="none"/>
              </w:tabs>
              <w:spacing w:line="268" w:lineRule="exact" w:before="0" w:after="0"/>
              <w:ind w:left="640" w:right="0" w:hanging="424"/>
              <w:jc w:val="left"/>
              <w:rPr>
                <w:sz w:val="21"/>
              </w:rPr>
            </w:pPr>
            <w:r>
              <w:rPr>
                <w:spacing w:val="-2"/>
                <w:sz w:val="21"/>
              </w:rPr>
              <w:t>保险金受益人</w:t>
            </w:r>
          </w:p>
          <w:p>
            <w:pPr>
              <w:pStyle w:val="TableParagraph"/>
              <w:numPr>
                <w:ilvl w:val="1"/>
                <w:numId w:val="2"/>
              </w:numPr>
              <w:tabs>
                <w:tab w:pos="641" w:val="left" w:leader="none"/>
              </w:tabs>
              <w:spacing w:line="281" w:lineRule="exact" w:before="0" w:after="0"/>
              <w:ind w:left="640" w:right="0" w:hanging="424"/>
              <w:jc w:val="left"/>
              <w:rPr>
                <w:sz w:val="21"/>
              </w:rPr>
            </w:pPr>
            <w:r>
              <w:rPr>
                <w:spacing w:val="-1"/>
                <w:sz w:val="21"/>
              </w:rPr>
              <w:t>保险金申请</w:t>
            </w:r>
          </w:p>
          <w:p>
            <w:pPr>
              <w:pStyle w:val="TableParagraph"/>
              <w:numPr>
                <w:ilvl w:val="0"/>
                <w:numId w:val="2"/>
              </w:numPr>
              <w:tabs>
                <w:tab w:pos="527" w:val="left" w:leader="none"/>
                <w:tab w:pos="528" w:val="left" w:leader="none"/>
              </w:tabs>
              <w:spacing w:line="348" w:lineRule="exact" w:before="191" w:after="0"/>
              <w:ind w:left="528" w:right="0" w:hanging="420"/>
              <w:jc w:val="left"/>
              <w:rPr>
                <w:rFonts w:ascii="微软雅黑" w:eastAsia="微软雅黑" w:hint="eastAsia"/>
                <w:b/>
                <w:sz w:val="21"/>
              </w:rPr>
            </w:pPr>
            <w:r>
              <w:rPr>
                <w:rFonts w:ascii="微软雅黑" w:eastAsia="微软雅黑" w:hint="eastAsia"/>
                <w:b/>
                <w:sz w:val="21"/>
              </w:rPr>
              <w:t>如何交纳风险保险费</w:t>
            </w:r>
          </w:p>
          <w:p>
            <w:pPr>
              <w:pStyle w:val="TableParagraph"/>
              <w:numPr>
                <w:ilvl w:val="1"/>
                <w:numId w:val="2"/>
              </w:numPr>
              <w:tabs>
                <w:tab w:pos="641" w:val="left" w:leader="none"/>
              </w:tabs>
              <w:spacing w:line="268" w:lineRule="exact" w:before="0" w:after="0"/>
              <w:ind w:left="640" w:right="0" w:hanging="424"/>
              <w:jc w:val="left"/>
              <w:rPr>
                <w:sz w:val="21"/>
              </w:rPr>
            </w:pPr>
            <w:r>
              <w:rPr>
                <w:spacing w:val="-3"/>
                <w:sz w:val="21"/>
              </w:rPr>
              <w:t>风险保险费的交纳</w:t>
            </w:r>
          </w:p>
          <w:p>
            <w:pPr>
              <w:pStyle w:val="TableParagraph"/>
              <w:numPr>
                <w:ilvl w:val="1"/>
                <w:numId w:val="2"/>
              </w:numPr>
              <w:tabs>
                <w:tab w:pos="641" w:val="left" w:leader="none"/>
              </w:tabs>
              <w:spacing w:line="282" w:lineRule="exact" w:before="0" w:after="0"/>
              <w:ind w:left="640" w:right="0" w:hanging="424"/>
              <w:jc w:val="left"/>
              <w:rPr>
                <w:sz w:val="21"/>
              </w:rPr>
            </w:pPr>
            <w:r>
              <w:rPr>
                <w:spacing w:val="-3"/>
                <w:sz w:val="21"/>
              </w:rPr>
              <w:t>风险保险费的调整</w:t>
            </w:r>
          </w:p>
          <w:p>
            <w:pPr>
              <w:pStyle w:val="TableParagraph"/>
              <w:numPr>
                <w:ilvl w:val="0"/>
                <w:numId w:val="2"/>
              </w:numPr>
              <w:tabs>
                <w:tab w:pos="527" w:val="left" w:leader="none"/>
                <w:tab w:pos="528" w:val="left" w:leader="none"/>
              </w:tabs>
              <w:spacing w:line="348" w:lineRule="exact" w:before="191" w:after="0"/>
              <w:ind w:left="528" w:right="0" w:hanging="420"/>
              <w:jc w:val="left"/>
              <w:rPr>
                <w:rFonts w:ascii="微软雅黑" w:eastAsia="微软雅黑" w:hint="eastAsia"/>
                <w:b/>
                <w:sz w:val="21"/>
              </w:rPr>
            </w:pPr>
            <w:r>
              <w:rPr>
                <w:rFonts w:ascii="微软雅黑" w:eastAsia="微软雅黑" w:hint="eastAsia"/>
                <w:b/>
                <w:spacing w:val="-1"/>
                <w:sz w:val="21"/>
              </w:rPr>
              <w:t>合同效力的中止及恢复</w:t>
            </w:r>
          </w:p>
          <w:p>
            <w:pPr>
              <w:pStyle w:val="TableParagraph"/>
              <w:numPr>
                <w:ilvl w:val="1"/>
                <w:numId w:val="2"/>
              </w:numPr>
              <w:tabs>
                <w:tab w:pos="641" w:val="left" w:leader="none"/>
              </w:tabs>
              <w:spacing w:line="268" w:lineRule="exact" w:before="0" w:after="0"/>
              <w:ind w:left="640" w:right="0" w:hanging="424"/>
              <w:jc w:val="left"/>
              <w:rPr>
                <w:sz w:val="21"/>
              </w:rPr>
            </w:pPr>
            <w:r>
              <w:rPr>
                <w:spacing w:val="-2"/>
                <w:sz w:val="21"/>
              </w:rPr>
              <w:t>合同效力中止</w:t>
            </w:r>
          </w:p>
          <w:p>
            <w:pPr>
              <w:pStyle w:val="TableParagraph"/>
              <w:numPr>
                <w:ilvl w:val="1"/>
                <w:numId w:val="2"/>
              </w:numPr>
              <w:tabs>
                <w:tab w:pos="641" w:val="left" w:leader="none"/>
              </w:tabs>
              <w:spacing w:line="282" w:lineRule="exact" w:before="0" w:after="0"/>
              <w:ind w:left="640" w:right="0" w:hanging="424"/>
              <w:jc w:val="left"/>
              <w:rPr>
                <w:sz w:val="21"/>
              </w:rPr>
            </w:pPr>
            <w:r>
              <w:rPr>
                <w:spacing w:val="-2"/>
                <w:sz w:val="21"/>
              </w:rPr>
              <w:t>合同效力恢复</w:t>
            </w:r>
          </w:p>
          <w:p>
            <w:pPr>
              <w:pStyle w:val="TableParagraph"/>
              <w:numPr>
                <w:ilvl w:val="0"/>
                <w:numId w:val="2"/>
              </w:numPr>
              <w:tabs>
                <w:tab w:pos="527" w:val="left" w:leader="none"/>
                <w:tab w:pos="528" w:val="left" w:leader="none"/>
              </w:tabs>
              <w:spacing w:line="348" w:lineRule="exact" w:before="191" w:after="0"/>
              <w:ind w:left="528" w:right="0" w:hanging="420"/>
              <w:jc w:val="left"/>
              <w:rPr>
                <w:rFonts w:ascii="微软雅黑" w:eastAsia="微软雅黑" w:hint="eastAsia"/>
                <w:b/>
                <w:sz w:val="21"/>
              </w:rPr>
            </w:pPr>
            <w:r>
              <w:rPr>
                <w:rFonts w:ascii="微软雅黑" w:eastAsia="微软雅黑" w:hint="eastAsia"/>
                <w:b/>
                <w:sz w:val="21"/>
              </w:rPr>
              <w:t>其他事项</w:t>
            </w:r>
          </w:p>
          <w:p>
            <w:pPr>
              <w:pStyle w:val="TableParagraph"/>
              <w:numPr>
                <w:ilvl w:val="1"/>
                <w:numId w:val="2"/>
              </w:numPr>
              <w:tabs>
                <w:tab w:pos="641" w:val="left" w:leader="none"/>
              </w:tabs>
              <w:spacing w:line="268" w:lineRule="exact" w:before="0" w:after="0"/>
              <w:ind w:left="640" w:right="0" w:hanging="424"/>
              <w:jc w:val="left"/>
              <w:rPr>
                <w:sz w:val="21"/>
              </w:rPr>
            </w:pPr>
            <w:r>
              <w:rPr>
                <w:spacing w:val="-1"/>
                <w:sz w:val="21"/>
              </w:rPr>
              <w:t>未还款项</w:t>
            </w:r>
          </w:p>
          <w:p>
            <w:pPr>
              <w:pStyle w:val="TableParagraph"/>
              <w:numPr>
                <w:ilvl w:val="1"/>
                <w:numId w:val="2"/>
              </w:numPr>
              <w:tabs>
                <w:tab w:pos="641" w:val="left" w:leader="none"/>
              </w:tabs>
              <w:spacing w:line="272" w:lineRule="exact" w:before="0" w:after="0"/>
              <w:ind w:left="640" w:right="0" w:hanging="424"/>
              <w:jc w:val="left"/>
              <w:rPr>
                <w:sz w:val="21"/>
              </w:rPr>
            </w:pPr>
            <w:r>
              <w:rPr>
                <w:spacing w:val="-1"/>
                <w:sz w:val="21"/>
              </w:rPr>
              <w:t>事故鉴定</w:t>
            </w:r>
          </w:p>
          <w:p>
            <w:pPr>
              <w:pStyle w:val="TableParagraph"/>
              <w:numPr>
                <w:ilvl w:val="1"/>
                <w:numId w:val="2"/>
              </w:numPr>
              <w:tabs>
                <w:tab w:pos="641" w:val="left" w:leader="none"/>
              </w:tabs>
              <w:spacing w:line="272" w:lineRule="exact" w:before="0" w:after="0"/>
              <w:ind w:left="640" w:right="0" w:hanging="424"/>
              <w:jc w:val="left"/>
              <w:rPr>
                <w:sz w:val="21"/>
              </w:rPr>
            </w:pPr>
            <w:r>
              <w:rPr>
                <w:spacing w:val="-1"/>
                <w:sz w:val="21"/>
              </w:rPr>
              <w:t>特别提示</w:t>
            </w:r>
          </w:p>
          <w:p>
            <w:pPr>
              <w:pStyle w:val="TableParagraph"/>
              <w:numPr>
                <w:ilvl w:val="1"/>
                <w:numId w:val="2"/>
              </w:numPr>
              <w:tabs>
                <w:tab w:pos="641" w:val="left" w:leader="none"/>
              </w:tabs>
              <w:spacing w:line="279" w:lineRule="exact" w:before="0" w:after="0"/>
              <w:ind w:left="640" w:right="0" w:hanging="424"/>
              <w:jc w:val="left"/>
              <w:rPr>
                <w:sz w:val="21"/>
              </w:rPr>
            </w:pPr>
            <w:r>
              <w:rPr>
                <w:spacing w:val="-3"/>
                <w:sz w:val="21"/>
              </w:rPr>
              <w:t>适用主险合同条款</w:t>
            </w:r>
          </w:p>
        </w:tc>
        <w:tc>
          <w:tcPr>
            <w:tcW w:w="3292" w:type="dxa"/>
            <w:tcBorders>
              <w:top w:val="single" w:sz="12" w:space="0" w:color="000000"/>
              <w:bottom w:val="single" w:sz="12" w:space="0" w:color="000000"/>
            </w:tcBorders>
          </w:tcPr>
          <w:p>
            <w:pPr>
              <w:pStyle w:val="TableParagraph"/>
              <w:numPr>
                <w:ilvl w:val="0"/>
                <w:numId w:val="3"/>
              </w:numPr>
              <w:tabs>
                <w:tab w:pos="838" w:val="left" w:leader="none"/>
                <w:tab w:pos="839" w:val="left" w:leader="none"/>
              </w:tabs>
              <w:spacing w:line="252" w:lineRule="exact" w:before="0" w:after="0"/>
              <w:ind w:left="839" w:right="0" w:hanging="420"/>
              <w:jc w:val="left"/>
              <w:rPr>
                <w:rFonts w:ascii="微软雅黑" w:eastAsia="微软雅黑" w:hint="eastAsia"/>
                <w:b/>
                <w:sz w:val="21"/>
              </w:rPr>
            </w:pPr>
            <w:r>
              <w:rPr>
                <w:rFonts w:ascii="微软雅黑" w:eastAsia="微软雅黑" w:hint="eastAsia"/>
                <w:b/>
                <w:sz w:val="21"/>
              </w:rPr>
              <w:t>释义</w:t>
            </w:r>
          </w:p>
          <w:p>
            <w:pPr>
              <w:pStyle w:val="TableParagraph"/>
              <w:numPr>
                <w:ilvl w:val="1"/>
                <w:numId w:val="3"/>
              </w:numPr>
              <w:tabs>
                <w:tab w:pos="952" w:val="left" w:leader="none"/>
              </w:tabs>
              <w:spacing w:line="268" w:lineRule="exact" w:before="0" w:after="0"/>
              <w:ind w:left="1057" w:right="0" w:hanging="530"/>
              <w:jc w:val="left"/>
              <w:rPr>
                <w:sz w:val="21"/>
              </w:rPr>
            </w:pPr>
            <w:r>
              <w:rPr>
                <w:sz w:val="21"/>
              </w:rPr>
              <w:t>周岁</w:t>
            </w:r>
          </w:p>
          <w:p>
            <w:pPr>
              <w:pStyle w:val="TableParagraph"/>
              <w:numPr>
                <w:ilvl w:val="1"/>
                <w:numId w:val="3"/>
              </w:numPr>
              <w:tabs>
                <w:tab w:pos="952" w:val="left" w:leader="none"/>
              </w:tabs>
              <w:spacing w:line="271" w:lineRule="exact" w:before="0" w:after="0"/>
              <w:ind w:left="1057" w:right="0" w:hanging="530"/>
              <w:jc w:val="left"/>
              <w:rPr>
                <w:sz w:val="21"/>
              </w:rPr>
            </w:pPr>
            <w:r>
              <w:rPr>
                <w:spacing w:val="-1"/>
                <w:sz w:val="21"/>
              </w:rPr>
              <w:t>风险保险费</w:t>
            </w:r>
          </w:p>
          <w:p>
            <w:pPr>
              <w:pStyle w:val="TableParagraph"/>
              <w:numPr>
                <w:ilvl w:val="1"/>
                <w:numId w:val="3"/>
              </w:numPr>
              <w:tabs>
                <w:tab w:pos="952" w:val="left" w:leader="none"/>
              </w:tabs>
              <w:spacing w:line="272" w:lineRule="exact" w:before="0" w:after="0"/>
              <w:ind w:left="1057" w:right="0" w:hanging="530"/>
              <w:jc w:val="left"/>
              <w:rPr>
                <w:sz w:val="21"/>
              </w:rPr>
            </w:pPr>
            <w:r>
              <w:rPr>
                <w:spacing w:val="-2"/>
                <w:sz w:val="21"/>
              </w:rPr>
              <w:t>有效身份证件</w:t>
            </w:r>
          </w:p>
          <w:p>
            <w:pPr>
              <w:pStyle w:val="TableParagraph"/>
              <w:numPr>
                <w:ilvl w:val="1"/>
                <w:numId w:val="3"/>
              </w:numPr>
              <w:tabs>
                <w:tab w:pos="952" w:val="left" w:leader="none"/>
              </w:tabs>
              <w:spacing w:line="272" w:lineRule="exact" w:before="0" w:after="0"/>
              <w:ind w:left="1057" w:right="0" w:hanging="530"/>
              <w:jc w:val="left"/>
              <w:rPr>
                <w:sz w:val="21"/>
              </w:rPr>
            </w:pPr>
            <w:r>
              <w:rPr>
                <w:spacing w:val="-2"/>
                <w:sz w:val="21"/>
              </w:rPr>
              <w:t>未满期净保费</w:t>
            </w:r>
          </w:p>
          <w:p>
            <w:pPr>
              <w:pStyle w:val="TableParagraph"/>
              <w:numPr>
                <w:ilvl w:val="1"/>
                <w:numId w:val="3"/>
              </w:numPr>
              <w:tabs>
                <w:tab w:pos="952" w:val="left" w:leader="none"/>
              </w:tabs>
              <w:spacing w:line="273" w:lineRule="exact" w:before="0" w:after="0"/>
              <w:ind w:left="1057" w:right="0" w:hanging="530"/>
              <w:jc w:val="left"/>
              <w:rPr>
                <w:sz w:val="21"/>
              </w:rPr>
            </w:pPr>
            <w:r>
              <w:rPr>
                <w:spacing w:val="-1"/>
                <w:sz w:val="21"/>
              </w:rPr>
              <w:t>重大疾病</w:t>
            </w:r>
          </w:p>
          <w:p>
            <w:pPr>
              <w:pStyle w:val="TableParagraph"/>
              <w:numPr>
                <w:ilvl w:val="1"/>
                <w:numId w:val="3"/>
              </w:numPr>
              <w:tabs>
                <w:tab w:pos="952" w:val="left" w:leader="none"/>
              </w:tabs>
              <w:spacing w:line="273" w:lineRule="exact" w:before="0" w:after="0"/>
              <w:ind w:left="1057" w:right="0" w:hanging="530"/>
              <w:jc w:val="left"/>
              <w:rPr>
                <w:sz w:val="21"/>
              </w:rPr>
            </w:pPr>
            <w:r>
              <w:rPr>
                <w:spacing w:val="-1"/>
                <w:sz w:val="21"/>
              </w:rPr>
              <w:t>意外伤害</w:t>
            </w:r>
          </w:p>
          <w:p>
            <w:pPr>
              <w:pStyle w:val="TableParagraph"/>
              <w:numPr>
                <w:ilvl w:val="1"/>
                <w:numId w:val="3"/>
              </w:numPr>
              <w:tabs>
                <w:tab w:pos="952" w:val="left" w:leader="none"/>
              </w:tabs>
              <w:spacing w:line="272" w:lineRule="exact" w:before="0" w:after="0"/>
              <w:ind w:left="1057" w:right="0" w:hanging="530"/>
              <w:jc w:val="left"/>
              <w:rPr>
                <w:sz w:val="21"/>
              </w:rPr>
            </w:pPr>
            <w:r>
              <w:rPr>
                <w:sz w:val="21"/>
              </w:rPr>
              <w:t>医院</w:t>
            </w:r>
          </w:p>
          <w:p>
            <w:pPr>
              <w:pStyle w:val="TableParagraph"/>
              <w:numPr>
                <w:ilvl w:val="1"/>
                <w:numId w:val="3"/>
              </w:numPr>
              <w:tabs>
                <w:tab w:pos="952" w:val="left" w:leader="none"/>
              </w:tabs>
              <w:spacing w:line="272" w:lineRule="exact" w:before="0" w:after="0"/>
              <w:ind w:left="1057" w:right="0" w:hanging="530"/>
              <w:jc w:val="left"/>
              <w:rPr>
                <w:sz w:val="21"/>
              </w:rPr>
            </w:pPr>
            <w:r>
              <w:rPr>
                <w:spacing w:val="-1"/>
                <w:sz w:val="21"/>
              </w:rPr>
              <w:t>专科医生</w:t>
            </w:r>
          </w:p>
          <w:p>
            <w:pPr>
              <w:pStyle w:val="TableParagraph"/>
              <w:numPr>
                <w:ilvl w:val="1"/>
                <w:numId w:val="3"/>
              </w:numPr>
              <w:tabs>
                <w:tab w:pos="952" w:val="left" w:leader="none"/>
              </w:tabs>
              <w:spacing w:line="272" w:lineRule="exact" w:before="0" w:after="0"/>
              <w:ind w:left="1057" w:right="0" w:hanging="530"/>
              <w:jc w:val="left"/>
              <w:rPr>
                <w:sz w:val="21"/>
              </w:rPr>
            </w:pPr>
            <w:r>
              <w:rPr>
                <w:spacing w:val="-3"/>
                <w:sz w:val="21"/>
              </w:rPr>
              <w:t>肢体机能完全丧失</w:t>
            </w:r>
          </w:p>
          <w:p>
            <w:pPr>
              <w:pStyle w:val="TableParagraph"/>
              <w:numPr>
                <w:ilvl w:val="1"/>
                <w:numId w:val="3"/>
              </w:numPr>
              <w:tabs>
                <w:tab w:pos="1058" w:val="left" w:leader="none"/>
              </w:tabs>
              <w:spacing w:line="223" w:lineRule="auto" w:before="11" w:after="0"/>
              <w:ind w:left="1057" w:right="129" w:hanging="530"/>
              <w:jc w:val="left"/>
              <w:rPr>
                <w:sz w:val="21"/>
              </w:rPr>
            </w:pPr>
            <w:r>
              <w:rPr>
                <w:spacing w:val="-3"/>
                <w:sz w:val="21"/>
              </w:rPr>
              <w:t>语言能力或咀嚼吞咽能力完全丧失</w:t>
            </w:r>
          </w:p>
          <w:p>
            <w:pPr>
              <w:pStyle w:val="TableParagraph"/>
              <w:numPr>
                <w:ilvl w:val="1"/>
                <w:numId w:val="3"/>
              </w:numPr>
              <w:tabs>
                <w:tab w:pos="1058" w:val="left" w:leader="none"/>
              </w:tabs>
              <w:spacing w:line="280" w:lineRule="exact" w:before="0" w:after="0"/>
              <w:ind w:left="1057" w:right="0" w:hanging="530"/>
              <w:jc w:val="left"/>
              <w:rPr>
                <w:sz w:val="21"/>
              </w:rPr>
            </w:pPr>
            <w:r>
              <w:rPr>
                <w:spacing w:val="-3"/>
                <w:sz w:val="21"/>
              </w:rPr>
              <w:t>六项基本日常生活活动</w:t>
            </w:r>
          </w:p>
          <w:p>
            <w:pPr>
              <w:pStyle w:val="TableParagraph"/>
              <w:numPr>
                <w:ilvl w:val="1"/>
                <w:numId w:val="3"/>
              </w:numPr>
              <w:tabs>
                <w:tab w:pos="1058" w:val="left" w:leader="none"/>
              </w:tabs>
              <w:spacing w:line="281" w:lineRule="exact" w:before="0" w:after="0"/>
              <w:ind w:left="1057" w:right="0" w:hanging="530"/>
              <w:jc w:val="left"/>
              <w:rPr>
                <w:sz w:val="21"/>
              </w:rPr>
            </w:pPr>
            <w:r>
              <w:rPr>
                <w:spacing w:val="-3"/>
                <w:sz w:val="21"/>
              </w:rPr>
              <w:t>永久不可逆</w:t>
            </w:r>
          </w:p>
        </w:tc>
      </w:tr>
    </w:tbl>
    <w:p>
      <w:pPr>
        <w:spacing w:after="0" w:line="281" w:lineRule="exact"/>
        <w:jc w:val="left"/>
        <w:rPr>
          <w:sz w:val="21"/>
        </w:rPr>
        <w:sectPr>
          <w:headerReference w:type="default" r:id="rId5"/>
          <w:footerReference w:type="default" r:id="rId6"/>
          <w:type w:val="continuous"/>
          <w:pgSz w:w="11910" w:h="16840"/>
          <w:pgMar w:header="877" w:footer="1201" w:top="1080" w:bottom="1400" w:left="1060" w:right="1060"/>
        </w:sectPr>
      </w:pPr>
    </w:p>
    <w:p>
      <w:pPr>
        <w:pStyle w:val="BodyText"/>
        <w:rPr>
          <w:sz w:val="19"/>
        </w:rPr>
      </w:pPr>
    </w:p>
    <w:p>
      <w:pPr>
        <w:pStyle w:val="BodyText"/>
        <w:spacing w:before="36" w:after="19"/>
        <w:ind w:left="142"/>
      </w:pPr>
      <w:r>
        <w:rPr>
          <w:spacing w:val="-149"/>
          <w:w w:val="100"/>
        </w:rPr>
        <w:t>在</w:t>
      </w:r>
      <w:r>
        <w:rPr>
          <w:spacing w:val="-63"/>
          <w:w w:val="100"/>
          <w:position w:val="-7"/>
        </w:rPr>
        <w:t>．</w:t>
      </w:r>
      <w:r>
        <w:rPr>
          <w:spacing w:val="-149"/>
          <w:w w:val="100"/>
        </w:rPr>
        <w:t>本</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中</w:t>
      </w:r>
      <w:r>
        <w:rPr>
          <w:spacing w:val="-63"/>
          <w:w w:val="100"/>
          <w:position w:val="-7"/>
        </w:rPr>
        <w:t>．</w:t>
      </w:r>
      <w:r>
        <w:rPr>
          <w:spacing w:val="-202"/>
          <w:w w:val="100"/>
        </w:rPr>
        <w:t>，</w:t>
      </w:r>
      <w:r>
        <w:rPr>
          <w:spacing w:val="-116"/>
          <w:w w:val="100"/>
          <w:position w:val="-7"/>
        </w:rPr>
        <w:t>．</w:t>
      </w:r>
      <w:r>
        <w:rPr>
          <w:spacing w:val="-151"/>
          <w:w w:val="100"/>
        </w:rPr>
        <w:t>“</w:t>
      </w:r>
      <w:r>
        <w:rPr>
          <w:spacing w:val="-63"/>
          <w:w w:val="100"/>
          <w:position w:val="-7"/>
        </w:rPr>
        <w:t>．</w:t>
      </w:r>
      <w:r>
        <w:rPr>
          <w:spacing w:val="-149"/>
          <w:w w:val="100"/>
        </w:rPr>
        <w:t>您</w:t>
      </w:r>
      <w:r>
        <w:rPr>
          <w:spacing w:val="-63"/>
          <w:w w:val="100"/>
          <w:position w:val="-7"/>
        </w:rPr>
        <w:t>．</w:t>
      </w:r>
      <w:r>
        <w:rPr>
          <w:spacing w:val="-152"/>
          <w:w w:val="100"/>
        </w:rPr>
        <w:t>”</w:t>
      </w:r>
      <w:r>
        <w:rPr>
          <w:spacing w:val="-63"/>
          <w:w w:val="100"/>
          <w:position w:val="-7"/>
        </w:rPr>
        <w:t>．</w:t>
      </w:r>
      <w:r>
        <w:rPr>
          <w:spacing w:val="-149"/>
          <w:w w:val="100"/>
        </w:rPr>
        <w:t>指</w:t>
      </w:r>
      <w:r>
        <w:rPr>
          <w:spacing w:val="-63"/>
          <w:w w:val="100"/>
          <w:position w:val="-7"/>
        </w:rPr>
        <w:t>．</w:t>
      </w:r>
      <w:r>
        <w:rPr>
          <w:spacing w:val="-152"/>
          <w:w w:val="100"/>
        </w:rPr>
        <w:t>投</w:t>
      </w:r>
      <w:r>
        <w:rPr>
          <w:spacing w:val="-63"/>
          <w:w w:val="100"/>
          <w:position w:val="-7"/>
        </w:rPr>
        <w:t>．</w:t>
      </w:r>
      <w:r>
        <w:rPr>
          <w:spacing w:val="-152"/>
          <w:w w:val="100"/>
        </w:rPr>
        <w:t>保</w:t>
      </w:r>
      <w:r>
        <w:rPr>
          <w:spacing w:val="-63"/>
          <w:w w:val="100"/>
          <w:position w:val="-7"/>
        </w:rPr>
        <w:t>．</w:t>
      </w:r>
      <w:r>
        <w:rPr>
          <w:spacing w:val="-149"/>
          <w:w w:val="100"/>
        </w:rPr>
        <w:t>人</w:t>
      </w:r>
      <w:r>
        <w:rPr>
          <w:spacing w:val="-63"/>
          <w:w w:val="100"/>
          <w:position w:val="-7"/>
        </w:rPr>
        <w:t>．</w:t>
      </w:r>
      <w:r>
        <w:rPr>
          <w:spacing w:val="-202"/>
          <w:w w:val="100"/>
        </w:rPr>
        <w:t>，</w:t>
      </w:r>
      <w:r>
        <w:rPr>
          <w:spacing w:val="-116"/>
          <w:w w:val="100"/>
          <w:position w:val="-7"/>
        </w:rPr>
        <w:t>．</w:t>
      </w:r>
      <w:r>
        <w:rPr>
          <w:spacing w:val="-152"/>
          <w:w w:val="100"/>
        </w:rPr>
        <w:t>“</w:t>
      </w:r>
      <w:r>
        <w:rPr>
          <w:spacing w:val="-63"/>
          <w:w w:val="100"/>
          <w:position w:val="-7"/>
        </w:rPr>
        <w:t>．</w:t>
      </w:r>
      <w:r>
        <w:rPr>
          <w:spacing w:val="-149"/>
          <w:w w:val="100"/>
        </w:rPr>
        <w:t>我</w:t>
      </w:r>
      <w:r>
        <w:rPr>
          <w:spacing w:val="-63"/>
          <w:w w:val="100"/>
          <w:position w:val="-7"/>
        </w:rPr>
        <w:t>．</w:t>
      </w:r>
      <w:r>
        <w:rPr>
          <w:spacing w:val="-149"/>
          <w:w w:val="100"/>
        </w:rPr>
        <w:t>们</w:t>
      </w:r>
      <w:r>
        <w:rPr>
          <w:spacing w:val="-63"/>
          <w:w w:val="100"/>
          <w:position w:val="-7"/>
        </w:rPr>
        <w:t>．</w:t>
      </w:r>
      <w:r>
        <w:rPr>
          <w:spacing w:val="-205"/>
          <w:w w:val="100"/>
        </w:rPr>
        <w:t>”</w:t>
      </w:r>
      <w:r>
        <w:rPr>
          <w:spacing w:val="-116"/>
          <w:w w:val="100"/>
          <w:position w:val="-7"/>
        </w:rPr>
        <w:t>．</w:t>
      </w:r>
      <w:r>
        <w:rPr>
          <w:spacing w:val="-202"/>
          <w:w w:val="100"/>
        </w:rPr>
        <w:t>、</w:t>
      </w:r>
      <w:r>
        <w:rPr>
          <w:spacing w:val="-116"/>
          <w:w w:val="100"/>
          <w:position w:val="-7"/>
        </w:rPr>
        <w:t>．</w:t>
      </w:r>
      <w:r>
        <w:rPr>
          <w:spacing w:val="-152"/>
          <w:w w:val="100"/>
        </w:rPr>
        <w:t>“</w:t>
      </w:r>
      <w:r>
        <w:rPr>
          <w:spacing w:val="-63"/>
          <w:w w:val="100"/>
          <w:position w:val="-7"/>
        </w:rPr>
        <w:t>．</w:t>
      </w:r>
      <w:r>
        <w:rPr>
          <w:spacing w:val="-149"/>
          <w:w w:val="100"/>
        </w:rPr>
        <w:t>本</w:t>
      </w:r>
      <w:r>
        <w:rPr>
          <w:spacing w:val="-63"/>
          <w:w w:val="100"/>
          <w:position w:val="-7"/>
        </w:rPr>
        <w:t>．</w:t>
      </w:r>
      <w:r>
        <w:rPr>
          <w:spacing w:val="-152"/>
          <w:w w:val="100"/>
        </w:rPr>
        <w:t>公</w:t>
      </w:r>
      <w:r>
        <w:rPr>
          <w:spacing w:val="-63"/>
          <w:w w:val="100"/>
          <w:position w:val="-7"/>
        </w:rPr>
        <w:t>．</w:t>
      </w:r>
      <w:r>
        <w:rPr>
          <w:spacing w:val="-149"/>
          <w:w w:val="100"/>
        </w:rPr>
        <w:t>司</w:t>
      </w:r>
      <w:r>
        <w:rPr>
          <w:spacing w:val="-63"/>
          <w:w w:val="100"/>
          <w:position w:val="-7"/>
        </w:rPr>
        <w:t>．</w:t>
      </w:r>
      <w:r>
        <w:rPr>
          <w:spacing w:val="-152"/>
          <w:w w:val="100"/>
        </w:rPr>
        <w:t>”</w:t>
      </w:r>
      <w:r>
        <w:rPr>
          <w:spacing w:val="-63"/>
          <w:w w:val="100"/>
          <w:position w:val="-7"/>
        </w:rPr>
        <w:t>．</w:t>
      </w:r>
      <w:r>
        <w:rPr>
          <w:spacing w:val="-152"/>
          <w:w w:val="100"/>
        </w:rPr>
        <w:t>均</w:t>
      </w:r>
      <w:r>
        <w:rPr>
          <w:spacing w:val="-63"/>
          <w:w w:val="100"/>
          <w:position w:val="-7"/>
        </w:rPr>
        <w:t>．</w:t>
      </w:r>
      <w:r>
        <w:rPr>
          <w:spacing w:val="-149"/>
          <w:w w:val="100"/>
        </w:rPr>
        <w:t>指</w:t>
      </w:r>
      <w:r>
        <w:rPr>
          <w:spacing w:val="-63"/>
          <w:w w:val="100"/>
          <w:position w:val="-7"/>
        </w:rPr>
        <w:t>．</w:t>
      </w:r>
      <w:r>
        <w:rPr>
          <w:spacing w:val="-149"/>
          <w:w w:val="100"/>
        </w:rPr>
        <w:t>和</w:t>
      </w:r>
      <w:r>
        <w:rPr>
          <w:spacing w:val="-63"/>
          <w:w w:val="100"/>
          <w:position w:val="-7"/>
        </w:rPr>
        <w:t>．</w:t>
      </w:r>
      <w:r>
        <w:rPr>
          <w:spacing w:val="-151"/>
          <w:w w:val="100"/>
        </w:rPr>
        <w:t>谐</w:t>
      </w:r>
      <w:r>
        <w:rPr>
          <w:spacing w:val="-63"/>
          <w:w w:val="100"/>
          <w:position w:val="-7"/>
        </w:rPr>
        <w:t>．</w:t>
      </w:r>
      <w:r>
        <w:rPr>
          <w:spacing w:val="-149"/>
          <w:w w:val="100"/>
        </w:rPr>
        <w:t>健</w:t>
      </w:r>
      <w:r>
        <w:rPr>
          <w:spacing w:val="-63"/>
          <w:w w:val="100"/>
          <w:position w:val="-7"/>
        </w:rPr>
        <w:t>．</w:t>
      </w:r>
      <w:r>
        <w:rPr>
          <w:spacing w:val="-151"/>
          <w:w w:val="100"/>
        </w:rPr>
        <w:t>康</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股</w:t>
      </w:r>
      <w:r>
        <w:rPr>
          <w:spacing w:val="-63"/>
          <w:w w:val="100"/>
          <w:position w:val="-7"/>
        </w:rPr>
        <w:t>．</w:t>
      </w:r>
      <w:r>
        <w:rPr>
          <w:spacing w:val="-152"/>
          <w:w w:val="100"/>
        </w:rPr>
        <w:t>份</w:t>
      </w:r>
      <w:r>
        <w:rPr>
          <w:spacing w:val="-63"/>
          <w:w w:val="100"/>
          <w:position w:val="-7"/>
        </w:rPr>
        <w:t>．</w:t>
      </w:r>
      <w:r>
        <w:rPr>
          <w:spacing w:val="-149"/>
          <w:w w:val="100"/>
        </w:rPr>
        <w:t>有</w:t>
      </w:r>
      <w:r>
        <w:rPr>
          <w:spacing w:val="-63"/>
          <w:w w:val="100"/>
          <w:position w:val="-7"/>
        </w:rPr>
        <w:t>．</w:t>
      </w:r>
      <w:r>
        <w:rPr>
          <w:spacing w:val="-152"/>
          <w:w w:val="100"/>
        </w:rPr>
        <w:t>限</w:t>
      </w:r>
      <w:r>
        <w:rPr>
          <w:spacing w:val="-63"/>
          <w:w w:val="100"/>
          <w:position w:val="-7"/>
        </w:rPr>
        <w:t>．</w:t>
      </w:r>
      <w:r>
        <w:rPr>
          <w:spacing w:val="-149"/>
          <w:w w:val="100"/>
        </w:rPr>
        <w:t>公</w:t>
      </w:r>
      <w:r>
        <w:rPr>
          <w:spacing w:val="-63"/>
          <w:w w:val="100"/>
          <w:position w:val="-7"/>
        </w:rPr>
        <w:t>．</w:t>
      </w:r>
      <w:r>
        <w:rPr>
          <w:spacing w:val="-149"/>
          <w:w w:val="100"/>
        </w:rPr>
        <w:t>司</w:t>
      </w:r>
      <w:r>
        <w:rPr>
          <w:spacing w:val="-63"/>
          <w:w w:val="100"/>
          <w:position w:val="-7"/>
        </w:rPr>
        <w:t>．</w:t>
      </w:r>
      <w:r>
        <w:rPr>
          <w:spacing w:val="-152"/>
          <w:w w:val="100"/>
        </w:rPr>
        <w:t>。</w:t>
      </w:r>
      <w:r>
        <w:rPr>
          <w:w w:val="100"/>
          <w:position w:val="-7"/>
        </w:rPr>
        <w:t>．</w:t>
      </w:r>
    </w:p>
    <w:tbl>
      <w:tblPr>
        <w:tblW w:w="0" w:type="auto"/>
        <w:jc w:val="lef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9"/>
        <w:gridCol w:w="1737"/>
        <w:gridCol w:w="7172"/>
      </w:tblGrid>
      <w:tr>
        <w:trPr>
          <w:trHeight w:val="488" w:hRule="atLeast"/>
        </w:trPr>
        <w:tc>
          <w:tcPr>
            <w:tcW w:w="669" w:type="dxa"/>
            <w:tcBorders>
              <w:bottom w:val="single" w:sz="8" w:space="0" w:color="000000"/>
            </w:tcBorders>
          </w:tcPr>
          <w:p>
            <w:pPr>
              <w:pStyle w:val="TableParagraph"/>
              <w:spacing w:line="468" w:lineRule="exact"/>
              <w:rPr>
                <w:rFonts w:ascii="Wingdings" w:hAnsi="Wingdings"/>
                <w:b/>
                <w:sz w:val="44"/>
              </w:rPr>
            </w:pPr>
            <w:r>
              <w:rPr>
                <w:rFonts w:ascii="Wingdings" w:hAnsi="Wingdings"/>
                <w:b/>
                <w:w w:val="99"/>
                <w:sz w:val="44"/>
              </w:rPr>
              <w:t></w:t>
            </w:r>
          </w:p>
        </w:tc>
        <w:tc>
          <w:tcPr>
            <w:tcW w:w="8909" w:type="dxa"/>
            <w:gridSpan w:val="2"/>
            <w:tcBorders>
              <w:bottom w:val="single" w:sz="8" w:space="0" w:color="000000"/>
            </w:tcBorders>
          </w:tcPr>
          <w:p>
            <w:pPr>
              <w:pStyle w:val="TableParagraph"/>
              <w:spacing w:line="393" w:lineRule="exact"/>
              <w:ind w:left="169"/>
              <w:rPr>
                <w:rFonts w:ascii="微软雅黑" w:eastAsia="微软雅黑" w:hint="eastAsia"/>
                <w:b/>
                <w:sz w:val="24"/>
              </w:rPr>
            </w:pPr>
            <w:r>
              <w:rPr>
                <w:rFonts w:ascii="微软雅黑" w:eastAsia="微软雅黑" w:hint="eastAsia"/>
                <w:b/>
                <w:sz w:val="24"/>
              </w:rPr>
              <w:t>您与我们的合同</w:t>
            </w:r>
          </w:p>
        </w:tc>
      </w:tr>
      <w:tr>
        <w:trPr>
          <w:trHeight w:val="1420" w:hRule="atLeast"/>
        </w:trPr>
        <w:tc>
          <w:tcPr>
            <w:tcW w:w="669" w:type="dxa"/>
            <w:tcBorders>
              <w:top w:val="single" w:sz="8" w:space="0" w:color="000000"/>
            </w:tcBorders>
          </w:tcPr>
          <w:p>
            <w:pPr>
              <w:pStyle w:val="TableParagraph"/>
              <w:spacing w:before="10"/>
              <w:ind w:left="0"/>
              <w:rPr>
                <w:sz w:val="15"/>
              </w:rPr>
            </w:pPr>
          </w:p>
          <w:p>
            <w:pPr>
              <w:pStyle w:val="TableParagraph"/>
              <w:rPr>
                <w:rFonts w:ascii="Times New Roman"/>
                <w:b/>
                <w:sz w:val="21"/>
              </w:rPr>
            </w:pPr>
            <w:r>
              <w:rPr>
                <w:rFonts w:ascii="Times New Roman"/>
                <w:b/>
                <w:sz w:val="21"/>
              </w:rPr>
              <w:t>1.1</w:t>
            </w:r>
          </w:p>
        </w:tc>
        <w:tc>
          <w:tcPr>
            <w:tcW w:w="1737" w:type="dxa"/>
            <w:tcBorders>
              <w:top w:val="single" w:sz="8" w:space="0" w:color="000000"/>
            </w:tcBorders>
          </w:tcPr>
          <w:p>
            <w:pPr>
              <w:pStyle w:val="TableParagraph"/>
              <w:spacing w:before="112"/>
              <w:ind w:left="169"/>
              <w:rPr>
                <w:rFonts w:ascii="微软雅黑" w:eastAsia="微软雅黑" w:hint="eastAsia"/>
                <w:b/>
                <w:sz w:val="21"/>
              </w:rPr>
            </w:pPr>
            <w:r>
              <w:rPr>
                <w:rFonts w:ascii="微软雅黑" w:eastAsia="微软雅黑" w:hint="eastAsia"/>
                <w:b/>
                <w:sz w:val="21"/>
              </w:rPr>
              <w:t>合同构成</w:t>
            </w:r>
          </w:p>
        </w:tc>
        <w:tc>
          <w:tcPr>
            <w:tcW w:w="7172" w:type="dxa"/>
            <w:tcBorders>
              <w:top w:val="single" w:sz="8" w:space="0" w:color="000000"/>
            </w:tcBorders>
          </w:tcPr>
          <w:p>
            <w:pPr>
              <w:pStyle w:val="TableParagraph"/>
              <w:spacing w:line="237" w:lineRule="auto" w:before="177"/>
              <w:ind w:left="95" w:right="36"/>
              <w:jc w:val="both"/>
              <w:rPr>
                <w:sz w:val="21"/>
              </w:rPr>
            </w:pPr>
            <w:r>
              <w:rPr>
                <w:spacing w:val="-5"/>
                <w:sz w:val="21"/>
              </w:rPr>
              <w:t>和谐附加额外给付重大疾病保险合同</w:t>
            </w:r>
            <w:r>
              <w:rPr>
                <w:spacing w:val="-3"/>
                <w:sz w:val="21"/>
              </w:rPr>
              <w:t>（</w:t>
            </w:r>
            <w:r>
              <w:rPr>
                <w:spacing w:val="-12"/>
                <w:sz w:val="21"/>
              </w:rPr>
              <w:t>以下简称“本附加险合同”</w:t>
            </w:r>
            <w:r>
              <w:rPr>
                <w:spacing w:val="-67"/>
                <w:sz w:val="21"/>
              </w:rPr>
              <w:t>）</w:t>
            </w:r>
            <w:r>
              <w:rPr>
                <w:spacing w:val="-2"/>
                <w:sz w:val="21"/>
              </w:rPr>
              <w:t>由以下几</w:t>
            </w:r>
            <w:r>
              <w:rPr>
                <w:spacing w:val="-3"/>
                <w:sz w:val="21"/>
              </w:rPr>
              <w:t>个部分构成：本保险条款、保险单或其他保险凭证、投保单（经本公司核实的复印件或电子影像印刷件与正本具有同等效力</w:t>
            </w:r>
            <w:r>
              <w:rPr>
                <w:spacing w:val="-108"/>
                <w:sz w:val="21"/>
              </w:rPr>
              <w:t>）</w:t>
            </w:r>
            <w:r>
              <w:rPr>
                <w:spacing w:val="-3"/>
                <w:sz w:val="21"/>
              </w:rPr>
              <w:t>、合法有效的声明、批注、批单，及您与本公司共同认可的、与本附加险合同有关的其它书面文件。</w:t>
            </w:r>
          </w:p>
        </w:tc>
      </w:tr>
      <w:tr>
        <w:trPr>
          <w:trHeight w:val="552" w:hRule="atLeast"/>
        </w:trPr>
        <w:tc>
          <w:tcPr>
            <w:tcW w:w="669" w:type="dxa"/>
          </w:tcPr>
          <w:p>
            <w:pPr>
              <w:pStyle w:val="TableParagraph"/>
              <w:spacing w:before="147"/>
              <w:rPr>
                <w:rFonts w:ascii="Times New Roman"/>
                <w:b/>
                <w:sz w:val="21"/>
              </w:rPr>
            </w:pPr>
            <w:r>
              <w:rPr>
                <w:rFonts w:ascii="Times New Roman"/>
                <w:b/>
                <w:sz w:val="21"/>
              </w:rPr>
              <w:t>1.2</w:t>
            </w:r>
          </w:p>
        </w:tc>
        <w:tc>
          <w:tcPr>
            <w:tcW w:w="1737" w:type="dxa"/>
          </w:tcPr>
          <w:p>
            <w:pPr>
              <w:pStyle w:val="TableParagraph"/>
              <w:spacing w:before="52"/>
              <w:ind w:left="169"/>
              <w:rPr>
                <w:rFonts w:ascii="微软雅黑" w:eastAsia="微软雅黑" w:hint="eastAsia"/>
                <w:b/>
                <w:sz w:val="21"/>
              </w:rPr>
            </w:pPr>
            <w:r>
              <w:rPr>
                <w:rFonts w:ascii="微软雅黑" w:eastAsia="微软雅黑" w:hint="eastAsia"/>
                <w:b/>
                <w:sz w:val="21"/>
              </w:rPr>
              <w:t>投保年龄</w:t>
            </w:r>
          </w:p>
        </w:tc>
        <w:tc>
          <w:tcPr>
            <w:tcW w:w="7172" w:type="dxa"/>
          </w:tcPr>
          <w:p>
            <w:pPr>
              <w:pStyle w:val="TableParagraph"/>
              <w:spacing w:before="52"/>
              <w:ind w:left="95"/>
              <w:rPr>
                <w:sz w:val="21"/>
              </w:rPr>
            </w:pPr>
            <w:r>
              <w:rPr>
                <w:sz w:val="21"/>
              </w:rPr>
              <w:t>指投保时被保险人的年龄，投保年龄以</w:t>
            </w:r>
            <w:r>
              <w:rPr>
                <w:rFonts w:ascii="微软雅黑" w:eastAsia="微软雅黑" w:hint="eastAsia"/>
                <w:b/>
                <w:sz w:val="21"/>
              </w:rPr>
              <w:t>周岁</w:t>
            </w:r>
            <w:r>
              <w:rPr>
                <w:sz w:val="21"/>
              </w:rPr>
              <w:t>（见释义 </w:t>
            </w:r>
            <w:r>
              <w:rPr>
                <w:rFonts w:ascii="Times New Roman" w:eastAsia="Times New Roman"/>
                <w:sz w:val="21"/>
              </w:rPr>
              <w:t>7.1</w:t>
            </w:r>
            <w:r>
              <w:rPr>
                <w:sz w:val="21"/>
              </w:rPr>
              <w:t>）计算。</w:t>
            </w:r>
          </w:p>
        </w:tc>
      </w:tr>
      <w:tr>
        <w:trPr>
          <w:trHeight w:val="1627" w:hRule="atLeast"/>
        </w:trPr>
        <w:tc>
          <w:tcPr>
            <w:tcW w:w="669" w:type="dxa"/>
          </w:tcPr>
          <w:p>
            <w:pPr>
              <w:pStyle w:val="TableParagraph"/>
              <w:spacing w:before="139"/>
              <w:rPr>
                <w:rFonts w:ascii="Times New Roman"/>
                <w:b/>
                <w:sz w:val="21"/>
              </w:rPr>
            </w:pPr>
            <w:r>
              <w:rPr>
                <w:rFonts w:ascii="Times New Roman"/>
                <w:b/>
                <w:sz w:val="21"/>
              </w:rPr>
              <w:t>1.3</w:t>
            </w:r>
          </w:p>
        </w:tc>
        <w:tc>
          <w:tcPr>
            <w:tcW w:w="1737" w:type="dxa"/>
          </w:tcPr>
          <w:p>
            <w:pPr>
              <w:pStyle w:val="TableParagraph"/>
              <w:spacing w:line="180" w:lineRule="auto" w:before="135"/>
              <w:ind w:left="169" w:right="298"/>
              <w:jc w:val="both"/>
              <w:rPr>
                <w:rFonts w:ascii="微软雅黑" w:eastAsia="微软雅黑" w:hint="eastAsia"/>
                <w:b/>
                <w:sz w:val="21"/>
              </w:rPr>
            </w:pPr>
            <w:r>
              <w:rPr>
                <w:rFonts w:ascii="微软雅黑" w:eastAsia="微软雅黑" w:hint="eastAsia"/>
                <w:b/>
                <w:sz w:val="21"/>
              </w:rPr>
              <w:t>合同成立与生效和保险责任开始</w:t>
            </w:r>
          </w:p>
        </w:tc>
        <w:tc>
          <w:tcPr>
            <w:tcW w:w="7172" w:type="dxa"/>
          </w:tcPr>
          <w:p>
            <w:pPr>
              <w:pStyle w:val="TableParagraph"/>
              <w:spacing w:line="237" w:lineRule="auto" w:before="109"/>
              <w:ind w:left="95" w:right="137"/>
              <w:rPr>
                <w:sz w:val="21"/>
              </w:rPr>
            </w:pPr>
            <w:r>
              <w:rPr>
                <w:sz w:val="21"/>
              </w:rPr>
              <w:t>您提出保险申请、本公司同意承保，本附加险合同成立，合同成立日期在保险单上载明。</w:t>
            </w:r>
          </w:p>
          <w:p>
            <w:pPr>
              <w:pStyle w:val="TableParagraph"/>
              <w:spacing w:line="285" w:lineRule="exact"/>
              <w:ind w:left="95"/>
              <w:rPr>
                <w:sz w:val="21"/>
              </w:rPr>
            </w:pPr>
            <w:r>
              <w:rPr>
                <w:spacing w:val="-6"/>
                <w:sz w:val="21"/>
              </w:rPr>
              <w:t>自本附加险合同成立、本公司收取</w:t>
            </w:r>
            <w:r>
              <w:rPr>
                <w:rFonts w:ascii="微软雅黑" w:eastAsia="微软雅黑" w:hint="eastAsia"/>
                <w:b/>
                <w:spacing w:val="-5"/>
                <w:sz w:val="21"/>
              </w:rPr>
              <w:t>风险保险费</w:t>
            </w:r>
            <w:r>
              <w:rPr>
                <w:spacing w:val="-3"/>
                <w:sz w:val="21"/>
              </w:rPr>
              <w:t>（</w:t>
            </w:r>
            <w:r>
              <w:rPr>
                <w:spacing w:val="-5"/>
                <w:sz w:val="21"/>
              </w:rPr>
              <w:t>见释义 </w:t>
            </w:r>
            <w:r>
              <w:rPr>
                <w:rFonts w:ascii="Times New Roman" w:eastAsia="Times New Roman"/>
                <w:spacing w:val="-8"/>
                <w:sz w:val="21"/>
              </w:rPr>
              <w:t>7.2</w:t>
            </w:r>
            <w:r>
              <w:rPr>
                <w:spacing w:val="-8"/>
                <w:sz w:val="21"/>
              </w:rPr>
              <w:t>）</w:t>
            </w:r>
            <w:r>
              <w:rPr>
                <w:spacing w:val="-3"/>
                <w:sz w:val="21"/>
              </w:rPr>
              <w:t>并签发保险单的</w:t>
            </w:r>
          </w:p>
          <w:p>
            <w:pPr>
              <w:pStyle w:val="TableParagraph"/>
              <w:spacing w:line="260" w:lineRule="exact"/>
              <w:ind w:left="95"/>
              <w:rPr>
                <w:sz w:val="21"/>
              </w:rPr>
            </w:pPr>
            <w:r>
              <w:rPr>
                <w:sz w:val="21"/>
              </w:rPr>
              <w:t>次日零时起本附加险合同生效。</w:t>
            </w:r>
          </w:p>
          <w:p>
            <w:pPr>
              <w:pStyle w:val="TableParagraph"/>
              <w:spacing w:line="274" w:lineRule="exact"/>
              <w:ind w:left="95"/>
              <w:rPr>
                <w:sz w:val="21"/>
              </w:rPr>
            </w:pPr>
            <w:r>
              <w:rPr>
                <w:spacing w:val="-10"/>
                <w:sz w:val="21"/>
              </w:rPr>
              <w:t>除另有约定外，本附加险合同生效的日期为本公司开始承担保险责任的日期。</w:t>
            </w:r>
          </w:p>
        </w:tc>
      </w:tr>
      <w:tr>
        <w:trPr>
          <w:trHeight w:val="560" w:hRule="atLeast"/>
        </w:trPr>
        <w:tc>
          <w:tcPr>
            <w:tcW w:w="669" w:type="dxa"/>
          </w:tcPr>
          <w:p>
            <w:pPr>
              <w:pStyle w:val="TableParagraph"/>
              <w:spacing w:before="147"/>
              <w:rPr>
                <w:rFonts w:ascii="Times New Roman"/>
                <w:b/>
                <w:sz w:val="21"/>
              </w:rPr>
            </w:pPr>
            <w:r>
              <w:rPr>
                <w:rFonts w:ascii="Times New Roman"/>
                <w:b/>
                <w:sz w:val="21"/>
              </w:rPr>
              <w:t>1.4</w:t>
            </w:r>
          </w:p>
        </w:tc>
        <w:tc>
          <w:tcPr>
            <w:tcW w:w="1737" w:type="dxa"/>
          </w:tcPr>
          <w:p>
            <w:pPr>
              <w:pStyle w:val="TableParagraph"/>
              <w:spacing w:before="52"/>
              <w:ind w:left="169"/>
              <w:rPr>
                <w:rFonts w:ascii="微软雅黑" w:eastAsia="微软雅黑" w:hint="eastAsia"/>
                <w:b/>
                <w:sz w:val="21"/>
              </w:rPr>
            </w:pPr>
            <w:r>
              <w:rPr>
                <w:rFonts w:ascii="微软雅黑" w:eastAsia="微软雅黑" w:hint="eastAsia"/>
                <w:b/>
                <w:sz w:val="21"/>
              </w:rPr>
              <w:t>犹豫期</w:t>
            </w:r>
          </w:p>
        </w:tc>
        <w:tc>
          <w:tcPr>
            <w:tcW w:w="7172" w:type="dxa"/>
          </w:tcPr>
          <w:p>
            <w:pPr>
              <w:pStyle w:val="TableParagraph"/>
              <w:spacing w:before="114"/>
              <w:ind w:left="95"/>
              <w:rPr>
                <w:sz w:val="21"/>
              </w:rPr>
            </w:pPr>
            <w:r>
              <w:rPr>
                <w:sz w:val="21"/>
              </w:rPr>
              <w:t>与主险合同保持一致。</w:t>
            </w:r>
          </w:p>
        </w:tc>
      </w:tr>
      <w:tr>
        <w:trPr>
          <w:trHeight w:val="2191" w:hRule="atLeast"/>
        </w:trPr>
        <w:tc>
          <w:tcPr>
            <w:tcW w:w="669" w:type="dxa"/>
          </w:tcPr>
          <w:p>
            <w:pPr>
              <w:pStyle w:val="TableParagraph"/>
              <w:spacing w:before="162"/>
              <w:rPr>
                <w:rFonts w:ascii="Times New Roman"/>
                <w:b/>
                <w:sz w:val="21"/>
              </w:rPr>
            </w:pPr>
            <w:r>
              <w:rPr>
                <w:rFonts w:ascii="Times New Roman"/>
                <w:b/>
                <w:sz w:val="21"/>
              </w:rPr>
              <w:t>1.5</w:t>
            </w:r>
          </w:p>
        </w:tc>
        <w:tc>
          <w:tcPr>
            <w:tcW w:w="1737" w:type="dxa"/>
          </w:tcPr>
          <w:p>
            <w:pPr>
              <w:pStyle w:val="TableParagraph"/>
              <w:spacing w:line="180" w:lineRule="auto" w:before="158"/>
              <w:ind w:left="169" w:right="298"/>
              <w:rPr>
                <w:rFonts w:ascii="微软雅黑" w:eastAsia="微软雅黑" w:hint="eastAsia"/>
                <w:b/>
                <w:sz w:val="21"/>
              </w:rPr>
            </w:pPr>
            <w:r>
              <w:rPr>
                <w:rFonts w:ascii="微软雅黑" w:eastAsia="微软雅黑" w:hint="eastAsia"/>
                <w:b/>
                <w:sz w:val="21"/>
              </w:rPr>
              <w:t>您解除合同的手续及风险</w:t>
            </w:r>
          </w:p>
        </w:tc>
        <w:tc>
          <w:tcPr>
            <w:tcW w:w="7172" w:type="dxa"/>
          </w:tcPr>
          <w:p>
            <w:pPr>
              <w:pStyle w:val="TableParagraph"/>
              <w:spacing w:before="130"/>
              <w:ind w:left="95" w:right="137"/>
              <w:rPr>
                <w:sz w:val="21"/>
              </w:rPr>
            </w:pPr>
            <w:r>
              <w:rPr>
                <w:sz w:val="21"/>
              </w:rPr>
              <w:t>如您在犹豫期后申请解除本附加险合同，请填写解除合同申请书并向本公司提供下列资料：</w:t>
            </w:r>
          </w:p>
          <w:p>
            <w:pPr>
              <w:pStyle w:val="TableParagraph"/>
              <w:numPr>
                <w:ilvl w:val="0"/>
                <w:numId w:val="4"/>
              </w:numPr>
              <w:tabs>
                <w:tab w:pos="663" w:val="left" w:leader="none"/>
              </w:tabs>
              <w:spacing w:line="246" w:lineRule="exact" w:before="0" w:after="0"/>
              <w:ind w:left="662" w:right="0" w:hanging="567"/>
              <w:jc w:val="left"/>
              <w:rPr>
                <w:sz w:val="21"/>
              </w:rPr>
            </w:pPr>
            <w:r>
              <w:rPr>
                <w:spacing w:val="-3"/>
                <w:sz w:val="21"/>
              </w:rPr>
              <w:t>本附加险合同原件；</w:t>
            </w:r>
          </w:p>
          <w:p>
            <w:pPr>
              <w:pStyle w:val="TableParagraph"/>
              <w:numPr>
                <w:ilvl w:val="0"/>
                <w:numId w:val="4"/>
              </w:numPr>
              <w:tabs>
                <w:tab w:pos="663" w:val="left" w:leader="none"/>
              </w:tabs>
              <w:spacing w:line="308" w:lineRule="exact" w:before="0" w:after="0"/>
              <w:ind w:left="662" w:right="0" w:hanging="567"/>
              <w:jc w:val="left"/>
              <w:rPr>
                <w:sz w:val="21"/>
              </w:rPr>
            </w:pPr>
            <w:r>
              <w:rPr>
                <w:spacing w:val="-2"/>
                <w:w w:val="100"/>
                <w:sz w:val="21"/>
              </w:rPr>
              <w:t>您的</w:t>
            </w:r>
            <w:r>
              <w:rPr>
                <w:rFonts w:ascii="微软雅黑" w:eastAsia="微软雅黑" w:hint="eastAsia"/>
                <w:b/>
                <w:w w:val="100"/>
                <w:sz w:val="21"/>
              </w:rPr>
              <w:t>有效身份证件</w:t>
            </w:r>
            <w:r>
              <w:rPr>
                <w:spacing w:val="-3"/>
                <w:w w:val="100"/>
                <w:sz w:val="21"/>
              </w:rPr>
              <w:t>（</w:t>
            </w:r>
            <w:r>
              <w:rPr>
                <w:spacing w:val="-2"/>
                <w:w w:val="100"/>
                <w:sz w:val="21"/>
              </w:rPr>
              <w:t>见释义</w:t>
            </w:r>
            <w:r>
              <w:rPr>
                <w:spacing w:val="-52"/>
                <w:sz w:val="21"/>
              </w:rPr>
              <w:t> </w:t>
            </w:r>
            <w:r>
              <w:rPr>
                <w:rFonts w:ascii="Times New Roman" w:eastAsia="Times New Roman"/>
                <w:w w:val="100"/>
                <w:sz w:val="21"/>
              </w:rPr>
              <w:t>7.3</w:t>
            </w:r>
            <w:r>
              <w:rPr>
                <w:spacing w:val="-108"/>
                <w:w w:val="100"/>
                <w:sz w:val="21"/>
              </w:rPr>
              <w:t>）</w:t>
            </w:r>
            <w:r>
              <w:rPr>
                <w:w w:val="100"/>
                <w:sz w:val="21"/>
              </w:rPr>
              <w:t>。</w:t>
            </w:r>
          </w:p>
          <w:p>
            <w:pPr>
              <w:pStyle w:val="TableParagraph"/>
              <w:spacing w:line="187" w:lineRule="auto" w:before="46"/>
              <w:ind w:left="95" w:right="137"/>
              <w:rPr>
                <w:rFonts w:ascii="微软雅黑" w:eastAsia="微软雅黑" w:hint="eastAsia"/>
                <w:b/>
                <w:sz w:val="21"/>
              </w:rPr>
            </w:pPr>
            <w:r>
              <w:rPr>
                <w:spacing w:val="-3"/>
                <w:sz w:val="21"/>
              </w:rPr>
              <w:t>自本公司收到解除合同申请书时起，本附加险合同终止。本公司自收到解除</w:t>
            </w:r>
            <w:r>
              <w:rPr>
                <w:spacing w:val="-3"/>
                <w:w w:val="100"/>
                <w:sz w:val="21"/>
              </w:rPr>
              <w:t>合同申请书之日起</w:t>
            </w:r>
            <w:r>
              <w:rPr>
                <w:spacing w:val="-52"/>
                <w:sz w:val="21"/>
              </w:rPr>
              <w:t> </w:t>
            </w:r>
            <w:r>
              <w:rPr>
                <w:rFonts w:ascii="Times New Roman" w:eastAsia="Times New Roman"/>
                <w:spacing w:val="-3"/>
                <w:w w:val="100"/>
                <w:sz w:val="21"/>
              </w:rPr>
              <w:t>3</w:t>
            </w:r>
            <w:r>
              <w:rPr>
                <w:rFonts w:ascii="Times New Roman" w:eastAsia="Times New Roman"/>
                <w:w w:val="100"/>
                <w:sz w:val="21"/>
              </w:rPr>
              <w:t>0</w:t>
            </w:r>
            <w:r>
              <w:rPr>
                <w:rFonts w:ascii="Times New Roman" w:eastAsia="Times New Roman"/>
                <w:sz w:val="21"/>
              </w:rPr>
              <w:t> </w:t>
            </w:r>
            <w:r>
              <w:rPr>
                <w:spacing w:val="-3"/>
                <w:w w:val="100"/>
                <w:sz w:val="21"/>
              </w:rPr>
              <w:t>日内向您退还保险单的</w:t>
            </w:r>
            <w:r>
              <w:rPr>
                <w:rFonts w:ascii="微软雅黑" w:eastAsia="微软雅黑" w:hint="eastAsia"/>
                <w:b/>
                <w:w w:val="100"/>
                <w:sz w:val="21"/>
              </w:rPr>
              <w:t>未满期净保费</w:t>
            </w:r>
            <w:r>
              <w:rPr>
                <w:w w:val="100"/>
                <w:sz w:val="21"/>
              </w:rPr>
              <w:t>（</w:t>
            </w:r>
            <w:r>
              <w:rPr>
                <w:spacing w:val="-2"/>
                <w:w w:val="100"/>
                <w:sz w:val="21"/>
              </w:rPr>
              <w:t>见释义</w:t>
            </w:r>
            <w:r>
              <w:rPr>
                <w:spacing w:val="-53"/>
                <w:sz w:val="21"/>
              </w:rPr>
              <w:t> </w:t>
            </w:r>
            <w:r>
              <w:rPr>
                <w:rFonts w:ascii="Times New Roman" w:eastAsia="Times New Roman"/>
                <w:w w:val="100"/>
                <w:sz w:val="21"/>
              </w:rPr>
              <w:t>7.4</w:t>
            </w:r>
            <w:r>
              <w:rPr>
                <w:spacing w:val="-108"/>
                <w:w w:val="100"/>
                <w:sz w:val="21"/>
              </w:rPr>
              <w:t>）。</w:t>
            </w:r>
            <w:r>
              <w:rPr>
                <w:rFonts w:ascii="微软雅黑" w:eastAsia="微软雅黑" w:hint="eastAsia"/>
                <w:b/>
                <w:w w:val="100"/>
                <w:sz w:val="21"/>
              </w:rPr>
              <w:t> </w:t>
            </w:r>
            <w:r>
              <w:rPr>
                <w:rFonts w:ascii="微软雅黑" w:eastAsia="微软雅黑" w:hint="eastAsia"/>
                <w:b/>
                <w:spacing w:val="-2"/>
                <w:sz w:val="21"/>
              </w:rPr>
              <w:t>您在犹豫期后解除合同会有一定损失。</w:t>
            </w:r>
          </w:p>
        </w:tc>
      </w:tr>
      <w:tr>
        <w:trPr>
          <w:trHeight w:val="639" w:hRule="atLeast"/>
        </w:trPr>
        <w:tc>
          <w:tcPr>
            <w:tcW w:w="669" w:type="dxa"/>
            <w:tcBorders>
              <w:bottom w:val="single" w:sz="8" w:space="0" w:color="000000"/>
            </w:tcBorders>
          </w:tcPr>
          <w:p>
            <w:pPr>
              <w:pStyle w:val="TableParagraph"/>
              <w:spacing w:line="469" w:lineRule="exact" w:before="150"/>
              <w:rPr>
                <w:rFonts w:ascii="Wingdings" w:hAnsi="Wingdings"/>
                <w:b/>
                <w:sz w:val="44"/>
              </w:rPr>
            </w:pPr>
            <w:r>
              <w:rPr>
                <w:rFonts w:ascii="Wingdings" w:hAnsi="Wingdings"/>
                <w:b/>
                <w:w w:val="99"/>
                <w:sz w:val="44"/>
              </w:rPr>
              <w:t></w:t>
            </w:r>
          </w:p>
        </w:tc>
        <w:tc>
          <w:tcPr>
            <w:tcW w:w="8909" w:type="dxa"/>
            <w:gridSpan w:val="2"/>
            <w:tcBorders>
              <w:bottom w:val="single" w:sz="8" w:space="0" w:color="000000"/>
            </w:tcBorders>
          </w:tcPr>
          <w:p>
            <w:pPr>
              <w:pStyle w:val="TableParagraph"/>
              <w:spacing w:before="129"/>
              <w:ind w:left="169"/>
              <w:rPr>
                <w:rFonts w:ascii="微软雅黑" w:eastAsia="微软雅黑" w:hint="eastAsia"/>
                <w:b/>
                <w:sz w:val="24"/>
              </w:rPr>
            </w:pPr>
            <w:r>
              <w:rPr>
                <w:rFonts w:ascii="微软雅黑" w:eastAsia="微软雅黑" w:hint="eastAsia"/>
                <w:b/>
                <w:sz w:val="24"/>
              </w:rPr>
              <w:t>我们提供的保障</w:t>
            </w:r>
          </w:p>
        </w:tc>
      </w:tr>
      <w:tr>
        <w:trPr>
          <w:trHeight w:val="604" w:hRule="atLeast"/>
        </w:trPr>
        <w:tc>
          <w:tcPr>
            <w:tcW w:w="669" w:type="dxa"/>
            <w:tcBorders>
              <w:top w:val="single" w:sz="8" w:space="0" w:color="000000"/>
            </w:tcBorders>
          </w:tcPr>
          <w:p>
            <w:pPr>
              <w:pStyle w:val="TableParagraph"/>
              <w:spacing w:before="10"/>
              <w:ind w:left="0"/>
              <w:rPr>
                <w:sz w:val="15"/>
              </w:rPr>
            </w:pPr>
          </w:p>
          <w:p>
            <w:pPr>
              <w:pStyle w:val="TableParagraph"/>
              <w:rPr>
                <w:rFonts w:ascii="Times New Roman"/>
                <w:b/>
                <w:sz w:val="21"/>
              </w:rPr>
            </w:pPr>
            <w:r>
              <w:rPr>
                <w:rFonts w:ascii="Times New Roman"/>
                <w:b/>
                <w:sz w:val="21"/>
              </w:rPr>
              <w:t>2.1</w:t>
            </w:r>
          </w:p>
        </w:tc>
        <w:tc>
          <w:tcPr>
            <w:tcW w:w="1737" w:type="dxa"/>
            <w:tcBorders>
              <w:top w:val="single" w:sz="8" w:space="0" w:color="000000"/>
            </w:tcBorders>
          </w:tcPr>
          <w:p>
            <w:pPr>
              <w:pStyle w:val="TableParagraph"/>
              <w:spacing w:before="112"/>
              <w:ind w:left="169"/>
              <w:rPr>
                <w:rFonts w:ascii="微软雅黑" w:eastAsia="微软雅黑" w:hint="eastAsia"/>
                <w:b/>
                <w:sz w:val="21"/>
              </w:rPr>
            </w:pPr>
            <w:r>
              <w:rPr>
                <w:rFonts w:ascii="微软雅黑" w:eastAsia="微软雅黑" w:hint="eastAsia"/>
                <w:b/>
                <w:sz w:val="21"/>
              </w:rPr>
              <w:t>保险金额</w:t>
            </w:r>
          </w:p>
        </w:tc>
        <w:tc>
          <w:tcPr>
            <w:tcW w:w="7172" w:type="dxa"/>
            <w:tcBorders>
              <w:top w:val="single" w:sz="8" w:space="0" w:color="000000"/>
            </w:tcBorders>
          </w:tcPr>
          <w:p>
            <w:pPr>
              <w:pStyle w:val="TableParagraph"/>
              <w:spacing w:before="174"/>
              <w:ind w:left="128"/>
              <w:rPr>
                <w:sz w:val="21"/>
              </w:rPr>
            </w:pPr>
            <w:r>
              <w:rPr>
                <w:sz w:val="21"/>
              </w:rPr>
              <w:t>本附加险合同的保险金额由您与我们在投保时约定，并在保险单上载明。</w:t>
            </w:r>
          </w:p>
        </w:tc>
      </w:tr>
      <w:tr>
        <w:trPr>
          <w:trHeight w:val="815" w:hRule="atLeast"/>
        </w:trPr>
        <w:tc>
          <w:tcPr>
            <w:tcW w:w="669" w:type="dxa"/>
          </w:tcPr>
          <w:p>
            <w:pPr>
              <w:pStyle w:val="TableParagraph"/>
              <w:spacing w:before="147"/>
              <w:rPr>
                <w:rFonts w:ascii="Times New Roman"/>
                <w:b/>
                <w:sz w:val="21"/>
              </w:rPr>
            </w:pPr>
            <w:r>
              <w:rPr>
                <w:rFonts w:ascii="Times New Roman"/>
                <w:b/>
                <w:sz w:val="21"/>
              </w:rPr>
              <w:t>2.2</w:t>
            </w:r>
          </w:p>
        </w:tc>
        <w:tc>
          <w:tcPr>
            <w:tcW w:w="1737" w:type="dxa"/>
          </w:tcPr>
          <w:p>
            <w:pPr>
              <w:pStyle w:val="TableParagraph"/>
              <w:spacing w:before="52"/>
              <w:ind w:left="169"/>
              <w:rPr>
                <w:rFonts w:ascii="微软雅黑" w:eastAsia="微软雅黑" w:hint="eastAsia"/>
                <w:b/>
                <w:sz w:val="21"/>
              </w:rPr>
            </w:pPr>
            <w:r>
              <w:rPr>
                <w:rFonts w:ascii="微软雅黑" w:eastAsia="微软雅黑" w:hint="eastAsia"/>
                <w:b/>
                <w:sz w:val="21"/>
              </w:rPr>
              <w:t>保险期间</w:t>
            </w:r>
          </w:p>
        </w:tc>
        <w:tc>
          <w:tcPr>
            <w:tcW w:w="7172" w:type="dxa"/>
          </w:tcPr>
          <w:p>
            <w:pPr>
              <w:pStyle w:val="TableParagraph"/>
              <w:spacing w:line="237" w:lineRule="auto" w:before="117"/>
              <w:ind w:left="128" w:right="101"/>
              <w:rPr>
                <w:sz w:val="21"/>
              </w:rPr>
            </w:pPr>
            <w:r>
              <w:rPr>
                <w:spacing w:val="-11"/>
                <w:sz w:val="21"/>
              </w:rPr>
              <w:t>本附加险合同的保险期间为一年，最高可续保至被保险人年满 </w:t>
            </w:r>
            <w:r>
              <w:rPr>
                <w:sz w:val="21"/>
              </w:rPr>
              <w:t>70</w:t>
            </w:r>
            <w:r>
              <w:rPr>
                <w:spacing w:val="-9"/>
                <w:sz w:val="21"/>
              </w:rPr>
              <w:t> 周岁的保单</w:t>
            </w:r>
            <w:r>
              <w:rPr>
                <w:spacing w:val="-3"/>
                <w:sz w:val="21"/>
              </w:rPr>
              <w:t>年度末，但另有约定的除外。</w:t>
            </w:r>
          </w:p>
        </w:tc>
      </w:tr>
      <w:tr>
        <w:trPr>
          <w:trHeight w:val="553" w:hRule="atLeast"/>
        </w:trPr>
        <w:tc>
          <w:tcPr>
            <w:tcW w:w="669" w:type="dxa"/>
          </w:tcPr>
          <w:p>
            <w:pPr>
              <w:pStyle w:val="TableParagraph"/>
              <w:spacing w:before="147"/>
              <w:rPr>
                <w:rFonts w:ascii="Times New Roman"/>
                <w:b/>
                <w:sz w:val="21"/>
              </w:rPr>
            </w:pPr>
            <w:r>
              <w:rPr>
                <w:rFonts w:ascii="Times New Roman"/>
                <w:b/>
                <w:sz w:val="21"/>
              </w:rPr>
              <w:t>2.3</w:t>
            </w:r>
          </w:p>
        </w:tc>
        <w:tc>
          <w:tcPr>
            <w:tcW w:w="1737" w:type="dxa"/>
          </w:tcPr>
          <w:p>
            <w:pPr>
              <w:pStyle w:val="TableParagraph"/>
              <w:spacing w:before="52"/>
              <w:ind w:left="169"/>
              <w:rPr>
                <w:rFonts w:ascii="微软雅黑" w:eastAsia="微软雅黑" w:hint="eastAsia"/>
                <w:b/>
                <w:sz w:val="21"/>
              </w:rPr>
            </w:pPr>
            <w:r>
              <w:rPr>
                <w:rFonts w:ascii="微软雅黑" w:eastAsia="微软雅黑" w:hint="eastAsia"/>
                <w:b/>
                <w:sz w:val="21"/>
              </w:rPr>
              <w:t>保险责任</w:t>
            </w:r>
          </w:p>
        </w:tc>
        <w:tc>
          <w:tcPr>
            <w:tcW w:w="7172" w:type="dxa"/>
          </w:tcPr>
          <w:p>
            <w:pPr>
              <w:pStyle w:val="TableParagraph"/>
              <w:spacing w:before="114"/>
              <w:ind w:left="128"/>
              <w:rPr>
                <w:sz w:val="21"/>
              </w:rPr>
            </w:pPr>
            <w:r>
              <w:rPr>
                <w:sz w:val="21"/>
              </w:rPr>
              <w:t>在本附加险合同保险期间内，本公司承担如下保险责任：</w:t>
            </w:r>
          </w:p>
        </w:tc>
      </w:tr>
      <w:tr>
        <w:trPr>
          <w:trHeight w:val="1913" w:hRule="atLeast"/>
        </w:trPr>
        <w:tc>
          <w:tcPr>
            <w:tcW w:w="669" w:type="dxa"/>
          </w:tcPr>
          <w:p>
            <w:pPr>
              <w:pStyle w:val="TableParagraph"/>
              <w:ind w:left="0"/>
              <w:rPr>
                <w:rFonts w:ascii="Times New Roman"/>
                <w:sz w:val="20"/>
              </w:rPr>
            </w:pPr>
          </w:p>
        </w:tc>
        <w:tc>
          <w:tcPr>
            <w:tcW w:w="1737" w:type="dxa"/>
          </w:tcPr>
          <w:p>
            <w:pPr>
              <w:pStyle w:val="TableParagraph"/>
              <w:spacing w:before="106"/>
              <w:ind w:left="169"/>
              <w:rPr>
                <w:sz w:val="21"/>
              </w:rPr>
            </w:pPr>
            <w:r>
              <w:rPr>
                <w:sz w:val="21"/>
              </w:rPr>
              <w:t>等待期</w:t>
            </w:r>
          </w:p>
        </w:tc>
        <w:tc>
          <w:tcPr>
            <w:tcW w:w="7172" w:type="dxa"/>
          </w:tcPr>
          <w:p>
            <w:pPr>
              <w:pStyle w:val="TableParagraph"/>
              <w:spacing w:line="199" w:lineRule="auto" w:before="156"/>
              <w:ind w:left="128" w:right="-15"/>
              <w:rPr>
                <w:sz w:val="21"/>
              </w:rPr>
            </w:pPr>
            <w:r>
              <w:rPr>
                <w:spacing w:val="-3"/>
                <w:sz w:val="21"/>
              </w:rPr>
              <w:t>被保险人在本附加险合同生效（或最后复效）</w:t>
            </w:r>
            <w:r>
              <w:rPr>
                <w:spacing w:val="-13"/>
                <w:sz w:val="21"/>
              </w:rPr>
              <w:t>之日起 </w:t>
            </w:r>
            <w:r>
              <w:rPr>
                <w:rFonts w:ascii="Times New Roman" w:eastAsia="Times New Roman"/>
                <w:sz w:val="21"/>
              </w:rPr>
              <w:t>180</w:t>
            </w:r>
            <w:r>
              <w:rPr>
                <w:rFonts w:ascii="Times New Roman" w:eastAsia="Times New Roman"/>
                <w:spacing w:val="5"/>
                <w:sz w:val="21"/>
              </w:rPr>
              <w:t> </w:t>
            </w:r>
            <w:r>
              <w:rPr>
                <w:spacing w:val="-3"/>
                <w:sz w:val="21"/>
              </w:rPr>
              <w:t>天内初次罹患本附</w:t>
            </w:r>
            <w:r>
              <w:rPr>
                <w:spacing w:val="-3"/>
                <w:w w:val="100"/>
                <w:sz w:val="21"/>
              </w:rPr>
              <w:t>加险合同所定义的</w:t>
            </w:r>
            <w:r>
              <w:rPr>
                <w:rFonts w:ascii="微软雅黑" w:eastAsia="微软雅黑" w:hint="eastAsia"/>
                <w:b/>
                <w:w w:val="100"/>
                <w:sz w:val="21"/>
              </w:rPr>
              <w:t>重大疾病</w:t>
            </w:r>
            <w:r>
              <w:rPr>
                <w:w w:val="100"/>
                <w:sz w:val="21"/>
              </w:rPr>
              <w:t>（</w:t>
            </w:r>
            <w:r>
              <w:rPr>
                <w:spacing w:val="-2"/>
                <w:w w:val="100"/>
                <w:sz w:val="21"/>
              </w:rPr>
              <w:t>见释义</w:t>
            </w:r>
            <w:r>
              <w:rPr>
                <w:spacing w:val="-53"/>
                <w:sz w:val="21"/>
              </w:rPr>
              <w:t> </w:t>
            </w:r>
            <w:r>
              <w:rPr>
                <w:rFonts w:ascii="Times New Roman" w:eastAsia="Times New Roman"/>
                <w:spacing w:val="-3"/>
                <w:w w:val="100"/>
                <w:sz w:val="21"/>
              </w:rPr>
              <w:t>7</w:t>
            </w:r>
            <w:r>
              <w:rPr>
                <w:rFonts w:ascii="Times New Roman" w:eastAsia="Times New Roman"/>
                <w:w w:val="100"/>
                <w:sz w:val="21"/>
              </w:rPr>
              <w:t>.5</w:t>
            </w:r>
            <w:r>
              <w:rPr>
                <w:spacing w:val="-108"/>
                <w:w w:val="100"/>
                <w:sz w:val="21"/>
              </w:rPr>
              <w:t>）</w:t>
            </w:r>
            <w:r>
              <w:rPr>
                <w:w w:val="100"/>
                <w:sz w:val="21"/>
              </w:rPr>
              <w:t>（</w:t>
            </w:r>
            <w:r>
              <w:rPr>
                <w:spacing w:val="-3"/>
                <w:w w:val="100"/>
                <w:sz w:val="21"/>
              </w:rPr>
              <w:t>无论一种或多种</w:t>
            </w:r>
            <w:r>
              <w:rPr>
                <w:spacing w:val="-108"/>
                <w:w w:val="100"/>
                <w:sz w:val="21"/>
              </w:rPr>
              <w:t>）</w:t>
            </w:r>
            <w:r>
              <w:rPr>
                <w:spacing w:val="-3"/>
                <w:w w:val="100"/>
                <w:sz w:val="21"/>
              </w:rPr>
              <w:t>，本公司将无 </w:t>
            </w:r>
            <w:r>
              <w:rPr>
                <w:spacing w:val="-7"/>
                <w:sz w:val="21"/>
              </w:rPr>
              <w:t>息返还您在等待期内所交的本附加险合同的风险保险费，本附加险合同终止。</w:t>
            </w:r>
          </w:p>
          <w:p>
            <w:pPr>
              <w:pStyle w:val="TableParagraph"/>
              <w:spacing w:line="247" w:lineRule="exact"/>
              <w:ind w:left="128"/>
              <w:rPr>
                <w:sz w:val="21"/>
              </w:rPr>
            </w:pPr>
            <w:r>
              <w:rPr>
                <w:sz w:val="21"/>
              </w:rPr>
              <w:t>这 </w:t>
            </w:r>
            <w:r>
              <w:rPr>
                <w:rFonts w:ascii="Times New Roman" w:eastAsia="Times New Roman"/>
                <w:sz w:val="21"/>
              </w:rPr>
              <w:t>180 </w:t>
            </w:r>
            <w:r>
              <w:rPr>
                <w:sz w:val="21"/>
              </w:rPr>
              <w:t>天的时间称为等待期。</w:t>
            </w:r>
          </w:p>
          <w:p>
            <w:pPr>
              <w:pStyle w:val="TableParagraph"/>
              <w:spacing w:line="216" w:lineRule="auto"/>
              <w:ind w:left="128" w:right="148"/>
              <w:rPr>
                <w:sz w:val="21"/>
              </w:rPr>
            </w:pPr>
            <w:r>
              <w:rPr>
                <w:sz w:val="21"/>
              </w:rPr>
              <w:t>被保险人因</w:t>
            </w:r>
            <w:r>
              <w:rPr>
                <w:rFonts w:ascii="微软雅黑" w:eastAsia="微软雅黑" w:hint="eastAsia"/>
                <w:b/>
                <w:sz w:val="21"/>
              </w:rPr>
              <w:t>意外伤害</w:t>
            </w:r>
            <w:r>
              <w:rPr>
                <w:sz w:val="21"/>
              </w:rPr>
              <w:t>（见释义 </w:t>
            </w:r>
            <w:r>
              <w:rPr>
                <w:rFonts w:ascii="Times New Roman" w:eastAsia="Times New Roman"/>
                <w:sz w:val="21"/>
              </w:rPr>
              <w:t>7.6</w:t>
            </w:r>
            <w:r>
              <w:rPr>
                <w:sz w:val="21"/>
              </w:rPr>
              <w:t>）导致本附加险合同定义的重大疾病或您按本附加险合同第 </w:t>
            </w:r>
            <w:r>
              <w:rPr>
                <w:rFonts w:ascii="Times New Roman" w:eastAsia="Times New Roman"/>
                <w:sz w:val="21"/>
              </w:rPr>
              <w:t>2.6</w:t>
            </w:r>
            <w:r>
              <w:rPr>
                <w:sz w:val="21"/>
              </w:rPr>
              <w:t>、</w:t>
            </w:r>
            <w:r>
              <w:rPr>
                <w:rFonts w:ascii="Times New Roman" w:eastAsia="Times New Roman"/>
                <w:sz w:val="21"/>
              </w:rPr>
              <w:t>2.7 </w:t>
            </w:r>
            <w:r>
              <w:rPr>
                <w:sz w:val="21"/>
              </w:rPr>
              <w:t>条续保本附加险合同，则无等待期。</w:t>
            </w:r>
          </w:p>
        </w:tc>
      </w:tr>
      <w:tr>
        <w:trPr>
          <w:trHeight w:val="1462" w:hRule="atLeast"/>
        </w:trPr>
        <w:tc>
          <w:tcPr>
            <w:tcW w:w="669" w:type="dxa"/>
          </w:tcPr>
          <w:p>
            <w:pPr>
              <w:pStyle w:val="TableParagraph"/>
              <w:ind w:left="0"/>
              <w:rPr>
                <w:rFonts w:ascii="Times New Roman"/>
                <w:sz w:val="20"/>
              </w:rPr>
            </w:pPr>
          </w:p>
        </w:tc>
        <w:tc>
          <w:tcPr>
            <w:tcW w:w="1737" w:type="dxa"/>
          </w:tcPr>
          <w:p>
            <w:pPr>
              <w:pStyle w:val="TableParagraph"/>
              <w:spacing w:before="98"/>
              <w:ind w:left="169"/>
              <w:rPr>
                <w:sz w:val="21"/>
              </w:rPr>
            </w:pPr>
            <w:r>
              <w:rPr>
                <w:sz w:val="21"/>
              </w:rPr>
              <w:t>重大疾病保险金</w:t>
            </w:r>
          </w:p>
        </w:tc>
        <w:tc>
          <w:tcPr>
            <w:tcW w:w="7172" w:type="dxa"/>
          </w:tcPr>
          <w:p>
            <w:pPr>
              <w:pStyle w:val="TableParagraph"/>
              <w:spacing w:line="228" w:lineRule="auto" w:before="54"/>
              <w:ind w:left="128" w:right="103"/>
              <w:rPr>
                <w:sz w:val="21"/>
              </w:rPr>
            </w:pPr>
            <w:r>
              <w:rPr>
                <w:sz w:val="21"/>
              </w:rPr>
              <w:t>被保险人经</w:t>
            </w:r>
            <w:r>
              <w:rPr>
                <w:rFonts w:ascii="微软雅黑" w:eastAsia="微软雅黑" w:hint="eastAsia"/>
                <w:b/>
                <w:sz w:val="21"/>
              </w:rPr>
              <w:t>医院</w:t>
            </w:r>
            <w:r>
              <w:rPr>
                <w:sz w:val="21"/>
              </w:rPr>
              <w:t>（见释义</w:t>
            </w:r>
            <w:r>
              <w:rPr>
                <w:rFonts w:ascii="Times New Roman" w:eastAsia="Times New Roman"/>
                <w:sz w:val="21"/>
              </w:rPr>
              <w:t>7.7</w:t>
            </w:r>
            <w:r>
              <w:rPr>
                <w:sz w:val="21"/>
              </w:rPr>
              <w:t>）的</w:t>
            </w:r>
            <w:r>
              <w:rPr>
                <w:rFonts w:ascii="微软雅黑" w:eastAsia="微软雅黑" w:hint="eastAsia"/>
                <w:b/>
                <w:sz w:val="21"/>
              </w:rPr>
              <w:t>专科医生</w:t>
            </w:r>
            <w:r>
              <w:rPr>
                <w:sz w:val="21"/>
              </w:rPr>
              <w:t>（见释义</w:t>
            </w:r>
            <w:r>
              <w:rPr>
                <w:rFonts w:ascii="Times New Roman" w:eastAsia="Times New Roman"/>
                <w:sz w:val="21"/>
              </w:rPr>
              <w:t>7.8</w:t>
            </w:r>
            <w:r>
              <w:rPr>
                <w:sz w:val="21"/>
              </w:rPr>
              <w:t>）确诊因意外伤害或于等待期后经医院的专科医生确诊因非意外伤害导致初次罹患本附加险合同所指的重大疾病（无论一种或多种）并生存满</w:t>
            </w:r>
            <w:r>
              <w:rPr>
                <w:rFonts w:ascii="Times New Roman" w:eastAsia="Times New Roman"/>
                <w:sz w:val="21"/>
              </w:rPr>
              <w:t>30</w:t>
            </w:r>
            <w:r>
              <w:rPr>
                <w:sz w:val="21"/>
              </w:rPr>
              <w:t>日后，本公司按本附加险合</w:t>
            </w:r>
          </w:p>
          <w:p>
            <w:pPr>
              <w:pStyle w:val="TableParagraph"/>
              <w:spacing w:line="272" w:lineRule="exact" w:before="10"/>
              <w:ind w:left="128" w:right="103"/>
              <w:rPr>
                <w:sz w:val="21"/>
              </w:rPr>
            </w:pPr>
            <w:r>
              <w:rPr>
                <w:sz w:val="21"/>
              </w:rPr>
              <w:t>同约定的保险金额给付重大疾病保险金，本附加险合同终止，主险合同仍然有效。</w:t>
            </w:r>
          </w:p>
        </w:tc>
      </w:tr>
    </w:tbl>
    <w:p>
      <w:pPr>
        <w:spacing w:after="0" w:line="272" w:lineRule="exact"/>
        <w:rPr>
          <w:sz w:val="21"/>
        </w:rPr>
        <w:sectPr>
          <w:footerReference w:type="default" r:id="rId10"/>
          <w:pgSz w:w="11910" w:h="16840"/>
          <w:pgMar w:footer="960" w:header="877" w:top="1080" w:bottom="1140" w:left="1060" w:right="1020"/>
          <w:pgNumType w:start="2"/>
        </w:sectPr>
      </w:pPr>
    </w:p>
    <w:p>
      <w:pPr>
        <w:pStyle w:val="BodyText"/>
        <w:spacing w:before="4"/>
        <w:rPr>
          <w:rFonts w:ascii="Times New Roman"/>
          <w:sz w:val="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6"/>
        <w:gridCol w:w="1756"/>
        <w:gridCol w:w="7152"/>
      </w:tblGrid>
      <w:tr>
        <w:trPr>
          <w:trHeight w:val="2077" w:hRule="atLeast"/>
        </w:trPr>
        <w:tc>
          <w:tcPr>
            <w:tcW w:w="676" w:type="dxa"/>
            <w:tcBorders>
              <w:top w:val="single" w:sz="6" w:space="0" w:color="000000"/>
            </w:tcBorders>
          </w:tcPr>
          <w:p>
            <w:pPr>
              <w:pStyle w:val="TableParagraph"/>
              <w:spacing w:before="6"/>
              <w:ind w:left="0"/>
              <w:rPr>
                <w:rFonts w:ascii="Times New Roman"/>
                <w:sz w:val="27"/>
              </w:rPr>
            </w:pPr>
          </w:p>
          <w:p>
            <w:pPr>
              <w:pStyle w:val="TableParagraph"/>
              <w:ind w:left="115"/>
              <w:rPr>
                <w:rFonts w:ascii="Times New Roman"/>
                <w:b/>
                <w:sz w:val="21"/>
              </w:rPr>
            </w:pPr>
            <w:r>
              <w:rPr>
                <w:rFonts w:ascii="Times New Roman"/>
                <w:b/>
                <w:sz w:val="21"/>
              </w:rPr>
              <w:t>2.4</w:t>
            </w:r>
          </w:p>
        </w:tc>
        <w:tc>
          <w:tcPr>
            <w:tcW w:w="1756" w:type="dxa"/>
            <w:tcBorders>
              <w:top w:val="single" w:sz="6" w:space="0" w:color="000000"/>
            </w:tcBorders>
          </w:tcPr>
          <w:p>
            <w:pPr>
              <w:pStyle w:val="TableParagraph"/>
              <w:spacing w:before="3"/>
              <w:ind w:left="0"/>
              <w:rPr>
                <w:rFonts w:ascii="Times New Roman"/>
                <w:sz w:val="19"/>
              </w:rPr>
            </w:pPr>
          </w:p>
          <w:p>
            <w:pPr>
              <w:pStyle w:val="TableParagraph"/>
              <w:spacing w:before="1"/>
              <w:ind w:left="169"/>
              <w:rPr>
                <w:rFonts w:ascii="微软雅黑" w:eastAsia="微软雅黑" w:hint="eastAsia"/>
                <w:b/>
                <w:sz w:val="21"/>
              </w:rPr>
            </w:pPr>
            <w:r>
              <w:rPr>
                <w:rFonts w:ascii="微软雅黑" w:eastAsia="微软雅黑" w:hint="eastAsia"/>
                <w:b/>
                <w:sz w:val="21"/>
              </w:rPr>
              <w:t>责任免除</w:t>
            </w:r>
          </w:p>
        </w:tc>
        <w:tc>
          <w:tcPr>
            <w:tcW w:w="7152" w:type="dxa"/>
            <w:tcBorders>
              <w:top w:val="single" w:sz="6" w:space="0" w:color="000000"/>
            </w:tcBorders>
          </w:tcPr>
          <w:p>
            <w:pPr>
              <w:pStyle w:val="TableParagraph"/>
              <w:ind w:left="0"/>
              <w:rPr>
                <w:rFonts w:ascii="Times New Roman"/>
                <w:sz w:val="25"/>
              </w:rPr>
            </w:pPr>
          </w:p>
          <w:p>
            <w:pPr>
              <w:pStyle w:val="TableParagraph"/>
              <w:spacing w:line="237" w:lineRule="auto"/>
              <w:ind w:left="110" w:right="102"/>
              <w:rPr>
                <w:rFonts w:ascii="黑体" w:eastAsia="黑体" w:hint="eastAsia"/>
                <w:sz w:val="21"/>
              </w:rPr>
            </w:pPr>
            <w:r>
              <w:rPr>
                <w:rFonts w:ascii="黑体" w:eastAsia="黑体" w:hint="eastAsia"/>
                <w:sz w:val="21"/>
              </w:rPr>
              <w:t>因下列情形之一，导致被保险人发Th本附加险合同所定义的重大疾病的，本公司不承担给付保险金的责任：</w:t>
            </w:r>
          </w:p>
          <w:p>
            <w:pPr>
              <w:pStyle w:val="TableParagraph"/>
              <w:numPr>
                <w:ilvl w:val="0"/>
                <w:numId w:val="5"/>
              </w:numPr>
              <w:tabs>
                <w:tab w:pos="677" w:val="left" w:leader="none"/>
              </w:tabs>
              <w:spacing w:line="272" w:lineRule="exact" w:before="0" w:after="0"/>
              <w:ind w:left="677" w:right="0" w:hanging="567"/>
              <w:jc w:val="left"/>
              <w:rPr>
                <w:rFonts w:ascii="黑体" w:eastAsia="黑体" w:hint="eastAsia"/>
                <w:sz w:val="21"/>
              </w:rPr>
            </w:pPr>
            <w:r>
              <w:rPr>
                <w:rFonts w:ascii="黑体" w:eastAsia="黑体" w:hint="eastAsia"/>
                <w:spacing w:val="-3"/>
                <w:sz w:val="21"/>
              </w:rPr>
              <w:t>主险合同保险条款中责任免除所列各项情形；</w:t>
            </w:r>
          </w:p>
          <w:p>
            <w:pPr>
              <w:pStyle w:val="TableParagraph"/>
              <w:numPr>
                <w:ilvl w:val="0"/>
                <w:numId w:val="5"/>
              </w:numPr>
              <w:tabs>
                <w:tab w:pos="677" w:val="left" w:leader="none"/>
              </w:tabs>
              <w:spacing w:line="240" w:lineRule="auto" w:before="0" w:after="0"/>
              <w:ind w:left="677" w:right="107" w:hanging="567"/>
              <w:jc w:val="left"/>
              <w:rPr>
                <w:rFonts w:ascii="黑体" w:eastAsia="黑体" w:hint="eastAsia"/>
                <w:sz w:val="21"/>
              </w:rPr>
            </w:pPr>
            <w:r>
              <w:rPr>
                <w:rFonts w:ascii="黑体" w:eastAsia="黑体" w:hint="eastAsia"/>
                <w:sz w:val="21"/>
              </w:rPr>
              <w:t>被保险人因医疗事故、药物过敏或精神疾患（依照世界卫Th组织《疾</w:t>
            </w:r>
            <w:r>
              <w:rPr>
                <w:rFonts w:ascii="黑体" w:eastAsia="黑体" w:hint="eastAsia"/>
                <w:spacing w:val="-10"/>
                <w:sz w:val="21"/>
              </w:rPr>
              <w:t>病和有关健康问题的国际统计分类》</w:t>
            </w:r>
            <w:r>
              <w:rPr>
                <w:rFonts w:ascii="黑体" w:eastAsia="黑体" w:hint="eastAsia"/>
                <w:sz w:val="21"/>
              </w:rPr>
              <w:t>（ICD-10）</w:t>
            </w:r>
            <w:r>
              <w:rPr>
                <w:rFonts w:ascii="黑体" w:eastAsia="黑体" w:hint="eastAsia"/>
                <w:spacing w:val="-3"/>
                <w:sz w:val="21"/>
              </w:rPr>
              <w:t>确定</w:t>
            </w:r>
            <w:r>
              <w:rPr>
                <w:rFonts w:ascii="黑体" w:eastAsia="黑体" w:hint="eastAsia"/>
                <w:sz w:val="21"/>
              </w:rPr>
              <w:t>）</w:t>
            </w:r>
            <w:r>
              <w:rPr>
                <w:rFonts w:ascii="黑体" w:eastAsia="黑体" w:hint="eastAsia"/>
                <w:spacing w:val="-3"/>
                <w:sz w:val="21"/>
              </w:rPr>
              <w:t>导致的伤害；</w:t>
            </w:r>
          </w:p>
          <w:p>
            <w:pPr>
              <w:pStyle w:val="TableParagraph"/>
              <w:numPr>
                <w:ilvl w:val="0"/>
                <w:numId w:val="5"/>
              </w:numPr>
              <w:tabs>
                <w:tab w:pos="677" w:val="left" w:leader="none"/>
              </w:tabs>
              <w:spacing w:line="271" w:lineRule="exact" w:before="1" w:after="0"/>
              <w:ind w:left="677" w:right="0" w:hanging="567"/>
              <w:jc w:val="left"/>
              <w:rPr>
                <w:rFonts w:ascii="黑体" w:eastAsia="黑体" w:hint="eastAsia"/>
                <w:sz w:val="21"/>
              </w:rPr>
            </w:pPr>
            <w:r>
              <w:rPr>
                <w:rFonts w:ascii="黑体" w:eastAsia="黑体" w:hint="eastAsia"/>
                <w:spacing w:val="-3"/>
                <w:sz w:val="21"/>
              </w:rPr>
              <w:t>保险单中特别约定的其他事项。</w:t>
            </w:r>
          </w:p>
        </w:tc>
      </w:tr>
      <w:tr>
        <w:trPr>
          <w:trHeight w:val="817" w:hRule="atLeast"/>
        </w:trPr>
        <w:tc>
          <w:tcPr>
            <w:tcW w:w="676" w:type="dxa"/>
          </w:tcPr>
          <w:p>
            <w:pPr>
              <w:pStyle w:val="TableParagraph"/>
              <w:spacing w:before="148"/>
              <w:ind w:left="115"/>
              <w:rPr>
                <w:rFonts w:ascii="Times New Roman"/>
                <w:b/>
                <w:sz w:val="21"/>
              </w:rPr>
            </w:pPr>
            <w:r>
              <w:rPr>
                <w:rFonts w:ascii="Times New Roman"/>
                <w:b/>
                <w:sz w:val="21"/>
              </w:rPr>
              <w:t>2.5</w:t>
            </w:r>
          </w:p>
        </w:tc>
        <w:tc>
          <w:tcPr>
            <w:tcW w:w="1756" w:type="dxa"/>
          </w:tcPr>
          <w:p>
            <w:pPr>
              <w:pStyle w:val="TableParagraph"/>
              <w:spacing w:before="53"/>
              <w:ind w:left="169"/>
              <w:rPr>
                <w:rFonts w:ascii="微软雅黑" w:eastAsia="微软雅黑" w:hint="eastAsia"/>
                <w:b/>
                <w:sz w:val="21"/>
              </w:rPr>
            </w:pPr>
            <w:r>
              <w:rPr>
                <w:rFonts w:ascii="微软雅黑" w:eastAsia="微软雅黑" w:hint="eastAsia"/>
                <w:b/>
                <w:sz w:val="21"/>
              </w:rPr>
              <w:t>保证续保期间</w:t>
            </w:r>
          </w:p>
        </w:tc>
        <w:tc>
          <w:tcPr>
            <w:tcW w:w="7152" w:type="dxa"/>
          </w:tcPr>
          <w:p>
            <w:pPr>
              <w:pStyle w:val="TableParagraph"/>
              <w:spacing w:line="223" w:lineRule="auto" w:before="136"/>
              <w:ind w:left="110" w:right="40"/>
              <w:rPr>
                <w:sz w:val="21"/>
              </w:rPr>
            </w:pPr>
            <w:r>
              <w:rPr>
                <w:sz w:val="21"/>
              </w:rPr>
              <w:t>自您首次投保本附加险合同或非连续投保本附加险合同的生效日起，每 </w:t>
            </w:r>
            <w:r>
              <w:rPr>
                <w:rFonts w:ascii="Times New Roman" w:eastAsia="Times New Roman"/>
                <w:sz w:val="21"/>
              </w:rPr>
              <w:t>5 </w:t>
            </w:r>
            <w:r>
              <w:rPr>
                <w:sz w:val="21"/>
              </w:rPr>
              <w:t>年为一保证续保期间，在保证续保期间内您享有保证续保权。</w:t>
            </w:r>
          </w:p>
        </w:tc>
      </w:tr>
      <w:tr>
        <w:trPr>
          <w:trHeight w:val="1363" w:hRule="atLeast"/>
        </w:trPr>
        <w:tc>
          <w:tcPr>
            <w:tcW w:w="676" w:type="dxa"/>
          </w:tcPr>
          <w:p>
            <w:pPr>
              <w:pStyle w:val="TableParagraph"/>
              <w:spacing w:before="147"/>
              <w:ind w:left="115"/>
              <w:rPr>
                <w:rFonts w:ascii="Times New Roman"/>
                <w:b/>
                <w:sz w:val="21"/>
              </w:rPr>
            </w:pPr>
            <w:r>
              <w:rPr>
                <w:rFonts w:ascii="Times New Roman"/>
                <w:b/>
                <w:sz w:val="21"/>
              </w:rPr>
              <w:t>2.6</w:t>
            </w:r>
          </w:p>
        </w:tc>
        <w:tc>
          <w:tcPr>
            <w:tcW w:w="1756" w:type="dxa"/>
          </w:tcPr>
          <w:p>
            <w:pPr>
              <w:pStyle w:val="TableParagraph"/>
              <w:spacing w:before="52"/>
              <w:ind w:left="169"/>
              <w:rPr>
                <w:rFonts w:ascii="微软雅黑" w:eastAsia="微软雅黑" w:hint="eastAsia"/>
                <w:b/>
                <w:sz w:val="21"/>
              </w:rPr>
            </w:pPr>
            <w:r>
              <w:rPr>
                <w:rFonts w:ascii="微软雅黑" w:eastAsia="微软雅黑" w:hint="eastAsia"/>
                <w:b/>
                <w:sz w:val="21"/>
              </w:rPr>
              <w:t>保证续保</w:t>
            </w:r>
          </w:p>
        </w:tc>
        <w:tc>
          <w:tcPr>
            <w:tcW w:w="7152" w:type="dxa"/>
          </w:tcPr>
          <w:p>
            <w:pPr>
              <w:pStyle w:val="TableParagraph"/>
              <w:spacing w:line="232" w:lineRule="auto" w:before="123"/>
              <w:ind w:left="110" w:right="102"/>
              <w:jc w:val="both"/>
              <w:rPr>
                <w:sz w:val="21"/>
              </w:rPr>
            </w:pPr>
            <w:r>
              <w:rPr>
                <w:spacing w:val="-3"/>
                <w:sz w:val="21"/>
              </w:rPr>
              <w:t>在保证续保期间内，如果主险合同有效、主险合同按时交纳保险费，且您在</w:t>
            </w:r>
            <w:r>
              <w:rPr>
                <w:spacing w:val="-7"/>
                <w:sz w:val="21"/>
              </w:rPr>
              <w:t>本附加险合同届满前 </w:t>
            </w:r>
            <w:r>
              <w:rPr>
                <w:rFonts w:ascii="Times New Roman" w:eastAsia="Times New Roman"/>
                <w:sz w:val="21"/>
              </w:rPr>
              <w:t>30 </w:t>
            </w:r>
            <w:r>
              <w:rPr>
                <w:spacing w:val="-12"/>
                <w:sz w:val="21"/>
              </w:rPr>
              <w:t>日前未提出不续保申请，本公司视为您已申请续保本</w:t>
            </w:r>
            <w:r>
              <w:rPr>
                <w:spacing w:val="-6"/>
                <w:sz w:val="21"/>
              </w:rPr>
              <w:t>附加险合同，本公司将提供保证续保。您应于每个保险期间届满时，按续保</w:t>
            </w:r>
            <w:r>
              <w:rPr>
                <w:spacing w:val="-4"/>
                <w:sz w:val="21"/>
              </w:rPr>
              <w:t>时对应的费率向本公司支付风险保险费。</w:t>
            </w:r>
          </w:p>
        </w:tc>
      </w:tr>
      <w:tr>
        <w:trPr>
          <w:trHeight w:val="2447" w:hRule="atLeast"/>
        </w:trPr>
        <w:tc>
          <w:tcPr>
            <w:tcW w:w="676" w:type="dxa"/>
          </w:tcPr>
          <w:p>
            <w:pPr>
              <w:pStyle w:val="TableParagraph"/>
              <w:spacing w:before="147"/>
              <w:ind w:left="115"/>
              <w:rPr>
                <w:rFonts w:ascii="Times New Roman"/>
                <w:b/>
                <w:sz w:val="21"/>
              </w:rPr>
            </w:pPr>
            <w:r>
              <w:rPr>
                <w:rFonts w:ascii="Times New Roman"/>
                <w:b/>
                <w:sz w:val="21"/>
              </w:rPr>
              <w:t>2.7</w:t>
            </w:r>
          </w:p>
        </w:tc>
        <w:tc>
          <w:tcPr>
            <w:tcW w:w="1756" w:type="dxa"/>
          </w:tcPr>
          <w:p>
            <w:pPr>
              <w:pStyle w:val="TableParagraph"/>
              <w:spacing w:line="180" w:lineRule="auto" w:before="143"/>
              <w:ind w:left="169" w:right="106"/>
              <w:rPr>
                <w:rFonts w:ascii="微软雅黑" w:eastAsia="微软雅黑" w:hint="eastAsia"/>
                <w:b/>
                <w:sz w:val="21"/>
              </w:rPr>
            </w:pPr>
            <w:r>
              <w:rPr>
                <w:rFonts w:ascii="微软雅黑" w:eastAsia="微软雅黑" w:hint="eastAsia"/>
                <w:b/>
                <w:sz w:val="21"/>
              </w:rPr>
              <w:t>保证续保期间届满后的续保</w:t>
            </w:r>
          </w:p>
        </w:tc>
        <w:tc>
          <w:tcPr>
            <w:tcW w:w="7152" w:type="dxa"/>
          </w:tcPr>
          <w:p>
            <w:pPr>
              <w:pStyle w:val="TableParagraph"/>
              <w:spacing w:line="230" w:lineRule="auto" w:before="125"/>
              <w:ind w:left="110" w:right="102"/>
              <w:jc w:val="both"/>
              <w:rPr>
                <w:sz w:val="21"/>
              </w:rPr>
            </w:pPr>
            <w:r>
              <w:rPr>
                <w:spacing w:val="-3"/>
                <w:sz w:val="21"/>
              </w:rPr>
              <w:t>保证续保期间届满时，如果主险合同有效、主险合同按时交纳保险费，且您</w:t>
            </w:r>
            <w:r>
              <w:rPr>
                <w:spacing w:val="-6"/>
                <w:sz w:val="21"/>
              </w:rPr>
              <w:t>在本附加险合同届满前 </w:t>
            </w:r>
            <w:r>
              <w:rPr>
                <w:rFonts w:ascii="Times New Roman" w:eastAsia="Times New Roman"/>
                <w:sz w:val="21"/>
              </w:rPr>
              <w:t>30 </w:t>
            </w:r>
            <w:r>
              <w:rPr>
                <w:spacing w:val="-12"/>
                <w:sz w:val="21"/>
              </w:rPr>
              <w:t>日前未提出不续保申请，本公司视为您已申请续保</w:t>
            </w:r>
            <w:r>
              <w:rPr>
                <w:spacing w:val="-6"/>
                <w:sz w:val="21"/>
              </w:rPr>
              <w:t>本附加险合同，本公司会审核被保险人是否符合续保条件。</w:t>
            </w:r>
          </w:p>
          <w:p>
            <w:pPr>
              <w:pStyle w:val="TableParagraph"/>
              <w:spacing w:line="237" w:lineRule="auto"/>
              <w:ind w:left="110" w:right="102"/>
              <w:jc w:val="both"/>
              <w:rPr>
                <w:sz w:val="21"/>
              </w:rPr>
            </w:pPr>
            <w:r>
              <w:rPr>
                <w:sz w:val="21"/>
              </w:rPr>
              <w:t>如果本公司审核同意您续保，则进入下一个保证续保期间，您应于每个保险期间届满时，按续保时对应的费率向本公司支付风险保险费，本附加险合同将延续有效。</w:t>
            </w:r>
          </w:p>
          <w:p>
            <w:pPr>
              <w:pStyle w:val="TableParagraph"/>
              <w:spacing w:line="237" w:lineRule="auto" w:before="3"/>
              <w:ind w:left="110" w:right="102"/>
              <w:jc w:val="both"/>
              <w:rPr>
                <w:sz w:val="21"/>
              </w:rPr>
            </w:pPr>
            <w:r>
              <w:rPr>
                <w:sz w:val="21"/>
              </w:rPr>
              <w:t>如果本公司不接受续保或须附加条件续保，本公司会在本附加险合同保险期间届满前以书面形式通知您。</w:t>
            </w:r>
          </w:p>
        </w:tc>
      </w:tr>
      <w:tr>
        <w:trPr>
          <w:trHeight w:val="615" w:hRule="atLeast"/>
        </w:trPr>
        <w:tc>
          <w:tcPr>
            <w:tcW w:w="676" w:type="dxa"/>
            <w:tcBorders>
              <w:bottom w:val="single" w:sz="8" w:space="0" w:color="000000"/>
            </w:tcBorders>
          </w:tcPr>
          <w:p>
            <w:pPr>
              <w:pStyle w:val="TableParagraph"/>
              <w:spacing w:line="486" w:lineRule="exact" w:before="109"/>
              <w:ind w:left="115"/>
              <w:rPr>
                <w:rFonts w:ascii="Arial" w:hAnsi="Arial"/>
                <w:b/>
                <w:sz w:val="44"/>
              </w:rPr>
            </w:pPr>
            <w:r>
              <w:rPr>
                <w:rFonts w:ascii="Arial" w:hAnsi="Arial"/>
                <w:b/>
                <w:w w:val="118"/>
                <w:sz w:val="44"/>
              </w:rPr>
              <w:t></w:t>
            </w:r>
          </w:p>
        </w:tc>
        <w:tc>
          <w:tcPr>
            <w:tcW w:w="8908" w:type="dxa"/>
            <w:gridSpan w:val="2"/>
            <w:tcBorders>
              <w:bottom w:val="single" w:sz="8" w:space="0" w:color="000000"/>
            </w:tcBorders>
          </w:tcPr>
          <w:p>
            <w:pPr>
              <w:pStyle w:val="TableParagraph"/>
              <w:spacing w:before="117"/>
              <w:ind w:left="169"/>
              <w:rPr>
                <w:rFonts w:ascii="微软雅黑" w:eastAsia="微软雅黑" w:hint="eastAsia"/>
                <w:b/>
                <w:sz w:val="24"/>
              </w:rPr>
            </w:pPr>
            <w:r>
              <w:rPr>
                <w:rFonts w:ascii="微软雅黑" w:eastAsia="微软雅黑" w:hint="eastAsia"/>
                <w:b/>
                <w:sz w:val="24"/>
              </w:rPr>
              <w:t>如何申请领取保险金</w:t>
            </w:r>
          </w:p>
        </w:tc>
      </w:tr>
      <w:tr>
        <w:trPr>
          <w:trHeight w:val="875" w:hRule="atLeast"/>
        </w:trPr>
        <w:tc>
          <w:tcPr>
            <w:tcW w:w="676" w:type="dxa"/>
            <w:tcBorders>
              <w:top w:val="single" w:sz="8" w:space="0" w:color="000000"/>
            </w:tcBorders>
          </w:tcPr>
          <w:p>
            <w:pPr>
              <w:pStyle w:val="TableParagraph"/>
              <w:spacing w:before="11"/>
              <w:ind w:left="0"/>
              <w:rPr>
                <w:rFonts w:ascii="Times New Roman"/>
                <w:sz w:val="17"/>
              </w:rPr>
            </w:pPr>
          </w:p>
          <w:p>
            <w:pPr>
              <w:pStyle w:val="TableParagraph"/>
              <w:ind w:left="115"/>
              <w:rPr>
                <w:rFonts w:ascii="Times New Roman"/>
                <w:b/>
                <w:sz w:val="21"/>
              </w:rPr>
            </w:pPr>
            <w:r>
              <w:rPr>
                <w:rFonts w:ascii="Times New Roman"/>
                <w:b/>
                <w:sz w:val="21"/>
              </w:rPr>
              <w:t>3.1</w:t>
            </w:r>
          </w:p>
        </w:tc>
        <w:tc>
          <w:tcPr>
            <w:tcW w:w="1756" w:type="dxa"/>
            <w:tcBorders>
              <w:top w:val="single" w:sz="8" w:space="0" w:color="000000"/>
            </w:tcBorders>
          </w:tcPr>
          <w:p>
            <w:pPr>
              <w:pStyle w:val="TableParagraph"/>
              <w:spacing w:before="112"/>
              <w:ind w:left="169"/>
              <w:rPr>
                <w:rFonts w:ascii="微软雅黑" w:eastAsia="微软雅黑" w:hint="eastAsia"/>
                <w:b/>
                <w:sz w:val="21"/>
              </w:rPr>
            </w:pPr>
            <w:r>
              <w:rPr>
                <w:rFonts w:ascii="微软雅黑" w:eastAsia="微软雅黑" w:hint="eastAsia"/>
                <w:b/>
                <w:sz w:val="21"/>
              </w:rPr>
              <w:t>保险金受益人</w:t>
            </w:r>
          </w:p>
        </w:tc>
        <w:tc>
          <w:tcPr>
            <w:tcW w:w="7152" w:type="dxa"/>
            <w:tcBorders>
              <w:top w:val="single" w:sz="8" w:space="0" w:color="000000"/>
            </w:tcBorders>
          </w:tcPr>
          <w:p>
            <w:pPr>
              <w:pStyle w:val="TableParagraph"/>
              <w:spacing w:line="237" w:lineRule="auto" w:before="177"/>
              <w:ind w:left="110" w:right="102"/>
              <w:rPr>
                <w:sz w:val="21"/>
              </w:rPr>
            </w:pPr>
            <w:r>
              <w:rPr>
                <w:sz w:val="21"/>
              </w:rPr>
              <w:t>本附加险合同“重大疾病保险金”受益人为被保险人本人，本公司不接受其他的指定或变更。</w:t>
            </w:r>
          </w:p>
        </w:tc>
      </w:tr>
      <w:tr>
        <w:trPr>
          <w:trHeight w:val="420" w:hRule="atLeast"/>
        </w:trPr>
        <w:tc>
          <w:tcPr>
            <w:tcW w:w="676" w:type="dxa"/>
          </w:tcPr>
          <w:p>
            <w:pPr>
              <w:pStyle w:val="TableParagraph"/>
              <w:spacing w:before="147"/>
              <w:ind w:left="115"/>
              <w:rPr>
                <w:rFonts w:ascii="Times New Roman"/>
                <w:b/>
                <w:sz w:val="21"/>
              </w:rPr>
            </w:pPr>
            <w:r>
              <w:rPr>
                <w:rFonts w:ascii="Times New Roman"/>
                <w:b/>
                <w:sz w:val="21"/>
              </w:rPr>
              <w:t>3.2</w:t>
            </w:r>
          </w:p>
        </w:tc>
        <w:tc>
          <w:tcPr>
            <w:tcW w:w="1756" w:type="dxa"/>
          </w:tcPr>
          <w:p>
            <w:pPr>
              <w:pStyle w:val="TableParagraph"/>
              <w:spacing w:line="349" w:lineRule="exact" w:before="52"/>
              <w:ind w:left="169"/>
              <w:rPr>
                <w:rFonts w:ascii="微软雅黑" w:eastAsia="微软雅黑" w:hint="eastAsia"/>
                <w:b/>
                <w:sz w:val="21"/>
              </w:rPr>
            </w:pPr>
            <w:r>
              <w:rPr>
                <w:rFonts w:ascii="微软雅黑" w:eastAsia="微软雅黑" w:hint="eastAsia"/>
                <w:b/>
                <w:sz w:val="21"/>
              </w:rPr>
              <w:t>保险金申请</w:t>
            </w:r>
          </w:p>
        </w:tc>
        <w:tc>
          <w:tcPr>
            <w:tcW w:w="7152" w:type="dxa"/>
          </w:tcPr>
          <w:p>
            <w:pPr>
              <w:pStyle w:val="TableParagraph"/>
              <w:spacing w:before="114"/>
              <w:ind w:left="110"/>
              <w:rPr>
                <w:sz w:val="21"/>
              </w:rPr>
            </w:pPr>
            <w:r>
              <w:rPr>
                <w:sz w:val="21"/>
              </w:rPr>
              <w:t>在申请保险金时，请按照下列方式办理：</w:t>
            </w:r>
          </w:p>
        </w:tc>
      </w:tr>
      <w:tr>
        <w:trPr>
          <w:trHeight w:val="3389" w:hRule="atLeast"/>
        </w:trPr>
        <w:tc>
          <w:tcPr>
            <w:tcW w:w="676" w:type="dxa"/>
          </w:tcPr>
          <w:p>
            <w:pPr>
              <w:pStyle w:val="TableParagraph"/>
              <w:ind w:left="0"/>
              <w:rPr>
                <w:rFonts w:ascii="Times New Roman"/>
                <w:sz w:val="20"/>
              </w:rPr>
            </w:pPr>
          </w:p>
        </w:tc>
        <w:tc>
          <w:tcPr>
            <w:tcW w:w="1756" w:type="dxa"/>
          </w:tcPr>
          <w:p>
            <w:pPr>
              <w:pStyle w:val="TableParagraph"/>
              <w:spacing w:line="240" w:lineRule="exact"/>
              <w:ind w:left="169"/>
              <w:rPr>
                <w:sz w:val="21"/>
              </w:rPr>
            </w:pPr>
            <w:r>
              <w:rPr>
                <w:sz w:val="21"/>
              </w:rPr>
              <w:t>重大疾病保险金</w:t>
            </w:r>
          </w:p>
          <w:p>
            <w:pPr>
              <w:pStyle w:val="TableParagraph"/>
              <w:spacing w:line="273" w:lineRule="exact"/>
              <w:ind w:left="169"/>
              <w:rPr>
                <w:sz w:val="21"/>
              </w:rPr>
            </w:pPr>
            <w:r>
              <w:rPr>
                <w:sz w:val="21"/>
              </w:rPr>
              <w:t>申请</w:t>
            </w:r>
          </w:p>
        </w:tc>
        <w:tc>
          <w:tcPr>
            <w:tcW w:w="7152" w:type="dxa"/>
          </w:tcPr>
          <w:p>
            <w:pPr>
              <w:pStyle w:val="TableParagraph"/>
              <w:spacing w:line="240" w:lineRule="exact"/>
              <w:ind w:left="110"/>
              <w:rPr>
                <w:sz w:val="21"/>
              </w:rPr>
            </w:pPr>
            <w:r>
              <w:rPr>
                <w:sz w:val="21"/>
              </w:rPr>
              <w:t>申请人须填写保险金给付申请书，并须提供下列证明和资料：</w:t>
            </w:r>
          </w:p>
          <w:p>
            <w:pPr>
              <w:pStyle w:val="TableParagraph"/>
              <w:numPr>
                <w:ilvl w:val="0"/>
                <w:numId w:val="6"/>
              </w:numPr>
              <w:tabs>
                <w:tab w:pos="677" w:val="left" w:leader="none"/>
              </w:tabs>
              <w:spacing w:line="280" w:lineRule="exact" w:before="0" w:after="0"/>
              <w:ind w:left="677" w:right="0" w:hanging="567"/>
              <w:jc w:val="left"/>
              <w:rPr>
                <w:sz w:val="21"/>
              </w:rPr>
            </w:pPr>
            <w:r>
              <w:rPr>
                <w:spacing w:val="-3"/>
                <w:sz w:val="21"/>
              </w:rPr>
              <w:t>本附加险合同原件；</w:t>
            </w:r>
          </w:p>
          <w:p>
            <w:pPr>
              <w:pStyle w:val="TableParagraph"/>
              <w:numPr>
                <w:ilvl w:val="0"/>
                <w:numId w:val="6"/>
              </w:numPr>
              <w:tabs>
                <w:tab w:pos="677" w:val="left" w:leader="none"/>
              </w:tabs>
              <w:spacing w:line="272" w:lineRule="exact" w:before="0" w:after="0"/>
              <w:ind w:left="677" w:right="0" w:hanging="567"/>
              <w:jc w:val="left"/>
              <w:rPr>
                <w:sz w:val="21"/>
              </w:rPr>
            </w:pPr>
            <w:r>
              <w:rPr>
                <w:spacing w:val="-3"/>
                <w:sz w:val="21"/>
              </w:rPr>
              <w:t>受益人的有效身份证件；</w:t>
            </w:r>
          </w:p>
          <w:p>
            <w:pPr>
              <w:pStyle w:val="TableParagraph"/>
              <w:numPr>
                <w:ilvl w:val="0"/>
                <w:numId w:val="6"/>
              </w:numPr>
              <w:tabs>
                <w:tab w:pos="677" w:val="left" w:leader="none"/>
              </w:tabs>
              <w:spacing w:line="230" w:lineRule="auto" w:before="2" w:after="0"/>
              <w:ind w:left="677" w:right="102" w:hanging="567"/>
              <w:jc w:val="both"/>
              <w:rPr>
                <w:sz w:val="21"/>
              </w:rPr>
            </w:pPr>
            <w:r>
              <w:rPr>
                <w:spacing w:val="-6"/>
                <w:sz w:val="21"/>
              </w:rPr>
              <w:t>由医院的专科医生出具的诊断证明书(包括：完整病历、出院小结、病</w:t>
            </w:r>
            <w:r>
              <w:rPr>
                <w:spacing w:val="-4"/>
                <w:sz w:val="21"/>
              </w:rPr>
              <w:t>理组织检查报告、血液检查、其他科学方法检验报告的病史资料及疾</w:t>
            </w:r>
            <w:r>
              <w:rPr>
                <w:spacing w:val="-3"/>
                <w:sz w:val="21"/>
              </w:rPr>
              <w:t>病诊断报告书)；</w:t>
            </w:r>
          </w:p>
          <w:p>
            <w:pPr>
              <w:pStyle w:val="TableParagraph"/>
              <w:numPr>
                <w:ilvl w:val="0"/>
                <w:numId w:val="6"/>
              </w:numPr>
              <w:tabs>
                <w:tab w:pos="677" w:val="left" w:leader="none"/>
              </w:tabs>
              <w:spacing w:line="288" w:lineRule="exact" w:before="0" w:after="0"/>
              <w:ind w:left="677" w:right="0" w:hanging="567"/>
              <w:jc w:val="left"/>
              <w:rPr>
                <w:sz w:val="21"/>
              </w:rPr>
            </w:pPr>
            <w:r>
              <w:rPr>
                <w:spacing w:val="-3"/>
                <w:sz w:val="21"/>
              </w:rPr>
              <w:t>所能提供的与确认保险事故的性质、原因等有关的其他证明和资料。</w:t>
            </w:r>
          </w:p>
          <w:p>
            <w:pPr>
              <w:pStyle w:val="TableParagraph"/>
              <w:spacing w:before="1"/>
              <w:ind w:left="0"/>
              <w:rPr>
                <w:rFonts w:ascii="Times New Roman"/>
                <w:sz w:val="22"/>
              </w:rPr>
            </w:pPr>
          </w:p>
          <w:p>
            <w:pPr>
              <w:pStyle w:val="TableParagraph"/>
              <w:ind w:left="110" w:right="102"/>
              <w:rPr>
                <w:sz w:val="21"/>
              </w:rPr>
            </w:pPr>
            <w:r>
              <w:rPr>
                <w:sz w:val="21"/>
              </w:rPr>
              <w:t>以上保险金申请，若办理人为委托代理人，需提供授权委托书、代理人有效身份证件等文件。</w:t>
            </w:r>
          </w:p>
          <w:p>
            <w:pPr>
              <w:pStyle w:val="TableParagraph"/>
              <w:ind w:left="110" w:right="102"/>
              <w:rPr>
                <w:sz w:val="21"/>
              </w:rPr>
            </w:pPr>
            <w:r>
              <w:rPr>
                <w:sz w:val="21"/>
              </w:rPr>
              <w:t>以上保险金申请的证明和资料不完整的，我们将及时一次性通知申请人补充提供有关证明和资料。</w:t>
            </w:r>
          </w:p>
        </w:tc>
      </w:tr>
      <w:tr>
        <w:trPr>
          <w:trHeight w:val="615" w:hRule="atLeast"/>
        </w:trPr>
        <w:tc>
          <w:tcPr>
            <w:tcW w:w="676" w:type="dxa"/>
            <w:tcBorders>
              <w:bottom w:val="single" w:sz="8" w:space="0" w:color="000000"/>
            </w:tcBorders>
          </w:tcPr>
          <w:p>
            <w:pPr>
              <w:pStyle w:val="TableParagraph"/>
              <w:spacing w:line="486" w:lineRule="exact" w:before="109"/>
              <w:ind w:left="115"/>
              <w:rPr>
                <w:rFonts w:ascii="Arial" w:hAnsi="Arial"/>
                <w:b/>
                <w:sz w:val="44"/>
              </w:rPr>
            </w:pPr>
            <w:r>
              <w:rPr>
                <w:rFonts w:ascii="Arial" w:hAnsi="Arial"/>
                <w:b/>
                <w:w w:val="118"/>
                <w:sz w:val="44"/>
              </w:rPr>
              <w:t></w:t>
            </w:r>
          </w:p>
        </w:tc>
        <w:tc>
          <w:tcPr>
            <w:tcW w:w="8908" w:type="dxa"/>
            <w:gridSpan w:val="2"/>
            <w:tcBorders>
              <w:bottom w:val="single" w:sz="8" w:space="0" w:color="000000"/>
            </w:tcBorders>
          </w:tcPr>
          <w:p>
            <w:pPr>
              <w:pStyle w:val="TableParagraph"/>
              <w:spacing w:before="115"/>
              <w:ind w:left="169"/>
              <w:rPr>
                <w:rFonts w:ascii="微软雅黑" w:eastAsia="微软雅黑" w:hint="eastAsia"/>
                <w:b/>
                <w:sz w:val="24"/>
              </w:rPr>
            </w:pPr>
            <w:r>
              <w:rPr>
                <w:rFonts w:ascii="微软雅黑" w:eastAsia="微软雅黑" w:hint="eastAsia"/>
                <w:b/>
                <w:sz w:val="24"/>
              </w:rPr>
              <w:t>如何交纳风险保险费</w:t>
            </w:r>
          </w:p>
        </w:tc>
      </w:tr>
      <w:tr>
        <w:trPr>
          <w:trHeight w:val="875" w:hRule="atLeast"/>
        </w:trPr>
        <w:tc>
          <w:tcPr>
            <w:tcW w:w="676" w:type="dxa"/>
            <w:tcBorders>
              <w:top w:val="single" w:sz="8" w:space="0" w:color="000000"/>
            </w:tcBorders>
          </w:tcPr>
          <w:p>
            <w:pPr>
              <w:pStyle w:val="TableParagraph"/>
              <w:spacing w:before="8"/>
              <w:ind w:left="0"/>
              <w:rPr>
                <w:rFonts w:ascii="Times New Roman"/>
                <w:sz w:val="17"/>
              </w:rPr>
            </w:pPr>
          </w:p>
          <w:p>
            <w:pPr>
              <w:pStyle w:val="TableParagraph"/>
              <w:spacing w:before="1"/>
              <w:ind w:left="115"/>
              <w:rPr>
                <w:rFonts w:ascii="Times New Roman"/>
                <w:b/>
                <w:sz w:val="21"/>
              </w:rPr>
            </w:pPr>
            <w:r>
              <w:rPr>
                <w:rFonts w:ascii="Times New Roman"/>
                <w:b/>
                <w:sz w:val="21"/>
              </w:rPr>
              <w:t>4.1</w:t>
            </w:r>
          </w:p>
        </w:tc>
        <w:tc>
          <w:tcPr>
            <w:tcW w:w="1756" w:type="dxa"/>
            <w:tcBorders>
              <w:top w:val="single" w:sz="8" w:space="0" w:color="000000"/>
            </w:tcBorders>
          </w:tcPr>
          <w:p>
            <w:pPr>
              <w:pStyle w:val="TableParagraph"/>
              <w:spacing w:before="4"/>
              <w:ind w:left="0"/>
              <w:rPr>
                <w:rFonts w:ascii="Times New Roman"/>
                <w:sz w:val="17"/>
              </w:rPr>
            </w:pPr>
          </w:p>
          <w:p>
            <w:pPr>
              <w:pStyle w:val="TableParagraph"/>
              <w:spacing w:line="180" w:lineRule="auto"/>
              <w:ind w:left="169" w:right="106"/>
              <w:rPr>
                <w:rFonts w:ascii="微软雅黑" w:eastAsia="微软雅黑" w:hint="eastAsia"/>
                <w:b/>
                <w:sz w:val="21"/>
              </w:rPr>
            </w:pPr>
            <w:r>
              <w:rPr>
                <w:rFonts w:ascii="微软雅黑" w:eastAsia="微软雅黑" w:hint="eastAsia"/>
                <w:b/>
                <w:sz w:val="21"/>
              </w:rPr>
              <w:t>风险保险费的交纳</w:t>
            </w:r>
          </w:p>
        </w:tc>
        <w:tc>
          <w:tcPr>
            <w:tcW w:w="7152" w:type="dxa"/>
            <w:tcBorders>
              <w:top w:val="single" w:sz="8" w:space="0" w:color="000000"/>
            </w:tcBorders>
          </w:tcPr>
          <w:p>
            <w:pPr>
              <w:pStyle w:val="TableParagraph"/>
              <w:spacing w:before="172"/>
              <w:ind w:left="110" w:right="102"/>
              <w:rPr>
                <w:sz w:val="21"/>
              </w:rPr>
            </w:pPr>
            <w:r>
              <w:rPr>
                <w:sz w:val="21"/>
              </w:rPr>
              <w:t>本附加险合同作为主险合同的一部分，其风险保险费将计入主险合同的风险保险费，从主险个人账户中一并扣除，不可分解。</w:t>
            </w:r>
          </w:p>
        </w:tc>
      </w:tr>
      <w:tr>
        <w:trPr>
          <w:trHeight w:val="934" w:hRule="atLeast"/>
        </w:trPr>
        <w:tc>
          <w:tcPr>
            <w:tcW w:w="676" w:type="dxa"/>
          </w:tcPr>
          <w:p>
            <w:pPr>
              <w:pStyle w:val="TableParagraph"/>
              <w:spacing w:before="147"/>
              <w:ind w:left="115"/>
              <w:rPr>
                <w:rFonts w:ascii="Times New Roman"/>
                <w:b/>
                <w:sz w:val="21"/>
              </w:rPr>
            </w:pPr>
            <w:r>
              <w:rPr>
                <w:rFonts w:ascii="Times New Roman"/>
                <w:b/>
                <w:sz w:val="21"/>
              </w:rPr>
              <w:t>4.2</w:t>
            </w:r>
          </w:p>
        </w:tc>
        <w:tc>
          <w:tcPr>
            <w:tcW w:w="1756" w:type="dxa"/>
          </w:tcPr>
          <w:p>
            <w:pPr>
              <w:pStyle w:val="TableParagraph"/>
              <w:spacing w:line="180" w:lineRule="auto" w:before="143"/>
              <w:ind w:left="169" w:right="106"/>
              <w:rPr>
                <w:rFonts w:ascii="微软雅黑" w:eastAsia="微软雅黑" w:hint="eastAsia"/>
                <w:b/>
                <w:sz w:val="21"/>
              </w:rPr>
            </w:pPr>
            <w:r>
              <w:rPr>
                <w:rFonts w:ascii="微软雅黑" w:eastAsia="微软雅黑" w:hint="eastAsia"/>
                <w:b/>
                <w:sz w:val="21"/>
              </w:rPr>
              <w:t>风险保险费的调整</w:t>
            </w:r>
          </w:p>
        </w:tc>
        <w:tc>
          <w:tcPr>
            <w:tcW w:w="7152" w:type="dxa"/>
          </w:tcPr>
          <w:p>
            <w:pPr>
              <w:pStyle w:val="TableParagraph"/>
              <w:spacing w:line="237" w:lineRule="auto" w:before="117"/>
              <w:ind w:left="110" w:right="102"/>
              <w:rPr>
                <w:sz w:val="21"/>
              </w:rPr>
            </w:pPr>
            <w:r>
              <w:rPr>
                <w:sz w:val="21"/>
              </w:rPr>
              <w:t>因为确定本附加合同风险保险费所使用的重大疾病发生率等定价基础可能在未来发生变化，因此本公司保留对风险保险费进行调整的权利。</w:t>
            </w:r>
          </w:p>
          <w:p>
            <w:pPr>
              <w:pStyle w:val="TableParagraph"/>
              <w:spacing w:line="254" w:lineRule="exact"/>
              <w:ind w:left="110"/>
              <w:rPr>
                <w:sz w:val="21"/>
              </w:rPr>
            </w:pPr>
            <w:r>
              <w:rPr>
                <w:sz w:val="21"/>
              </w:rPr>
              <w:t>假若需要进行费率调整，本公司将在开始调整费率前向国务院保险监督管理</w:t>
            </w:r>
          </w:p>
        </w:tc>
      </w:tr>
    </w:tbl>
    <w:p>
      <w:pPr>
        <w:spacing w:after="0" w:line="254" w:lineRule="exact"/>
        <w:rPr>
          <w:sz w:val="21"/>
        </w:rPr>
        <w:sectPr>
          <w:headerReference w:type="default" r:id="rId11"/>
          <w:pgSz w:w="11910" w:h="16840"/>
          <w:pgMar w:header="857" w:footer="960" w:top="1040" w:bottom="1180" w:left="1080" w:right="1020"/>
        </w:sectPr>
      </w:pPr>
    </w:p>
    <w:p>
      <w:pPr>
        <w:pStyle w:val="BodyText"/>
        <w:spacing w:before="4"/>
        <w:rPr>
          <w:rFonts w:ascii="Times New Roman"/>
          <w:sz w:val="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6"/>
        <w:gridCol w:w="1755"/>
        <w:gridCol w:w="7153"/>
      </w:tblGrid>
      <w:tr>
        <w:trPr>
          <w:trHeight w:val="1256" w:hRule="atLeast"/>
        </w:trPr>
        <w:tc>
          <w:tcPr>
            <w:tcW w:w="676" w:type="dxa"/>
            <w:tcBorders>
              <w:top w:val="single" w:sz="6" w:space="0" w:color="000000"/>
            </w:tcBorders>
          </w:tcPr>
          <w:p>
            <w:pPr>
              <w:pStyle w:val="TableParagraph"/>
              <w:ind w:left="0"/>
              <w:rPr>
                <w:rFonts w:ascii="Times New Roman"/>
                <w:sz w:val="20"/>
              </w:rPr>
            </w:pPr>
          </w:p>
        </w:tc>
        <w:tc>
          <w:tcPr>
            <w:tcW w:w="1755" w:type="dxa"/>
            <w:tcBorders>
              <w:top w:val="single" w:sz="6" w:space="0" w:color="000000"/>
            </w:tcBorders>
          </w:tcPr>
          <w:p>
            <w:pPr>
              <w:pStyle w:val="TableParagraph"/>
              <w:ind w:left="0"/>
              <w:rPr>
                <w:rFonts w:ascii="Times New Roman"/>
                <w:sz w:val="20"/>
              </w:rPr>
            </w:pPr>
          </w:p>
        </w:tc>
        <w:tc>
          <w:tcPr>
            <w:tcW w:w="7153" w:type="dxa"/>
            <w:tcBorders>
              <w:top w:val="single" w:sz="6" w:space="0" w:color="000000"/>
            </w:tcBorders>
          </w:tcPr>
          <w:p>
            <w:pPr>
              <w:pStyle w:val="TableParagraph"/>
              <w:ind w:left="0"/>
              <w:rPr>
                <w:rFonts w:ascii="Times New Roman"/>
                <w:sz w:val="25"/>
              </w:rPr>
            </w:pPr>
          </w:p>
          <w:p>
            <w:pPr>
              <w:pStyle w:val="TableParagraph"/>
              <w:spacing w:line="237" w:lineRule="auto"/>
              <w:ind w:left="111" w:right="-15"/>
              <w:jc w:val="both"/>
              <w:rPr>
                <w:sz w:val="21"/>
              </w:rPr>
            </w:pPr>
            <w:r>
              <w:rPr>
                <w:spacing w:val="-3"/>
                <w:sz w:val="21"/>
              </w:rPr>
              <w:t>机构上报费率调整方案。调整方案获批后，本公司会向您发放客户通知书， 告知您开始执行新费率标准的时间、方式以及调整费率的原因。为保持公平</w:t>
            </w:r>
            <w:r>
              <w:rPr>
                <w:spacing w:val="-12"/>
                <w:sz w:val="21"/>
              </w:rPr>
              <w:t>性，风险保险费的调整将针对所有被保险人或同一投保年龄的所有被保险人。</w:t>
            </w:r>
          </w:p>
        </w:tc>
      </w:tr>
      <w:tr>
        <w:trPr>
          <w:trHeight w:val="759" w:hRule="atLeast"/>
        </w:trPr>
        <w:tc>
          <w:tcPr>
            <w:tcW w:w="9584" w:type="dxa"/>
            <w:gridSpan w:val="3"/>
          </w:tcPr>
          <w:p>
            <w:pPr>
              <w:pStyle w:val="TableParagraph"/>
              <w:tabs>
                <w:tab w:pos="729" w:val="left" w:leader="none"/>
                <w:tab w:pos="9584" w:val="left" w:leader="none"/>
              </w:tabs>
              <w:spacing w:before="109"/>
              <w:ind w:left="7" w:right="-15"/>
              <w:rPr>
                <w:rFonts w:ascii="微软雅黑" w:hAnsi="微软雅黑" w:eastAsia="微软雅黑" w:hint="eastAsia"/>
                <w:b/>
                <w:sz w:val="24"/>
              </w:rPr>
            </w:pPr>
            <w:r>
              <w:rPr>
                <w:rFonts w:ascii="Times New Roman" w:hAnsi="Times New Roman" w:eastAsia="Times New Roman"/>
                <w:b/>
                <w:spacing w:val="-2"/>
                <w:w w:val="99"/>
                <w:sz w:val="44"/>
                <w:u w:val="single"/>
              </w:rPr>
              <w:t> </w:t>
            </w:r>
            <w:r>
              <w:rPr>
                <w:rFonts w:ascii="Arial" w:hAnsi="Arial" w:eastAsia="Arial"/>
                <w:b/>
                <w:sz w:val="44"/>
                <w:u w:val="single"/>
              </w:rPr>
              <w:t></w:t>
              <w:tab/>
            </w:r>
            <w:r>
              <w:rPr>
                <w:rFonts w:ascii="微软雅黑" w:hAnsi="微软雅黑" w:eastAsia="微软雅黑" w:hint="eastAsia"/>
                <w:b/>
                <w:sz w:val="24"/>
                <w:u w:val="single"/>
              </w:rPr>
              <w:t>合同效力的中止及恢复</w:t>
              <w:tab/>
            </w:r>
          </w:p>
        </w:tc>
      </w:tr>
      <w:tr>
        <w:trPr>
          <w:trHeight w:val="806" w:hRule="atLeast"/>
        </w:trPr>
        <w:tc>
          <w:tcPr>
            <w:tcW w:w="676" w:type="dxa"/>
          </w:tcPr>
          <w:p>
            <w:pPr>
              <w:pStyle w:val="TableParagraph"/>
              <w:spacing w:before="137"/>
              <w:ind w:left="115"/>
              <w:rPr>
                <w:rFonts w:ascii="Times New Roman"/>
                <w:b/>
                <w:sz w:val="21"/>
              </w:rPr>
            </w:pPr>
            <w:r>
              <w:rPr>
                <w:rFonts w:ascii="Times New Roman"/>
                <w:b/>
                <w:sz w:val="21"/>
              </w:rPr>
              <w:t>5.1</w:t>
            </w:r>
          </w:p>
        </w:tc>
        <w:tc>
          <w:tcPr>
            <w:tcW w:w="1755" w:type="dxa"/>
          </w:tcPr>
          <w:p>
            <w:pPr>
              <w:pStyle w:val="TableParagraph"/>
              <w:spacing w:before="42"/>
              <w:ind w:left="169"/>
              <w:rPr>
                <w:rFonts w:ascii="微软雅黑" w:eastAsia="微软雅黑" w:hint="eastAsia"/>
                <w:b/>
                <w:sz w:val="21"/>
              </w:rPr>
            </w:pPr>
            <w:r>
              <w:rPr>
                <w:rFonts w:ascii="微软雅黑" w:eastAsia="微软雅黑" w:hint="eastAsia"/>
                <w:b/>
                <w:sz w:val="21"/>
              </w:rPr>
              <w:t>合同效力中止</w:t>
            </w:r>
          </w:p>
        </w:tc>
        <w:tc>
          <w:tcPr>
            <w:tcW w:w="7153" w:type="dxa"/>
          </w:tcPr>
          <w:p>
            <w:pPr>
              <w:pStyle w:val="TableParagraph"/>
              <w:spacing w:line="223" w:lineRule="auto" w:before="125"/>
              <w:ind w:left="111" w:right="1"/>
              <w:rPr>
                <w:sz w:val="21"/>
              </w:rPr>
            </w:pPr>
            <w:r>
              <w:rPr>
                <w:spacing w:val="-6"/>
                <w:sz w:val="21"/>
              </w:rPr>
              <w:t>从主险合同未按时交纳保险费 </w:t>
            </w:r>
            <w:r>
              <w:rPr>
                <w:rFonts w:ascii="Times New Roman" w:eastAsia="Times New Roman"/>
                <w:sz w:val="21"/>
              </w:rPr>
              <w:t>60 </w:t>
            </w:r>
            <w:r>
              <w:rPr>
                <w:spacing w:val="-3"/>
                <w:sz w:val="21"/>
              </w:rPr>
              <w:t>天后的次日零时起，若主险合同仍然有效， 本附加险合同效力中止。</w:t>
            </w:r>
          </w:p>
        </w:tc>
      </w:tr>
      <w:tr>
        <w:trPr>
          <w:trHeight w:val="822" w:hRule="atLeast"/>
        </w:trPr>
        <w:tc>
          <w:tcPr>
            <w:tcW w:w="676" w:type="dxa"/>
          </w:tcPr>
          <w:p>
            <w:pPr>
              <w:pStyle w:val="TableParagraph"/>
              <w:spacing w:before="147"/>
              <w:ind w:left="115"/>
              <w:rPr>
                <w:rFonts w:ascii="Times New Roman"/>
                <w:b/>
                <w:sz w:val="21"/>
              </w:rPr>
            </w:pPr>
            <w:r>
              <w:rPr>
                <w:rFonts w:ascii="Times New Roman"/>
                <w:b/>
                <w:sz w:val="21"/>
              </w:rPr>
              <w:t>5.2</w:t>
            </w:r>
          </w:p>
        </w:tc>
        <w:tc>
          <w:tcPr>
            <w:tcW w:w="1755" w:type="dxa"/>
          </w:tcPr>
          <w:p>
            <w:pPr>
              <w:pStyle w:val="TableParagraph"/>
              <w:spacing w:before="52"/>
              <w:ind w:left="169"/>
              <w:rPr>
                <w:rFonts w:ascii="微软雅黑" w:eastAsia="微软雅黑" w:hint="eastAsia"/>
                <w:b/>
                <w:sz w:val="21"/>
              </w:rPr>
            </w:pPr>
            <w:r>
              <w:rPr>
                <w:rFonts w:ascii="微软雅黑" w:eastAsia="微软雅黑" w:hint="eastAsia"/>
                <w:b/>
                <w:sz w:val="21"/>
              </w:rPr>
              <w:t>合同效力恢复</w:t>
            </w:r>
          </w:p>
        </w:tc>
        <w:tc>
          <w:tcPr>
            <w:tcW w:w="7153" w:type="dxa"/>
          </w:tcPr>
          <w:p>
            <w:pPr>
              <w:pStyle w:val="TableParagraph"/>
              <w:spacing w:line="225" w:lineRule="auto" w:before="132"/>
              <w:ind w:left="111" w:right="40"/>
              <w:rPr>
                <w:sz w:val="21"/>
              </w:rPr>
            </w:pPr>
            <w:r>
              <w:rPr>
                <w:sz w:val="21"/>
              </w:rPr>
              <w:t>本附加险合同效力中止后 </w:t>
            </w:r>
            <w:r>
              <w:rPr>
                <w:rFonts w:ascii="Times New Roman" w:eastAsia="Times New Roman"/>
                <w:sz w:val="21"/>
              </w:rPr>
              <w:t>2 </w:t>
            </w:r>
            <w:r>
              <w:rPr>
                <w:sz w:val="21"/>
              </w:rPr>
              <w:t>年内，您可以申请恢复合同效力。经本公司审核通过后，在您按主险合同规定交纳保险费之日起，本附加险合同效力恢复。</w:t>
            </w:r>
          </w:p>
        </w:tc>
      </w:tr>
      <w:tr>
        <w:trPr>
          <w:trHeight w:val="649" w:hRule="atLeast"/>
        </w:trPr>
        <w:tc>
          <w:tcPr>
            <w:tcW w:w="676" w:type="dxa"/>
            <w:tcBorders>
              <w:bottom w:val="single" w:sz="8" w:space="0" w:color="000000"/>
            </w:tcBorders>
          </w:tcPr>
          <w:p>
            <w:pPr>
              <w:pStyle w:val="TableParagraph"/>
              <w:spacing w:line="471" w:lineRule="exact" w:before="158"/>
              <w:ind w:left="115"/>
              <w:rPr>
                <w:rFonts w:ascii="Wingdings" w:hAnsi="Wingdings"/>
                <w:sz w:val="44"/>
              </w:rPr>
            </w:pPr>
            <w:r>
              <w:rPr>
                <w:rFonts w:ascii="Wingdings" w:hAnsi="Wingdings"/>
                <w:w w:val="99"/>
                <w:sz w:val="44"/>
              </w:rPr>
              <w:t></w:t>
            </w:r>
          </w:p>
        </w:tc>
        <w:tc>
          <w:tcPr>
            <w:tcW w:w="1755" w:type="dxa"/>
            <w:tcBorders>
              <w:bottom w:val="single" w:sz="8" w:space="0" w:color="000000"/>
            </w:tcBorders>
          </w:tcPr>
          <w:p>
            <w:pPr>
              <w:pStyle w:val="TableParagraph"/>
              <w:spacing w:before="130"/>
              <w:ind w:left="169"/>
              <w:rPr>
                <w:rFonts w:ascii="微软雅黑" w:eastAsia="微软雅黑" w:hint="eastAsia"/>
                <w:b/>
                <w:sz w:val="24"/>
              </w:rPr>
            </w:pPr>
            <w:r>
              <w:rPr>
                <w:rFonts w:ascii="微软雅黑" w:eastAsia="微软雅黑" w:hint="eastAsia"/>
                <w:b/>
                <w:sz w:val="24"/>
              </w:rPr>
              <w:t>其他事项</w:t>
            </w:r>
          </w:p>
        </w:tc>
        <w:tc>
          <w:tcPr>
            <w:tcW w:w="7153" w:type="dxa"/>
            <w:tcBorders>
              <w:bottom w:val="single" w:sz="8" w:space="0" w:color="000000"/>
            </w:tcBorders>
          </w:tcPr>
          <w:p>
            <w:pPr>
              <w:pStyle w:val="TableParagraph"/>
              <w:ind w:left="0"/>
              <w:rPr>
                <w:rFonts w:ascii="Times New Roman"/>
                <w:sz w:val="20"/>
              </w:rPr>
            </w:pPr>
          </w:p>
        </w:tc>
      </w:tr>
      <w:tr>
        <w:trPr>
          <w:trHeight w:val="1194" w:hRule="atLeast"/>
        </w:trPr>
        <w:tc>
          <w:tcPr>
            <w:tcW w:w="676" w:type="dxa"/>
            <w:tcBorders>
              <w:top w:val="single" w:sz="8" w:space="0" w:color="000000"/>
            </w:tcBorders>
          </w:tcPr>
          <w:p>
            <w:pPr>
              <w:pStyle w:val="TableParagraph"/>
              <w:spacing w:before="10"/>
              <w:ind w:left="0"/>
              <w:rPr>
                <w:rFonts w:ascii="Times New Roman"/>
                <w:sz w:val="21"/>
              </w:rPr>
            </w:pPr>
          </w:p>
          <w:p>
            <w:pPr>
              <w:pStyle w:val="TableParagraph"/>
              <w:spacing w:before="1"/>
              <w:ind w:left="115"/>
              <w:rPr>
                <w:rFonts w:ascii="Times New Roman"/>
                <w:b/>
                <w:sz w:val="21"/>
              </w:rPr>
            </w:pPr>
            <w:r>
              <w:rPr>
                <w:rFonts w:ascii="Times New Roman"/>
                <w:b/>
                <w:sz w:val="21"/>
              </w:rPr>
              <w:t>6.1</w:t>
            </w:r>
          </w:p>
        </w:tc>
        <w:tc>
          <w:tcPr>
            <w:tcW w:w="1755" w:type="dxa"/>
            <w:tcBorders>
              <w:top w:val="single" w:sz="8" w:space="0" w:color="000000"/>
            </w:tcBorders>
          </w:tcPr>
          <w:p>
            <w:pPr>
              <w:pStyle w:val="TableParagraph"/>
              <w:spacing w:before="157"/>
              <w:ind w:left="169"/>
              <w:rPr>
                <w:rFonts w:ascii="微软雅黑" w:eastAsia="微软雅黑" w:hint="eastAsia"/>
                <w:b/>
                <w:sz w:val="21"/>
              </w:rPr>
            </w:pPr>
            <w:r>
              <w:rPr>
                <w:rFonts w:ascii="微软雅黑" w:eastAsia="微软雅黑" w:hint="eastAsia"/>
                <w:b/>
                <w:sz w:val="21"/>
              </w:rPr>
              <w:t>未还款项</w:t>
            </w:r>
          </w:p>
        </w:tc>
        <w:tc>
          <w:tcPr>
            <w:tcW w:w="7153" w:type="dxa"/>
            <w:tcBorders>
              <w:top w:val="single" w:sz="8" w:space="0" w:color="000000"/>
            </w:tcBorders>
          </w:tcPr>
          <w:p>
            <w:pPr>
              <w:pStyle w:val="TableParagraph"/>
              <w:spacing w:before="4"/>
              <w:ind w:left="0"/>
              <w:rPr>
                <w:rFonts w:ascii="Times New Roman"/>
                <w:sz w:val="19"/>
              </w:rPr>
            </w:pPr>
          </w:p>
          <w:p>
            <w:pPr>
              <w:pStyle w:val="TableParagraph"/>
              <w:spacing w:line="237" w:lineRule="auto"/>
              <w:ind w:left="111" w:right="102"/>
              <w:jc w:val="both"/>
              <w:rPr>
                <w:sz w:val="21"/>
              </w:rPr>
            </w:pPr>
            <w:r>
              <w:rPr>
                <w:sz w:val="21"/>
              </w:rPr>
              <w:t>本公司在给付各项保险金、未满期净保费或返还风险保险费时，如果您有其他未还清款项，本公司会在扣除上述欠款及应付利息后给付。但本附加险合同另有约定的除外。</w:t>
            </w:r>
          </w:p>
        </w:tc>
      </w:tr>
      <w:tr>
        <w:trPr>
          <w:trHeight w:val="816" w:hRule="atLeast"/>
        </w:trPr>
        <w:tc>
          <w:tcPr>
            <w:tcW w:w="676" w:type="dxa"/>
          </w:tcPr>
          <w:p>
            <w:pPr>
              <w:pStyle w:val="TableParagraph"/>
              <w:spacing w:before="147"/>
              <w:ind w:left="115"/>
              <w:rPr>
                <w:rFonts w:ascii="Times New Roman"/>
                <w:b/>
                <w:sz w:val="21"/>
              </w:rPr>
            </w:pPr>
            <w:r>
              <w:rPr>
                <w:rFonts w:ascii="Times New Roman"/>
                <w:b/>
                <w:sz w:val="21"/>
              </w:rPr>
              <w:t>6.2</w:t>
            </w:r>
          </w:p>
        </w:tc>
        <w:tc>
          <w:tcPr>
            <w:tcW w:w="1755" w:type="dxa"/>
          </w:tcPr>
          <w:p>
            <w:pPr>
              <w:pStyle w:val="TableParagraph"/>
              <w:spacing w:before="52"/>
              <w:ind w:left="169"/>
              <w:rPr>
                <w:rFonts w:ascii="微软雅黑" w:eastAsia="微软雅黑" w:hint="eastAsia"/>
                <w:b/>
                <w:sz w:val="21"/>
              </w:rPr>
            </w:pPr>
            <w:r>
              <w:rPr>
                <w:rFonts w:ascii="微软雅黑" w:eastAsia="微软雅黑" w:hint="eastAsia"/>
                <w:b/>
                <w:sz w:val="21"/>
              </w:rPr>
              <w:t>事故鉴定</w:t>
            </w:r>
          </w:p>
        </w:tc>
        <w:tc>
          <w:tcPr>
            <w:tcW w:w="7153" w:type="dxa"/>
          </w:tcPr>
          <w:p>
            <w:pPr>
              <w:pStyle w:val="TableParagraph"/>
              <w:spacing w:line="237" w:lineRule="auto" w:before="117"/>
              <w:ind w:left="111" w:right="102"/>
              <w:rPr>
                <w:sz w:val="21"/>
              </w:rPr>
            </w:pPr>
            <w:r>
              <w:rPr>
                <w:sz w:val="21"/>
              </w:rPr>
              <w:t>如果被保险人罹患重疾且重疾原因不明，除法律不允许的情形外，本公司可以要求解剖检验或要求司法鉴定机构对保险事故进行鉴定。</w:t>
            </w:r>
          </w:p>
        </w:tc>
      </w:tr>
      <w:tr>
        <w:trPr>
          <w:trHeight w:val="1361" w:hRule="atLeast"/>
        </w:trPr>
        <w:tc>
          <w:tcPr>
            <w:tcW w:w="676" w:type="dxa"/>
          </w:tcPr>
          <w:p>
            <w:pPr>
              <w:pStyle w:val="TableParagraph"/>
              <w:spacing w:before="147"/>
              <w:ind w:left="115"/>
              <w:rPr>
                <w:rFonts w:ascii="Times New Roman"/>
                <w:b/>
                <w:sz w:val="21"/>
              </w:rPr>
            </w:pPr>
            <w:r>
              <w:rPr>
                <w:rFonts w:ascii="Times New Roman"/>
                <w:b/>
                <w:sz w:val="21"/>
              </w:rPr>
              <w:t>6.3</w:t>
            </w:r>
          </w:p>
        </w:tc>
        <w:tc>
          <w:tcPr>
            <w:tcW w:w="1755" w:type="dxa"/>
          </w:tcPr>
          <w:p>
            <w:pPr>
              <w:pStyle w:val="TableParagraph"/>
              <w:spacing w:before="52"/>
              <w:ind w:left="169"/>
              <w:rPr>
                <w:rFonts w:ascii="微软雅黑" w:eastAsia="微软雅黑" w:hint="eastAsia"/>
                <w:b/>
                <w:sz w:val="21"/>
              </w:rPr>
            </w:pPr>
            <w:r>
              <w:rPr>
                <w:rFonts w:ascii="微软雅黑" w:eastAsia="微软雅黑" w:hint="eastAsia"/>
                <w:b/>
                <w:sz w:val="21"/>
              </w:rPr>
              <w:t>特别提示</w:t>
            </w:r>
          </w:p>
        </w:tc>
        <w:tc>
          <w:tcPr>
            <w:tcW w:w="7153" w:type="dxa"/>
          </w:tcPr>
          <w:p>
            <w:pPr>
              <w:pStyle w:val="TableParagraph"/>
              <w:spacing w:line="237" w:lineRule="auto" w:before="117"/>
              <w:ind w:left="111" w:right="102"/>
              <w:jc w:val="both"/>
              <w:rPr>
                <w:sz w:val="21"/>
              </w:rPr>
            </w:pPr>
            <w:r>
              <w:rPr>
                <w:sz w:val="21"/>
              </w:rPr>
              <w:t>当本附加险合同条款与主险合同条款内容不一致时，以本附加险合同条款中的规定为准；本附加险合同条款中未约定的事项，以主险合同条款中的规定为准。</w:t>
            </w:r>
          </w:p>
          <w:p>
            <w:pPr>
              <w:pStyle w:val="TableParagraph"/>
              <w:spacing w:line="271" w:lineRule="exact"/>
              <w:ind w:left="111"/>
              <w:jc w:val="both"/>
              <w:rPr>
                <w:sz w:val="21"/>
              </w:rPr>
            </w:pPr>
            <w:r>
              <w:rPr>
                <w:spacing w:val="-12"/>
                <w:sz w:val="21"/>
              </w:rPr>
              <w:t>主险合同失效，本附加险合同亦失效；主险合同终止，本附加险合同亦终止。</w:t>
            </w:r>
          </w:p>
        </w:tc>
      </w:tr>
      <w:tr>
        <w:trPr>
          <w:trHeight w:val="2600" w:hRule="atLeast"/>
        </w:trPr>
        <w:tc>
          <w:tcPr>
            <w:tcW w:w="676" w:type="dxa"/>
          </w:tcPr>
          <w:p>
            <w:pPr>
              <w:pStyle w:val="TableParagraph"/>
              <w:spacing w:before="147"/>
              <w:ind w:left="115"/>
              <w:rPr>
                <w:rFonts w:ascii="Times New Roman"/>
                <w:b/>
                <w:sz w:val="21"/>
              </w:rPr>
            </w:pPr>
            <w:r>
              <w:rPr>
                <w:rFonts w:ascii="Times New Roman"/>
                <w:b/>
                <w:sz w:val="21"/>
              </w:rPr>
              <w:t>6.4</w:t>
            </w:r>
          </w:p>
        </w:tc>
        <w:tc>
          <w:tcPr>
            <w:tcW w:w="1755" w:type="dxa"/>
          </w:tcPr>
          <w:p>
            <w:pPr>
              <w:pStyle w:val="TableParagraph"/>
              <w:spacing w:line="180" w:lineRule="auto" w:before="143"/>
              <w:ind w:left="169" w:right="105"/>
              <w:rPr>
                <w:rFonts w:ascii="微软雅黑" w:eastAsia="微软雅黑" w:hint="eastAsia"/>
                <w:b/>
                <w:sz w:val="21"/>
              </w:rPr>
            </w:pPr>
            <w:r>
              <w:rPr>
                <w:rFonts w:ascii="微软雅黑" w:eastAsia="微软雅黑" w:hint="eastAsia"/>
                <w:b/>
                <w:sz w:val="21"/>
              </w:rPr>
              <w:t>适用主险合同条款</w:t>
            </w:r>
          </w:p>
        </w:tc>
        <w:tc>
          <w:tcPr>
            <w:tcW w:w="7153" w:type="dxa"/>
          </w:tcPr>
          <w:p>
            <w:pPr>
              <w:pStyle w:val="TableParagraph"/>
              <w:spacing w:line="274" w:lineRule="exact" w:before="114"/>
              <w:ind w:left="111"/>
              <w:rPr>
                <w:sz w:val="21"/>
              </w:rPr>
            </w:pPr>
            <w:r>
              <w:rPr>
                <w:sz w:val="21"/>
              </w:rPr>
              <w:t>下列各项条款，适用主险合同条款：</w:t>
            </w:r>
          </w:p>
          <w:p>
            <w:pPr>
              <w:pStyle w:val="TableParagraph"/>
              <w:numPr>
                <w:ilvl w:val="0"/>
                <w:numId w:val="7"/>
              </w:numPr>
              <w:tabs>
                <w:tab w:pos="532" w:val="left" w:leader="none"/>
              </w:tabs>
              <w:spacing w:line="280" w:lineRule="exact" w:before="0" w:after="0"/>
              <w:ind w:left="531" w:right="0" w:hanging="420"/>
              <w:jc w:val="left"/>
              <w:rPr>
                <w:sz w:val="21"/>
              </w:rPr>
            </w:pPr>
            <w:r>
              <w:rPr>
                <w:spacing w:val="-2"/>
                <w:sz w:val="21"/>
              </w:rPr>
              <w:t>保险事故通知</w:t>
            </w:r>
          </w:p>
          <w:p>
            <w:pPr>
              <w:pStyle w:val="TableParagraph"/>
              <w:numPr>
                <w:ilvl w:val="0"/>
                <w:numId w:val="7"/>
              </w:numPr>
              <w:tabs>
                <w:tab w:pos="532" w:val="left" w:leader="none"/>
              </w:tabs>
              <w:spacing w:line="272" w:lineRule="exact" w:before="0" w:after="0"/>
              <w:ind w:left="531" w:right="0" w:hanging="420"/>
              <w:jc w:val="left"/>
              <w:rPr>
                <w:sz w:val="21"/>
              </w:rPr>
            </w:pPr>
            <w:r>
              <w:rPr>
                <w:spacing w:val="-1"/>
                <w:sz w:val="21"/>
              </w:rPr>
              <w:t>保险金给付</w:t>
            </w:r>
          </w:p>
          <w:p>
            <w:pPr>
              <w:pStyle w:val="TableParagraph"/>
              <w:numPr>
                <w:ilvl w:val="0"/>
                <w:numId w:val="7"/>
              </w:numPr>
              <w:tabs>
                <w:tab w:pos="532" w:val="left" w:leader="none"/>
              </w:tabs>
              <w:spacing w:line="272" w:lineRule="exact" w:before="0" w:after="0"/>
              <w:ind w:left="531" w:right="0" w:hanging="420"/>
              <w:jc w:val="left"/>
              <w:rPr>
                <w:sz w:val="21"/>
              </w:rPr>
            </w:pPr>
            <w:r>
              <w:rPr>
                <w:spacing w:val="-3"/>
                <w:sz w:val="21"/>
              </w:rPr>
              <w:t>明确说明与如实告知</w:t>
            </w:r>
          </w:p>
          <w:p>
            <w:pPr>
              <w:pStyle w:val="TableParagraph"/>
              <w:numPr>
                <w:ilvl w:val="0"/>
                <w:numId w:val="7"/>
              </w:numPr>
              <w:tabs>
                <w:tab w:pos="532" w:val="left" w:leader="none"/>
              </w:tabs>
              <w:spacing w:line="272" w:lineRule="exact" w:before="0" w:after="0"/>
              <w:ind w:left="531" w:right="0" w:hanging="423"/>
              <w:jc w:val="left"/>
              <w:rPr>
                <w:sz w:val="21"/>
              </w:rPr>
            </w:pPr>
            <w:r>
              <w:rPr>
                <w:spacing w:val="-3"/>
                <w:sz w:val="21"/>
              </w:rPr>
              <w:t>合同解除权的限制</w:t>
            </w:r>
          </w:p>
          <w:p>
            <w:pPr>
              <w:pStyle w:val="TableParagraph"/>
              <w:numPr>
                <w:ilvl w:val="0"/>
                <w:numId w:val="7"/>
              </w:numPr>
              <w:tabs>
                <w:tab w:pos="532" w:val="left" w:leader="none"/>
              </w:tabs>
              <w:spacing w:line="272" w:lineRule="exact" w:before="0" w:after="0"/>
              <w:ind w:left="531" w:right="0" w:hanging="423"/>
              <w:jc w:val="left"/>
              <w:rPr>
                <w:sz w:val="21"/>
              </w:rPr>
            </w:pPr>
            <w:r>
              <w:rPr>
                <w:spacing w:val="-2"/>
                <w:sz w:val="21"/>
              </w:rPr>
              <w:t>合同内容变更</w:t>
            </w:r>
          </w:p>
          <w:p>
            <w:pPr>
              <w:pStyle w:val="TableParagraph"/>
              <w:numPr>
                <w:ilvl w:val="0"/>
                <w:numId w:val="7"/>
              </w:numPr>
              <w:tabs>
                <w:tab w:pos="532" w:val="left" w:leader="none"/>
              </w:tabs>
              <w:spacing w:line="272" w:lineRule="exact" w:before="0" w:after="0"/>
              <w:ind w:left="531" w:right="0" w:hanging="423"/>
              <w:jc w:val="left"/>
              <w:rPr>
                <w:sz w:val="21"/>
              </w:rPr>
            </w:pPr>
            <w:r>
              <w:rPr>
                <w:spacing w:val="-2"/>
                <w:sz w:val="21"/>
              </w:rPr>
              <w:t>年龄性别错误</w:t>
            </w:r>
          </w:p>
          <w:p>
            <w:pPr>
              <w:pStyle w:val="TableParagraph"/>
              <w:numPr>
                <w:ilvl w:val="0"/>
                <w:numId w:val="7"/>
              </w:numPr>
              <w:tabs>
                <w:tab w:pos="532" w:val="left" w:leader="none"/>
              </w:tabs>
              <w:spacing w:line="272" w:lineRule="exact" w:before="0" w:after="0"/>
              <w:ind w:left="531" w:right="0" w:hanging="423"/>
              <w:jc w:val="left"/>
              <w:rPr>
                <w:sz w:val="21"/>
              </w:rPr>
            </w:pPr>
            <w:r>
              <w:rPr>
                <w:spacing w:val="-1"/>
                <w:sz w:val="21"/>
              </w:rPr>
              <w:t>争议处理</w:t>
            </w:r>
          </w:p>
          <w:p>
            <w:pPr>
              <w:pStyle w:val="TableParagraph"/>
              <w:numPr>
                <w:ilvl w:val="0"/>
                <w:numId w:val="7"/>
              </w:numPr>
              <w:tabs>
                <w:tab w:pos="532" w:val="left" w:leader="none"/>
              </w:tabs>
              <w:spacing w:line="276" w:lineRule="exact" w:before="0" w:after="0"/>
              <w:ind w:left="531" w:right="0" w:hanging="423"/>
              <w:jc w:val="left"/>
              <w:rPr>
                <w:sz w:val="21"/>
              </w:rPr>
            </w:pPr>
            <w:r>
              <w:rPr>
                <w:spacing w:val="-1"/>
                <w:sz w:val="21"/>
              </w:rPr>
              <w:t>诉讼时效</w:t>
            </w:r>
          </w:p>
        </w:tc>
      </w:tr>
      <w:tr>
        <w:trPr>
          <w:trHeight w:val="505" w:hRule="atLeast"/>
        </w:trPr>
        <w:tc>
          <w:tcPr>
            <w:tcW w:w="676" w:type="dxa"/>
            <w:tcBorders>
              <w:bottom w:val="single" w:sz="8" w:space="0" w:color="000000"/>
            </w:tcBorders>
          </w:tcPr>
          <w:p>
            <w:pPr>
              <w:pStyle w:val="TableParagraph"/>
              <w:spacing w:line="471" w:lineRule="exact" w:before="14"/>
              <w:ind w:left="115"/>
              <w:rPr>
                <w:rFonts w:ascii="Wingdings" w:hAnsi="Wingdings"/>
                <w:sz w:val="44"/>
              </w:rPr>
            </w:pPr>
            <w:r>
              <w:rPr>
                <w:rFonts w:ascii="Wingdings" w:hAnsi="Wingdings"/>
                <w:w w:val="99"/>
                <w:sz w:val="44"/>
              </w:rPr>
              <w:t></w:t>
            </w:r>
          </w:p>
        </w:tc>
        <w:tc>
          <w:tcPr>
            <w:tcW w:w="1755" w:type="dxa"/>
            <w:tcBorders>
              <w:bottom w:val="single" w:sz="8" w:space="0" w:color="000000"/>
            </w:tcBorders>
          </w:tcPr>
          <w:p>
            <w:pPr>
              <w:pStyle w:val="TableParagraph"/>
              <w:spacing w:line="401" w:lineRule="exact"/>
              <w:ind w:left="289"/>
              <w:rPr>
                <w:rFonts w:ascii="微软雅黑" w:eastAsia="微软雅黑" w:hint="eastAsia"/>
                <w:b/>
                <w:sz w:val="24"/>
              </w:rPr>
            </w:pPr>
            <w:r>
              <w:rPr>
                <w:rFonts w:ascii="微软雅黑" w:eastAsia="微软雅黑" w:hint="eastAsia"/>
                <w:b/>
                <w:sz w:val="24"/>
              </w:rPr>
              <w:t>释义</w:t>
            </w:r>
          </w:p>
        </w:tc>
        <w:tc>
          <w:tcPr>
            <w:tcW w:w="7153" w:type="dxa"/>
            <w:tcBorders>
              <w:bottom w:val="single" w:sz="8" w:space="0" w:color="000000"/>
            </w:tcBorders>
          </w:tcPr>
          <w:p>
            <w:pPr>
              <w:pStyle w:val="TableParagraph"/>
              <w:ind w:left="0"/>
              <w:rPr>
                <w:rFonts w:ascii="Times New Roman"/>
                <w:sz w:val="20"/>
              </w:rPr>
            </w:pPr>
          </w:p>
        </w:tc>
      </w:tr>
      <w:tr>
        <w:trPr>
          <w:trHeight w:val="859" w:hRule="atLeast"/>
        </w:trPr>
        <w:tc>
          <w:tcPr>
            <w:tcW w:w="676" w:type="dxa"/>
            <w:tcBorders>
              <w:top w:val="single" w:sz="8" w:space="0" w:color="000000"/>
            </w:tcBorders>
          </w:tcPr>
          <w:p>
            <w:pPr>
              <w:pStyle w:val="TableParagraph"/>
              <w:spacing w:before="11"/>
              <w:ind w:left="0"/>
              <w:rPr>
                <w:rFonts w:ascii="Times New Roman"/>
                <w:sz w:val="17"/>
              </w:rPr>
            </w:pPr>
          </w:p>
          <w:p>
            <w:pPr>
              <w:pStyle w:val="TableParagraph"/>
              <w:ind w:left="115"/>
              <w:rPr>
                <w:rFonts w:ascii="Times New Roman"/>
                <w:b/>
                <w:sz w:val="21"/>
              </w:rPr>
            </w:pPr>
            <w:r>
              <w:rPr>
                <w:rFonts w:ascii="Times New Roman"/>
                <w:b/>
                <w:sz w:val="21"/>
              </w:rPr>
              <w:t>7.1</w:t>
            </w:r>
          </w:p>
        </w:tc>
        <w:tc>
          <w:tcPr>
            <w:tcW w:w="1755" w:type="dxa"/>
            <w:tcBorders>
              <w:top w:val="single" w:sz="8" w:space="0" w:color="000000"/>
            </w:tcBorders>
          </w:tcPr>
          <w:p>
            <w:pPr>
              <w:pStyle w:val="TableParagraph"/>
              <w:spacing w:before="112"/>
              <w:ind w:left="169"/>
              <w:rPr>
                <w:rFonts w:ascii="微软雅黑" w:eastAsia="微软雅黑" w:hint="eastAsia"/>
                <w:b/>
                <w:sz w:val="21"/>
              </w:rPr>
            </w:pPr>
            <w:r>
              <w:rPr>
                <w:rFonts w:ascii="微软雅黑" w:eastAsia="微软雅黑" w:hint="eastAsia"/>
                <w:b/>
                <w:sz w:val="21"/>
              </w:rPr>
              <w:t>周岁</w:t>
            </w:r>
          </w:p>
        </w:tc>
        <w:tc>
          <w:tcPr>
            <w:tcW w:w="7153" w:type="dxa"/>
            <w:tcBorders>
              <w:top w:val="single" w:sz="8" w:space="0" w:color="000000"/>
            </w:tcBorders>
          </w:tcPr>
          <w:p>
            <w:pPr>
              <w:pStyle w:val="TableParagraph"/>
              <w:spacing w:line="237" w:lineRule="auto" w:before="177"/>
              <w:ind w:left="111" w:right="102"/>
              <w:rPr>
                <w:sz w:val="21"/>
              </w:rPr>
            </w:pPr>
            <w:r>
              <w:rPr>
                <w:sz w:val="21"/>
              </w:rPr>
              <w:t>指按法定身份证明文件中记载的出生日期计算的年龄，自出生之日起为零周岁，每经过一年增加一岁，不足一年的不计。</w:t>
            </w:r>
          </w:p>
        </w:tc>
      </w:tr>
      <w:tr>
        <w:trPr>
          <w:trHeight w:val="802" w:hRule="atLeast"/>
        </w:trPr>
        <w:tc>
          <w:tcPr>
            <w:tcW w:w="676" w:type="dxa"/>
          </w:tcPr>
          <w:p>
            <w:pPr>
              <w:pStyle w:val="TableParagraph"/>
              <w:spacing w:before="131"/>
              <w:ind w:left="115"/>
              <w:rPr>
                <w:rFonts w:ascii="Times New Roman"/>
                <w:b/>
                <w:sz w:val="21"/>
              </w:rPr>
            </w:pPr>
            <w:r>
              <w:rPr>
                <w:rFonts w:ascii="Times New Roman"/>
                <w:b/>
                <w:sz w:val="21"/>
              </w:rPr>
              <w:t>7.2</w:t>
            </w:r>
          </w:p>
        </w:tc>
        <w:tc>
          <w:tcPr>
            <w:tcW w:w="1755" w:type="dxa"/>
          </w:tcPr>
          <w:p>
            <w:pPr>
              <w:pStyle w:val="TableParagraph"/>
              <w:spacing w:before="36"/>
              <w:ind w:left="169"/>
              <w:rPr>
                <w:rFonts w:ascii="微软雅黑" w:eastAsia="微软雅黑" w:hint="eastAsia"/>
                <w:b/>
                <w:sz w:val="21"/>
              </w:rPr>
            </w:pPr>
            <w:r>
              <w:rPr>
                <w:rFonts w:ascii="微软雅黑" w:eastAsia="微软雅黑" w:hint="eastAsia"/>
                <w:b/>
                <w:sz w:val="21"/>
              </w:rPr>
              <w:t>风险保险费</w:t>
            </w:r>
          </w:p>
        </w:tc>
        <w:tc>
          <w:tcPr>
            <w:tcW w:w="7153" w:type="dxa"/>
          </w:tcPr>
          <w:p>
            <w:pPr>
              <w:pStyle w:val="TableParagraph"/>
              <w:spacing w:before="99"/>
              <w:ind w:left="111" w:right="102"/>
              <w:rPr>
                <w:sz w:val="21"/>
              </w:rPr>
            </w:pPr>
            <w:r>
              <w:rPr>
                <w:sz w:val="21"/>
              </w:rPr>
              <w:t>风险保险费是保单保险责任的保障成本，通过扣除主险合同个人账户的方式按月收取，并根据“保险金额×风险保险费率”进行计算。</w:t>
            </w:r>
          </w:p>
        </w:tc>
      </w:tr>
      <w:tr>
        <w:trPr>
          <w:trHeight w:val="816" w:hRule="atLeast"/>
        </w:trPr>
        <w:tc>
          <w:tcPr>
            <w:tcW w:w="676" w:type="dxa"/>
          </w:tcPr>
          <w:p>
            <w:pPr>
              <w:pStyle w:val="TableParagraph"/>
              <w:spacing w:before="147"/>
              <w:ind w:left="115"/>
              <w:rPr>
                <w:rFonts w:ascii="Times New Roman"/>
                <w:b/>
                <w:sz w:val="21"/>
              </w:rPr>
            </w:pPr>
            <w:r>
              <w:rPr>
                <w:rFonts w:ascii="Times New Roman"/>
                <w:b/>
                <w:sz w:val="21"/>
              </w:rPr>
              <w:t>7.3</w:t>
            </w:r>
          </w:p>
        </w:tc>
        <w:tc>
          <w:tcPr>
            <w:tcW w:w="1755" w:type="dxa"/>
          </w:tcPr>
          <w:p>
            <w:pPr>
              <w:pStyle w:val="TableParagraph"/>
              <w:spacing w:before="52"/>
              <w:ind w:left="169"/>
              <w:rPr>
                <w:rFonts w:ascii="微软雅黑" w:eastAsia="微软雅黑" w:hint="eastAsia"/>
                <w:b/>
                <w:sz w:val="21"/>
              </w:rPr>
            </w:pPr>
            <w:r>
              <w:rPr>
                <w:rFonts w:ascii="微软雅黑" w:eastAsia="微软雅黑" w:hint="eastAsia"/>
                <w:b/>
                <w:sz w:val="21"/>
              </w:rPr>
              <w:t>有效身份证件</w:t>
            </w:r>
          </w:p>
        </w:tc>
        <w:tc>
          <w:tcPr>
            <w:tcW w:w="7153" w:type="dxa"/>
          </w:tcPr>
          <w:p>
            <w:pPr>
              <w:pStyle w:val="TableParagraph"/>
              <w:spacing w:line="237" w:lineRule="auto" w:before="117"/>
              <w:ind w:left="111" w:right="102"/>
              <w:rPr>
                <w:sz w:val="21"/>
              </w:rPr>
            </w:pPr>
            <w:r>
              <w:rPr>
                <w:sz w:val="21"/>
              </w:rPr>
              <w:t>指依据法律规定，由有权机构制作颁发的证明身份的证件、文件等，如：居民身份证、护照、军人证等。</w:t>
            </w:r>
          </w:p>
        </w:tc>
      </w:tr>
      <w:tr>
        <w:trPr>
          <w:trHeight w:val="818" w:hRule="atLeast"/>
        </w:trPr>
        <w:tc>
          <w:tcPr>
            <w:tcW w:w="676" w:type="dxa"/>
          </w:tcPr>
          <w:p>
            <w:pPr>
              <w:pStyle w:val="TableParagraph"/>
              <w:spacing w:before="147"/>
              <w:ind w:left="115"/>
              <w:rPr>
                <w:rFonts w:ascii="Times New Roman"/>
                <w:b/>
                <w:sz w:val="21"/>
              </w:rPr>
            </w:pPr>
            <w:r>
              <w:rPr>
                <w:rFonts w:ascii="Times New Roman"/>
                <w:b/>
                <w:sz w:val="21"/>
              </w:rPr>
              <w:t>7.4</w:t>
            </w:r>
          </w:p>
        </w:tc>
        <w:tc>
          <w:tcPr>
            <w:tcW w:w="1755" w:type="dxa"/>
          </w:tcPr>
          <w:p>
            <w:pPr>
              <w:pStyle w:val="TableParagraph"/>
              <w:spacing w:before="52"/>
              <w:ind w:left="169"/>
              <w:rPr>
                <w:rFonts w:ascii="微软雅黑" w:eastAsia="微软雅黑" w:hint="eastAsia"/>
                <w:b/>
                <w:sz w:val="21"/>
              </w:rPr>
            </w:pPr>
            <w:r>
              <w:rPr>
                <w:rFonts w:ascii="微软雅黑" w:eastAsia="微软雅黑" w:hint="eastAsia"/>
                <w:b/>
                <w:sz w:val="21"/>
              </w:rPr>
              <w:t>未满期净保费</w:t>
            </w:r>
          </w:p>
        </w:tc>
        <w:tc>
          <w:tcPr>
            <w:tcW w:w="7153" w:type="dxa"/>
          </w:tcPr>
          <w:p>
            <w:pPr>
              <w:pStyle w:val="TableParagraph"/>
              <w:spacing w:line="225" w:lineRule="auto" w:before="132"/>
              <w:ind w:left="111" w:right="265"/>
              <w:rPr>
                <w:sz w:val="21"/>
              </w:rPr>
            </w:pPr>
            <w:r>
              <w:rPr>
                <w:sz w:val="21"/>
              </w:rPr>
              <w:t>未满期净保费=当月风险保险费×</w:t>
            </w:r>
            <w:r>
              <w:rPr>
                <w:rFonts w:ascii="Times New Roman" w:hAnsi="Times New Roman" w:eastAsia="Times New Roman"/>
                <w:sz w:val="21"/>
              </w:rPr>
              <w:t>0.8</w:t>
            </w:r>
            <w:r>
              <w:rPr>
                <w:sz w:val="21"/>
              </w:rPr>
              <w:t>×（1-保单当月经过日数/当月实际天数）</w:t>
            </w:r>
          </w:p>
        </w:tc>
      </w:tr>
      <w:tr>
        <w:trPr>
          <w:trHeight w:val="389" w:hRule="atLeast"/>
        </w:trPr>
        <w:tc>
          <w:tcPr>
            <w:tcW w:w="676" w:type="dxa"/>
          </w:tcPr>
          <w:p>
            <w:pPr>
              <w:pStyle w:val="TableParagraph"/>
              <w:spacing w:line="223" w:lineRule="exact" w:before="147"/>
              <w:ind w:left="115"/>
              <w:rPr>
                <w:rFonts w:ascii="Times New Roman"/>
                <w:b/>
                <w:sz w:val="21"/>
              </w:rPr>
            </w:pPr>
            <w:r>
              <w:rPr>
                <w:rFonts w:ascii="Times New Roman"/>
                <w:b/>
                <w:sz w:val="21"/>
              </w:rPr>
              <w:t>7.5</w:t>
            </w:r>
          </w:p>
        </w:tc>
        <w:tc>
          <w:tcPr>
            <w:tcW w:w="1755" w:type="dxa"/>
          </w:tcPr>
          <w:p>
            <w:pPr>
              <w:pStyle w:val="TableParagraph"/>
              <w:spacing w:line="317" w:lineRule="exact" w:before="52"/>
              <w:ind w:left="169"/>
              <w:rPr>
                <w:rFonts w:ascii="微软雅黑" w:eastAsia="微软雅黑" w:hint="eastAsia"/>
                <w:b/>
                <w:sz w:val="21"/>
              </w:rPr>
            </w:pPr>
            <w:r>
              <w:rPr>
                <w:rFonts w:ascii="微软雅黑" w:eastAsia="微软雅黑" w:hint="eastAsia"/>
                <w:b/>
                <w:sz w:val="21"/>
              </w:rPr>
              <w:t>重大疾病</w:t>
            </w:r>
          </w:p>
        </w:tc>
        <w:tc>
          <w:tcPr>
            <w:tcW w:w="7153" w:type="dxa"/>
          </w:tcPr>
          <w:p>
            <w:pPr>
              <w:pStyle w:val="TableParagraph"/>
              <w:spacing w:line="255" w:lineRule="exact" w:before="114"/>
              <w:ind w:left="111"/>
              <w:rPr>
                <w:sz w:val="21"/>
              </w:rPr>
            </w:pPr>
            <w:r>
              <w:rPr>
                <w:spacing w:val="-6"/>
                <w:sz w:val="21"/>
              </w:rPr>
              <w:t>本附加险合同所定义的重大疾病共有 </w:t>
            </w:r>
            <w:r>
              <w:rPr>
                <w:sz w:val="21"/>
              </w:rPr>
              <w:t>40</w:t>
            </w:r>
            <w:r>
              <w:rPr>
                <w:spacing w:val="-16"/>
                <w:sz w:val="21"/>
              </w:rPr>
              <w:t> 种，其中第 </w:t>
            </w:r>
            <w:r>
              <w:rPr>
                <w:sz w:val="21"/>
              </w:rPr>
              <w:t>1</w:t>
            </w:r>
            <w:r>
              <w:rPr>
                <w:spacing w:val="-32"/>
                <w:sz w:val="21"/>
              </w:rPr>
              <w:t> 至 </w:t>
            </w:r>
            <w:r>
              <w:rPr>
                <w:sz w:val="21"/>
              </w:rPr>
              <w:t>25</w:t>
            </w:r>
            <w:r>
              <w:rPr>
                <w:spacing w:val="-8"/>
                <w:sz w:val="21"/>
              </w:rPr>
              <w:t> 种重大疾病为中</w:t>
            </w:r>
          </w:p>
        </w:tc>
      </w:tr>
    </w:tbl>
    <w:p>
      <w:pPr>
        <w:spacing w:after="0" w:line="255" w:lineRule="exact"/>
        <w:rPr>
          <w:sz w:val="21"/>
        </w:rPr>
        <w:sectPr>
          <w:pgSz w:w="11910" w:h="16840"/>
          <w:pgMar w:header="857" w:footer="960" w:top="1040" w:bottom="1140" w:left="1080" w:right="1020"/>
        </w:sectPr>
      </w:pPr>
    </w:p>
    <w:tbl>
      <w:tblPr>
        <w:tblW w:w="0" w:type="auto"/>
        <w:jc w:val="left"/>
        <w:tblInd w:w="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8"/>
        <w:gridCol w:w="7150"/>
      </w:tblGrid>
      <w:tr>
        <w:trPr>
          <w:trHeight w:val="1279" w:hRule="atLeast"/>
        </w:trPr>
        <w:tc>
          <w:tcPr>
            <w:tcW w:w="1788" w:type="dxa"/>
          </w:tcPr>
          <w:p>
            <w:pPr>
              <w:pStyle w:val="TableParagraph"/>
              <w:ind w:left="0"/>
              <w:rPr>
                <w:rFonts w:ascii="Times New Roman"/>
                <w:sz w:val="20"/>
              </w:rPr>
            </w:pPr>
          </w:p>
        </w:tc>
        <w:tc>
          <w:tcPr>
            <w:tcW w:w="7150" w:type="dxa"/>
          </w:tcPr>
          <w:p>
            <w:pPr>
              <w:pStyle w:val="TableParagraph"/>
              <w:spacing w:before="7"/>
              <w:ind w:left="0"/>
              <w:rPr>
                <w:rFonts w:ascii="Times New Roman"/>
                <w:sz w:val="25"/>
              </w:rPr>
            </w:pPr>
          </w:p>
          <w:p>
            <w:pPr>
              <w:pStyle w:val="TableParagraph"/>
              <w:spacing w:line="237" w:lineRule="auto"/>
              <w:rPr>
                <w:sz w:val="21"/>
              </w:rPr>
            </w:pPr>
            <w:r>
              <w:rPr>
                <w:spacing w:val="-7"/>
                <w:sz w:val="21"/>
              </w:rPr>
              <w:t>国保险行业协会颁布的《重大疾病保险的疾病定义使用规范</w:t>
            </w:r>
            <w:r>
              <w:rPr>
                <w:spacing w:val="-142"/>
                <w:sz w:val="21"/>
              </w:rPr>
              <w:t>》</w:t>
            </w:r>
            <w:r>
              <w:rPr>
                <w:sz w:val="21"/>
              </w:rPr>
              <w:t>（</w:t>
            </w:r>
            <w:r>
              <w:rPr>
                <w:spacing w:val="-9"/>
                <w:sz w:val="21"/>
              </w:rPr>
              <w:t>以下简称“规</w:t>
            </w:r>
            <w:r>
              <w:rPr>
                <w:spacing w:val="-58"/>
                <w:w w:val="100"/>
                <w:sz w:val="21"/>
              </w:rPr>
              <w:t>范”</w:t>
            </w:r>
            <w:r>
              <w:rPr>
                <w:spacing w:val="-3"/>
                <w:w w:val="100"/>
                <w:sz w:val="21"/>
              </w:rPr>
              <w:t>）规定的疾病，第</w:t>
            </w:r>
            <w:r>
              <w:rPr>
                <w:spacing w:val="-52"/>
                <w:sz w:val="21"/>
              </w:rPr>
              <w:t> </w:t>
            </w:r>
            <w:r>
              <w:rPr>
                <w:w w:val="100"/>
                <w:sz w:val="21"/>
              </w:rPr>
              <w:t>26</w:t>
            </w:r>
            <w:r>
              <w:rPr>
                <w:spacing w:val="-55"/>
                <w:sz w:val="21"/>
              </w:rPr>
              <w:t> </w:t>
            </w:r>
            <w:r>
              <w:rPr>
                <w:w w:val="100"/>
                <w:sz w:val="21"/>
              </w:rPr>
              <w:t>至</w:t>
            </w:r>
            <w:r>
              <w:rPr>
                <w:spacing w:val="-53"/>
                <w:sz w:val="21"/>
              </w:rPr>
              <w:t> </w:t>
            </w:r>
            <w:r>
              <w:rPr>
                <w:w w:val="100"/>
                <w:sz w:val="21"/>
              </w:rPr>
              <w:t>40</w:t>
            </w:r>
            <w:r>
              <w:rPr>
                <w:spacing w:val="-55"/>
                <w:sz w:val="21"/>
              </w:rPr>
              <w:t> </w:t>
            </w:r>
            <w:r>
              <w:rPr>
                <w:spacing w:val="-3"/>
                <w:w w:val="100"/>
                <w:sz w:val="21"/>
              </w:rPr>
              <w:t>种重大疾病为“规范”规定范围之外的疾病。</w:t>
            </w:r>
            <w:r>
              <w:rPr>
                <w:spacing w:val="-3"/>
                <w:sz w:val="21"/>
              </w:rPr>
              <w:t>符合定义的重大疾病应当由专科医生明确诊断。</w:t>
            </w:r>
          </w:p>
        </w:tc>
      </w:tr>
      <w:tr>
        <w:trPr>
          <w:trHeight w:val="3319" w:hRule="atLeast"/>
        </w:trPr>
        <w:tc>
          <w:tcPr>
            <w:tcW w:w="1788" w:type="dxa"/>
          </w:tcPr>
          <w:p>
            <w:pPr>
              <w:pStyle w:val="TableParagraph"/>
              <w:spacing w:before="40"/>
              <w:ind w:left="200"/>
              <w:rPr>
                <w:rFonts w:ascii="微软雅黑" w:eastAsia="微软雅黑" w:hint="eastAsia"/>
                <w:b/>
                <w:sz w:val="21"/>
              </w:rPr>
            </w:pPr>
            <w:r>
              <w:rPr>
                <w:rFonts w:ascii="微软雅黑" w:eastAsia="微软雅黑" w:hint="eastAsia"/>
                <w:b/>
                <w:sz w:val="21"/>
              </w:rPr>
              <w:t>恶性肿瘤</w:t>
            </w:r>
          </w:p>
        </w:tc>
        <w:tc>
          <w:tcPr>
            <w:tcW w:w="7150" w:type="dxa"/>
          </w:tcPr>
          <w:p>
            <w:pPr>
              <w:pStyle w:val="TableParagraph"/>
              <w:spacing w:line="237" w:lineRule="auto" w:before="105"/>
              <w:ind w:right="102"/>
              <w:jc w:val="both"/>
              <w:rPr>
                <w:sz w:val="21"/>
              </w:rPr>
            </w:pPr>
            <w:r>
              <w:rPr>
                <w:spacing w:val="-3"/>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w:t>
            </w:r>
            <w:r>
              <w:rPr>
                <w:spacing w:val="-54"/>
                <w:sz w:val="21"/>
              </w:rPr>
              <w:t>类》</w:t>
            </w:r>
            <w:r>
              <w:rPr>
                <w:spacing w:val="-1"/>
                <w:sz w:val="21"/>
              </w:rPr>
              <w:t>（ICD-10）</w:t>
            </w:r>
            <w:r>
              <w:rPr>
                <w:spacing w:val="-3"/>
                <w:sz w:val="21"/>
              </w:rPr>
              <w:t>的恶性肿瘤范畴。</w:t>
            </w:r>
          </w:p>
          <w:p>
            <w:pPr>
              <w:pStyle w:val="TableParagraph"/>
              <w:spacing w:line="272" w:lineRule="exact"/>
              <w:jc w:val="both"/>
              <w:rPr>
                <w:sz w:val="21"/>
              </w:rPr>
            </w:pPr>
            <w:r>
              <w:rPr>
                <w:sz w:val="21"/>
              </w:rPr>
              <w:t>下列疾病不在保障范围内：</w:t>
            </w:r>
          </w:p>
          <w:p>
            <w:pPr>
              <w:pStyle w:val="TableParagraph"/>
              <w:spacing w:line="272" w:lineRule="exact"/>
              <w:jc w:val="both"/>
              <w:rPr>
                <w:sz w:val="21"/>
              </w:rPr>
            </w:pPr>
            <w:r>
              <w:rPr>
                <w:sz w:val="21"/>
              </w:rPr>
              <w:t>（1）原位癌；</w:t>
            </w:r>
          </w:p>
          <w:p>
            <w:pPr>
              <w:pStyle w:val="TableParagraph"/>
              <w:spacing w:line="272" w:lineRule="exact"/>
              <w:jc w:val="both"/>
              <w:rPr>
                <w:sz w:val="21"/>
              </w:rPr>
            </w:pPr>
            <w:r>
              <w:rPr>
                <w:sz w:val="21"/>
              </w:rPr>
              <w:t>（2）相当于 Binet 分期方案 A 期程度的慢性淋巴细胞白血病；</w:t>
            </w:r>
          </w:p>
          <w:p>
            <w:pPr>
              <w:pStyle w:val="TableParagraph"/>
              <w:spacing w:line="272" w:lineRule="exact"/>
              <w:jc w:val="both"/>
              <w:rPr>
                <w:sz w:val="21"/>
              </w:rPr>
            </w:pPr>
            <w:r>
              <w:rPr>
                <w:sz w:val="21"/>
              </w:rPr>
              <w:t>（3）相当于 Ann Arbor 分期方案 I 期程度的何杰金氏病；</w:t>
            </w:r>
          </w:p>
          <w:p>
            <w:pPr>
              <w:pStyle w:val="TableParagraph"/>
              <w:spacing w:line="273" w:lineRule="exact"/>
              <w:jc w:val="both"/>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line="273" w:lineRule="exact"/>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line="274" w:lineRule="exact"/>
              <w:jc w:val="both"/>
              <w:rPr>
                <w:sz w:val="21"/>
              </w:rPr>
            </w:pPr>
            <w:r>
              <w:rPr>
                <w:sz w:val="21"/>
              </w:rPr>
              <w:t>（6）感染艾滋病病毒或患艾滋病期间所患恶性肿瘤。</w:t>
            </w:r>
          </w:p>
        </w:tc>
      </w:tr>
      <w:tr>
        <w:trPr>
          <w:trHeight w:val="2249" w:hRule="atLeast"/>
        </w:trPr>
        <w:tc>
          <w:tcPr>
            <w:tcW w:w="1788" w:type="dxa"/>
          </w:tcPr>
          <w:p>
            <w:pPr>
              <w:pStyle w:val="TableParagraph"/>
              <w:spacing w:before="91"/>
              <w:ind w:left="200"/>
              <w:rPr>
                <w:rFonts w:ascii="微软雅黑" w:eastAsia="微软雅黑" w:hint="eastAsia"/>
                <w:b/>
                <w:sz w:val="21"/>
              </w:rPr>
            </w:pPr>
            <w:r>
              <w:rPr>
                <w:rFonts w:ascii="微软雅黑" w:eastAsia="微软雅黑" w:hint="eastAsia"/>
                <w:b/>
                <w:sz w:val="21"/>
              </w:rPr>
              <w:t>急性心肌梗塞</w:t>
            </w:r>
          </w:p>
        </w:tc>
        <w:tc>
          <w:tcPr>
            <w:tcW w:w="7150" w:type="dxa"/>
          </w:tcPr>
          <w:p>
            <w:pPr>
              <w:pStyle w:val="TableParagraph"/>
              <w:spacing w:before="153"/>
              <w:ind w:right="102"/>
              <w:rPr>
                <w:sz w:val="21"/>
              </w:rPr>
            </w:pPr>
            <w:r>
              <w:rPr>
                <w:sz w:val="21"/>
              </w:rPr>
              <w:t>指因冠状动脉阻塞导致的相应区域供血不足造成部分心肌坏死。须满足下列至少三项条件：</w:t>
            </w:r>
          </w:p>
          <w:p>
            <w:pPr>
              <w:pStyle w:val="TableParagraph"/>
              <w:spacing w:line="271" w:lineRule="exact"/>
              <w:rPr>
                <w:sz w:val="21"/>
              </w:rPr>
            </w:pPr>
            <w:r>
              <w:rPr>
                <w:sz w:val="21"/>
              </w:rPr>
              <w:t>（1）典型临床表现，例如急性胸痛等；</w:t>
            </w:r>
          </w:p>
          <w:p>
            <w:pPr>
              <w:pStyle w:val="TableParagraph"/>
              <w:spacing w:line="272" w:lineRule="exact"/>
              <w:rPr>
                <w:sz w:val="21"/>
              </w:rPr>
            </w:pPr>
            <w:r>
              <w:rPr>
                <w:sz w:val="21"/>
              </w:rPr>
              <w:t>（2）新近的心电图改变提示急性心肌梗塞；</w:t>
            </w:r>
          </w:p>
          <w:p>
            <w:pPr>
              <w:pStyle w:val="TableParagraph"/>
              <w:ind w:right="101"/>
              <w:rPr>
                <w:sz w:val="21"/>
              </w:rPr>
            </w:pPr>
            <w:r>
              <w:rPr>
                <w:spacing w:val="-18"/>
                <w:sz w:val="21"/>
              </w:rPr>
              <w:t>（3）</w:t>
            </w:r>
            <w:r>
              <w:rPr>
                <w:spacing w:val="-6"/>
                <w:sz w:val="21"/>
              </w:rPr>
              <w:t>心肌酶或肌钙蛋白有诊断意义的升高，或呈符合急性心肌梗塞的动态性变化；</w:t>
            </w:r>
          </w:p>
          <w:p>
            <w:pPr>
              <w:pStyle w:val="TableParagraph"/>
              <w:spacing w:line="271" w:lineRule="exact" w:before="2"/>
              <w:rPr>
                <w:sz w:val="21"/>
              </w:rPr>
            </w:pPr>
            <w:r>
              <w:rPr>
                <w:w w:val="100"/>
                <w:sz w:val="21"/>
              </w:rPr>
              <w:t>（4</w:t>
            </w:r>
            <w:r>
              <w:rPr>
                <w:spacing w:val="-97"/>
                <w:w w:val="100"/>
                <w:sz w:val="21"/>
              </w:rPr>
              <w:t>）</w:t>
            </w:r>
            <w:r>
              <w:rPr>
                <w:spacing w:val="-2"/>
                <w:w w:val="100"/>
                <w:sz w:val="21"/>
              </w:rPr>
              <w:t>发病</w:t>
            </w:r>
            <w:r>
              <w:rPr>
                <w:spacing w:val="-53"/>
                <w:sz w:val="21"/>
              </w:rPr>
              <w:t> </w:t>
            </w:r>
            <w:r>
              <w:rPr>
                <w:spacing w:val="-3"/>
                <w:w w:val="100"/>
                <w:sz w:val="21"/>
              </w:rPr>
              <w:t>9</w:t>
            </w:r>
            <w:r>
              <w:rPr>
                <w:w w:val="100"/>
                <w:sz w:val="21"/>
              </w:rPr>
              <w:t>0</w:t>
            </w:r>
            <w:r>
              <w:rPr>
                <w:spacing w:val="-53"/>
                <w:sz w:val="21"/>
              </w:rPr>
              <w:t> </w:t>
            </w:r>
            <w:r>
              <w:rPr>
                <w:spacing w:val="-18"/>
                <w:w w:val="100"/>
                <w:sz w:val="21"/>
              </w:rPr>
              <w:t>天后，经检查证实左心室功能降低，如左心室射血分数低于</w:t>
            </w:r>
            <w:r>
              <w:rPr>
                <w:spacing w:val="-52"/>
                <w:sz w:val="21"/>
              </w:rPr>
              <w:t> </w:t>
            </w:r>
            <w:r>
              <w:rPr>
                <w:spacing w:val="-3"/>
                <w:w w:val="100"/>
                <w:sz w:val="21"/>
              </w:rPr>
              <w:t>5</w:t>
            </w:r>
            <w:r>
              <w:rPr>
                <w:w w:val="100"/>
                <w:sz w:val="21"/>
              </w:rPr>
              <w:t>0</w:t>
            </w:r>
            <w:r>
              <w:rPr>
                <w:spacing w:val="-1"/>
                <w:w w:val="100"/>
                <w:sz w:val="21"/>
              </w:rPr>
              <w:t></w:t>
            </w:r>
            <w:r>
              <w:rPr>
                <w:spacing w:val="-75"/>
                <w:w w:val="100"/>
                <w:sz w:val="21"/>
              </w:rPr>
              <w:t>。</w:t>
            </w:r>
          </w:p>
        </w:tc>
      </w:tr>
      <w:tr>
        <w:trPr>
          <w:trHeight w:val="2243" w:hRule="atLeast"/>
        </w:trPr>
        <w:tc>
          <w:tcPr>
            <w:tcW w:w="1788" w:type="dxa"/>
          </w:tcPr>
          <w:p>
            <w:pPr>
              <w:pStyle w:val="TableParagraph"/>
              <w:spacing w:before="60"/>
              <w:ind w:left="200"/>
              <w:rPr>
                <w:rFonts w:ascii="微软雅黑" w:eastAsia="微软雅黑" w:hint="eastAsia"/>
                <w:b/>
                <w:sz w:val="21"/>
              </w:rPr>
            </w:pPr>
            <w:r>
              <w:rPr>
                <w:rFonts w:ascii="微软雅黑" w:eastAsia="微软雅黑" w:hint="eastAsia"/>
                <w:b/>
                <w:sz w:val="21"/>
              </w:rPr>
              <w:t>脑中风后遗症</w:t>
            </w:r>
          </w:p>
        </w:tc>
        <w:tc>
          <w:tcPr>
            <w:tcW w:w="7150" w:type="dxa"/>
          </w:tcPr>
          <w:p>
            <w:pPr>
              <w:pStyle w:val="TableParagraph"/>
              <w:spacing w:line="237" w:lineRule="auto" w:before="125"/>
              <w:ind w:right="164"/>
              <w:jc w:val="both"/>
              <w:rPr>
                <w:sz w:val="21"/>
              </w:rPr>
            </w:pPr>
            <w:r>
              <w:rPr>
                <w:spacing w:val="-7"/>
                <w:sz w:val="21"/>
              </w:rPr>
              <w:t>指因脑血管的突发病变引起脑血管出血、栓塞或梗塞，并导致神经系统永久</w:t>
            </w:r>
            <w:r>
              <w:rPr>
                <w:spacing w:val="-10"/>
                <w:sz w:val="21"/>
              </w:rPr>
              <w:t>性功能障碍。神经系统永久性的功能障碍，指疾病确诊 </w:t>
            </w:r>
            <w:r>
              <w:rPr>
                <w:sz w:val="21"/>
              </w:rPr>
              <w:t>180</w:t>
            </w:r>
            <w:r>
              <w:rPr>
                <w:spacing w:val="-11"/>
                <w:sz w:val="21"/>
              </w:rPr>
              <w:t> 天后，仍遗留下</w:t>
            </w:r>
            <w:r>
              <w:rPr>
                <w:spacing w:val="-6"/>
                <w:sz w:val="21"/>
              </w:rPr>
              <w:t>列一种或一种以上障碍：</w:t>
            </w:r>
          </w:p>
          <w:p>
            <w:pPr>
              <w:pStyle w:val="TableParagraph"/>
              <w:numPr>
                <w:ilvl w:val="0"/>
                <w:numId w:val="8"/>
              </w:numPr>
              <w:tabs>
                <w:tab w:pos="530" w:val="left" w:leader="none"/>
              </w:tabs>
              <w:spacing w:line="253" w:lineRule="exact" w:before="0" w:after="0"/>
              <w:ind w:left="529" w:right="0" w:hanging="421"/>
              <w:jc w:val="both"/>
              <w:rPr>
                <w:sz w:val="21"/>
              </w:rPr>
            </w:pPr>
            <w:r>
              <w:rPr>
                <w:spacing w:val="-3"/>
                <w:w w:val="100"/>
                <w:sz w:val="21"/>
              </w:rPr>
              <w:t>一肢或一肢以上</w:t>
            </w:r>
            <w:r>
              <w:rPr>
                <w:rFonts w:ascii="微软雅黑" w:eastAsia="微软雅黑" w:hint="eastAsia"/>
                <w:b/>
                <w:spacing w:val="-1"/>
                <w:w w:val="100"/>
                <w:sz w:val="21"/>
              </w:rPr>
              <w:t>肢体机能完全丧失</w:t>
            </w:r>
            <w:r>
              <w:rPr>
                <w:spacing w:val="-3"/>
                <w:w w:val="100"/>
                <w:sz w:val="21"/>
              </w:rPr>
              <w:t>（</w:t>
            </w:r>
            <w:r>
              <w:rPr>
                <w:spacing w:val="-2"/>
                <w:w w:val="100"/>
                <w:sz w:val="21"/>
              </w:rPr>
              <w:t>见释义</w:t>
            </w:r>
            <w:r>
              <w:rPr>
                <w:spacing w:val="-53"/>
                <w:sz w:val="21"/>
              </w:rPr>
              <w:t> </w:t>
            </w:r>
            <w:r>
              <w:rPr>
                <w:rFonts w:ascii="Times New Roman" w:eastAsia="Times New Roman"/>
                <w:w w:val="100"/>
                <w:sz w:val="21"/>
              </w:rPr>
              <w:t>7.</w:t>
            </w:r>
            <w:r>
              <w:rPr>
                <w:rFonts w:ascii="Times New Roman" w:eastAsia="Times New Roman"/>
                <w:spacing w:val="-3"/>
                <w:w w:val="100"/>
                <w:sz w:val="21"/>
              </w:rPr>
              <w:t>9</w:t>
            </w:r>
            <w:r>
              <w:rPr>
                <w:spacing w:val="-106"/>
                <w:w w:val="100"/>
                <w:sz w:val="21"/>
              </w:rPr>
              <w:t>）；</w:t>
            </w:r>
          </w:p>
          <w:p>
            <w:pPr>
              <w:pStyle w:val="TableParagraph"/>
              <w:numPr>
                <w:ilvl w:val="0"/>
                <w:numId w:val="8"/>
              </w:numPr>
              <w:tabs>
                <w:tab w:pos="530" w:val="left" w:leader="none"/>
              </w:tabs>
              <w:spacing w:line="272" w:lineRule="exact" w:before="0" w:after="0"/>
              <w:ind w:left="529" w:right="0" w:hanging="421"/>
              <w:jc w:val="both"/>
              <w:rPr>
                <w:sz w:val="21"/>
              </w:rPr>
            </w:pPr>
            <w:r>
              <w:rPr>
                <w:rFonts w:ascii="微软雅黑" w:eastAsia="微软雅黑" w:hint="eastAsia"/>
                <w:b/>
                <w:spacing w:val="-2"/>
                <w:w w:val="100"/>
                <w:sz w:val="21"/>
              </w:rPr>
              <w:t>语言能力或咀嚼吞咽能力完全丧失</w:t>
            </w:r>
            <w:r>
              <w:rPr>
                <w:spacing w:val="-3"/>
                <w:w w:val="100"/>
                <w:sz w:val="21"/>
              </w:rPr>
              <w:t>（</w:t>
            </w:r>
            <w:r>
              <w:rPr>
                <w:spacing w:val="-2"/>
                <w:w w:val="100"/>
                <w:sz w:val="21"/>
              </w:rPr>
              <w:t>见释义</w:t>
            </w:r>
            <w:r>
              <w:rPr>
                <w:spacing w:val="-53"/>
                <w:sz w:val="21"/>
              </w:rPr>
              <w:t> </w:t>
            </w:r>
            <w:r>
              <w:rPr>
                <w:rFonts w:ascii="Times New Roman" w:eastAsia="Times New Roman"/>
                <w:w w:val="100"/>
                <w:sz w:val="21"/>
              </w:rPr>
              <w:t>7.</w:t>
            </w:r>
            <w:r>
              <w:rPr>
                <w:rFonts w:ascii="Times New Roman" w:eastAsia="Times New Roman"/>
                <w:spacing w:val="-3"/>
                <w:w w:val="100"/>
                <w:sz w:val="21"/>
              </w:rPr>
              <w:t>1</w:t>
            </w:r>
            <w:r>
              <w:rPr>
                <w:rFonts w:ascii="Times New Roman" w:eastAsia="Times New Roman"/>
                <w:w w:val="100"/>
                <w:sz w:val="21"/>
              </w:rPr>
              <w:t>0</w:t>
            </w:r>
            <w:r>
              <w:rPr>
                <w:spacing w:val="-106"/>
                <w:w w:val="100"/>
                <w:sz w:val="21"/>
              </w:rPr>
              <w:t>）；</w:t>
            </w:r>
          </w:p>
          <w:p>
            <w:pPr>
              <w:pStyle w:val="TableParagraph"/>
              <w:numPr>
                <w:ilvl w:val="0"/>
                <w:numId w:val="8"/>
              </w:numPr>
              <w:tabs>
                <w:tab w:pos="530" w:val="left" w:leader="none"/>
              </w:tabs>
              <w:spacing w:line="304" w:lineRule="exact" w:before="0" w:after="0"/>
              <w:ind w:left="529" w:right="0" w:hanging="421"/>
              <w:jc w:val="both"/>
              <w:rPr>
                <w:sz w:val="21"/>
              </w:rPr>
            </w:pPr>
            <w:r>
              <w:rPr>
                <w:spacing w:val="-6"/>
                <w:sz w:val="21"/>
              </w:rPr>
              <w:t>自主生活能力完全丧失，无法独立完成</w:t>
            </w:r>
            <w:r>
              <w:rPr>
                <w:rFonts w:ascii="微软雅黑" w:eastAsia="微软雅黑" w:hint="eastAsia"/>
                <w:b/>
                <w:spacing w:val="-5"/>
                <w:sz w:val="21"/>
              </w:rPr>
              <w:t>六项基本日常生活活动</w:t>
            </w:r>
            <w:r>
              <w:rPr>
                <w:spacing w:val="-3"/>
                <w:sz w:val="21"/>
              </w:rPr>
              <w:t>（</w:t>
            </w:r>
            <w:r>
              <w:rPr>
                <w:spacing w:val="-2"/>
                <w:sz w:val="21"/>
              </w:rPr>
              <w:t>见释义</w:t>
            </w:r>
          </w:p>
          <w:p>
            <w:pPr>
              <w:pStyle w:val="TableParagraph"/>
              <w:spacing w:line="276" w:lineRule="exact"/>
              <w:ind w:left="529"/>
              <w:rPr>
                <w:sz w:val="21"/>
              </w:rPr>
            </w:pPr>
            <w:r>
              <w:rPr>
                <w:rFonts w:ascii="Times New Roman" w:eastAsia="Times New Roman"/>
                <w:sz w:val="21"/>
              </w:rPr>
              <w:t>7.11</w:t>
            </w:r>
            <w:r>
              <w:rPr>
                <w:sz w:val="21"/>
              </w:rPr>
              <w:t>）中的三项或三项以上。</w:t>
            </w:r>
          </w:p>
        </w:tc>
      </w:tr>
      <w:tr>
        <w:trPr>
          <w:trHeight w:val="1666" w:hRule="atLeast"/>
        </w:trPr>
        <w:tc>
          <w:tcPr>
            <w:tcW w:w="1788" w:type="dxa"/>
          </w:tcPr>
          <w:p>
            <w:pPr>
              <w:pStyle w:val="TableParagraph"/>
              <w:spacing w:line="318" w:lineRule="exact" w:before="72"/>
              <w:ind w:left="200"/>
              <w:rPr>
                <w:rFonts w:ascii="微软雅黑" w:eastAsia="微软雅黑" w:hint="eastAsia"/>
                <w:b/>
                <w:sz w:val="21"/>
              </w:rPr>
            </w:pPr>
            <w:r>
              <w:rPr>
                <w:rFonts w:ascii="微软雅黑" w:eastAsia="微软雅黑" w:hint="eastAsia"/>
                <w:b/>
                <w:sz w:val="21"/>
              </w:rPr>
              <w:t>重大器官移植术</w:t>
            </w:r>
          </w:p>
          <w:p>
            <w:pPr>
              <w:pStyle w:val="TableParagraph"/>
              <w:spacing w:line="180" w:lineRule="auto" w:before="46"/>
              <w:ind w:left="200" w:right="213"/>
              <w:rPr>
                <w:rFonts w:ascii="微软雅黑" w:eastAsia="微软雅黑" w:hint="eastAsia"/>
                <w:b/>
                <w:sz w:val="21"/>
              </w:rPr>
            </w:pPr>
            <w:r>
              <w:rPr>
                <w:rFonts w:ascii="微软雅黑" w:eastAsia="微软雅黑" w:hint="eastAsia"/>
                <w:b/>
                <w:sz w:val="21"/>
              </w:rPr>
              <w:t>/造血干细胞移植术</w:t>
            </w:r>
          </w:p>
        </w:tc>
        <w:tc>
          <w:tcPr>
            <w:tcW w:w="7150" w:type="dxa"/>
          </w:tcPr>
          <w:p>
            <w:pPr>
              <w:pStyle w:val="TableParagraph"/>
              <w:spacing w:before="134"/>
              <w:ind w:right="102"/>
              <w:jc w:val="both"/>
              <w:rPr>
                <w:sz w:val="21"/>
              </w:rPr>
            </w:pPr>
            <w:r>
              <w:rPr>
                <w:sz w:val="21"/>
              </w:rPr>
              <w:t>重大器官移植术，指因相应器官功能衰竭，已经实施了肾脏、肝脏、心脏或肺脏的异体移植手术。</w:t>
            </w:r>
          </w:p>
          <w:p>
            <w:pPr>
              <w:pStyle w:val="TableParagraph"/>
              <w:spacing w:line="237" w:lineRule="auto"/>
              <w:ind w:right="102"/>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360" w:hRule="atLeast"/>
        </w:trPr>
        <w:tc>
          <w:tcPr>
            <w:tcW w:w="1788" w:type="dxa"/>
          </w:tcPr>
          <w:p>
            <w:pPr>
              <w:pStyle w:val="TableParagraph"/>
              <w:spacing w:before="40"/>
              <w:ind w:left="200"/>
              <w:rPr>
                <w:rFonts w:ascii="微软雅黑" w:eastAsia="微软雅黑" w:hint="eastAsia"/>
                <w:b/>
                <w:sz w:val="21"/>
              </w:rPr>
            </w:pPr>
            <w:r>
              <w:rPr>
                <w:rFonts w:ascii="微软雅黑" w:eastAsia="微软雅黑" w:hint="eastAsia"/>
                <w:b/>
                <w:sz w:val="21"/>
              </w:rPr>
              <w:t>冠状动脉搭桥术</w:t>
            </w:r>
          </w:p>
        </w:tc>
        <w:tc>
          <w:tcPr>
            <w:tcW w:w="7150" w:type="dxa"/>
          </w:tcPr>
          <w:p>
            <w:pPr>
              <w:pStyle w:val="TableParagraph"/>
              <w:spacing w:line="237" w:lineRule="auto" w:before="105"/>
              <w:ind w:right="102"/>
              <w:rPr>
                <w:sz w:val="21"/>
              </w:rPr>
            </w:pPr>
            <w:r>
              <w:rPr>
                <w:sz w:val="21"/>
              </w:rPr>
              <w:t>指为治疗严重的冠心病，实际实施了开胸进行的冠状动脉血管旁路移植的手术。</w:t>
            </w:r>
          </w:p>
          <w:p>
            <w:pPr>
              <w:pStyle w:val="TableParagraph"/>
              <w:spacing w:line="237" w:lineRule="auto"/>
              <w:ind w:right="102"/>
              <w:rPr>
                <w:sz w:val="21"/>
              </w:rPr>
            </w:pPr>
            <w:r>
              <w:rPr>
                <w:sz w:val="21"/>
              </w:rPr>
              <w:t>冠状动脉支架植入术、心导管球囊扩张术、激光射频技术及其它非开胸的介入手术、腔镜手术不在保障范围内。</w:t>
            </w:r>
          </w:p>
        </w:tc>
      </w:tr>
      <w:tr>
        <w:trPr>
          <w:trHeight w:val="818" w:hRule="atLeast"/>
        </w:trPr>
        <w:tc>
          <w:tcPr>
            <w:tcW w:w="1788" w:type="dxa"/>
          </w:tcPr>
          <w:p>
            <w:pPr>
              <w:pStyle w:val="TableParagraph"/>
              <w:spacing w:before="40"/>
              <w:ind w:left="200"/>
              <w:rPr>
                <w:rFonts w:ascii="微软雅黑" w:eastAsia="微软雅黑" w:hint="eastAsia"/>
                <w:b/>
                <w:sz w:val="21"/>
              </w:rPr>
            </w:pPr>
            <w:r>
              <w:rPr>
                <w:rFonts w:ascii="微软雅黑" w:eastAsia="微软雅黑" w:hint="eastAsia"/>
                <w:b/>
                <w:sz w:val="21"/>
              </w:rPr>
              <w:t>终末期肾病</w:t>
            </w:r>
          </w:p>
        </w:tc>
        <w:tc>
          <w:tcPr>
            <w:tcW w:w="7150" w:type="dxa"/>
          </w:tcPr>
          <w:p>
            <w:pPr>
              <w:pStyle w:val="TableParagraph"/>
              <w:spacing w:before="103"/>
              <w:ind w:right="105"/>
              <w:rPr>
                <w:sz w:val="21"/>
              </w:rPr>
            </w:pPr>
            <w:r>
              <w:rPr>
                <w:spacing w:val="-7"/>
                <w:sz w:val="21"/>
              </w:rPr>
              <w:t>指双肾功能慢性不可逆性衰竭，达到尿毒症期，经诊断后已经进行了至少 </w:t>
            </w:r>
            <w:r>
              <w:rPr>
                <w:spacing w:val="-3"/>
                <w:sz w:val="21"/>
              </w:rPr>
              <w:t>90 天的规律性透析治疗或实施了肾脏移植手术。</w:t>
            </w:r>
          </w:p>
        </w:tc>
      </w:tr>
      <w:tr>
        <w:trPr>
          <w:trHeight w:val="649" w:hRule="atLeast"/>
        </w:trPr>
        <w:tc>
          <w:tcPr>
            <w:tcW w:w="1788" w:type="dxa"/>
          </w:tcPr>
          <w:p>
            <w:pPr>
              <w:pStyle w:val="TableParagraph"/>
              <w:spacing w:before="40"/>
              <w:ind w:left="200"/>
              <w:rPr>
                <w:rFonts w:ascii="微软雅黑" w:eastAsia="微软雅黑" w:hint="eastAsia"/>
                <w:b/>
                <w:sz w:val="21"/>
              </w:rPr>
            </w:pPr>
            <w:r>
              <w:rPr>
                <w:rFonts w:ascii="微软雅黑" w:eastAsia="微软雅黑" w:hint="eastAsia"/>
                <w:b/>
                <w:sz w:val="21"/>
              </w:rPr>
              <w:t>多个肢体缺失</w:t>
            </w:r>
          </w:p>
        </w:tc>
        <w:tc>
          <w:tcPr>
            <w:tcW w:w="7150" w:type="dxa"/>
          </w:tcPr>
          <w:p>
            <w:pPr>
              <w:pStyle w:val="TableParagraph"/>
              <w:spacing w:line="272" w:lineRule="exact" w:before="130"/>
              <w:ind w:right="102"/>
              <w:rPr>
                <w:sz w:val="21"/>
              </w:rPr>
            </w:pPr>
            <w:r>
              <w:rPr>
                <w:sz w:val="21"/>
              </w:rPr>
              <w:t>指因疾病或意外伤害导致两个或两个以上肢体自腕关节或踝关节近端（靠近躯干端）以上完全性断离。</w:t>
            </w:r>
          </w:p>
        </w:tc>
      </w:tr>
    </w:tbl>
    <w:p>
      <w:pPr>
        <w:rPr>
          <w:sz w:val="2"/>
          <w:szCs w:val="2"/>
        </w:rPr>
      </w:pPr>
      <w:r>
        <w:rPr/>
        <w:drawing>
          <wp:anchor distT="0" distB="0" distL="0" distR="0" allowOverlap="1" layoutInCell="1" locked="0" behindDoc="1" simplePos="0" relativeHeight="268409831">
            <wp:simplePos x="0" y="0"/>
            <wp:positionH relativeFrom="page">
              <wp:posOffset>6630845</wp:posOffset>
            </wp:positionH>
            <wp:positionV relativeFrom="page">
              <wp:posOffset>4803266</wp:posOffset>
            </wp:positionV>
            <wp:extent cx="59721" cy="103727"/>
            <wp:effectExtent l="0" t="0" r="0" b="0"/>
            <wp:wrapNone/>
            <wp:docPr id="3" name="image4.png" descr=""/>
            <wp:cNvGraphicFramePr>
              <a:graphicFrameLocks noChangeAspect="1"/>
            </wp:cNvGraphicFramePr>
            <a:graphic>
              <a:graphicData uri="http://schemas.openxmlformats.org/drawingml/2006/picture">
                <pic:pic>
                  <pic:nvPicPr>
                    <pic:cNvPr id="4" name="image4.png"/>
                    <pic:cNvPicPr/>
                  </pic:nvPicPr>
                  <pic:blipFill>
                    <a:blip r:embed="rId13" cstate="print"/>
                    <a:stretch>
                      <a:fillRect/>
                    </a:stretch>
                  </pic:blipFill>
                  <pic:spPr>
                    <a:xfrm>
                      <a:off x="0" y="0"/>
                      <a:ext cx="59721" cy="103727"/>
                    </a:xfrm>
                    <a:prstGeom prst="rect">
                      <a:avLst/>
                    </a:prstGeom>
                  </pic:spPr>
                </pic:pic>
              </a:graphicData>
            </a:graphic>
          </wp:anchor>
        </w:drawing>
      </w:r>
    </w:p>
    <w:p>
      <w:pPr>
        <w:spacing w:after="0"/>
        <w:rPr>
          <w:sz w:val="2"/>
          <w:szCs w:val="2"/>
        </w:rPr>
        <w:sectPr>
          <w:headerReference w:type="default" r:id="rId12"/>
          <w:pgSz w:w="11910" w:h="16840"/>
          <w:pgMar w:header="877" w:footer="960" w:top="1080" w:bottom="1180" w:left="1060" w:right="1020"/>
        </w:sectPr>
      </w:pPr>
    </w:p>
    <w:tbl>
      <w:tblPr>
        <w:tblW w:w="0" w:type="auto"/>
        <w:jc w:val="left"/>
        <w:tblInd w:w="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8"/>
        <w:gridCol w:w="7152"/>
      </w:tblGrid>
      <w:tr>
        <w:trPr>
          <w:trHeight w:val="2095" w:hRule="atLeast"/>
        </w:trPr>
        <w:tc>
          <w:tcPr>
            <w:tcW w:w="1788" w:type="dxa"/>
          </w:tcPr>
          <w:p>
            <w:pPr>
              <w:pStyle w:val="TableParagraph"/>
              <w:spacing w:before="10"/>
              <w:ind w:left="0"/>
              <w:rPr>
                <w:rFonts w:ascii="Times New Roman"/>
                <w:sz w:val="27"/>
              </w:rPr>
            </w:pPr>
          </w:p>
          <w:p>
            <w:pPr>
              <w:pStyle w:val="TableParagraph"/>
              <w:spacing w:line="180" w:lineRule="auto"/>
              <w:ind w:left="200" w:right="107"/>
              <w:rPr>
                <w:rFonts w:ascii="微软雅黑" w:eastAsia="微软雅黑" w:hint="eastAsia"/>
                <w:b/>
                <w:sz w:val="21"/>
              </w:rPr>
            </w:pPr>
            <w:r>
              <w:rPr>
                <w:rFonts w:ascii="微软雅黑" w:eastAsia="微软雅黑" w:hint="eastAsia"/>
                <w:b/>
                <w:sz w:val="21"/>
              </w:rPr>
              <w:t>急性或亚急性重症肝炎</w:t>
            </w:r>
          </w:p>
        </w:tc>
        <w:tc>
          <w:tcPr>
            <w:tcW w:w="7152" w:type="dxa"/>
          </w:tcPr>
          <w:p>
            <w:pPr>
              <w:pStyle w:val="TableParagraph"/>
              <w:spacing w:before="7"/>
              <w:ind w:left="0"/>
              <w:rPr>
                <w:rFonts w:ascii="Times New Roman"/>
                <w:sz w:val="25"/>
              </w:rPr>
            </w:pPr>
          </w:p>
          <w:p>
            <w:pPr>
              <w:pStyle w:val="TableParagraph"/>
              <w:spacing w:line="237" w:lineRule="auto"/>
              <w:ind w:right="104"/>
              <w:rPr>
                <w:sz w:val="21"/>
              </w:rPr>
            </w:pPr>
            <w:r>
              <w:rPr>
                <w:sz w:val="21"/>
              </w:rPr>
              <w:t>指因肝炎病毒感染引起肝组织弥漫性坏死，导致急性肝功能衰竭，且经血清学或病毒学检查证实，并须满足下列全部条件：</w:t>
            </w:r>
          </w:p>
          <w:p>
            <w:pPr>
              <w:pStyle w:val="TableParagraph"/>
              <w:spacing w:line="272" w:lineRule="exact"/>
              <w:rPr>
                <w:sz w:val="21"/>
              </w:rPr>
            </w:pPr>
            <w:r>
              <w:rPr>
                <w:sz w:val="21"/>
              </w:rPr>
              <w:t>（1）重度黄疸或黄疸迅速加重；</w:t>
            </w:r>
          </w:p>
          <w:p>
            <w:pPr>
              <w:pStyle w:val="TableParagraph"/>
              <w:spacing w:line="272" w:lineRule="exact"/>
              <w:rPr>
                <w:sz w:val="21"/>
              </w:rPr>
            </w:pPr>
            <w:r>
              <w:rPr>
                <w:sz w:val="21"/>
              </w:rPr>
              <w:t>（2）肝性脑病；</w:t>
            </w:r>
          </w:p>
          <w:p>
            <w:pPr>
              <w:pStyle w:val="TableParagraph"/>
              <w:spacing w:line="272" w:lineRule="exact"/>
              <w:rPr>
                <w:sz w:val="21"/>
              </w:rPr>
            </w:pPr>
            <w:r>
              <w:rPr>
                <w:sz w:val="21"/>
              </w:rPr>
              <w:t>（3）B 超或其他影像学检查显示肝脏体积急速萎缩；</w:t>
            </w:r>
          </w:p>
          <w:p>
            <w:pPr>
              <w:pStyle w:val="TableParagraph"/>
              <w:spacing w:line="273" w:lineRule="exact"/>
              <w:rPr>
                <w:sz w:val="21"/>
              </w:rPr>
            </w:pPr>
            <w:r>
              <w:rPr>
                <w:sz w:val="21"/>
              </w:rPr>
              <w:t>（4）肝功能指标进行性恶化。</w:t>
            </w:r>
          </w:p>
        </w:tc>
      </w:tr>
      <w:tr>
        <w:trPr>
          <w:trHeight w:val="2179" w:hRule="atLeast"/>
        </w:trPr>
        <w:tc>
          <w:tcPr>
            <w:tcW w:w="1788" w:type="dxa"/>
          </w:tcPr>
          <w:p>
            <w:pPr>
              <w:pStyle w:val="TableParagraph"/>
              <w:spacing w:before="40"/>
              <w:ind w:left="200"/>
              <w:rPr>
                <w:rFonts w:ascii="微软雅黑" w:eastAsia="微软雅黑" w:hint="eastAsia"/>
                <w:b/>
                <w:sz w:val="21"/>
              </w:rPr>
            </w:pPr>
            <w:r>
              <w:rPr>
                <w:rFonts w:ascii="微软雅黑" w:eastAsia="微软雅黑" w:hint="eastAsia"/>
                <w:b/>
                <w:sz w:val="21"/>
              </w:rPr>
              <w:t>良性脑肿瘤</w:t>
            </w:r>
          </w:p>
        </w:tc>
        <w:tc>
          <w:tcPr>
            <w:tcW w:w="7152" w:type="dxa"/>
          </w:tcPr>
          <w:p>
            <w:pPr>
              <w:pStyle w:val="TableParagraph"/>
              <w:spacing w:line="237" w:lineRule="auto" w:before="105"/>
              <w:ind w:right="103"/>
              <w:jc w:val="both"/>
              <w:rPr>
                <w:sz w:val="21"/>
              </w:rPr>
            </w:pPr>
            <w:r>
              <w:rPr>
                <w:spacing w:val="-3"/>
                <w:sz w:val="21"/>
              </w:rPr>
              <w:t>指脑的良性肿瘤，已经引起颅内压增高，临床表现为视神经乳头水肿、精神</w:t>
            </w:r>
            <w:r>
              <w:rPr>
                <w:spacing w:val="-11"/>
                <w:w w:val="100"/>
                <w:sz w:val="21"/>
              </w:rPr>
              <w:t>症状、癫痫及运动感觉障碍等，并危及生命。须由头颅断层扫描</w:t>
            </w:r>
            <w:r>
              <w:rPr>
                <w:w w:val="100"/>
                <w:sz w:val="21"/>
              </w:rPr>
              <w:t>（C</w:t>
            </w:r>
            <w:r>
              <w:rPr>
                <w:spacing w:val="-3"/>
                <w:w w:val="100"/>
                <w:sz w:val="21"/>
              </w:rPr>
              <w:t>T</w:t>
            </w:r>
            <w:r>
              <w:rPr>
                <w:spacing w:val="-106"/>
                <w:w w:val="100"/>
                <w:sz w:val="21"/>
              </w:rPr>
              <w:t>）</w:t>
            </w:r>
            <w:r>
              <w:rPr>
                <w:spacing w:val="-9"/>
                <w:w w:val="100"/>
                <w:sz w:val="21"/>
              </w:rPr>
              <w:t>、核磁</w:t>
            </w:r>
            <w:r>
              <w:rPr>
                <w:spacing w:val="-2"/>
                <w:sz w:val="21"/>
              </w:rPr>
              <w:t>共振检查</w:t>
            </w:r>
            <w:r>
              <w:rPr>
                <w:spacing w:val="-1"/>
                <w:sz w:val="21"/>
              </w:rPr>
              <w:t>（MRI）</w:t>
            </w:r>
            <w:r>
              <w:rPr>
                <w:spacing w:val="-3"/>
                <w:sz w:val="21"/>
              </w:rPr>
              <w:t>或正电子发射断层扫描</w:t>
            </w:r>
            <w:r>
              <w:rPr>
                <w:sz w:val="21"/>
              </w:rPr>
              <w:t>（PET）</w:t>
            </w:r>
            <w:r>
              <w:rPr>
                <w:spacing w:val="-3"/>
                <w:sz w:val="21"/>
              </w:rPr>
              <w:t>等影像学检查证实，并须满足下列至少一项条件：</w:t>
            </w:r>
          </w:p>
          <w:p>
            <w:pPr>
              <w:pStyle w:val="TableParagraph"/>
              <w:spacing w:line="271" w:lineRule="exact"/>
              <w:jc w:val="both"/>
              <w:rPr>
                <w:sz w:val="21"/>
              </w:rPr>
            </w:pPr>
            <w:r>
              <w:rPr>
                <w:sz w:val="21"/>
              </w:rPr>
              <w:t>（1）实际实施了开颅进行的脑肿瘤完全切除或部分切除的手术；</w:t>
            </w:r>
          </w:p>
          <w:p>
            <w:pPr>
              <w:pStyle w:val="TableParagraph"/>
              <w:spacing w:line="273" w:lineRule="exact"/>
              <w:jc w:val="both"/>
              <w:rPr>
                <w:sz w:val="21"/>
              </w:rPr>
            </w:pPr>
            <w:r>
              <w:rPr>
                <w:sz w:val="21"/>
              </w:rPr>
              <w:t>（2）实际实施了对脑肿瘤进行的放射治疗。</w:t>
            </w:r>
          </w:p>
          <w:p>
            <w:pPr>
              <w:pStyle w:val="TableParagraph"/>
              <w:spacing w:line="273" w:lineRule="exact"/>
              <w:jc w:val="both"/>
              <w:rPr>
                <w:sz w:val="21"/>
              </w:rPr>
            </w:pPr>
            <w:r>
              <w:rPr>
                <w:sz w:val="21"/>
              </w:rPr>
              <w:t>脑垂体瘤、脑囊肿、脑血管性疾病不在保障范围内。</w:t>
            </w:r>
          </w:p>
        </w:tc>
      </w:tr>
      <w:tr>
        <w:trPr>
          <w:trHeight w:val="1905" w:hRule="atLeast"/>
        </w:trPr>
        <w:tc>
          <w:tcPr>
            <w:tcW w:w="1788" w:type="dxa"/>
          </w:tcPr>
          <w:p>
            <w:pPr>
              <w:pStyle w:val="TableParagraph"/>
              <w:spacing w:line="180" w:lineRule="auto" w:before="131"/>
              <w:ind w:left="200" w:right="107"/>
              <w:rPr>
                <w:rFonts w:ascii="微软雅黑" w:eastAsia="微软雅黑" w:hint="eastAsia"/>
                <w:b/>
                <w:sz w:val="21"/>
              </w:rPr>
            </w:pPr>
            <w:r>
              <w:rPr>
                <w:rFonts w:ascii="微软雅黑" w:eastAsia="微软雅黑" w:hint="eastAsia"/>
                <w:b/>
                <w:sz w:val="21"/>
              </w:rPr>
              <w:t>慢性肝功能衰竭失代偿期</w:t>
            </w:r>
          </w:p>
        </w:tc>
        <w:tc>
          <w:tcPr>
            <w:tcW w:w="7152" w:type="dxa"/>
          </w:tcPr>
          <w:p>
            <w:pPr>
              <w:pStyle w:val="TableParagraph"/>
              <w:spacing w:line="273" w:lineRule="exact" w:before="103"/>
              <w:rPr>
                <w:sz w:val="21"/>
              </w:rPr>
            </w:pPr>
            <w:r>
              <w:rPr>
                <w:sz w:val="21"/>
              </w:rPr>
              <w:t>指因慢性肝脏疾病导致肝功能衰竭。须满足下列全部条件：</w:t>
            </w:r>
          </w:p>
          <w:p>
            <w:pPr>
              <w:pStyle w:val="TableParagraph"/>
              <w:spacing w:line="272" w:lineRule="exact"/>
              <w:rPr>
                <w:sz w:val="21"/>
              </w:rPr>
            </w:pPr>
            <w:r>
              <w:rPr>
                <w:sz w:val="21"/>
              </w:rPr>
              <w:t>（1）持续性黄疸；</w:t>
            </w:r>
          </w:p>
          <w:p>
            <w:pPr>
              <w:pStyle w:val="TableParagraph"/>
              <w:spacing w:line="272" w:lineRule="exact"/>
              <w:rPr>
                <w:sz w:val="21"/>
              </w:rPr>
            </w:pPr>
            <w:r>
              <w:rPr>
                <w:sz w:val="21"/>
              </w:rPr>
              <w:t>（2）腹水；</w:t>
            </w:r>
          </w:p>
          <w:p>
            <w:pPr>
              <w:pStyle w:val="TableParagraph"/>
              <w:spacing w:line="272" w:lineRule="exact"/>
              <w:rPr>
                <w:sz w:val="21"/>
              </w:rPr>
            </w:pPr>
            <w:r>
              <w:rPr>
                <w:sz w:val="21"/>
              </w:rPr>
              <w:t>（3）肝性脑病；</w:t>
            </w:r>
          </w:p>
          <w:p>
            <w:pPr>
              <w:pStyle w:val="TableParagraph"/>
              <w:spacing w:line="237" w:lineRule="auto" w:before="2"/>
              <w:ind w:right="1995"/>
              <w:rPr>
                <w:sz w:val="21"/>
              </w:rPr>
            </w:pPr>
            <w:r>
              <w:rPr>
                <w:sz w:val="21"/>
              </w:rPr>
              <w:t>（4）充血性脾大伴脾功能亢进或食管胃底静脉曲张。因酗酒或药物滥用导致的肝功能衰竭不在保障范围内。</w:t>
            </w:r>
          </w:p>
        </w:tc>
      </w:tr>
      <w:tr>
        <w:trPr>
          <w:trHeight w:val="1908" w:hRule="atLeast"/>
        </w:trPr>
        <w:tc>
          <w:tcPr>
            <w:tcW w:w="1788" w:type="dxa"/>
          </w:tcPr>
          <w:p>
            <w:pPr>
              <w:pStyle w:val="TableParagraph"/>
              <w:spacing w:line="180" w:lineRule="auto" w:before="131"/>
              <w:ind w:left="200" w:right="107"/>
              <w:rPr>
                <w:rFonts w:ascii="微软雅黑" w:eastAsia="微软雅黑" w:hint="eastAsia"/>
                <w:b/>
                <w:sz w:val="21"/>
              </w:rPr>
            </w:pPr>
            <w:r>
              <w:rPr>
                <w:rFonts w:ascii="微软雅黑" w:eastAsia="微软雅黑" w:hint="eastAsia"/>
                <w:b/>
                <w:sz w:val="21"/>
              </w:rPr>
              <w:t>脑炎后遗症或脑膜炎后遗症</w:t>
            </w:r>
          </w:p>
        </w:tc>
        <w:tc>
          <w:tcPr>
            <w:tcW w:w="7152" w:type="dxa"/>
          </w:tcPr>
          <w:p>
            <w:pPr>
              <w:pStyle w:val="TableParagraph"/>
              <w:spacing w:before="103"/>
              <w:ind w:right="104"/>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line="271" w:lineRule="exact"/>
              <w:rPr>
                <w:sz w:val="21"/>
              </w:rPr>
            </w:pPr>
            <w:r>
              <w:rPr>
                <w:sz w:val="21"/>
              </w:rPr>
              <w:t>（1）一肢或一肢以上肢体机能完全丧失；</w:t>
            </w:r>
          </w:p>
          <w:p>
            <w:pPr>
              <w:pStyle w:val="TableParagraph"/>
              <w:spacing w:line="273" w:lineRule="exact"/>
              <w:rPr>
                <w:sz w:val="21"/>
              </w:rPr>
            </w:pPr>
            <w:r>
              <w:rPr>
                <w:sz w:val="21"/>
              </w:rPr>
              <w:t>（2）语言能力或咀嚼吞咽能力完全丧失；</w:t>
            </w:r>
          </w:p>
          <w:p>
            <w:pPr>
              <w:pStyle w:val="TableParagraph"/>
              <w:ind w:left="529" w:right="138" w:hanging="421"/>
              <w:rPr>
                <w:sz w:val="21"/>
              </w:rPr>
            </w:pPr>
            <w:r>
              <w:rPr>
                <w:sz w:val="21"/>
              </w:rPr>
              <w:t>（3）自主生活能力完全丧失，无法独立完成六项基本日常生活活动中的三项或三项以上。</w:t>
            </w:r>
          </w:p>
        </w:tc>
      </w:tr>
      <w:tr>
        <w:trPr>
          <w:trHeight w:val="1357" w:hRule="atLeast"/>
        </w:trPr>
        <w:tc>
          <w:tcPr>
            <w:tcW w:w="1788" w:type="dxa"/>
          </w:tcPr>
          <w:p>
            <w:pPr>
              <w:pStyle w:val="TableParagraph"/>
              <w:spacing w:before="40"/>
              <w:ind w:left="200"/>
              <w:rPr>
                <w:rFonts w:ascii="微软雅黑" w:eastAsia="微软雅黑" w:hint="eastAsia"/>
                <w:b/>
                <w:sz w:val="21"/>
              </w:rPr>
            </w:pPr>
            <w:r>
              <w:rPr>
                <w:rFonts w:ascii="微软雅黑" w:eastAsia="微软雅黑" w:hint="eastAsia"/>
                <w:b/>
                <w:sz w:val="21"/>
              </w:rPr>
              <w:t>深度昏迷</w:t>
            </w:r>
          </w:p>
        </w:tc>
        <w:tc>
          <w:tcPr>
            <w:tcW w:w="7152" w:type="dxa"/>
          </w:tcPr>
          <w:p>
            <w:pPr>
              <w:pStyle w:val="TableParagraph"/>
              <w:spacing w:line="237" w:lineRule="auto" w:before="105"/>
              <w:ind w:right="103"/>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12"/>
                <w:sz w:val="21"/>
              </w:rPr>
              <w:t> 分以下， </w:t>
            </w:r>
            <w:r>
              <w:rPr>
                <w:spacing w:val="-8"/>
                <w:sz w:val="21"/>
              </w:rPr>
              <w:t>且已经持续使用呼吸机及其它生命维持系统 </w:t>
            </w:r>
            <w:r>
              <w:rPr>
                <w:sz w:val="21"/>
              </w:rPr>
              <w:t>96</w:t>
            </w:r>
            <w:r>
              <w:rPr>
                <w:spacing w:val="-9"/>
                <w:sz w:val="21"/>
              </w:rPr>
              <w:t> 小时以上。</w:t>
            </w:r>
          </w:p>
          <w:p>
            <w:pPr>
              <w:pStyle w:val="TableParagraph"/>
              <w:spacing w:line="271" w:lineRule="exact"/>
              <w:jc w:val="both"/>
              <w:rPr>
                <w:sz w:val="21"/>
              </w:rPr>
            </w:pPr>
            <w:r>
              <w:rPr>
                <w:sz w:val="21"/>
              </w:rPr>
              <w:t>因酗酒或药物滥用导致的深度昏迷不在保障范围内。</w:t>
            </w:r>
          </w:p>
        </w:tc>
      </w:tr>
      <w:tr>
        <w:trPr>
          <w:trHeight w:val="1638" w:hRule="atLeast"/>
        </w:trPr>
        <w:tc>
          <w:tcPr>
            <w:tcW w:w="1788" w:type="dxa"/>
          </w:tcPr>
          <w:p>
            <w:pPr>
              <w:pStyle w:val="TableParagraph"/>
              <w:spacing w:before="44"/>
              <w:ind w:left="200"/>
              <w:rPr>
                <w:rFonts w:ascii="微软雅黑" w:eastAsia="微软雅黑" w:hint="eastAsia"/>
                <w:b/>
                <w:sz w:val="21"/>
              </w:rPr>
            </w:pPr>
            <w:r>
              <w:rPr>
                <w:rFonts w:ascii="微软雅黑" w:eastAsia="微软雅黑" w:hint="eastAsia"/>
                <w:b/>
                <w:sz w:val="21"/>
              </w:rPr>
              <w:t>双耳失聪</w:t>
            </w:r>
          </w:p>
        </w:tc>
        <w:tc>
          <w:tcPr>
            <w:tcW w:w="7152" w:type="dxa"/>
          </w:tcPr>
          <w:p>
            <w:pPr>
              <w:pStyle w:val="TableParagraph"/>
              <w:spacing w:line="349" w:lineRule="exact" w:before="44"/>
              <w:rPr>
                <w:sz w:val="21"/>
              </w:rPr>
            </w:pPr>
            <w:r>
              <w:rPr>
                <w:spacing w:val="-3"/>
                <w:sz w:val="21"/>
              </w:rPr>
              <w:t>指因疾病或意外伤害导致双耳听力</w:t>
            </w:r>
            <w:r>
              <w:rPr>
                <w:rFonts w:ascii="微软雅黑" w:eastAsia="微软雅黑" w:hint="eastAsia"/>
                <w:b/>
                <w:spacing w:val="-11"/>
                <w:sz w:val="21"/>
              </w:rPr>
              <w:t>永久不可逆</w:t>
            </w:r>
            <w:r>
              <w:rPr>
                <w:spacing w:val="-3"/>
                <w:sz w:val="21"/>
              </w:rPr>
              <w:t>（</w:t>
            </w:r>
            <w:r>
              <w:rPr>
                <w:spacing w:val="-11"/>
                <w:sz w:val="21"/>
              </w:rPr>
              <w:t>见释义 </w:t>
            </w:r>
            <w:r>
              <w:rPr>
                <w:rFonts w:ascii="Times New Roman" w:eastAsia="Times New Roman"/>
                <w:spacing w:val="-12"/>
                <w:sz w:val="21"/>
              </w:rPr>
              <w:t>7.12</w:t>
            </w:r>
            <w:r>
              <w:rPr>
                <w:spacing w:val="-12"/>
                <w:sz w:val="21"/>
              </w:rPr>
              <w:t>）</w:t>
            </w:r>
            <w:r>
              <w:rPr>
                <w:spacing w:val="-17"/>
                <w:sz w:val="21"/>
              </w:rPr>
              <w:t>性丧失，在 </w:t>
            </w:r>
            <w:r>
              <w:rPr>
                <w:sz w:val="21"/>
              </w:rPr>
              <w:t>500</w:t>
            </w:r>
          </w:p>
          <w:p>
            <w:pPr>
              <w:pStyle w:val="TableParagraph"/>
              <w:spacing w:line="237" w:lineRule="auto"/>
              <w:ind w:right="103"/>
              <w:rPr>
                <w:sz w:val="21"/>
              </w:rPr>
            </w:pPr>
            <w:r>
              <w:rPr>
                <w:spacing w:val="-7"/>
                <w:sz w:val="21"/>
              </w:rPr>
              <w:t>赫兹、</w:t>
            </w:r>
            <w:r>
              <w:rPr>
                <w:sz w:val="21"/>
              </w:rPr>
              <w:t>1000</w:t>
            </w:r>
            <w:r>
              <w:rPr>
                <w:spacing w:val="-21"/>
                <w:sz w:val="21"/>
              </w:rPr>
              <w:t> 赫兹和 </w:t>
            </w:r>
            <w:r>
              <w:rPr>
                <w:sz w:val="21"/>
              </w:rPr>
              <w:t>2000</w:t>
            </w:r>
            <w:r>
              <w:rPr>
                <w:spacing w:val="-12"/>
                <w:sz w:val="21"/>
              </w:rPr>
              <w:t> 赫兹语音频率下，平均听阈大于 </w:t>
            </w:r>
            <w:r>
              <w:rPr>
                <w:sz w:val="21"/>
              </w:rPr>
              <w:t>90</w:t>
            </w:r>
            <w:r>
              <w:rPr>
                <w:spacing w:val="-11"/>
                <w:sz w:val="21"/>
              </w:rPr>
              <w:t> 分贝，且经纯音</w:t>
            </w:r>
            <w:r>
              <w:rPr>
                <w:spacing w:val="-6"/>
                <w:sz w:val="21"/>
              </w:rPr>
              <w:t>听力测试、声导抗检测或听觉诱发电位检测等证实。</w:t>
            </w:r>
          </w:p>
          <w:p>
            <w:pPr>
              <w:pStyle w:val="TableParagraph"/>
              <w:spacing w:line="180" w:lineRule="auto" w:before="35"/>
              <w:ind w:right="130"/>
              <w:rPr>
                <w:rFonts w:ascii="微软雅黑" w:eastAsia="微软雅黑" w:hint="eastAsia"/>
                <w:b/>
                <w:sz w:val="21"/>
              </w:rPr>
            </w:pPr>
            <w:r>
              <w:rPr>
                <w:rFonts w:ascii="微软雅黑" w:eastAsia="微软雅黑" w:hint="eastAsia"/>
                <w:b/>
                <w:sz w:val="21"/>
              </w:rPr>
              <w:t>3</w:t>
            </w:r>
            <w:r>
              <w:rPr>
                <w:rFonts w:ascii="微软雅黑" w:eastAsia="微软雅黑" w:hint="eastAsia"/>
                <w:b/>
                <w:spacing w:val="-4"/>
                <w:sz w:val="21"/>
              </w:rPr>
              <w:t> 周岁以下儿童除外</w:t>
            </w:r>
            <w:r>
              <w:rPr>
                <w:rFonts w:ascii="微软雅黑" w:eastAsia="微软雅黑" w:hint="eastAsia"/>
                <w:b/>
                <w:sz w:val="21"/>
              </w:rPr>
              <w:t>（</w:t>
            </w:r>
            <w:r>
              <w:rPr>
                <w:rFonts w:ascii="微软雅黑" w:eastAsia="微软雅黑" w:hint="eastAsia"/>
                <w:b/>
                <w:spacing w:val="-4"/>
                <w:sz w:val="21"/>
              </w:rPr>
              <w:t>被保险人确诊时间需在 </w:t>
            </w:r>
            <w:r>
              <w:rPr>
                <w:rFonts w:ascii="微软雅黑" w:eastAsia="微软雅黑" w:hint="eastAsia"/>
                <w:b/>
                <w:sz w:val="21"/>
              </w:rPr>
              <w:t>3</w:t>
            </w:r>
            <w:r>
              <w:rPr>
                <w:rFonts w:ascii="微软雅黑" w:eastAsia="微软雅黑" w:hint="eastAsia"/>
                <w:b/>
                <w:spacing w:val="-4"/>
                <w:sz w:val="21"/>
              </w:rPr>
              <w:t> 周岁以上方符合理赔条件， 且理赔时必须提供专科医生的诊断证明和检查报告</w:t>
            </w:r>
            <w:r>
              <w:rPr>
                <w:rFonts w:ascii="微软雅黑" w:eastAsia="微软雅黑" w:hint="eastAsia"/>
                <w:b/>
                <w:spacing w:val="-108"/>
                <w:sz w:val="21"/>
              </w:rPr>
              <w:t>）</w:t>
            </w:r>
            <w:r>
              <w:rPr>
                <w:rFonts w:ascii="微软雅黑" w:eastAsia="微软雅黑" w:hint="eastAsia"/>
                <w:b/>
                <w:sz w:val="21"/>
              </w:rPr>
              <w:t>。</w:t>
            </w:r>
          </w:p>
        </w:tc>
      </w:tr>
      <w:tr>
        <w:trPr>
          <w:trHeight w:val="1905" w:hRule="atLeast"/>
        </w:trPr>
        <w:tc>
          <w:tcPr>
            <w:tcW w:w="1788" w:type="dxa"/>
          </w:tcPr>
          <w:p>
            <w:pPr>
              <w:pStyle w:val="TableParagraph"/>
              <w:spacing w:before="40"/>
              <w:ind w:left="200"/>
              <w:rPr>
                <w:rFonts w:ascii="微软雅黑" w:eastAsia="微软雅黑" w:hint="eastAsia"/>
                <w:b/>
                <w:sz w:val="21"/>
              </w:rPr>
            </w:pPr>
            <w:r>
              <w:rPr>
                <w:rFonts w:ascii="微软雅黑" w:eastAsia="微软雅黑" w:hint="eastAsia"/>
                <w:b/>
                <w:sz w:val="21"/>
              </w:rPr>
              <w:t>双目失明</w:t>
            </w:r>
          </w:p>
        </w:tc>
        <w:tc>
          <w:tcPr>
            <w:tcW w:w="7152" w:type="dxa"/>
          </w:tcPr>
          <w:p>
            <w:pPr>
              <w:pStyle w:val="TableParagraph"/>
              <w:spacing w:line="216" w:lineRule="auto" w:before="77"/>
              <w:ind w:right="103"/>
              <w:rPr>
                <w:sz w:val="21"/>
              </w:rPr>
            </w:pPr>
            <w:r>
              <w:rPr>
                <w:sz w:val="21"/>
              </w:rPr>
              <w:t>指因疾病或</w:t>
            </w:r>
            <w:r>
              <w:rPr>
                <w:rFonts w:ascii="微软雅黑" w:eastAsia="微软雅黑" w:hint="eastAsia"/>
                <w:b/>
                <w:sz w:val="21"/>
              </w:rPr>
              <w:t>意外伤害</w:t>
            </w:r>
            <w:r>
              <w:rPr>
                <w:sz w:val="21"/>
              </w:rPr>
              <w:t>导致双眼视力永久不可逆性丧失，双眼中较好眼须满足下列至少一项条件：</w:t>
            </w:r>
          </w:p>
          <w:p>
            <w:pPr>
              <w:pStyle w:val="TableParagraph"/>
              <w:spacing w:line="272" w:lineRule="exact"/>
              <w:rPr>
                <w:sz w:val="21"/>
              </w:rPr>
            </w:pPr>
            <w:r>
              <w:rPr>
                <w:sz w:val="21"/>
              </w:rPr>
              <w:t>（1）眼球缺失或摘除；</w:t>
            </w:r>
          </w:p>
          <w:p>
            <w:pPr>
              <w:pStyle w:val="TableParagraph"/>
              <w:ind w:right="156"/>
              <w:rPr>
                <w:sz w:val="21"/>
              </w:rPr>
            </w:pPr>
            <w:r>
              <w:rPr>
                <w:sz w:val="21"/>
              </w:rPr>
              <w:t>（2）</w:t>
            </w:r>
            <w:r>
              <w:rPr>
                <w:spacing w:val="-7"/>
                <w:sz w:val="21"/>
              </w:rPr>
              <w:t>矫正视力低于 </w:t>
            </w:r>
            <w:r>
              <w:rPr>
                <w:sz w:val="21"/>
              </w:rPr>
              <w:t>0.02（</w:t>
            </w:r>
            <w:r>
              <w:rPr>
                <w:spacing w:val="-3"/>
                <w:sz w:val="21"/>
              </w:rPr>
              <w:t>采用国际标准视力表，如果使用其它视力表应进</w:t>
            </w:r>
            <w:r>
              <w:rPr>
                <w:spacing w:val="-3"/>
                <w:w w:val="100"/>
                <w:sz w:val="21"/>
              </w:rPr>
              <w:t>行换算</w:t>
            </w:r>
            <w:r>
              <w:rPr>
                <w:spacing w:val="-106"/>
                <w:w w:val="100"/>
                <w:sz w:val="21"/>
              </w:rPr>
              <w:t>）</w:t>
            </w:r>
            <w:r>
              <w:rPr>
                <w:w w:val="100"/>
                <w:sz w:val="21"/>
              </w:rPr>
              <w:t>；</w:t>
            </w:r>
          </w:p>
          <w:p>
            <w:pPr>
              <w:pStyle w:val="TableParagraph"/>
              <w:spacing w:line="271" w:lineRule="exact" w:before="2"/>
              <w:rPr>
                <w:sz w:val="21"/>
              </w:rPr>
            </w:pPr>
            <w:r>
              <w:rPr>
                <w:sz w:val="21"/>
              </w:rPr>
              <w:t>（3）视野半径小于 5 度。</w:t>
            </w:r>
          </w:p>
        </w:tc>
      </w:tr>
      <w:tr>
        <w:trPr>
          <w:trHeight w:val="1089" w:hRule="atLeast"/>
        </w:trPr>
        <w:tc>
          <w:tcPr>
            <w:tcW w:w="1788" w:type="dxa"/>
          </w:tcPr>
          <w:p>
            <w:pPr>
              <w:pStyle w:val="TableParagraph"/>
              <w:spacing w:before="40"/>
              <w:ind w:left="200"/>
              <w:rPr>
                <w:rFonts w:ascii="微软雅黑" w:eastAsia="微软雅黑" w:hint="eastAsia"/>
                <w:b/>
                <w:sz w:val="21"/>
              </w:rPr>
            </w:pPr>
            <w:r>
              <w:rPr>
                <w:rFonts w:ascii="微软雅黑" w:eastAsia="微软雅黑" w:hint="eastAsia"/>
                <w:b/>
                <w:sz w:val="21"/>
              </w:rPr>
              <w:t>瘫痪</w:t>
            </w:r>
          </w:p>
        </w:tc>
        <w:tc>
          <w:tcPr>
            <w:tcW w:w="7152" w:type="dxa"/>
          </w:tcPr>
          <w:p>
            <w:pPr>
              <w:pStyle w:val="TableParagraph"/>
              <w:spacing w:line="237" w:lineRule="auto" w:before="105"/>
              <w:ind w:right="103"/>
              <w:jc w:val="both"/>
              <w:rPr>
                <w:sz w:val="21"/>
              </w:rPr>
            </w:pPr>
            <w:r>
              <w:rPr>
                <w:spacing w:val="-3"/>
                <w:sz w:val="21"/>
              </w:rPr>
              <w:t>指因疾病或意外伤害导致两肢或两肢以上肢体机能永久完全丧失。肢体机能</w:t>
            </w:r>
            <w:r>
              <w:rPr>
                <w:spacing w:val="-7"/>
                <w:sz w:val="21"/>
              </w:rPr>
              <w:t>永久完全丧失，指疾病确诊 </w:t>
            </w:r>
            <w:r>
              <w:rPr>
                <w:sz w:val="21"/>
              </w:rPr>
              <w:t>180</w:t>
            </w:r>
            <w:r>
              <w:rPr>
                <w:spacing w:val="-12"/>
                <w:sz w:val="21"/>
              </w:rPr>
              <w:t> 天后或意外伤害发生 </w:t>
            </w:r>
            <w:r>
              <w:rPr>
                <w:sz w:val="21"/>
              </w:rPr>
              <w:t>180</w:t>
            </w:r>
            <w:r>
              <w:rPr>
                <w:spacing w:val="-8"/>
                <w:sz w:val="21"/>
              </w:rPr>
              <w:t> 天后，每肢三大关</w:t>
            </w:r>
            <w:r>
              <w:rPr>
                <w:spacing w:val="-5"/>
                <w:sz w:val="21"/>
              </w:rPr>
              <w:t>节中的两大关节仍然完全僵硬，或不能随意识活动。</w:t>
            </w:r>
          </w:p>
        </w:tc>
      </w:tr>
      <w:tr>
        <w:trPr>
          <w:trHeight w:val="378" w:hRule="atLeast"/>
        </w:trPr>
        <w:tc>
          <w:tcPr>
            <w:tcW w:w="1788" w:type="dxa"/>
          </w:tcPr>
          <w:p>
            <w:pPr>
              <w:pStyle w:val="TableParagraph"/>
              <w:spacing w:line="317" w:lineRule="exact" w:before="40"/>
              <w:ind w:left="200"/>
              <w:rPr>
                <w:rFonts w:ascii="微软雅黑" w:eastAsia="微软雅黑" w:hint="eastAsia"/>
                <w:b/>
                <w:sz w:val="21"/>
              </w:rPr>
            </w:pPr>
            <w:r>
              <w:rPr>
                <w:rFonts w:ascii="微软雅黑" w:eastAsia="微软雅黑" w:hint="eastAsia"/>
                <w:b/>
                <w:sz w:val="21"/>
              </w:rPr>
              <w:t>心脏瓣膜手术</w:t>
            </w:r>
          </w:p>
        </w:tc>
        <w:tc>
          <w:tcPr>
            <w:tcW w:w="7152" w:type="dxa"/>
          </w:tcPr>
          <w:p>
            <w:pPr>
              <w:pStyle w:val="TableParagraph"/>
              <w:spacing w:line="255" w:lineRule="exact" w:before="103"/>
              <w:rPr>
                <w:sz w:val="21"/>
              </w:rPr>
            </w:pPr>
            <w:r>
              <w:rPr>
                <w:spacing w:val="-12"/>
                <w:sz w:val="21"/>
              </w:rPr>
              <w:t>指为治疗心脏瓣膜疾病，实际实施了开胸进行的心脏瓣膜臵换或修复的手术。</w:t>
            </w:r>
          </w:p>
        </w:tc>
      </w:tr>
    </w:tbl>
    <w:p>
      <w:pPr>
        <w:spacing w:after="0" w:line="255" w:lineRule="exact"/>
        <w:rPr>
          <w:sz w:val="21"/>
        </w:rPr>
        <w:sectPr>
          <w:pgSz w:w="11910" w:h="16840"/>
          <w:pgMar w:header="877" w:footer="960" w:top="1080" w:bottom="1180" w:left="1060" w:right="1020"/>
        </w:sectPr>
      </w:pPr>
    </w:p>
    <w:p>
      <w:pPr>
        <w:pStyle w:val="BodyText"/>
        <w:rPr>
          <w:rFonts w:ascii="Times New Roman"/>
          <w:sz w:val="20"/>
        </w:rPr>
      </w:pPr>
      <w:r>
        <w:rPr/>
        <w:drawing>
          <wp:anchor distT="0" distB="0" distL="0" distR="0" allowOverlap="1" layoutInCell="1" locked="0" behindDoc="1" simplePos="0" relativeHeight="268409855">
            <wp:simplePos x="0" y="0"/>
            <wp:positionH relativeFrom="page">
              <wp:posOffset>3711702</wp:posOffset>
            </wp:positionH>
            <wp:positionV relativeFrom="page">
              <wp:posOffset>9061957</wp:posOffset>
            </wp:positionV>
            <wp:extent cx="59721" cy="103727"/>
            <wp:effectExtent l="0" t="0" r="0" b="0"/>
            <wp:wrapNone/>
            <wp:docPr id="5" name="image4.png" descr=""/>
            <wp:cNvGraphicFramePr>
              <a:graphicFrameLocks noChangeAspect="1"/>
            </wp:cNvGraphicFramePr>
            <a:graphic>
              <a:graphicData uri="http://schemas.openxmlformats.org/drawingml/2006/picture">
                <pic:pic>
                  <pic:nvPicPr>
                    <pic:cNvPr id="6" name="image4.png"/>
                    <pic:cNvPicPr/>
                  </pic:nvPicPr>
                  <pic:blipFill>
                    <a:blip r:embed="rId13" cstate="print"/>
                    <a:stretch>
                      <a:fillRect/>
                    </a:stretch>
                  </pic:blipFill>
                  <pic:spPr>
                    <a:xfrm>
                      <a:off x="0" y="0"/>
                      <a:ext cx="59721" cy="103727"/>
                    </a:xfrm>
                    <a:prstGeom prst="rect">
                      <a:avLst/>
                    </a:prstGeom>
                  </pic:spPr>
                </pic:pic>
              </a:graphicData>
            </a:graphic>
          </wp:anchor>
        </w:drawing>
      </w:r>
    </w:p>
    <w:p>
      <w:pPr>
        <w:pStyle w:val="BodyText"/>
        <w:rPr>
          <w:rFonts w:ascii="Times New Roman"/>
          <w:sz w:val="20"/>
        </w:rPr>
      </w:pPr>
    </w:p>
    <w:p>
      <w:pPr>
        <w:pStyle w:val="BodyText"/>
        <w:spacing w:before="11"/>
        <w:rPr>
          <w:rFonts w:ascii="Times New Roman"/>
          <w:sz w:val="13"/>
        </w:rPr>
      </w:pPr>
    </w:p>
    <w:tbl>
      <w:tblPr>
        <w:tblW w:w="0" w:type="auto"/>
        <w:jc w:val="left"/>
        <w:tblInd w:w="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8"/>
        <w:gridCol w:w="7355"/>
      </w:tblGrid>
      <w:tr>
        <w:trPr>
          <w:trHeight w:val="1741" w:hRule="atLeast"/>
        </w:trPr>
        <w:tc>
          <w:tcPr>
            <w:tcW w:w="1788" w:type="dxa"/>
          </w:tcPr>
          <w:p>
            <w:pPr>
              <w:pStyle w:val="TableParagraph"/>
              <w:spacing w:line="192" w:lineRule="exact"/>
              <w:ind w:left="200"/>
              <w:rPr>
                <w:rFonts w:ascii="微软雅黑" w:eastAsia="微软雅黑" w:hint="eastAsia"/>
                <w:b/>
                <w:sz w:val="21"/>
              </w:rPr>
            </w:pPr>
            <w:r>
              <w:rPr>
                <w:rFonts w:ascii="微软雅黑" w:eastAsia="微软雅黑" w:hint="eastAsia"/>
                <w:b/>
                <w:sz w:val="21"/>
              </w:rPr>
              <w:t>严重阿尔茨海默</w:t>
            </w:r>
          </w:p>
          <w:p>
            <w:pPr>
              <w:pStyle w:val="TableParagraph"/>
              <w:spacing w:line="318" w:lineRule="exact"/>
              <w:ind w:left="200"/>
              <w:rPr>
                <w:rFonts w:ascii="微软雅黑" w:eastAsia="微软雅黑" w:hint="eastAsia"/>
                <w:b/>
                <w:sz w:val="21"/>
              </w:rPr>
            </w:pPr>
            <w:r>
              <w:rPr>
                <w:rFonts w:ascii="微软雅黑" w:eastAsia="微软雅黑" w:hint="eastAsia"/>
                <w:b/>
                <w:w w:val="100"/>
                <w:sz w:val="21"/>
              </w:rPr>
              <w:t>病</w:t>
            </w:r>
          </w:p>
        </w:tc>
        <w:tc>
          <w:tcPr>
            <w:tcW w:w="7355" w:type="dxa"/>
          </w:tcPr>
          <w:p>
            <w:pPr>
              <w:pStyle w:val="TableParagraph"/>
              <w:spacing w:line="210" w:lineRule="exact"/>
              <w:rPr>
                <w:sz w:val="21"/>
              </w:rPr>
            </w:pPr>
            <w:r>
              <w:rPr>
                <w:sz w:val="21"/>
              </w:rPr>
              <w:t>指因大脑进行性、不可逆性改变导致智能严重衰退或丧失，临床表现为明显</w:t>
            </w:r>
          </w:p>
          <w:p>
            <w:pPr>
              <w:pStyle w:val="TableParagraph"/>
              <w:spacing w:line="237" w:lineRule="auto" w:before="2"/>
              <w:ind w:right="304"/>
              <w:jc w:val="both"/>
              <w:rPr>
                <w:sz w:val="21"/>
              </w:rPr>
            </w:pPr>
            <w:r>
              <w:rPr>
                <w:spacing w:val="-3"/>
                <w:sz w:val="21"/>
              </w:rPr>
              <w:t>的认知能力障碍、行为异常和社交能力减退，其日常生活必须持续受到他人</w:t>
            </w:r>
            <w:r>
              <w:rPr>
                <w:spacing w:val="-3"/>
                <w:w w:val="100"/>
                <w:sz w:val="21"/>
              </w:rPr>
              <w:t>监护。须由头颅断层扫描</w:t>
            </w:r>
            <w:r>
              <w:rPr>
                <w:w w:val="100"/>
                <w:sz w:val="21"/>
              </w:rPr>
              <w:t>（CT</w:t>
            </w:r>
            <w:r>
              <w:rPr>
                <w:spacing w:val="-108"/>
                <w:w w:val="100"/>
                <w:sz w:val="21"/>
              </w:rPr>
              <w:t>）</w:t>
            </w:r>
            <w:r>
              <w:rPr>
                <w:spacing w:val="-3"/>
                <w:w w:val="100"/>
                <w:sz w:val="21"/>
              </w:rPr>
              <w:t>、核磁共振检查</w:t>
            </w:r>
            <w:r>
              <w:rPr>
                <w:spacing w:val="-1"/>
                <w:w w:val="100"/>
                <w:sz w:val="21"/>
              </w:rPr>
              <w:t>（</w:t>
            </w:r>
            <w:r>
              <w:rPr>
                <w:spacing w:val="-3"/>
                <w:w w:val="100"/>
                <w:sz w:val="21"/>
              </w:rPr>
              <w:t>MR</w:t>
            </w:r>
            <w:r>
              <w:rPr>
                <w:w w:val="100"/>
                <w:sz w:val="21"/>
              </w:rPr>
              <w:t>I）</w:t>
            </w:r>
            <w:r>
              <w:rPr>
                <w:spacing w:val="-3"/>
                <w:w w:val="100"/>
                <w:sz w:val="21"/>
              </w:rPr>
              <w:t>或正电子发射断层扫</w:t>
            </w:r>
            <w:r>
              <w:rPr>
                <w:spacing w:val="-27"/>
                <w:sz w:val="21"/>
              </w:rPr>
              <w:t>描</w:t>
            </w:r>
            <w:r>
              <w:rPr>
                <w:spacing w:val="-6"/>
                <w:sz w:val="21"/>
              </w:rPr>
              <w:t>（PET）</w:t>
            </w:r>
            <w:r>
              <w:rPr>
                <w:spacing w:val="-8"/>
                <w:sz w:val="21"/>
              </w:rPr>
              <w:t>等影像学检查证实，且自主生活能力完全丧失，无法独立完成六项</w:t>
            </w:r>
            <w:r>
              <w:rPr>
                <w:spacing w:val="-5"/>
                <w:sz w:val="21"/>
              </w:rPr>
              <w:t>基本日常生活活动中的三项或三项以上。神经官能症和精神疾病不在保障范围内。</w:t>
            </w:r>
          </w:p>
        </w:tc>
      </w:tr>
      <w:tr>
        <w:trPr>
          <w:trHeight w:val="2450" w:hRule="atLeast"/>
        </w:trPr>
        <w:tc>
          <w:tcPr>
            <w:tcW w:w="1788" w:type="dxa"/>
          </w:tcPr>
          <w:p>
            <w:pPr>
              <w:pStyle w:val="TableParagraph"/>
              <w:spacing w:before="40"/>
              <w:ind w:left="200"/>
              <w:rPr>
                <w:rFonts w:ascii="微软雅黑" w:eastAsia="微软雅黑" w:hint="eastAsia"/>
                <w:b/>
                <w:sz w:val="21"/>
              </w:rPr>
            </w:pPr>
            <w:r>
              <w:rPr>
                <w:rFonts w:ascii="微软雅黑" w:eastAsia="微软雅黑" w:hint="eastAsia"/>
                <w:b/>
                <w:sz w:val="21"/>
              </w:rPr>
              <w:t>严重脑损伤</w:t>
            </w:r>
          </w:p>
        </w:tc>
        <w:tc>
          <w:tcPr>
            <w:tcW w:w="7355" w:type="dxa"/>
          </w:tcPr>
          <w:p>
            <w:pPr>
              <w:pStyle w:val="TableParagraph"/>
              <w:spacing w:line="237" w:lineRule="auto" w:before="105"/>
              <w:ind w:right="306"/>
              <w:jc w:val="both"/>
              <w:rPr>
                <w:sz w:val="21"/>
              </w:rPr>
            </w:pPr>
            <w:r>
              <w:rPr>
                <w:spacing w:val="-3"/>
                <w:sz w:val="21"/>
              </w:rPr>
              <w:t>指因头部遭受机械性外力，引起脑重要部位损伤，导致神经系统永久性的功</w:t>
            </w:r>
            <w:r>
              <w:rPr>
                <w:spacing w:val="-3"/>
                <w:w w:val="100"/>
                <w:sz w:val="21"/>
              </w:rPr>
              <w:t>能障碍。须由头颅断层扫描</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MRI</w:t>
            </w:r>
            <w:r>
              <w:rPr>
                <w:spacing w:val="-3"/>
                <w:w w:val="100"/>
                <w:sz w:val="21"/>
              </w:rPr>
              <w:t>）或正电子发射断层</w:t>
            </w:r>
            <w:r>
              <w:rPr>
                <w:spacing w:val="-9"/>
                <w:sz w:val="21"/>
              </w:rPr>
              <w:t>扫描</w:t>
            </w:r>
            <w:r>
              <w:rPr>
                <w:spacing w:val="-4"/>
                <w:sz w:val="21"/>
              </w:rPr>
              <w:t>（PET）</w:t>
            </w:r>
            <w:r>
              <w:rPr>
                <w:spacing w:val="-7"/>
                <w:sz w:val="21"/>
              </w:rPr>
              <w:t>等影像学检查证实。神经系统永久性的功能障碍，指脑损伤 </w:t>
            </w:r>
            <w:r>
              <w:rPr>
                <w:sz w:val="21"/>
              </w:rPr>
              <w:t>180 </w:t>
            </w:r>
            <w:r>
              <w:rPr>
                <w:spacing w:val="-3"/>
                <w:sz w:val="21"/>
              </w:rPr>
              <w:t>天后，仍遗留下列一种或一种以上障碍：</w:t>
            </w:r>
          </w:p>
          <w:p>
            <w:pPr>
              <w:pStyle w:val="TableParagraph"/>
              <w:spacing w:line="272" w:lineRule="exact"/>
              <w:rPr>
                <w:sz w:val="21"/>
              </w:rPr>
            </w:pPr>
            <w:r>
              <w:rPr>
                <w:sz w:val="21"/>
              </w:rPr>
              <w:t>（1）一肢或一肢以上肢体机能完全丧失；</w:t>
            </w:r>
          </w:p>
          <w:p>
            <w:pPr>
              <w:pStyle w:val="TableParagraph"/>
              <w:spacing w:line="273" w:lineRule="exact"/>
              <w:rPr>
                <w:sz w:val="21"/>
              </w:rPr>
            </w:pPr>
            <w:r>
              <w:rPr>
                <w:sz w:val="21"/>
              </w:rPr>
              <w:t>（2）语言能力或咀嚼吞咽能力完全丧失；</w:t>
            </w:r>
          </w:p>
          <w:p>
            <w:pPr>
              <w:pStyle w:val="TableParagraph"/>
              <w:spacing w:line="237" w:lineRule="auto" w:before="1"/>
              <w:ind w:right="306"/>
              <w:rPr>
                <w:sz w:val="21"/>
              </w:rPr>
            </w:pPr>
            <w:r>
              <w:rPr>
                <w:spacing w:val="-18"/>
                <w:sz w:val="21"/>
              </w:rPr>
              <w:t>（3）</w:t>
            </w:r>
            <w:r>
              <w:rPr>
                <w:spacing w:val="-8"/>
                <w:sz w:val="21"/>
              </w:rPr>
              <w:t>自主生活能力完全丧失，无法独立完成六项基本日常生活活动中的三项</w:t>
            </w:r>
            <w:r>
              <w:rPr>
                <w:spacing w:val="-5"/>
                <w:sz w:val="21"/>
              </w:rPr>
              <w:t>或三项以上。</w:t>
            </w:r>
          </w:p>
        </w:tc>
      </w:tr>
      <w:tr>
        <w:trPr>
          <w:trHeight w:val="1905" w:hRule="atLeast"/>
        </w:trPr>
        <w:tc>
          <w:tcPr>
            <w:tcW w:w="1788" w:type="dxa"/>
          </w:tcPr>
          <w:p>
            <w:pPr>
              <w:pStyle w:val="TableParagraph"/>
              <w:spacing w:before="40"/>
              <w:ind w:left="200"/>
              <w:rPr>
                <w:rFonts w:ascii="微软雅黑" w:eastAsia="微软雅黑" w:hint="eastAsia"/>
                <w:b/>
                <w:sz w:val="21"/>
              </w:rPr>
            </w:pPr>
            <w:r>
              <w:rPr>
                <w:rFonts w:ascii="微软雅黑" w:eastAsia="微软雅黑" w:hint="eastAsia"/>
                <w:b/>
                <w:sz w:val="21"/>
              </w:rPr>
              <w:t>严重帕金森病</w:t>
            </w:r>
          </w:p>
        </w:tc>
        <w:tc>
          <w:tcPr>
            <w:tcW w:w="7355" w:type="dxa"/>
          </w:tcPr>
          <w:p>
            <w:pPr>
              <w:pStyle w:val="TableParagraph"/>
              <w:spacing w:line="237" w:lineRule="auto" w:before="105"/>
              <w:ind w:right="307"/>
              <w:rPr>
                <w:sz w:val="21"/>
              </w:rPr>
            </w:pPr>
            <w:r>
              <w:rPr>
                <w:sz w:val="21"/>
              </w:rPr>
              <w:t>是一种中枢神经系统的退行性疾病，临床表现为震颤麻痹、共济失调等。须满足下列全部条件：</w:t>
            </w:r>
          </w:p>
          <w:p>
            <w:pPr>
              <w:pStyle w:val="TableParagraph"/>
              <w:spacing w:line="272" w:lineRule="exact"/>
              <w:rPr>
                <w:sz w:val="21"/>
              </w:rPr>
            </w:pPr>
            <w:r>
              <w:rPr>
                <w:sz w:val="21"/>
              </w:rPr>
              <w:t>（1）药物治疗无法控制病情；</w:t>
            </w:r>
          </w:p>
          <w:p>
            <w:pPr>
              <w:pStyle w:val="TableParagraph"/>
              <w:ind w:left="529" w:right="306" w:hanging="421"/>
              <w:rPr>
                <w:sz w:val="21"/>
              </w:rPr>
            </w:pPr>
            <w:r>
              <w:rPr>
                <w:spacing w:val="-18"/>
                <w:sz w:val="21"/>
              </w:rPr>
              <w:t>（2）</w:t>
            </w:r>
            <w:r>
              <w:rPr>
                <w:spacing w:val="-8"/>
                <w:sz w:val="21"/>
              </w:rPr>
              <w:t>自主生活能力完全丧失，无法独立完成六项基本日常生活活动中的三项</w:t>
            </w:r>
            <w:r>
              <w:rPr>
                <w:spacing w:val="-5"/>
                <w:sz w:val="21"/>
              </w:rPr>
              <w:t>或三项以上。</w:t>
            </w:r>
          </w:p>
          <w:p>
            <w:pPr>
              <w:pStyle w:val="TableParagraph"/>
              <w:spacing w:line="271" w:lineRule="exact" w:before="1"/>
              <w:rPr>
                <w:sz w:val="21"/>
              </w:rPr>
            </w:pPr>
            <w:r>
              <w:rPr>
                <w:sz w:val="21"/>
              </w:rPr>
              <w:t>继发性帕金森综合征不在保障范围内。</w:t>
            </w:r>
          </w:p>
        </w:tc>
      </w:tr>
      <w:tr>
        <w:trPr>
          <w:trHeight w:val="818" w:hRule="atLeast"/>
        </w:trPr>
        <w:tc>
          <w:tcPr>
            <w:tcW w:w="1788" w:type="dxa"/>
          </w:tcPr>
          <w:p>
            <w:pPr>
              <w:pStyle w:val="TableParagraph"/>
              <w:spacing w:before="40"/>
              <w:ind w:left="200"/>
              <w:rPr>
                <w:rFonts w:ascii="微软雅黑" w:hAnsi="微软雅黑" w:eastAsia="微软雅黑" w:hint="eastAsia"/>
                <w:b/>
                <w:sz w:val="21"/>
              </w:rPr>
            </w:pPr>
            <w:r>
              <w:rPr>
                <w:rFonts w:ascii="微软雅黑" w:hAnsi="微软雅黑" w:eastAsia="微软雅黑" w:hint="eastAsia"/>
                <w:b/>
                <w:sz w:val="21"/>
              </w:rPr>
              <w:t>严重Ⅲ度烧伤</w:t>
            </w:r>
          </w:p>
        </w:tc>
        <w:tc>
          <w:tcPr>
            <w:tcW w:w="7355" w:type="dxa"/>
          </w:tcPr>
          <w:p>
            <w:pPr>
              <w:pStyle w:val="TableParagraph"/>
              <w:spacing w:before="103"/>
              <w:ind w:right="200"/>
              <w:rPr>
                <w:sz w:val="21"/>
              </w:rPr>
            </w:pPr>
            <w:r>
              <w:rPr>
                <w:spacing w:val="-5"/>
                <w:sz w:val="21"/>
              </w:rPr>
              <w:t>指烧伤程度为Ⅲ度，且Ⅲ度烧伤面积达到全身体表面积的 </w:t>
            </w:r>
            <w:r>
              <w:rPr>
                <w:sz w:val="21"/>
              </w:rPr>
              <w:t>20</w:t>
            </w:r>
            <w:r>
              <w:rPr>
                <w:spacing w:val="-14"/>
                <w:sz w:val="21"/>
              </w:rPr>
              <w:t>％或 </w:t>
            </w:r>
            <w:r>
              <w:rPr>
                <w:sz w:val="21"/>
              </w:rPr>
              <w:t>20％以上。</w:t>
            </w:r>
            <w:r>
              <w:rPr>
                <w:spacing w:val="-3"/>
                <w:sz w:val="21"/>
              </w:rPr>
              <w:t>体表面积根据 《中国新九分法》计算。</w:t>
            </w:r>
          </w:p>
        </w:tc>
      </w:tr>
      <w:tr>
        <w:trPr>
          <w:trHeight w:val="1089" w:hRule="atLeast"/>
        </w:trPr>
        <w:tc>
          <w:tcPr>
            <w:tcW w:w="1788" w:type="dxa"/>
          </w:tcPr>
          <w:p>
            <w:pPr>
              <w:pStyle w:val="TableParagraph"/>
              <w:spacing w:line="180" w:lineRule="auto" w:before="131"/>
              <w:ind w:left="200" w:right="107"/>
              <w:rPr>
                <w:rFonts w:ascii="微软雅黑" w:eastAsia="微软雅黑" w:hint="eastAsia"/>
                <w:b/>
                <w:sz w:val="21"/>
              </w:rPr>
            </w:pPr>
            <w:r>
              <w:rPr>
                <w:rFonts w:ascii="微软雅黑" w:eastAsia="微软雅黑" w:hint="eastAsia"/>
                <w:b/>
                <w:sz w:val="21"/>
              </w:rPr>
              <w:t>严重原发性肺动脉高压</w:t>
            </w:r>
          </w:p>
        </w:tc>
        <w:tc>
          <w:tcPr>
            <w:tcW w:w="7355" w:type="dxa"/>
          </w:tcPr>
          <w:p>
            <w:pPr>
              <w:pStyle w:val="TableParagraph"/>
              <w:spacing w:line="237" w:lineRule="auto" w:before="105"/>
              <w:ind w:right="307"/>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360" w:hRule="atLeast"/>
        </w:trPr>
        <w:tc>
          <w:tcPr>
            <w:tcW w:w="1788" w:type="dxa"/>
          </w:tcPr>
          <w:p>
            <w:pPr>
              <w:pStyle w:val="TableParagraph"/>
              <w:spacing w:line="180" w:lineRule="auto" w:before="131"/>
              <w:ind w:left="200" w:right="107"/>
              <w:rPr>
                <w:rFonts w:ascii="微软雅黑" w:eastAsia="微软雅黑" w:hint="eastAsia"/>
                <w:b/>
                <w:sz w:val="21"/>
              </w:rPr>
            </w:pPr>
            <w:r>
              <w:rPr>
                <w:rFonts w:ascii="微软雅黑" w:eastAsia="微软雅黑" w:hint="eastAsia"/>
                <w:b/>
                <w:sz w:val="21"/>
              </w:rPr>
              <w:t>严重运动神经元病</w:t>
            </w:r>
          </w:p>
        </w:tc>
        <w:tc>
          <w:tcPr>
            <w:tcW w:w="7355" w:type="dxa"/>
          </w:tcPr>
          <w:p>
            <w:pPr>
              <w:pStyle w:val="TableParagraph"/>
              <w:spacing w:line="237" w:lineRule="auto" w:before="105"/>
              <w:ind w:right="199"/>
              <w:rPr>
                <w:sz w:val="21"/>
              </w:rPr>
            </w:pPr>
            <w:r>
              <w:rPr>
                <w:spacing w:val="-8"/>
                <w:sz w:val="21"/>
              </w:rPr>
              <w:t>是一组中枢神经系统运动神经元的进行性变性疾病，包括进行性脊肌萎缩症、</w:t>
            </w:r>
            <w:r>
              <w:rPr>
                <w:spacing w:val="-5"/>
                <w:sz w:val="21"/>
              </w:rPr>
              <w:t>进行性延髓麻痹症、原发性侧索硬化症、肌萎缩性侧索硬化症。须满足自主</w:t>
            </w:r>
            <w:r>
              <w:rPr>
                <w:spacing w:val="-4"/>
                <w:sz w:val="21"/>
              </w:rPr>
              <w:t>生活能力完全丧失，无法独立完成六项基本日常生活活动中的三项或三项以</w:t>
            </w:r>
            <w:r>
              <w:rPr>
                <w:spacing w:val="-3"/>
                <w:sz w:val="21"/>
              </w:rPr>
              <w:t>上的条件。</w:t>
            </w:r>
          </w:p>
        </w:tc>
      </w:tr>
      <w:tr>
        <w:trPr>
          <w:trHeight w:val="1635" w:hRule="atLeast"/>
        </w:trPr>
        <w:tc>
          <w:tcPr>
            <w:tcW w:w="1788" w:type="dxa"/>
          </w:tcPr>
          <w:p>
            <w:pPr>
              <w:pStyle w:val="TableParagraph"/>
              <w:spacing w:before="40"/>
              <w:ind w:left="200"/>
              <w:rPr>
                <w:rFonts w:ascii="微软雅黑" w:eastAsia="微软雅黑" w:hint="eastAsia"/>
                <w:b/>
                <w:sz w:val="21"/>
              </w:rPr>
            </w:pPr>
            <w:r>
              <w:rPr>
                <w:rFonts w:ascii="微软雅黑" w:eastAsia="微软雅黑" w:hint="eastAsia"/>
                <w:b/>
                <w:sz w:val="21"/>
              </w:rPr>
              <w:t>语言能力丧失</w:t>
            </w:r>
          </w:p>
        </w:tc>
        <w:tc>
          <w:tcPr>
            <w:tcW w:w="7355" w:type="dxa"/>
          </w:tcPr>
          <w:p>
            <w:pPr>
              <w:pStyle w:val="TableParagraph"/>
              <w:spacing w:line="237" w:lineRule="auto" w:before="105"/>
              <w:ind w:right="306"/>
              <w:rPr>
                <w:sz w:val="21"/>
              </w:rPr>
            </w:pPr>
            <w:r>
              <w:rPr>
                <w:spacing w:val="-8"/>
                <w:sz w:val="21"/>
              </w:rPr>
              <w:t>指因疾病或意外伤害导致完全丧失语言能力，经过积极治疗至少 </w:t>
            </w:r>
            <w:r>
              <w:rPr>
                <w:sz w:val="21"/>
              </w:rPr>
              <w:t>12</w:t>
            </w:r>
            <w:r>
              <w:rPr>
                <w:spacing w:val="-31"/>
                <w:sz w:val="21"/>
              </w:rPr>
              <w:t> 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line="241" w:lineRule="exact"/>
              <w:rPr>
                <w:sz w:val="21"/>
              </w:rPr>
            </w:pPr>
            <w:r>
              <w:rPr>
                <w:sz w:val="21"/>
              </w:rPr>
              <w:t>精神心理因素所致的语言能力丧失不在保障范围内。</w:t>
            </w:r>
          </w:p>
          <w:p>
            <w:pPr>
              <w:pStyle w:val="TableParagraph"/>
              <w:spacing w:line="180" w:lineRule="auto" w:before="58"/>
              <w:ind w:right="333"/>
              <w:rPr>
                <w:rFonts w:ascii="微软雅黑" w:eastAsia="微软雅黑" w:hint="eastAsia"/>
                <w:b/>
                <w:sz w:val="21"/>
              </w:rPr>
            </w:pPr>
            <w:r>
              <w:rPr>
                <w:rFonts w:ascii="微软雅黑" w:eastAsia="微软雅黑" w:hint="eastAsia"/>
                <w:b/>
                <w:sz w:val="21"/>
              </w:rPr>
              <w:t>3</w:t>
            </w:r>
            <w:r>
              <w:rPr>
                <w:rFonts w:ascii="微软雅黑" w:eastAsia="微软雅黑" w:hint="eastAsia"/>
                <w:b/>
                <w:spacing w:val="-4"/>
                <w:sz w:val="21"/>
              </w:rPr>
              <w:t> 周岁以下儿童除外</w:t>
            </w:r>
            <w:r>
              <w:rPr>
                <w:rFonts w:ascii="微软雅黑" w:eastAsia="微软雅黑" w:hint="eastAsia"/>
                <w:b/>
                <w:sz w:val="21"/>
              </w:rPr>
              <w:t>（</w:t>
            </w:r>
            <w:r>
              <w:rPr>
                <w:rFonts w:ascii="微软雅黑" w:eastAsia="微软雅黑" w:hint="eastAsia"/>
                <w:b/>
                <w:spacing w:val="-4"/>
                <w:sz w:val="21"/>
              </w:rPr>
              <w:t>被保险人确诊时间需在 </w:t>
            </w:r>
            <w:r>
              <w:rPr>
                <w:rFonts w:ascii="微软雅黑" w:eastAsia="微软雅黑" w:hint="eastAsia"/>
                <w:b/>
                <w:sz w:val="21"/>
              </w:rPr>
              <w:t>3</w:t>
            </w:r>
            <w:r>
              <w:rPr>
                <w:rFonts w:ascii="微软雅黑" w:eastAsia="微软雅黑" w:hint="eastAsia"/>
                <w:b/>
                <w:spacing w:val="-4"/>
                <w:sz w:val="21"/>
              </w:rPr>
              <w:t> 周岁以上方符合理赔条件， 且理赔时必须提供专科医生的诊断证明和检查报告</w:t>
            </w:r>
            <w:r>
              <w:rPr>
                <w:rFonts w:ascii="微软雅黑" w:eastAsia="微软雅黑" w:hint="eastAsia"/>
                <w:b/>
                <w:spacing w:val="-108"/>
                <w:sz w:val="21"/>
              </w:rPr>
              <w:t>）</w:t>
            </w:r>
            <w:r>
              <w:rPr>
                <w:rFonts w:ascii="微软雅黑" w:eastAsia="微软雅黑" w:hint="eastAsia"/>
                <w:b/>
                <w:sz w:val="21"/>
              </w:rPr>
              <w:t>。</w:t>
            </w:r>
          </w:p>
        </w:tc>
      </w:tr>
      <w:tr>
        <w:trPr>
          <w:trHeight w:val="2179" w:hRule="atLeast"/>
        </w:trPr>
        <w:tc>
          <w:tcPr>
            <w:tcW w:w="1788" w:type="dxa"/>
          </w:tcPr>
          <w:p>
            <w:pPr>
              <w:pStyle w:val="TableParagraph"/>
              <w:spacing w:line="180" w:lineRule="auto" w:before="131"/>
              <w:ind w:left="200" w:right="107"/>
              <w:rPr>
                <w:rFonts w:ascii="微软雅黑" w:eastAsia="微软雅黑" w:hint="eastAsia"/>
                <w:b/>
                <w:sz w:val="21"/>
              </w:rPr>
            </w:pPr>
            <w:r>
              <w:rPr>
                <w:rFonts w:ascii="微软雅黑" w:eastAsia="微软雅黑" w:hint="eastAsia"/>
                <w:b/>
                <w:sz w:val="21"/>
              </w:rPr>
              <w:t>重型再生障碍性贫血</w:t>
            </w:r>
          </w:p>
        </w:tc>
        <w:tc>
          <w:tcPr>
            <w:tcW w:w="7355" w:type="dxa"/>
          </w:tcPr>
          <w:p>
            <w:pPr>
              <w:pStyle w:val="TableParagraph"/>
              <w:spacing w:line="237" w:lineRule="auto" w:before="105"/>
              <w:ind w:right="307"/>
              <w:rPr>
                <w:sz w:val="21"/>
              </w:rPr>
            </w:pPr>
            <w:r>
              <w:rPr>
                <w:sz w:val="21"/>
              </w:rPr>
              <w:t>指因骨髓造血功能慢性持续性衰竭导致的贫血、中性粒细胞减少及血小板减少，须满足以下全部条件：</w:t>
            </w:r>
          </w:p>
          <w:p>
            <w:pPr>
              <w:pStyle w:val="TableParagraph"/>
              <w:spacing w:line="272" w:lineRule="exact"/>
              <w:rPr>
                <w:sz w:val="21"/>
              </w:rPr>
            </w:pPr>
            <w:r>
              <w:rPr>
                <w:sz w:val="21"/>
              </w:rPr>
              <w:t>（1）骨髓穿刺检查或骨髓活检结果支持诊断；</w:t>
            </w:r>
          </w:p>
          <w:p>
            <w:pPr>
              <w:pStyle w:val="TableParagraph"/>
              <w:spacing w:line="259" w:lineRule="exact"/>
              <w:rPr>
                <w:sz w:val="21"/>
              </w:rPr>
            </w:pPr>
            <w:r>
              <w:rPr>
                <w:sz w:val="21"/>
              </w:rPr>
              <w:t>（2）外周血象必须具备以下三项条件：</w:t>
            </w:r>
          </w:p>
          <w:p>
            <w:pPr>
              <w:pStyle w:val="TableParagraph"/>
              <w:spacing w:line="285" w:lineRule="exact"/>
              <w:ind w:left="529"/>
              <w:rPr>
                <w:sz w:val="21"/>
              </w:rPr>
            </w:pPr>
            <w:r>
              <w:rPr>
                <w:sz w:val="21"/>
              </w:rPr>
              <w:t>① 中性粒细胞绝对值≤0.5×10</w:t>
            </w:r>
            <w:r>
              <w:rPr>
                <w:rFonts w:ascii="微软雅黑" w:hAnsi="微软雅黑" w:eastAsia="微软雅黑" w:hint="eastAsia"/>
                <w:b/>
                <w:position w:val="11"/>
                <w:sz w:val="11"/>
              </w:rPr>
              <w:t>9</w:t>
            </w:r>
            <w:r>
              <w:rPr>
                <w:sz w:val="21"/>
              </w:rPr>
              <w:t>/L ；</w:t>
            </w:r>
          </w:p>
          <w:p>
            <w:pPr>
              <w:pStyle w:val="TableParagraph"/>
              <w:spacing w:line="259" w:lineRule="exact"/>
              <w:ind w:left="529"/>
              <w:rPr>
                <w:sz w:val="21"/>
              </w:rPr>
            </w:pPr>
            <w:r>
              <w:rPr>
                <w:sz w:val="21"/>
              </w:rPr>
              <w:t>② 网织红细胞＜1；</w:t>
            </w:r>
          </w:p>
          <w:p>
            <w:pPr>
              <w:pStyle w:val="TableParagraph"/>
              <w:spacing w:line="287" w:lineRule="exact"/>
              <w:ind w:left="529"/>
              <w:rPr>
                <w:sz w:val="21"/>
              </w:rPr>
            </w:pPr>
            <w:r>
              <w:rPr>
                <w:sz w:val="21"/>
              </w:rPr>
              <w:t>③ 血小板绝对值≤20×10</w:t>
            </w:r>
            <w:r>
              <w:rPr>
                <w:rFonts w:ascii="微软雅黑" w:hAnsi="微软雅黑" w:eastAsia="微软雅黑" w:hint="eastAsia"/>
                <w:b/>
                <w:position w:val="11"/>
                <w:sz w:val="11"/>
              </w:rPr>
              <w:t>9</w:t>
            </w:r>
            <w:r>
              <w:rPr>
                <w:sz w:val="21"/>
              </w:rPr>
              <w:t>/L。</w:t>
            </w:r>
          </w:p>
        </w:tc>
      </w:tr>
      <w:tr>
        <w:trPr>
          <w:trHeight w:val="649" w:hRule="atLeast"/>
        </w:trPr>
        <w:tc>
          <w:tcPr>
            <w:tcW w:w="1788" w:type="dxa"/>
          </w:tcPr>
          <w:p>
            <w:pPr>
              <w:pStyle w:val="TableParagraph"/>
              <w:spacing w:before="40"/>
              <w:ind w:left="200"/>
              <w:rPr>
                <w:rFonts w:ascii="微软雅黑" w:eastAsia="微软雅黑" w:hint="eastAsia"/>
                <w:b/>
                <w:sz w:val="21"/>
              </w:rPr>
            </w:pPr>
            <w:r>
              <w:rPr>
                <w:rFonts w:ascii="微软雅黑" w:eastAsia="微软雅黑" w:hint="eastAsia"/>
                <w:b/>
                <w:sz w:val="21"/>
              </w:rPr>
              <w:t>主动脉手术</w:t>
            </w:r>
          </w:p>
        </w:tc>
        <w:tc>
          <w:tcPr>
            <w:tcW w:w="7355" w:type="dxa"/>
          </w:tcPr>
          <w:p>
            <w:pPr>
              <w:pStyle w:val="TableParagraph"/>
              <w:spacing w:line="272" w:lineRule="exact" w:before="131"/>
              <w:ind w:right="307"/>
              <w:rPr>
                <w:sz w:val="21"/>
              </w:rPr>
            </w:pPr>
            <w:r>
              <w:rPr>
                <w:sz w:val="21"/>
              </w:rPr>
              <w:t>指为治疗主动脉疾病，实际实施了开胸或开腹进行的切除、臵换、修补病损主动脉血管的手术。主动脉指胸主动脉和腹主动脉，不包括胸主动脉和腹主</w:t>
            </w:r>
          </w:p>
        </w:tc>
      </w:tr>
    </w:tbl>
    <w:p>
      <w:pPr>
        <w:spacing w:after="0" w:line="272" w:lineRule="exact"/>
        <w:rPr>
          <w:sz w:val="21"/>
        </w:rPr>
        <w:sectPr>
          <w:pgSz w:w="11910" w:h="16840"/>
          <w:pgMar w:header="877" w:footer="960" w:top="1080" w:bottom="1180" w:left="1060" w:right="820"/>
        </w:sectPr>
      </w:pPr>
    </w:p>
    <w:tbl>
      <w:tblPr>
        <w:tblW w:w="0" w:type="auto"/>
        <w:jc w:val="left"/>
        <w:tblInd w:w="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8"/>
        <w:gridCol w:w="7153"/>
      </w:tblGrid>
      <w:tr>
        <w:trPr>
          <w:trHeight w:val="1005" w:hRule="atLeast"/>
        </w:trPr>
        <w:tc>
          <w:tcPr>
            <w:tcW w:w="1788" w:type="dxa"/>
          </w:tcPr>
          <w:p>
            <w:pPr>
              <w:pStyle w:val="TableParagraph"/>
              <w:ind w:left="0"/>
              <w:rPr>
                <w:rFonts w:ascii="Times New Roman"/>
                <w:sz w:val="20"/>
              </w:rPr>
            </w:pPr>
          </w:p>
        </w:tc>
        <w:tc>
          <w:tcPr>
            <w:tcW w:w="7153" w:type="dxa"/>
          </w:tcPr>
          <w:p>
            <w:pPr>
              <w:pStyle w:val="TableParagraph"/>
              <w:spacing w:before="4"/>
              <w:ind w:left="0"/>
              <w:rPr>
                <w:rFonts w:ascii="Times New Roman"/>
                <w:sz w:val="25"/>
              </w:rPr>
            </w:pPr>
          </w:p>
          <w:p>
            <w:pPr>
              <w:pStyle w:val="TableParagraph"/>
              <w:spacing w:line="273" w:lineRule="exact" w:before="1"/>
              <w:rPr>
                <w:sz w:val="21"/>
              </w:rPr>
            </w:pPr>
            <w:r>
              <w:rPr>
                <w:sz w:val="21"/>
              </w:rPr>
              <w:t>动脉的分支血管。</w:t>
            </w:r>
          </w:p>
          <w:p>
            <w:pPr>
              <w:pStyle w:val="TableParagraph"/>
              <w:spacing w:line="273" w:lineRule="exact"/>
              <w:rPr>
                <w:sz w:val="21"/>
              </w:rPr>
            </w:pPr>
            <w:r>
              <w:rPr>
                <w:sz w:val="21"/>
              </w:rPr>
              <w:t>动脉内血管成形术不在保障范围内。</w:t>
            </w:r>
          </w:p>
        </w:tc>
      </w:tr>
      <w:tr>
        <w:trPr>
          <w:trHeight w:val="2179" w:hRule="atLeast"/>
        </w:trPr>
        <w:tc>
          <w:tcPr>
            <w:tcW w:w="1788" w:type="dxa"/>
          </w:tcPr>
          <w:p>
            <w:pPr>
              <w:pStyle w:val="TableParagraph"/>
              <w:spacing w:line="180" w:lineRule="auto" w:before="131"/>
              <w:ind w:left="200" w:right="107"/>
              <w:jc w:val="both"/>
              <w:rPr>
                <w:rFonts w:ascii="微软雅黑" w:eastAsia="微软雅黑" w:hint="eastAsia"/>
                <w:b/>
                <w:sz w:val="21"/>
              </w:rPr>
            </w:pPr>
            <w:r>
              <w:rPr>
                <w:rFonts w:ascii="微软雅黑" w:eastAsia="微软雅黑" w:hint="eastAsia"/>
                <w:b/>
                <w:sz w:val="21"/>
              </w:rPr>
              <w:t>经输血导致的人类免疫缺陷病毒</w:t>
            </w:r>
            <w:r>
              <w:rPr>
                <w:rFonts w:ascii="微软雅黑" w:eastAsia="微软雅黑" w:hint="eastAsia"/>
                <w:b/>
                <w:w w:val="90"/>
                <w:sz w:val="21"/>
              </w:rPr>
              <w:t>感染（HIV）</w:t>
            </w:r>
          </w:p>
        </w:tc>
        <w:tc>
          <w:tcPr>
            <w:tcW w:w="7153" w:type="dxa"/>
          </w:tcPr>
          <w:p>
            <w:pPr>
              <w:pStyle w:val="TableParagraph"/>
              <w:spacing w:line="274" w:lineRule="exact" w:before="103"/>
              <w:rPr>
                <w:sz w:val="21"/>
              </w:rPr>
            </w:pPr>
            <w:r>
              <w:rPr>
                <w:sz w:val="21"/>
              </w:rPr>
              <w:t>被保险人因输血而感染上人类免疫缺陷病毒（HIV）必须满足以下的条件：</w:t>
            </w:r>
          </w:p>
          <w:p>
            <w:pPr>
              <w:pStyle w:val="TableParagraph"/>
              <w:spacing w:line="272" w:lineRule="exact"/>
              <w:rPr>
                <w:sz w:val="21"/>
              </w:rPr>
            </w:pPr>
            <w:r>
              <w:rPr>
                <w:sz w:val="21"/>
              </w:rPr>
              <w:t>（1）在保障起始日或复效日之后，被保险人因输血而感染 HIV；</w:t>
            </w:r>
          </w:p>
          <w:p>
            <w:pPr>
              <w:pStyle w:val="TableParagraph"/>
              <w:ind w:right="102"/>
              <w:rPr>
                <w:sz w:val="21"/>
              </w:rPr>
            </w:pPr>
            <w:r>
              <w:rPr>
                <w:w w:val="100"/>
                <w:sz w:val="21"/>
              </w:rPr>
              <w:t>（2</w:t>
            </w:r>
            <w:r>
              <w:rPr>
                <w:spacing w:val="-104"/>
                <w:w w:val="100"/>
                <w:sz w:val="21"/>
              </w:rPr>
              <w:t>）</w:t>
            </w:r>
            <w:r>
              <w:rPr>
                <w:spacing w:val="-3"/>
                <w:w w:val="100"/>
                <w:sz w:val="21"/>
              </w:rPr>
              <w:t>提供输血前一个月内</w:t>
            </w:r>
            <w:r>
              <w:rPr>
                <w:spacing w:val="-55"/>
                <w:sz w:val="21"/>
              </w:rPr>
              <w:t> </w:t>
            </w:r>
            <w:r>
              <w:rPr>
                <w:w w:val="100"/>
                <w:sz w:val="21"/>
              </w:rPr>
              <w:t>HIV</w:t>
            </w:r>
            <w:r>
              <w:rPr>
                <w:spacing w:val="-52"/>
                <w:sz w:val="21"/>
              </w:rPr>
              <w:t> </w:t>
            </w:r>
            <w:r>
              <w:rPr>
                <w:spacing w:val="-3"/>
                <w:w w:val="100"/>
                <w:sz w:val="21"/>
              </w:rPr>
              <w:t>检查阴性的报告以及输血后</w:t>
            </w:r>
            <w:r>
              <w:rPr>
                <w:spacing w:val="-3"/>
                <w:sz w:val="21"/>
              </w:rPr>
              <w:t> </w:t>
            </w:r>
            <w:r>
              <w:rPr>
                <w:w w:val="100"/>
                <w:sz w:val="21"/>
              </w:rPr>
              <w:t>HIV</w:t>
            </w:r>
            <w:r>
              <w:rPr>
                <w:spacing w:val="-55"/>
                <w:sz w:val="21"/>
              </w:rPr>
              <w:t> </w:t>
            </w:r>
            <w:r>
              <w:rPr>
                <w:spacing w:val="-3"/>
                <w:w w:val="100"/>
                <w:sz w:val="21"/>
              </w:rPr>
              <w:t>检查阳性的报</w:t>
            </w:r>
            <w:r>
              <w:rPr>
                <w:spacing w:val="-3"/>
                <w:sz w:val="21"/>
              </w:rPr>
              <w:t>告。</w:t>
            </w:r>
          </w:p>
          <w:p>
            <w:pPr>
              <w:pStyle w:val="TableParagraph"/>
              <w:spacing w:line="237" w:lineRule="auto" w:before="1"/>
              <w:ind w:right="102"/>
              <w:jc w:val="both"/>
              <w:rPr>
                <w:sz w:val="21"/>
              </w:rPr>
            </w:pPr>
            <w:r>
              <w:rPr>
                <w:spacing w:val="-3"/>
                <w:sz w:val="21"/>
              </w:rPr>
              <w:t>任何因其他传播方式</w:t>
            </w:r>
            <w:r>
              <w:rPr>
                <w:sz w:val="21"/>
              </w:rPr>
              <w:t>（</w:t>
            </w:r>
            <w:r>
              <w:rPr>
                <w:spacing w:val="-3"/>
                <w:sz w:val="21"/>
              </w:rPr>
              <w:t>包括：性传播或静脉注射毒品</w:t>
            </w:r>
            <w:r>
              <w:rPr>
                <w:sz w:val="21"/>
              </w:rPr>
              <w:t>）</w:t>
            </w:r>
            <w:r>
              <w:rPr>
                <w:spacing w:val="-10"/>
                <w:sz w:val="21"/>
              </w:rPr>
              <w:t>导致的 </w:t>
            </w:r>
            <w:r>
              <w:rPr>
                <w:sz w:val="21"/>
              </w:rPr>
              <w:t>HIV</w:t>
            </w:r>
            <w:r>
              <w:rPr>
                <w:spacing w:val="-9"/>
                <w:sz w:val="21"/>
              </w:rPr>
              <w:t> 感染不在</w:t>
            </w:r>
            <w:r>
              <w:rPr>
                <w:spacing w:val="-5"/>
                <w:sz w:val="21"/>
              </w:rPr>
              <w:t>本保单保障范围内。保险公司必须拥有获得使用被保险人的所有血液样本的</w:t>
            </w:r>
            <w:r>
              <w:rPr>
                <w:spacing w:val="-4"/>
                <w:sz w:val="21"/>
              </w:rPr>
              <w:t>权利和能够对这些样本进行独立检验的权利。</w:t>
            </w:r>
          </w:p>
        </w:tc>
      </w:tr>
      <w:tr>
        <w:trPr>
          <w:trHeight w:val="1090" w:hRule="atLeast"/>
        </w:trPr>
        <w:tc>
          <w:tcPr>
            <w:tcW w:w="1788" w:type="dxa"/>
          </w:tcPr>
          <w:p>
            <w:pPr>
              <w:pStyle w:val="TableParagraph"/>
              <w:spacing w:before="40"/>
              <w:ind w:left="200"/>
              <w:rPr>
                <w:rFonts w:ascii="微软雅黑" w:eastAsia="微软雅黑" w:hint="eastAsia"/>
                <w:b/>
                <w:sz w:val="21"/>
              </w:rPr>
            </w:pPr>
            <w:r>
              <w:rPr>
                <w:rFonts w:ascii="微软雅黑" w:eastAsia="微软雅黑" w:hint="eastAsia"/>
                <w:b/>
                <w:sz w:val="21"/>
              </w:rPr>
              <w:t>严重克隆病</w:t>
            </w:r>
          </w:p>
        </w:tc>
        <w:tc>
          <w:tcPr>
            <w:tcW w:w="7153" w:type="dxa"/>
          </w:tcPr>
          <w:p>
            <w:pPr>
              <w:pStyle w:val="TableParagraph"/>
              <w:spacing w:line="237" w:lineRule="auto" w:before="105"/>
              <w:ind w:right="105"/>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634" w:hRule="atLeast"/>
        </w:trPr>
        <w:tc>
          <w:tcPr>
            <w:tcW w:w="1788" w:type="dxa"/>
          </w:tcPr>
          <w:p>
            <w:pPr>
              <w:pStyle w:val="TableParagraph"/>
              <w:spacing w:before="40"/>
              <w:ind w:left="200"/>
              <w:rPr>
                <w:rFonts w:ascii="微软雅黑" w:eastAsia="微软雅黑" w:hint="eastAsia"/>
                <w:b/>
                <w:sz w:val="21"/>
              </w:rPr>
            </w:pPr>
            <w:r>
              <w:rPr>
                <w:rFonts w:ascii="微软雅黑" w:eastAsia="微软雅黑" w:hint="eastAsia"/>
                <w:b/>
                <w:sz w:val="21"/>
              </w:rPr>
              <w:t>多发性硬化</w:t>
            </w:r>
          </w:p>
        </w:tc>
        <w:tc>
          <w:tcPr>
            <w:tcW w:w="7153" w:type="dxa"/>
          </w:tcPr>
          <w:p>
            <w:pPr>
              <w:pStyle w:val="TableParagraph"/>
              <w:spacing w:line="237" w:lineRule="auto" w:before="105"/>
              <w:ind w:right="102"/>
              <w:jc w:val="both"/>
              <w:rPr>
                <w:sz w:val="21"/>
              </w:rPr>
            </w:pPr>
            <w:r>
              <w:rPr>
                <w:spacing w:val="-3"/>
                <w:sz w:val="21"/>
              </w:rPr>
              <w:t>被保险人因脑及脊髓内的脱髓鞘病变而出现神经系统多灶性（</w:t>
            </w:r>
            <w:r>
              <w:rPr>
                <w:spacing w:val="-2"/>
                <w:sz w:val="21"/>
              </w:rPr>
              <w:t>多发性</w:t>
            </w:r>
            <w:r>
              <w:rPr>
                <w:spacing w:val="-3"/>
                <w:sz w:val="21"/>
              </w:rPr>
              <w:t>）</w:t>
            </w:r>
            <w:r>
              <w:rPr>
                <w:sz w:val="21"/>
              </w:rPr>
              <w:t>多时相（</w:t>
            </w:r>
            <w:r>
              <w:rPr>
                <w:spacing w:val="-13"/>
                <w:sz w:val="21"/>
              </w:rPr>
              <w:t>至少 </w:t>
            </w:r>
            <w:r>
              <w:rPr>
                <w:sz w:val="21"/>
              </w:rPr>
              <w:t>6</w:t>
            </w:r>
            <w:r>
              <w:rPr>
                <w:spacing w:val="-7"/>
                <w:sz w:val="21"/>
              </w:rPr>
              <w:t> 个月以内有一次以上</w:t>
            </w:r>
            <w:r>
              <w:rPr>
                <w:sz w:val="21"/>
              </w:rPr>
              <w:t>（</w:t>
            </w:r>
            <w:r>
              <w:rPr>
                <w:spacing w:val="-3"/>
                <w:sz w:val="21"/>
              </w:rPr>
              <w:t>不包含一次</w:t>
            </w:r>
            <w:r>
              <w:rPr>
                <w:sz w:val="21"/>
              </w:rPr>
              <w:t>）</w:t>
            </w:r>
            <w:r>
              <w:rPr>
                <w:spacing w:val="-2"/>
                <w:sz w:val="21"/>
              </w:rPr>
              <w:t>的发作</w:t>
            </w:r>
            <w:r>
              <w:rPr>
                <w:spacing w:val="-3"/>
                <w:sz w:val="21"/>
              </w:rPr>
              <w:t>）的病变，须由计算</w:t>
            </w:r>
            <w:r>
              <w:rPr>
                <w:spacing w:val="-7"/>
                <w:w w:val="100"/>
                <w:sz w:val="21"/>
              </w:rPr>
              <w:t>机断层扫描</w:t>
            </w:r>
            <w:r>
              <w:rPr>
                <w:w w:val="100"/>
                <w:sz w:val="21"/>
              </w:rPr>
              <w:t>（</w:t>
            </w:r>
            <w:r>
              <w:rPr>
                <w:spacing w:val="-3"/>
                <w:w w:val="100"/>
                <w:sz w:val="21"/>
              </w:rPr>
              <w:t>C</w:t>
            </w:r>
            <w:r>
              <w:rPr>
                <w:w w:val="100"/>
                <w:sz w:val="21"/>
              </w:rPr>
              <w:t>T</w:t>
            </w:r>
            <w:r>
              <w:rPr>
                <w:spacing w:val="-106"/>
                <w:w w:val="100"/>
                <w:sz w:val="21"/>
              </w:rPr>
              <w:t>）</w:t>
            </w:r>
            <w:r>
              <w:rPr>
                <w:spacing w:val="-8"/>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20"/>
                <w:w w:val="100"/>
                <w:sz w:val="21"/>
              </w:rPr>
              <w:t>）</w:t>
            </w:r>
            <w:r>
              <w:rPr>
                <w:spacing w:val="-5"/>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20"/>
                <w:w w:val="100"/>
                <w:sz w:val="21"/>
              </w:rPr>
              <w:t>）</w:t>
            </w:r>
            <w:r>
              <w:rPr>
                <w:w w:val="100"/>
                <w:sz w:val="21"/>
              </w:rPr>
              <w:t>等影</w:t>
            </w:r>
            <w:r>
              <w:rPr>
                <w:spacing w:val="-3"/>
                <w:sz w:val="21"/>
              </w:rPr>
              <w:t>像学检查证实，且已经造成自主生活能力完全丧失，无法独立完成六项基本</w:t>
            </w:r>
            <w:r>
              <w:rPr>
                <w:spacing w:val="-5"/>
                <w:sz w:val="21"/>
              </w:rPr>
              <w:t>日常生活活动中的三项或三项以上，持续至少 </w:t>
            </w:r>
            <w:r>
              <w:rPr>
                <w:sz w:val="21"/>
              </w:rPr>
              <w:t>180</w:t>
            </w:r>
            <w:r>
              <w:rPr>
                <w:spacing w:val="-14"/>
                <w:sz w:val="21"/>
              </w:rPr>
              <w:t> 天。</w:t>
            </w:r>
          </w:p>
        </w:tc>
      </w:tr>
      <w:tr>
        <w:trPr>
          <w:trHeight w:val="1634" w:hRule="atLeast"/>
        </w:trPr>
        <w:tc>
          <w:tcPr>
            <w:tcW w:w="1788" w:type="dxa"/>
          </w:tcPr>
          <w:p>
            <w:pPr>
              <w:pStyle w:val="TableParagraph"/>
              <w:spacing w:line="180" w:lineRule="auto" w:before="131"/>
              <w:ind w:left="200" w:right="107"/>
              <w:rPr>
                <w:rFonts w:ascii="微软雅黑" w:eastAsia="微软雅黑" w:hint="eastAsia"/>
                <w:b/>
                <w:sz w:val="21"/>
              </w:rPr>
            </w:pPr>
            <w:r>
              <w:rPr>
                <w:rFonts w:ascii="微软雅黑" w:eastAsia="微软雅黑" w:hint="eastAsia"/>
                <w:b/>
                <w:sz w:val="21"/>
              </w:rPr>
              <w:t>严重肌营养不良症</w:t>
            </w:r>
          </w:p>
        </w:tc>
        <w:tc>
          <w:tcPr>
            <w:tcW w:w="7153" w:type="dxa"/>
          </w:tcPr>
          <w:p>
            <w:pPr>
              <w:pStyle w:val="TableParagraph"/>
              <w:spacing w:line="237" w:lineRule="auto" w:before="105"/>
              <w:ind w:right="105"/>
              <w:rPr>
                <w:sz w:val="21"/>
              </w:rPr>
            </w:pPr>
            <w:r>
              <w:rPr>
                <w:sz w:val="21"/>
              </w:rPr>
              <w:t>指一组原发于肌肉的遗传性疾病，临床表现为与神经系统无关的肌肉无力和肌肉萎缩。须满足下列全部条件：</w:t>
            </w:r>
          </w:p>
          <w:p>
            <w:pPr>
              <w:pStyle w:val="TableParagraph"/>
              <w:spacing w:line="272" w:lineRule="exact"/>
              <w:rPr>
                <w:sz w:val="21"/>
              </w:rPr>
            </w:pPr>
            <w:r>
              <w:rPr>
                <w:w w:val="100"/>
                <w:sz w:val="21"/>
              </w:rPr>
              <w:t>（1</w:t>
            </w:r>
            <w:r>
              <w:rPr>
                <w:spacing w:val="-106"/>
                <w:w w:val="100"/>
                <w:sz w:val="21"/>
              </w:rPr>
              <w:t>）</w:t>
            </w:r>
            <w:r>
              <w:rPr>
                <w:spacing w:val="-8"/>
                <w:w w:val="100"/>
                <w:sz w:val="21"/>
              </w:rPr>
              <w:t>肌肉组织活检结果满足肌营养不良症的肌肉细胞变性、坏死等阳性改变；</w:t>
            </w:r>
          </w:p>
          <w:p>
            <w:pPr>
              <w:pStyle w:val="TableParagraph"/>
              <w:ind w:right="104"/>
              <w:rPr>
                <w:sz w:val="21"/>
              </w:rPr>
            </w:pPr>
            <w:r>
              <w:rPr>
                <w:spacing w:val="-18"/>
                <w:sz w:val="21"/>
              </w:rPr>
              <w:t>（2）</w:t>
            </w:r>
            <w:r>
              <w:rPr>
                <w:spacing w:val="-8"/>
                <w:sz w:val="21"/>
              </w:rPr>
              <w:t>自主生活能力完全丧失，无法独立完成六项基本日常生活活动中的三项</w:t>
            </w:r>
            <w:r>
              <w:rPr>
                <w:spacing w:val="-5"/>
                <w:sz w:val="21"/>
              </w:rPr>
              <w:t>或三项以上。</w:t>
            </w:r>
          </w:p>
        </w:tc>
      </w:tr>
      <w:tr>
        <w:trPr>
          <w:trHeight w:val="2723" w:hRule="atLeast"/>
        </w:trPr>
        <w:tc>
          <w:tcPr>
            <w:tcW w:w="1788" w:type="dxa"/>
          </w:tcPr>
          <w:p>
            <w:pPr>
              <w:pStyle w:val="TableParagraph"/>
              <w:spacing w:before="40"/>
              <w:ind w:left="200"/>
              <w:rPr>
                <w:rFonts w:ascii="微软雅黑" w:eastAsia="微软雅黑" w:hint="eastAsia"/>
                <w:b/>
                <w:sz w:val="21"/>
              </w:rPr>
            </w:pPr>
            <w:r>
              <w:rPr>
                <w:rFonts w:ascii="微软雅黑" w:eastAsia="微软雅黑" w:hint="eastAsia"/>
                <w:b/>
                <w:sz w:val="21"/>
              </w:rPr>
              <w:t>重症肌无力</w:t>
            </w:r>
          </w:p>
        </w:tc>
        <w:tc>
          <w:tcPr>
            <w:tcW w:w="7153" w:type="dxa"/>
          </w:tcPr>
          <w:p>
            <w:pPr>
              <w:pStyle w:val="TableParagraph"/>
              <w:spacing w:line="237" w:lineRule="auto" w:before="105"/>
              <w:ind w:right="105"/>
              <w:jc w:val="both"/>
              <w:rPr>
                <w:sz w:val="21"/>
              </w:rPr>
            </w:pPr>
            <w:r>
              <w:rPr>
                <w:sz w:val="21"/>
              </w:rPr>
              <w:t>是指一种神经与肌肉接头部位传递障碍的自身免疫性疾病，临床特征是局部或全身横纹肌于活动时易于疲劳无力，颅神经眼外肌最易累及，也可涉及呼吸肌、下肢近端肌群以至全身肌肉，须经本公司认可的神经科医师确诊。其诊断必须同时具有下列情况：</w:t>
            </w:r>
          </w:p>
          <w:p>
            <w:pPr>
              <w:pStyle w:val="TableParagraph"/>
              <w:spacing w:line="272" w:lineRule="exact"/>
              <w:rPr>
                <w:sz w:val="21"/>
              </w:rPr>
            </w:pPr>
            <w:r>
              <w:rPr>
                <w:sz w:val="21"/>
              </w:rPr>
              <w:t>（1）经药物、胸腺手术治疗一年以上无法控制病情，丧失正常工作能力；</w:t>
            </w:r>
          </w:p>
          <w:p>
            <w:pPr>
              <w:pStyle w:val="TableParagraph"/>
              <w:ind w:right="104"/>
              <w:jc w:val="both"/>
              <w:rPr>
                <w:sz w:val="21"/>
              </w:rPr>
            </w:pPr>
            <w:r>
              <w:rPr>
                <w:sz w:val="21"/>
              </w:rPr>
              <w:t>（2）出现眼睑下垂，或延髓肌受累引起的构音困难、进食呛咳,或由于肌无力累及延髓肌、呼吸肌而致机体呼吸功能不正常的危急状态即肌无力危象；</w:t>
            </w:r>
          </w:p>
          <w:p>
            <w:pPr>
              <w:pStyle w:val="TableParagraph"/>
              <w:ind w:right="104"/>
              <w:jc w:val="both"/>
              <w:rPr>
                <w:sz w:val="21"/>
              </w:rPr>
            </w:pPr>
            <w:r>
              <w:rPr>
                <w:spacing w:val="-12"/>
                <w:sz w:val="21"/>
              </w:rPr>
              <w:t>（3）</w:t>
            </w:r>
            <w:r>
              <w:rPr>
                <w:spacing w:val="-10"/>
                <w:sz w:val="21"/>
              </w:rPr>
              <w:t>症状缓解、复发及恶化交替出现，临床接受新斯的明等抗胆碱酯酶药物</w:t>
            </w:r>
            <w:r>
              <w:rPr>
                <w:spacing w:val="-5"/>
                <w:sz w:val="21"/>
              </w:rPr>
              <w:t>治疗的病史。</w:t>
            </w:r>
          </w:p>
        </w:tc>
      </w:tr>
      <w:tr>
        <w:trPr>
          <w:trHeight w:val="1633" w:hRule="atLeast"/>
        </w:trPr>
        <w:tc>
          <w:tcPr>
            <w:tcW w:w="1788" w:type="dxa"/>
          </w:tcPr>
          <w:p>
            <w:pPr>
              <w:pStyle w:val="TableParagraph"/>
              <w:spacing w:before="39"/>
              <w:ind w:left="200"/>
              <w:rPr>
                <w:rFonts w:ascii="微软雅黑" w:eastAsia="微软雅黑" w:hint="eastAsia"/>
                <w:b/>
                <w:sz w:val="21"/>
              </w:rPr>
            </w:pPr>
            <w:r>
              <w:rPr>
                <w:rFonts w:ascii="微软雅黑" w:eastAsia="微软雅黑" w:hint="eastAsia"/>
                <w:b/>
                <w:sz w:val="21"/>
              </w:rPr>
              <w:t>植物人状态</w:t>
            </w:r>
          </w:p>
        </w:tc>
        <w:tc>
          <w:tcPr>
            <w:tcW w:w="7153" w:type="dxa"/>
          </w:tcPr>
          <w:p>
            <w:pPr>
              <w:pStyle w:val="TableParagraph"/>
              <w:spacing w:line="237" w:lineRule="auto" w:before="105"/>
              <w:ind w:right="102"/>
              <w:jc w:val="both"/>
              <w:rPr>
                <w:sz w:val="21"/>
              </w:rPr>
            </w:pPr>
            <w:r>
              <w:rPr>
                <w:spacing w:val="-3"/>
                <w:sz w:val="21"/>
              </w:rPr>
              <w:t>一种丧失生理、意识和交流功能后的临床依赖状态。可以是由脑外伤、缺氧持续状态、严重的脑炎或者某种神经毒素造成。患者无法从事主动或者有目的的活动，而只能对疼痛刺激产生反应。被保险人需要在医院使用辅助机器</w:t>
            </w:r>
            <w:r>
              <w:rPr>
                <w:spacing w:val="-5"/>
                <w:sz w:val="21"/>
              </w:rPr>
              <w:t>维持生命。只有在因植物人状态持续 </w:t>
            </w:r>
            <w:r>
              <w:rPr>
                <w:sz w:val="21"/>
              </w:rPr>
              <w:t>180</w:t>
            </w:r>
            <w:r>
              <w:rPr>
                <w:spacing w:val="-8"/>
                <w:sz w:val="21"/>
              </w:rPr>
              <w:t> 天以后并且必须有神经科专科医生</w:t>
            </w:r>
            <w:r>
              <w:rPr>
                <w:spacing w:val="-5"/>
                <w:sz w:val="21"/>
              </w:rPr>
              <w:t>的医学诊断证明的情况下才能得到理赔。</w:t>
            </w:r>
          </w:p>
        </w:tc>
      </w:tr>
      <w:tr>
        <w:trPr>
          <w:trHeight w:val="2286" w:hRule="atLeast"/>
        </w:trPr>
        <w:tc>
          <w:tcPr>
            <w:tcW w:w="1788" w:type="dxa"/>
          </w:tcPr>
          <w:p>
            <w:pPr>
              <w:pStyle w:val="TableParagraph"/>
              <w:spacing w:line="180" w:lineRule="auto" w:before="131"/>
              <w:ind w:left="200" w:right="107"/>
              <w:rPr>
                <w:rFonts w:ascii="微软雅黑" w:eastAsia="微软雅黑" w:hint="eastAsia"/>
                <w:b/>
                <w:sz w:val="21"/>
              </w:rPr>
            </w:pPr>
            <w:r>
              <w:rPr>
                <w:rFonts w:ascii="微软雅黑" w:eastAsia="微软雅黑" w:hint="eastAsia"/>
                <w:b/>
                <w:sz w:val="21"/>
              </w:rPr>
              <w:t>严重原发性心肌病</w:t>
            </w:r>
          </w:p>
        </w:tc>
        <w:tc>
          <w:tcPr>
            <w:tcW w:w="7153" w:type="dxa"/>
          </w:tcPr>
          <w:p>
            <w:pPr>
              <w:pStyle w:val="TableParagraph"/>
              <w:spacing w:line="237" w:lineRule="auto" w:before="105"/>
              <w:ind w:right="102"/>
              <w:jc w:val="both"/>
              <w:rPr>
                <w:sz w:val="21"/>
              </w:rPr>
            </w:pPr>
            <w:r>
              <w:rPr>
                <w:spacing w:val="-3"/>
                <w:sz w:val="21"/>
              </w:rPr>
              <w:t>指不明原因引起的一类心肌病变,包括原发性扩张型心肌病,原发性肥厚型心肌病及原发性限制型心肌病三种,病变必须已造成事实上心室功能障碍而出现明显的心功能衰竭(指按照美国纽约心脏协会心功能分类标准心功能达四级*)</w:t>
            </w:r>
            <w:r>
              <w:rPr>
                <w:spacing w:val="-5"/>
                <w:sz w:val="21"/>
              </w:rPr>
              <w:t>,且有相关住院医疗记录显示四级心功能衰竭状态持续至少 </w:t>
            </w:r>
            <w:r>
              <w:rPr>
                <w:sz w:val="21"/>
              </w:rPr>
              <w:t>180</w:t>
            </w:r>
            <w:r>
              <w:rPr>
                <w:spacing w:val="-14"/>
                <w:sz w:val="21"/>
              </w:rPr>
              <w:t> 天。</w:t>
            </w:r>
          </w:p>
          <w:p>
            <w:pPr>
              <w:pStyle w:val="TableParagraph"/>
              <w:ind w:right="105"/>
              <w:jc w:val="both"/>
              <w:rPr>
                <w:sz w:val="21"/>
              </w:rPr>
            </w:pPr>
            <w:r>
              <w:rPr>
                <w:sz w:val="21"/>
              </w:rPr>
              <w:t>本病须经专科医生明确诊断，继发于全身性疾病或其它器官系统疾病造成的心肌病变不在保障范围内。</w:t>
            </w:r>
          </w:p>
          <w:p>
            <w:pPr>
              <w:pStyle w:val="TableParagraph"/>
              <w:spacing w:line="274" w:lineRule="exact" w:before="27"/>
              <w:ind w:right="103"/>
              <w:jc w:val="both"/>
              <w:rPr>
                <w:sz w:val="21"/>
              </w:rPr>
            </w:pPr>
            <w:r>
              <w:rPr>
                <w:sz w:val="21"/>
              </w:rPr>
              <w:t>*美国纽约心脏协会分类标准心功能四级是指有医院的医疗记录显示病人不能进行任何活动,休息时仍有心悸,呼吸困难等心力衰竭表现。</w:t>
            </w:r>
          </w:p>
        </w:tc>
      </w:tr>
    </w:tbl>
    <w:p>
      <w:pPr>
        <w:spacing w:after="0" w:line="274" w:lineRule="exact"/>
        <w:jc w:val="both"/>
        <w:rPr>
          <w:sz w:val="21"/>
        </w:rPr>
        <w:sectPr>
          <w:pgSz w:w="11910" w:h="16840"/>
          <w:pgMar w:header="877" w:footer="960" w:top="1080" w:bottom="1180" w:left="1060" w:right="1020"/>
        </w:sectPr>
      </w:pPr>
    </w:p>
    <w:tbl>
      <w:tblPr>
        <w:tblW w:w="0" w:type="auto"/>
        <w:jc w:val="left"/>
        <w:tblInd w:w="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8"/>
        <w:gridCol w:w="7155"/>
      </w:tblGrid>
      <w:tr>
        <w:trPr>
          <w:trHeight w:val="3730" w:hRule="atLeast"/>
        </w:trPr>
        <w:tc>
          <w:tcPr>
            <w:tcW w:w="1788" w:type="dxa"/>
          </w:tcPr>
          <w:p>
            <w:pPr>
              <w:pStyle w:val="TableParagraph"/>
              <w:spacing w:before="11"/>
              <w:ind w:left="0"/>
              <w:rPr>
                <w:rFonts w:ascii="Times New Roman"/>
                <w:sz w:val="19"/>
              </w:rPr>
            </w:pPr>
          </w:p>
          <w:p>
            <w:pPr>
              <w:pStyle w:val="TableParagraph"/>
              <w:spacing w:line="317" w:lineRule="exact"/>
              <w:ind w:left="200"/>
              <w:rPr>
                <w:rFonts w:ascii="微软雅黑" w:eastAsia="微软雅黑" w:hint="eastAsia"/>
                <w:b/>
                <w:sz w:val="21"/>
              </w:rPr>
            </w:pPr>
            <w:r>
              <w:rPr>
                <w:rFonts w:ascii="微软雅黑" w:eastAsia="微软雅黑" w:hint="eastAsia"/>
                <w:b/>
                <w:sz w:val="21"/>
              </w:rPr>
              <w:t>系统性红斑狼疮</w:t>
            </w:r>
          </w:p>
          <w:p>
            <w:pPr>
              <w:pStyle w:val="TableParagraph"/>
              <w:spacing w:line="180" w:lineRule="auto" w:before="44"/>
              <w:ind w:left="200" w:right="170"/>
              <w:rPr>
                <w:rFonts w:ascii="微软雅黑" w:eastAsia="微软雅黑" w:hint="eastAsia"/>
                <w:b/>
                <w:sz w:val="21"/>
              </w:rPr>
            </w:pPr>
            <w:r>
              <w:rPr>
                <w:rFonts w:ascii="微软雅黑" w:eastAsia="微软雅黑" w:hint="eastAsia"/>
                <w:b/>
                <w:w w:val="125"/>
                <w:sz w:val="21"/>
              </w:rPr>
              <w:t>-III </w:t>
            </w:r>
            <w:r>
              <w:rPr>
                <w:rFonts w:ascii="微软雅黑" w:eastAsia="微软雅黑" w:hint="eastAsia"/>
                <w:b/>
                <w:w w:val="110"/>
                <w:sz w:val="21"/>
              </w:rPr>
              <w:t>型或以上</w:t>
            </w:r>
            <w:r>
              <w:rPr>
                <w:rFonts w:ascii="微软雅黑" w:eastAsia="微软雅黑" w:hint="eastAsia"/>
                <w:b/>
                <w:sz w:val="21"/>
              </w:rPr>
              <w:t>狼疮性肾炎</w:t>
            </w:r>
          </w:p>
        </w:tc>
        <w:tc>
          <w:tcPr>
            <w:tcW w:w="7155" w:type="dxa"/>
          </w:tcPr>
          <w:p>
            <w:pPr>
              <w:pStyle w:val="TableParagraph"/>
              <w:spacing w:before="7"/>
              <w:ind w:left="0"/>
              <w:rPr>
                <w:rFonts w:ascii="Times New Roman"/>
                <w:sz w:val="25"/>
              </w:rPr>
            </w:pPr>
          </w:p>
          <w:p>
            <w:pPr>
              <w:pStyle w:val="TableParagraph"/>
              <w:spacing w:line="237" w:lineRule="auto"/>
              <w:ind w:right="107"/>
              <w:jc w:val="both"/>
              <w:rPr>
                <w:sz w:val="21"/>
              </w:rPr>
            </w:pPr>
            <w:r>
              <w:rPr>
                <w:sz w:val="21"/>
              </w:rPr>
              <w:t>系统性红斑狼疮是由多种因素引起，累及多系统的自身免疫性疾病。其特点是生成自身抗体对抗多种自身抗原。多见于育龄妇女。</w:t>
            </w:r>
          </w:p>
          <w:p>
            <w:pPr>
              <w:pStyle w:val="TableParagraph"/>
              <w:spacing w:line="237" w:lineRule="auto" w:before="1"/>
              <w:ind w:right="104"/>
              <w:jc w:val="both"/>
              <w:rPr>
                <w:sz w:val="21"/>
              </w:rPr>
            </w:pPr>
            <w:r>
              <w:rPr>
                <w:spacing w:val="-7"/>
                <w:sz w:val="21"/>
              </w:rPr>
              <w:t>本保单所指的系统性红斑狼疮仅限于累及肾脏</w:t>
            </w:r>
            <w:r>
              <w:rPr>
                <w:spacing w:val="-3"/>
                <w:sz w:val="21"/>
              </w:rPr>
              <w:t>（</w:t>
            </w:r>
            <w:r>
              <w:rPr>
                <w:spacing w:val="-12"/>
                <w:sz w:val="21"/>
              </w:rPr>
              <w:t>经肾脏活检确认的，符合 </w:t>
            </w:r>
            <w:r>
              <w:rPr>
                <w:sz w:val="21"/>
              </w:rPr>
              <w:t>WHO </w:t>
            </w:r>
            <w:r>
              <w:rPr>
                <w:spacing w:val="-8"/>
                <w:sz w:val="21"/>
              </w:rPr>
              <w:t>诊断标准定义 </w:t>
            </w:r>
            <w:r>
              <w:rPr>
                <w:sz w:val="21"/>
              </w:rPr>
              <w:t>III</w:t>
            </w:r>
            <w:r>
              <w:rPr>
                <w:spacing w:val="-23"/>
                <w:sz w:val="21"/>
              </w:rPr>
              <w:t> 型至 </w:t>
            </w:r>
            <w:r>
              <w:rPr>
                <w:sz w:val="21"/>
              </w:rPr>
              <w:t>V</w:t>
            </w:r>
            <w:r>
              <w:rPr>
                <w:spacing w:val="-9"/>
                <w:sz w:val="21"/>
              </w:rPr>
              <w:t> 型狼疮性肾炎</w:t>
            </w:r>
            <w:r>
              <w:rPr>
                <w:spacing w:val="-3"/>
                <w:sz w:val="21"/>
              </w:rPr>
              <w:t>）的系统性红斑狼疮。其他类型的红斑性狼疮，如盘状狼疮、仅累及血液及关节的狼疮不在本保单保障范围內。本病必须由免疫和风湿科专家医师确诊。</w:t>
            </w:r>
          </w:p>
          <w:p>
            <w:pPr>
              <w:pStyle w:val="TableParagraph"/>
              <w:spacing w:line="272" w:lineRule="exact"/>
              <w:jc w:val="both"/>
              <w:rPr>
                <w:sz w:val="21"/>
              </w:rPr>
            </w:pPr>
            <w:r>
              <w:rPr>
                <w:sz w:val="21"/>
              </w:rPr>
              <w:t>世界卫生组织（WHO）狼疮性肾炎分型：</w:t>
            </w:r>
          </w:p>
          <w:p>
            <w:pPr>
              <w:pStyle w:val="TableParagraph"/>
              <w:numPr>
                <w:ilvl w:val="0"/>
                <w:numId w:val="9"/>
              </w:numPr>
              <w:tabs>
                <w:tab w:pos="407" w:val="left" w:leader="none"/>
                <w:tab w:pos="2454" w:val="left" w:leader="none"/>
              </w:tabs>
              <w:spacing w:line="272" w:lineRule="exact" w:before="0" w:after="0"/>
              <w:ind w:left="407" w:right="0" w:hanging="159"/>
              <w:jc w:val="left"/>
              <w:rPr>
                <w:sz w:val="21"/>
              </w:rPr>
            </w:pPr>
            <w:r>
              <w:rPr>
                <w:sz w:val="21"/>
              </w:rPr>
              <w:t>型</w:t>
            </w:r>
            <w:r>
              <w:rPr>
                <w:spacing w:val="-3"/>
                <w:sz w:val="21"/>
              </w:rPr>
              <w:t>（</w:t>
            </w:r>
            <w:r>
              <w:rPr>
                <w:sz w:val="21"/>
              </w:rPr>
              <w:t>微</w:t>
            </w:r>
            <w:r>
              <w:rPr>
                <w:spacing w:val="-3"/>
                <w:sz w:val="21"/>
              </w:rPr>
              <w:t>小</w:t>
            </w:r>
            <w:r>
              <w:rPr>
                <w:sz w:val="21"/>
              </w:rPr>
              <w:t>病</w:t>
            </w:r>
            <w:r>
              <w:rPr>
                <w:spacing w:val="-3"/>
                <w:sz w:val="21"/>
              </w:rPr>
              <w:t>变</w:t>
            </w:r>
            <w:r>
              <w:rPr>
                <w:sz w:val="21"/>
              </w:rPr>
              <w:t>型）</w:t>
              <w:tab/>
              <w:t>镜下</w:t>
            </w:r>
            <w:r>
              <w:rPr>
                <w:spacing w:val="-3"/>
                <w:sz w:val="21"/>
              </w:rPr>
              <w:t>阴</w:t>
            </w:r>
            <w:r>
              <w:rPr>
                <w:sz w:val="21"/>
              </w:rPr>
              <w:t>性</w:t>
            </w:r>
            <w:r>
              <w:rPr>
                <w:spacing w:val="-3"/>
                <w:sz w:val="21"/>
              </w:rPr>
              <w:t>，</w:t>
            </w:r>
            <w:r>
              <w:rPr>
                <w:sz w:val="21"/>
              </w:rPr>
              <w:t>尿</w:t>
            </w:r>
            <w:r>
              <w:rPr>
                <w:spacing w:val="-3"/>
                <w:sz w:val="21"/>
              </w:rPr>
              <w:t>液</w:t>
            </w:r>
            <w:r>
              <w:rPr>
                <w:sz w:val="21"/>
              </w:rPr>
              <w:t>正常</w:t>
            </w:r>
          </w:p>
          <w:p>
            <w:pPr>
              <w:pStyle w:val="TableParagraph"/>
              <w:numPr>
                <w:ilvl w:val="0"/>
                <w:numId w:val="9"/>
              </w:numPr>
              <w:tabs>
                <w:tab w:pos="513" w:val="left" w:leader="none"/>
                <w:tab w:pos="2454" w:val="left" w:leader="none"/>
              </w:tabs>
              <w:spacing w:line="272" w:lineRule="exact" w:before="0" w:after="0"/>
              <w:ind w:left="512" w:right="0" w:hanging="264"/>
              <w:jc w:val="left"/>
              <w:rPr>
                <w:sz w:val="21"/>
              </w:rPr>
            </w:pPr>
            <w:r>
              <w:rPr>
                <w:spacing w:val="-3"/>
                <w:sz w:val="21"/>
              </w:rPr>
              <w:t>型</w:t>
            </w:r>
            <w:r>
              <w:rPr>
                <w:sz w:val="21"/>
              </w:rPr>
              <w:t>（</w:t>
            </w:r>
            <w:r>
              <w:rPr>
                <w:spacing w:val="-3"/>
                <w:sz w:val="21"/>
              </w:rPr>
              <w:t>系</w:t>
            </w:r>
            <w:r>
              <w:rPr>
                <w:sz w:val="21"/>
              </w:rPr>
              <w:t>膜</w:t>
            </w:r>
            <w:r>
              <w:rPr>
                <w:spacing w:val="-3"/>
                <w:sz w:val="21"/>
              </w:rPr>
              <w:t>病</w:t>
            </w:r>
            <w:r>
              <w:rPr>
                <w:sz w:val="21"/>
              </w:rPr>
              <w:t>变</w:t>
            </w:r>
            <w:r>
              <w:rPr>
                <w:spacing w:val="-3"/>
                <w:sz w:val="21"/>
              </w:rPr>
              <w:t>型</w:t>
            </w:r>
            <w:r>
              <w:rPr>
                <w:sz w:val="21"/>
              </w:rPr>
              <w:t>）</w:t>
              <w:tab/>
              <w:t>中度</w:t>
            </w:r>
            <w:r>
              <w:rPr>
                <w:spacing w:val="-3"/>
                <w:sz w:val="21"/>
              </w:rPr>
              <w:t>蛋</w:t>
            </w:r>
            <w:r>
              <w:rPr>
                <w:sz w:val="21"/>
              </w:rPr>
              <w:t>白</w:t>
            </w:r>
            <w:r>
              <w:rPr>
                <w:spacing w:val="-3"/>
                <w:sz w:val="21"/>
              </w:rPr>
              <w:t>尿</w:t>
            </w:r>
            <w:r>
              <w:rPr>
                <w:sz w:val="21"/>
              </w:rPr>
              <w:t>，</w:t>
            </w:r>
            <w:r>
              <w:rPr>
                <w:spacing w:val="-3"/>
                <w:sz w:val="21"/>
              </w:rPr>
              <w:t>偶</w:t>
            </w:r>
            <w:r>
              <w:rPr>
                <w:sz w:val="21"/>
              </w:rPr>
              <w:t>有</w:t>
            </w:r>
            <w:r>
              <w:rPr>
                <w:spacing w:val="-3"/>
                <w:sz w:val="21"/>
              </w:rPr>
              <w:t>尿</w:t>
            </w:r>
            <w:r>
              <w:rPr>
                <w:sz w:val="21"/>
              </w:rPr>
              <w:t>沉</w:t>
            </w:r>
            <w:r>
              <w:rPr>
                <w:spacing w:val="-3"/>
                <w:sz w:val="21"/>
              </w:rPr>
              <w:t>渣</w:t>
            </w:r>
            <w:r>
              <w:rPr>
                <w:sz w:val="21"/>
              </w:rPr>
              <w:t>改变</w:t>
            </w:r>
          </w:p>
          <w:p>
            <w:pPr>
              <w:pStyle w:val="TableParagraph"/>
              <w:numPr>
                <w:ilvl w:val="0"/>
                <w:numId w:val="9"/>
              </w:numPr>
              <w:tabs>
                <w:tab w:pos="619" w:val="left" w:leader="none"/>
              </w:tabs>
              <w:spacing w:line="272" w:lineRule="exact" w:before="0" w:after="0"/>
              <w:ind w:left="618" w:right="0" w:hanging="370"/>
              <w:jc w:val="left"/>
              <w:rPr>
                <w:sz w:val="21"/>
              </w:rPr>
            </w:pPr>
            <w:r>
              <w:rPr>
                <w:spacing w:val="-27"/>
                <w:sz w:val="21"/>
              </w:rPr>
              <w:t>型</w:t>
            </w:r>
            <w:r>
              <w:rPr>
                <w:spacing w:val="-3"/>
                <w:sz w:val="21"/>
              </w:rPr>
              <w:t>（局灶及节段增生型</w:t>
            </w:r>
            <w:r>
              <w:rPr>
                <w:sz w:val="21"/>
              </w:rPr>
              <w:t>） 蛋白尿，尿沉渣改变</w:t>
            </w:r>
          </w:p>
          <w:p>
            <w:pPr>
              <w:pStyle w:val="TableParagraph"/>
              <w:numPr>
                <w:ilvl w:val="0"/>
                <w:numId w:val="9"/>
              </w:numPr>
              <w:tabs>
                <w:tab w:pos="513" w:val="left" w:leader="none"/>
                <w:tab w:pos="2454" w:val="left" w:leader="none"/>
              </w:tabs>
              <w:spacing w:line="272" w:lineRule="exact" w:before="0" w:after="0"/>
              <w:ind w:left="512" w:right="0" w:hanging="264"/>
              <w:jc w:val="left"/>
              <w:rPr>
                <w:sz w:val="21"/>
              </w:rPr>
            </w:pPr>
            <w:r>
              <w:rPr>
                <w:spacing w:val="-3"/>
                <w:sz w:val="21"/>
              </w:rPr>
              <w:t>型</w:t>
            </w:r>
            <w:r>
              <w:rPr>
                <w:sz w:val="21"/>
              </w:rPr>
              <w:t>（</w:t>
            </w:r>
            <w:r>
              <w:rPr>
                <w:spacing w:val="-3"/>
                <w:sz w:val="21"/>
              </w:rPr>
              <w:t>弥</w:t>
            </w:r>
            <w:r>
              <w:rPr>
                <w:sz w:val="21"/>
              </w:rPr>
              <w:t>漫</w:t>
            </w:r>
            <w:r>
              <w:rPr>
                <w:spacing w:val="-3"/>
                <w:sz w:val="21"/>
              </w:rPr>
              <w:t>增</w:t>
            </w:r>
            <w:r>
              <w:rPr>
                <w:sz w:val="21"/>
              </w:rPr>
              <w:t>生</w:t>
            </w:r>
            <w:r>
              <w:rPr>
                <w:spacing w:val="-3"/>
                <w:sz w:val="21"/>
              </w:rPr>
              <w:t>型</w:t>
            </w:r>
            <w:r>
              <w:rPr>
                <w:sz w:val="21"/>
              </w:rPr>
              <w:t>）</w:t>
              <w:tab/>
              <w:t>急性</w:t>
            </w:r>
            <w:r>
              <w:rPr>
                <w:spacing w:val="-3"/>
                <w:sz w:val="21"/>
              </w:rPr>
              <w:t>肾</w:t>
            </w:r>
            <w:r>
              <w:rPr>
                <w:sz w:val="21"/>
              </w:rPr>
              <w:t>炎</w:t>
            </w:r>
            <w:r>
              <w:rPr>
                <w:spacing w:val="-3"/>
                <w:sz w:val="21"/>
              </w:rPr>
              <w:t>伴</w:t>
            </w:r>
            <w:r>
              <w:rPr>
                <w:sz w:val="21"/>
              </w:rPr>
              <w:t>有</w:t>
            </w:r>
            <w:r>
              <w:rPr>
                <w:spacing w:val="-3"/>
                <w:sz w:val="21"/>
              </w:rPr>
              <w:t>尿</w:t>
            </w:r>
            <w:r>
              <w:rPr>
                <w:sz w:val="21"/>
              </w:rPr>
              <w:t>沉</w:t>
            </w:r>
            <w:r>
              <w:rPr>
                <w:spacing w:val="-3"/>
                <w:sz w:val="21"/>
              </w:rPr>
              <w:t>渣</w:t>
            </w:r>
            <w:r>
              <w:rPr>
                <w:sz w:val="21"/>
              </w:rPr>
              <w:t>改</w:t>
            </w:r>
            <w:r>
              <w:rPr>
                <w:spacing w:val="-3"/>
                <w:sz w:val="21"/>
              </w:rPr>
              <w:t>变</w:t>
            </w:r>
            <w:r>
              <w:rPr>
                <w:sz w:val="21"/>
              </w:rPr>
              <w:t>及／</w:t>
            </w:r>
            <w:r>
              <w:rPr>
                <w:spacing w:val="-3"/>
                <w:sz w:val="21"/>
              </w:rPr>
              <w:t>或</w:t>
            </w:r>
            <w:r>
              <w:rPr>
                <w:sz w:val="21"/>
              </w:rPr>
              <w:t>肾</w:t>
            </w:r>
            <w:r>
              <w:rPr>
                <w:spacing w:val="-3"/>
                <w:sz w:val="21"/>
              </w:rPr>
              <w:t>病</w:t>
            </w:r>
            <w:r>
              <w:rPr>
                <w:sz w:val="21"/>
              </w:rPr>
              <w:t>综</w:t>
            </w:r>
            <w:r>
              <w:rPr>
                <w:spacing w:val="-3"/>
                <w:sz w:val="21"/>
              </w:rPr>
              <w:t>合</w:t>
            </w:r>
            <w:r>
              <w:rPr>
                <w:sz w:val="21"/>
              </w:rPr>
              <w:t>征</w:t>
            </w:r>
          </w:p>
          <w:p>
            <w:pPr>
              <w:pStyle w:val="TableParagraph"/>
              <w:numPr>
                <w:ilvl w:val="0"/>
                <w:numId w:val="9"/>
              </w:numPr>
              <w:tabs>
                <w:tab w:pos="405" w:val="left" w:leader="none"/>
                <w:tab w:pos="2346" w:val="left" w:leader="none"/>
              </w:tabs>
              <w:spacing w:line="273" w:lineRule="exact" w:before="0" w:after="0"/>
              <w:ind w:left="404" w:right="0" w:hanging="158"/>
              <w:jc w:val="left"/>
              <w:rPr>
                <w:sz w:val="21"/>
              </w:rPr>
            </w:pPr>
            <w:r>
              <w:rPr>
                <w:sz w:val="21"/>
              </w:rPr>
              <w:t>型</w:t>
            </w:r>
            <w:r>
              <w:rPr>
                <w:spacing w:val="-3"/>
                <w:sz w:val="21"/>
              </w:rPr>
              <w:t>（</w:t>
            </w:r>
            <w:r>
              <w:rPr>
                <w:sz w:val="21"/>
              </w:rPr>
              <w:t>膜</w:t>
            </w:r>
            <w:r>
              <w:rPr>
                <w:spacing w:val="-3"/>
                <w:sz w:val="21"/>
              </w:rPr>
              <w:t>型</w:t>
            </w:r>
            <w:r>
              <w:rPr>
                <w:sz w:val="21"/>
              </w:rPr>
              <w:t>）</w:t>
              <w:tab/>
              <w:t>肾病</w:t>
            </w:r>
            <w:r>
              <w:rPr>
                <w:spacing w:val="-3"/>
                <w:sz w:val="21"/>
              </w:rPr>
              <w:t>综</w:t>
            </w:r>
            <w:r>
              <w:rPr>
                <w:sz w:val="21"/>
              </w:rPr>
              <w:t>合</w:t>
            </w:r>
            <w:r>
              <w:rPr>
                <w:spacing w:val="-3"/>
                <w:sz w:val="21"/>
              </w:rPr>
              <w:t>征</w:t>
            </w:r>
            <w:r>
              <w:rPr>
                <w:sz w:val="21"/>
              </w:rPr>
              <w:t>或</w:t>
            </w:r>
            <w:r>
              <w:rPr>
                <w:spacing w:val="-3"/>
                <w:sz w:val="21"/>
              </w:rPr>
              <w:t>重</w:t>
            </w:r>
            <w:r>
              <w:rPr>
                <w:sz w:val="21"/>
              </w:rPr>
              <w:t>度</w:t>
            </w:r>
            <w:r>
              <w:rPr>
                <w:spacing w:val="-3"/>
                <w:sz w:val="21"/>
              </w:rPr>
              <w:t>蛋</w:t>
            </w:r>
            <w:r>
              <w:rPr>
                <w:sz w:val="21"/>
              </w:rPr>
              <w:t>白尿</w:t>
            </w:r>
          </w:p>
        </w:tc>
      </w:tr>
      <w:tr>
        <w:trPr>
          <w:trHeight w:val="2995" w:hRule="atLeast"/>
        </w:trPr>
        <w:tc>
          <w:tcPr>
            <w:tcW w:w="1788" w:type="dxa"/>
          </w:tcPr>
          <w:p>
            <w:pPr>
              <w:pStyle w:val="TableParagraph"/>
              <w:spacing w:line="180" w:lineRule="auto" w:before="131"/>
              <w:ind w:left="200" w:right="107"/>
              <w:rPr>
                <w:rFonts w:ascii="微软雅黑" w:eastAsia="微软雅黑" w:hint="eastAsia"/>
                <w:b/>
                <w:sz w:val="21"/>
              </w:rPr>
            </w:pPr>
            <w:r>
              <w:rPr>
                <w:rFonts w:ascii="微软雅黑" w:eastAsia="微软雅黑" w:hint="eastAsia"/>
                <w:b/>
                <w:sz w:val="21"/>
              </w:rPr>
              <w:t>严重类风湿性关节炎</w:t>
            </w:r>
          </w:p>
        </w:tc>
        <w:tc>
          <w:tcPr>
            <w:tcW w:w="7155" w:type="dxa"/>
          </w:tcPr>
          <w:p>
            <w:pPr>
              <w:pStyle w:val="TableParagraph"/>
              <w:spacing w:line="237" w:lineRule="auto" w:before="106"/>
              <w:ind w:right="1"/>
              <w:rPr>
                <w:sz w:val="21"/>
              </w:rPr>
            </w:pPr>
            <w:r>
              <w:rPr>
                <w:spacing w:val="-8"/>
                <w:sz w:val="21"/>
              </w:rPr>
              <w:t>类风湿性关节炎为广泛分布的慢性进行性多关节病变，表现为关节严重变形， </w:t>
            </w:r>
            <w:r>
              <w:rPr>
                <w:spacing w:val="-7"/>
                <w:sz w:val="21"/>
              </w:rPr>
              <w:t>侵犯至少三个主要关节或关节组</w:t>
            </w:r>
            <w:r>
              <w:rPr>
                <w:spacing w:val="-3"/>
                <w:sz w:val="21"/>
              </w:rPr>
              <w:t>（</w:t>
            </w:r>
            <w:r>
              <w:rPr>
                <w:spacing w:val="-11"/>
                <w:sz w:val="21"/>
              </w:rPr>
              <w:t>如：双手</w:t>
            </w:r>
            <w:r>
              <w:rPr>
                <w:sz w:val="21"/>
              </w:rPr>
              <w:t>（</w:t>
            </w:r>
            <w:r>
              <w:rPr>
                <w:spacing w:val="-2"/>
                <w:sz w:val="21"/>
              </w:rPr>
              <w:t>多手指</w:t>
            </w:r>
            <w:r>
              <w:rPr>
                <w:spacing w:val="-20"/>
                <w:sz w:val="21"/>
              </w:rPr>
              <w:t>）</w:t>
            </w:r>
            <w:r>
              <w:rPr>
                <w:spacing w:val="-9"/>
                <w:sz w:val="21"/>
              </w:rPr>
              <w:t>关节、双足</w:t>
            </w:r>
            <w:r>
              <w:rPr>
                <w:spacing w:val="-3"/>
                <w:sz w:val="21"/>
              </w:rPr>
              <w:t>（</w:t>
            </w:r>
            <w:r>
              <w:rPr>
                <w:spacing w:val="-2"/>
                <w:sz w:val="21"/>
              </w:rPr>
              <w:t>多足趾</w:t>
            </w:r>
            <w:r>
              <w:rPr>
                <w:sz w:val="21"/>
              </w:rPr>
              <w:t>） </w:t>
            </w:r>
            <w:r>
              <w:rPr>
                <w:spacing w:val="-10"/>
                <w:sz w:val="21"/>
              </w:rPr>
              <w:t>关节、双腕关节、双膝关节和双髋关节</w:t>
            </w:r>
            <w:r>
              <w:rPr>
                <w:spacing w:val="-106"/>
                <w:sz w:val="21"/>
              </w:rPr>
              <w:t>）</w:t>
            </w:r>
            <w:r>
              <w:rPr>
                <w:spacing w:val="-7"/>
                <w:sz w:val="21"/>
              </w:rPr>
              <w:t>。类风湿性关节炎必须明确诊断并且</w:t>
            </w:r>
            <w:r>
              <w:rPr>
                <w:spacing w:val="-8"/>
                <w:sz w:val="21"/>
              </w:rPr>
              <w:t>已经达到类风湿性关节炎功能分级 </w:t>
            </w:r>
            <w:r>
              <w:rPr>
                <w:sz w:val="21"/>
              </w:rPr>
              <w:t>III</w:t>
            </w:r>
            <w:r>
              <w:rPr>
                <w:spacing w:val="-8"/>
                <w:sz w:val="21"/>
              </w:rPr>
              <w:t> 级以上的功能障碍</w:t>
            </w:r>
            <w:r>
              <w:rPr>
                <w:sz w:val="21"/>
              </w:rPr>
              <w:t>（</w:t>
            </w:r>
            <w:r>
              <w:rPr>
                <w:spacing w:val="-3"/>
                <w:sz w:val="21"/>
              </w:rPr>
              <w:t>关节活动严重限制，不能完成大部分的日常工作和活动）并且满足下列全部条件：</w:t>
            </w:r>
          </w:p>
          <w:p>
            <w:pPr>
              <w:pStyle w:val="TableParagraph"/>
              <w:spacing w:line="271" w:lineRule="exact"/>
              <w:rPr>
                <w:sz w:val="21"/>
              </w:rPr>
            </w:pPr>
            <w:r>
              <w:rPr>
                <w:sz w:val="21"/>
              </w:rPr>
              <w:t>（1）晨僵；</w:t>
            </w:r>
          </w:p>
          <w:p>
            <w:pPr>
              <w:pStyle w:val="TableParagraph"/>
              <w:spacing w:line="272" w:lineRule="exact"/>
              <w:rPr>
                <w:sz w:val="21"/>
              </w:rPr>
            </w:pPr>
            <w:r>
              <w:rPr>
                <w:sz w:val="21"/>
              </w:rPr>
              <w:t>（2）对称性关节炎；</w:t>
            </w:r>
          </w:p>
          <w:p>
            <w:pPr>
              <w:pStyle w:val="TableParagraph"/>
              <w:spacing w:line="272" w:lineRule="exact"/>
              <w:rPr>
                <w:sz w:val="21"/>
              </w:rPr>
            </w:pPr>
            <w:r>
              <w:rPr>
                <w:sz w:val="21"/>
              </w:rPr>
              <w:t>（3）类风湿性皮下结节；</w:t>
            </w:r>
          </w:p>
          <w:p>
            <w:pPr>
              <w:pStyle w:val="TableParagraph"/>
              <w:spacing w:line="272" w:lineRule="exact"/>
              <w:rPr>
                <w:sz w:val="21"/>
              </w:rPr>
            </w:pPr>
            <w:r>
              <w:rPr>
                <w:sz w:val="21"/>
              </w:rPr>
              <w:t>（4）类风湿因子滴度升高；</w:t>
            </w:r>
          </w:p>
          <w:p>
            <w:pPr>
              <w:pStyle w:val="TableParagraph"/>
              <w:spacing w:line="273" w:lineRule="exact"/>
              <w:rPr>
                <w:sz w:val="21"/>
              </w:rPr>
            </w:pPr>
            <w:r>
              <w:rPr>
                <w:sz w:val="21"/>
              </w:rPr>
              <w:t>（5）X 线显示严重的关节(软骨和骨)破坏和关节畸形。</w:t>
            </w:r>
          </w:p>
        </w:tc>
      </w:tr>
      <w:tr>
        <w:trPr>
          <w:trHeight w:val="1090" w:hRule="atLeast"/>
        </w:trPr>
        <w:tc>
          <w:tcPr>
            <w:tcW w:w="1788" w:type="dxa"/>
          </w:tcPr>
          <w:p>
            <w:pPr>
              <w:pStyle w:val="TableParagraph"/>
              <w:spacing w:line="182" w:lineRule="auto" w:before="127"/>
              <w:ind w:left="200" w:right="107"/>
              <w:rPr>
                <w:rFonts w:ascii="微软雅黑" w:eastAsia="微软雅黑" w:hint="eastAsia"/>
                <w:b/>
                <w:sz w:val="21"/>
              </w:rPr>
            </w:pPr>
            <w:r>
              <w:rPr>
                <w:rFonts w:ascii="微软雅黑" w:eastAsia="微软雅黑" w:hint="eastAsia"/>
                <w:b/>
                <w:sz w:val="21"/>
              </w:rPr>
              <w:t>急性出血坏死性胰腺炎</w:t>
            </w:r>
          </w:p>
        </w:tc>
        <w:tc>
          <w:tcPr>
            <w:tcW w:w="7155" w:type="dxa"/>
          </w:tcPr>
          <w:p>
            <w:pPr>
              <w:pStyle w:val="TableParagraph"/>
              <w:spacing w:line="237" w:lineRule="auto" w:before="105"/>
              <w:ind w:right="107"/>
              <w:jc w:val="both"/>
              <w:rPr>
                <w:sz w:val="21"/>
              </w:rPr>
            </w:pPr>
            <w:r>
              <w:rPr>
                <w:sz w:val="21"/>
              </w:rPr>
              <w:t>指被保险人因为急性出血坏死性胰腺炎已经接受了外科开腹手术治疗，以进行坏死组织清除、坏死病灶切除或胰腺切除。因饮酒所致的急性出血坏死性胰腺炎或经腹腔镜手术进行的治疗不在保障范围内。</w:t>
            </w:r>
          </w:p>
        </w:tc>
      </w:tr>
      <w:tr>
        <w:trPr>
          <w:trHeight w:val="1907" w:hRule="atLeast"/>
        </w:trPr>
        <w:tc>
          <w:tcPr>
            <w:tcW w:w="1788" w:type="dxa"/>
          </w:tcPr>
          <w:p>
            <w:pPr>
              <w:pStyle w:val="TableParagraph"/>
              <w:spacing w:before="40"/>
              <w:ind w:left="200"/>
              <w:rPr>
                <w:rFonts w:ascii="微软雅黑" w:eastAsia="微软雅黑" w:hint="eastAsia"/>
                <w:b/>
                <w:sz w:val="21"/>
              </w:rPr>
            </w:pPr>
            <w:r>
              <w:rPr>
                <w:rFonts w:ascii="微软雅黑" w:eastAsia="微软雅黑" w:hint="eastAsia"/>
                <w:b/>
                <w:sz w:val="21"/>
              </w:rPr>
              <w:t>坏死性筋膜炎</w:t>
            </w:r>
          </w:p>
        </w:tc>
        <w:tc>
          <w:tcPr>
            <w:tcW w:w="7155" w:type="dxa"/>
          </w:tcPr>
          <w:p>
            <w:pPr>
              <w:pStyle w:val="TableParagraph"/>
              <w:spacing w:line="274" w:lineRule="exact" w:before="103"/>
              <w:rPr>
                <w:sz w:val="21"/>
              </w:rPr>
            </w:pPr>
            <w:r>
              <w:rPr>
                <w:sz w:val="21"/>
              </w:rPr>
              <w:t>坏死性筋膜炎的诊断须同时符合下列要求：</w:t>
            </w:r>
          </w:p>
          <w:p>
            <w:pPr>
              <w:pStyle w:val="TableParagraph"/>
              <w:spacing w:line="272" w:lineRule="exact"/>
              <w:rPr>
                <w:sz w:val="21"/>
              </w:rPr>
            </w:pPr>
            <w:r>
              <w:rPr>
                <w:sz w:val="21"/>
              </w:rPr>
              <w:t>（1）符合坏死性筋膜炎的一般临床表现；</w:t>
            </w:r>
          </w:p>
          <w:p>
            <w:pPr>
              <w:pStyle w:val="TableParagraph"/>
              <w:spacing w:line="272" w:lineRule="exact"/>
              <w:rPr>
                <w:sz w:val="21"/>
              </w:rPr>
            </w:pPr>
            <w:r>
              <w:rPr>
                <w:sz w:val="21"/>
              </w:rPr>
              <w:t>（2）细菌培养检出致病菌；</w:t>
            </w:r>
          </w:p>
          <w:p>
            <w:pPr>
              <w:pStyle w:val="TableParagraph"/>
              <w:spacing w:line="237" w:lineRule="auto" w:before="2"/>
              <w:ind w:right="104"/>
              <w:jc w:val="both"/>
              <w:rPr>
                <w:sz w:val="21"/>
              </w:rPr>
            </w:pPr>
            <w:r>
              <w:rPr>
                <w:spacing w:val="-18"/>
                <w:sz w:val="21"/>
              </w:rPr>
              <w:t>（3）</w:t>
            </w:r>
            <w:r>
              <w:rPr>
                <w:spacing w:val="-7"/>
                <w:sz w:val="21"/>
              </w:rPr>
              <w:t>出现广泛性肌肉及软组织坏死，并导致身体受影响部位永久完全失去功能。所谓永久完全失去功能是指受影响部位的全部功能完全丧失超过 </w:t>
            </w:r>
            <w:r>
              <w:rPr>
                <w:sz w:val="21"/>
              </w:rPr>
              <w:t>180</w:t>
            </w:r>
            <w:r>
              <w:rPr>
                <w:spacing w:val="-17"/>
                <w:sz w:val="21"/>
              </w:rPr>
              <w:t> 天者。</w:t>
            </w:r>
          </w:p>
        </w:tc>
      </w:tr>
      <w:tr>
        <w:trPr>
          <w:trHeight w:val="1632" w:hRule="atLeast"/>
        </w:trPr>
        <w:tc>
          <w:tcPr>
            <w:tcW w:w="1788" w:type="dxa"/>
          </w:tcPr>
          <w:p>
            <w:pPr>
              <w:pStyle w:val="TableParagraph"/>
              <w:spacing w:line="180" w:lineRule="auto" w:before="131"/>
              <w:ind w:left="200" w:right="107"/>
              <w:rPr>
                <w:rFonts w:ascii="微软雅黑" w:eastAsia="微软雅黑" w:hint="eastAsia"/>
                <w:b/>
                <w:sz w:val="21"/>
              </w:rPr>
            </w:pPr>
            <w:r>
              <w:rPr>
                <w:rFonts w:ascii="微软雅黑" w:eastAsia="微软雅黑" w:hint="eastAsia"/>
                <w:b/>
                <w:sz w:val="21"/>
              </w:rPr>
              <w:t>慢性复发性胰腺炎</w:t>
            </w:r>
          </w:p>
        </w:tc>
        <w:tc>
          <w:tcPr>
            <w:tcW w:w="7155" w:type="dxa"/>
          </w:tcPr>
          <w:p>
            <w:pPr>
              <w:pStyle w:val="TableParagraph"/>
              <w:spacing w:line="237" w:lineRule="auto" w:before="105"/>
              <w:ind w:left="137" w:right="78"/>
              <w:jc w:val="both"/>
              <w:rPr>
                <w:sz w:val="21"/>
              </w:rPr>
            </w:pPr>
            <w:r>
              <w:rPr>
                <w:spacing w:val="-3"/>
                <w:sz w:val="21"/>
              </w:rPr>
              <w:t>有腹痛等典型症状的胰腺炎反复发作超过三次以上，导致胰腺进行性破坏， </w:t>
            </w:r>
            <w:r>
              <w:rPr>
                <w:spacing w:val="-7"/>
                <w:sz w:val="21"/>
              </w:rPr>
              <w:t>并导致胰腺功能紊乱而导致严重糖尿病以及营养不良、恶液质。</w:t>
            </w:r>
            <w:r>
              <w:rPr>
                <w:sz w:val="21"/>
              </w:rPr>
              <w:t>CT</w:t>
            </w:r>
            <w:r>
              <w:rPr>
                <w:spacing w:val="-8"/>
                <w:sz w:val="21"/>
              </w:rPr>
              <w:t> 检查证实胰腺存在广泛钙化，且必须接受酶替代以及胰岛素替代治疗 </w:t>
            </w:r>
            <w:r>
              <w:rPr>
                <w:sz w:val="21"/>
              </w:rPr>
              <w:t>6</w:t>
            </w:r>
            <w:r>
              <w:rPr>
                <w:spacing w:val="-11"/>
                <w:sz w:val="21"/>
              </w:rPr>
              <w:t> 个月以上。诊</w:t>
            </w:r>
            <w:r>
              <w:rPr>
                <w:spacing w:val="-6"/>
                <w:sz w:val="21"/>
              </w:rPr>
              <w:t>断必须有消化科专科医生确诊。</w:t>
            </w:r>
          </w:p>
          <w:p>
            <w:pPr>
              <w:pStyle w:val="TableParagraph"/>
              <w:spacing w:line="297" w:lineRule="exact"/>
              <w:jc w:val="both"/>
              <w:rPr>
                <w:rFonts w:ascii="微软雅黑" w:eastAsia="微软雅黑" w:hint="eastAsia"/>
                <w:b/>
                <w:sz w:val="21"/>
              </w:rPr>
            </w:pPr>
            <w:r>
              <w:rPr>
                <w:rFonts w:ascii="微软雅黑" w:eastAsia="微软雅黑" w:hint="eastAsia"/>
                <w:b/>
                <w:sz w:val="21"/>
              </w:rPr>
              <w:t>酒精导致的慢性复发性胰腺炎不在保障范围内。</w:t>
            </w:r>
          </w:p>
        </w:tc>
      </w:tr>
      <w:tr>
        <w:trPr>
          <w:trHeight w:val="1907" w:hRule="atLeast"/>
        </w:trPr>
        <w:tc>
          <w:tcPr>
            <w:tcW w:w="1788" w:type="dxa"/>
          </w:tcPr>
          <w:p>
            <w:pPr>
              <w:pStyle w:val="TableParagraph"/>
              <w:spacing w:before="40"/>
              <w:ind w:left="200"/>
              <w:rPr>
                <w:rFonts w:ascii="微软雅黑" w:eastAsia="微软雅黑" w:hint="eastAsia"/>
                <w:b/>
                <w:sz w:val="21"/>
              </w:rPr>
            </w:pPr>
            <w:r>
              <w:rPr>
                <w:rFonts w:ascii="微软雅黑" w:eastAsia="微软雅黑" w:hint="eastAsia"/>
                <w:b/>
                <w:sz w:val="21"/>
              </w:rPr>
              <w:t>终末期肺病</w:t>
            </w:r>
          </w:p>
        </w:tc>
        <w:tc>
          <w:tcPr>
            <w:tcW w:w="7155" w:type="dxa"/>
          </w:tcPr>
          <w:p>
            <w:pPr>
              <w:pStyle w:val="TableParagraph"/>
              <w:spacing w:before="103"/>
              <w:ind w:left="135" w:right="103"/>
              <w:rPr>
                <w:sz w:val="21"/>
              </w:rPr>
            </w:pPr>
            <w:r>
              <w:rPr>
                <w:sz w:val="21"/>
              </w:rPr>
              <w:t>由我们认可的呼吸科专家确诊被保险人患有终末期肺病而出现慢性呼吸功能衰竭，其诊断标准包括以下各项：</w:t>
            </w:r>
          </w:p>
          <w:p>
            <w:pPr>
              <w:pStyle w:val="TableParagraph"/>
              <w:spacing w:line="271" w:lineRule="exact"/>
              <w:ind w:left="137"/>
              <w:rPr>
                <w:sz w:val="21"/>
              </w:rPr>
            </w:pPr>
            <w:r>
              <w:rPr>
                <w:sz w:val="21"/>
              </w:rPr>
              <w:t>（1）肺功能测试其 FEV1 持续低于 0.75 升；</w:t>
            </w:r>
          </w:p>
          <w:p>
            <w:pPr>
              <w:pStyle w:val="TableParagraph"/>
              <w:spacing w:line="272" w:lineRule="exact"/>
              <w:ind w:left="137"/>
              <w:rPr>
                <w:sz w:val="21"/>
              </w:rPr>
            </w:pPr>
            <w:r>
              <w:rPr>
                <w:sz w:val="21"/>
              </w:rPr>
              <w:t>（2）病人缺氧必须广泛而持续地进行输氧治疗；</w:t>
            </w:r>
          </w:p>
          <w:p>
            <w:pPr>
              <w:pStyle w:val="TableParagraph"/>
              <w:spacing w:line="272" w:lineRule="exact"/>
              <w:ind w:left="137"/>
              <w:rPr>
                <w:sz w:val="21"/>
              </w:rPr>
            </w:pPr>
            <w:r>
              <w:rPr>
                <w:sz w:val="21"/>
              </w:rPr>
              <w:t>（3）动脉血气分析氧分压低于 55mmHg。</w:t>
            </w:r>
          </w:p>
          <w:p>
            <w:pPr>
              <w:pStyle w:val="TableParagraph"/>
              <w:spacing w:line="274" w:lineRule="exact"/>
              <w:ind w:left="137"/>
              <w:rPr>
                <w:sz w:val="21"/>
              </w:rPr>
            </w:pPr>
            <w:r>
              <w:rPr>
                <w:sz w:val="21"/>
              </w:rPr>
              <w:t>理赔时必须提供以上各项中相应的医院证明文件或检查报告。</w:t>
            </w:r>
          </w:p>
        </w:tc>
      </w:tr>
      <w:tr>
        <w:trPr>
          <w:trHeight w:val="1194" w:hRule="atLeast"/>
        </w:trPr>
        <w:tc>
          <w:tcPr>
            <w:tcW w:w="1788" w:type="dxa"/>
          </w:tcPr>
          <w:p>
            <w:pPr>
              <w:pStyle w:val="TableParagraph"/>
              <w:spacing w:before="40"/>
              <w:ind w:left="200"/>
              <w:rPr>
                <w:rFonts w:ascii="微软雅黑" w:eastAsia="微软雅黑" w:hint="eastAsia"/>
                <w:b/>
                <w:sz w:val="21"/>
              </w:rPr>
            </w:pPr>
            <w:r>
              <w:rPr>
                <w:rFonts w:ascii="微软雅黑" w:eastAsia="微软雅黑" w:hint="eastAsia"/>
                <w:b/>
                <w:sz w:val="21"/>
              </w:rPr>
              <w:t>严重脊髓灰质炎</w:t>
            </w:r>
          </w:p>
        </w:tc>
        <w:tc>
          <w:tcPr>
            <w:tcW w:w="7155" w:type="dxa"/>
          </w:tcPr>
          <w:p>
            <w:pPr>
              <w:pStyle w:val="TableParagraph"/>
              <w:spacing w:line="237" w:lineRule="auto" w:before="105"/>
              <w:ind w:left="135" w:right="56"/>
              <w:rPr>
                <w:sz w:val="21"/>
              </w:rPr>
            </w:pPr>
            <w:r>
              <w:rPr>
                <w:sz w:val="21"/>
              </w:rPr>
              <w:t>指由于脊髓灰质炎病毒感染所导致的运动功能障碍或呼吸功能减弱的瘫痪性疾病。诊断必须由神经科专科医生确认并提供相关的脊髓灰质炎病毒感染</w:t>
            </w:r>
          </w:p>
          <w:p>
            <w:pPr>
              <w:pStyle w:val="TableParagraph"/>
              <w:spacing w:line="272" w:lineRule="exact" w:before="25"/>
              <w:ind w:left="135" w:right="104"/>
              <w:rPr>
                <w:sz w:val="21"/>
              </w:rPr>
            </w:pPr>
            <w:r>
              <w:rPr>
                <w:sz w:val="21"/>
              </w:rPr>
              <w:t>的证据（例如：脑脊液检查或血清学抗体检查报告</w:t>
            </w:r>
            <w:r>
              <w:rPr>
                <w:spacing w:val="-106"/>
                <w:sz w:val="21"/>
              </w:rPr>
              <w:t>）</w:t>
            </w:r>
            <w:r>
              <w:rPr>
                <w:sz w:val="21"/>
              </w:rPr>
              <w:t>。被保险人若无因此感</w:t>
            </w:r>
            <w:r>
              <w:rPr>
                <w:spacing w:val="-6"/>
                <w:sz w:val="21"/>
              </w:rPr>
              <w:t>染而导致的瘫痪，则不符合理赔条件。未导致肢体瘫痪及其它病因所致的瘫</w:t>
            </w:r>
          </w:p>
        </w:tc>
      </w:tr>
    </w:tbl>
    <w:p>
      <w:pPr>
        <w:spacing w:after="0" w:line="272" w:lineRule="exact"/>
        <w:rPr>
          <w:sz w:val="21"/>
        </w:rPr>
        <w:sectPr>
          <w:pgSz w:w="11910" w:h="16840"/>
          <w:pgMar w:header="877" w:footer="960" w:top="1080" w:bottom="1180" w:left="1060" w:right="1020"/>
        </w:sectPr>
      </w:pPr>
    </w:p>
    <w:p>
      <w:pPr>
        <w:pStyle w:val="BodyText"/>
        <w:spacing w:before="4"/>
        <w:rPr>
          <w:rFonts w:ascii="Times New Roman"/>
          <w:sz w:val="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768"/>
        <w:gridCol w:w="7107"/>
      </w:tblGrid>
      <w:tr>
        <w:trPr>
          <w:trHeight w:val="726" w:hRule="atLeast"/>
        </w:trPr>
        <w:tc>
          <w:tcPr>
            <w:tcW w:w="687" w:type="dxa"/>
            <w:tcBorders>
              <w:top w:val="single" w:sz="6" w:space="0" w:color="000000"/>
            </w:tcBorders>
          </w:tcPr>
          <w:p>
            <w:pPr>
              <w:pStyle w:val="TableParagraph"/>
              <w:ind w:left="0"/>
              <w:rPr>
                <w:rFonts w:ascii="Times New Roman"/>
                <w:sz w:val="20"/>
              </w:rPr>
            </w:pPr>
          </w:p>
        </w:tc>
        <w:tc>
          <w:tcPr>
            <w:tcW w:w="1768" w:type="dxa"/>
            <w:tcBorders>
              <w:top w:val="single" w:sz="6" w:space="0" w:color="000000"/>
            </w:tcBorders>
          </w:tcPr>
          <w:p>
            <w:pPr>
              <w:pStyle w:val="TableParagraph"/>
              <w:ind w:left="0"/>
              <w:rPr>
                <w:rFonts w:ascii="Times New Roman"/>
                <w:sz w:val="20"/>
              </w:rPr>
            </w:pPr>
          </w:p>
        </w:tc>
        <w:tc>
          <w:tcPr>
            <w:tcW w:w="7107" w:type="dxa"/>
            <w:tcBorders>
              <w:top w:val="single" w:sz="6" w:space="0" w:color="000000"/>
            </w:tcBorders>
          </w:tcPr>
          <w:p>
            <w:pPr>
              <w:pStyle w:val="TableParagraph"/>
              <w:spacing w:before="3"/>
              <w:ind w:left="0"/>
              <w:rPr>
                <w:rFonts w:ascii="Times New Roman"/>
                <w:sz w:val="19"/>
              </w:rPr>
            </w:pPr>
          </w:p>
          <w:p>
            <w:pPr>
              <w:pStyle w:val="TableParagraph"/>
              <w:spacing w:before="1"/>
              <w:ind w:left="135"/>
              <w:rPr>
                <w:sz w:val="21"/>
              </w:rPr>
            </w:pPr>
            <w:r>
              <w:rPr>
                <w:sz w:val="21"/>
              </w:rPr>
              <w:t>痪，例如格林</w:t>
            </w:r>
            <w:r>
              <w:rPr>
                <w:rFonts w:ascii="微软雅黑" w:eastAsia="微软雅黑" w:hint="eastAsia"/>
                <w:b/>
                <w:sz w:val="21"/>
              </w:rPr>
              <w:t>-</w:t>
            </w:r>
            <w:r>
              <w:rPr>
                <w:sz w:val="21"/>
              </w:rPr>
              <w:t>巴利综合征</w:t>
            </w:r>
            <w:r>
              <w:rPr>
                <w:rFonts w:ascii="微软雅黑" w:eastAsia="微软雅黑" w:hint="eastAsia"/>
                <w:b/>
                <w:sz w:val="21"/>
              </w:rPr>
              <w:t>(</w:t>
            </w:r>
            <w:r>
              <w:rPr>
                <w:sz w:val="21"/>
              </w:rPr>
              <w:t>急性感染性多神经炎</w:t>
            </w:r>
            <w:r>
              <w:rPr>
                <w:rFonts w:ascii="微软雅黑" w:eastAsia="微软雅黑" w:hint="eastAsia"/>
                <w:b/>
                <w:sz w:val="21"/>
              </w:rPr>
              <w:t>)</w:t>
            </w:r>
            <w:r>
              <w:rPr>
                <w:sz w:val="21"/>
              </w:rPr>
              <w:t>则不在保障范围内。</w:t>
            </w:r>
          </w:p>
        </w:tc>
      </w:tr>
      <w:tr>
        <w:trPr>
          <w:trHeight w:val="2712" w:hRule="atLeast"/>
        </w:trPr>
        <w:tc>
          <w:tcPr>
            <w:tcW w:w="687" w:type="dxa"/>
          </w:tcPr>
          <w:p>
            <w:pPr>
              <w:pStyle w:val="TableParagraph"/>
              <w:ind w:left="0"/>
              <w:rPr>
                <w:rFonts w:ascii="Times New Roman"/>
                <w:sz w:val="20"/>
              </w:rPr>
            </w:pPr>
          </w:p>
        </w:tc>
        <w:tc>
          <w:tcPr>
            <w:tcW w:w="1768" w:type="dxa"/>
          </w:tcPr>
          <w:p>
            <w:pPr>
              <w:pStyle w:val="TableParagraph"/>
              <w:spacing w:line="180" w:lineRule="auto" w:before="131"/>
              <w:ind w:left="179" w:right="107"/>
              <w:rPr>
                <w:rFonts w:ascii="微软雅黑" w:eastAsia="微软雅黑" w:hint="eastAsia"/>
                <w:b/>
                <w:sz w:val="21"/>
              </w:rPr>
            </w:pPr>
            <w:r>
              <w:rPr>
                <w:rFonts w:ascii="微软雅黑" w:eastAsia="微软雅黑" w:hint="eastAsia"/>
                <w:b/>
                <w:sz w:val="21"/>
              </w:rPr>
              <w:t>慢性肾上腺皮质功能衰竭</w:t>
            </w:r>
          </w:p>
        </w:tc>
        <w:tc>
          <w:tcPr>
            <w:tcW w:w="7107" w:type="dxa"/>
          </w:tcPr>
          <w:p>
            <w:pPr>
              <w:pStyle w:val="TableParagraph"/>
              <w:spacing w:line="237" w:lineRule="auto" w:before="106"/>
              <w:ind w:left="135" w:right="57"/>
              <w:jc w:val="both"/>
              <w:rPr>
                <w:sz w:val="21"/>
              </w:rPr>
            </w:pPr>
            <w:r>
              <w:rPr>
                <w:spacing w:val="-6"/>
                <w:sz w:val="21"/>
              </w:rPr>
              <w:t>因为自身免疫功能紊乱，使肾上腺组织逐渐受损，而需要长期接受糖皮质激素及肾上腺皮质激素替代疗法。该病必须经国家机关认可的有合法资质的内</w:t>
            </w:r>
            <w:r>
              <w:rPr>
                <w:spacing w:val="-4"/>
                <w:sz w:val="21"/>
              </w:rPr>
              <w:t>分泌专科医生确诊，并有以下报告作为证据：</w:t>
            </w:r>
          </w:p>
          <w:p>
            <w:pPr>
              <w:pStyle w:val="TableParagraph"/>
              <w:spacing w:line="271" w:lineRule="exact"/>
              <w:ind w:left="135"/>
              <w:jc w:val="both"/>
              <w:rPr>
                <w:sz w:val="21"/>
              </w:rPr>
            </w:pPr>
            <w:r>
              <w:rPr>
                <w:sz w:val="21"/>
              </w:rPr>
              <w:t>（1）促肾上腺皮质激素(ACTH)刺激试验；</w:t>
            </w:r>
          </w:p>
          <w:p>
            <w:pPr>
              <w:pStyle w:val="TableParagraph"/>
              <w:spacing w:line="272" w:lineRule="exact"/>
              <w:ind w:left="135"/>
              <w:jc w:val="both"/>
              <w:rPr>
                <w:sz w:val="21"/>
              </w:rPr>
            </w:pPr>
            <w:r>
              <w:rPr>
                <w:sz w:val="21"/>
              </w:rPr>
              <w:t>（2）胰岛素血糖减少测试；</w:t>
            </w:r>
          </w:p>
          <w:p>
            <w:pPr>
              <w:pStyle w:val="TableParagraph"/>
              <w:spacing w:line="272" w:lineRule="exact"/>
              <w:ind w:left="135"/>
              <w:jc w:val="both"/>
              <w:rPr>
                <w:sz w:val="21"/>
              </w:rPr>
            </w:pPr>
            <w:r>
              <w:rPr>
                <w:sz w:val="21"/>
              </w:rPr>
              <w:t>（3）血浆促肾上腺皮质激素(ACTH)水平测定；</w:t>
            </w:r>
          </w:p>
          <w:p>
            <w:pPr>
              <w:pStyle w:val="TableParagraph"/>
              <w:spacing w:line="272" w:lineRule="exact"/>
              <w:ind w:left="135"/>
              <w:jc w:val="both"/>
              <w:rPr>
                <w:sz w:val="21"/>
              </w:rPr>
            </w:pPr>
            <w:r>
              <w:rPr>
                <w:sz w:val="21"/>
              </w:rPr>
              <w:t>（4）血浆肾素活性(PRA)测定。</w:t>
            </w:r>
          </w:p>
          <w:p>
            <w:pPr>
              <w:pStyle w:val="TableParagraph"/>
              <w:ind w:left="135" w:right="20"/>
              <w:rPr>
                <w:sz w:val="21"/>
              </w:rPr>
            </w:pPr>
            <w:r>
              <w:rPr>
                <w:sz w:val="21"/>
              </w:rPr>
              <w:t>慢性肾上腺皮质功能衰竭只对由自身免疫功能紊乱引起的承担保险责任，其他原因引起的除外。</w:t>
            </w:r>
          </w:p>
        </w:tc>
      </w:tr>
      <w:tr>
        <w:trPr>
          <w:trHeight w:val="1089" w:hRule="atLeast"/>
        </w:trPr>
        <w:tc>
          <w:tcPr>
            <w:tcW w:w="687" w:type="dxa"/>
          </w:tcPr>
          <w:p>
            <w:pPr>
              <w:pStyle w:val="TableParagraph"/>
              <w:spacing w:before="147"/>
              <w:ind w:left="137"/>
              <w:rPr>
                <w:rFonts w:ascii="Times New Roman"/>
                <w:b/>
                <w:sz w:val="21"/>
              </w:rPr>
            </w:pPr>
            <w:r>
              <w:rPr>
                <w:rFonts w:ascii="Times New Roman"/>
                <w:b/>
                <w:sz w:val="21"/>
              </w:rPr>
              <w:t>7.6</w:t>
            </w:r>
          </w:p>
        </w:tc>
        <w:tc>
          <w:tcPr>
            <w:tcW w:w="1768" w:type="dxa"/>
          </w:tcPr>
          <w:p>
            <w:pPr>
              <w:pStyle w:val="TableParagraph"/>
              <w:spacing w:before="52"/>
              <w:ind w:left="179"/>
              <w:rPr>
                <w:rFonts w:ascii="微软雅黑" w:eastAsia="微软雅黑" w:hint="eastAsia"/>
                <w:b/>
                <w:sz w:val="21"/>
              </w:rPr>
            </w:pPr>
            <w:r>
              <w:rPr>
                <w:rFonts w:ascii="微软雅黑" w:eastAsia="微软雅黑" w:hint="eastAsia"/>
                <w:b/>
                <w:sz w:val="21"/>
              </w:rPr>
              <w:t>意外伤害</w:t>
            </w:r>
          </w:p>
        </w:tc>
        <w:tc>
          <w:tcPr>
            <w:tcW w:w="7107" w:type="dxa"/>
          </w:tcPr>
          <w:p>
            <w:pPr>
              <w:pStyle w:val="TableParagraph"/>
              <w:spacing w:line="237" w:lineRule="auto" w:before="117"/>
              <w:ind w:right="59"/>
              <w:jc w:val="both"/>
              <w:rPr>
                <w:sz w:val="21"/>
              </w:rPr>
            </w:pPr>
            <w:r>
              <w:rPr>
                <w:sz w:val="21"/>
              </w:rPr>
              <w:t>指遭受外来的、突发的、非本意的、非疾病的使身体受到伤害的客观事件。并以此客观事件为直接且单独原因导致被保险人身体蒙受伤害或者身故。猝死不属于意外伤害。</w:t>
            </w:r>
          </w:p>
        </w:tc>
      </w:tr>
      <w:tr>
        <w:trPr>
          <w:trHeight w:val="1362" w:hRule="atLeast"/>
        </w:trPr>
        <w:tc>
          <w:tcPr>
            <w:tcW w:w="687" w:type="dxa"/>
          </w:tcPr>
          <w:p>
            <w:pPr>
              <w:pStyle w:val="TableParagraph"/>
              <w:spacing w:before="146"/>
              <w:ind w:left="137"/>
              <w:rPr>
                <w:rFonts w:ascii="Times New Roman"/>
                <w:b/>
                <w:sz w:val="21"/>
              </w:rPr>
            </w:pPr>
            <w:r>
              <w:rPr>
                <w:rFonts w:ascii="Times New Roman"/>
                <w:b/>
                <w:sz w:val="21"/>
              </w:rPr>
              <w:t>7.7</w:t>
            </w:r>
          </w:p>
        </w:tc>
        <w:tc>
          <w:tcPr>
            <w:tcW w:w="1768" w:type="dxa"/>
          </w:tcPr>
          <w:p>
            <w:pPr>
              <w:pStyle w:val="TableParagraph"/>
              <w:spacing w:before="51"/>
              <w:ind w:left="179"/>
              <w:rPr>
                <w:rFonts w:ascii="微软雅黑" w:eastAsia="微软雅黑" w:hint="eastAsia"/>
                <w:b/>
                <w:sz w:val="21"/>
              </w:rPr>
            </w:pPr>
            <w:r>
              <w:rPr>
                <w:rFonts w:ascii="微软雅黑" w:eastAsia="微软雅黑" w:hint="eastAsia"/>
                <w:b/>
                <w:sz w:val="21"/>
              </w:rPr>
              <w:t>医院</w:t>
            </w:r>
          </w:p>
        </w:tc>
        <w:tc>
          <w:tcPr>
            <w:tcW w:w="7107" w:type="dxa"/>
          </w:tcPr>
          <w:p>
            <w:pPr>
              <w:pStyle w:val="TableParagraph"/>
              <w:spacing w:line="237" w:lineRule="auto" w:before="116"/>
              <w:ind w:right="59"/>
              <w:jc w:val="both"/>
              <w:rPr>
                <w:sz w:val="21"/>
              </w:rPr>
            </w:pPr>
            <w:r>
              <w:rPr>
                <w:sz w:val="21"/>
              </w:rPr>
              <w:t>指经国家卫生部门审核的二级或二级以上的综合性医院和专科医院，但不包括作为诊所、康复、联合病房、家庭病床、护理、修养或戒酒、戒毒等医疗机构。该医院必须具有系统的、充分的诊断设备，全套外科手术设备并提供</w:t>
            </w:r>
          </w:p>
          <w:p>
            <w:pPr>
              <w:pStyle w:val="TableParagraph"/>
              <w:spacing w:line="274" w:lineRule="exact"/>
              <w:jc w:val="both"/>
              <w:rPr>
                <w:sz w:val="21"/>
              </w:rPr>
            </w:pPr>
            <w:r>
              <w:rPr>
                <w:sz w:val="21"/>
              </w:rPr>
              <w:t>24小时的医疗与护理服务。</w:t>
            </w:r>
          </w:p>
        </w:tc>
      </w:tr>
      <w:tr>
        <w:trPr>
          <w:trHeight w:val="2179" w:hRule="atLeast"/>
        </w:trPr>
        <w:tc>
          <w:tcPr>
            <w:tcW w:w="687" w:type="dxa"/>
          </w:tcPr>
          <w:p>
            <w:pPr>
              <w:pStyle w:val="TableParagraph"/>
              <w:spacing w:before="147"/>
              <w:ind w:left="137"/>
              <w:rPr>
                <w:rFonts w:ascii="Times New Roman"/>
                <w:b/>
                <w:sz w:val="21"/>
              </w:rPr>
            </w:pPr>
            <w:r>
              <w:rPr>
                <w:rFonts w:ascii="Times New Roman"/>
                <w:b/>
                <w:sz w:val="21"/>
              </w:rPr>
              <w:t>7.8</w:t>
            </w:r>
          </w:p>
        </w:tc>
        <w:tc>
          <w:tcPr>
            <w:tcW w:w="1768" w:type="dxa"/>
          </w:tcPr>
          <w:p>
            <w:pPr>
              <w:pStyle w:val="TableParagraph"/>
              <w:spacing w:before="52"/>
              <w:ind w:left="179"/>
              <w:rPr>
                <w:rFonts w:ascii="微软雅黑" w:eastAsia="微软雅黑" w:hint="eastAsia"/>
                <w:b/>
                <w:sz w:val="21"/>
              </w:rPr>
            </w:pPr>
            <w:r>
              <w:rPr>
                <w:rFonts w:ascii="微软雅黑" w:eastAsia="微软雅黑" w:hint="eastAsia"/>
                <w:b/>
                <w:sz w:val="21"/>
              </w:rPr>
              <w:t>专科医生</w:t>
            </w:r>
          </w:p>
        </w:tc>
        <w:tc>
          <w:tcPr>
            <w:tcW w:w="7107" w:type="dxa"/>
          </w:tcPr>
          <w:p>
            <w:pPr>
              <w:pStyle w:val="TableParagraph"/>
              <w:spacing w:line="273" w:lineRule="exact" w:before="114"/>
              <w:rPr>
                <w:sz w:val="21"/>
              </w:rPr>
            </w:pPr>
            <w:r>
              <w:rPr>
                <w:sz w:val="21"/>
              </w:rPr>
              <w:t>专科医生应当同时满足以下四项资格条件：</w:t>
            </w:r>
          </w:p>
          <w:p>
            <w:pPr>
              <w:pStyle w:val="TableParagraph"/>
              <w:spacing w:line="272" w:lineRule="exact"/>
              <w:rPr>
                <w:sz w:val="21"/>
              </w:rPr>
            </w:pPr>
            <w:r>
              <w:rPr>
                <w:sz w:val="21"/>
              </w:rPr>
              <w:t>（1）具有有效的中华人民共和国《医师资格证书》；</w:t>
            </w:r>
          </w:p>
          <w:p>
            <w:pPr>
              <w:pStyle w:val="TableParagraph"/>
              <w:spacing w:line="237" w:lineRule="auto" w:before="3"/>
              <w:ind w:right="58"/>
              <w:rPr>
                <w:sz w:val="21"/>
              </w:rPr>
            </w:pPr>
            <w:r>
              <w:rPr>
                <w:sz w:val="21"/>
              </w:rPr>
              <w:t>（2）</w:t>
            </w:r>
            <w:r>
              <w:rPr>
                <w:spacing w:val="-9"/>
                <w:sz w:val="21"/>
              </w:rPr>
              <w:t>具有有效的中华人民共和国《医师执业证书》，并按期到相关部门登记注册；</w:t>
            </w:r>
          </w:p>
          <w:p>
            <w:pPr>
              <w:pStyle w:val="TableParagraph"/>
              <w:spacing w:line="237" w:lineRule="auto" w:before="2"/>
              <w:ind w:right="58"/>
              <w:rPr>
                <w:sz w:val="21"/>
              </w:rPr>
            </w:pPr>
            <w:r>
              <w:rPr>
                <w:spacing w:val="-18"/>
                <w:sz w:val="21"/>
              </w:rPr>
              <w:t>（3）</w:t>
            </w:r>
            <w:r>
              <w:rPr>
                <w:spacing w:val="-5"/>
                <w:sz w:val="21"/>
              </w:rPr>
              <w:t>具有有效的中华人民共和国主治医师或主治医师以上职称的《医师职称</w:t>
            </w:r>
            <w:r>
              <w:rPr>
                <w:spacing w:val="-30"/>
                <w:sz w:val="21"/>
              </w:rPr>
              <w:t>证书》；</w:t>
            </w:r>
          </w:p>
          <w:p>
            <w:pPr>
              <w:pStyle w:val="TableParagraph"/>
              <w:spacing w:line="274" w:lineRule="exact"/>
              <w:rPr>
                <w:sz w:val="21"/>
              </w:rPr>
            </w:pPr>
            <w:r>
              <w:rPr>
                <w:sz w:val="21"/>
              </w:rPr>
              <w:t>（4）在二级或二级以上医院的相应科室从事临床工作三年以上。</w:t>
            </w:r>
          </w:p>
        </w:tc>
      </w:tr>
      <w:tr>
        <w:trPr>
          <w:trHeight w:val="816" w:hRule="atLeast"/>
        </w:trPr>
        <w:tc>
          <w:tcPr>
            <w:tcW w:w="687" w:type="dxa"/>
          </w:tcPr>
          <w:p>
            <w:pPr>
              <w:pStyle w:val="TableParagraph"/>
              <w:spacing w:before="147"/>
              <w:ind w:left="137"/>
              <w:rPr>
                <w:rFonts w:ascii="Times New Roman"/>
                <w:b/>
                <w:sz w:val="21"/>
              </w:rPr>
            </w:pPr>
            <w:r>
              <w:rPr>
                <w:rFonts w:ascii="Times New Roman"/>
                <w:b/>
                <w:sz w:val="21"/>
              </w:rPr>
              <w:t>7.9</w:t>
            </w:r>
          </w:p>
        </w:tc>
        <w:tc>
          <w:tcPr>
            <w:tcW w:w="1768" w:type="dxa"/>
          </w:tcPr>
          <w:p>
            <w:pPr>
              <w:pStyle w:val="TableParagraph"/>
              <w:spacing w:line="180" w:lineRule="auto" w:before="143"/>
              <w:ind w:left="186" w:right="107" w:hanging="8"/>
              <w:rPr>
                <w:rFonts w:ascii="微软雅黑" w:eastAsia="微软雅黑" w:hint="eastAsia"/>
                <w:b/>
                <w:sz w:val="21"/>
              </w:rPr>
            </w:pPr>
            <w:r>
              <w:rPr>
                <w:rFonts w:ascii="微软雅黑" w:eastAsia="微软雅黑" w:hint="eastAsia"/>
                <w:b/>
                <w:sz w:val="21"/>
              </w:rPr>
              <w:t>肢体机能完全丧失</w:t>
            </w:r>
          </w:p>
        </w:tc>
        <w:tc>
          <w:tcPr>
            <w:tcW w:w="7107" w:type="dxa"/>
          </w:tcPr>
          <w:p>
            <w:pPr>
              <w:pStyle w:val="TableParagraph"/>
              <w:spacing w:line="237" w:lineRule="auto" w:before="117"/>
              <w:ind w:right="59"/>
              <w:rPr>
                <w:sz w:val="21"/>
              </w:rPr>
            </w:pPr>
            <w:r>
              <w:rPr>
                <w:sz w:val="21"/>
              </w:rPr>
              <w:t>指肢体的三大关节中的两大关节僵硬，或不能随意识活动。肢体是指包括肩关节的整个上肢或包括髋关节的整个下肢。</w:t>
            </w:r>
          </w:p>
        </w:tc>
      </w:tr>
      <w:tr>
        <w:trPr>
          <w:trHeight w:val="1634" w:hRule="atLeast"/>
        </w:trPr>
        <w:tc>
          <w:tcPr>
            <w:tcW w:w="687" w:type="dxa"/>
          </w:tcPr>
          <w:p>
            <w:pPr>
              <w:pStyle w:val="TableParagraph"/>
              <w:spacing w:before="147"/>
              <w:ind w:left="137"/>
              <w:rPr>
                <w:rFonts w:ascii="Times New Roman"/>
                <w:b/>
                <w:sz w:val="21"/>
              </w:rPr>
            </w:pPr>
            <w:r>
              <w:rPr>
                <w:rFonts w:ascii="Times New Roman"/>
                <w:b/>
                <w:sz w:val="21"/>
              </w:rPr>
              <w:t>7.10</w:t>
            </w:r>
          </w:p>
        </w:tc>
        <w:tc>
          <w:tcPr>
            <w:tcW w:w="1768" w:type="dxa"/>
          </w:tcPr>
          <w:p>
            <w:pPr>
              <w:pStyle w:val="TableParagraph"/>
              <w:spacing w:line="180" w:lineRule="auto" w:before="143"/>
              <w:ind w:left="179" w:right="107"/>
              <w:jc w:val="both"/>
              <w:rPr>
                <w:rFonts w:ascii="微软雅黑" w:eastAsia="微软雅黑" w:hint="eastAsia"/>
                <w:b/>
                <w:sz w:val="21"/>
              </w:rPr>
            </w:pPr>
            <w:r>
              <w:rPr>
                <w:rFonts w:ascii="微软雅黑" w:eastAsia="微软雅黑" w:hint="eastAsia"/>
                <w:b/>
                <w:sz w:val="21"/>
              </w:rPr>
              <w:t>语言能力或咀嚼吞咽能力完全丧失</w:t>
            </w:r>
          </w:p>
        </w:tc>
        <w:tc>
          <w:tcPr>
            <w:tcW w:w="7107" w:type="dxa"/>
          </w:tcPr>
          <w:p>
            <w:pPr>
              <w:pStyle w:val="TableParagraph"/>
              <w:spacing w:line="237" w:lineRule="auto" w:before="117"/>
              <w:ind w:right="59"/>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37" w:lineRule="auto" w:before="1"/>
              <w:ind w:right="59"/>
              <w:jc w:val="both"/>
              <w:rPr>
                <w:sz w:val="21"/>
              </w:rPr>
            </w:pPr>
            <w:r>
              <w:rPr>
                <w:sz w:val="21"/>
              </w:rPr>
              <w:t>咀嚼吞咽能力完全丧失，指因牙齿以外的原因导致器质障碍或机能障碍，以致不能作咀嚼吞咽运动，除流质食物外不能摄取或吞咽的状态。</w:t>
            </w:r>
          </w:p>
        </w:tc>
      </w:tr>
      <w:tr>
        <w:trPr>
          <w:trHeight w:val="2179" w:hRule="atLeast"/>
        </w:trPr>
        <w:tc>
          <w:tcPr>
            <w:tcW w:w="687" w:type="dxa"/>
          </w:tcPr>
          <w:p>
            <w:pPr>
              <w:pStyle w:val="TableParagraph"/>
              <w:spacing w:before="147"/>
              <w:ind w:left="137"/>
              <w:rPr>
                <w:rFonts w:ascii="Times New Roman"/>
                <w:b/>
                <w:sz w:val="21"/>
              </w:rPr>
            </w:pPr>
            <w:r>
              <w:rPr>
                <w:rFonts w:ascii="Times New Roman"/>
                <w:b/>
                <w:sz w:val="21"/>
              </w:rPr>
              <w:t>7.11</w:t>
            </w:r>
          </w:p>
        </w:tc>
        <w:tc>
          <w:tcPr>
            <w:tcW w:w="1768" w:type="dxa"/>
          </w:tcPr>
          <w:p>
            <w:pPr>
              <w:pStyle w:val="TableParagraph"/>
              <w:spacing w:line="180" w:lineRule="auto" w:before="143"/>
              <w:ind w:left="186" w:right="107" w:hanging="8"/>
              <w:rPr>
                <w:rFonts w:ascii="微软雅黑" w:eastAsia="微软雅黑" w:hint="eastAsia"/>
                <w:b/>
                <w:sz w:val="21"/>
              </w:rPr>
            </w:pPr>
            <w:r>
              <w:rPr>
                <w:rFonts w:ascii="微软雅黑" w:eastAsia="微软雅黑" w:hint="eastAsia"/>
                <w:b/>
                <w:sz w:val="21"/>
              </w:rPr>
              <w:t>六项基本日常生活活动</w:t>
            </w:r>
          </w:p>
        </w:tc>
        <w:tc>
          <w:tcPr>
            <w:tcW w:w="7107" w:type="dxa"/>
          </w:tcPr>
          <w:p>
            <w:pPr>
              <w:pStyle w:val="TableParagraph"/>
              <w:spacing w:line="273" w:lineRule="exact" w:before="115"/>
              <w:rPr>
                <w:sz w:val="21"/>
              </w:rPr>
            </w:pPr>
            <w:r>
              <w:rPr>
                <w:sz w:val="21"/>
              </w:rPr>
              <w:t>六项基本日常生活活动是指：</w:t>
            </w:r>
          </w:p>
          <w:p>
            <w:pPr>
              <w:pStyle w:val="TableParagraph"/>
              <w:spacing w:line="272" w:lineRule="exact"/>
              <w:rPr>
                <w:sz w:val="21"/>
              </w:rPr>
            </w:pPr>
            <w:r>
              <w:rPr>
                <w:sz w:val="21"/>
              </w:rPr>
              <w:t>（1）穿衣：自己能够穿衣及脱衣；</w:t>
            </w:r>
          </w:p>
          <w:p>
            <w:pPr>
              <w:pStyle w:val="TableParagraph"/>
              <w:spacing w:line="272" w:lineRule="exact"/>
              <w:rPr>
                <w:sz w:val="21"/>
              </w:rPr>
            </w:pPr>
            <w:r>
              <w:rPr>
                <w:sz w:val="21"/>
              </w:rPr>
              <w:t>（2）移动：自己从一个房间到另一个房间；</w:t>
            </w:r>
          </w:p>
          <w:p>
            <w:pPr>
              <w:pStyle w:val="TableParagraph"/>
              <w:spacing w:line="272" w:lineRule="exact"/>
              <w:rPr>
                <w:sz w:val="21"/>
              </w:rPr>
            </w:pPr>
            <w:r>
              <w:rPr>
                <w:sz w:val="21"/>
              </w:rPr>
              <w:t>（3）行动：自己上下床或上下轮椅；</w:t>
            </w:r>
          </w:p>
          <w:p>
            <w:pPr>
              <w:pStyle w:val="TableParagraph"/>
              <w:spacing w:line="272" w:lineRule="exact"/>
              <w:rPr>
                <w:sz w:val="21"/>
              </w:rPr>
            </w:pPr>
            <w:r>
              <w:rPr>
                <w:sz w:val="21"/>
              </w:rPr>
              <w:t>（4）如厕：自己控制进行大小便；</w:t>
            </w:r>
          </w:p>
          <w:p>
            <w:pPr>
              <w:pStyle w:val="TableParagraph"/>
              <w:spacing w:line="272" w:lineRule="exact"/>
              <w:rPr>
                <w:sz w:val="21"/>
              </w:rPr>
            </w:pPr>
            <w:r>
              <w:rPr>
                <w:sz w:val="21"/>
              </w:rPr>
              <w:t>（5）进食：自己从已准备好的碗或碟中取食物放入口中；</w:t>
            </w:r>
          </w:p>
          <w:p>
            <w:pPr>
              <w:pStyle w:val="TableParagraph"/>
              <w:spacing w:line="274" w:lineRule="exact"/>
              <w:rPr>
                <w:sz w:val="21"/>
              </w:rPr>
            </w:pPr>
            <w:r>
              <w:rPr>
                <w:sz w:val="21"/>
              </w:rPr>
              <w:t>（6）洗澡：自己进行淋浴或盆浴。</w:t>
            </w:r>
          </w:p>
        </w:tc>
      </w:tr>
      <w:tr>
        <w:trPr>
          <w:trHeight w:val="660" w:hRule="atLeast"/>
        </w:trPr>
        <w:tc>
          <w:tcPr>
            <w:tcW w:w="687" w:type="dxa"/>
          </w:tcPr>
          <w:p>
            <w:pPr>
              <w:pStyle w:val="TableParagraph"/>
              <w:spacing w:before="147"/>
              <w:ind w:left="137"/>
              <w:rPr>
                <w:rFonts w:ascii="Times New Roman"/>
                <w:b/>
                <w:sz w:val="21"/>
              </w:rPr>
            </w:pPr>
            <w:r>
              <w:rPr>
                <w:rFonts w:ascii="Times New Roman"/>
                <w:b/>
                <w:sz w:val="21"/>
              </w:rPr>
              <w:t>7.12</w:t>
            </w:r>
          </w:p>
        </w:tc>
        <w:tc>
          <w:tcPr>
            <w:tcW w:w="1768" w:type="dxa"/>
          </w:tcPr>
          <w:p>
            <w:pPr>
              <w:pStyle w:val="TableParagraph"/>
              <w:spacing w:before="52"/>
              <w:ind w:left="179"/>
              <w:rPr>
                <w:rFonts w:ascii="微软雅黑" w:eastAsia="微软雅黑" w:hint="eastAsia"/>
                <w:b/>
                <w:sz w:val="21"/>
              </w:rPr>
            </w:pPr>
            <w:r>
              <w:rPr>
                <w:rFonts w:ascii="微软雅黑" w:eastAsia="微软雅黑" w:hint="eastAsia"/>
                <w:b/>
                <w:sz w:val="21"/>
              </w:rPr>
              <w:t>永久不可逆</w:t>
            </w:r>
          </w:p>
        </w:tc>
        <w:tc>
          <w:tcPr>
            <w:tcW w:w="7107" w:type="dxa"/>
          </w:tcPr>
          <w:p>
            <w:pPr>
              <w:pStyle w:val="TableParagraph"/>
              <w:spacing w:line="272" w:lineRule="exact" w:before="142"/>
              <w:ind w:right="59"/>
              <w:rPr>
                <w:sz w:val="21"/>
              </w:rPr>
            </w:pPr>
            <w:r>
              <w:rPr>
                <w:spacing w:val="-6"/>
                <w:sz w:val="21"/>
              </w:rPr>
              <w:t>指自疾病确诊或意外伤害发生之日起，经过积极治疗</w:t>
            </w:r>
            <w:r>
              <w:rPr>
                <w:rFonts w:ascii="Times New Roman" w:eastAsia="Times New Roman"/>
                <w:sz w:val="21"/>
              </w:rPr>
              <w:t>180</w:t>
            </w:r>
            <w:r>
              <w:rPr>
                <w:spacing w:val="-9"/>
                <w:sz w:val="21"/>
              </w:rPr>
              <w:t>天后，仍无法通过现</w:t>
            </w:r>
            <w:r>
              <w:rPr>
                <w:spacing w:val="-5"/>
                <w:sz w:val="21"/>
              </w:rPr>
              <w:t>有医疗手段恢复。</w:t>
            </w:r>
          </w:p>
        </w:tc>
      </w:tr>
    </w:tbl>
    <w:sectPr>
      <w:headerReference w:type="default" r:id="rId14"/>
      <w:pgSz w:w="11910" w:h="16840"/>
      <w:pgMar w:header="857" w:footer="960" w:top="1040" w:bottom="1180" w:left="106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69995pt;margin-top:770.859985pt;width:6.5pt;height:12pt;mso-position-horizontal-relative:page;mso-position-vertical-relative:page;z-index:-25624" type="#_x0000_t202" filled="false" stroked="false">
          <v:textbox inset="0,0,0,0">
            <w:txbxContent>
              <w:p>
                <w:pPr>
                  <w:spacing w:before="12"/>
                  <w:ind w:left="20" w:right="0" w:firstLine="0"/>
                  <w:jc w:val="left"/>
                  <w:rPr>
                    <w:rFonts w:ascii="Times New Roman"/>
                    <w:sz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 style="position:absolute;margin-left:291.209991pt;margin-top:781.299988pt;width:13.15pt;height:12pt;mso-position-horizontal-relative:page;mso-position-vertical-relative:page;z-index:-256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672" from="58.68pt,54.599983pt" to="536.74pt,54.599983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42.649994pt;margin-top:42.865608pt;width:110pt;height:11pt;mso-position-horizontal-relative:page;mso-position-vertical-relative:page;z-index:-25648" type="#_x0000_t202" filled="false" stroked="false">
          <v:textbox inset="0,0,0,0">
            <w:txbxContent>
              <w:p>
                <w:pPr>
                  <w:spacing w:line="200" w:lineRule="exact" w:before="0"/>
                  <w:ind w:left="20" w:right="0" w:firstLine="0"/>
                  <w:jc w:val="left"/>
                  <w:rPr>
                    <w:sz w:val="18"/>
                  </w:rPr>
                </w:pPr>
                <w:r>
                  <w:rPr>
                    <w:sz w:val="18"/>
                  </w:rPr>
                  <w:t>和谐健康保险股份有限公司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2.649994pt;margin-top:42.865608pt;width:110pt;height:11pt;mso-position-horizontal-relative:page;mso-position-vertical-relative:page;z-index:-25576" type="#_x0000_t202" filled="false" stroked="false">
          <v:textbox inset="0,0,0,0">
            <w:txbxContent>
              <w:p>
                <w:pPr>
                  <w:spacing w:line="200" w:lineRule="exact" w:before="0"/>
                  <w:ind w:left="20" w:right="0" w:firstLine="0"/>
                  <w:jc w:val="left"/>
                  <w:rPr>
                    <w:sz w:val="18"/>
                  </w:rPr>
                </w:pPr>
                <w:r>
                  <w:rPr>
                    <w:sz w:val="18"/>
                  </w:rPr>
                  <w:t>和谐健康保险股份有限公司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552" from="58.68pt,54.599983pt" to="536.74pt,54.599983pt" stroked="true" strokeweight=".72pt" strokecolor="#000000">
          <v:stroke dashstyle="solid"/>
          <w10:wrap type="none"/>
        </v:line>
      </w:pict>
    </w:r>
    <w:r>
      <w:rPr/>
      <w:pict>
        <v:shape style="position:absolute;margin-left:242.649994pt;margin-top:42.865608pt;width:110pt;height:11pt;mso-position-horizontal-relative:page;mso-position-vertical-relative:page;z-index:-25528" type="#_x0000_t202" filled="false" stroked="false">
          <v:textbox inset="0,0,0,0">
            <w:txbxContent>
              <w:p>
                <w:pPr>
                  <w:spacing w:line="200" w:lineRule="exact" w:before="0"/>
                  <w:ind w:left="20" w:right="0" w:firstLine="0"/>
                  <w:jc w:val="left"/>
                  <w:rPr>
                    <w:sz w:val="18"/>
                  </w:rPr>
                </w:pPr>
                <w:r>
                  <w:rPr>
                    <w:sz w:val="18"/>
                  </w:rPr>
                  <w:t>和谐健康保险股份有限公司</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2.649994pt;margin-top:42.865608pt;width:110pt;height:11pt;mso-position-horizontal-relative:page;mso-position-vertical-relative:page;z-index:-25504" type="#_x0000_t202" filled="false" stroked="false">
          <v:textbox inset="0,0,0,0">
            <w:txbxContent>
              <w:p>
                <w:pPr>
                  <w:spacing w:line="200" w:lineRule="exact" w:before="0"/>
                  <w:ind w:left="20" w:right="0" w:firstLine="0"/>
                  <w:jc w:val="left"/>
                  <w:rPr>
                    <w:sz w:val="18"/>
                  </w:rPr>
                </w:pPr>
                <w:r>
                  <w:rPr>
                    <w:sz w:val="18"/>
                  </w:rPr>
                  <w:t>和谐健康保险股份有限公司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upperRoman"/>
      <w:lvlText w:val="%1"/>
      <w:lvlJc w:val="left"/>
      <w:pPr>
        <w:ind w:left="407" w:hanging="159"/>
        <w:jc w:val="left"/>
      </w:pPr>
      <w:rPr>
        <w:rFonts w:hint="default" w:ascii="宋体" w:hAnsi="宋体" w:eastAsia="宋体" w:cs="宋体"/>
        <w:w w:val="100"/>
        <w:sz w:val="21"/>
        <w:szCs w:val="21"/>
      </w:rPr>
    </w:lvl>
    <w:lvl w:ilvl="1">
      <w:start w:val="0"/>
      <w:numFmt w:val="bullet"/>
      <w:lvlText w:val="•"/>
      <w:lvlJc w:val="left"/>
      <w:pPr>
        <w:ind w:left="1075" w:hanging="159"/>
      </w:pPr>
      <w:rPr>
        <w:rFonts w:hint="default"/>
      </w:rPr>
    </w:lvl>
    <w:lvl w:ilvl="2">
      <w:start w:val="0"/>
      <w:numFmt w:val="bullet"/>
      <w:lvlText w:val="•"/>
      <w:lvlJc w:val="left"/>
      <w:pPr>
        <w:ind w:left="1751" w:hanging="159"/>
      </w:pPr>
      <w:rPr>
        <w:rFonts w:hint="default"/>
      </w:rPr>
    </w:lvl>
    <w:lvl w:ilvl="3">
      <w:start w:val="0"/>
      <w:numFmt w:val="bullet"/>
      <w:lvlText w:val="•"/>
      <w:lvlJc w:val="left"/>
      <w:pPr>
        <w:ind w:left="2426" w:hanging="159"/>
      </w:pPr>
      <w:rPr>
        <w:rFonts w:hint="default"/>
      </w:rPr>
    </w:lvl>
    <w:lvl w:ilvl="4">
      <w:start w:val="0"/>
      <w:numFmt w:val="bullet"/>
      <w:lvlText w:val="•"/>
      <w:lvlJc w:val="left"/>
      <w:pPr>
        <w:ind w:left="3102" w:hanging="159"/>
      </w:pPr>
      <w:rPr>
        <w:rFonts w:hint="default"/>
      </w:rPr>
    </w:lvl>
    <w:lvl w:ilvl="5">
      <w:start w:val="0"/>
      <w:numFmt w:val="bullet"/>
      <w:lvlText w:val="•"/>
      <w:lvlJc w:val="left"/>
      <w:pPr>
        <w:ind w:left="3777" w:hanging="159"/>
      </w:pPr>
      <w:rPr>
        <w:rFonts w:hint="default"/>
      </w:rPr>
    </w:lvl>
    <w:lvl w:ilvl="6">
      <w:start w:val="0"/>
      <w:numFmt w:val="bullet"/>
      <w:lvlText w:val="•"/>
      <w:lvlJc w:val="left"/>
      <w:pPr>
        <w:ind w:left="4453" w:hanging="159"/>
      </w:pPr>
      <w:rPr>
        <w:rFonts w:hint="default"/>
      </w:rPr>
    </w:lvl>
    <w:lvl w:ilvl="7">
      <w:start w:val="0"/>
      <w:numFmt w:val="bullet"/>
      <w:lvlText w:val="•"/>
      <w:lvlJc w:val="left"/>
      <w:pPr>
        <w:ind w:left="5128" w:hanging="159"/>
      </w:pPr>
      <w:rPr>
        <w:rFonts w:hint="default"/>
      </w:rPr>
    </w:lvl>
    <w:lvl w:ilvl="8">
      <w:start w:val="0"/>
      <w:numFmt w:val="bullet"/>
      <w:lvlText w:val="•"/>
      <w:lvlJc w:val="left"/>
      <w:pPr>
        <w:ind w:left="5804" w:hanging="159"/>
      </w:pPr>
      <w:rPr>
        <w:rFonts w:hint="default"/>
      </w:rPr>
    </w:lvl>
  </w:abstractNum>
  <w:abstractNum w:abstractNumId="7">
    <w:multiLevelType w:val="hybridMultilevel"/>
    <w:lvl w:ilvl="0">
      <w:start w:val="1"/>
      <w:numFmt w:val="decimal"/>
      <w:lvlText w:val="(%1)"/>
      <w:lvlJc w:val="left"/>
      <w:pPr>
        <w:ind w:left="529" w:hanging="421"/>
        <w:jc w:val="left"/>
      </w:pPr>
      <w:rPr>
        <w:rFonts w:hint="default" w:ascii="宋体" w:hAnsi="宋体" w:eastAsia="宋体" w:cs="宋体"/>
        <w:w w:val="100"/>
        <w:sz w:val="21"/>
        <w:szCs w:val="21"/>
      </w:rPr>
    </w:lvl>
    <w:lvl w:ilvl="1">
      <w:start w:val="0"/>
      <w:numFmt w:val="bullet"/>
      <w:lvlText w:val="•"/>
      <w:lvlJc w:val="left"/>
      <w:pPr>
        <w:ind w:left="1183" w:hanging="421"/>
      </w:pPr>
      <w:rPr>
        <w:rFonts w:hint="default"/>
      </w:rPr>
    </w:lvl>
    <w:lvl w:ilvl="2">
      <w:start w:val="0"/>
      <w:numFmt w:val="bullet"/>
      <w:lvlText w:val="•"/>
      <w:lvlJc w:val="left"/>
      <w:pPr>
        <w:ind w:left="1846" w:hanging="421"/>
      </w:pPr>
      <w:rPr>
        <w:rFonts w:hint="default"/>
      </w:rPr>
    </w:lvl>
    <w:lvl w:ilvl="3">
      <w:start w:val="0"/>
      <w:numFmt w:val="bullet"/>
      <w:lvlText w:val="•"/>
      <w:lvlJc w:val="left"/>
      <w:pPr>
        <w:ind w:left="2509" w:hanging="421"/>
      </w:pPr>
      <w:rPr>
        <w:rFonts w:hint="default"/>
      </w:rPr>
    </w:lvl>
    <w:lvl w:ilvl="4">
      <w:start w:val="0"/>
      <w:numFmt w:val="bullet"/>
      <w:lvlText w:val="•"/>
      <w:lvlJc w:val="left"/>
      <w:pPr>
        <w:ind w:left="3172" w:hanging="421"/>
      </w:pPr>
      <w:rPr>
        <w:rFonts w:hint="default"/>
      </w:rPr>
    </w:lvl>
    <w:lvl w:ilvl="5">
      <w:start w:val="0"/>
      <w:numFmt w:val="bullet"/>
      <w:lvlText w:val="•"/>
      <w:lvlJc w:val="left"/>
      <w:pPr>
        <w:ind w:left="3835" w:hanging="421"/>
      </w:pPr>
      <w:rPr>
        <w:rFonts w:hint="default"/>
      </w:rPr>
    </w:lvl>
    <w:lvl w:ilvl="6">
      <w:start w:val="0"/>
      <w:numFmt w:val="bullet"/>
      <w:lvlText w:val="•"/>
      <w:lvlJc w:val="left"/>
      <w:pPr>
        <w:ind w:left="4498" w:hanging="421"/>
      </w:pPr>
      <w:rPr>
        <w:rFonts w:hint="default"/>
      </w:rPr>
    </w:lvl>
    <w:lvl w:ilvl="7">
      <w:start w:val="0"/>
      <w:numFmt w:val="bullet"/>
      <w:lvlText w:val="•"/>
      <w:lvlJc w:val="left"/>
      <w:pPr>
        <w:ind w:left="5161" w:hanging="421"/>
      </w:pPr>
      <w:rPr>
        <w:rFonts w:hint="default"/>
      </w:rPr>
    </w:lvl>
    <w:lvl w:ilvl="8">
      <w:start w:val="0"/>
      <w:numFmt w:val="bullet"/>
      <w:lvlText w:val="•"/>
      <w:lvlJc w:val="left"/>
      <w:pPr>
        <w:ind w:left="5824" w:hanging="421"/>
      </w:pPr>
      <w:rPr>
        <w:rFonts w:hint="default"/>
      </w:rPr>
    </w:lvl>
  </w:abstractNum>
  <w:abstractNum w:abstractNumId="6">
    <w:multiLevelType w:val="hybridMultilevel"/>
    <w:lvl w:ilvl="0">
      <w:start w:val="1"/>
      <w:numFmt w:val="decimal"/>
      <w:lvlText w:val="(%1)"/>
      <w:lvlJc w:val="left"/>
      <w:pPr>
        <w:ind w:left="531" w:hanging="42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201" w:hanging="421"/>
      </w:pPr>
      <w:rPr>
        <w:rFonts w:hint="default"/>
      </w:rPr>
    </w:lvl>
    <w:lvl w:ilvl="2">
      <w:start w:val="0"/>
      <w:numFmt w:val="bullet"/>
      <w:lvlText w:val="•"/>
      <w:lvlJc w:val="left"/>
      <w:pPr>
        <w:ind w:left="1862" w:hanging="421"/>
      </w:pPr>
      <w:rPr>
        <w:rFonts w:hint="default"/>
      </w:rPr>
    </w:lvl>
    <w:lvl w:ilvl="3">
      <w:start w:val="0"/>
      <w:numFmt w:val="bullet"/>
      <w:lvlText w:val="•"/>
      <w:lvlJc w:val="left"/>
      <w:pPr>
        <w:ind w:left="2523" w:hanging="421"/>
      </w:pPr>
      <w:rPr>
        <w:rFonts w:hint="default"/>
      </w:rPr>
    </w:lvl>
    <w:lvl w:ilvl="4">
      <w:start w:val="0"/>
      <w:numFmt w:val="bullet"/>
      <w:lvlText w:val="•"/>
      <w:lvlJc w:val="left"/>
      <w:pPr>
        <w:ind w:left="3185" w:hanging="421"/>
      </w:pPr>
      <w:rPr>
        <w:rFonts w:hint="default"/>
      </w:rPr>
    </w:lvl>
    <w:lvl w:ilvl="5">
      <w:start w:val="0"/>
      <w:numFmt w:val="bullet"/>
      <w:lvlText w:val="•"/>
      <w:lvlJc w:val="left"/>
      <w:pPr>
        <w:ind w:left="3846" w:hanging="421"/>
      </w:pPr>
      <w:rPr>
        <w:rFonts w:hint="default"/>
      </w:rPr>
    </w:lvl>
    <w:lvl w:ilvl="6">
      <w:start w:val="0"/>
      <w:numFmt w:val="bullet"/>
      <w:lvlText w:val="•"/>
      <w:lvlJc w:val="left"/>
      <w:pPr>
        <w:ind w:left="4507" w:hanging="421"/>
      </w:pPr>
      <w:rPr>
        <w:rFonts w:hint="default"/>
      </w:rPr>
    </w:lvl>
    <w:lvl w:ilvl="7">
      <w:start w:val="0"/>
      <w:numFmt w:val="bullet"/>
      <w:lvlText w:val="•"/>
      <w:lvlJc w:val="left"/>
      <w:pPr>
        <w:ind w:left="5169" w:hanging="421"/>
      </w:pPr>
      <w:rPr>
        <w:rFonts w:hint="default"/>
      </w:rPr>
    </w:lvl>
    <w:lvl w:ilvl="8">
      <w:start w:val="0"/>
      <w:numFmt w:val="bullet"/>
      <w:lvlText w:val="•"/>
      <w:lvlJc w:val="left"/>
      <w:pPr>
        <w:ind w:left="5830" w:hanging="421"/>
      </w:pPr>
      <w:rPr>
        <w:rFonts w:hint="default"/>
      </w:rPr>
    </w:lvl>
  </w:abstractNum>
  <w:abstractNum w:abstractNumId="5">
    <w:multiLevelType w:val="hybridMultilevel"/>
    <w:lvl w:ilvl="0">
      <w:start w:val="1"/>
      <w:numFmt w:val="decimal"/>
      <w:lvlText w:val="（%1）"/>
      <w:lvlJc w:val="left"/>
      <w:pPr>
        <w:ind w:left="677" w:hanging="567"/>
        <w:jc w:val="left"/>
      </w:pPr>
      <w:rPr>
        <w:rFonts w:hint="default" w:ascii="宋体" w:hAnsi="宋体" w:eastAsia="宋体" w:cs="宋体"/>
        <w:w w:val="100"/>
        <w:sz w:val="21"/>
        <w:szCs w:val="21"/>
      </w:rPr>
    </w:lvl>
    <w:lvl w:ilvl="1">
      <w:start w:val="0"/>
      <w:numFmt w:val="bullet"/>
      <w:lvlText w:val="•"/>
      <w:lvlJc w:val="left"/>
      <w:pPr>
        <w:ind w:left="1327" w:hanging="567"/>
      </w:pPr>
      <w:rPr>
        <w:rFonts w:hint="default"/>
      </w:rPr>
    </w:lvl>
    <w:lvl w:ilvl="2">
      <w:start w:val="0"/>
      <w:numFmt w:val="bullet"/>
      <w:lvlText w:val="•"/>
      <w:lvlJc w:val="left"/>
      <w:pPr>
        <w:ind w:left="1974" w:hanging="567"/>
      </w:pPr>
      <w:rPr>
        <w:rFonts w:hint="default"/>
      </w:rPr>
    </w:lvl>
    <w:lvl w:ilvl="3">
      <w:start w:val="0"/>
      <w:numFmt w:val="bullet"/>
      <w:lvlText w:val="•"/>
      <w:lvlJc w:val="left"/>
      <w:pPr>
        <w:ind w:left="2621" w:hanging="567"/>
      </w:pPr>
      <w:rPr>
        <w:rFonts w:hint="default"/>
      </w:rPr>
    </w:lvl>
    <w:lvl w:ilvl="4">
      <w:start w:val="0"/>
      <w:numFmt w:val="bullet"/>
      <w:lvlText w:val="•"/>
      <w:lvlJc w:val="left"/>
      <w:pPr>
        <w:ind w:left="3268" w:hanging="567"/>
      </w:pPr>
      <w:rPr>
        <w:rFonts w:hint="default"/>
      </w:rPr>
    </w:lvl>
    <w:lvl w:ilvl="5">
      <w:start w:val="0"/>
      <w:numFmt w:val="bullet"/>
      <w:lvlText w:val="•"/>
      <w:lvlJc w:val="left"/>
      <w:pPr>
        <w:ind w:left="3916" w:hanging="567"/>
      </w:pPr>
      <w:rPr>
        <w:rFonts w:hint="default"/>
      </w:rPr>
    </w:lvl>
    <w:lvl w:ilvl="6">
      <w:start w:val="0"/>
      <w:numFmt w:val="bullet"/>
      <w:lvlText w:val="•"/>
      <w:lvlJc w:val="left"/>
      <w:pPr>
        <w:ind w:left="4563" w:hanging="567"/>
      </w:pPr>
      <w:rPr>
        <w:rFonts w:hint="default"/>
      </w:rPr>
    </w:lvl>
    <w:lvl w:ilvl="7">
      <w:start w:val="0"/>
      <w:numFmt w:val="bullet"/>
      <w:lvlText w:val="•"/>
      <w:lvlJc w:val="left"/>
      <w:pPr>
        <w:ind w:left="5210" w:hanging="567"/>
      </w:pPr>
      <w:rPr>
        <w:rFonts w:hint="default"/>
      </w:rPr>
    </w:lvl>
    <w:lvl w:ilvl="8">
      <w:start w:val="0"/>
      <w:numFmt w:val="bullet"/>
      <w:lvlText w:val="•"/>
      <w:lvlJc w:val="left"/>
      <w:pPr>
        <w:ind w:left="5857" w:hanging="567"/>
      </w:pPr>
      <w:rPr>
        <w:rFonts w:hint="default"/>
      </w:rPr>
    </w:lvl>
  </w:abstractNum>
  <w:abstractNum w:abstractNumId="4">
    <w:multiLevelType w:val="hybridMultilevel"/>
    <w:lvl w:ilvl="0">
      <w:start w:val="1"/>
      <w:numFmt w:val="decimal"/>
      <w:lvlText w:val="（%1）"/>
      <w:lvlJc w:val="left"/>
      <w:pPr>
        <w:ind w:left="677" w:hanging="567"/>
        <w:jc w:val="left"/>
      </w:pPr>
      <w:rPr>
        <w:rFonts w:hint="default" w:ascii="黑体" w:hAnsi="黑体" w:eastAsia="黑体" w:cs="黑体"/>
        <w:w w:val="100"/>
        <w:sz w:val="21"/>
        <w:szCs w:val="21"/>
      </w:rPr>
    </w:lvl>
    <w:lvl w:ilvl="1">
      <w:start w:val="0"/>
      <w:numFmt w:val="bullet"/>
      <w:lvlText w:val="•"/>
      <w:lvlJc w:val="left"/>
      <w:pPr>
        <w:ind w:left="1327" w:hanging="567"/>
      </w:pPr>
      <w:rPr>
        <w:rFonts w:hint="default"/>
      </w:rPr>
    </w:lvl>
    <w:lvl w:ilvl="2">
      <w:start w:val="0"/>
      <w:numFmt w:val="bullet"/>
      <w:lvlText w:val="•"/>
      <w:lvlJc w:val="left"/>
      <w:pPr>
        <w:ind w:left="1974" w:hanging="567"/>
      </w:pPr>
      <w:rPr>
        <w:rFonts w:hint="default"/>
      </w:rPr>
    </w:lvl>
    <w:lvl w:ilvl="3">
      <w:start w:val="0"/>
      <w:numFmt w:val="bullet"/>
      <w:lvlText w:val="•"/>
      <w:lvlJc w:val="left"/>
      <w:pPr>
        <w:ind w:left="2621" w:hanging="567"/>
      </w:pPr>
      <w:rPr>
        <w:rFonts w:hint="default"/>
      </w:rPr>
    </w:lvl>
    <w:lvl w:ilvl="4">
      <w:start w:val="0"/>
      <w:numFmt w:val="bullet"/>
      <w:lvlText w:val="•"/>
      <w:lvlJc w:val="left"/>
      <w:pPr>
        <w:ind w:left="3268" w:hanging="567"/>
      </w:pPr>
      <w:rPr>
        <w:rFonts w:hint="default"/>
      </w:rPr>
    </w:lvl>
    <w:lvl w:ilvl="5">
      <w:start w:val="0"/>
      <w:numFmt w:val="bullet"/>
      <w:lvlText w:val="•"/>
      <w:lvlJc w:val="left"/>
      <w:pPr>
        <w:ind w:left="3916" w:hanging="567"/>
      </w:pPr>
      <w:rPr>
        <w:rFonts w:hint="default"/>
      </w:rPr>
    </w:lvl>
    <w:lvl w:ilvl="6">
      <w:start w:val="0"/>
      <w:numFmt w:val="bullet"/>
      <w:lvlText w:val="•"/>
      <w:lvlJc w:val="left"/>
      <w:pPr>
        <w:ind w:left="4563" w:hanging="567"/>
      </w:pPr>
      <w:rPr>
        <w:rFonts w:hint="default"/>
      </w:rPr>
    </w:lvl>
    <w:lvl w:ilvl="7">
      <w:start w:val="0"/>
      <w:numFmt w:val="bullet"/>
      <w:lvlText w:val="•"/>
      <w:lvlJc w:val="left"/>
      <w:pPr>
        <w:ind w:left="5210" w:hanging="567"/>
      </w:pPr>
      <w:rPr>
        <w:rFonts w:hint="default"/>
      </w:rPr>
    </w:lvl>
    <w:lvl w:ilvl="8">
      <w:start w:val="0"/>
      <w:numFmt w:val="bullet"/>
      <w:lvlText w:val="•"/>
      <w:lvlJc w:val="left"/>
      <w:pPr>
        <w:ind w:left="5857" w:hanging="567"/>
      </w:pPr>
      <w:rPr>
        <w:rFonts w:hint="default"/>
      </w:rPr>
    </w:lvl>
  </w:abstractNum>
  <w:abstractNum w:abstractNumId="3">
    <w:multiLevelType w:val="hybridMultilevel"/>
    <w:lvl w:ilvl="0">
      <w:start w:val="1"/>
      <w:numFmt w:val="decimal"/>
      <w:lvlText w:val="（%1）"/>
      <w:lvlJc w:val="left"/>
      <w:pPr>
        <w:ind w:left="662" w:hanging="567"/>
        <w:jc w:val="left"/>
      </w:pPr>
      <w:rPr>
        <w:rFonts w:hint="default" w:ascii="宋体" w:hAnsi="宋体" w:eastAsia="宋体" w:cs="宋体"/>
        <w:w w:val="100"/>
        <w:sz w:val="21"/>
        <w:szCs w:val="21"/>
      </w:rPr>
    </w:lvl>
    <w:lvl w:ilvl="1">
      <w:start w:val="0"/>
      <w:numFmt w:val="bullet"/>
      <w:lvlText w:val="•"/>
      <w:lvlJc w:val="left"/>
      <w:pPr>
        <w:ind w:left="1311" w:hanging="567"/>
      </w:pPr>
      <w:rPr>
        <w:rFonts w:hint="default"/>
      </w:rPr>
    </w:lvl>
    <w:lvl w:ilvl="2">
      <w:start w:val="0"/>
      <w:numFmt w:val="bullet"/>
      <w:lvlText w:val="•"/>
      <w:lvlJc w:val="left"/>
      <w:pPr>
        <w:ind w:left="1962" w:hanging="567"/>
      </w:pPr>
      <w:rPr>
        <w:rFonts w:hint="default"/>
      </w:rPr>
    </w:lvl>
    <w:lvl w:ilvl="3">
      <w:start w:val="0"/>
      <w:numFmt w:val="bullet"/>
      <w:lvlText w:val="•"/>
      <w:lvlJc w:val="left"/>
      <w:pPr>
        <w:ind w:left="2613" w:hanging="567"/>
      </w:pPr>
      <w:rPr>
        <w:rFonts w:hint="default"/>
      </w:rPr>
    </w:lvl>
    <w:lvl w:ilvl="4">
      <w:start w:val="0"/>
      <w:numFmt w:val="bullet"/>
      <w:lvlText w:val="•"/>
      <w:lvlJc w:val="left"/>
      <w:pPr>
        <w:ind w:left="3264" w:hanging="567"/>
      </w:pPr>
      <w:rPr>
        <w:rFonts w:hint="default"/>
      </w:rPr>
    </w:lvl>
    <w:lvl w:ilvl="5">
      <w:start w:val="0"/>
      <w:numFmt w:val="bullet"/>
      <w:lvlText w:val="•"/>
      <w:lvlJc w:val="left"/>
      <w:pPr>
        <w:ind w:left="3916" w:hanging="567"/>
      </w:pPr>
      <w:rPr>
        <w:rFonts w:hint="default"/>
      </w:rPr>
    </w:lvl>
    <w:lvl w:ilvl="6">
      <w:start w:val="0"/>
      <w:numFmt w:val="bullet"/>
      <w:lvlText w:val="•"/>
      <w:lvlJc w:val="left"/>
      <w:pPr>
        <w:ind w:left="4567" w:hanging="567"/>
      </w:pPr>
      <w:rPr>
        <w:rFonts w:hint="default"/>
      </w:rPr>
    </w:lvl>
    <w:lvl w:ilvl="7">
      <w:start w:val="0"/>
      <w:numFmt w:val="bullet"/>
      <w:lvlText w:val="•"/>
      <w:lvlJc w:val="left"/>
      <w:pPr>
        <w:ind w:left="5218" w:hanging="567"/>
      </w:pPr>
      <w:rPr>
        <w:rFonts w:hint="default"/>
      </w:rPr>
    </w:lvl>
    <w:lvl w:ilvl="8">
      <w:start w:val="0"/>
      <w:numFmt w:val="bullet"/>
      <w:lvlText w:val="•"/>
      <w:lvlJc w:val="left"/>
      <w:pPr>
        <w:ind w:left="5869" w:hanging="567"/>
      </w:pPr>
      <w:rPr>
        <w:rFonts w:hint="default"/>
      </w:rPr>
    </w:lvl>
  </w:abstractNum>
  <w:abstractNum w:abstractNumId="2">
    <w:multiLevelType w:val="hybridMultilevel"/>
    <w:lvl w:ilvl="0">
      <w:start w:val="7"/>
      <w:numFmt w:val="decimal"/>
      <w:lvlText w:val="%1."/>
      <w:lvlJc w:val="left"/>
      <w:pPr>
        <w:ind w:left="839" w:hanging="420"/>
        <w:jc w:val="left"/>
      </w:pPr>
      <w:rPr>
        <w:rFonts w:hint="default" w:ascii="Times New Roman" w:hAnsi="Times New Roman" w:eastAsia="Times New Roman" w:cs="Times New Roman"/>
        <w:b/>
        <w:bCs/>
        <w:w w:val="100"/>
        <w:sz w:val="21"/>
        <w:szCs w:val="21"/>
      </w:rPr>
    </w:lvl>
    <w:lvl w:ilvl="1">
      <w:start w:val="1"/>
      <w:numFmt w:val="decimal"/>
      <w:lvlText w:val="%1.%2"/>
      <w:lvlJc w:val="left"/>
      <w:pPr>
        <w:ind w:left="1057" w:hanging="425"/>
        <w:jc w:val="left"/>
      </w:pPr>
      <w:rPr>
        <w:rFonts w:hint="default" w:ascii="Times New Roman" w:hAnsi="Times New Roman" w:eastAsia="Times New Roman" w:cs="Times New Roman"/>
        <w:w w:val="100"/>
        <w:sz w:val="21"/>
        <w:szCs w:val="21"/>
      </w:rPr>
    </w:lvl>
    <w:lvl w:ilvl="2">
      <w:start w:val="0"/>
      <w:numFmt w:val="bullet"/>
      <w:lvlText w:val="•"/>
      <w:lvlJc w:val="left"/>
      <w:pPr>
        <w:ind w:left="1308" w:hanging="425"/>
      </w:pPr>
      <w:rPr>
        <w:rFonts w:hint="default"/>
      </w:rPr>
    </w:lvl>
    <w:lvl w:ilvl="3">
      <w:start w:val="0"/>
      <w:numFmt w:val="bullet"/>
      <w:lvlText w:val="•"/>
      <w:lvlJc w:val="left"/>
      <w:pPr>
        <w:ind w:left="1556" w:hanging="425"/>
      </w:pPr>
      <w:rPr>
        <w:rFonts w:hint="default"/>
      </w:rPr>
    </w:lvl>
    <w:lvl w:ilvl="4">
      <w:start w:val="0"/>
      <w:numFmt w:val="bullet"/>
      <w:lvlText w:val="•"/>
      <w:lvlJc w:val="left"/>
      <w:pPr>
        <w:ind w:left="1804" w:hanging="425"/>
      </w:pPr>
      <w:rPr>
        <w:rFonts w:hint="default"/>
      </w:rPr>
    </w:lvl>
    <w:lvl w:ilvl="5">
      <w:start w:val="0"/>
      <w:numFmt w:val="bullet"/>
      <w:lvlText w:val="•"/>
      <w:lvlJc w:val="left"/>
      <w:pPr>
        <w:ind w:left="2052" w:hanging="425"/>
      </w:pPr>
      <w:rPr>
        <w:rFonts w:hint="default"/>
      </w:rPr>
    </w:lvl>
    <w:lvl w:ilvl="6">
      <w:start w:val="0"/>
      <w:numFmt w:val="bullet"/>
      <w:lvlText w:val="•"/>
      <w:lvlJc w:val="left"/>
      <w:pPr>
        <w:ind w:left="2300" w:hanging="425"/>
      </w:pPr>
      <w:rPr>
        <w:rFonts w:hint="default"/>
      </w:rPr>
    </w:lvl>
    <w:lvl w:ilvl="7">
      <w:start w:val="0"/>
      <w:numFmt w:val="bullet"/>
      <w:lvlText w:val="•"/>
      <w:lvlJc w:val="left"/>
      <w:pPr>
        <w:ind w:left="2548" w:hanging="425"/>
      </w:pPr>
      <w:rPr>
        <w:rFonts w:hint="default"/>
      </w:rPr>
    </w:lvl>
    <w:lvl w:ilvl="8">
      <w:start w:val="0"/>
      <w:numFmt w:val="bullet"/>
      <w:lvlText w:val="•"/>
      <w:lvlJc w:val="left"/>
      <w:pPr>
        <w:ind w:left="2796" w:hanging="425"/>
      </w:pPr>
      <w:rPr>
        <w:rFonts w:hint="default"/>
      </w:rPr>
    </w:lvl>
  </w:abstractNum>
  <w:abstractNum w:abstractNumId="1">
    <w:multiLevelType w:val="hybridMultilevel"/>
    <w:lvl w:ilvl="0">
      <w:start w:val="3"/>
      <w:numFmt w:val="decimal"/>
      <w:lvlText w:val="%1."/>
      <w:lvlJc w:val="left"/>
      <w:pPr>
        <w:ind w:left="528" w:hanging="420"/>
        <w:jc w:val="left"/>
      </w:pPr>
      <w:rPr>
        <w:rFonts w:hint="default" w:ascii="Times New Roman" w:hAnsi="Times New Roman" w:eastAsia="Times New Roman" w:cs="Times New Roman"/>
        <w:b/>
        <w:bCs/>
        <w:w w:val="100"/>
        <w:sz w:val="21"/>
        <w:szCs w:val="21"/>
      </w:rPr>
    </w:lvl>
    <w:lvl w:ilvl="1">
      <w:start w:val="1"/>
      <w:numFmt w:val="decimal"/>
      <w:lvlText w:val="%1.%2"/>
      <w:lvlJc w:val="left"/>
      <w:pPr>
        <w:ind w:left="640" w:hanging="425"/>
        <w:jc w:val="left"/>
      </w:pPr>
      <w:rPr>
        <w:rFonts w:hint="default" w:ascii="Times New Roman" w:hAnsi="Times New Roman" w:eastAsia="Times New Roman" w:cs="Times New Roman"/>
        <w:w w:val="100"/>
        <w:sz w:val="21"/>
        <w:szCs w:val="21"/>
      </w:rPr>
    </w:lvl>
    <w:lvl w:ilvl="2">
      <w:start w:val="0"/>
      <w:numFmt w:val="bullet"/>
      <w:lvlText w:val="•"/>
      <w:lvlJc w:val="left"/>
      <w:pPr>
        <w:ind w:left="908" w:hanging="425"/>
      </w:pPr>
      <w:rPr>
        <w:rFonts w:hint="default"/>
      </w:rPr>
    </w:lvl>
    <w:lvl w:ilvl="3">
      <w:start w:val="0"/>
      <w:numFmt w:val="bullet"/>
      <w:lvlText w:val="•"/>
      <w:lvlJc w:val="left"/>
      <w:pPr>
        <w:ind w:left="1177" w:hanging="425"/>
      </w:pPr>
      <w:rPr>
        <w:rFonts w:hint="default"/>
      </w:rPr>
    </w:lvl>
    <w:lvl w:ilvl="4">
      <w:start w:val="0"/>
      <w:numFmt w:val="bullet"/>
      <w:lvlText w:val="•"/>
      <w:lvlJc w:val="left"/>
      <w:pPr>
        <w:ind w:left="1446" w:hanging="425"/>
      </w:pPr>
      <w:rPr>
        <w:rFonts w:hint="default"/>
      </w:rPr>
    </w:lvl>
    <w:lvl w:ilvl="5">
      <w:start w:val="0"/>
      <w:numFmt w:val="bullet"/>
      <w:lvlText w:val="•"/>
      <w:lvlJc w:val="left"/>
      <w:pPr>
        <w:ind w:left="1715" w:hanging="425"/>
      </w:pPr>
      <w:rPr>
        <w:rFonts w:hint="default"/>
      </w:rPr>
    </w:lvl>
    <w:lvl w:ilvl="6">
      <w:start w:val="0"/>
      <w:numFmt w:val="bullet"/>
      <w:lvlText w:val="•"/>
      <w:lvlJc w:val="left"/>
      <w:pPr>
        <w:ind w:left="1983" w:hanging="425"/>
      </w:pPr>
      <w:rPr>
        <w:rFonts w:hint="default"/>
      </w:rPr>
    </w:lvl>
    <w:lvl w:ilvl="7">
      <w:start w:val="0"/>
      <w:numFmt w:val="bullet"/>
      <w:lvlText w:val="•"/>
      <w:lvlJc w:val="left"/>
      <w:pPr>
        <w:ind w:left="2252" w:hanging="425"/>
      </w:pPr>
      <w:rPr>
        <w:rFonts w:hint="default"/>
      </w:rPr>
    </w:lvl>
    <w:lvl w:ilvl="8">
      <w:start w:val="0"/>
      <w:numFmt w:val="bullet"/>
      <w:lvlText w:val="•"/>
      <w:lvlJc w:val="left"/>
      <w:pPr>
        <w:ind w:left="2521" w:hanging="425"/>
      </w:pPr>
      <w:rPr>
        <w:rFonts w:hint="default"/>
      </w:rPr>
    </w:lvl>
  </w:abstractNum>
  <w:abstractNum w:abstractNumId="0">
    <w:multiLevelType w:val="hybridMultilevel"/>
    <w:lvl w:ilvl="0">
      <w:start w:val="1"/>
      <w:numFmt w:val="decimal"/>
      <w:lvlText w:val="%1."/>
      <w:lvlJc w:val="left"/>
      <w:pPr>
        <w:ind w:left="535" w:hanging="420"/>
        <w:jc w:val="left"/>
      </w:pPr>
      <w:rPr>
        <w:rFonts w:hint="default" w:ascii="Times New Roman" w:hAnsi="Times New Roman" w:eastAsia="Times New Roman" w:cs="Times New Roman"/>
        <w:b/>
        <w:bCs/>
        <w:w w:val="100"/>
        <w:sz w:val="21"/>
        <w:szCs w:val="21"/>
      </w:rPr>
    </w:lvl>
    <w:lvl w:ilvl="1">
      <w:start w:val="1"/>
      <w:numFmt w:val="decimal"/>
      <w:lvlText w:val="%1.%2"/>
      <w:lvlJc w:val="left"/>
      <w:pPr>
        <w:ind w:left="646" w:hanging="425"/>
        <w:jc w:val="left"/>
      </w:pPr>
      <w:rPr>
        <w:rFonts w:hint="default" w:ascii="Times New Roman" w:hAnsi="Times New Roman" w:eastAsia="Times New Roman" w:cs="Times New Roman"/>
        <w:w w:val="100"/>
        <w:sz w:val="21"/>
        <w:szCs w:val="21"/>
      </w:rPr>
    </w:lvl>
    <w:lvl w:ilvl="2">
      <w:start w:val="0"/>
      <w:numFmt w:val="bullet"/>
      <w:lvlText w:val="•"/>
      <w:lvlJc w:val="left"/>
      <w:pPr>
        <w:ind w:left="919" w:hanging="425"/>
      </w:pPr>
      <w:rPr>
        <w:rFonts w:hint="default"/>
      </w:rPr>
    </w:lvl>
    <w:lvl w:ilvl="3">
      <w:start w:val="0"/>
      <w:numFmt w:val="bullet"/>
      <w:lvlText w:val="•"/>
      <w:lvlJc w:val="left"/>
      <w:pPr>
        <w:ind w:left="1199" w:hanging="425"/>
      </w:pPr>
      <w:rPr>
        <w:rFonts w:hint="default"/>
      </w:rPr>
    </w:lvl>
    <w:lvl w:ilvl="4">
      <w:start w:val="0"/>
      <w:numFmt w:val="bullet"/>
      <w:lvlText w:val="•"/>
      <w:lvlJc w:val="left"/>
      <w:pPr>
        <w:ind w:left="1479" w:hanging="425"/>
      </w:pPr>
      <w:rPr>
        <w:rFonts w:hint="default"/>
      </w:rPr>
    </w:lvl>
    <w:lvl w:ilvl="5">
      <w:start w:val="0"/>
      <w:numFmt w:val="bullet"/>
      <w:lvlText w:val="•"/>
      <w:lvlJc w:val="left"/>
      <w:pPr>
        <w:ind w:left="1758" w:hanging="425"/>
      </w:pPr>
      <w:rPr>
        <w:rFonts w:hint="default"/>
      </w:rPr>
    </w:lvl>
    <w:lvl w:ilvl="6">
      <w:start w:val="0"/>
      <w:numFmt w:val="bullet"/>
      <w:lvlText w:val="•"/>
      <w:lvlJc w:val="left"/>
      <w:pPr>
        <w:ind w:left="2038" w:hanging="425"/>
      </w:pPr>
      <w:rPr>
        <w:rFonts w:hint="default"/>
      </w:rPr>
    </w:lvl>
    <w:lvl w:ilvl="7">
      <w:start w:val="0"/>
      <w:numFmt w:val="bullet"/>
      <w:lvlText w:val="•"/>
      <w:lvlJc w:val="left"/>
      <w:pPr>
        <w:ind w:left="2318" w:hanging="425"/>
      </w:pPr>
      <w:rPr>
        <w:rFonts w:hint="default"/>
      </w:rPr>
    </w:lvl>
    <w:lvl w:ilvl="8">
      <w:start w:val="0"/>
      <w:numFmt w:val="bullet"/>
      <w:lvlText w:val="•"/>
      <w:lvlJc w:val="left"/>
      <w:pPr>
        <w:ind w:left="2597" w:hanging="425"/>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2.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image" Target="media/image4.png"/><Relationship Id="rId14" Type="http://schemas.openxmlformats.org/officeDocument/2006/relationships/header" Target="header4.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安邦</dc:creator>
  <dc:subject>附件2</dc:subject>
  <dc:title>安邦骏马两全保险（分红型）A款</dc:title>
  <dcterms:created xsi:type="dcterms:W3CDTF">2018-10-20T00:26:25Z</dcterms:created>
  <dcterms:modified xsi:type="dcterms:W3CDTF">2018-10-20T00:26:25Z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2014-06-25T00:00:00Z</vt:filetime>
  </property>
  <property fmtid="{D5CDD505-2E9C-101B-9397-08002B2CF9AE}" pid="3" name="Creator">
    <vt:lpwstr>Microsoft® Office Word 2007</vt:lpwstr>
  </property>
  <property fmtid="{D5CDD505-2E9C-101B-9397-08002B2CF9AE}" pid="4" name="LastSaved">
    <vt:filetime>2018-10-19T00:00:00Z</vt:filetime>
  </property>
</Properties>
</file>