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
        <w:ind w:left="0" w:right="159" w:firstLine="0"/>
        <w:jc w:val="right"/>
        <w:rPr>
          <w:sz w:val="18"/>
        </w:rPr>
      </w:pPr>
      <w:r>
        <w:rPr/>
        <w:drawing>
          <wp:anchor distT="0" distB="0" distL="0" distR="0" allowOverlap="1" layoutInCell="1" locked="0" behindDoc="1" simplePos="0" relativeHeight="268399847">
            <wp:simplePos x="0" y="0"/>
            <wp:positionH relativeFrom="page">
              <wp:posOffset>5805170</wp:posOffset>
            </wp:positionH>
            <wp:positionV relativeFrom="paragraph">
              <wp:posOffset>206904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渤海人寿[2015]疾病保险 008 号</w:t>
      </w:r>
    </w:p>
    <w:p>
      <w:pPr>
        <w:pStyle w:val="BodyText"/>
        <w:rPr>
          <w:sz w:val="20"/>
        </w:rPr>
      </w:pPr>
    </w:p>
    <w:p>
      <w:pPr>
        <w:pStyle w:val="BodyText"/>
        <w:rPr>
          <w:sz w:val="20"/>
        </w:rPr>
      </w:pPr>
    </w:p>
    <w:p>
      <w:pPr>
        <w:pStyle w:val="BodyText"/>
        <w:rPr>
          <w:sz w:val="20"/>
        </w:rPr>
      </w:pPr>
    </w:p>
    <w:p>
      <w:pPr>
        <w:pStyle w:val="BodyText"/>
        <w:spacing w:before="12"/>
        <w:rPr>
          <w:sz w:val="15"/>
        </w:rPr>
      </w:pPr>
    </w:p>
    <w:p>
      <w:pPr>
        <w:spacing w:after="0"/>
        <w:rPr>
          <w:sz w:val="15"/>
        </w:rPr>
        <w:sectPr>
          <w:footerReference w:type="default" r:id="rId5"/>
          <w:type w:val="continuous"/>
          <w:pgSz w:w="11910" w:h="16840"/>
          <w:pgMar w:footer="898" w:top="240" w:bottom="1080" w:left="780" w:right="780"/>
          <w:pgNumType w:start="1"/>
        </w:sectPr>
      </w:pPr>
    </w:p>
    <w:p>
      <w:pPr>
        <w:spacing w:line="413" w:lineRule="exact" w:before="0"/>
        <w:ind w:left="1020" w:right="0" w:firstLine="0"/>
        <w:jc w:val="left"/>
        <w:rPr>
          <w:rFonts w:ascii="微软雅黑" w:eastAsia="微软雅黑" w:hint="eastAsia"/>
          <w:b/>
          <w:sz w:val="28"/>
        </w:rPr>
      </w:pPr>
      <w:r>
        <w:rPr>
          <w:rFonts w:ascii="微软雅黑" w:eastAsia="微软雅黑" w:hint="eastAsia"/>
          <w:b/>
          <w:w w:val="95"/>
          <w:sz w:val="28"/>
        </w:rPr>
        <w:t>附件 8-2</w:t>
      </w:r>
    </w:p>
    <w:p>
      <w:pPr>
        <w:pStyle w:val="BodyText"/>
        <w:spacing w:before="6"/>
        <w:rPr>
          <w:rFonts w:ascii="微软雅黑"/>
          <w:b/>
          <w:sz w:val="31"/>
        </w:rPr>
      </w:pPr>
      <w:r>
        <w:rPr/>
        <w:br w:type="column"/>
      </w:r>
      <w:r>
        <w:rPr>
          <w:rFonts w:ascii="微软雅黑"/>
          <w:b/>
          <w:sz w:val="31"/>
        </w:rPr>
      </w:r>
    </w:p>
    <w:p>
      <w:pPr>
        <w:pStyle w:val="Heading1"/>
        <w:spacing w:line="223" w:lineRule="auto"/>
        <w:ind w:left="2173" w:hanging="1369"/>
      </w:pPr>
      <w:r>
        <w:rPr/>
        <w:t>渤海人寿团体重大疾病保险条款阅  读  指  引</w:t>
      </w:r>
    </w:p>
    <w:p>
      <w:pPr>
        <w:pStyle w:val="BodyText"/>
        <w:spacing w:before="1"/>
        <w:rPr>
          <w:rFonts w:ascii="Microsoft JhengHei"/>
          <w:b/>
          <w:sz w:val="12"/>
        </w:rPr>
      </w:pPr>
      <w:r>
        <w:rPr/>
        <w:br w:type="column"/>
      </w:r>
      <w:r>
        <w:rPr>
          <w:rFonts w:ascii="Microsoft JhengHei"/>
          <w:b/>
          <w:sz w:val="12"/>
        </w:rPr>
      </w:r>
    </w:p>
    <w:p>
      <w:pPr>
        <w:spacing w:before="0"/>
        <w:ind w:left="536" w:right="0" w:firstLine="0"/>
        <w:jc w:val="left"/>
        <w:rPr>
          <w:sz w:val="18"/>
        </w:rPr>
      </w:pPr>
      <w:r>
        <w:rPr>
          <w:sz w:val="18"/>
        </w:rPr>
        <w:t>请扫描以查询验证条款</w:t>
      </w:r>
    </w:p>
    <w:p>
      <w:pPr>
        <w:spacing w:after="0"/>
        <w:jc w:val="left"/>
        <w:rPr>
          <w:sz w:val="18"/>
        </w:rPr>
        <w:sectPr>
          <w:type w:val="continuous"/>
          <w:pgSz w:w="11910" w:h="16840"/>
          <w:pgMar w:top="240" w:bottom="1080" w:left="780" w:right="780"/>
          <w:cols w:num="3" w:equalWidth="0">
            <w:col w:w="2078" w:space="40"/>
            <w:col w:w="5310" w:space="39"/>
            <w:col w:w="2883"/>
          </w:cols>
        </w:sectPr>
      </w:pPr>
    </w:p>
    <w:p>
      <w:pPr>
        <w:pStyle w:val="BodyText"/>
        <w:spacing w:before="4"/>
        <w:rPr>
          <w:sz w:val="13"/>
        </w:rPr>
      </w:pPr>
    </w:p>
    <w:p>
      <w:pPr>
        <w:pStyle w:val="BodyText"/>
        <w:spacing w:before="36"/>
        <w:ind w:left="1918"/>
      </w:pPr>
      <w:r>
        <w:rPr/>
        <w:pict>
          <v:group style="position:absolute;margin-left:44.424pt;margin-top:21.263681pt;width:506.6pt;height:560.1pt;mso-position-horizontal-relative:page;mso-position-vertical-relative:paragraph;z-index:-35632" coordorigin="888,425" coordsize="10132,11202">
            <v:line style="position:absolute" from="898,430" to="11011,430" stroked="true" strokeweight=".48pt" strokecolor="#000000">
              <v:stroke dashstyle="solid"/>
            </v:line>
            <v:line style="position:absolute" from="893,425" to="893,11617" stroked="true" strokeweight=".48pt" strokecolor="#000000">
              <v:stroke dashstyle="solid"/>
            </v:line>
            <v:rect style="position:absolute;left:888;top:11617;width:10;height:10" filled="true" fillcolor="#000000" stroked="false">
              <v:fill type="solid"/>
            </v:rect>
            <v:line style="position:absolute" from="898,11622" to="11011,11622" stroked="true" strokeweight=".47998pt" strokecolor="#000000">
              <v:stroke dashstyle="solid"/>
            </v:line>
            <v:line style="position:absolute" from="11016,425" to="11016,11617" stroked="true" strokeweight=".47998pt" strokecolor="#000000">
              <v:stroke dashstyle="solid"/>
            </v:line>
            <v:rect style="position:absolute;left:11010;top:11617;width:10;height:10" filled="true" fillcolor="#000000" stroked="false">
              <v:fill type="solid"/>
            </v:rect>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2"/>
          <w:w w:val="100"/>
          <w:position w:val="-7"/>
        </w:rPr>
        <w:t>．</w:t>
      </w:r>
      <w:r>
        <w:rPr>
          <w:spacing w:val="-154"/>
          <w:w w:val="100"/>
        </w:rPr>
        <w:t>投</w:t>
      </w:r>
      <w:r>
        <w:rPr>
          <w:spacing w:val="-63"/>
          <w:w w:val="100"/>
          <w:position w:val="-7"/>
        </w:rPr>
        <w:t>．</w:t>
      </w:r>
      <w:r>
        <w:rPr>
          <w:spacing w:val="-149"/>
          <w:w w:val="100"/>
        </w:rPr>
        <w:t>保</w:t>
      </w:r>
      <w:r>
        <w:rPr>
          <w:spacing w:val="-63"/>
          <w:w w:val="100"/>
          <w:position w:val="-7"/>
        </w:rPr>
        <w:t>．</w:t>
      </w:r>
      <w:r>
        <w:rPr>
          <w:spacing w:val="-149"/>
          <w:w w:val="100"/>
        </w:rPr>
        <w:t>人</w:t>
      </w:r>
      <w:r>
        <w:rPr>
          <w:spacing w:val="-63"/>
          <w:w w:val="100"/>
          <w:position w:val="-7"/>
        </w:rPr>
        <w:t>．</w:t>
      </w:r>
      <w:r>
        <w:rPr>
          <w:spacing w:val="-149"/>
          <w:w w:val="100"/>
        </w:rPr>
        <w:t>理</w:t>
      </w:r>
      <w:r>
        <w:rPr>
          <w:spacing w:val="-63"/>
          <w:w w:val="100"/>
          <w:position w:val="-7"/>
        </w:rPr>
        <w:t>．</w:t>
      </w:r>
      <w:r>
        <w:rPr>
          <w:spacing w:val="-154"/>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49"/>
          <w:w w:val="100"/>
        </w:rPr>
        <w:t>，</w:t>
      </w:r>
      <w:r>
        <w:rPr>
          <w:spacing w:val="-63"/>
          <w:w w:val="100"/>
          <w:position w:val="-7"/>
        </w:rPr>
        <w:t>．</w:t>
      </w:r>
      <w:r>
        <w:rPr>
          <w:spacing w:val="-154"/>
          <w:w w:val="100"/>
        </w:rPr>
        <w:t>对</w:t>
      </w:r>
      <w:r>
        <w:rPr>
          <w:spacing w:val="-63"/>
          <w:w w:val="100"/>
          <w:position w:val="-7"/>
        </w:rPr>
        <w:t>．</w:t>
      </w:r>
      <w:r>
        <w:rPr>
          <w:spacing w:val="-149"/>
          <w:w w:val="100"/>
        </w:rPr>
        <w:t>本</w:t>
      </w:r>
      <w:r>
        <w:rPr>
          <w:spacing w:val="-63"/>
          <w:w w:val="100"/>
          <w:position w:val="-7"/>
        </w:rPr>
        <w:t>．</w:t>
      </w:r>
      <w:r>
        <w:rPr>
          <w:spacing w:val="-149"/>
          <w:w w:val="100"/>
        </w:rPr>
        <w:t>合</w:t>
      </w:r>
      <w:r>
        <w:rPr>
          <w:spacing w:val="-63"/>
          <w:w w:val="100"/>
          <w:position w:val="-7"/>
        </w:rPr>
        <w:t>．</w:t>
      </w:r>
      <w:r>
        <w:rPr>
          <w:spacing w:val="-148"/>
          <w:w w:val="100"/>
        </w:rPr>
        <w:t>同</w:t>
      </w:r>
      <w:r>
        <w:rPr>
          <w:spacing w:val="-64"/>
          <w:w w:val="100"/>
          <w:position w:val="-7"/>
        </w:rPr>
        <w:t>．</w:t>
      </w:r>
      <w:r>
        <w:rPr>
          <w:spacing w:val="-153"/>
          <w:w w:val="100"/>
        </w:rPr>
        <w:t>内</w:t>
      </w:r>
      <w:r>
        <w:rPr>
          <w:spacing w:val="-64"/>
          <w:w w:val="100"/>
          <w:position w:val="-7"/>
        </w:rPr>
        <w:t>．</w:t>
      </w:r>
      <w:r>
        <w:rPr>
          <w:spacing w:val="-148"/>
          <w:w w:val="100"/>
        </w:rPr>
        <w:t>容</w:t>
      </w:r>
      <w:r>
        <w:rPr>
          <w:spacing w:val="-64"/>
          <w:w w:val="100"/>
          <w:position w:val="-7"/>
        </w:rPr>
        <w:t>．</w:t>
      </w:r>
      <w:r>
        <w:rPr>
          <w:spacing w:val="-153"/>
          <w:w w:val="100"/>
        </w:rPr>
        <w:t>的</w:t>
      </w:r>
      <w:r>
        <w:rPr>
          <w:spacing w:val="-64"/>
          <w:w w:val="100"/>
          <w:position w:val="-7"/>
        </w:rPr>
        <w:t>．</w:t>
      </w:r>
      <w:r>
        <w:rPr>
          <w:spacing w:val="-148"/>
          <w:w w:val="100"/>
        </w:rPr>
        <w:t>解</w:t>
      </w:r>
      <w:r>
        <w:rPr>
          <w:spacing w:val="-64"/>
          <w:w w:val="100"/>
          <w:position w:val="-7"/>
        </w:rPr>
        <w:t>．</w:t>
      </w:r>
      <w:r>
        <w:rPr>
          <w:spacing w:val="-148"/>
          <w:w w:val="100"/>
        </w:rPr>
        <w:t>释</w:t>
      </w:r>
      <w:r>
        <w:rPr>
          <w:spacing w:val="-64"/>
          <w:w w:val="100"/>
          <w:position w:val="-7"/>
        </w:rPr>
        <w:t>．</w:t>
      </w:r>
      <w:r>
        <w:rPr>
          <w:spacing w:val="-148"/>
          <w:w w:val="100"/>
        </w:rPr>
        <w:t>以</w:t>
      </w:r>
      <w:r>
        <w:rPr>
          <w:spacing w:val="-65"/>
          <w:w w:val="100"/>
          <w:position w:val="-7"/>
        </w:rPr>
        <w:t>．</w:t>
      </w:r>
      <w:r>
        <w:rPr>
          <w:spacing w:val="-148"/>
          <w:w w:val="100"/>
        </w:rPr>
        <w:t>条</w:t>
      </w:r>
      <w:r>
        <w:rPr>
          <w:spacing w:val="-65"/>
          <w:w w:val="100"/>
          <w:position w:val="-7"/>
        </w:rPr>
        <w:t>．</w:t>
      </w:r>
      <w:r>
        <w:rPr>
          <w:spacing w:val="-152"/>
          <w:w w:val="100"/>
        </w:rPr>
        <w:t>款</w:t>
      </w:r>
      <w:r>
        <w:rPr>
          <w:spacing w:val="-65"/>
          <w:w w:val="100"/>
          <w:position w:val="-7"/>
        </w:rPr>
        <w:t>．</w:t>
      </w:r>
      <w:r>
        <w:rPr>
          <w:spacing w:val="-148"/>
          <w:w w:val="100"/>
        </w:rPr>
        <w:t>为</w:t>
      </w:r>
      <w:r>
        <w:rPr>
          <w:spacing w:val="-65"/>
          <w:w w:val="100"/>
          <w:position w:val="-7"/>
        </w:rPr>
        <w:t>．</w:t>
      </w:r>
      <w:r>
        <w:rPr>
          <w:spacing w:val="-148"/>
          <w:w w:val="100"/>
        </w:rPr>
        <w:t>准</w:t>
      </w:r>
      <w:r>
        <w:rPr>
          <w:spacing w:val="-65"/>
          <w:w w:val="100"/>
          <w:position w:val="-7"/>
        </w:rPr>
        <w:t>．</w:t>
      </w:r>
      <w:r>
        <w:rPr>
          <w:spacing w:val="-152"/>
          <w:w w:val="100"/>
        </w:rPr>
        <w:t>。</w:t>
      </w:r>
      <w:r>
        <w:rPr>
          <w:w w:val="100"/>
          <w:position w:val="-7"/>
        </w:rPr>
        <w:t>．</w:t>
      </w:r>
    </w:p>
    <w:p>
      <w:pPr>
        <w:pStyle w:val="ListParagraph"/>
        <w:numPr>
          <w:ilvl w:val="0"/>
          <w:numId w:val="1"/>
        </w:numPr>
        <w:tabs>
          <w:tab w:pos="645" w:val="left" w:leader="none"/>
          <w:tab w:pos="647" w:val="left" w:leader="none"/>
        </w:tabs>
        <w:spacing w:line="240" w:lineRule="auto" w:before="120" w:after="0"/>
        <w:ind w:left="646" w:right="0" w:hanging="423"/>
        <w:jc w:val="left"/>
        <w:rPr>
          <w:b/>
          <w:sz w:val="21"/>
        </w:rPr>
      </w:pPr>
      <w:r>
        <w:rPr>
          <w:b/>
          <w:sz w:val="21"/>
        </w:rPr>
        <w:t>投保人拥有的重要权益</w:t>
      </w:r>
    </w:p>
    <w:p>
      <w:pPr>
        <w:pStyle w:val="BodyText"/>
        <w:tabs>
          <w:tab w:pos="8943" w:val="right" w:leader="dot"/>
        </w:tabs>
        <w:spacing w:before="166"/>
        <w:ind w:left="646"/>
      </w:pPr>
      <w:r>
        <w:rPr/>
        <w:drawing>
          <wp:anchor distT="0" distB="0" distL="0" distR="0" allowOverlap="1" layoutInCell="1" locked="0" behindDoc="1" simplePos="0" relativeHeight="268399703">
            <wp:simplePos x="0" y="0"/>
            <wp:positionH relativeFrom="page">
              <wp:posOffset>637336</wp:posOffset>
            </wp:positionH>
            <wp:positionV relativeFrom="paragraph">
              <wp:posOffset>145334</wp:posOffset>
            </wp:positionV>
            <wp:extent cx="268224" cy="13411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68224" cy="134111"/>
                    </a:xfrm>
                    <a:prstGeom prst="rect">
                      <a:avLst/>
                    </a:prstGeom>
                  </pic:spPr>
                </pic:pic>
              </a:graphicData>
            </a:graphic>
          </wp:anchor>
        </w:drawing>
      </w:r>
      <w:r>
        <w:rPr/>
        <w:t>本合</w:t>
      </w:r>
      <w:r>
        <w:rPr>
          <w:spacing w:val="-5"/>
        </w:rPr>
        <w:t>同</w:t>
      </w:r>
      <w:r>
        <w:rPr/>
        <w:t>提供的</w:t>
      </w:r>
      <w:r>
        <w:rPr>
          <w:spacing w:val="-5"/>
        </w:rPr>
        <w:t>保</w:t>
      </w:r>
      <w:r>
        <w:rPr/>
        <w:t>障在保</w:t>
      </w:r>
      <w:r>
        <w:rPr>
          <w:spacing w:val="-5"/>
        </w:rPr>
        <w:t>险</w:t>
      </w:r>
      <w:r>
        <w:rPr/>
        <w:t>责任条</w:t>
      </w:r>
      <w:r>
        <w:rPr>
          <w:spacing w:val="-5"/>
        </w:rPr>
        <w:t>款</w:t>
      </w:r>
      <w:r>
        <w:rPr/>
        <w:t>中列明</w:t>
        <w:tab/>
        <w:t>2.3</w:t>
      </w:r>
    </w:p>
    <w:p>
      <w:pPr>
        <w:pStyle w:val="BodyText"/>
        <w:tabs>
          <w:tab w:pos="8943" w:val="right" w:leader="dot"/>
        </w:tabs>
        <w:spacing w:before="37"/>
        <w:ind w:left="646"/>
      </w:pPr>
      <w:r>
        <w:rPr/>
        <w:drawing>
          <wp:anchor distT="0" distB="0" distL="0" distR="0" allowOverlap="1" layoutInCell="1" locked="0" behindDoc="1" simplePos="0" relativeHeight="268399727">
            <wp:simplePos x="0" y="0"/>
            <wp:positionH relativeFrom="page">
              <wp:posOffset>637336</wp:posOffset>
            </wp:positionH>
            <wp:positionV relativeFrom="paragraph">
              <wp:posOffset>63419</wp:posOffset>
            </wp:positionV>
            <wp:extent cx="268224" cy="134111"/>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268224" cy="134111"/>
                    </a:xfrm>
                    <a:prstGeom prst="rect">
                      <a:avLst/>
                    </a:prstGeom>
                  </pic:spPr>
                </pic:pic>
              </a:graphicData>
            </a:graphic>
          </wp:anchor>
        </w:drawing>
      </w:r>
      <w:r>
        <w:rPr/>
        <w:t>投保</w:t>
      </w:r>
      <w:r>
        <w:rPr>
          <w:spacing w:val="-5"/>
        </w:rPr>
        <w:t>人</w:t>
      </w:r>
      <w:r>
        <w:rPr/>
        <w:t>有退保</w:t>
      </w:r>
      <w:r>
        <w:rPr>
          <w:spacing w:val="-5"/>
        </w:rPr>
        <w:t>的</w:t>
      </w:r>
      <w:r>
        <w:rPr/>
        <w:t>权利</w:t>
        <w:tab/>
        <w:t>5.1</w:t>
      </w:r>
    </w:p>
    <w:p>
      <w:pPr>
        <w:pStyle w:val="ListParagraph"/>
        <w:numPr>
          <w:ilvl w:val="0"/>
          <w:numId w:val="1"/>
        </w:numPr>
        <w:tabs>
          <w:tab w:pos="645" w:val="left" w:leader="none"/>
          <w:tab w:pos="647" w:val="left" w:leader="none"/>
        </w:tabs>
        <w:spacing w:line="240" w:lineRule="auto" w:before="129" w:after="0"/>
        <w:ind w:left="646" w:right="0" w:hanging="423"/>
        <w:jc w:val="left"/>
        <w:rPr>
          <w:b/>
          <w:sz w:val="21"/>
        </w:rPr>
      </w:pPr>
      <w:r>
        <w:rPr>
          <w:b/>
          <w:sz w:val="21"/>
        </w:rPr>
        <w:t>投保人应当特别注意的事项</w:t>
      </w:r>
    </w:p>
    <w:p>
      <w:pPr>
        <w:pStyle w:val="BodyText"/>
        <w:tabs>
          <w:tab w:pos="8943" w:val="right" w:leader="dot"/>
        </w:tabs>
        <w:spacing w:before="167"/>
        <w:ind w:left="646"/>
      </w:pPr>
      <w:r>
        <w:rPr/>
        <w:drawing>
          <wp:anchor distT="0" distB="0" distL="0" distR="0" allowOverlap="1" layoutInCell="1" locked="0" behindDoc="1" simplePos="0" relativeHeight="268399751">
            <wp:simplePos x="0" y="0"/>
            <wp:positionH relativeFrom="page">
              <wp:posOffset>637336</wp:posOffset>
            </wp:positionH>
            <wp:positionV relativeFrom="paragraph">
              <wp:posOffset>145969</wp:posOffset>
            </wp:positionV>
            <wp:extent cx="268224" cy="134111"/>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268224" cy="134111"/>
                    </a:xfrm>
                    <a:prstGeom prst="rect">
                      <a:avLst/>
                    </a:prstGeom>
                  </pic:spPr>
                </pic:pic>
              </a:graphicData>
            </a:graphic>
          </wp:anchor>
        </w:drawing>
      </w:r>
      <w:r>
        <w:rPr/>
        <w:t>本合</w:t>
      </w:r>
      <w:r>
        <w:rPr>
          <w:spacing w:val="-5"/>
        </w:rPr>
        <w:t>同</w:t>
      </w:r>
      <w:r>
        <w:rPr/>
        <w:t>的保险</w:t>
      </w:r>
      <w:r>
        <w:rPr>
          <w:spacing w:val="-5"/>
        </w:rPr>
        <w:t>期</w:t>
      </w:r>
      <w:r>
        <w:rPr/>
        <w:t>间由投</w:t>
      </w:r>
      <w:r>
        <w:rPr>
          <w:spacing w:val="-5"/>
        </w:rPr>
        <w:t>保</w:t>
      </w:r>
      <w:r>
        <w:rPr/>
        <w:t>人在投</w:t>
      </w:r>
      <w:r>
        <w:rPr>
          <w:spacing w:val="-5"/>
        </w:rPr>
        <w:t>保</w:t>
      </w:r>
      <w:r>
        <w:rPr/>
        <w:t>时与本</w:t>
      </w:r>
      <w:r>
        <w:rPr>
          <w:spacing w:val="-5"/>
        </w:rPr>
        <w:t>公</w:t>
      </w:r>
      <w:r>
        <w:rPr/>
        <w:t>司</w:t>
      </w:r>
      <w:r>
        <w:rPr>
          <w:spacing w:val="-5"/>
        </w:rPr>
        <w:t>约</w:t>
      </w:r>
      <w:r>
        <w:rPr/>
        <w:t>定</w:t>
        <w:tab/>
        <w:t>2.2</w:t>
      </w:r>
    </w:p>
    <w:p>
      <w:pPr>
        <w:pStyle w:val="BodyText"/>
        <w:tabs>
          <w:tab w:pos="8943" w:val="right" w:leader="dot"/>
        </w:tabs>
        <w:spacing w:before="36"/>
        <w:ind w:left="646"/>
      </w:pPr>
      <w:r>
        <w:rPr/>
        <w:t>在某</w:t>
      </w:r>
      <w:r>
        <w:rPr>
          <w:spacing w:val="-5"/>
        </w:rPr>
        <w:t>些</w:t>
      </w:r>
      <w:r>
        <w:rPr/>
        <w:t>情况下</w:t>
      </w:r>
      <w:r>
        <w:rPr>
          <w:spacing w:val="-5"/>
        </w:rPr>
        <w:t>，</w:t>
      </w:r>
      <w:r>
        <w:rPr/>
        <w:t>本公司</w:t>
      </w:r>
      <w:r>
        <w:rPr>
          <w:spacing w:val="-5"/>
        </w:rPr>
        <w:t>不</w:t>
      </w:r>
      <w:r>
        <w:rPr/>
        <w:t>承担保</w:t>
      </w:r>
      <w:r>
        <w:rPr>
          <w:spacing w:val="-5"/>
        </w:rPr>
        <w:t>险</w:t>
      </w:r>
      <w:r>
        <w:rPr/>
        <w:t>责任</w:t>
        <w:tab/>
        <w:t>2.4</w:t>
      </w:r>
    </w:p>
    <w:p>
      <w:pPr>
        <w:pStyle w:val="BodyText"/>
        <w:tabs>
          <w:tab w:pos="8943" w:val="right" w:leader="dot"/>
        </w:tabs>
        <w:spacing w:before="36"/>
        <w:ind w:left="646"/>
      </w:pPr>
      <w:r>
        <w:rPr/>
        <w:drawing>
          <wp:anchor distT="0" distB="0" distL="0" distR="0" allowOverlap="1" layoutInCell="1" locked="0" behindDoc="1" simplePos="0" relativeHeight="268399775">
            <wp:simplePos x="0" y="0"/>
            <wp:positionH relativeFrom="page">
              <wp:posOffset>637336</wp:posOffset>
            </wp:positionH>
            <wp:positionV relativeFrom="paragraph">
              <wp:posOffset>62784</wp:posOffset>
            </wp:positionV>
            <wp:extent cx="268224" cy="134111"/>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268224" cy="134111"/>
                    </a:xfrm>
                    <a:prstGeom prst="rect">
                      <a:avLst/>
                    </a:prstGeom>
                  </pic:spPr>
                </pic:pic>
              </a:graphicData>
            </a:graphic>
          </wp:anchor>
        </w:drawing>
      </w:r>
      <w:r>
        <w:rPr/>
        <w:t>保险</w:t>
      </w:r>
      <w:r>
        <w:rPr>
          <w:spacing w:val="-5"/>
        </w:rPr>
        <w:t>事</w:t>
      </w:r>
      <w:r>
        <w:rPr/>
        <w:t>故发生</w:t>
      </w:r>
      <w:r>
        <w:rPr>
          <w:spacing w:val="-5"/>
        </w:rPr>
        <w:t>后</w:t>
      </w:r>
      <w:r>
        <w:rPr/>
        <w:t>请投保</w:t>
      </w:r>
      <w:r>
        <w:rPr>
          <w:spacing w:val="-5"/>
        </w:rPr>
        <w:t>人</w:t>
      </w:r>
      <w:r>
        <w:rPr/>
        <w:t>及时通</w:t>
      </w:r>
      <w:r>
        <w:rPr>
          <w:spacing w:val="-5"/>
        </w:rPr>
        <w:t>知</w:t>
      </w:r>
      <w:r>
        <w:rPr/>
        <w:t>本公司</w:t>
        <w:tab/>
        <w:t>3.2</w:t>
      </w:r>
    </w:p>
    <w:p>
      <w:pPr>
        <w:pStyle w:val="BodyText"/>
        <w:tabs>
          <w:tab w:pos="8948" w:val="right" w:leader="dot"/>
        </w:tabs>
        <w:spacing w:before="36"/>
        <w:ind w:left="646"/>
      </w:pPr>
      <w:r>
        <w:rPr/>
        <w:t>投保人有</w:t>
      </w:r>
      <w:r>
        <w:rPr>
          <w:spacing w:val="-5"/>
        </w:rPr>
        <w:t>如</w:t>
      </w:r>
      <w:r>
        <w:rPr/>
        <w:t>实告知</w:t>
      </w:r>
      <w:r>
        <w:rPr>
          <w:spacing w:val="-5"/>
        </w:rPr>
        <w:t>的</w:t>
      </w:r>
      <w:r>
        <w:rPr/>
        <w:t>义务</w:t>
        <w:tab/>
        <w:t>6.1</w:t>
      </w:r>
    </w:p>
    <w:p>
      <w:pPr>
        <w:pStyle w:val="BodyText"/>
        <w:tabs>
          <w:tab w:pos="8737" w:val="right" w:leader="dot"/>
        </w:tabs>
        <w:spacing w:line="260" w:lineRule="exact" w:before="36"/>
        <w:ind w:left="646"/>
      </w:pPr>
      <w:r>
        <w:rPr/>
        <w:t>本合同对</w:t>
      </w:r>
      <w:r>
        <w:rPr>
          <w:spacing w:val="-5"/>
        </w:rPr>
        <w:t>重</w:t>
      </w:r>
      <w:r>
        <w:rPr/>
        <w:t>大疾病</w:t>
      </w:r>
      <w:r>
        <w:rPr>
          <w:spacing w:val="-5"/>
        </w:rPr>
        <w:t>进</w:t>
      </w:r>
      <w:r>
        <w:rPr/>
        <w:t>行了明</w:t>
      </w:r>
      <w:r>
        <w:rPr>
          <w:spacing w:val="-5"/>
        </w:rPr>
        <w:t>确</w:t>
      </w:r>
      <w:r>
        <w:rPr/>
        <w:t>定义，</w:t>
      </w:r>
      <w:r>
        <w:rPr>
          <w:spacing w:val="-5"/>
        </w:rPr>
        <w:t>请</w:t>
      </w:r>
      <w:r>
        <w:rPr/>
        <w:t>投保人</w:t>
      </w:r>
      <w:r>
        <w:rPr>
          <w:spacing w:val="-5"/>
        </w:rPr>
        <w:t>仔</w:t>
      </w:r>
      <w:r>
        <w:rPr/>
        <w:t>细</w:t>
      </w:r>
      <w:r>
        <w:rPr>
          <w:spacing w:val="-5"/>
        </w:rPr>
        <w:t>阅</w:t>
      </w:r>
      <w:r>
        <w:rPr/>
        <w:t>读</w:t>
        <w:tab/>
        <w:t>7</w:t>
      </w:r>
    </w:p>
    <w:p>
      <w:pPr>
        <w:tabs>
          <w:tab w:pos="8756" w:val="right" w:leader="dot"/>
        </w:tabs>
        <w:spacing w:line="351" w:lineRule="exact" w:before="0"/>
        <w:ind w:left="641" w:right="0" w:firstLine="0"/>
        <w:jc w:val="left"/>
        <w:rPr>
          <w:rFonts w:ascii="Microsoft JhengHei" w:eastAsia="Microsoft JhengHei" w:hint="eastAsia"/>
          <w:b/>
          <w:sz w:val="21"/>
        </w:rPr>
      </w:pPr>
      <w:r>
        <w:rPr/>
        <w:drawing>
          <wp:anchor distT="0" distB="0" distL="0" distR="0" allowOverlap="1" layoutInCell="1" locked="0" behindDoc="1" simplePos="0" relativeHeight="268399799">
            <wp:simplePos x="0" y="0"/>
            <wp:positionH relativeFrom="page">
              <wp:posOffset>637336</wp:posOffset>
            </wp:positionH>
            <wp:positionV relativeFrom="paragraph">
              <wp:posOffset>73075</wp:posOffset>
            </wp:positionV>
            <wp:extent cx="268224" cy="134112"/>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7" cstate="print"/>
                    <a:stretch>
                      <a:fillRect/>
                    </a:stretch>
                  </pic:blipFill>
                  <pic:spPr>
                    <a:xfrm>
                      <a:off x="0" y="0"/>
                      <a:ext cx="268224" cy="134112"/>
                    </a:xfrm>
                    <a:prstGeom prst="rect">
                      <a:avLst/>
                    </a:prstGeom>
                  </pic:spPr>
                </pic:pic>
              </a:graphicData>
            </a:graphic>
          </wp:anchor>
        </w:drawing>
      </w:r>
      <w:r>
        <w:rPr>
          <w:rFonts w:ascii="Microsoft JhengHei" w:eastAsia="Microsoft JhengHei" w:hint="eastAsia"/>
          <w:b/>
          <w:sz w:val="21"/>
        </w:rPr>
        <w:t>本公司对一些重要术语进行了解释，并作了显</w:t>
      </w:r>
      <w:r>
        <w:rPr>
          <w:rFonts w:ascii="Microsoft JhengHei" w:eastAsia="Microsoft JhengHei" w:hint="eastAsia"/>
          <w:b/>
          <w:spacing w:val="-5"/>
          <w:sz w:val="21"/>
        </w:rPr>
        <w:t>著</w:t>
      </w:r>
      <w:r>
        <w:rPr>
          <w:rFonts w:ascii="Microsoft JhengHei" w:eastAsia="Microsoft JhengHei" w:hint="eastAsia"/>
          <w:b/>
          <w:sz w:val="21"/>
        </w:rPr>
        <w:t>标识，请投保人注意</w:t>
        <w:tab/>
        <w:t>8</w:t>
      </w:r>
    </w:p>
    <w:p>
      <w:pPr>
        <w:pStyle w:val="ListParagraph"/>
        <w:numPr>
          <w:ilvl w:val="0"/>
          <w:numId w:val="1"/>
        </w:numPr>
        <w:tabs>
          <w:tab w:pos="645" w:val="left" w:leader="none"/>
          <w:tab w:pos="647" w:val="left" w:leader="none"/>
        </w:tabs>
        <w:spacing w:line="240" w:lineRule="auto" w:before="105" w:after="0"/>
        <w:ind w:left="646" w:right="0" w:hanging="423"/>
        <w:jc w:val="left"/>
        <w:rPr>
          <w:b/>
          <w:sz w:val="21"/>
        </w:rPr>
      </w:pPr>
      <w:r>
        <w:rPr>
          <w:b/>
          <w:spacing w:val="-2"/>
          <w:sz w:val="21"/>
        </w:rPr>
        <w:t>条款是保险合同的重要内容，为充分保障投保人的权益，请仔细阅读本条款。</w:t>
      </w:r>
    </w:p>
    <w:p>
      <w:pPr>
        <w:pStyle w:val="ListParagraph"/>
        <w:numPr>
          <w:ilvl w:val="0"/>
          <w:numId w:val="1"/>
        </w:numPr>
        <w:tabs>
          <w:tab w:pos="645" w:val="left" w:leader="none"/>
          <w:tab w:pos="647" w:val="left" w:leader="none"/>
        </w:tabs>
        <w:spacing w:line="240" w:lineRule="auto" w:before="258" w:after="0"/>
        <w:ind w:left="646" w:right="0" w:hanging="423"/>
        <w:jc w:val="left"/>
        <w:rPr>
          <w:b/>
          <w:sz w:val="21"/>
        </w:rPr>
      </w:pPr>
      <w:r>
        <w:rPr>
          <w:b/>
          <w:sz w:val="21"/>
        </w:rPr>
        <w:t>条款目录</w:t>
      </w:r>
    </w:p>
    <w:p>
      <w:pPr>
        <w:pStyle w:val="BodyText"/>
        <w:spacing w:before="4" w:after="1"/>
        <w:rPr>
          <w:rFonts w:ascii="Microsoft JhengHei"/>
          <w:b/>
          <w:sz w:val="13"/>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4"/>
        <w:gridCol w:w="3087"/>
        <w:gridCol w:w="3285"/>
      </w:tblGrid>
      <w:tr>
        <w:trPr>
          <w:trHeight w:val="6144" w:hRule="atLeast"/>
        </w:trPr>
        <w:tc>
          <w:tcPr>
            <w:tcW w:w="2944" w:type="dxa"/>
          </w:tcPr>
          <w:p>
            <w:pPr>
              <w:pStyle w:val="TableParagraph"/>
              <w:numPr>
                <w:ilvl w:val="0"/>
                <w:numId w:val="2"/>
              </w:numPr>
              <w:tabs>
                <w:tab w:pos="517" w:val="left" w:leader="none"/>
              </w:tabs>
              <w:spacing w:line="235"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合同的订立</w:t>
            </w:r>
          </w:p>
          <w:p>
            <w:pPr>
              <w:pStyle w:val="TableParagraph"/>
              <w:numPr>
                <w:ilvl w:val="1"/>
                <w:numId w:val="2"/>
              </w:numPr>
              <w:tabs>
                <w:tab w:pos="729" w:val="left" w:leader="none"/>
              </w:tabs>
              <w:spacing w:line="240" w:lineRule="auto" w:before="13" w:after="0"/>
              <w:ind w:left="728" w:right="0" w:hanging="423"/>
              <w:jc w:val="left"/>
              <w:rPr>
                <w:sz w:val="21"/>
              </w:rPr>
            </w:pPr>
            <w:r>
              <w:rPr>
                <w:spacing w:val="-2"/>
                <w:sz w:val="21"/>
              </w:rPr>
              <w:t>合同构成</w:t>
            </w:r>
          </w:p>
          <w:p>
            <w:pPr>
              <w:pStyle w:val="TableParagraph"/>
              <w:numPr>
                <w:ilvl w:val="1"/>
                <w:numId w:val="2"/>
              </w:numPr>
              <w:tabs>
                <w:tab w:pos="729" w:val="left" w:leader="none"/>
              </w:tabs>
              <w:spacing w:line="240" w:lineRule="auto" w:before="37" w:after="0"/>
              <w:ind w:left="728" w:right="0" w:hanging="423"/>
              <w:jc w:val="left"/>
              <w:rPr>
                <w:sz w:val="21"/>
              </w:rPr>
            </w:pPr>
            <w:r>
              <w:rPr>
                <w:spacing w:val="-2"/>
                <w:sz w:val="21"/>
              </w:rPr>
              <w:t>合同成立及生效</w:t>
            </w:r>
          </w:p>
          <w:p>
            <w:pPr>
              <w:pStyle w:val="TableParagraph"/>
              <w:numPr>
                <w:ilvl w:val="1"/>
                <w:numId w:val="2"/>
              </w:numPr>
              <w:tabs>
                <w:tab w:pos="729" w:val="left" w:leader="none"/>
              </w:tabs>
              <w:spacing w:line="260" w:lineRule="exact" w:before="37" w:after="0"/>
              <w:ind w:left="728" w:right="0" w:hanging="423"/>
              <w:jc w:val="left"/>
              <w:rPr>
                <w:sz w:val="21"/>
              </w:rPr>
            </w:pPr>
            <w:r>
              <w:rPr>
                <w:spacing w:val="-3"/>
                <w:sz w:val="21"/>
              </w:rPr>
              <w:t>投保范围</w:t>
            </w:r>
          </w:p>
          <w:p>
            <w:pPr>
              <w:pStyle w:val="TableParagraph"/>
              <w:numPr>
                <w:ilvl w:val="0"/>
                <w:numId w:val="2"/>
              </w:numPr>
              <w:tabs>
                <w:tab w:pos="517" w:val="left" w:leader="none"/>
              </w:tabs>
              <w:spacing w:line="351"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提供的保障</w:t>
            </w:r>
          </w:p>
          <w:p>
            <w:pPr>
              <w:pStyle w:val="TableParagraph"/>
              <w:numPr>
                <w:ilvl w:val="1"/>
                <w:numId w:val="2"/>
              </w:numPr>
              <w:tabs>
                <w:tab w:pos="729" w:val="left" w:leader="none"/>
              </w:tabs>
              <w:spacing w:line="240" w:lineRule="auto" w:before="14" w:after="0"/>
              <w:ind w:left="728" w:right="0" w:hanging="423"/>
              <w:jc w:val="left"/>
              <w:rPr>
                <w:sz w:val="21"/>
              </w:rPr>
            </w:pPr>
            <w:r>
              <w:rPr>
                <w:spacing w:val="-2"/>
                <w:sz w:val="21"/>
              </w:rPr>
              <w:t>基本保险金额</w:t>
            </w:r>
          </w:p>
          <w:p>
            <w:pPr>
              <w:pStyle w:val="TableParagraph"/>
              <w:numPr>
                <w:ilvl w:val="1"/>
                <w:numId w:val="2"/>
              </w:numPr>
              <w:tabs>
                <w:tab w:pos="729" w:val="left" w:leader="none"/>
              </w:tabs>
              <w:spacing w:line="240" w:lineRule="auto" w:before="37" w:after="0"/>
              <w:ind w:left="728" w:right="0" w:hanging="423"/>
              <w:jc w:val="left"/>
              <w:rPr>
                <w:sz w:val="21"/>
              </w:rPr>
            </w:pPr>
            <w:r>
              <w:rPr>
                <w:spacing w:val="-2"/>
                <w:sz w:val="21"/>
              </w:rPr>
              <w:t>保险期间</w:t>
            </w:r>
          </w:p>
          <w:p>
            <w:pPr>
              <w:pStyle w:val="TableParagraph"/>
              <w:numPr>
                <w:ilvl w:val="1"/>
                <w:numId w:val="2"/>
              </w:numPr>
              <w:tabs>
                <w:tab w:pos="729" w:val="left" w:leader="none"/>
              </w:tabs>
              <w:spacing w:line="240" w:lineRule="auto" w:before="37" w:after="0"/>
              <w:ind w:left="728" w:right="0" w:hanging="423"/>
              <w:jc w:val="left"/>
              <w:rPr>
                <w:sz w:val="21"/>
              </w:rPr>
            </w:pPr>
            <w:r>
              <w:rPr>
                <w:spacing w:val="-2"/>
                <w:sz w:val="21"/>
              </w:rPr>
              <w:t>保险责任</w:t>
            </w:r>
          </w:p>
          <w:p>
            <w:pPr>
              <w:pStyle w:val="TableParagraph"/>
              <w:numPr>
                <w:ilvl w:val="1"/>
                <w:numId w:val="2"/>
              </w:numPr>
              <w:tabs>
                <w:tab w:pos="729" w:val="left" w:leader="none"/>
              </w:tabs>
              <w:spacing w:line="260" w:lineRule="exact" w:before="37" w:after="0"/>
              <w:ind w:left="728" w:right="0" w:hanging="423"/>
              <w:jc w:val="left"/>
              <w:rPr>
                <w:sz w:val="21"/>
              </w:rPr>
            </w:pPr>
            <w:r>
              <w:rPr>
                <w:spacing w:val="-2"/>
                <w:sz w:val="21"/>
              </w:rPr>
              <w:t>责任免除</w:t>
            </w:r>
          </w:p>
          <w:p>
            <w:pPr>
              <w:pStyle w:val="TableParagraph"/>
              <w:numPr>
                <w:ilvl w:val="0"/>
                <w:numId w:val="2"/>
              </w:numPr>
              <w:tabs>
                <w:tab w:pos="517" w:val="left" w:leader="none"/>
              </w:tabs>
              <w:spacing w:line="351"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保险金的申请</w:t>
            </w:r>
          </w:p>
          <w:p>
            <w:pPr>
              <w:pStyle w:val="TableParagraph"/>
              <w:numPr>
                <w:ilvl w:val="1"/>
                <w:numId w:val="2"/>
              </w:numPr>
              <w:tabs>
                <w:tab w:pos="724" w:val="left" w:leader="none"/>
              </w:tabs>
              <w:spacing w:line="240" w:lineRule="auto" w:before="13" w:after="0"/>
              <w:ind w:left="723" w:right="0" w:hanging="423"/>
              <w:jc w:val="left"/>
              <w:rPr>
                <w:sz w:val="21"/>
              </w:rPr>
            </w:pPr>
            <w:r>
              <w:rPr>
                <w:sz w:val="21"/>
              </w:rPr>
              <w:t>受益人</w:t>
            </w:r>
          </w:p>
          <w:p>
            <w:pPr>
              <w:pStyle w:val="TableParagraph"/>
              <w:numPr>
                <w:ilvl w:val="1"/>
                <w:numId w:val="2"/>
              </w:numPr>
              <w:tabs>
                <w:tab w:pos="729" w:val="left" w:leader="none"/>
              </w:tabs>
              <w:spacing w:line="240" w:lineRule="auto" w:before="37" w:after="0"/>
              <w:ind w:left="728" w:right="0" w:hanging="423"/>
              <w:jc w:val="left"/>
              <w:rPr>
                <w:sz w:val="21"/>
              </w:rPr>
            </w:pPr>
            <w:r>
              <w:rPr>
                <w:spacing w:val="-2"/>
                <w:sz w:val="21"/>
              </w:rPr>
              <w:t>保险事故通知</w:t>
            </w:r>
          </w:p>
          <w:p>
            <w:pPr>
              <w:pStyle w:val="TableParagraph"/>
              <w:numPr>
                <w:ilvl w:val="1"/>
                <w:numId w:val="2"/>
              </w:numPr>
              <w:tabs>
                <w:tab w:pos="729" w:val="left" w:leader="none"/>
              </w:tabs>
              <w:spacing w:line="240" w:lineRule="auto" w:before="37" w:after="0"/>
              <w:ind w:left="728" w:right="0" w:hanging="423"/>
              <w:jc w:val="left"/>
              <w:rPr>
                <w:sz w:val="21"/>
              </w:rPr>
            </w:pPr>
            <w:r>
              <w:rPr>
                <w:spacing w:val="-2"/>
                <w:sz w:val="21"/>
              </w:rPr>
              <w:t>保险金申请</w:t>
            </w:r>
          </w:p>
          <w:p>
            <w:pPr>
              <w:pStyle w:val="TableParagraph"/>
              <w:numPr>
                <w:ilvl w:val="1"/>
                <w:numId w:val="2"/>
              </w:numPr>
              <w:tabs>
                <w:tab w:pos="729" w:val="left" w:leader="none"/>
              </w:tabs>
              <w:spacing w:line="240" w:lineRule="auto" w:before="37" w:after="0"/>
              <w:ind w:left="728" w:right="0" w:hanging="423"/>
              <w:jc w:val="left"/>
              <w:rPr>
                <w:sz w:val="21"/>
              </w:rPr>
            </w:pPr>
            <w:r>
              <w:rPr>
                <w:spacing w:val="-2"/>
                <w:sz w:val="21"/>
              </w:rPr>
              <w:t>保险金给付</w:t>
            </w:r>
          </w:p>
          <w:p>
            <w:pPr>
              <w:pStyle w:val="TableParagraph"/>
              <w:numPr>
                <w:ilvl w:val="1"/>
                <w:numId w:val="2"/>
              </w:numPr>
              <w:tabs>
                <w:tab w:pos="729" w:val="left" w:leader="none"/>
              </w:tabs>
              <w:spacing w:line="260" w:lineRule="exact" w:before="37" w:after="0"/>
              <w:ind w:left="728" w:right="0" w:hanging="423"/>
              <w:jc w:val="left"/>
              <w:rPr>
                <w:sz w:val="21"/>
              </w:rPr>
            </w:pPr>
            <w:r>
              <w:rPr>
                <w:spacing w:val="-2"/>
                <w:sz w:val="21"/>
              </w:rPr>
              <w:t>诉讼时效</w:t>
            </w:r>
          </w:p>
          <w:p>
            <w:pPr>
              <w:pStyle w:val="TableParagraph"/>
              <w:numPr>
                <w:ilvl w:val="0"/>
                <w:numId w:val="2"/>
              </w:numPr>
              <w:tabs>
                <w:tab w:pos="517" w:val="left" w:leader="none"/>
              </w:tabs>
              <w:spacing w:line="351"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保险费的交纳</w:t>
            </w:r>
          </w:p>
          <w:p>
            <w:pPr>
              <w:pStyle w:val="TableParagraph"/>
              <w:numPr>
                <w:ilvl w:val="1"/>
                <w:numId w:val="2"/>
              </w:numPr>
              <w:tabs>
                <w:tab w:pos="729" w:val="left" w:leader="none"/>
              </w:tabs>
              <w:spacing w:line="260" w:lineRule="exact" w:before="13" w:after="0"/>
              <w:ind w:left="728" w:right="0" w:hanging="423"/>
              <w:jc w:val="left"/>
              <w:rPr>
                <w:sz w:val="21"/>
              </w:rPr>
            </w:pPr>
            <w:r>
              <w:rPr>
                <w:spacing w:val="-2"/>
                <w:sz w:val="21"/>
              </w:rPr>
              <w:t>保险费的交纳</w:t>
            </w:r>
          </w:p>
          <w:p>
            <w:pPr>
              <w:pStyle w:val="TableParagraph"/>
              <w:numPr>
                <w:ilvl w:val="0"/>
                <w:numId w:val="2"/>
              </w:numPr>
              <w:tabs>
                <w:tab w:pos="517" w:val="left" w:leader="none"/>
              </w:tabs>
              <w:spacing w:line="351"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合同的解除</w:t>
            </w:r>
          </w:p>
          <w:p>
            <w:pPr>
              <w:pStyle w:val="TableParagraph"/>
              <w:numPr>
                <w:ilvl w:val="1"/>
                <w:numId w:val="2"/>
              </w:numPr>
              <w:tabs>
                <w:tab w:pos="729" w:val="left" w:leader="none"/>
              </w:tabs>
              <w:spacing w:line="240" w:lineRule="auto" w:before="14" w:after="0"/>
              <w:ind w:left="728" w:right="0" w:hanging="423"/>
              <w:jc w:val="left"/>
              <w:rPr>
                <w:sz w:val="21"/>
              </w:rPr>
            </w:pPr>
            <w:r>
              <w:rPr>
                <w:spacing w:val="-3"/>
                <w:sz w:val="21"/>
              </w:rPr>
              <w:t>解除合同的手续及风险</w:t>
            </w:r>
          </w:p>
        </w:tc>
        <w:tc>
          <w:tcPr>
            <w:tcW w:w="3087" w:type="dxa"/>
          </w:tcPr>
          <w:p>
            <w:pPr>
              <w:pStyle w:val="TableParagraph"/>
              <w:numPr>
                <w:ilvl w:val="0"/>
                <w:numId w:val="3"/>
              </w:numPr>
              <w:tabs>
                <w:tab w:pos="431" w:val="left" w:leader="none"/>
              </w:tabs>
              <w:spacing w:line="235" w:lineRule="exact" w:before="0" w:after="0"/>
              <w:ind w:left="430" w:right="0" w:hanging="317"/>
              <w:jc w:val="left"/>
              <w:rPr>
                <w:rFonts w:ascii="Microsoft JhengHei" w:eastAsia="Microsoft JhengHei" w:hint="eastAsia"/>
                <w:b/>
                <w:sz w:val="21"/>
              </w:rPr>
            </w:pPr>
            <w:r>
              <w:rPr>
                <w:rFonts w:ascii="Microsoft JhengHei" w:eastAsia="Microsoft JhengHei" w:hint="eastAsia"/>
                <w:b/>
                <w:sz w:val="21"/>
              </w:rPr>
              <w:t>其他需要关注的事项</w:t>
            </w:r>
          </w:p>
          <w:p>
            <w:pPr>
              <w:pStyle w:val="TableParagraph"/>
              <w:numPr>
                <w:ilvl w:val="1"/>
                <w:numId w:val="3"/>
              </w:numPr>
              <w:tabs>
                <w:tab w:pos="642" w:val="left" w:leader="none"/>
              </w:tabs>
              <w:spacing w:line="240" w:lineRule="auto" w:before="13" w:after="0"/>
              <w:ind w:left="641" w:right="0" w:hanging="418"/>
              <w:jc w:val="left"/>
              <w:rPr>
                <w:sz w:val="21"/>
              </w:rPr>
            </w:pPr>
            <w:r>
              <w:rPr>
                <w:spacing w:val="-3"/>
                <w:sz w:val="21"/>
              </w:rPr>
              <w:t>明确说明与如实告知</w:t>
            </w:r>
          </w:p>
          <w:p>
            <w:pPr>
              <w:pStyle w:val="TableParagraph"/>
              <w:numPr>
                <w:ilvl w:val="1"/>
                <w:numId w:val="3"/>
              </w:numPr>
              <w:tabs>
                <w:tab w:pos="642" w:val="left" w:leader="none"/>
              </w:tabs>
              <w:spacing w:line="240" w:lineRule="auto" w:before="37" w:after="0"/>
              <w:ind w:left="641" w:right="0" w:hanging="422"/>
              <w:jc w:val="left"/>
              <w:rPr>
                <w:sz w:val="21"/>
              </w:rPr>
            </w:pPr>
            <w:r>
              <w:rPr>
                <w:spacing w:val="-2"/>
                <w:sz w:val="21"/>
              </w:rPr>
              <w:t>年龄性别错误</w:t>
            </w:r>
          </w:p>
          <w:p>
            <w:pPr>
              <w:pStyle w:val="TableParagraph"/>
              <w:numPr>
                <w:ilvl w:val="1"/>
                <w:numId w:val="3"/>
              </w:numPr>
              <w:tabs>
                <w:tab w:pos="642" w:val="left" w:leader="none"/>
              </w:tabs>
              <w:spacing w:line="240" w:lineRule="auto" w:before="37" w:after="0"/>
              <w:ind w:left="641" w:right="0" w:hanging="422"/>
              <w:jc w:val="left"/>
              <w:rPr>
                <w:sz w:val="21"/>
              </w:rPr>
            </w:pPr>
            <w:r>
              <w:rPr>
                <w:spacing w:val="-2"/>
                <w:sz w:val="21"/>
              </w:rPr>
              <w:t>被保险人变动</w:t>
            </w:r>
          </w:p>
          <w:p>
            <w:pPr>
              <w:pStyle w:val="TableParagraph"/>
              <w:numPr>
                <w:ilvl w:val="1"/>
                <w:numId w:val="3"/>
              </w:numPr>
              <w:tabs>
                <w:tab w:pos="642" w:val="left" w:leader="none"/>
              </w:tabs>
              <w:spacing w:line="240" w:lineRule="auto" w:before="37" w:after="0"/>
              <w:ind w:left="641" w:right="0" w:hanging="422"/>
              <w:jc w:val="left"/>
              <w:rPr>
                <w:sz w:val="21"/>
              </w:rPr>
            </w:pPr>
            <w:r>
              <w:rPr>
                <w:spacing w:val="-2"/>
                <w:sz w:val="21"/>
              </w:rPr>
              <w:t>合同内容变更</w:t>
            </w:r>
          </w:p>
          <w:p>
            <w:pPr>
              <w:pStyle w:val="TableParagraph"/>
              <w:numPr>
                <w:ilvl w:val="1"/>
                <w:numId w:val="3"/>
              </w:numPr>
              <w:tabs>
                <w:tab w:pos="642" w:val="left" w:leader="none"/>
              </w:tabs>
              <w:spacing w:line="240" w:lineRule="auto" w:before="38" w:after="0"/>
              <w:ind w:left="641" w:right="0" w:hanging="422"/>
              <w:jc w:val="left"/>
              <w:rPr>
                <w:sz w:val="21"/>
              </w:rPr>
            </w:pPr>
            <w:r>
              <w:rPr>
                <w:spacing w:val="-2"/>
                <w:sz w:val="21"/>
              </w:rPr>
              <w:t>联系方式变更</w:t>
            </w:r>
          </w:p>
          <w:p>
            <w:pPr>
              <w:pStyle w:val="TableParagraph"/>
              <w:numPr>
                <w:ilvl w:val="1"/>
                <w:numId w:val="3"/>
              </w:numPr>
              <w:tabs>
                <w:tab w:pos="642" w:val="left" w:leader="none"/>
              </w:tabs>
              <w:spacing w:line="260" w:lineRule="exact" w:before="37" w:after="0"/>
              <w:ind w:left="641" w:right="0" w:hanging="422"/>
              <w:jc w:val="left"/>
              <w:rPr>
                <w:sz w:val="21"/>
              </w:rPr>
            </w:pPr>
            <w:r>
              <w:rPr>
                <w:spacing w:val="-2"/>
                <w:sz w:val="21"/>
              </w:rPr>
              <w:t>争议处理</w:t>
            </w:r>
          </w:p>
          <w:p>
            <w:pPr>
              <w:pStyle w:val="TableParagraph"/>
              <w:numPr>
                <w:ilvl w:val="0"/>
                <w:numId w:val="3"/>
              </w:numPr>
              <w:tabs>
                <w:tab w:pos="431" w:val="left" w:leader="none"/>
              </w:tabs>
              <w:spacing w:line="324" w:lineRule="exact" w:before="0" w:after="0"/>
              <w:ind w:left="430" w:right="0" w:hanging="317"/>
              <w:jc w:val="left"/>
              <w:rPr>
                <w:rFonts w:ascii="Microsoft JhengHei" w:eastAsia="Microsoft JhengHei" w:hint="eastAsia"/>
                <w:b/>
                <w:sz w:val="21"/>
              </w:rPr>
            </w:pPr>
            <w:r>
              <w:rPr>
                <w:rFonts w:ascii="Microsoft JhengHei" w:eastAsia="Microsoft JhengHei" w:hint="eastAsia"/>
                <w:b/>
                <w:sz w:val="21"/>
              </w:rPr>
              <w:t>重大疾病定义</w:t>
            </w:r>
          </w:p>
          <w:p>
            <w:pPr>
              <w:pStyle w:val="TableParagraph"/>
              <w:numPr>
                <w:ilvl w:val="0"/>
                <w:numId w:val="3"/>
              </w:numPr>
              <w:tabs>
                <w:tab w:pos="431" w:val="left" w:leader="none"/>
              </w:tabs>
              <w:spacing w:line="339" w:lineRule="exact" w:before="0" w:after="0"/>
              <w:ind w:left="430" w:right="0" w:hanging="317"/>
              <w:jc w:val="left"/>
              <w:rPr>
                <w:rFonts w:ascii="Microsoft JhengHei" w:eastAsia="Microsoft JhengHei" w:hint="eastAsia"/>
                <w:b/>
                <w:sz w:val="21"/>
              </w:rPr>
            </w:pPr>
            <w:r>
              <w:rPr>
                <w:rFonts w:ascii="Microsoft JhengHei" w:eastAsia="Microsoft JhengHei" w:hint="eastAsia"/>
                <w:b/>
                <w:sz w:val="21"/>
              </w:rPr>
              <w:t>释义</w:t>
            </w:r>
          </w:p>
          <w:p>
            <w:pPr>
              <w:pStyle w:val="TableParagraph"/>
              <w:numPr>
                <w:ilvl w:val="1"/>
                <w:numId w:val="3"/>
              </w:numPr>
              <w:tabs>
                <w:tab w:pos="747" w:val="left" w:leader="none"/>
                <w:tab w:pos="748" w:val="left" w:leader="none"/>
              </w:tabs>
              <w:spacing w:line="240" w:lineRule="auto" w:before="13" w:after="0"/>
              <w:ind w:left="747" w:right="0" w:hanging="528"/>
              <w:jc w:val="left"/>
              <w:rPr>
                <w:sz w:val="21"/>
              </w:rPr>
            </w:pPr>
            <w:r>
              <w:rPr>
                <w:spacing w:val="-2"/>
                <w:sz w:val="21"/>
              </w:rPr>
              <w:t>合法有效</w:t>
            </w:r>
          </w:p>
          <w:p>
            <w:pPr>
              <w:pStyle w:val="TableParagraph"/>
              <w:numPr>
                <w:ilvl w:val="1"/>
                <w:numId w:val="3"/>
              </w:numPr>
              <w:tabs>
                <w:tab w:pos="747" w:val="left" w:leader="none"/>
                <w:tab w:pos="748" w:val="left" w:leader="none"/>
              </w:tabs>
              <w:spacing w:line="240" w:lineRule="auto" w:before="37" w:after="0"/>
              <w:ind w:left="747" w:right="0" w:hanging="528"/>
              <w:jc w:val="left"/>
              <w:rPr>
                <w:sz w:val="21"/>
              </w:rPr>
            </w:pPr>
            <w:r>
              <w:rPr>
                <w:spacing w:val="-2"/>
                <w:sz w:val="21"/>
              </w:rPr>
              <w:t>意外伤害</w:t>
            </w:r>
          </w:p>
          <w:p>
            <w:pPr>
              <w:pStyle w:val="TableParagraph"/>
              <w:numPr>
                <w:ilvl w:val="1"/>
                <w:numId w:val="3"/>
              </w:numPr>
              <w:tabs>
                <w:tab w:pos="747" w:val="left" w:leader="none"/>
                <w:tab w:pos="748" w:val="left" w:leader="none"/>
              </w:tabs>
              <w:spacing w:line="240" w:lineRule="auto" w:before="37" w:after="0"/>
              <w:ind w:left="747" w:right="0" w:hanging="528"/>
              <w:jc w:val="left"/>
              <w:rPr>
                <w:sz w:val="21"/>
              </w:rPr>
            </w:pPr>
            <w:r>
              <w:rPr>
                <w:sz w:val="21"/>
              </w:rPr>
              <w:t>医院</w:t>
            </w:r>
          </w:p>
          <w:p>
            <w:pPr>
              <w:pStyle w:val="TableParagraph"/>
              <w:numPr>
                <w:ilvl w:val="1"/>
                <w:numId w:val="3"/>
              </w:numPr>
              <w:tabs>
                <w:tab w:pos="747" w:val="left" w:leader="none"/>
                <w:tab w:pos="748" w:val="left" w:leader="none"/>
              </w:tabs>
              <w:spacing w:line="240" w:lineRule="auto" w:before="36" w:after="0"/>
              <w:ind w:left="747" w:right="0" w:hanging="528"/>
              <w:jc w:val="left"/>
              <w:rPr>
                <w:sz w:val="21"/>
              </w:rPr>
            </w:pPr>
            <w:r>
              <w:rPr>
                <w:spacing w:val="-2"/>
                <w:sz w:val="21"/>
              </w:rPr>
              <w:t>专科医生</w:t>
            </w:r>
          </w:p>
          <w:p>
            <w:pPr>
              <w:pStyle w:val="TableParagraph"/>
              <w:numPr>
                <w:ilvl w:val="1"/>
                <w:numId w:val="3"/>
              </w:numPr>
              <w:tabs>
                <w:tab w:pos="747" w:val="left" w:leader="none"/>
                <w:tab w:pos="748" w:val="left" w:leader="none"/>
              </w:tabs>
              <w:spacing w:line="240" w:lineRule="auto" w:before="36" w:after="0"/>
              <w:ind w:left="747" w:right="0" w:hanging="528"/>
              <w:jc w:val="left"/>
              <w:rPr>
                <w:sz w:val="21"/>
              </w:rPr>
            </w:pPr>
            <w:r>
              <w:rPr>
                <w:spacing w:val="-2"/>
                <w:sz w:val="21"/>
              </w:rPr>
              <w:t>初次确诊</w:t>
            </w:r>
          </w:p>
          <w:p>
            <w:pPr>
              <w:pStyle w:val="TableParagraph"/>
              <w:numPr>
                <w:ilvl w:val="1"/>
                <w:numId w:val="3"/>
              </w:numPr>
              <w:tabs>
                <w:tab w:pos="747" w:val="left" w:leader="none"/>
                <w:tab w:pos="748" w:val="left" w:leader="none"/>
              </w:tabs>
              <w:spacing w:line="240" w:lineRule="auto" w:before="36" w:after="0"/>
              <w:ind w:left="747" w:right="0" w:hanging="528"/>
              <w:jc w:val="left"/>
              <w:rPr>
                <w:sz w:val="21"/>
              </w:rPr>
            </w:pPr>
            <w:r>
              <w:rPr>
                <w:sz w:val="21"/>
              </w:rPr>
              <w:t>毒品</w:t>
            </w:r>
          </w:p>
          <w:p>
            <w:pPr>
              <w:pStyle w:val="TableParagraph"/>
              <w:numPr>
                <w:ilvl w:val="1"/>
                <w:numId w:val="3"/>
              </w:numPr>
              <w:tabs>
                <w:tab w:pos="742" w:val="left" w:leader="none"/>
                <w:tab w:pos="743" w:val="left" w:leader="none"/>
              </w:tabs>
              <w:spacing w:line="240" w:lineRule="auto" w:before="36" w:after="0"/>
              <w:ind w:left="742" w:right="0" w:hanging="528"/>
              <w:jc w:val="left"/>
              <w:rPr>
                <w:sz w:val="21"/>
              </w:rPr>
            </w:pPr>
            <w:r>
              <w:rPr>
                <w:spacing w:val="-2"/>
                <w:sz w:val="21"/>
              </w:rPr>
              <w:t>酒后驾驶</w:t>
            </w:r>
          </w:p>
          <w:p>
            <w:pPr>
              <w:pStyle w:val="TableParagraph"/>
              <w:numPr>
                <w:ilvl w:val="1"/>
                <w:numId w:val="3"/>
              </w:numPr>
              <w:tabs>
                <w:tab w:pos="742" w:val="left" w:leader="none"/>
                <w:tab w:pos="743" w:val="left" w:leader="none"/>
              </w:tabs>
              <w:spacing w:line="240" w:lineRule="auto" w:before="37" w:after="0"/>
              <w:ind w:left="742" w:right="0" w:hanging="528"/>
              <w:jc w:val="left"/>
              <w:rPr>
                <w:sz w:val="21"/>
              </w:rPr>
            </w:pPr>
            <w:r>
              <w:rPr>
                <w:spacing w:val="-3"/>
                <w:sz w:val="21"/>
              </w:rPr>
              <w:t>无合法有效驾驶证驾驶</w:t>
            </w:r>
          </w:p>
          <w:p>
            <w:pPr>
              <w:pStyle w:val="TableParagraph"/>
              <w:numPr>
                <w:ilvl w:val="1"/>
                <w:numId w:val="3"/>
              </w:numPr>
              <w:tabs>
                <w:tab w:pos="742" w:val="left" w:leader="none"/>
                <w:tab w:pos="743" w:val="left" w:leader="none"/>
              </w:tabs>
              <w:spacing w:line="240" w:lineRule="auto" w:before="37" w:after="0"/>
              <w:ind w:left="742" w:right="0" w:hanging="528"/>
              <w:jc w:val="left"/>
              <w:rPr>
                <w:sz w:val="21"/>
              </w:rPr>
            </w:pPr>
            <w:r>
              <w:rPr>
                <w:spacing w:val="-3"/>
                <w:sz w:val="21"/>
              </w:rPr>
              <w:t>无合法有效行驶证</w:t>
            </w:r>
          </w:p>
          <w:p>
            <w:pPr>
              <w:pStyle w:val="TableParagraph"/>
              <w:numPr>
                <w:ilvl w:val="1"/>
                <w:numId w:val="3"/>
              </w:numPr>
              <w:tabs>
                <w:tab w:pos="743" w:val="left" w:leader="none"/>
              </w:tabs>
              <w:spacing w:line="240" w:lineRule="auto" w:before="37" w:after="0"/>
              <w:ind w:left="742" w:right="0" w:hanging="528"/>
              <w:jc w:val="left"/>
              <w:rPr>
                <w:sz w:val="21"/>
              </w:rPr>
            </w:pPr>
            <w:r>
              <w:rPr>
                <w:sz w:val="21"/>
              </w:rPr>
              <w:t>机动车</w:t>
            </w:r>
          </w:p>
        </w:tc>
        <w:tc>
          <w:tcPr>
            <w:tcW w:w="3285" w:type="dxa"/>
          </w:tcPr>
          <w:p>
            <w:pPr>
              <w:pStyle w:val="TableParagraph"/>
              <w:numPr>
                <w:ilvl w:val="1"/>
                <w:numId w:val="4"/>
              </w:numPr>
              <w:tabs>
                <w:tab w:pos="772" w:val="left" w:leader="none"/>
              </w:tabs>
              <w:spacing w:line="211" w:lineRule="exact" w:before="0" w:after="0"/>
              <w:ind w:left="762" w:right="0" w:hanging="519"/>
              <w:jc w:val="left"/>
              <w:rPr>
                <w:sz w:val="21"/>
              </w:rPr>
            </w:pPr>
            <w:r>
              <w:rPr>
                <w:spacing w:val="-3"/>
                <w:sz w:val="21"/>
              </w:rPr>
              <w:t>感染艾滋病病毒或者患艾</w:t>
            </w:r>
          </w:p>
          <w:p>
            <w:pPr>
              <w:pStyle w:val="TableParagraph"/>
              <w:spacing w:before="37"/>
              <w:ind w:left="776"/>
              <w:rPr>
                <w:sz w:val="21"/>
              </w:rPr>
            </w:pPr>
            <w:r>
              <w:rPr>
                <w:sz w:val="21"/>
              </w:rPr>
              <w:t>滋病</w:t>
            </w:r>
          </w:p>
          <w:p>
            <w:pPr>
              <w:pStyle w:val="TableParagraph"/>
              <w:numPr>
                <w:ilvl w:val="1"/>
                <w:numId w:val="4"/>
              </w:numPr>
              <w:tabs>
                <w:tab w:pos="772" w:val="left" w:leader="none"/>
              </w:tabs>
              <w:spacing w:line="240" w:lineRule="auto" w:before="37" w:after="0"/>
              <w:ind w:left="762" w:right="0" w:hanging="519"/>
              <w:jc w:val="left"/>
              <w:rPr>
                <w:sz w:val="21"/>
              </w:rPr>
            </w:pPr>
            <w:r>
              <w:rPr>
                <w:spacing w:val="-2"/>
                <w:sz w:val="21"/>
              </w:rPr>
              <w:t>遗传性疾病</w:t>
            </w:r>
          </w:p>
          <w:p>
            <w:pPr>
              <w:pStyle w:val="TableParagraph"/>
              <w:numPr>
                <w:ilvl w:val="1"/>
                <w:numId w:val="4"/>
              </w:numPr>
              <w:tabs>
                <w:tab w:pos="772" w:val="left" w:leader="none"/>
              </w:tabs>
              <w:spacing w:line="273" w:lineRule="auto" w:before="37" w:after="0"/>
              <w:ind w:left="762" w:right="197" w:hanging="519"/>
              <w:jc w:val="left"/>
              <w:rPr>
                <w:sz w:val="21"/>
              </w:rPr>
            </w:pPr>
            <w:r>
              <w:rPr>
                <w:spacing w:val="-3"/>
                <w:sz w:val="21"/>
              </w:rPr>
              <w:t>先天性畸形、变形或者染色体异常</w:t>
            </w:r>
          </w:p>
          <w:p>
            <w:pPr>
              <w:pStyle w:val="TableParagraph"/>
              <w:numPr>
                <w:ilvl w:val="1"/>
                <w:numId w:val="4"/>
              </w:numPr>
              <w:tabs>
                <w:tab w:pos="777" w:val="left" w:leader="none"/>
              </w:tabs>
              <w:spacing w:line="240" w:lineRule="auto" w:before="8" w:after="0"/>
              <w:ind w:left="776" w:right="0" w:hanging="528"/>
              <w:jc w:val="left"/>
              <w:rPr>
                <w:sz w:val="21"/>
              </w:rPr>
            </w:pPr>
            <w:r>
              <w:rPr>
                <w:spacing w:val="-2"/>
                <w:sz w:val="21"/>
              </w:rPr>
              <w:t>现金价值</w:t>
            </w:r>
          </w:p>
          <w:p>
            <w:pPr>
              <w:pStyle w:val="TableParagraph"/>
              <w:numPr>
                <w:ilvl w:val="1"/>
                <w:numId w:val="4"/>
              </w:numPr>
              <w:tabs>
                <w:tab w:pos="777" w:val="left" w:leader="none"/>
              </w:tabs>
              <w:spacing w:line="240" w:lineRule="auto" w:before="37" w:after="0"/>
              <w:ind w:left="776" w:right="0" w:hanging="528"/>
              <w:jc w:val="left"/>
              <w:rPr>
                <w:sz w:val="21"/>
              </w:rPr>
            </w:pPr>
            <w:r>
              <w:rPr>
                <w:spacing w:val="-2"/>
                <w:sz w:val="21"/>
              </w:rPr>
              <w:t>有效身份证件</w:t>
            </w:r>
          </w:p>
          <w:p>
            <w:pPr>
              <w:pStyle w:val="TableParagraph"/>
              <w:numPr>
                <w:ilvl w:val="1"/>
                <w:numId w:val="4"/>
              </w:numPr>
              <w:tabs>
                <w:tab w:pos="772" w:val="left" w:leader="none"/>
              </w:tabs>
              <w:spacing w:line="240" w:lineRule="auto" w:before="37" w:after="0"/>
              <w:ind w:left="762" w:right="0" w:hanging="519"/>
              <w:jc w:val="left"/>
              <w:rPr>
                <w:sz w:val="21"/>
              </w:rPr>
            </w:pPr>
            <w:r>
              <w:rPr>
                <w:spacing w:val="-3"/>
                <w:sz w:val="21"/>
              </w:rPr>
              <w:t>肢体机能完全丧失</w:t>
            </w:r>
          </w:p>
          <w:p>
            <w:pPr>
              <w:pStyle w:val="TableParagraph"/>
              <w:numPr>
                <w:ilvl w:val="1"/>
                <w:numId w:val="4"/>
              </w:numPr>
              <w:tabs>
                <w:tab w:pos="772" w:val="left" w:leader="none"/>
              </w:tabs>
              <w:spacing w:line="273" w:lineRule="auto" w:before="37" w:after="0"/>
              <w:ind w:left="786" w:right="197" w:hanging="543"/>
              <w:jc w:val="left"/>
              <w:rPr>
                <w:sz w:val="21"/>
              </w:rPr>
            </w:pPr>
            <w:r>
              <w:rPr>
                <w:spacing w:val="-3"/>
                <w:sz w:val="21"/>
              </w:rPr>
              <w:t>语言能力或咀嚼吞咽能力完全丧失</w:t>
            </w:r>
          </w:p>
          <w:p>
            <w:pPr>
              <w:pStyle w:val="TableParagraph"/>
              <w:numPr>
                <w:ilvl w:val="1"/>
                <w:numId w:val="4"/>
              </w:numPr>
              <w:tabs>
                <w:tab w:pos="772" w:val="left" w:leader="none"/>
              </w:tabs>
              <w:spacing w:line="240" w:lineRule="auto" w:before="7" w:after="0"/>
              <w:ind w:left="762" w:right="0" w:hanging="519"/>
              <w:jc w:val="left"/>
              <w:rPr>
                <w:sz w:val="21"/>
              </w:rPr>
            </w:pPr>
            <w:r>
              <w:rPr>
                <w:spacing w:val="-3"/>
                <w:sz w:val="21"/>
              </w:rPr>
              <w:t>六项基本日常生活活动</w:t>
            </w:r>
          </w:p>
          <w:p>
            <w:pPr>
              <w:pStyle w:val="TableParagraph"/>
              <w:numPr>
                <w:ilvl w:val="1"/>
                <w:numId w:val="4"/>
              </w:numPr>
              <w:tabs>
                <w:tab w:pos="772" w:val="left" w:leader="none"/>
              </w:tabs>
              <w:spacing w:line="260" w:lineRule="exact" w:before="36" w:after="0"/>
              <w:ind w:left="762" w:right="0" w:hanging="519"/>
              <w:jc w:val="left"/>
              <w:rPr>
                <w:sz w:val="21"/>
              </w:rPr>
            </w:pPr>
            <w:r>
              <w:rPr>
                <w:spacing w:val="-2"/>
                <w:sz w:val="21"/>
              </w:rPr>
              <w:t>永久不可逆</w:t>
            </w:r>
          </w:p>
          <w:p>
            <w:pPr>
              <w:pStyle w:val="TableParagraph"/>
              <w:tabs>
                <w:tab w:pos="776" w:val="left" w:leader="none"/>
              </w:tabs>
              <w:spacing w:line="351" w:lineRule="exact"/>
              <w:ind w:left="248"/>
              <w:rPr>
                <w:rFonts w:ascii="Microsoft JhengHei" w:eastAsia="Microsoft JhengHei" w:hint="eastAsia"/>
                <w:b/>
                <w:sz w:val="21"/>
              </w:rPr>
            </w:pPr>
            <w:r>
              <w:rPr>
                <w:rFonts w:ascii="Microsoft JhengHei" w:eastAsia="Microsoft JhengHei" w:hint="eastAsia"/>
                <w:b/>
                <w:w w:val="84"/>
                <w:sz w:val="21"/>
              </w:rPr>
              <w:t>9</w:t>
            </w:r>
            <w:r>
              <w:rPr>
                <w:rFonts w:ascii="Microsoft JhengHei" w:eastAsia="Microsoft JhengHei" w:hint="eastAsia"/>
                <w:b/>
                <w:w w:val="197"/>
                <w:sz w:val="21"/>
              </w:rPr>
              <w:t>.</w:t>
            </w:r>
            <w:r>
              <w:rPr>
                <w:rFonts w:ascii="Microsoft JhengHei" w:eastAsia="Microsoft JhengHei" w:hint="eastAsia"/>
                <w:b/>
                <w:sz w:val="21"/>
              </w:rPr>
              <w:tab/>
            </w:r>
            <w:r>
              <w:rPr>
                <w:rFonts w:ascii="Microsoft JhengHei" w:eastAsia="Microsoft JhengHei" w:hint="eastAsia"/>
                <w:b/>
                <w:w w:val="100"/>
                <w:sz w:val="21"/>
              </w:rPr>
              <w:t>附表</w:t>
            </w:r>
            <w:r>
              <w:rPr>
                <w:rFonts w:ascii="Microsoft JhengHei" w:eastAsia="Microsoft JhengHei" w:hint="eastAsia"/>
                <w:b/>
                <w:w w:val="115"/>
                <w:sz w:val="21"/>
              </w:rPr>
              <w:t>-</w:t>
            </w:r>
            <w:r>
              <w:rPr>
                <w:rFonts w:ascii="Microsoft JhengHei" w:eastAsia="Microsoft JhengHei" w:hint="eastAsia"/>
                <w:b/>
                <w:w w:val="100"/>
                <w:sz w:val="21"/>
              </w:rPr>
              <w:t>保障方案</w:t>
            </w:r>
          </w:p>
        </w:tc>
      </w:tr>
    </w:tbl>
    <w:p>
      <w:pPr>
        <w:spacing w:after="0" w:line="351" w:lineRule="exact"/>
        <w:rPr>
          <w:rFonts w:ascii="Microsoft JhengHei" w:eastAsia="Microsoft JhengHei" w:hint="eastAsia"/>
          <w:sz w:val="21"/>
        </w:rPr>
        <w:sectPr>
          <w:type w:val="continuous"/>
          <w:pgSz w:w="11910" w:h="16840"/>
          <w:pgMar w:top="240" w:bottom="1080" w:left="780" w:right="780"/>
        </w:sectPr>
      </w:pPr>
    </w:p>
    <w:p>
      <w:pPr>
        <w:spacing w:line="431" w:lineRule="exact" w:before="0"/>
        <w:ind w:left="2443" w:right="0" w:firstLine="0"/>
        <w:jc w:val="left"/>
        <w:rPr>
          <w:rFonts w:ascii="Microsoft JhengHei" w:eastAsia="Microsoft JhengHei" w:hint="eastAsia"/>
          <w:b/>
          <w:sz w:val="32"/>
        </w:rPr>
      </w:pPr>
      <w:r>
        <w:rPr>
          <w:rFonts w:ascii="Microsoft JhengHei" w:eastAsia="Microsoft JhengHei" w:hint="eastAsia"/>
          <w:b/>
          <w:sz w:val="32"/>
        </w:rPr>
        <w:t>渤海人寿保险股份有限公司</w:t>
      </w:r>
    </w:p>
    <w:p>
      <w:pPr>
        <w:spacing w:before="67"/>
        <w:ind w:left="2122" w:right="0" w:firstLine="0"/>
        <w:jc w:val="left"/>
        <w:rPr>
          <w:rFonts w:ascii="Microsoft JhengHei" w:eastAsia="Microsoft JhengHei" w:hint="eastAsia"/>
          <w:b/>
          <w:sz w:val="32"/>
        </w:rPr>
      </w:pPr>
      <w:r>
        <w:rPr>
          <w:rFonts w:ascii="Microsoft JhengHei" w:eastAsia="Microsoft JhengHei" w:hint="eastAsia"/>
          <w:b/>
          <w:sz w:val="32"/>
        </w:rPr>
        <w:t>渤海人寿团体重大疾病保险条款</w:t>
      </w:r>
    </w:p>
    <w:p>
      <w:pPr>
        <w:pStyle w:val="BodyText"/>
        <w:spacing w:before="11"/>
        <w:rPr>
          <w:rFonts w:ascii="Microsoft JhengHei"/>
          <w:b/>
          <w:sz w:val="23"/>
        </w:rPr>
      </w:pPr>
    </w:p>
    <w:p>
      <w:pPr>
        <w:pStyle w:val="BodyText"/>
        <w:spacing w:line="273" w:lineRule="auto"/>
        <w:ind w:left="220" w:right="209"/>
      </w:pPr>
      <w:r>
        <w:rPr>
          <w:w w:val="100"/>
        </w:rPr>
        <w:t>在本条款中</w:t>
      </w:r>
      <w:r>
        <w:rPr>
          <w:spacing w:val="-15"/>
          <w:w w:val="100"/>
        </w:rPr>
        <w:t>，“本公司”均指渤海人寿保险股份有限公司</w:t>
      </w:r>
      <w:r>
        <w:rPr>
          <w:spacing w:val="-14"/>
          <w:w w:val="100"/>
        </w:rPr>
        <w:t>，“本合同”指投保人与本公司之间</w:t>
      </w:r>
      <w:r>
        <w:rPr>
          <w:spacing w:val="-15"/>
        </w:rPr>
        <w:t>订立的“渤海人寿团体重大疾病保险合同”。</w:t>
      </w:r>
    </w:p>
    <w:p>
      <w:pPr>
        <w:pStyle w:val="BodyText"/>
        <w:rPr>
          <w:sz w:val="20"/>
        </w:rPr>
      </w:pPr>
    </w:p>
    <w:p>
      <w:pPr>
        <w:pStyle w:val="BodyText"/>
        <w:spacing w:before="11" w:after="1"/>
        <w:rPr>
          <w:sz w:val="23"/>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5"/>
        <w:gridCol w:w="1407"/>
        <w:gridCol w:w="6267"/>
      </w:tblGrid>
      <w:tr>
        <w:trPr>
          <w:trHeight w:val="325" w:hRule="atLeast"/>
        </w:trPr>
        <w:tc>
          <w:tcPr>
            <w:tcW w:w="855" w:type="dxa"/>
            <w:tcBorders>
              <w:bottom w:val="single" w:sz="8" w:space="0" w:color="000000"/>
            </w:tcBorders>
          </w:tcPr>
          <w:p>
            <w:pPr>
              <w:pStyle w:val="TableParagraph"/>
              <w:spacing w:line="267" w:lineRule="exact"/>
              <w:ind w:left="110"/>
              <w:rPr>
                <w:rFonts w:ascii="Microsoft JhengHei"/>
                <w:b/>
                <w:sz w:val="24"/>
              </w:rPr>
            </w:pPr>
            <w:r>
              <w:rPr>
                <w:rFonts w:ascii="Microsoft JhengHei"/>
                <w:b/>
                <w:w w:val="120"/>
                <w:sz w:val="24"/>
              </w:rPr>
              <w:t>1.</w:t>
            </w:r>
          </w:p>
        </w:tc>
        <w:tc>
          <w:tcPr>
            <w:tcW w:w="7674" w:type="dxa"/>
            <w:gridSpan w:val="2"/>
            <w:tcBorders>
              <w:bottom w:val="single" w:sz="8" w:space="0" w:color="000000"/>
            </w:tcBorders>
          </w:tcPr>
          <w:p>
            <w:pPr>
              <w:pStyle w:val="TableParagraph"/>
              <w:spacing w:line="267" w:lineRule="exact"/>
              <w:ind w:left="427"/>
              <w:rPr>
                <w:rFonts w:ascii="Microsoft JhengHei" w:eastAsia="Microsoft JhengHei" w:hint="eastAsia"/>
                <w:b/>
                <w:sz w:val="24"/>
              </w:rPr>
            </w:pPr>
            <w:r>
              <w:rPr>
                <w:rFonts w:ascii="Microsoft JhengHei" w:eastAsia="Microsoft JhengHei" w:hint="eastAsia"/>
                <w:b/>
                <w:sz w:val="24"/>
              </w:rPr>
              <w:t>合同的订立</w:t>
            </w:r>
          </w:p>
        </w:tc>
      </w:tr>
      <w:tr>
        <w:trPr>
          <w:trHeight w:val="1717" w:hRule="atLeast"/>
        </w:trPr>
        <w:tc>
          <w:tcPr>
            <w:tcW w:w="855" w:type="dxa"/>
            <w:tcBorders>
              <w:top w:val="single" w:sz="8" w:space="0" w:color="000000"/>
            </w:tcBorders>
          </w:tcPr>
          <w:p>
            <w:pPr>
              <w:pStyle w:val="TableParagraph"/>
              <w:spacing w:before="7"/>
              <w:ind w:left="0"/>
              <w:rPr>
                <w:sz w:val="17"/>
              </w:rPr>
            </w:pPr>
          </w:p>
          <w:p>
            <w:pPr>
              <w:pStyle w:val="TableParagraph"/>
              <w:ind w:left="110"/>
              <w:rPr>
                <w:rFonts w:ascii="Microsoft JhengHei"/>
                <w:b/>
                <w:sz w:val="21"/>
              </w:rPr>
            </w:pPr>
            <w:r>
              <w:rPr>
                <w:rFonts w:ascii="Microsoft JhengHei"/>
                <w:b/>
                <w:w w:val="105"/>
                <w:sz w:val="21"/>
              </w:rPr>
              <w:t>1.1</w:t>
            </w:r>
          </w:p>
        </w:tc>
        <w:tc>
          <w:tcPr>
            <w:tcW w:w="1407" w:type="dxa"/>
            <w:tcBorders>
              <w:top w:val="single" w:sz="8" w:space="0" w:color="000000"/>
            </w:tcBorders>
          </w:tcPr>
          <w:p>
            <w:pPr>
              <w:pStyle w:val="TableParagraph"/>
              <w:spacing w:before="7"/>
              <w:ind w:left="0"/>
              <w:rPr>
                <w:sz w:val="17"/>
              </w:rPr>
            </w:pPr>
          </w:p>
          <w:p>
            <w:pPr>
              <w:pStyle w:val="TableParagraph"/>
              <w:ind w:left="0" w:right="133"/>
              <w:jc w:val="right"/>
              <w:rPr>
                <w:rFonts w:ascii="Microsoft JhengHei" w:eastAsia="Microsoft JhengHei" w:hint="eastAsia"/>
                <w:b/>
                <w:sz w:val="21"/>
              </w:rPr>
            </w:pPr>
            <w:r>
              <w:rPr>
                <w:rFonts w:ascii="Microsoft JhengHei" w:eastAsia="Microsoft JhengHei" w:hint="eastAsia"/>
                <w:b/>
                <w:sz w:val="21"/>
              </w:rPr>
              <w:t>合同构成</w:t>
            </w:r>
          </w:p>
        </w:tc>
        <w:tc>
          <w:tcPr>
            <w:tcW w:w="6267" w:type="dxa"/>
            <w:tcBorders>
              <w:top w:val="single" w:sz="8" w:space="0" w:color="000000"/>
            </w:tcBorders>
          </w:tcPr>
          <w:p>
            <w:pPr>
              <w:pStyle w:val="TableParagraph"/>
              <w:spacing w:before="8"/>
              <w:ind w:left="0"/>
              <w:rPr>
                <w:sz w:val="22"/>
              </w:rPr>
            </w:pPr>
          </w:p>
          <w:p>
            <w:pPr>
              <w:pStyle w:val="TableParagraph"/>
              <w:spacing w:line="268" w:lineRule="auto" w:before="1"/>
              <w:ind w:right="106"/>
              <w:rPr>
                <w:sz w:val="21"/>
              </w:rPr>
            </w:pPr>
            <w:r>
              <w:rPr>
                <w:spacing w:val="-8"/>
                <w:sz w:val="21"/>
              </w:rPr>
              <w:t>本合同是投保人与本公司约定保险权利义务关系的协议，包括本保</w:t>
            </w:r>
            <w:r>
              <w:rPr>
                <w:spacing w:val="-11"/>
                <w:sz w:val="21"/>
              </w:rPr>
              <w:t>险条款、保险单或者其他保险凭证、投保单、与本合同有关的投保</w:t>
            </w:r>
          </w:p>
          <w:p>
            <w:pPr>
              <w:pStyle w:val="TableParagraph"/>
              <w:spacing w:line="312" w:lineRule="exact" w:before="8"/>
              <w:ind w:right="104"/>
              <w:rPr>
                <w:sz w:val="21"/>
              </w:rPr>
            </w:pPr>
            <w:r>
              <w:rPr>
                <w:spacing w:val="-10"/>
                <w:sz w:val="21"/>
              </w:rPr>
              <w:t>文件、</w:t>
            </w:r>
            <w:r>
              <w:rPr>
                <w:rFonts w:ascii="微软雅黑" w:eastAsia="微软雅黑" w:hint="eastAsia"/>
                <w:b/>
                <w:spacing w:val="0"/>
                <w:sz w:val="21"/>
              </w:rPr>
              <w:t>合法有效</w:t>
            </w:r>
            <w:r>
              <w:rPr>
                <w:spacing w:val="-9"/>
                <w:sz w:val="21"/>
              </w:rPr>
              <w:t>的声明、批注、批单及其他投保人与本公司共同认</w:t>
            </w:r>
            <w:r>
              <w:rPr>
                <w:spacing w:val="-7"/>
                <w:sz w:val="21"/>
              </w:rPr>
              <w:t>可的书面协议。</w:t>
            </w:r>
          </w:p>
        </w:tc>
      </w:tr>
      <w:tr>
        <w:trPr>
          <w:trHeight w:val="1108" w:hRule="atLeast"/>
        </w:trPr>
        <w:tc>
          <w:tcPr>
            <w:tcW w:w="855" w:type="dxa"/>
          </w:tcPr>
          <w:p>
            <w:pPr>
              <w:pStyle w:val="TableParagraph"/>
              <w:spacing w:before="83"/>
              <w:ind w:left="110"/>
              <w:rPr>
                <w:rFonts w:ascii="Microsoft JhengHei"/>
                <w:b/>
                <w:sz w:val="21"/>
              </w:rPr>
            </w:pPr>
            <w:r>
              <w:rPr>
                <w:rFonts w:ascii="Microsoft JhengHei"/>
                <w:b/>
                <w:w w:val="105"/>
                <w:sz w:val="21"/>
              </w:rPr>
              <w:t>1.2</w:t>
            </w:r>
          </w:p>
        </w:tc>
        <w:tc>
          <w:tcPr>
            <w:tcW w:w="1407" w:type="dxa"/>
          </w:tcPr>
          <w:p>
            <w:pPr>
              <w:pStyle w:val="TableParagraph"/>
              <w:spacing w:line="204" w:lineRule="auto" w:before="138"/>
              <w:ind w:left="427" w:right="133"/>
              <w:rPr>
                <w:rFonts w:ascii="Microsoft JhengHei" w:eastAsia="Microsoft JhengHei" w:hint="eastAsia"/>
                <w:b/>
                <w:sz w:val="21"/>
              </w:rPr>
            </w:pPr>
            <w:r>
              <w:rPr>
                <w:rFonts w:ascii="Microsoft JhengHei" w:eastAsia="Microsoft JhengHei" w:hint="eastAsia"/>
                <w:b/>
                <w:sz w:val="21"/>
              </w:rPr>
              <w:t>合同成立及生效</w:t>
            </w:r>
          </w:p>
        </w:tc>
        <w:tc>
          <w:tcPr>
            <w:tcW w:w="6267" w:type="dxa"/>
          </w:tcPr>
          <w:p>
            <w:pPr>
              <w:pStyle w:val="TableParagraph"/>
              <w:spacing w:line="410" w:lineRule="auto" w:before="150"/>
              <w:ind w:right="1091"/>
              <w:rPr>
                <w:sz w:val="21"/>
              </w:rPr>
            </w:pPr>
            <w:r>
              <w:rPr>
                <w:sz w:val="21"/>
              </w:rPr>
              <w:t>投保人提出保险申请且本公司同意承保，本合同成立。本合同的成立日、生效日以本合同记载的日期为准。</w:t>
            </w:r>
          </w:p>
        </w:tc>
      </w:tr>
      <w:tr>
        <w:trPr>
          <w:trHeight w:val="2683" w:hRule="atLeast"/>
        </w:trPr>
        <w:tc>
          <w:tcPr>
            <w:tcW w:w="855" w:type="dxa"/>
          </w:tcPr>
          <w:p>
            <w:pPr>
              <w:pStyle w:val="TableParagraph"/>
              <w:spacing w:before="83"/>
              <w:ind w:left="110"/>
              <w:rPr>
                <w:rFonts w:ascii="Microsoft JhengHei"/>
                <w:b/>
                <w:sz w:val="21"/>
              </w:rPr>
            </w:pPr>
            <w:r>
              <w:rPr>
                <w:rFonts w:ascii="Microsoft JhengHei"/>
                <w:b/>
                <w:w w:val="105"/>
                <w:sz w:val="21"/>
              </w:rPr>
              <w:t>1.3</w:t>
            </w:r>
          </w:p>
        </w:tc>
        <w:tc>
          <w:tcPr>
            <w:tcW w:w="1407" w:type="dxa"/>
          </w:tcPr>
          <w:p>
            <w:pPr>
              <w:pStyle w:val="TableParagraph"/>
              <w:spacing w:before="83"/>
              <w:ind w:left="0" w:right="132"/>
              <w:jc w:val="right"/>
              <w:rPr>
                <w:rFonts w:ascii="Microsoft JhengHei" w:eastAsia="Microsoft JhengHei" w:hint="eastAsia"/>
                <w:b/>
                <w:sz w:val="21"/>
              </w:rPr>
            </w:pPr>
            <w:r>
              <w:rPr>
                <w:rFonts w:ascii="Microsoft JhengHei" w:eastAsia="Microsoft JhengHei" w:hint="eastAsia"/>
                <w:b/>
                <w:sz w:val="21"/>
              </w:rPr>
              <w:t>投保范围</w:t>
            </w:r>
          </w:p>
        </w:tc>
        <w:tc>
          <w:tcPr>
            <w:tcW w:w="6267" w:type="dxa"/>
          </w:tcPr>
          <w:p>
            <w:pPr>
              <w:pStyle w:val="TableParagraph"/>
              <w:spacing w:line="271" w:lineRule="auto" w:before="150"/>
              <w:ind w:right="102"/>
              <w:jc w:val="both"/>
              <w:rPr>
                <w:sz w:val="21"/>
              </w:rPr>
            </w:pPr>
            <w:r>
              <w:rPr>
                <w:spacing w:val="-8"/>
                <w:sz w:val="21"/>
              </w:rPr>
              <w:t>凡身体健康、能正常工作的在职人员可作为被保险人，经被保险人</w:t>
            </w:r>
            <w:r>
              <w:rPr>
                <w:spacing w:val="-10"/>
                <w:sz w:val="21"/>
              </w:rPr>
              <w:t>同意后，由其所在团体向本公司投保。投保时，参保人员人数及其</w:t>
            </w:r>
            <w:r>
              <w:rPr>
                <w:sz w:val="21"/>
              </w:rPr>
              <w:t>所占团体中符合参保条件成员的比例应符合国务院保险监督管理</w:t>
            </w:r>
            <w:r>
              <w:rPr>
                <w:spacing w:val="-1"/>
                <w:sz w:val="21"/>
              </w:rPr>
              <w:t>机构的相关规定。</w:t>
            </w:r>
          </w:p>
          <w:p>
            <w:pPr>
              <w:pStyle w:val="TableParagraph"/>
              <w:spacing w:line="273" w:lineRule="auto" w:before="168"/>
              <w:ind w:right="105"/>
              <w:jc w:val="both"/>
              <w:rPr>
                <w:sz w:val="21"/>
              </w:rPr>
            </w:pPr>
            <w:r>
              <w:rPr>
                <w:spacing w:val="-8"/>
                <w:sz w:val="21"/>
              </w:rPr>
              <w:t>前款被保险人的子女、配偶或父母，经本公司审核同意，可作为附</w:t>
            </w:r>
            <w:r>
              <w:rPr>
                <w:spacing w:val="-12"/>
                <w:sz w:val="21"/>
              </w:rPr>
              <w:t>属被保险人参加本保险。本合同中所指的被保险人均含附属被保险人。</w:t>
            </w:r>
          </w:p>
        </w:tc>
      </w:tr>
      <w:tr>
        <w:trPr>
          <w:trHeight w:val="553" w:hRule="atLeast"/>
        </w:trPr>
        <w:tc>
          <w:tcPr>
            <w:tcW w:w="855" w:type="dxa"/>
            <w:tcBorders>
              <w:bottom w:val="single" w:sz="8" w:space="0" w:color="000000"/>
            </w:tcBorders>
          </w:tcPr>
          <w:p>
            <w:pPr>
              <w:pStyle w:val="TableParagraph"/>
              <w:spacing w:before="82"/>
              <w:ind w:left="110"/>
              <w:rPr>
                <w:rFonts w:ascii="Microsoft JhengHei"/>
                <w:b/>
                <w:sz w:val="24"/>
              </w:rPr>
            </w:pPr>
            <w:r>
              <w:rPr>
                <w:rFonts w:ascii="Microsoft JhengHei"/>
                <w:b/>
                <w:w w:val="120"/>
                <w:sz w:val="24"/>
              </w:rPr>
              <w:t>2.</w:t>
            </w:r>
          </w:p>
        </w:tc>
        <w:tc>
          <w:tcPr>
            <w:tcW w:w="7674" w:type="dxa"/>
            <w:gridSpan w:val="2"/>
            <w:tcBorders>
              <w:bottom w:val="single" w:sz="8" w:space="0" w:color="000000"/>
            </w:tcBorders>
          </w:tcPr>
          <w:p>
            <w:pPr>
              <w:pStyle w:val="TableParagraph"/>
              <w:spacing w:before="82"/>
              <w:ind w:left="427"/>
              <w:rPr>
                <w:rFonts w:ascii="Microsoft JhengHei" w:eastAsia="Microsoft JhengHei" w:hint="eastAsia"/>
                <w:b/>
                <w:sz w:val="24"/>
              </w:rPr>
            </w:pPr>
            <w:r>
              <w:rPr>
                <w:rFonts w:ascii="Microsoft JhengHei" w:eastAsia="Microsoft JhengHei" w:hint="eastAsia"/>
                <w:b/>
                <w:sz w:val="24"/>
              </w:rPr>
              <w:t>提供的保障</w:t>
            </w:r>
          </w:p>
        </w:tc>
      </w:tr>
      <w:tr>
        <w:trPr>
          <w:trHeight w:val="1407" w:hRule="atLeast"/>
        </w:trPr>
        <w:tc>
          <w:tcPr>
            <w:tcW w:w="855" w:type="dxa"/>
            <w:tcBorders>
              <w:top w:val="single" w:sz="8" w:space="0" w:color="000000"/>
            </w:tcBorders>
          </w:tcPr>
          <w:p>
            <w:pPr>
              <w:pStyle w:val="TableParagraph"/>
              <w:spacing w:before="7"/>
              <w:ind w:left="0"/>
              <w:rPr>
                <w:sz w:val="17"/>
              </w:rPr>
            </w:pPr>
          </w:p>
          <w:p>
            <w:pPr>
              <w:pStyle w:val="TableParagraph"/>
              <w:ind w:left="110"/>
              <w:rPr>
                <w:rFonts w:ascii="Microsoft JhengHei"/>
                <w:b/>
                <w:sz w:val="21"/>
              </w:rPr>
            </w:pPr>
            <w:r>
              <w:rPr>
                <w:rFonts w:ascii="Microsoft JhengHei"/>
                <w:b/>
                <w:w w:val="105"/>
                <w:sz w:val="21"/>
              </w:rPr>
              <w:t>2.1</w:t>
            </w:r>
          </w:p>
        </w:tc>
        <w:tc>
          <w:tcPr>
            <w:tcW w:w="1407" w:type="dxa"/>
            <w:tcBorders>
              <w:top w:val="single" w:sz="8" w:space="0" w:color="000000"/>
            </w:tcBorders>
          </w:tcPr>
          <w:p>
            <w:pPr>
              <w:pStyle w:val="TableParagraph"/>
              <w:ind w:left="0"/>
              <w:rPr>
                <w:sz w:val="22"/>
              </w:rPr>
            </w:pPr>
          </w:p>
          <w:p>
            <w:pPr>
              <w:pStyle w:val="TableParagraph"/>
              <w:spacing w:line="201" w:lineRule="auto"/>
              <w:ind w:left="427" w:right="132"/>
              <w:rPr>
                <w:rFonts w:ascii="Microsoft JhengHei" w:eastAsia="Microsoft JhengHei" w:hint="eastAsia"/>
                <w:b/>
                <w:sz w:val="21"/>
              </w:rPr>
            </w:pPr>
            <w:r>
              <w:rPr>
                <w:rFonts w:ascii="Microsoft JhengHei" w:eastAsia="Microsoft JhengHei" w:hint="eastAsia"/>
                <w:b/>
                <w:sz w:val="21"/>
              </w:rPr>
              <w:t>基本保险金额</w:t>
            </w:r>
          </w:p>
        </w:tc>
        <w:tc>
          <w:tcPr>
            <w:tcW w:w="6267" w:type="dxa"/>
            <w:tcBorders>
              <w:top w:val="single" w:sz="8" w:space="0" w:color="000000"/>
            </w:tcBorders>
          </w:tcPr>
          <w:p>
            <w:pPr>
              <w:pStyle w:val="TableParagraph"/>
              <w:spacing w:before="8"/>
              <w:ind w:left="0"/>
              <w:rPr>
                <w:sz w:val="22"/>
              </w:rPr>
            </w:pPr>
          </w:p>
          <w:p>
            <w:pPr>
              <w:pStyle w:val="TableParagraph"/>
              <w:spacing w:line="271" w:lineRule="auto" w:before="1"/>
              <w:ind w:right="102"/>
              <w:jc w:val="both"/>
              <w:rPr>
                <w:sz w:val="21"/>
              </w:rPr>
            </w:pPr>
            <w:r>
              <w:rPr>
                <w:sz w:val="21"/>
              </w:rPr>
              <w:t>本合同项下各被保险人名下的基本保险金额由投保人在投保时与</w:t>
            </w:r>
            <w:r>
              <w:rPr>
                <w:spacing w:val="-8"/>
                <w:sz w:val="21"/>
              </w:rPr>
              <w:t>本公司约定，并在保险单上载明。若该金额发生变更，则以变更后</w:t>
            </w:r>
            <w:r>
              <w:rPr>
                <w:spacing w:val="-6"/>
                <w:sz w:val="21"/>
              </w:rPr>
              <w:t>的金额为基本保险金额。</w:t>
            </w:r>
          </w:p>
        </w:tc>
      </w:tr>
      <w:tr>
        <w:trPr>
          <w:trHeight w:val="950" w:hRule="atLeast"/>
        </w:trPr>
        <w:tc>
          <w:tcPr>
            <w:tcW w:w="855" w:type="dxa"/>
          </w:tcPr>
          <w:p>
            <w:pPr>
              <w:pStyle w:val="TableParagraph"/>
              <w:spacing w:before="85"/>
              <w:ind w:left="110"/>
              <w:rPr>
                <w:rFonts w:ascii="Microsoft JhengHei"/>
                <w:b/>
                <w:sz w:val="21"/>
              </w:rPr>
            </w:pPr>
            <w:r>
              <w:rPr>
                <w:rFonts w:ascii="Microsoft JhengHei"/>
                <w:b/>
                <w:w w:val="105"/>
                <w:sz w:val="21"/>
              </w:rPr>
              <w:t>2.2</w:t>
            </w:r>
          </w:p>
        </w:tc>
        <w:tc>
          <w:tcPr>
            <w:tcW w:w="1407" w:type="dxa"/>
          </w:tcPr>
          <w:p>
            <w:pPr>
              <w:pStyle w:val="TableParagraph"/>
              <w:spacing w:before="85"/>
              <w:ind w:left="0" w:right="133"/>
              <w:jc w:val="right"/>
              <w:rPr>
                <w:rFonts w:ascii="Microsoft JhengHei" w:eastAsia="Microsoft JhengHei" w:hint="eastAsia"/>
                <w:b/>
                <w:sz w:val="21"/>
              </w:rPr>
            </w:pPr>
            <w:r>
              <w:rPr>
                <w:rFonts w:ascii="Microsoft JhengHei" w:eastAsia="Microsoft JhengHei" w:hint="eastAsia"/>
                <w:b/>
                <w:sz w:val="21"/>
              </w:rPr>
              <w:t>保险期间</w:t>
            </w:r>
          </w:p>
        </w:tc>
        <w:tc>
          <w:tcPr>
            <w:tcW w:w="6267" w:type="dxa"/>
          </w:tcPr>
          <w:p>
            <w:pPr>
              <w:pStyle w:val="TableParagraph"/>
              <w:spacing w:line="268" w:lineRule="auto" w:before="152"/>
              <w:ind w:right="107"/>
              <w:rPr>
                <w:sz w:val="21"/>
              </w:rPr>
            </w:pPr>
            <w:r>
              <w:rPr>
                <w:spacing w:val="-8"/>
                <w:sz w:val="21"/>
              </w:rPr>
              <w:t>本合同的保险期间由投保人在投保时与本公司约定，并在保险单中</w:t>
            </w:r>
            <w:r>
              <w:rPr>
                <w:spacing w:val="-6"/>
                <w:sz w:val="21"/>
              </w:rPr>
              <w:t>载明，最长一年。</w:t>
            </w:r>
          </w:p>
        </w:tc>
      </w:tr>
      <w:tr>
        <w:trPr>
          <w:trHeight w:val="2141" w:hRule="atLeast"/>
        </w:trPr>
        <w:tc>
          <w:tcPr>
            <w:tcW w:w="855" w:type="dxa"/>
          </w:tcPr>
          <w:p>
            <w:pPr>
              <w:pStyle w:val="TableParagraph"/>
              <w:spacing w:before="85"/>
              <w:ind w:left="110"/>
              <w:rPr>
                <w:rFonts w:ascii="Microsoft JhengHei"/>
                <w:b/>
                <w:sz w:val="21"/>
              </w:rPr>
            </w:pPr>
            <w:r>
              <w:rPr>
                <w:rFonts w:ascii="Microsoft JhengHei"/>
                <w:b/>
                <w:w w:val="105"/>
                <w:sz w:val="21"/>
              </w:rPr>
              <w:t>2.3</w:t>
            </w:r>
          </w:p>
        </w:tc>
        <w:tc>
          <w:tcPr>
            <w:tcW w:w="1407" w:type="dxa"/>
          </w:tcPr>
          <w:p>
            <w:pPr>
              <w:pStyle w:val="TableParagraph"/>
              <w:spacing w:before="85"/>
              <w:ind w:left="0" w:right="133"/>
              <w:jc w:val="right"/>
              <w:rPr>
                <w:rFonts w:ascii="Microsoft JhengHei" w:eastAsia="Microsoft JhengHei" w:hint="eastAsia"/>
                <w:b/>
                <w:sz w:val="21"/>
              </w:rPr>
            </w:pPr>
            <w:r>
              <w:rPr>
                <w:rFonts w:ascii="Microsoft JhengHei" w:eastAsia="Microsoft JhengHei" w:hint="eastAsia"/>
                <w:b/>
                <w:sz w:val="21"/>
              </w:rPr>
              <w:t>保险责任</w:t>
            </w:r>
          </w:p>
        </w:tc>
        <w:tc>
          <w:tcPr>
            <w:tcW w:w="6267" w:type="dxa"/>
          </w:tcPr>
          <w:p>
            <w:pPr>
              <w:pStyle w:val="TableParagraph"/>
              <w:spacing w:line="268" w:lineRule="auto" w:before="152"/>
              <w:ind w:right="32"/>
              <w:jc w:val="both"/>
              <w:rPr>
                <w:sz w:val="21"/>
              </w:rPr>
            </w:pPr>
            <w:r>
              <w:rPr>
                <w:spacing w:val="-8"/>
                <w:sz w:val="21"/>
              </w:rPr>
              <w:t>本公司提供基本保障、重要保障、全面保障三种保障方案，每种保障方案所保障的重大疾病种类分别如本保险条款第 </w:t>
            </w:r>
            <w:r>
              <w:rPr>
                <w:sz w:val="21"/>
              </w:rPr>
              <w:t>9</w:t>
            </w:r>
            <w:r>
              <w:rPr>
                <w:spacing w:val="-7"/>
                <w:sz w:val="21"/>
              </w:rPr>
              <w:t> 条附表所示，</w:t>
            </w:r>
          </w:p>
          <w:p>
            <w:pPr>
              <w:pStyle w:val="TableParagraph"/>
              <w:spacing w:line="273" w:lineRule="auto" w:before="11"/>
              <w:ind w:right="104"/>
              <w:jc w:val="both"/>
              <w:rPr>
                <w:sz w:val="21"/>
              </w:rPr>
            </w:pPr>
            <w:r>
              <w:rPr>
                <w:spacing w:val="-6"/>
                <w:sz w:val="21"/>
              </w:rPr>
              <w:t>且应符合本保险条款第 </w:t>
            </w:r>
            <w:r>
              <w:rPr>
                <w:sz w:val="21"/>
              </w:rPr>
              <w:t>7</w:t>
            </w:r>
            <w:r>
              <w:rPr>
                <w:spacing w:val="-12"/>
                <w:sz w:val="21"/>
              </w:rPr>
              <w:t> 条中所列该种重大疾病的程度条件。投保人可以选择其中一种方案，一旦选定并在保险单中载明，在保险期</w:t>
            </w:r>
            <w:r>
              <w:rPr>
                <w:spacing w:val="-9"/>
                <w:sz w:val="21"/>
              </w:rPr>
              <w:t>间内不得变更。</w:t>
            </w:r>
          </w:p>
          <w:p>
            <w:pPr>
              <w:pStyle w:val="TableParagraph"/>
              <w:spacing w:line="317" w:lineRule="exact" w:before="103"/>
              <w:jc w:val="both"/>
              <w:rPr>
                <w:sz w:val="21"/>
              </w:rPr>
            </w:pPr>
            <w:r>
              <w:rPr>
                <w:sz w:val="21"/>
              </w:rPr>
              <w:t>被保险人因在保险期间内遭受</w:t>
            </w:r>
            <w:r>
              <w:rPr>
                <w:rFonts w:ascii="微软雅黑" w:eastAsia="微软雅黑" w:hint="eastAsia"/>
                <w:b/>
                <w:sz w:val="21"/>
              </w:rPr>
              <w:t>意外伤害</w:t>
            </w:r>
            <w:r>
              <w:rPr>
                <w:sz w:val="21"/>
              </w:rPr>
              <w:t>或自保险期间起始日零时</w:t>
            </w:r>
          </w:p>
        </w:tc>
      </w:tr>
    </w:tbl>
    <w:p>
      <w:pPr>
        <w:spacing w:after="0" w:line="317" w:lineRule="exact"/>
        <w:jc w:val="both"/>
        <w:rPr>
          <w:sz w:val="21"/>
        </w:rPr>
        <w:sectPr>
          <w:pgSz w:w="11910" w:h="16840"/>
          <w:pgMar w:header="0" w:footer="898" w:top="1500" w:bottom="1160" w:left="1580" w:right="158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5"/>
        <w:gridCol w:w="1426"/>
        <w:gridCol w:w="6248"/>
      </w:tblGrid>
      <w:tr>
        <w:trPr>
          <w:trHeight w:val="3389" w:hRule="atLeast"/>
        </w:trPr>
        <w:tc>
          <w:tcPr>
            <w:tcW w:w="855" w:type="dxa"/>
          </w:tcPr>
          <w:p>
            <w:pPr>
              <w:pStyle w:val="TableParagraph"/>
              <w:ind w:left="0"/>
              <w:rPr>
                <w:rFonts w:ascii="Times New Roman"/>
                <w:sz w:val="20"/>
              </w:rPr>
            </w:pPr>
          </w:p>
        </w:tc>
        <w:tc>
          <w:tcPr>
            <w:tcW w:w="1426" w:type="dxa"/>
          </w:tcPr>
          <w:p>
            <w:pPr>
              <w:pStyle w:val="TableParagraph"/>
              <w:ind w:left="0"/>
              <w:rPr>
                <w:rFonts w:ascii="Times New Roman"/>
                <w:sz w:val="20"/>
              </w:rPr>
            </w:pPr>
          </w:p>
        </w:tc>
        <w:tc>
          <w:tcPr>
            <w:tcW w:w="6248" w:type="dxa"/>
          </w:tcPr>
          <w:p>
            <w:pPr>
              <w:pStyle w:val="TableParagraph"/>
              <w:spacing w:line="189" w:lineRule="exact"/>
              <w:ind w:left="115"/>
              <w:rPr>
                <w:sz w:val="21"/>
              </w:rPr>
            </w:pPr>
            <w:r>
              <w:rPr>
                <w:w w:val="100"/>
                <w:sz w:val="21"/>
              </w:rPr>
              <w:t>起</w:t>
            </w:r>
            <w:r>
              <w:rPr>
                <w:spacing w:val="-52"/>
                <w:sz w:val="21"/>
              </w:rPr>
              <w:t> </w:t>
            </w:r>
            <w:r>
              <w:rPr>
                <w:w w:val="100"/>
                <w:sz w:val="21"/>
              </w:rPr>
              <w:t>30</w:t>
            </w:r>
            <w:r>
              <w:rPr>
                <w:spacing w:val="-53"/>
                <w:sz w:val="21"/>
              </w:rPr>
              <w:t> </w:t>
            </w:r>
            <w:r>
              <w:rPr>
                <w:spacing w:val="-10"/>
                <w:w w:val="100"/>
                <w:sz w:val="21"/>
              </w:rPr>
              <w:t>日后</w:t>
            </w:r>
            <w:r>
              <w:rPr>
                <w:w w:val="100"/>
                <w:sz w:val="21"/>
              </w:rPr>
              <w:t>（</w:t>
            </w:r>
            <w:r>
              <w:rPr>
                <w:spacing w:val="-2"/>
                <w:w w:val="100"/>
                <w:sz w:val="21"/>
              </w:rPr>
              <w:t>不含第</w:t>
            </w:r>
            <w:r>
              <w:rPr>
                <w:spacing w:val="-53"/>
                <w:sz w:val="21"/>
              </w:rPr>
              <w:t> </w:t>
            </w:r>
            <w:r>
              <w:rPr>
                <w:w w:val="100"/>
                <w:sz w:val="21"/>
              </w:rPr>
              <w:t>30</w:t>
            </w:r>
            <w:r>
              <w:rPr>
                <w:spacing w:val="-53"/>
                <w:sz w:val="21"/>
              </w:rPr>
              <w:t> </w:t>
            </w:r>
            <w:r>
              <w:rPr>
                <w:spacing w:val="-5"/>
                <w:w w:val="100"/>
                <w:sz w:val="21"/>
              </w:rPr>
              <w:t>日</w:t>
            </w:r>
            <w:r>
              <w:rPr>
                <w:spacing w:val="-125"/>
                <w:w w:val="100"/>
                <w:sz w:val="21"/>
              </w:rPr>
              <w:t>）</w:t>
            </w:r>
            <w:r>
              <w:rPr>
                <w:w w:val="100"/>
                <w:sz w:val="21"/>
              </w:rPr>
              <w:t>（</w:t>
            </w:r>
            <w:r>
              <w:rPr>
                <w:spacing w:val="-5"/>
                <w:w w:val="100"/>
                <w:sz w:val="21"/>
              </w:rPr>
              <w:t>连续投保的，不受</w:t>
            </w:r>
            <w:r>
              <w:rPr>
                <w:spacing w:val="-52"/>
                <w:sz w:val="21"/>
              </w:rPr>
              <w:t> </w:t>
            </w:r>
            <w:r>
              <w:rPr>
                <w:spacing w:val="-5"/>
                <w:w w:val="100"/>
                <w:sz w:val="21"/>
              </w:rPr>
              <w:t>3</w:t>
            </w:r>
            <w:r>
              <w:rPr>
                <w:w w:val="100"/>
                <w:sz w:val="21"/>
              </w:rPr>
              <w:t>0</w:t>
            </w:r>
            <w:r>
              <w:rPr>
                <w:spacing w:val="-53"/>
                <w:sz w:val="21"/>
              </w:rPr>
              <w:t> </w:t>
            </w:r>
            <w:r>
              <w:rPr>
                <w:spacing w:val="-2"/>
                <w:w w:val="100"/>
                <w:sz w:val="21"/>
              </w:rPr>
              <w:t>日的限制</w:t>
            </w:r>
            <w:r>
              <w:rPr>
                <w:spacing w:val="-19"/>
                <w:w w:val="100"/>
                <w:sz w:val="21"/>
              </w:rPr>
              <w:t>）</w:t>
            </w:r>
            <w:r>
              <w:rPr>
                <w:w w:val="100"/>
                <w:sz w:val="21"/>
              </w:rPr>
              <w:t>因疾</w:t>
            </w:r>
          </w:p>
          <w:p>
            <w:pPr>
              <w:pStyle w:val="TableParagraph"/>
              <w:spacing w:line="264" w:lineRule="auto"/>
              <w:ind w:left="115" w:right="104"/>
              <w:jc w:val="both"/>
              <w:rPr>
                <w:sz w:val="21"/>
              </w:rPr>
            </w:pPr>
            <w:r>
              <w:rPr>
                <w:spacing w:val="-28"/>
                <w:sz w:val="21"/>
              </w:rPr>
              <w:t>病，经</w:t>
            </w:r>
            <w:r>
              <w:rPr>
                <w:rFonts w:ascii="微软雅黑" w:eastAsia="微软雅黑" w:hint="eastAsia"/>
                <w:b/>
                <w:spacing w:val="0"/>
                <w:sz w:val="21"/>
              </w:rPr>
              <w:t>医院</w:t>
            </w:r>
            <w:r>
              <w:rPr>
                <w:spacing w:val="-5"/>
                <w:sz w:val="21"/>
              </w:rPr>
              <w:t>的</w:t>
            </w:r>
            <w:r>
              <w:rPr>
                <w:rFonts w:ascii="微软雅黑" w:eastAsia="微软雅黑" w:hint="eastAsia"/>
                <w:b/>
                <w:sz w:val="21"/>
              </w:rPr>
              <w:t>专科医生初次确诊</w:t>
            </w:r>
            <w:r>
              <w:rPr>
                <w:spacing w:val="-5"/>
                <w:sz w:val="21"/>
              </w:rPr>
              <w:t>罹患本合同中投保人选择的保障方</w:t>
            </w:r>
            <w:r>
              <w:rPr>
                <w:spacing w:val="-11"/>
                <w:sz w:val="21"/>
              </w:rPr>
              <w:t>案所保障的重大疾病，本公司按本合同中约定的该被保险人名下的</w:t>
            </w:r>
            <w:r>
              <w:rPr>
                <w:spacing w:val="-12"/>
                <w:sz w:val="21"/>
              </w:rPr>
              <w:t>基本保险金额给付重大疾病保险金，本合同对该被保险人的保险责任终止。</w:t>
            </w:r>
          </w:p>
          <w:p>
            <w:pPr>
              <w:pStyle w:val="TableParagraph"/>
              <w:spacing w:before="4"/>
              <w:ind w:left="0"/>
              <w:rPr>
                <w:sz w:val="14"/>
              </w:rPr>
            </w:pPr>
          </w:p>
          <w:p>
            <w:pPr>
              <w:pStyle w:val="TableParagraph"/>
              <w:spacing w:line="271" w:lineRule="auto"/>
              <w:ind w:left="115" w:right="104"/>
              <w:jc w:val="both"/>
              <w:rPr>
                <w:sz w:val="21"/>
              </w:rPr>
            </w:pPr>
            <w:r>
              <w:rPr>
                <w:spacing w:val="-5"/>
                <w:sz w:val="21"/>
              </w:rPr>
              <w:t>被保险人自保险期间起始日零时起 </w:t>
            </w:r>
            <w:r>
              <w:rPr>
                <w:spacing w:val="-3"/>
                <w:sz w:val="21"/>
              </w:rPr>
              <w:t>30</w:t>
            </w:r>
            <w:r>
              <w:rPr>
                <w:spacing w:val="-12"/>
                <w:sz w:val="21"/>
              </w:rPr>
              <w:t> 日内</w:t>
            </w:r>
            <w:r>
              <w:rPr>
                <w:spacing w:val="-5"/>
                <w:sz w:val="21"/>
              </w:rPr>
              <w:t>（</w:t>
            </w:r>
            <w:r>
              <w:rPr>
                <w:spacing w:val="-12"/>
                <w:sz w:val="21"/>
              </w:rPr>
              <w:t>含第 </w:t>
            </w:r>
            <w:r>
              <w:rPr>
                <w:spacing w:val="-3"/>
                <w:sz w:val="21"/>
              </w:rPr>
              <w:t>30</w:t>
            </w:r>
            <w:r>
              <w:rPr>
                <w:spacing w:val="-21"/>
                <w:sz w:val="21"/>
              </w:rPr>
              <w:t> 日</w:t>
            </w:r>
            <w:r>
              <w:rPr>
                <w:sz w:val="21"/>
              </w:rPr>
              <w:t>）因疾病, </w:t>
            </w:r>
            <w:r>
              <w:rPr>
                <w:spacing w:val="2"/>
                <w:sz w:val="21"/>
              </w:rPr>
              <w:t>经医院的专科医</w:t>
            </w:r>
            <w:r>
              <w:rPr>
                <w:sz w:val="21"/>
              </w:rPr>
              <w:t>Th初次确诊罹患本合同中投保人选择的保障方案</w:t>
            </w:r>
            <w:r>
              <w:rPr>
                <w:spacing w:val="-8"/>
                <w:sz w:val="21"/>
              </w:rPr>
              <w:t>所保障的重大疾病，本公司不承担给付保险金的责任，但向投保人</w:t>
            </w:r>
            <w:r>
              <w:rPr>
                <w:spacing w:val="-10"/>
                <w:sz w:val="21"/>
              </w:rPr>
              <w:t>无息返还投保人为该被保险人已交纳的保险费，本合同对该被保险</w:t>
            </w:r>
            <w:r>
              <w:rPr>
                <w:spacing w:val="-7"/>
                <w:sz w:val="21"/>
              </w:rPr>
              <w:t>人的保险责任终止。</w:t>
            </w:r>
          </w:p>
        </w:tc>
      </w:tr>
      <w:tr>
        <w:trPr>
          <w:trHeight w:val="6743" w:hRule="atLeast"/>
        </w:trPr>
        <w:tc>
          <w:tcPr>
            <w:tcW w:w="855" w:type="dxa"/>
          </w:tcPr>
          <w:p>
            <w:pPr>
              <w:pStyle w:val="TableParagraph"/>
              <w:spacing w:before="76"/>
              <w:ind w:left="110"/>
              <w:rPr>
                <w:rFonts w:ascii="Microsoft JhengHei"/>
                <w:b/>
                <w:sz w:val="21"/>
              </w:rPr>
            </w:pPr>
            <w:r>
              <w:rPr>
                <w:rFonts w:ascii="Microsoft JhengHei"/>
                <w:b/>
                <w:w w:val="105"/>
                <w:sz w:val="21"/>
              </w:rPr>
              <w:t>2.4</w:t>
            </w:r>
          </w:p>
        </w:tc>
        <w:tc>
          <w:tcPr>
            <w:tcW w:w="1426" w:type="dxa"/>
          </w:tcPr>
          <w:p>
            <w:pPr>
              <w:pStyle w:val="TableParagraph"/>
              <w:spacing w:before="143"/>
              <w:ind w:left="427"/>
              <w:rPr>
                <w:sz w:val="21"/>
              </w:rPr>
            </w:pPr>
            <w:r>
              <w:rPr>
                <w:sz w:val="21"/>
              </w:rPr>
              <w:t>责任免除</w:t>
            </w:r>
          </w:p>
        </w:tc>
        <w:tc>
          <w:tcPr>
            <w:tcW w:w="6248" w:type="dxa"/>
          </w:tcPr>
          <w:p>
            <w:pPr>
              <w:pStyle w:val="TableParagraph"/>
              <w:spacing w:line="268" w:lineRule="auto" w:before="143"/>
              <w:ind w:left="115" w:right="33"/>
              <w:rPr>
                <w:sz w:val="21"/>
              </w:rPr>
            </w:pPr>
            <w:r>
              <w:rPr>
                <w:sz w:val="21"/>
              </w:rPr>
              <w:t>因下列情形之一导致被保险人发Th本合同约定的重大疾病的，本公司不承担给付保险金的责任：</w:t>
            </w:r>
          </w:p>
          <w:p>
            <w:pPr>
              <w:pStyle w:val="TableParagraph"/>
              <w:numPr>
                <w:ilvl w:val="0"/>
                <w:numId w:val="5"/>
              </w:numPr>
              <w:tabs>
                <w:tab w:pos="491" w:val="left" w:leader="none"/>
              </w:tabs>
              <w:spacing w:line="240" w:lineRule="auto" w:before="171" w:after="0"/>
              <w:ind w:left="490" w:right="0" w:hanging="375"/>
              <w:jc w:val="left"/>
              <w:rPr>
                <w:sz w:val="21"/>
              </w:rPr>
            </w:pPr>
            <w:r>
              <w:rPr>
                <w:spacing w:val="-4"/>
                <w:sz w:val="21"/>
              </w:rPr>
              <w:t>投保人对被保险人的故意杀害、故意伤害；</w:t>
            </w:r>
          </w:p>
          <w:p>
            <w:pPr>
              <w:pStyle w:val="TableParagraph"/>
              <w:numPr>
                <w:ilvl w:val="0"/>
                <w:numId w:val="5"/>
              </w:numPr>
              <w:tabs>
                <w:tab w:pos="491" w:val="left" w:leader="none"/>
              </w:tabs>
              <w:spacing w:line="273" w:lineRule="auto" w:before="37" w:after="0"/>
              <w:ind w:left="490" w:right="104" w:hanging="375"/>
              <w:jc w:val="left"/>
              <w:rPr>
                <w:sz w:val="21"/>
              </w:rPr>
            </w:pPr>
            <w:r>
              <w:rPr>
                <w:spacing w:val="-5"/>
                <w:sz w:val="21"/>
              </w:rPr>
              <w:t>被保险人故意自伤、故意犯罪或者抗拒依法采取的刑事强制措施；</w:t>
            </w:r>
          </w:p>
          <w:p>
            <w:pPr>
              <w:pStyle w:val="TableParagraph"/>
              <w:numPr>
                <w:ilvl w:val="0"/>
                <w:numId w:val="5"/>
              </w:numPr>
              <w:tabs>
                <w:tab w:pos="491" w:val="left" w:leader="none"/>
              </w:tabs>
              <w:spacing w:line="280" w:lineRule="exact" w:before="0" w:after="0"/>
              <w:ind w:left="490" w:right="0" w:hanging="375"/>
              <w:jc w:val="left"/>
              <w:rPr>
                <w:sz w:val="21"/>
              </w:rPr>
            </w:pPr>
            <w:r>
              <w:rPr>
                <w:spacing w:val="-4"/>
                <w:sz w:val="21"/>
              </w:rPr>
              <w:t>被保险人主动吸食、服用或注射</w:t>
            </w:r>
            <w:r>
              <w:rPr>
                <w:rFonts w:ascii="Microsoft JhengHei" w:eastAsia="Microsoft JhengHei" w:hint="eastAsia"/>
                <w:b/>
                <w:spacing w:val="0"/>
                <w:sz w:val="21"/>
              </w:rPr>
              <w:t>毒品</w:t>
            </w:r>
            <w:r>
              <w:rPr>
                <w:spacing w:val="-2"/>
                <w:sz w:val="21"/>
              </w:rPr>
              <w:t>及管制药物；</w:t>
            </w:r>
          </w:p>
          <w:p>
            <w:pPr>
              <w:pStyle w:val="TableParagraph"/>
              <w:numPr>
                <w:ilvl w:val="0"/>
                <w:numId w:val="5"/>
              </w:numPr>
              <w:tabs>
                <w:tab w:pos="491" w:val="left" w:leader="none"/>
              </w:tabs>
              <w:spacing w:line="204" w:lineRule="auto" w:before="28" w:after="0"/>
              <w:ind w:left="490" w:right="104" w:hanging="375"/>
              <w:jc w:val="left"/>
              <w:rPr>
                <w:sz w:val="21"/>
              </w:rPr>
            </w:pPr>
            <w:r>
              <w:rPr>
                <w:spacing w:val="-2"/>
                <w:sz w:val="21"/>
              </w:rPr>
              <w:t>被保险人</w:t>
            </w:r>
            <w:r>
              <w:rPr>
                <w:rFonts w:ascii="Microsoft JhengHei" w:eastAsia="Microsoft JhengHei" w:hint="eastAsia"/>
                <w:b/>
                <w:sz w:val="21"/>
              </w:rPr>
              <w:t>酒后驾驶</w:t>
            </w:r>
            <w:r>
              <w:rPr>
                <w:spacing w:val="-24"/>
                <w:sz w:val="21"/>
              </w:rPr>
              <w:t>、</w:t>
            </w:r>
            <w:r>
              <w:rPr>
                <w:rFonts w:ascii="Microsoft JhengHei" w:eastAsia="Microsoft JhengHei" w:hint="eastAsia"/>
                <w:b/>
                <w:spacing w:val="-2"/>
                <w:sz w:val="21"/>
              </w:rPr>
              <w:t>无合法有效驾驶证驾驶，</w:t>
            </w:r>
            <w:r>
              <w:rPr>
                <w:spacing w:val="-2"/>
                <w:sz w:val="21"/>
              </w:rPr>
              <w:t>或者驾驶</w:t>
            </w:r>
            <w:r>
              <w:rPr>
                <w:rFonts w:ascii="Microsoft JhengHei" w:eastAsia="Microsoft JhengHei" w:hint="eastAsia"/>
                <w:b/>
                <w:sz w:val="21"/>
              </w:rPr>
              <w:t>无合法有效行驶证</w:t>
            </w:r>
            <w:r>
              <w:rPr>
                <w:spacing w:val="-5"/>
                <w:sz w:val="21"/>
              </w:rPr>
              <w:t>的</w:t>
            </w:r>
            <w:r>
              <w:rPr>
                <w:rFonts w:ascii="Microsoft JhengHei" w:eastAsia="Microsoft JhengHei" w:hint="eastAsia"/>
                <w:b/>
                <w:sz w:val="21"/>
              </w:rPr>
              <w:t>机动车</w:t>
            </w:r>
            <w:r>
              <w:rPr>
                <w:sz w:val="21"/>
              </w:rPr>
              <w:t>；</w:t>
            </w:r>
          </w:p>
          <w:p>
            <w:pPr>
              <w:pStyle w:val="TableParagraph"/>
              <w:numPr>
                <w:ilvl w:val="0"/>
                <w:numId w:val="5"/>
              </w:numPr>
              <w:tabs>
                <w:tab w:pos="491" w:val="left" w:leader="none"/>
              </w:tabs>
              <w:spacing w:line="312" w:lineRule="exact" w:before="0" w:after="0"/>
              <w:ind w:left="490" w:right="0" w:hanging="375"/>
              <w:jc w:val="left"/>
              <w:rPr>
                <w:sz w:val="21"/>
              </w:rPr>
            </w:pPr>
            <w:r>
              <w:rPr>
                <w:spacing w:val="-2"/>
                <w:sz w:val="21"/>
              </w:rPr>
              <w:t>被保险人</w:t>
            </w:r>
            <w:r>
              <w:rPr>
                <w:rFonts w:ascii="Microsoft JhengHei" w:eastAsia="Microsoft JhengHei" w:hint="eastAsia"/>
                <w:b/>
                <w:sz w:val="21"/>
              </w:rPr>
              <w:t>感染艾滋病病毒或者患艾滋病</w:t>
            </w:r>
            <w:r>
              <w:rPr>
                <w:sz w:val="21"/>
              </w:rPr>
              <w:t>；</w:t>
            </w:r>
          </w:p>
          <w:p>
            <w:pPr>
              <w:pStyle w:val="TableParagraph"/>
              <w:numPr>
                <w:ilvl w:val="0"/>
                <w:numId w:val="5"/>
              </w:numPr>
              <w:tabs>
                <w:tab w:pos="491" w:val="left" w:leader="none"/>
              </w:tabs>
              <w:spacing w:line="240" w:lineRule="auto" w:before="14" w:after="0"/>
              <w:ind w:left="490" w:right="0" w:hanging="375"/>
              <w:jc w:val="left"/>
              <w:rPr>
                <w:sz w:val="21"/>
              </w:rPr>
            </w:pPr>
            <w:r>
              <w:rPr>
                <w:spacing w:val="-3"/>
                <w:sz w:val="21"/>
              </w:rPr>
              <w:t>战争、军事冲突、暴乱或武装叛乱；</w:t>
            </w:r>
          </w:p>
          <w:p>
            <w:pPr>
              <w:pStyle w:val="TableParagraph"/>
              <w:numPr>
                <w:ilvl w:val="0"/>
                <w:numId w:val="5"/>
              </w:numPr>
              <w:tabs>
                <w:tab w:pos="491" w:val="left" w:leader="none"/>
              </w:tabs>
              <w:spacing w:line="260" w:lineRule="exact" w:before="37" w:after="0"/>
              <w:ind w:left="490" w:right="0" w:hanging="375"/>
              <w:jc w:val="left"/>
              <w:rPr>
                <w:sz w:val="21"/>
              </w:rPr>
            </w:pPr>
            <w:r>
              <w:rPr>
                <w:spacing w:val="-2"/>
                <w:sz w:val="21"/>
              </w:rPr>
              <w:t>核爆炸、核辐射或核污染；</w:t>
            </w:r>
          </w:p>
          <w:p>
            <w:pPr>
              <w:pStyle w:val="TableParagraph"/>
              <w:numPr>
                <w:ilvl w:val="0"/>
                <w:numId w:val="5"/>
              </w:numPr>
              <w:tabs>
                <w:tab w:pos="491" w:val="left" w:leader="none"/>
              </w:tabs>
              <w:spacing w:line="351" w:lineRule="exact" w:before="0" w:after="0"/>
              <w:ind w:left="490" w:right="0" w:hanging="375"/>
              <w:jc w:val="left"/>
              <w:rPr>
                <w:sz w:val="21"/>
              </w:rPr>
            </w:pPr>
            <w:r>
              <w:rPr>
                <w:rFonts w:ascii="Microsoft JhengHei" w:eastAsia="Microsoft JhengHei" w:hint="eastAsia"/>
                <w:b/>
                <w:sz w:val="21"/>
              </w:rPr>
              <w:t>遗传性疾病</w:t>
            </w:r>
            <w:r>
              <w:rPr>
                <w:spacing w:val="-5"/>
                <w:sz w:val="21"/>
              </w:rPr>
              <w:t>，</w:t>
            </w:r>
            <w:r>
              <w:rPr>
                <w:rFonts w:ascii="Microsoft JhengHei" w:eastAsia="Microsoft JhengHei" w:hint="eastAsia"/>
                <w:b/>
                <w:sz w:val="21"/>
              </w:rPr>
              <w:t>先天性畸形、变形或者染色体异常</w:t>
            </w:r>
            <w:r>
              <w:rPr>
                <w:sz w:val="21"/>
              </w:rPr>
              <w:t>。</w:t>
            </w:r>
          </w:p>
          <w:p>
            <w:pPr>
              <w:pStyle w:val="TableParagraph"/>
              <w:spacing w:line="271" w:lineRule="auto" w:before="172"/>
              <w:ind w:left="115" w:right="104"/>
              <w:jc w:val="both"/>
              <w:rPr>
                <w:sz w:val="21"/>
              </w:rPr>
            </w:pPr>
            <w:r>
              <w:rPr>
                <w:sz w:val="21"/>
              </w:rPr>
              <w:t>因上述第(1)项情形导致被保险人发Th本合同约定的重大疾病的， </w:t>
            </w:r>
            <w:r>
              <w:rPr>
                <w:spacing w:val="-7"/>
                <w:sz w:val="21"/>
              </w:rPr>
              <w:t>本公司对该被保险人的保险责任终止，本公司向该被保险人的重大</w:t>
            </w:r>
            <w:r>
              <w:rPr>
                <w:sz w:val="21"/>
              </w:rPr>
              <w:t>疾病保险金受益人给付本合同项下该被保险人保险责任终止时的</w:t>
            </w:r>
          </w:p>
          <w:p>
            <w:pPr>
              <w:pStyle w:val="TableParagraph"/>
              <w:spacing w:line="309" w:lineRule="exact"/>
              <w:ind w:left="115"/>
              <w:rPr>
                <w:sz w:val="21"/>
              </w:rPr>
            </w:pPr>
            <w:r>
              <w:rPr>
                <w:rFonts w:ascii="Microsoft JhengHei" w:eastAsia="Microsoft JhengHei" w:hint="eastAsia"/>
                <w:b/>
                <w:sz w:val="21"/>
              </w:rPr>
              <w:t>现金价值</w:t>
            </w:r>
            <w:r>
              <w:rPr>
                <w:sz w:val="21"/>
              </w:rPr>
              <w:t>。</w:t>
            </w:r>
          </w:p>
          <w:p>
            <w:pPr>
              <w:pStyle w:val="TableParagraph"/>
              <w:spacing w:line="273" w:lineRule="auto" w:before="172"/>
              <w:ind w:left="115" w:right="107"/>
              <w:jc w:val="both"/>
              <w:rPr>
                <w:sz w:val="21"/>
              </w:rPr>
            </w:pPr>
            <w:r>
              <w:rPr>
                <w:sz w:val="21"/>
              </w:rPr>
              <w:t>因上述第(1)项情形之外的其他情形导致被保险人发Th本合同约定</w:t>
            </w:r>
            <w:r>
              <w:rPr>
                <w:spacing w:val="-8"/>
                <w:sz w:val="21"/>
              </w:rPr>
              <w:t>的重大疾病的，本公司对该被保险人的保险责任终止，本公司向投</w:t>
            </w:r>
            <w:r>
              <w:rPr>
                <w:spacing w:val="-6"/>
                <w:sz w:val="21"/>
              </w:rPr>
              <w:t>保人退还本合同项下该被保险人保险责任终止时的现金价值。</w:t>
            </w:r>
          </w:p>
        </w:tc>
      </w:tr>
      <w:tr>
        <w:trPr>
          <w:trHeight w:val="553" w:hRule="atLeast"/>
        </w:trPr>
        <w:tc>
          <w:tcPr>
            <w:tcW w:w="855" w:type="dxa"/>
            <w:tcBorders>
              <w:bottom w:val="single" w:sz="8" w:space="0" w:color="000000"/>
            </w:tcBorders>
          </w:tcPr>
          <w:p>
            <w:pPr>
              <w:pStyle w:val="TableParagraph"/>
              <w:spacing w:before="73"/>
              <w:ind w:left="110"/>
              <w:rPr>
                <w:rFonts w:ascii="Microsoft JhengHei"/>
                <w:b/>
                <w:sz w:val="24"/>
              </w:rPr>
            </w:pPr>
            <w:r>
              <w:rPr>
                <w:rFonts w:ascii="Microsoft JhengHei"/>
                <w:b/>
                <w:w w:val="120"/>
                <w:sz w:val="24"/>
              </w:rPr>
              <w:t>3.</w:t>
            </w:r>
          </w:p>
        </w:tc>
        <w:tc>
          <w:tcPr>
            <w:tcW w:w="7674" w:type="dxa"/>
            <w:gridSpan w:val="2"/>
            <w:tcBorders>
              <w:bottom w:val="single" w:sz="8" w:space="0" w:color="000000"/>
            </w:tcBorders>
          </w:tcPr>
          <w:p>
            <w:pPr>
              <w:pStyle w:val="TableParagraph"/>
              <w:spacing w:before="73"/>
              <w:ind w:left="427"/>
              <w:rPr>
                <w:rFonts w:ascii="Microsoft JhengHei" w:eastAsia="Microsoft JhengHei" w:hint="eastAsia"/>
                <w:b/>
                <w:sz w:val="24"/>
              </w:rPr>
            </w:pPr>
            <w:r>
              <w:rPr>
                <w:rFonts w:ascii="Microsoft JhengHei" w:eastAsia="Microsoft JhengHei" w:hint="eastAsia"/>
                <w:b/>
                <w:sz w:val="24"/>
              </w:rPr>
              <w:t>保险金的申请</w:t>
            </w:r>
          </w:p>
        </w:tc>
      </w:tr>
      <w:tr>
        <w:trPr>
          <w:trHeight w:val="1405" w:hRule="atLeast"/>
        </w:trPr>
        <w:tc>
          <w:tcPr>
            <w:tcW w:w="855" w:type="dxa"/>
            <w:tcBorders>
              <w:top w:val="single" w:sz="8" w:space="0" w:color="000000"/>
            </w:tcBorders>
          </w:tcPr>
          <w:p>
            <w:pPr>
              <w:pStyle w:val="TableParagraph"/>
              <w:spacing w:before="11"/>
              <w:ind w:left="0"/>
              <w:rPr>
                <w:sz w:val="16"/>
              </w:rPr>
            </w:pPr>
          </w:p>
          <w:p>
            <w:pPr>
              <w:pStyle w:val="TableParagraph"/>
              <w:ind w:left="110"/>
              <w:rPr>
                <w:rFonts w:ascii="Microsoft JhengHei"/>
                <w:b/>
                <w:sz w:val="21"/>
              </w:rPr>
            </w:pPr>
            <w:r>
              <w:rPr>
                <w:rFonts w:ascii="Microsoft JhengHei"/>
                <w:b/>
                <w:w w:val="105"/>
                <w:sz w:val="21"/>
              </w:rPr>
              <w:t>3.1</w:t>
            </w:r>
          </w:p>
        </w:tc>
        <w:tc>
          <w:tcPr>
            <w:tcW w:w="1426" w:type="dxa"/>
            <w:tcBorders>
              <w:top w:val="single" w:sz="8" w:space="0" w:color="000000"/>
            </w:tcBorders>
          </w:tcPr>
          <w:p>
            <w:pPr>
              <w:pStyle w:val="TableParagraph"/>
              <w:spacing w:before="1"/>
              <w:ind w:left="0"/>
              <w:rPr>
                <w:sz w:val="16"/>
              </w:rPr>
            </w:pPr>
          </w:p>
          <w:p>
            <w:pPr>
              <w:pStyle w:val="TableParagraph"/>
              <w:ind w:left="427"/>
              <w:rPr>
                <w:rFonts w:ascii="Microsoft JhengHei" w:eastAsia="Microsoft JhengHei" w:hint="eastAsia"/>
                <w:b/>
                <w:sz w:val="22"/>
              </w:rPr>
            </w:pPr>
            <w:r>
              <w:rPr>
                <w:rFonts w:ascii="Microsoft JhengHei" w:eastAsia="Microsoft JhengHei" w:hint="eastAsia"/>
                <w:b/>
                <w:sz w:val="22"/>
              </w:rPr>
              <w:t>受益人</w:t>
            </w:r>
          </w:p>
        </w:tc>
        <w:tc>
          <w:tcPr>
            <w:tcW w:w="6248" w:type="dxa"/>
            <w:tcBorders>
              <w:top w:val="single" w:sz="8" w:space="0" w:color="000000"/>
            </w:tcBorders>
          </w:tcPr>
          <w:p>
            <w:pPr>
              <w:pStyle w:val="TableParagraph"/>
              <w:spacing w:before="12"/>
              <w:ind w:left="0"/>
              <w:rPr>
                <w:sz w:val="21"/>
              </w:rPr>
            </w:pPr>
          </w:p>
          <w:p>
            <w:pPr>
              <w:pStyle w:val="TableParagraph"/>
              <w:spacing w:line="271" w:lineRule="auto" w:before="1"/>
              <w:ind w:left="115" w:right="104"/>
              <w:jc w:val="both"/>
              <w:rPr>
                <w:sz w:val="21"/>
              </w:rPr>
            </w:pPr>
            <w:r>
              <w:rPr>
                <w:spacing w:val="-8"/>
                <w:sz w:val="21"/>
              </w:rPr>
              <w:t>投保人为与其有劳动关系的劳动者投保人身保险，不得指定被保险</w:t>
            </w:r>
            <w:r>
              <w:rPr>
                <w:spacing w:val="-10"/>
                <w:sz w:val="21"/>
              </w:rPr>
              <w:t>人及其近亲属以外的人为受益人。除另有指定外，重大疾病保险金</w:t>
            </w:r>
            <w:r>
              <w:rPr>
                <w:spacing w:val="-7"/>
                <w:sz w:val="21"/>
              </w:rPr>
              <w:t>受益人为被保险人本人。</w:t>
            </w:r>
          </w:p>
        </w:tc>
      </w:tr>
      <w:tr>
        <w:trPr>
          <w:trHeight w:val="1672" w:hRule="atLeast"/>
        </w:trPr>
        <w:tc>
          <w:tcPr>
            <w:tcW w:w="855" w:type="dxa"/>
          </w:tcPr>
          <w:p>
            <w:pPr>
              <w:pStyle w:val="TableParagraph"/>
              <w:spacing w:before="78"/>
              <w:ind w:left="110"/>
              <w:rPr>
                <w:rFonts w:ascii="Microsoft JhengHei"/>
                <w:b/>
                <w:sz w:val="21"/>
              </w:rPr>
            </w:pPr>
            <w:r>
              <w:rPr>
                <w:rFonts w:ascii="Microsoft JhengHei"/>
                <w:b/>
                <w:w w:val="105"/>
                <w:sz w:val="21"/>
              </w:rPr>
              <w:t>3.2</w:t>
            </w:r>
          </w:p>
        </w:tc>
        <w:tc>
          <w:tcPr>
            <w:tcW w:w="1426" w:type="dxa"/>
          </w:tcPr>
          <w:p>
            <w:pPr>
              <w:pStyle w:val="TableParagraph"/>
              <w:spacing w:line="192" w:lineRule="auto" w:before="145"/>
              <w:ind w:left="427" w:right="113"/>
              <w:rPr>
                <w:rFonts w:ascii="Microsoft JhengHei" w:eastAsia="Microsoft JhengHei" w:hint="eastAsia"/>
                <w:b/>
                <w:sz w:val="22"/>
              </w:rPr>
            </w:pPr>
            <w:r>
              <w:rPr>
                <w:rFonts w:ascii="Microsoft JhengHei" w:eastAsia="Microsoft JhengHei" w:hint="eastAsia"/>
                <w:b/>
                <w:sz w:val="22"/>
              </w:rPr>
              <w:t>保险事故通知</w:t>
            </w:r>
          </w:p>
        </w:tc>
        <w:tc>
          <w:tcPr>
            <w:tcW w:w="6248" w:type="dxa"/>
          </w:tcPr>
          <w:p>
            <w:pPr>
              <w:pStyle w:val="TableParagraph"/>
              <w:spacing w:line="271" w:lineRule="auto" w:before="145"/>
              <w:ind w:left="115" w:right="1"/>
              <w:rPr>
                <w:sz w:val="21"/>
              </w:rPr>
            </w:pPr>
            <w:r>
              <w:rPr>
                <w:spacing w:val="0"/>
                <w:sz w:val="21"/>
              </w:rPr>
              <w:t>投保人或者受益人知道保险事故发生后应当在 </w:t>
            </w:r>
            <w:r>
              <w:rPr>
                <w:sz w:val="21"/>
              </w:rPr>
              <w:t>10</w:t>
            </w:r>
            <w:r>
              <w:rPr>
                <w:spacing w:val="2"/>
                <w:sz w:val="21"/>
              </w:rPr>
              <w:t> 日内通知本公</w:t>
            </w:r>
            <w:r>
              <w:rPr>
                <w:spacing w:val="-14"/>
                <w:sz w:val="21"/>
              </w:rPr>
              <w:t>司。故意或者因重大过失未及时通知，致使保险事故的性质、原因、</w:t>
            </w:r>
            <w:r>
              <w:rPr>
                <w:spacing w:val="-13"/>
                <w:sz w:val="21"/>
              </w:rPr>
              <w:t>损失程度等难以确定的，本公司对无法确定的部分不承担给付保险金的责任，但本公司通过其他途径已经及时知道或者应当及时知道</w:t>
            </w:r>
          </w:p>
          <w:p>
            <w:pPr>
              <w:pStyle w:val="TableParagraph"/>
              <w:spacing w:line="264" w:lineRule="exact" w:before="9"/>
              <w:ind w:left="115"/>
              <w:rPr>
                <w:sz w:val="21"/>
              </w:rPr>
            </w:pPr>
            <w:r>
              <w:rPr>
                <w:sz w:val="21"/>
              </w:rPr>
              <w:t>保险事故发生或者虽未及时通知但不影响本公司确定保险事故的</w:t>
            </w:r>
          </w:p>
        </w:tc>
      </w:tr>
    </w:tbl>
    <w:p>
      <w:pPr>
        <w:spacing w:after="0" w:line="264" w:lineRule="exact"/>
        <w:rPr>
          <w:sz w:val="21"/>
        </w:rPr>
        <w:sectPr>
          <w:pgSz w:w="11910" w:h="16840"/>
          <w:pgMar w:header="0" w:footer="898" w:top="1480" w:bottom="1080" w:left="1580" w:right="15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426"/>
        <w:gridCol w:w="6346"/>
      </w:tblGrid>
      <w:tr>
        <w:trPr>
          <w:trHeight w:val="423" w:hRule="atLeast"/>
        </w:trPr>
        <w:tc>
          <w:tcPr>
            <w:tcW w:w="944" w:type="dxa"/>
          </w:tcPr>
          <w:p>
            <w:pPr>
              <w:pStyle w:val="TableParagraph"/>
              <w:ind w:left="0"/>
              <w:rPr>
                <w:rFonts w:ascii="Times New Roman"/>
                <w:sz w:val="20"/>
              </w:rPr>
            </w:pPr>
          </w:p>
        </w:tc>
        <w:tc>
          <w:tcPr>
            <w:tcW w:w="1426" w:type="dxa"/>
          </w:tcPr>
          <w:p>
            <w:pPr>
              <w:pStyle w:val="TableParagraph"/>
              <w:ind w:left="0"/>
              <w:rPr>
                <w:rFonts w:ascii="Times New Roman"/>
                <w:sz w:val="20"/>
              </w:rPr>
            </w:pPr>
          </w:p>
        </w:tc>
        <w:tc>
          <w:tcPr>
            <w:tcW w:w="6346" w:type="dxa"/>
          </w:tcPr>
          <w:p>
            <w:pPr>
              <w:pStyle w:val="TableParagraph"/>
              <w:spacing w:line="202" w:lineRule="exact"/>
              <w:ind w:left="115"/>
              <w:rPr>
                <w:sz w:val="21"/>
              </w:rPr>
            </w:pPr>
            <w:r>
              <w:rPr>
                <w:sz w:val="21"/>
              </w:rPr>
              <w:t>性质、原因、损失程度的除外。</w:t>
            </w:r>
          </w:p>
        </w:tc>
      </w:tr>
      <w:tr>
        <w:trPr>
          <w:trHeight w:val="955" w:hRule="atLeast"/>
        </w:trPr>
        <w:tc>
          <w:tcPr>
            <w:tcW w:w="944" w:type="dxa"/>
          </w:tcPr>
          <w:p>
            <w:pPr>
              <w:pStyle w:val="TableParagraph"/>
              <w:spacing w:before="75"/>
              <w:ind w:left="200"/>
              <w:rPr>
                <w:rFonts w:ascii="Microsoft JhengHei"/>
                <w:b/>
                <w:sz w:val="21"/>
              </w:rPr>
            </w:pPr>
            <w:r>
              <w:rPr>
                <w:rFonts w:ascii="Microsoft JhengHei"/>
                <w:b/>
                <w:w w:val="105"/>
                <w:sz w:val="21"/>
              </w:rPr>
              <w:t>3.3</w:t>
            </w:r>
          </w:p>
        </w:tc>
        <w:tc>
          <w:tcPr>
            <w:tcW w:w="1426" w:type="dxa"/>
          </w:tcPr>
          <w:p>
            <w:pPr>
              <w:pStyle w:val="TableParagraph"/>
              <w:spacing w:line="196" w:lineRule="auto" w:before="134"/>
              <w:ind w:left="427" w:right="113"/>
              <w:rPr>
                <w:rFonts w:ascii="Microsoft JhengHei" w:eastAsia="Microsoft JhengHei" w:hint="eastAsia"/>
                <w:b/>
                <w:sz w:val="22"/>
              </w:rPr>
            </w:pPr>
            <w:r>
              <w:rPr>
                <w:rFonts w:ascii="Microsoft JhengHei" w:eastAsia="Microsoft JhengHei" w:hint="eastAsia"/>
                <w:b/>
                <w:sz w:val="22"/>
              </w:rPr>
              <w:t>保险金申请</w:t>
            </w:r>
          </w:p>
        </w:tc>
        <w:tc>
          <w:tcPr>
            <w:tcW w:w="6346" w:type="dxa"/>
          </w:tcPr>
          <w:p>
            <w:pPr>
              <w:pStyle w:val="TableParagraph"/>
              <w:spacing w:before="142"/>
              <w:ind w:left="115"/>
              <w:rPr>
                <w:sz w:val="21"/>
              </w:rPr>
            </w:pPr>
            <w:r>
              <w:rPr>
                <w:sz w:val="21"/>
              </w:rPr>
              <w:t>在申请保险金时，请按照下列方式办理：</w:t>
            </w:r>
          </w:p>
        </w:tc>
      </w:tr>
      <w:tr>
        <w:trPr>
          <w:trHeight w:val="3583" w:hRule="atLeast"/>
        </w:trPr>
        <w:tc>
          <w:tcPr>
            <w:tcW w:w="944" w:type="dxa"/>
          </w:tcPr>
          <w:p>
            <w:pPr>
              <w:pStyle w:val="TableParagraph"/>
              <w:ind w:left="0"/>
              <w:rPr>
                <w:rFonts w:ascii="Times New Roman"/>
                <w:sz w:val="20"/>
              </w:rPr>
            </w:pPr>
          </w:p>
        </w:tc>
        <w:tc>
          <w:tcPr>
            <w:tcW w:w="1426" w:type="dxa"/>
          </w:tcPr>
          <w:p>
            <w:pPr>
              <w:pStyle w:val="TableParagraph"/>
              <w:spacing w:line="204" w:lineRule="auto" w:before="125"/>
              <w:ind w:left="427" w:right="151"/>
              <w:jc w:val="both"/>
              <w:rPr>
                <w:rFonts w:ascii="Microsoft JhengHei" w:eastAsia="Microsoft JhengHei" w:hint="eastAsia"/>
                <w:b/>
                <w:sz w:val="21"/>
              </w:rPr>
            </w:pPr>
            <w:r>
              <w:rPr>
                <w:rFonts w:ascii="Microsoft JhengHei" w:eastAsia="Microsoft JhengHei" w:hint="eastAsia"/>
                <w:b/>
                <w:sz w:val="21"/>
              </w:rPr>
              <w:t>重大疾病保险金申请</w:t>
            </w:r>
          </w:p>
        </w:tc>
        <w:tc>
          <w:tcPr>
            <w:tcW w:w="6346" w:type="dxa"/>
          </w:tcPr>
          <w:p>
            <w:pPr>
              <w:pStyle w:val="TableParagraph"/>
              <w:spacing w:line="273" w:lineRule="auto" w:before="137"/>
              <w:ind w:left="115" w:right="197"/>
              <w:jc w:val="both"/>
              <w:rPr>
                <w:sz w:val="21"/>
              </w:rPr>
            </w:pPr>
            <w:r>
              <w:rPr>
                <w:sz w:val="21"/>
              </w:rPr>
              <w:t>若被保险人初患并被医院的专科医生确诊为投保人选择的保障方</w:t>
            </w:r>
            <w:r>
              <w:rPr>
                <w:spacing w:val="-8"/>
                <w:sz w:val="21"/>
              </w:rPr>
              <w:t>案所保障的重大疾病，由重大疾病保险金受益人作为申请人，向本</w:t>
            </w:r>
            <w:r>
              <w:rPr>
                <w:sz w:val="21"/>
              </w:rPr>
              <w:t>公司提交加盖投保人单位公章的保险金给付申请书及下列证明材料的原件：</w:t>
            </w:r>
          </w:p>
          <w:p>
            <w:pPr>
              <w:pStyle w:val="TableParagraph"/>
              <w:spacing w:before="165"/>
              <w:ind w:left="115"/>
              <w:jc w:val="both"/>
              <w:rPr>
                <w:sz w:val="21"/>
              </w:rPr>
            </w:pPr>
            <w:r>
              <w:rPr>
                <w:sz w:val="21"/>
              </w:rPr>
              <w:t>（1）保险单或保险凭证原件、被保险人身份证明原件；</w:t>
            </w:r>
          </w:p>
          <w:p>
            <w:pPr>
              <w:pStyle w:val="TableParagraph"/>
              <w:spacing w:before="32"/>
              <w:ind w:left="115"/>
              <w:jc w:val="both"/>
              <w:rPr>
                <w:sz w:val="21"/>
              </w:rPr>
            </w:pPr>
            <w:r>
              <w:rPr>
                <w:sz w:val="21"/>
              </w:rPr>
              <w:t>（2）重大疾病保险金受益人的有效身份证件；</w:t>
            </w:r>
          </w:p>
          <w:p>
            <w:pPr>
              <w:pStyle w:val="TableParagraph"/>
              <w:spacing w:before="37"/>
              <w:ind w:left="115"/>
              <w:jc w:val="both"/>
              <w:rPr>
                <w:sz w:val="21"/>
              </w:rPr>
            </w:pPr>
            <w:r>
              <w:rPr>
                <w:sz w:val="21"/>
              </w:rPr>
              <w:t>（3）医院出具的重大疾病诊断证明书原件；</w:t>
            </w:r>
          </w:p>
          <w:p>
            <w:pPr>
              <w:pStyle w:val="TableParagraph"/>
              <w:spacing w:before="37"/>
              <w:ind w:left="115"/>
              <w:jc w:val="both"/>
              <w:rPr>
                <w:sz w:val="21"/>
              </w:rPr>
            </w:pPr>
            <w:r>
              <w:rPr>
                <w:sz w:val="21"/>
              </w:rPr>
              <w:t>（4）相关检验、检查或病理组织学术检查报告原件；</w:t>
            </w:r>
          </w:p>
          <w:p>
            <w:pPr>
              <w:pStyle w:val="TableParagraph"/>
              <w:spacing w:line="273" w:lineRule="auto" w:before="36"/>
              <w:ind w:left="658" w:right="209" w:hanging="543"/>
              <w:rPr>
                <w:sz w:val="21"/>
              </w:rPr>
            </w:pPr>
            <w:r>
              <w:rPr>
                <w:sz w:val="21"/>
              </w:rPr>
              <w:t>（5）申请人所能提供的与确认保险事故的性质、原因、程度等有关的其他证明材料。</w:t>
            </w:r>
          </w:p>
        </w:tc>
      </w:tr>
      <w:tr>
        <w:trPr>
          <w:trHeight w:val="3884" w:hRule="atLeast"/>
        </w:trPr>
        <w:tc>
          <w:tcPr>
            <w:tcW w:w="944" w:type="dxa"/>
          </w:tcPr>
          <w:p>
            <w:pPr>
              <w:pStyle w:val="TableParagraph"/>
              <w:ind w:left="0"/>
              <w:rPr>
                <w:rFonts w:ascii="Times New Roman"/>
                <w:sz w:val="20"/>
              </w:rPr>
            </w:pPr>
          </w:p>
        </w:tc>
        <w:tc>
          <w:tcPr>
            <w:tcW w:w="1426" w:type="dxa"/>
          </w:tcPr>
          <w:p>
            <w:pPr>
              <w:pStyle w:val="TableParagraph"/>
              <w:spacing w:line="201" w:lineRule="auto" w:before="118"/>
              <w:ind w:left="427" w:right="151"/>
              <w:rPr>
                <w:rFonts w:ascii="Microsoft JhengHei" w:eastAsia="Microsoft JhengHei" w:hint="eastAsia"/>
                <w:b/>
                <w:sz w:val="21"/>
              </w:rPr>
            </w:pPr>
            <w:r>
              <w:rPr>
                <w:rFonts w:ascii="Microsoft JhengHei" w:eastAsia="Microsoft JhengHei" w:hint="eastAsia"/>
                <w:b/>
                <w:sz w:val="21"/>
              </w:rPr>
              <w:t>特别注意事项</w:t>
            </w:r>
          </w:p>
        </w:tc>
        <w:tc>
          <w:tcPr>
            <w:tcW w:w="6346" w:type="dxa"/>
          </w:tcPr>
          <w:p>
            <w:pPr>
              <w:pStyle w:val="TableParagraph"/>
              <w:spacing w:line="268" w:lineRule="auto" w:before="126"/>
              <w:ind w:left="115" w:right="205"/>
              <w:jc w:val="both"/>
              <w:rPr>
                <w:sz w:val="21"/>
              </w:rPr>
            </w:pPr>
            <w:r>
              <w:rPr>
                <w:spacing w:val="-8"/>
                <w:sz w:val="21"/>
              </w:rPr>
              <w:t>以上证明和资料不完整的，本公司将及时一次性通知受益人补充提</w:t>
            </w:r>
            <w:r>
              <w:rPr>
                <w:spacing w:val="-6"/>
                <w:sz w:val="21"/>
              </w:rPr>
              <w:t>供有关的证明和资料。</w:t>
            </w:r>
          </w:p>
          <w:p>
            <w:pPr>
              <w:pStyle w:val="TableParagraph"/>
              <w:spacing w:line="206" w:lineRule="auto" w:before="158"/>
              <w:ind w:left="115" w:right="207"/>
              <w:jc w:val="both"/>
              <w:rPr>
                <w:sz w:val="21"/>
              </w:rPr>
            </w:pPr>
            <w:r>
              <w:rPr>
                <w:spacing w:val="-9"/>
                <w:sz w:val="21"/>
              </w:rPr>
              <w:t>委托他人领取保险金时，受托人还必须提供本人及委托人的</w:t>
            </w:r>
            <w:r>
              <w:rPr>
                <w:rFonts w:ascii="微软雅黑" w:eastAsia="微软雅黑" w:hint="eastAsia"/>
                <w:b/>
                <w:sz w:val="21"/>
              </w:rPr>
              <w:t>有效身份证件</w:t>
            </w:r>
            <w:r>
              <w:rPr>
                <w:spacing w:val="-4"/>
                <w:sz w:val="21"/>
              </w:rPr>
              <w:t>及委托人亲笔签名的授权委托书。</w:t>
            </w:r>
          </w:p>
          <w:p>
            <w:pPr>
              <w:pStyle w:val="TableParagraph"/>
              <w:spacing w:line="268" w:lineRule="auto" w:before="169"/>
              <w:ind w:left="115" w:right="205"/>
              <w:jc w:val="both"/>
              <w:rPr>
                <w:sz w:val="21"/>
              </w:rPr>
            </w:pPr>
            <w:r>
              <w:rPr>
                <w:spacing w:val="-8"/>
                <w:sz w:val="21"/>
              </w:rPr>
              <w:t>保险金作为被保险人遗产时，继承人还必须提供可证明其合法继承</w:t>
            </w:r>
            <w:r>
              <w:rPr>
                <w:spacing w:val="-6"/>
                <w:sz w:val="21"/>
              </w:rPr>
              <w:t>权的相关权利文件。</w:t>
            </w:r>
          </w:p>
          <w:p>
            <w:pPr>
              <w:pStyle w:val="TableParagraph"/>
              <w:spacing w:line="273" w:lineRule="auto" w:before="170"/>
              <w:ind w:left="115" w:right="200"/>
              <w:jc w:val="both"/>
              <w:rPr>
                <w:sz w:val="21"/>
              </w:rPr>
            </w:pPr>
            <w:r>
              <w:rPr>
                <w:sz w:val="21"/>
              </w:rPr>
              <w:t>受益人或者继承人为无民事行为能力人或者限制民事行为能力人</w:t>
            </w:r>
            <w:r>
              <w:rPr>
                <w:spacing w:val="-9"/>
                <w:sz w:val="21"/>
              </w:rPr>
              <w:t>时，由其合法监护人代其申请领取保险金，其合法监护人还必须提</w:t>
            </w:r>
            <w:r>
              <w:rPr>
                <w:sz w:val="21"/>
              </w:rPr>
              <w:t>供受益人或者继承人为无民事行为能力人或者限制民事行为能力</w:t>
            </w:r>
            <w:r>
              <w:rPr>
                <w:spacing w:val="-4"/>
                <w:sz w:val="21"/>
              </w:rPr>
              <w:t>人的证明和监护人具有合法监护权的证明。</w:t>
            </w:r>
          </w:p>
        </w:tc>
      </w:tr>
      <w:tr>
        <w:trPr>
          <w:trHeight w:val="4937" w:hRule="atLeast"/>
        </w:trPr>
        <w:tc>
          <w:tcPr>
            <w:tcW w:w="944" w:type="dxa"/>
          </w:tcPr>
          <w:p>
            <w:pPr>
              <w:pStyle w:val="TableParagraph"/>
              <w:spacing w:before="64"/>
              <w:ind w:left="200"/>
              <w:rPr>
                <w:rFonts w:ascii="Microsoft JhengHei"/>
                <w:b/>
                <w:sz w:val="21"/>
              </w:rPr>
            </w:pPr>
            <w:r>
              <w:rPr>
                <w:rFonts w:ascii="Microsoft JhengHei"/>
                <w:b/>
                <w:w w:val="105"/>
                <w:sz w:val="21"/>
              </w:rPr>
              <w:t>3.4</w:t>
            </w:r>
          </w:p>
        </w:tc>
        <w:tc>
          <w:tcPr>
            <w:tcW w:w="1426" w:type="dxa"/>
          </w:tcPr>
          <w:p>
            <w:pPr>
              <w:pStyle w:val="TableParagraph"/>
              <w:spacing w:line="192" w:lineRule="auto" w:before="130"/>
              <w:ind w:left="427" w:right="113"/>
              <w:rPr>
                <w:rFonts w:ascii="Microsoft JhengHei" w:eastAsia="Microsoft JhengHei" w:hint="eastAsia"/>
                <w:b/>
                <w:sz w:val="22"/>
              </w:rPr>
            </w:pPr>
            <w:r>
              <w:rPr>
                <w:rFonts w:ascii="Microsoft JhengHei" w:eastAsia="Microsoft JhengHei" w:hint="eastAsia"/>
                <w:b/>
                <w:sz w:val="22"/>
              </w:rPr>
              <w:t>保险金给付</w:t>
            </w:r>
          </w:p>
        </w:tc>
        <w:tc>
          <w:tcPr>
            <w:tcW w:w="6346" w:type="dxa"/>
          </w:tcPr>
          <w:p>
            <w:pPr>
              <w:pStyle w:val="TableParagraph"/>
              <w:spacing w:line="268" w:lineRule="auto" w:before="130"/>
              <w:ind w:left="115" w:right="203"/>
              <w:jc w:val="both"/>
              <w:rPr>
                <w:sz w:val="21"/>
              </w:rPr>
            </w:pPr>
            <w:r>
              <w:rPr>
                <w:spacing w:val="-8"/>
                <w:sz w:val="21"/>
              </w:rPr>
              <w:t>本公司在收到领取保险金申请书及本合同约定的证明和资料后，将</w:t>
            </w:r>
            <w:r>
              <w:rPr>
                <w:spacing w:val="-21"/>
                <w:sz w:val="21"/>
              </w:rPr>
              <w:t>在 </w:t>
            </w:r>
            <w:r>
              <w:rPr>
                <w:sz w:val="21"/>
              </w:rPr>
              <w:t>5</w:t>
            </w:r>
            <w:r>
              <w:rPr>
                <w:spacing w:val="-9"/>
                <w:sz w:val="21"/>
              </w:rPr>
              <w:t> 日内作出核定；情形复杂的，在 </w:t>
            </w:r>
            <w:r>
              <w:rPr>
                <w:sz w:val="21"/>
              </w:rPr>
              <w:t>30</w:t>
            </w:r>
            <w:r>
              <w:rPr>
                <w:spacing w:val="-7"/>
                <w:sz w:val="21"/>
              </w:rPr>
              <w:t> 日内作出核定。对属于保</w:t>
            </w:r>
          </w:p>
          <w:p>
            <w:pPr>
              <w:pStyle w:val="TableParagraph"/>
              <w:spacing w:line="273" w:lineRule="auto" w:before="11"/>
              <w:ind w:left="115" w:right="202"/>
              <w:jc w:val="both"/>
              <w:rPr>
                <w:sz w:val="21"/>
              </w:rPr>
            </w:pPr>
            <w:r>
              <w:rPr>
                <w:spacing w:val="-6"/>
                <w:sz w:val="21"/>
              </w:rPr>
              <w:t>险责任的，本公司在与受益人达成给付保险金的协议后 </w:t>
            </w:r>
            <w:r>
              <w:rPr>
                <w:sz w:val="21"/>
              </w:rPr>
              <w:t>10</w:t>
            </w:r>
            <w:r>
              <w:rPr>
                <w:spacing w:val="-6"/>
                <w:sz w:val="21"/>
              </w:rPr>
              <w:t> 日内， </w:t>
            </w:r>
            <w:r>
              <w:rPr>
                <w:spacing w:val="-5"/>
                <w:sz w:val="21"/>
              </w:rPr>
              <w:t>履行给付保险金义务。</w:t>
            </w:r>
          </w:p>
          <w:p>
            <w:pPr>
              <w:pStyle w:val="TableParagraph"/>
              <w:spacing w:line="273" w:lineRule="auto" w:before="166"/>
              <w:ind w:left="115" w:right="202"/>
              <w:jc w:val="both"/>
              <w:rPr>
                <w:sz w:val="21"/>
              </w:rPr>
            </w:pPr>
            <w:r>
              <w:rPr>
                <w:spacing w:val="-8"/>
                <w:sz w:val="21"/>
              </w:rPr>
              <w:t>本公司未及时履行前款规定义务的，对属于保险责任的，除支付保</w:t>
            </w:r>
            <w:r>
              <w:rPr>
                <w:spacing w:val="-10"/>
                <w:sz w:val="21"/>
              </w:rPr>
              <w:t>险金外，应当赔偿受益人因此受到的利息损失。前述“损失”是指按照中国人民银行公布的同时期的人民币活期存款基准利率、以复</w:t>
            </w:r>
            <w:r>
              <w:rPr>
                <w:spacing w:val="-7"/>
                <w:sz w:val="21"/>
              </w:rPr>
              <w:t>利方式计算的利息损失。</w:t>
            </w:r>
          </w:p>
          <w:p>
            <w:pPr>
              <w:pStyle w:val="TableParagraph"/>
              <w:spacing w:line="268" w:lineRule="auto" w:before="166"/>
              <w:ind w:left="115" w:right="202"/>
              <w:jc w:val="both"/>
              <w:rPr>
                <w:sz w:val="21"/>
              </w:rPr>
            </w:pPr>
            <w:r>
              <w:rPr>
                <w:spacing w:val="-10"/>
                <w:sz w:val="21"/>
              </w:rPr>
              <w:t>对不属于保险责任的，本公司自作出核定之日起 </w:t>
            </w:r>
            <w:r>
              <w:rPr>
                <w:sz w:val="21"/>
              </w:rPr>
              <w:t>3</w:t>
            </w:r>
            <w:r>
              <w:rPr>
                <w:spacing w:val="-7"/>
                <w:sz w:val="21"/>
              </w:rPr>
              <w:t> 日内向受益人发</w:t>
            </w:r>
            <w:r>
              <w:rPr>
                <w:spacing w:val="-6"/>
                <w:sz w:val="21"/>
              </w:rPr>
              <w:t>出拒绝给付保险金通知书并说明理由。</w:t>
            </w:r>
          </w:p>
          <w:p>
            <w:pPr>
              <w:pStyle w:val="TableParagraph"/>
              <w:spacing w:line="310" w:lineRule="atLeast" w:before="135"/>
              <w:ind w:left="115" w:right="202"/>
              <w:jc w:val="both"/>
              <w:rPr>
                <w:sz w:val="21"/>
              </w:rPr>
            </w:pPr>
            <w:r>
              <w:rPr>
                <w:spacing w:val="0"/>
                <w:sz w:val="21"/>
              </w:rPr>
              <w:t>本公司在收到领取保险金申请书及有关证明和资料之日起 </w:t>
            </w:r>
            <w:r>
              <w:rPr>
                <w:sz w:val="21"/>
              </w:rPr>
              <w:t>60</w:t>
            </w:r>
            <w:r>
              <w:rPr>
                <w:spacing w:val="12"/>
                <w:sz w:val="21"/>
              </w:rPr>
              <w:t> 日</w:t>
            </w:r>
            <w:r>
              <w:rPr>
                <w:spacing w:val="-8"/>
                <w:sz w:val="21"/>
              </w:rPr>
              <w:t>内，对给付保险金的数额不能确定的，根据已有证明和资料可以确</w:t>
            </w:r>
            <w:r>
              <w:rPr>
                <w:spacing w:val="-10"/>
                <w:sz w:val="21"/>
              </w:rPr>
              <w:t>定的数额先予支付；本公司最终确定给付保险金的数额后，将支付</w:t>
            </w:r>
            <w:r>
              <w:rPr>
                <w:spacing w:val="-8"/>
                <w:sz w:val="21"/>
              </w:rPr>
              <w:t>相应的差额。</w:t>
            </w:r>
          </w:p>
        </w:tc>
      </w:tr>
    </w:tbl>
    <w:p>
      <w:pPr>
        <w:spacing w:after="0" w:line="310" w:lineRule="atLeast"/>
        <w:jc w:val="both"/>
        <w:rPr>
          <w:sz w:val="21"/>
        </w:rPr>
        <w:sectPr>
          <w:pgSz w:w="11910" w:h="16840"/>
          <w:pgMar w:header="0" w:footer="898" w:top="1480" w:bottom="1080" w:left="1500" w:right="1480"/>
        </w:sectPr>
      </w:pPr>
    </w:p>
    <w:p>
      <w:pPr>
        <w:pStyle w:val="BodyText"/>
        <w:spacing w:before="10"/>
        <w:rPr>
          <w:rFonts w:ascii="Times New Roman"/>
          <w:sz w:val="1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5"/>
        <w:gridCol w:w="1407"/>
        <w:gridCol w:w="6267"/>
      </w:tblGrid>
      <w:tr>
        <w:trPr>
          <w:trHeight w:val="729" w:hRule="atLeast"/>
        </w:trPr>
        <w:tc>
          <w:tcPr>
            <w:tcW w:w="855" w:type="dxa"/>
          </w:tcPr>
          <w:p>
            <w:pPr>
              <w:pStyle w:val="TableParagraph"/>
              <w:spacing w:line="235" w:lineRule="exact"/>
              <w:ind w:left="110"/>
              <w:rPr>
                <w:rFonts w:ascii="Microsoft JhengHei"/>
                <w:b/>
                <w:sz w:val="21"/>
              </w:rPr>
            </w:pPr>
            <w:r>
              <w:rPr>
                <w:rFonts w:ascii="Microsoft JhengHei"/>
                <w:b/>
                <w:w w:val="105"/>
                <w:sz w:val="21"/>
              </w:rPr>
              <w:t>3.5</w:t>
            </w:r>
          </w:p>
        </w:tc>
        <w:tc>
          <w:tcPr>
            <w:tcW w:w="1407" w:type="dxa"/>
          </w:tcPr>
          <w:p>
            <w:pPr>
              <w:pStyle w:val="TableParagraph"/>
              <w:spacing w:line="235" w:lineRule="exact"/>
              <w:ind w:left="427"/>
              <w:rPr>
                <w:rFonts w:ascii="Microsoft JhengHei" w:eastAsia="Microsoft JhengHei" w:hint="eastAsia"/>
                <w:b/>
                <w:sz w:val="21"/>
              </w:rPr>
            </w:pPr>
            <w:r>
              <w:rPr>
                <w:rFonts w:ascii="Microsoft JhengHei" w:eastAsia="Microsoft JhengHei" w:hint="eastAsia"/>
                <w:b/>
                <w:sz w:val="21"/>
              </w:rPr>
              <w:t>诉讼时效</w:t>
            </w:r>
          </w:p>
        </w:tc>
        <w:tc>
          <w:tcPr>
            <w:tcW w:w="6267" w:type="dxa"/>
          </w:tcPr>
          <w:p>
            <w:pPr>
              <w:pStyle w:val="TableParagraph"/>
              <w:spacing w:line="211" w:lineRule="exact"/>
              <w:rPr>
                <w:sz w:val="21"/>
              </w:rPr>
            </w:pPr>
            <w:r>
              <w:rPr>
                <w:spacing w:val="-7"/>
                <w:sz w:val="21"/>
              </w:rPr>
              <w:t>权利人向本公司申请给付保险金的诉讼时效期间为 </w:t>
            </w:r>
            <w:r>
              <w:rPr>
                <w:sz w:val="21"/>
              </w:rPr>
              <w:t>2</w:t>
            </w:r>
            <w:r>
              <w:rPr>
                <w:spacing w:val="-18"/>
                <w:sz w:val="21"/>
              </w:rPr>
              <w:t> 年，自其知道</w:t>
            </w:r>
          </w:p>
          <w:p>
            <w:pPr>
              <w:pStyle w:val="TableParagraph"/>
              <w:spacing w:before="37"/>
              <w:rPr>
                <w:sz w:val="21"/>
              </w:rPr>
            </w:pPr>
            <w:r>
              <w:rPr>
                <w:sz w:val="21"/>
              </w:rPr>
              <w:t>或者应当知道保险事故发生之日起计算。</w:t>
            </w:r>
          </w:p>
        </w:tc>
      </w:tr>
      <w:tr>
        <w:trPr>
          <w:trHeight w:val="484" w:hRule="atLeast"/>
        </w:trPr>
        <w:tc>
          <w:tcPr>
            <w:tcW w:w="855" w:type="dxa"/>
            <w:tcBorders>
              <w:bottom w:val="single" w:sz="8" w:space="0" w:color="000000"/>
            </w:tcBorders>
          </w:tcPr>
          <w:p>
            <w:pPr>
              <w:pStyle w:val="TableParagraph"/>
              <w:spacing w:line="408" w:lineRule="exact" w:before="56"/>
              <w:ind w:left="110"/>
              <w:rPr>
                <w:rFonts w:ascii="Microsoft JhengHei"/>
                <w:b/>
                <w:sz w:val="24"/>
              </w:rPr>
            </w:pPr>
            <w:r>
              <w:rPr>
                <w:rFonts w:ascii="Microsoft JhengHei"/>
                <w:b/>
                <w:w w:val="120"/>
                <w:sz w:val="24"/>
              </w:rPr>
              <w:t>4.</w:t>
            </w:r>
          </w:p>
        </w:tc>
        <w:tc>
          <w:tcPr>
            <w:tcW w:w="7674" w:type="dxa"/>
            <w:gridSpan w:val="2"/>
            <w:tcBorders>
              <w:bottom w:val="single" w:sz="8" w:space="0" w:color="000000"/>
            </w:tcBorders>
          </w:tcPr>
          <w:p>
            <w:pPr>
              <w:pStyle w:val="TableParagraph"/>
              <w:spacing w:line="408" w:lineRule="exact" w:before="56"/>
              <w:ind w:left="427"/>
              <w:rPr>
                <w:rFonts w:ascii="Microsoft JhengHei" w:eastAsia="Microsoft JhengHei" w:hint="eastAsia"/>
                <w:b/>
                <w:sz w:val="24"/>
              </w:rPr>
            </w:pPr>
            <w:r>
              <w:rPr>
                <w:rFonts w:ascii="Microsoft JhengHei" w:eastAsia="Microsoft JhengHei" w:hint="eastAsia"/>
                <w:b/>
                <w:sz w:val="24"/>
              </w:rPr>
              <w:t>保险费的交纳</w:t>
            </w:r>
          </w:p>
        </w:tc>
      </w:tr>
      <w:tr>
        <w:trPr>
          <w:trHeight w:val="1085" w:hRule="atLeast"/>
        </w:trPr>
        <w:tc>
          <w:tcPr>
            <w:tcW w:w="855" w:type="dxa"/>
            <w:tcBorders>
              <w:top w:val="single" w:sz="8" w:space="0" w:color="000000"/>
            </w:tcBorders>
          </w:tcPr>
          <w:p>
            <w:pPr>
              <w:pStyle w:val="TableParagraph"/>
              <w:spacing w:before="6"/>
              <w:ind w:left="0"/>
              <w:rPr>
                <w:rFonts w:ascii="Times New Roman"/>
                <w:sz w:val="19"/>
              </w:rPr>
            </w:pPr>
          </w:p>
          <w:p>
            <w:pPr>
              <w:pStyle w:val="TableParagraph"/>
              <w:ind w:left="110"/>
              <w:rPr>
                <w:rFonts w:ascii="Microsoft JhengHei"/>
                <w:b/>
                <w:sz w:val="21"/>
              </w:rPr>
            </w:pPr>
            <w:r>
              <w:rPr>
                <w:rFonts w:ascii="Microsoft JhengHei"/>
                <w:b/>
                <w:w w:val="105"/>
                <w:sz w:val="21"/>
              </w:rPr>
              <w:t>4.1</w:t>
            </w:r>
          </w:p>
        </w:tc>
        <w:tc>
          <w:tcPr>
            <w:tcW w:w="1407" w:type="dxa"/>
            <w:tcBorders>
              <w:top w:val="single" w:sz="8" w:space="0" w:color="000000"/>
            </w:tcBorders>
          </w:tcPr>
          <w:p>
            <w:pPr>
              <w:pStyle w:val="TableParagraph"/>
              <w:spacing w:before="3"/>
              <w:ind w:left="0"/>
              <w:rPr>
                <w:rFonts w:ascii="Times New Roman"/>
                <w:sz w:val="24"/>
              </w:rPr>
            </w:pPr>
          </w:p>
          <w:p>
            <w:pPr>
              <w:pStyle w:val="TableParagraph"/>
              <w:spacing w:line="204" w:lineRule="auto" w:before="1"/>
              <w:ind w:left="427" w:right="133"/>
              <w:rPr>
                <w:rFonts w:ascii="Microsoft JhengHei" w:eastAsia="Microsoft JhengHei" w:hint="eastAsia"/>
                <w:b/>
                <w:sz w:val="21"/>
              </w:rPr>
            </w:pPr>
            <w:r>
              <w:rPr>
                <w:rFonts w:ascii="Microsoft JhengHei" w:eastAsia="Microsoft JhengHei" w:hint="eastAsia"/>
                <w:b/>
                <w:sz w:val="21"/>
              </w:rPr>
              <w:t>保险费的交纳</w:t>
            </w:r>
          </w:p>
        </w:tc>
        <w:tc>
          <w:tcPr>
            <w:tcW w:w="6267" w:type="dxa"/>
            <w:tcBorders>
              <w:top w:val="single" w:sz="8" w:space="0" w:color="000000"/>
            </w:tcBorders>
          </w:tcPr>
          <w:p>
            <w:pPr>
              <w:pStyle w:val="TableParagraph"/>
              <w:spacing w:before="4"/>
              <w:ind w:left="0"/>
              <w:rPr>
                <w:rFonts w:ascii="Times New Roman"/>
                <w:sz w:val="25"/>
              </w:rPr>
            </w:pPr>
          </w:p>
          <w:p>
            <w:pPr>
              <w:pStyle w:val="TableParagraph"/>
              <w:rPr>
                <w:sz w:val="21"/>
              </w:rPr>
            </w:pPr>
            <w:r>
              <w:rPr>
                <w:sz w:val="21"/>
              </w:rPr>
              <w:t>本合同保险费的交费方式为一次性交清，并在保险单上载明。</w:t>
            </w:r>
          </w:p>
        </w:tc>
      </w:tr>
      <w:tr>
        <w:trPr>
          <w:trHeight w:val="484" w:hRule="atLeast"/>
        </w:trPr>
        <w:tc>
          <w:tcPr>
            <w:tcW w:w="855" w:type="dxa"/>
            <w:tcBorders>
              <w:bottom w:val="single" w:sz="8" w:space="0" w:color="000000"/>
            </w:tcBorders>
          </w:tcPr>
          <w:p>
            <w:pPr>
              <w:pStyle w:val="TableParagraph"/>
              <w:spacing w:line="408" w:lineRule="exact" w:before="56"/>
              <w:ind w:left="110"/>
              <w:rPr>
                <w:rFonts w:ascii="Microsoft JhengHei"/>
                <w:b/>
                <w:sz w:val="24"/>
              </w:rPr>
            </w:pPr>
            <w:r>
              <w:rPr>
                <w:rFonts w:ascii="Microsoft JhengHei"/>
                <w:b/>
                <w:w w:val="120"/>
                <w:sz w:val="24"/>
              </w:rPr>
              <w:t>5.</w:t>
            </w:r>
          </w:p>
        </w:tc>
        <w:tc>
          <w:tcPr>
            <w:tcW w:w="7674" w:type="dxa"/>
            <w:gridSpan w:val="2"/>
            <w:tcBorders>
              <w:bottom w:val="single" w:sz="8" w:space="0" w:color="000000"/>
            </w:tcBorders>
          </w:tcPr>
          <w:p>
            <w:pPr>
              <w:pStyle w:val="TableParagraph"/>
              <w:spacing w:line="408" w:lineRule="exact" w:before="56"/>
              <w:ind w:left="427"/>
              <w:rPr>
                <w:rFonts w:ascii="Microsoft JhengHei" w:eastAsia="Microsoft JhengHei" w:hint="eastAsia"/>
                <w:b/>
                <w:sz w:val="24"/>
              </w:rPr>
            </w:pPr>
            <w:r>
              <w:rPr>
                <w:rFonts w:ascii="Microsoft JhengHei" w:eastAsia="Microsoft JhengHei" w:hint="eastAsia"/>
                <w:b/>
                <w:sz w:val="24"/>
              </w:rPr>
              <w:t>合同的解除</w:t>
            </w:r>
          </w:p>
        </w:tc>
      </w:tr>
      <w:tr>
        <w:trPr>
          <w:trHeight w:val="4388" w:hRule="atLeast"/>
        </w:trPr>
        <w:tc>
          <w:tcPr>
            <w:tcW w:w="855" w:type="dxa"/>
            <w:tcBorders>
              <w:top w:val="single" w:sz="8" w:space="0" w:color="000000"/>
            </w:tcBorders>
          </w:tcPr>
          <w:p>
            <w:pPr>
              <w:pStyle w:val="TableParagraph"/>
              <w:spacing w:before="6"/>
              <w:ind w:left="0"/>
              <w:rPr>
                <w:rFonts w:ascii="Times New Roman"/>
                <w:sz w:val="19"/>
              </w:rPr>
            </w:pPr>
          </w:p>
          <w:p>
            <w:pPr>
              <w:pStyle w:val="TableParagraph"/>
              <w:ind w:left="110"/>
              <w:rPr>
                <w:rFonts w:ascii="Microsoft JhengHei"/>
                <w:b/>
                <w:sz w:val="21"/>
              </w:rPr>
            </w:pPr>
            <w:r>
              <w:rPr>
                <w:rFonts w:ascii="Microsoft JhengHei"/>
                <w:b/>
                <w:w w:val="105"/>
                <w:sz w:val="21"/>
              </w:rPr>
              <w:t>5.1</w:t>
            </w:r>
          </w:p>
        </w:tc>
        <w:tc>
          <w:tcPr>
            <w:tcW w:w="1407" w:type="dxa"/>
            <w:tcBorders>
              <w:top w:val="single" w:sz="8" w:space="0" w:color="000000"/>
            </w:tcBorders>
          </w:tcPr>
          <w:p>
            <w:pPr>
              <w:pStyle w:val="TableParagraph"/>
              <w:spacing w:before="3"/>
              <w:ind w:left="0"/>
              <w:rPr>
                <w:rFonts w:ascii="Times New Roman"/>
                <w:sz w:val="24"/>
              </w:rPr>
            </w:pPr>
          </w:p>
          <w:p>
            <w:pPr>
              <w:pStyle w:val="TableParagraph"/>
              <w:spacing w:line="204" w:lineRule="auto" w:before="1"/>
              <w:ind w:left="427" w:right="133"/>
              <w:jc w:val="both"/>
              <w:rPr>
                <w:rFonts w:ascii="Microsoft JhengHei" w:eastAsia="Microsoft JhengHei" w:hint="eastAsia"/>
                <w:b/>
                <w:sz w:val="21"/>
              </w:rPr>
            </w:pPr>
            <w:r>
              <w:rPr>
                <w:rFonts w:ascii="Microsoft JhengHei" w:eastAsia="Microsoft JhengHei" w:hint="eastAsia"/>
                <w:b/>
                <w:sz w:val="21"/>
              </w:rPr>
              <w:t>解除合同的手续及风险</w:t>
            </w:r>
          </w:p>
        </w:tc>
        <w:tc>
          <w:tcPr>
            <w:tcW w:w="6267" w:type="dxa"/>
            <w:tcBorders>
              <w:top w:val="single" w:sz="8" w:space="0" w:color="000000"/>
            </w:tcBorders>
          </w:tcPr>
          <w:p>
            <w:pPr>
              <w:pStyle w:val="TableParagraph"/>
              <w:spacing w:before="4"/>
              <w:ind w:left="0"/>
              <w:rPr>
                <w:rFonts w:ascii="Times New Roman"/>
                <w:sz w:val="25"/>
              </w:rPr>
            </w:pPr>
          </w:p>
          <w:p>
            <w:pPr>
              <w:pStyle w:val="TableParagraph"/>
              <w:spacing w:line="273" w:lineRule="auto"/>
              <w:ind w:right="107"/>
              <w:rPr>
                <w:sz w:val="21"/>
              </w:rPr>
            </w:pPr>
            <w:r>
              <w:rPr>
                <w:spacing w:val="-8"/>
                <w:sz w:val="21"/>
              </w:rPr>
              <w:t>如果投保人要求解除本合同，请填写解除合同申请书并向本公司提</w:t>
            </w:r>
            <w:r>
              <w:rPr>
                <w:spacing w:val="-6"/>
                <w:sz w:val="21"/>
              </w:rPr>
              <w:t>供下列资料的原件：</w:t>
            </w:r>
          </w:p>
          <w:p>
            <w:pPr>
              <w:pStyle w:val="TableParagraph"/>
              <w:spacing w:before="166"/>
              <w:rPr>
                <w:sz w:val="21"/>
              </w:rPr>
            </w:pPr>
            <w:r>
              <w:rPr>
                <w:sz w:val="21"/>
              </w:rPr>
              <w:t>（1）本合同；</w:t>
            </w:r>
          </w:p>
          <w:p>
            <w:pPr>
              <w:pStyle w:val="TableParagraph"/>
              <w:spacing w:line="273" w:lineRule="auto" w:before="32"/>
              <w:ind w:left="662" w:right="111" w:hanging="529"/>
              <w:rPr>
                <w:sz w:val="21"/>
              </w:rPr>
            </w:pPr>
            <w:r>
              <w:rPr>
                <w:sz w:val="21"/>
              </w:rPr>
              <w:t>（2）已发生保险事故，但未向本公司申请理赔的被保险人名单及案件明细；</w:t>
            </w:r>
          </w:p>
          <w:p>
            <w:pPr>
              <w:pStyle w:val="TableParagraph"/>
              <w:spacing w:before="7"/>
              <w:rPr>
                <w:sz w:val="21"/>
              </w:rPr>
            </w:pPr>
            <w:r>
              <w:rPr>
                <w:sz w:val="21"/>
              </w:rPr>
              <w:t>（3）被保险人已经知悉投保人退保的相关证明材料；</w:t>
            </w:r>
          </w:p>
          <w:p>
            <w:pPr>
              <w:pStyle w:val="TableParagraph"/>
              <w:spacing w:before="36"/>
              <w:rPr>
                <w:sz w:val="21"/>
              </w:rPr>
            </w:pPr>
            <w:r>
              <w:rPr>
                <w:sz w:val="21"/>
              </w:rPr>
              <w:t>（4）经办人的有效身份证件。</w:t>
            </w:r>
          </w:p>
          <w:p>
            <w:pPr>
              <w:pStyle w:val="TableParagraph"/>
              <w:ind w:left="0"/>
              <w:rPr>
                <w:rFonts w:ascii="Times New Roman"/>
                <w:sz w:val="17"/>
              </w:rPr>
            </w:pPr>
          </w:p>
          <w:p>
            <w:pPr>
              <w:pStyle w:val="TableParagraph"/>
              <w:spacing w:line="273" w:lineRule="auto"/>
              <w:ind w:right="106"/>
              <w:jc w:val="both"/>
              <w:rPr>
                <w:sz w:val="21"/>
              </w:rPr>
            </w:pPr>
            <w:r>
              <w:rPr>
                <w:spacing w:val="-8"/>
                <w:sz w:val="21"/>
              </w:rPr>
              <w:t>自本公司收到解除合同申请书时起，本合同终止。本公司自收到解</w:t>
            </w:r>
            <w:r>
              <w:rPr>
                <w:spacing w:val="-7"/>
                <w:sz w:val="21"/>
              </w:rPr>
              <w:t>除合同申请书之日起 </w:t>
            </w:r>
            <w:r>
              <w:rPr>
                <w:sz w:val="21"/>
              </w:rPr>
              <w:t>30</w:t>
            </w:r>
            <w:r>
              <w:rPr>
                <w:spacing w:val="-5"/>
                <w:sz w:val="21"/>
              </w:rPr>
              <w:t> 日内向投保人退还本合同项下未发生保险事故的各被保险人名下的现金价值。</w:t>
            </w:r>
          </w:p>
          <w:p>
            <w:pPr>
              <w:pStyle w:val="TableParagraph"/>
              <w:spacing w:before="166"/>
              <w:rPr>
                <w:sz w:val="21"/>
              </w:rPr>
            </w:pPr>
            <w:r>
              <w:rPr>
                <w:sz w:val="21"/>
              </w:rPr>
              <w:t>投保人解除合同会遭受一定的损失。</w:t>
            </w:r>
          </w:p>
        </w:tc>
      </w:tr>
      <w:tr>
        <w:trPr>
          <w:trHeight w:val="556" w:hRule="atLeast"/>
        </w:trPr>
        <w:tc>
          <w:tcPr>
            <w:tcW w:w="855" w:type="dxa"/>
            <w:tcBorders>
              <w:bottom w:val="single" w:sz="8" w:space="0" w:color="000000"/>
            </w:tcBorders>
          </w:tcPr>
          <w:p>
            <w:pPr>
              <w:pStyle w:val="TableParagraph"/>
              <w:spacing w:before="80"/>
              <w:ind w:left="110"/>
              <w:rPr>
                <w:rFonts w:ascii="Microsoft JhengHei"/>
                <w:b/>
                <w:sz w:val="24"/>
              </w:rPr>
            </w:pPr>
            <w:r>
              <w:rPr>
                <w:rFonts w:ascii="Microsoft JhengHei"/>
                <w:b/>
                <w:w w:val="83"/>
                <w:sz w:val="24"/>
              </w:rPr>
              <w:t>6</w:t>
            </w:r>
            <w:r>
              <w:rPr>
                <w:rFonts w:ascii="Microsoft JhengHei"/>
                <w:b/>
                <w:w w:val="196"/>
                <w:sz w:val="24"/>
              </w:rPr>
              <w:t>.</w:t>
            </w:r>
          </w:p>
        </w:tc>
        <w:tc>
          <w:tcPr>
            <w:tcW w:w="7674" w:type="dxa"/>
            <w:gridSpan w:val="2"/>
            <w:tcBorders>
              <w:bottom w:val="single" w:sz="8" w:space="0" w:color="000000"/>
            </w:tcBorders>
          </w:tcPr>
          <w:p>
            <w:pPr>
              <w:pStyle w:val="TableParagraph"/>
              <w:spacing w:before="80"/>
              <w:ind w:left="427"/>
              <w:rPr>
                <w:rFonts w:ascii="Microsoft JhengHei" w:eastAsia="Microsoft JhengHei" w:hint="eastAsia"/>
                <w:b/>
                <w:sz w:val="24"/>
              </w:rPr>
            </w:pPr>
            <w:r>
              <w:rPr>
                <w:rFonts w:ascii="Microsoft JhengHei" w:eastAsia="Microsoft JhengHei" w:hint="eastAsia"/>
                <w:b/>
                <w:sz w:val="24"/>
              </w:rPr>
              <w:t>其他需要关注的事项</w:t>
            </w:r>
          </w:p>
        </w:tc>
      </w:tr>
      <w:tr>
        <w:trPr>
          <w:trHeight w:val="5147" w:hRule="atLeast"/>
        </w:trPr>
        <w:tc>
          <w:tcPr>
            <w:tcW w:w="855" w:type="dxa"/>
            <w:tcBorders>
              <w:top w:val="single" w:sz="8" w:space="0" w:color="000000"/>
            </w:tcBorders>
          </w:tcPr>
          <w:p>
            <w:pPr>
              <w:pStyle w:val="TableParagraph"/>
              <w:spacing w:before="76"/>
              <w:ind w:left="110"/>
              <w:rPr>
                <w:rFonts w:ascii="Microsoft JhengHei"/>
                <w:b/>
                <w:sz w:val="21"/>
              </w:rPr>
            </w:pPr>
            <w:r>
              <w:rPr>
                <w:rFonts w:ascii="Microsoft JhengHei"/>
                <w:b/>
                <w:w w:val="105"/>
                <w:sz w:val="21"/>
              </w:rPr>
              <w:t>6.1</w:t>
            </w:r>
          </w:p>
        </w:tc>
        <w:tc>
          <w:tcPr>
            <w:tcW w:w="1407" w:type="dxa"/>
            <w:tcBorders>
              <w:top w:val="single" w:sz="8" w:space="0" w:color="000000"/>
            </w:tcBorders>
          </w:tcPr>
          <w:p>
            <w:pPr>
              <w:pStyle w:val="TableParagraph"/>
              <w:spacing w:line="204" w:lineRule="auto" w:before="131"/>
              <w:ind w:left="427" w:right="133"/>
              <w:jc w:val="both"/>
              <w:rPr>
                <w:rFonts w:ascii="Microsoft JhengHei" w:eastAsia="Microsoft JhengHei" w:hint="eastAsia"/>
                <w:b/>
                <w:sz w:val="21"/>
              </w:rPr>
            </w:pPr>
            <w:r>
              <w:rPr>
                <w:rFonts w:ascii="Microsoft JhengHei" w:eastAsia="Microsoft JhengHei" w:hint="eastAsia"/>
                <w:b/>
                <w:sz w:val="21"/>
              </w:rPr>
              <w:t>明确说明与如实告知</w:t>
            </w:r>
          </w:p>
        </w:tc>
        <w:tc>
          <w:tcPr>
            <w:tcW w:w="6267" w:type="dxa"/>
            <w:tcBorders>
              <w:top w:val="single" w:sz="8" w:space="0" w:color="000000"/>
            </w:tcBorders>
          </w:tcPr>
          <w:p>
            <w:pPr>
              <w:pStyle w:val="TableParagraph"/>
              <w:spacing w:line="271" w:lineRule="auto" w:before="143"/>
              <w:ind w:right="104"/>
              <w:jc w:val="both"/>
              <w:rPr>
                <w:sz w:val="21"/>
              </w:rPr>
            </w:pPr>
            <w:r>
              <w:rPr>
                <w:spacing w:val="-8"/>
                <w:sz w:val="21"/>
              </w:rPr>
              <w:t>订立本合同时，本公司应当说明本合同的内容。对保险合同中免除</w:t>
            </w:r>
            <w:r>
              <w:rPr>
                <w:spacing w:val="-10"/>
                <w:sz w:val="21"/>
              </w:rPr>
              <w:t>本公司责任的条款，本公司在订立合同时应当在投保单、保险单或者其他保险凭证上作出足以引起投保人注意的提示，并对该条款的内容以书面或者口头形式向投保人作出明确说明，未作提示或者明</w:t>
            </w:r>
            <w:r>
              <w:rPr>
                <w:spacing w:val="-7"/>
                <w:sz w:val="21"/>
              </w:rPr>
              <w:t>确说明的，该条款不产生效力。</w:t>
            </w:r>
          </w:p>
          <w:p>
            <w:pPr>
              <w:pStyle w:val="TableParagraph"/>
              <w:spacing w:line="273" w:lineRule="auto" w:before="168"/>
              <w:ind w:right="107"/>
              <w:rPr>
                <w:sz w:val="21"/>
              </w:rPr>
            </w:pPr>
            <w:r>
              <w:rPr>
                <w:spacing w:val="-8"/>
                <w:sz w:val="21"/>
              </w:rPr>
              <w:t>本公司会就投保人和被保险人的有关情况提出书面询问，投保人应</w:t>
            </w:r>
            <w:r>
              <w:rPr>
                <w:spacing w:val="-7"/>
                <w:sz w:val="21"/>
              </w:rPr>
              <w:t>当如实告知。</w:t>
            </w:r>
          </w:p>
          <w:p>
            <w:pPr>
              <w:pStyle w:val="TableParagraph"/>
              <w:spacing w:line="271" w:lineRule="auto" w:before="166"/>
              <w:ind w:right="35"/>
              <w:rPr>
                <w:sz w:val="21"/>
              </w:rPr>
            </w:pPr>
            <w:r>
              <w:rPr>
                <w:spacing w:val="-5"/>
                <w:sz w:val="21"/>
              </w:rPr>
              <w:t>如果投保人故意或者因重大过失未履行前款约定的如实告知义务， </w:t>
            </w:r>
            <w:r>
              <w:rPr>
                <w:spacing w:val="-8"/>
                <w:sz w:val="21"/>
              </w:rPr>
              <w:t>足以影响本公司决定是否同意承保或者提高保险费率的，本公司有</w:t>
            </w:r>
            <w:r>
              <w:rPr>
                <w:sz w:val="21"/>
              </w:rPr>
              <w:t>权解除本合同，合同解除权自本公司知道有解除事由之日起超过</w:t>
            </w:r>
          </w:p>
          <w:p>
            <w:pPr>
              <w:pStyle w:val="TableParagraph"/>
              <w:spacing w:before="9"/>
              <w:rPr>
                <w:sz w:val="21"/>
              </w:rPr>
            </w:pPr>
            <w:r>
              <w:rPr>
                <w:sz w:val="21"/>
              </w:rPr>
              <w:t>30 日不行使而消灭。</w:t>
            </w:r>
          </w:p>
          <w:p>
            <w:pPr>
              <w:pStyle w:val="TableParagraph"/>
              <w:ind w:left="0"/>
              <w:rPr>
                <w:rFonts w:ascii="Times New Roman"/>
                <w:sz w:val="17"/>
              </w:rPr>
            </w:pPr>
          </w:p>
          <w:p>
            <w:pPr>
              <w:pStyle w:val="TableParagraph"/>
              <w:spacing w:line="273" w:lineRule="auto"/>
              <w:ind w:right="106"/>
              <w:rPr>
                <w:sz w:val="21"/>
              </w:rPr>
            </w:pPr>
            <w:r>
              <w:rPr>
                <w:spacing w:val="-8"/>
                <w:sz w:val="21"/>
              </w:rPr>
              <w:t>如果投保人故意不履行如实告知义务，对于本合同解除前发</w:t>
            </w:r>
            <w:r>
              <w:rPr>
                <w:sz w:val="21"/>
              </w:rPr>
              <w:t>Th</w:t>
            </w:r>
            <w:r>
              <w:rPr>
                <w:spacing w:val="-3"/>
                <w:sz w:val="21"/>
              </w:rPr>
              <w:t>的保</w:t>
            </w:r>
            <w:r>
              <w:rPr>
                <w:spacing w:val="-5"/>
                <w:sz w:val="21"/>
              </w:rPr>
              <w:t>险事故，本公司不承担给付保险金的责任，并不退还保险费。</w:t>
            </w:r>
          </w:p>
          <w:p>
            <w:pPr>
              <w:pStyle w:val="TableParagraph"/>
              <w:spacing w:before="166"/>
              <w:rPr>
                <w:sz w:val="21"/>
              </w:rPr>
            </w:pPr>
            <w:r>
              <w:rPr>
                <w:sz w:val="21"/>
              </w:rPr>
              <w:t>如果投保人因重大过失未履行如实告知义务，对保险事故的发Th有</w:t>
            </w:r>
          </w:p>
        </w:tc>
      </w:tr>
      <w:tr>
        <w:trPr>
          <w:trHeight w:val="571" w:hRule="atLeast"/>
        </w:trPr>
        <w:tc>
          <w:tcPr>
            <w:tcW w:w="855" w:type="dxa"/>
          </w:tcPr>
          <w:p>
            <w:pPr>
              <w:pStyle w:val="TableParagraph"/>
              <w:ind w:left="0"/>
              <w:rPr>
                <w:rFonts w:ascii="Times New Roman"/>
                <w:sz w:val="20"/>
              </w:rPr>
            </w:pPr>
          </w:p>
        </w:tc>
        <w:tc>
          <w:tcPr>
            <w:tcW w:w="1407" w:type="dxa"/>
          </w:tcPr>
          <w:p>
            <w:pPr>
              <w:pStyle w:val="TableParagraph"/>
              <w:ind w:left="0"/>
              <w:rPr>
                <w:rFonts w:ascii="Times New Roman"/>
                <w:sz w:val="20"/>
              </w:rPr>
            </w:pPr>
          </w:p>
        </w:tc>
        <w:tc>
          <w:tcPr>
            <w:tcW w:w="6267" w:type="dxa"/>
          </w:tcPr>
          <w:p>
            <w:pPr>
              <w:pStyle w:val="TableParagraph"/>
              <w:spacing w:line="259" w:lineRule="exact"/>
              <w:rPr>
                <w:sz w:val="21"/>
              </w:rPr>
            </w:pPr>
            <w:r>
              <w:rPr>
                <w:sz w:val="21"/>
              </w:rPr>
              <w:t>严重影响的，对于本合同解除前发Th的保险事故，本公司不承担给</w:t>
            </w:r>
          </w:p>
          <w:p>
            <w:pPr>
              <w:pStyle w:val="TableParagraph"/>
              <w:spacing w:line="255" w:lineRule="exact" w:before="37"/>
              <w:rPr>
                <w:sz w:val="21"/>
              </w:rPr>
            </w:pPr>
            <w:r>
              <w:rPr>
                <w:sz w:val="21"/>
              </w:rPr>
              <w:t>付保险金的责任，但应当向投保人退还保险费。</w:t>
            </w:r>
          </w:p>
        </w:tc>
      </w:tr>
    </w:tbl>
    <w:p>
      <w:pPr>
        <w:spacing w:after="0" w:line="255" w:lineRule="exact"/>
        <w:rPr>
          <w:sz w:val="21"/>
        </w:rPr>
        <w:sectPr>
          <w:pgSz w:w="11910" w:h="16840"/>
          <w:pgMar w:header="0" w:footer="898" w:top="1580" w:bottom="1080" w:left="1580" w:right="1580"/>
        </w:sectPr>
      </w:pPr>
    </w:p>
    <w:p>
      <w:pPr>
        <w:pStyle w:val="BodyText"/>
        <w:spacing w:before="3"/>
        <w:rPr>
          <w:rFonts w:ascii="Times New Roman"/>
          <w:sz w:val="4"/>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426"/>
        <w:gridCol w:w="6414"/>
      </w:tblGrid>
      <w:tr>
        <w:trPr>
          <w:trHeight w:val="734" w:hRule="atLeast"/>
        </w:trPr>
        <w:tc>
          <w:tcPr>
            <w:tcW w:w="944" w:type="dxa"/>
          </w:tcPr>
          <w:p>
            <w:pPr>
              <w:pStyle w:val="TableParagraph"/>
              <w:ind w:left="0"/>
              <w:rPr>
                <w:rFonts w:ascii="Times New Roman"/>
                <w:sz w:val="20"/>
              </w:rPr>
            </w:pPr>
          </w:p>
        </w:tc>
        <w:tc>
          <w:tcPr>
            <w:tcW w:w="1426" w:type="dxa"/>
          </w:tcPr>
          <w:p>
            <w:pPr>
              <w:pStyle w:val="TableParagraph"/>
              <w:ind w:left="0"/>
              <w:rPr>
                <w:rFonts w:ascii="Times New Roman"/>
                <w:sz w:val="20"/>
              </w:rPr>
            </w:pPr>
          </w:p>
        </w:tc>
        <w:tc>
          <w:tcPr>
            <w:tcW w:w="6414" w:type="dxa"/>
          </w:tcPr>
          <w:p>
            <w:pPr>
              <w:pStyle w:val="TableParagraph"/>
              <w:spacing w:line="211" w:lineRule="exact"/>
              <w:ind w:left="115"/>
              <w:rPr>
                <w:sz w:val="21"/>
              </w:rPr>
            </w:pPr>
            <w:r>
              <w:rPr>
                <w:sz w:val="21"/>
              </w:rPr>
              <w:t>本公司在合同订立时已经知道投保人未如实告知的情况的，本公司</w:t>
            </w:r>
          </w:p>
          <w:p>
            <w:pPr>
              <w:pStyle w:val="TableParagraph"/>
              <w:spacing w:before="32"/>
              <w:ind w:left="115"/>
              <w:rPr>
                <w:sz w:val="21"/>
              </w:rPr>
            </w:pPr>
            <w:r>
              <w:rPr>
                <w:sz w:val="21"/>
              </w:rPr>
              <w:t>不得解除合同；发生保险事故的，本公司承担给付保险金的责任。</w:t>
            </w:r>
          </w:p>
        </w:tc>
      </w:tr>
      <w:tr>
        <w:trPr>
          <w:trHeight w:val="5195" w:hRule="atLeast"/>
        </w:trPr>
        <w:tc>
          <w:tcPr>
            <w:tcW w:w="944" w:type="dxa"/>
          </w:tcPr>
          <w:p>
            <w:pPr>
              <w:pStyle w:val="TableParagraph"/>
              <w:spacing w:before="85"/>
              <w:ind w:left="200"/>
              <w:rPr>
                <w:rFonts w:ascii="Microsoft JhengHei"/>
                <w:b/>
                <w:sz w:val="21"/>
              </w:rPr>
            </w:pPr>
            <w:r>
              <w:rPr>
                <w:rFonts w:ascii="Microsoft JhengHei"/>
                <w:b/>
                <w:w w:val="84"/>
                <w:sz w:val="21"/>
              </w:rPr>
              <w:t>6</w:t>
            </w:r>
            <w:r>
              <w:rPr>
                <w:rFonts w:ascii="Microsoft JhengHei"/>
                <w:b/>
                <w:w w:val="197"/>
                <w:sz w:val="21"/>
              </w:rPr>
              <w:t>.</w:t>
            </w:r>
            <w:r>
              <w:rPr>
                <w:rFonts w:ascii="Microsoft JhengHei"/>
                <w:b/>
                <w:w w:val="84"/>
                <w:sz w:val="21"/>
              </w:rPr>
              <w:t>2</w:t>
            </w:r>
          </w:p>
        </w:tc>
        <w:tc>
          <w:tcPr>
            <w:tcW w:w="1426" w:type="dxa"/>
          </w:tcPr>
          <w:p>
            <w:pPr>
              <w:pStyle w:val="TableParagraph"/>
              <w:spacing w:line="201" w:lineRule="auto" w:before="144"/>
              <w:ind w:left="427" w:right="151"/>
              <w:rPr>
                <w:rFonts w:ascii="Microsoft JhengHei" w:eastAsia="Microsoft JhengHei" w:hint="eastAsia"/>
                <w:b/>
                <w:sz w:val="21"/>
              </w:rPr>
            </w:pPr>
            <w:r>
              <w:rPr>
                <w:rFonts w:ascii="Microsoft JhengHei" w:eastAsia="Microsoft JhengHei" w:hint="eastAsia"/>
                <w:b/>
                <w:sz w:val="21"/>
              </w:rPr>
              <w:t>年龄性别错误</w:t>
            </w:r>
          </w:p>
        </w:tc>
        <w:tc>
          <w:tcPr>
            <w:tcW w:w="6414" w:type="dxa"/>
          </w:tcPr>
          <w:p>
            <w:pPr>
              <w:pStyle w:val="TableParagraph"/>
              <w:spacing w:line="273" w:lineRule="auto" w:before="152"/>
              <w:ind w:left="115" w:right="201"/>
              <w:rPr>
                <w:sz w:val="21"/>
              </w:rPr>
            </w:pPr>
            <w:r>
              <w:rPr>
                <w:spacing w:val="-9"/>
                <w:sz w:val="21"/>
              </w:rPr>
              <w:t>投保人在申请投保时，应提供与被保险人有效身份证件相符的被保</w:t>
            </w:r>
            <w:r>
              <w:rPr>
                <w:spacing w:val="-7"/>
                <w:sz w:val="21"/>
              </w:rPr>
              <w:t>险人的出生日期和性别的资料，如果发生错误按照下列方式办理：</w:t>
            </w:r>
          </w:p>
          <w:p>
            <w:pPr>
              <w:pStyle w:val="TableParagraph"/>
              <w:spacing w:line="273" w:lineRule="auto" w:before="165"/>
              <w:ind w:left="629" w:right="277" w:hanging="515"/>
              <w:jc w:val="both"/>
              <w:rPr>
                <w:sz w:val="21"/>
              </w:rPr>
            </w:pPr>
            <w:r>
              <w:rPr>
                <w:sz w:val="21"/>
              </w:rPr>
              <w:t>（1）投保人申报的被保险人年龄不真实，并且其真实年龄不符合本合同约定投保年龄限制的，本公司有权终止对该被保险人的保险责任，但向投保人退还保险责任终止时本合同项下该被保险人名下的现金价值。对于该被保险人的保险责任终止前发Th的保险事故，本公司不承担给付保险金的责任。</w:t>
            </w:r>
          </w:p>
          <w:p>
            <w:pPr>
              <w:pStyle w:val="TableParagraph"/>
              <w:spacing w:line="273" w:lineRule="auto" w:before="31"/>
              <w:ind w:left="634" w:right="270" w:hanging="519"/>
              <w:jc w:val="both"/>
              <w:rPr>
                <w:sz w:val="21"/>
              </w:rPr>
            </w:pPr>
            <w:r>
              <w:rPr>
                <w:sz w:val="21"/>
              </w:rPr>
              <w:t>（2）投保人申报的被保险人年龄或者性别不真实，致使投保人实交保险费少于应交保险费的，本公司有权更正并要求投保人补交本合同项下该被保险人名下的保险费。如果已经发Th保险事故，在给付保险金时按实交保险费和应交保险费的比例给付。</w:t>
            </w:r>
          </w:p>
          <w:p>
            <w:pPr>
              <w:pStyle w:val="TableParagraph"/>
              <w:spacing w:line="273" w:lineRule="auto" w:before="7"/>
              <w:ind w:left="634" w:right="272" w:hanging="519"/>
              <w:jc w:val="both"/>
              <w:rPr>
                <w:sz w:val="21"/>
              </w:rPr>
            </w:pPr>
            <w:r>
              <w:rPr>
                <w:sz w:val="21"/>
              </w:rPr>
              <w:t>（3）投保人申报的被保险人年龄或者性别不真实，致使投保人实交保险费多于应交保险费的，本公司向投保人无息退还多收的本合同项下该被保险人名下的保险费。</w:t>
            </w:r>
          </w:p>
        </w:tc>
      </w:tr>
      <w:tr>
        <w:trPr>
          <w:trHeight w:val="4254" w:hRule="atLeast"/>
        </w:trPr>
        <w:tc>
          <w:tcPr>
            <w:tcW w:w="944" w:type="dxa"/>
          </w:tcPr>
          <w:p>
            <w:pPr>
              <w:pStyle w:val="TableParagraph"/>
              <w:spacing w:before="85"/>
              <w:ind w:left="200"/>
              <w:rPr>
                <w:rFonts w:ascii="Microsoft JhengHei"/>
                <w:b/>
                <w:sz w:val="21"/>
              </w:rPr>
            </w:pPr>
            <w:r>
              <w:rPr>
                <w:rFonts w:ascii="Microsoft JhengHei"/>
                <w:b/>
                <w:w w:val="84"/>
                <w:sz w:val="21"/>
              </w:rPr>
              <w:t>6</w:t>
            </w:r>
            <w:r>
              <w:rPr>
                <w:rFonts w:ascii="Microsoft JhengHei"/>
                <w:b/>
                <w:w w:val="197"/>
                <w:sz w:val="21"/>
              </w:rPr>
              <w:t>.</w:t>
            </w:r>
            <w:r>
              <w:rPr>
                <w:rFonts w:ascii="Microsoft JhengHei"/>
                <w:b/>
                <w:w w:val="84"/>
                <w:sz w:val="21"/>
              </w:rPr>
              <w:t>3</w:t>
            </w:r>
          </w:p>
        </w:tc>
        <w:tc>
          <w:tcPr>
            <w:tcW w:w="1426" w:type="dxa"/>
          </w:tcPr>
          <w:p>
            <w:pPr>
              <w:pStyle w:val="TableParagraph"/>
              <w:spacing w:line="201" w:lineRule="auto" w:before="144"/>
              <w:ind w:left="427" w:right="151"/>
              <w:rPr>
                <w:rFonts w:ascii="Microsoft JhengHei" w:eastAsia="Microsoft JhengHei" w:hint="eastAsia"/>
                <w:b/>
                <w:sz w:val="21"/>
              </w:rPr>
            </w:pPr>
            <w:r>
              <w:rPr>
                <w:rFonts w:ascii="Microsoft JhengHei" w:eastAsia="Microsoft JhengHei" w:hint="eastAsia"/>
                <w:b/>
                <w:sz w:val="21"/>
              </w:rPr>
              <w:t>被保险人变动</w:t>
            </w:r>
          </w:p>
        </w:tc>
        <w:tc>
          <w:tcPr>
            <w:tcW w:w="6414" w:type="dxa"/>
          </w:tcPr>
          <w:p>
            <w:pPr>
              <w:pStyle w:val="TableParagraph"/>
              <w:spacing w:line="271" w:lineRule="auto" w:before="152"/>
              <w:ind w:left="115" w:right="273"/>
              <w:jc w:val="both"/>
              <w:rPr>
                <w:sz w:val="21"/>
              </w:rPr>
            </w:pPr>
            <w:r>
              <w:rPr>
                <w:spacing w:val="-8"/>
                <w:sz w:val="21"/>
              </w:rPr>
              <w:t>投保人需要增加被保险人的，应以书面形式通知本公司。本公司审</w:t>
            </w:r>
            <w:r>
              <w:rPr>
                <w:spacing w:val="-10"/>
                <w:sz w:val="21"/>
              </w:rPr>
              <w:t>核同意并对新增加的被保险人收取保险费后，对新增加的被保险人</w:t>
            </w:r>
            <w:r>
              <w:rPr>
                <w:spacing w:val="-13"/>
                <w:sz w:val="21"/>
              </w:rPr>
              <w:t>依本合同约定承担保险责任。本公司对该新增加的被保险人承担的</w:t>
            </w:r>
            <w:r>
              <w:rPr>
                <w:spacing w:val="-8"/>
                <w:sz w:val="21"/>
              </w:rPr>
              <w:t>保险责任的起始时间在本合同中载明。</w:t>
            </w:r>
          </w:p>
          <w:p>
            <w:pPr>
              <w:pStyle w:val="TableParagraph"/>
              <w:spacing w:line="273" w:lineRule="auto" w:before="168"/>
              <w:ind w:left="115" w:right="270"/>
              <w:jc w:val="both"/>
              <w:rPr>
                <w:sz w:val="21"/>
              </w:rPr>
            </w:pPr>
            <w:r>
              <w:rPr>
                <w:spacing w:val="-8"/>
                <w:sz w:val="21"/>
              </w:rPr>
              <w:t>投保人需要减少被保险人的，应以书面形式通知本公司。本公司对</w:t>
            </w:r>
            <w:r>
              <w:rPr>
                <w:spacing w:val="-7"/>
                <w:sz w:val="21"/>
              </w:rPr>
              <w:t>该被保险人的保险责任自投保人书面通知到达本公司之日的 </w:t>
            </w:r>
            <w:r>
              <w:rPr>
                <w:spacing w:val="-3"/>
                <w:sz w:val="21"/>
              </w:rPr>
              <w:t>24</w:t>
            </w:r>
            <w:r>
              <w:rPr>
                <w:spacing w:val="-9"/>
                <w:sz w:val="21"/>
              </w:rPr>
              <w:t> 时</w:t>
            </w:r>
            <w:r>
              <w:rPr>
                <w:spacing w:val="-11"/>
                <w:sz w:val="21"/>
              </w:rPr>
              <w:t>起终止；投保人在通知书中载明的变更被保险人日期如果晚于通知</w:t>
            </w:r>
            <w:r>
              <w:rPr>
                <w:spacing w:val="-12"/>
                <w:sz w:val="21"/>
              </w:rPr>
              <w:t>书送达本公司的日期，则本公司对该被保险人的保险责任自通知书中载明的变更被保险人日期的零时起终止。如果减少的被保险人未发Th</w:t>
            </w:r>
            <w:r>
              <w:rPr>
                <w:spacing w:val="-11"/>
                <w:sz w:val="21"/>
              </w:rPr>
              <w:t>保险事故，本公司向投保人退还本合同项下该被保险人名下的</w:t>
            </w:r>
            <w:r>
              <w:rPr>
                <w:spacing w:val="-10"/>
                <w:sz w:val="21"/>
              </w:rPr>
              <w:t>现金价值；如果减少的被保险人发</w:t>
            </w:r>
            <w:r>
              <w:rPr>
                <w:spacing w:val="-3"/>
                <w:sz w:val="21"/>
              </w:rPr>
              <w:t>Th</w:t>
            </w:r>
            <w:r>
              <w:rPr>
                <w:spacing w:val="-7"/>
                <w:sz w:val="21"/>
              </w:rPr>
              <w:t>过保险事故，本公司无资金退还。</w:t>
            </w:r>
          </w:p>
        </w:tc>
      </w:tr>
      <w:tr>
        <w:trPr>
          <w:trHeight w:val="1287" w:hRule="atLeast"/>
        </w:trPr>
        <w:tc>
          <w:tcPr>
            <w:tcW w:w="944" w:type="dxa"/>
          </w:tcPr>
          <w:p>
            <w:pPr>
              <w:pStyle w:val="TableParagraph"/>
              <w:spacing w:before="109"/>
              <w:ind w:left="200"/>
              <w:rPr>
                <w:rFonts w:ascii="Microsoft JhengHei"/>
                <w:b/>
                <w:sz w:val="21"/>
              </w:rPr>
            </w:pPr>
            <w:r>
              <w:rPr>
                <w:rFonts w:ascii="Microsoft JhengHei"/>
                <w:b/>
                <w:w w:val="105"/>
                <w:sz w:val="21"/>
              </w:rPr>
              <w:t>6.4</w:t>
            </w:r>
          </w:p>
        </w:tc>
        <w:tc>
          <w:tcPr>
            <w:tcW w:w="1426" w:type="dxa"/>
          </w:tcPr>
          <w:p>
            <w:pPr>
              <w:pStyle w:val="TableParagraph"/>
              <w:spacing w:line="204" w:lineRule="auto" w:before="164"/>
              <w:ind w:left="427" w:right="151"/>
              <w:rPr>
                <w:rFonts w:ascii="Microsoft JhengHei" w:eastAsia="Microsoft JhengHei" w:hint="eastAsia"/>
                <w:b/>
                <w:sz w:val="21"/>
              </w:rPr>
            </w:pPr>
            <w:r>
              <w:rPr>
                <w:rFonts w:ascii="Microsoft JhengHei" w:eastAsia="Microsoft JhengHei" w:hint="eastAsia"/>
                <w:b/>
                <w:sz w:val="21"/>
              </w:rPr>
              <w:t>合同内容变更</w:t>
            </w:r>
          </w:p>
        </w:tc>
        <w:tc>
          <w:tcPr>
            <w:tcW w:w="6414" w:type="dxa"/>
          </w:tcPr>
          <w:p>
            <w:pPr>
              <w:pStyle w:val="TableParagraph"/>
              <w:spacing w:line="273" w:lineRule="auto" w:before="176"/>
              <w:ind w:left="115" w:right="272"/>
              <w:jc w:val="both"/>
              <w:rPr>
                <w:sz w:val="21"/>
              </w:rPr>
            </w:pPr>
            <w:r>
              <w:rPr>
                <w:spacing w:val="-8"/>
                <w:sz w:val="21"/>
              </w:rPr>
              <w:t>在本合同有效期内，经投保人与本公司协商一致，可以变更本合同</w:t>
            </w:r>
            <w:r>
              <w:rPr>
                <w:spacing w:val="-11"/>
                <w:sz w:val="21"/>
              </w:rPr>
              <w:t>的有关内容。变更本合同的，应当由本公司在保险单或者其他保险</w:t>
            </w:r>
            <w:r>
              <w:rPr>
                <w:spacing w:val="-7"/>
                <w:sz w:val="21"/>
              </w:rPr>
              <w:t>凭证上批注或者附贴批单。</w:t>
            </w:r>
          </w:p>
        </w:tc>
      </w:tr>
      <w:tr>
        <w:trPr>
          <w:trHeight w:val="1675" w:hRule="atLeast"/>
        </w:trPr>
        <w:tc>
          <w:tcPr>
            <w:tcW w:w="944" w:type="dxa"/>
          </w:tcPr>
          <w:p>
            <w:pPr>
              <w:pStyle w:val="TableParagraph"/>
              <w:spacing w:before="84"/>
              <w:ind w:left="200"/>
              <w:rPr>
                <w:rFonts w:ascii="Microsoft JhengHei"/>
                <w:b/>
                <w:sz w:val="21"/>
              </w:rPr>
            </w:pPr>
            <w:r>
              <w:rPr>
                <w:rFonts w:ascii="Microsoft JhengHei"/>
                <w:b/>
                <w:w w:val="84"/>
                <w:sz w:val="21"/>
              </w:rPr>
              <w:t>6</w:t>
            </w:r>
            <w:r>
              <w:rPr>
                <w:rFonts w:ascii="Microsoft JhengHei"/>
                <w:b/>
                <w:w w:val="197"/>
                <w:sz w:val="21"/>
              </w:rPr>
              <w:t>.</w:t>
            </w:r>
            <w:r>
              <w:rPr>
                <w:rFonts w:ascii="Microsoft JhengHei"/>
                <w:b/>
                <w:w w:val="84"/>
                <w:sz w:val="21"/>
              </w:rPr>
              <w:t>5</w:t>
            </w:r>
          </w:p>
        </w:tc>
        <w:tc>
          <w:tcPr>
            <w:tcW w:w="1426" w:type="dxa"/>
          </w:tcPr>
          <w:p>
            <w:pPr>
              <w:pStyle w:val="TableParagraph"/>
              <w:spacing w:line="196" w:lineRule="auto" w:before="143"/>
              <w:ind w:left="427" w:right="113"/>
              <w:rPr>
                <w:rFonts w:ascii="Microsoft JhengHei" w:eastAsia="Microsoft JhengHei" w:hint="eastAsia"/>
                <w:b/>
                <w:sz w:val="22"/>
              </w:rPr>
            </w:pPr>
            <w:r>
              <w:rPr>
                <w:rFonts w:ascii="Microsoft JhengHei" w:eastAsia="Microsoft JhengHei" w:hint="eastAsia"/>
                <w:b/>
                <w:sz w:val="22"/>
              </w:rPr>
              <w:t>联系方式变更</w:t>
            </w:r>
          </w:p>
        </w:tc>
        <w:tc>
          <w:tcPr>
            <w:tcW w:w="6414" w:type="dxa"/>
          </w:tcPr>
          <w:p>
            <w:pPr>
              <w:pStyle w:val="TableParagraph"/>
              <w:spacing w:line="273" w:lineRule="auto" w:before="151"/>
              <w:ind w:left="115" w:right="273"/>
              <w:jc w:val="both"/>
              <w:rPr>
                <w:sz w:val="21"/>
              </w:rPr>
            </w:pPr>
            <w:r>
              <w:rPr>
                <w:spacing w:val="-8"/>
                <w:sz w:val="21"/>
              </w:rPr>
              <w:t>为了保障投保人的合法权益，投保人的住所、通讯地址或者电话等</w:t>
            </w:r>
            <w:r>
              <w:rPr>
                <w:spacing w:val="-12"/>
                <w:sz w:val="21"/>
              </w:rPr>
              <w:t>联系方式变更时，请及时以书面形式或者双方认可的其他形式通知本公司。如果投保人未以书面形式或者双方认可的其他形式通知本</w:t>
            </w:r>
          </w:p>
          <w:p>
            <w:pPr>
              <w:pStyle w:val="TableParagraph"/>
              <w:spacing w:line="312" w:lineRule="exact" w:before="3"/>
              <w:ind w:left="115" w:right="273"/>
              <w:jc w:val="both"/>
              <w:rPr>
                <w:sz w:val="21"/>
              </w:rPr>
            </w:pPr>
            <w:r>
              <w:rPr>
                <w:spacing w:val="-10"/>
                <w:sz w:val="21"/>
              </w:rPr>
              <w:t>公司，本公司按本合同载明的最后住所或者通讯地址发送的有关通</w:t>
            </w:r>
            <w:r>
              <w:rPr>
                <w:spacing w:val="-7"/>
                <w:sz w:val="21"/>
              </w:rPr>
              <w:t>知，均视为已送达给投保人。</w:t>
            </w:r>
          </w:p>
        </w:tc>
      </w:tr>
    </w:tbl>
    <w:p>
      <w:pPr>
        <w:spacing w:after="0" w:line="312" w:lineRule="exact"/>
        <w:jc w:val="both"/>
        <w:rPr>
          <w:sz w:val="21"/>
        </w:rPr>
        <w:sectPr>
          <w:pgSz w:w="11910" w:h="16840"/>
          <w:pgMar w:header="0" w:footer="898" w:top="1580" w:bottom="1080" w:left="1500" w:right="1400"/>
        </w:sectPr>
      </w:pPr>
    </w:p>
    <w:p>
      <w:pPr>
        <w:pStyle w:val="BodyText"/>
        <w:spacing w:before="3"/>
        <w:rPr>
          <w:rFonts w:ascii="Times New Roman"/>
          <w:sz w:val="4"/>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5"/>
        <w:gridCol w:w="1407"/>
        <w:gridCol w:w="6267"/>
      </w:tblGrid>
      <w:tr>
        <w:trPr>
          <w:trHeight w:val="727" w:hRule="atLeast"/>
        </w:trPr>
        <w:tc>
          <w:tcPr>
            <w:tcW w:w="855" w:type="dxa"/>
          </w:tcPr>
          <w:p>
            <w:pPr>
              <w:pStyle w:val="TableParagraph"/>
              <w:spacing w:line="235" w:lineRule="exact"/>
              <w:ind w:left="110"/>
              <w:rPr>
                <w:rFonts w:ascii="Microsoft JhengHei"/>
                <w:b/>
                <w:sz w:val="21"/>
              </w:rPr>
            </w:pPr>
            <w:r>
              <w:rPr>
                <w:rFonts w:ascii="Microsoft JhengHei"/>
                <w:b/>
                <w:w w:val="105"/>
                <w:sz w:val="21"/>
              </w:rPr>
              <w:t>6.6</w:t>
            </w:r>
          </w:p>
        </w:tc>
        <w:tc>
          <w:tcPr>
            <w:tcW w:w="1407" w:type="dxa"/>
          </w:tcPr>
          <w:p>
            <w:pPr>
              <w:pStyle w:val="TableParagraph"/>
              <w:spacing w:line="235" w:lineRule="exact"/>
              <w:ind w:left="0" w:right="133"/>
              <w:jc w:val="right"/>
              <w:rPr>
                <w:rFonts w:ascii="Microsoft JhengHei" w:eastAsia="Microsoft JhengHei" w:hint="eastAsia"/>
                <w:b/>
                <w:sz w:val="21"/>
              </w:rPr>
            </w:pPr>
            <w:r>
              <w:rPr>
                <w:rFonts w:ascii="Microsoft JhengHei" w:eastAsia="Microsoft JhengHei" w:hint="eastAsia"/>
                <w:b/>
                <w:sz w:val="21"/>
              </w:rPr>
              <w:t>争议处理</w:t>
            </w:r>
          </w:p>
        </w:tc>
        <w:tc>
          <w:tcPr>
            <w:tcW w:w="6267" w:type="dxa"/>
          </w:tcPr>
          <w:p>
            <w:pPr>
              <w:pStyle w:val="TableParagraph"/>
              <w:spacing w:line="211" w:lineRule="exact"/>
              <w:rPr>
                <w:sz w:val="21"/>
              </w:rPr>
            </w:pPr>
            <w:r>
              <w:rPr>
                <w:sz w:val="21"/>
              </w:rPr>
              <w:t>本合同履行过程中，双方发生争议不能协商解决的，可以达成仲裁</w:t>
            </w:r>
          </w:p>
          <w:p>
            <w:pPr>
              <w:pStyle w:val="TableParagraph"/>
              <w:spacing w:before="32"/>
              <w:rPr>
                <w:sz w:val="21"/>
              </w:rPr>
            </w:pPr>
            <w:r>
              <w:rPr>
                <w:sz w:val="21"/>
              </w:rPr>
              <w:t>协议通过仲裁解决，也可依法直接向法院提起诉讼。</w:t>
            </w:r>
          </w:p>
        </w:tc>
      </w:tr>
      <w:tr>
        <w:trPr>
          <w:trHeight w:val="481" w:hRule="atLeast"/>
        </w:trPr>
        <w:tc>
          <w:tcPr>
            <w:tcW w:w="855" w:type="dxa"/>
            <w:tcBorders>
              <w:bottom w:val="single" w:sz="8" w:space="0" w:color="000000"/>
            </w:tcBorders>
          </w:tcPr>
          <w:p>
            <w:pPr>
              <w:pStyle w:val="TableParagraph"/>
              <w:spacing w:line="403" w:lineRule="exact" w:before="58"/>
              <w:ind w:left="110"/>
              <w:rPr>
                <w:rFonts w:ascii="Microsoft JhengHei"/>
                <w:b/>
                <w:sz w:val="24"/>
              </w:rPr>
            </w:pPr>
            <w:r>
              <w:rPr>
                <w:rFonts w:ascii="Microsoft JhengHei"/>
                <w:b/>
                <w:w w:val="83"/>
                <w:sz w:val="24"/>
              </w:rPr>
              <w:t>7</w:t>
            </w:r>
            <w:r>
              <w:rPr>
                <w:rFonts w:ascii="Microsoft JhengHei"/>
                <w:b/>
                <w:w w:val="196"/>
                <w:sz w:val="24"/>
              </w:rPr>
              <w:t>.</w:t>
            </w:r>
          </w:p>
        </w:tc>
        <w:tc>
          <w:tcPr>
            <w:tcW w:w="7674" w:type="dxa"/>
            <w:gridSpan w:val="2"/>
            <w:tcBorders>
              <w:bottom w:val="single" w:sz="8" w:space="0" w:color="000000"/>
            </w:tcBorders>
          </w:tcPr>
          <w:p>
            <w:pPr>
              <w:pStyle w:val="TableParagraph"/>
              <w:spacing w:line="403" w:lineRule="exact" w:before="58"/>
              <w:ind w:left="427"/>
              <w:rPr>
                <w:rFonts w:ascii="Microsoft JhengHei" w:eastAsia="Microsoft JhengHei" w:hint="eastAsia"/>
                <w:b/>
                <w:sz w:val="24"/>
              </w:rPr>
            </w:pPr>
            <w:r>
              <w:rPr>
                <w:rFonts w:ascii="Microsoft JhengHei" w:eastAsia="Microsoft JhengHei" w:hint="eastAsia"/>
                <w:b/>
                <w:sz w:val="24"/>
              </w:rPr>
              <w:t>重大疾病定义</w:t>
            </w:r>
          </w:p>
        </w:tc>
      </w:tr>
      <w:tr>
        <w:trPr>
          <w:trHeight w:val="1719" w:hRule="atLeast"/>
        </w:trPr>
        <w:tc>
          <w:tcPr>
            <w:tcW w:w="855" w:type="dxa"/>
            <w:tcBorders>
              <w:top w:val="single" w:sz="8" w:space="0" w:color="000000"/>
            </w:tcBorders>
          </w:tcPr>
          <w:p>
            <w:pPr>
              <w:pStyle w:val="TableParagraph"/>
              <w:ind w:left="0"/>
              <w:rPr>
                <w:rFonts w:ascii="Times New Roman"/>
                <w:sz w:val="20"/>
              </w:rPr>
            </w:pPr>
          </w:p>
        </w:tc>
        <w:tc>
          <w:tcPr>
            <w:tcW w:w="1407" w:type="dxa"/>
            <w:tcBorders>
              <w:top w:val="single" w:sz="8" w:space="0" w:color="000000"/>
            </w:tcBorders>
          </w:tcPr>
          <w:p>
            <w:pPr>
              <w:pStyle w:val="TableParagraph"/>
              <w:spacing w:before="11"/>
              <w:ind w:left="0"/>
              <w:rPr>
                <w:rFonts w:ascii="Times New Roman"/>
                <w:sz w:val="19"/>
              </w:rPr>
            </w:pPr>
          </w:p>
          <w:p>
            <w:pPr>
              <w:pStyle w:val="TableParagraph"/>
              <w:ind w:left="0" w:right="133"/>
              <w:jc w:val="right"/>
              <w:rPr>
                <w:rFonts w:ascii="Microsoft JhengHei" w:eastAsia="Microsoft JhengHei" w:hint="eastAsia"/>
                <w:b/>
                <w:sz w:val="21"/>
              </w:rPr>
            </w:pPr>
            <w:r>
              <w:rPr>
                <w:rFonts w:ascii="Microsoft JhengHei" w:eastAsia="Microsoft JhengHei" w:hint="eastAsia"/>
                <w:b/>
                <w:sz w:val="21"/>
              </w:rPr>
              <w:t>重大疾病</w:t>
            </w:r>
          </w:p>
        </w:tc>
        <w:tc>
          <w:tcPr>
            <w:tcW w:w="6267" w:type="dxa"/>
            <w:tcBorders>
              <w:top w:val="single" w:sz="8" w:space="0" w:color="000000"/>
            </w:tcBorders>
          </w:tcPr>
          <w:p>
            <w:pPr>
              <w:pStyle w:val="TableParagraph"/>
              <w:spacing w:before="9"/>
              <w:ind w:left="0"/>
              <w:rPr>
                <w:rFonts w:ascii="Times New Roman"/>
                <w:sz w:val="25"/>
              </w:rPr>
            </w:pPr>
          </w:p>
          <w:p>
            <w:pPr>
              <w:pStyle w:val="TableParagraph"/>
              <w:spacing w:line="271" w:lineRule="auto"/>
              <w:ind w:right="107"/>
              <w:jc w:val="both"/>
              <w:rPr>
                <w:sz w:val="21"/>
              </w:rPr>
            </w:pPr>
            <w:r>
              <w:rPr>
                <w:sz w:val="21"/>
              </w:rPr>
              <w:t>本合同仅对投保人所选择的保障方案中的符合以下所列类型和程</w:t>
            </w:r>
            <w:r>
              <w:rPr>
                <w:spacing w:val="-8"/>
                <w:sz w:val="21"/>
              </w:rPr>
              <w:t>度条件的重大疾病承担保险责任，其中第一种至第二十五种重大疾</w:t>
            </w:r>
            <w:r>
              <w:rPr>
                <w:spacing w:val="-9"/>
                <w:sz w:val="21"/>
              </w:rPr>
              <w:t>病的定义为中国保险行业协会与中国医师协会共同制定，第二十六</w:t>
            </w:r>
            <w:r>
              <w:rPr>
                <w:spacing w:val="-7"/>
                <w:sz w:val="21"/>
              </w:rPr>
              <w:t>种至第三十二种疾病为本公司增加的疾病类型：</w:t>
            </w:r>
          </w:p>
        </w:tc>
      </w:tr>
      <w:tr>
        <w:trPr>
          <w:trHeight w:val="4071" w:hRule="atLeast"/>
        </w:trPr>
        <w:tc>
          <w:tcPr>
            <w:tcW w:w="855" w:type="dxa"/>
          </w:tcPr>
          <w:p>
            <w:pPr>
              <w:pStyle w:val="TableParagraph"/>
              <w:spacing w:before="85"/>
              <w:ind w:left="110"/>
              <w:rPr>
                <w:rFonts w:ascii="Microsoft JhengHei"/>
                <w:b/>
                <w:sz w:val="21"/>
              </w:rPr>
            </w:pPr>
            <w:r>
              <w:rPr>
                <w:rFonts w:ascii="Microsoft JhengHei"/>
                <w:b/>
                <w:w w:val="105"/>
                <w:sz w:val="21"/>
              </w:rPr>
              <w:t>7.1</w:t>
            </w:r>
          </w:p>
        </w:tc>
        <w:tc>
          <w:tcPr>
            <w:tcW w:w="1407" w:type="dxa"/>
          </w:tcPr>
          <w:p>
            <w:pPr>
              <w:pStyle w:val="TableParagraph"/>
              <w:spacing w:before="85"/>
              <w:ind w:left="0" w:right="133"/>
              <w:jc w:val="right"/>
              <w:rPr>
                <w:rFonts w:ascii="Microsoft JhengHei" w:eastAsia="Microsoft JhengHei" w:hint="eastAsia"/>
                <w:b/>
                <w:sz w:val="21"/>
              </w:rPr>
            </w:pPr>
            <w:r>
              <w:rPr>
                <w:rFonts w:ascii="Microsoft JhengHei" w:eastAsia="Microsoft JhengHei" w:hint="eastAsia"/>
                <w:b/>
                <w:sz w:val="21"/>
              </w:rPr>
              <w:t>恶性肿瘤</w:t>
            </w:r>
          </w:p>
        </w:tc>
        <w:tc>
          <w:tcPr>
            <w:tcW w:w="6267" w:type="dxa"/>
          </w:tcPr>
          <w:p>
            <w:pPr>
              <w:pStyle w:val="TableParagraph"/>
              <w:spacing w:line="271" w:lineRule="auto" w:before="152"/>
              <w:ind w:right="35"/>
              <w:rPr>
                <w:sz w:val="21"/>
              </w:rPr>
            </w:pPr>
            <w:r>
              <w:rPr>
                <w:spacing w:val="-8"/>
                <w:sz w:val="21"/>
              </w:rPr>
              <w:t>指恶性细胞不受控制的进行性增长和扩散，浸润和破坏周围正常组</w:t>
            </w:r>
            <w:r>
              <w:rPr>
                <w:spacing w:val="-6"/>
                <w:sz w:val="21"/>
              </w:rPr>
              <w:t>织，可以经血管、淋巴管和体腔扩散转移到身体其它部位的疾病。</w:t>
            </w:r>
            <w:r>
              <w:rPr>
                <w:spacing w:val="-10"/>
                <w:sz w:val="21"/>
              </w:rPr>
              <w:t>经病理学检查结果明确诊断，临床诊断属于世界卫生组织《疾病和</w:t>
            </w:r>
            <w:r>
              <w:rPr>
                <w:spacing w:val="-11"/>
                <w:sz w:val="21"/>
              </w:rPr>
              <w:t>有关健康问题的国际统计分类》</w:t>
            </w:r>
            <w:r>
              <w:rPr>
                <w:sz w:val="21"/>
              </w:rPr>
              <w:t>（ICD-10）</w:t>
            </w:r>
            <w:r>
              <w:rPr>
                <w:spacing w:val="-3"/>
                <w:sz w:val="21"/>
              </w:rPr>
              <w:t>的恶性肿瘤范畴。</w:t>
            </w:r>
          </w:p>
          <w:p>
            <w:pPr>
              <w:pStyle w:val="TableParagraph"/>
              <w:spacing w:before="168"/>
              <w:rPr>
                <w:sz w:val="21"/>
              </w:rPr>
            </w:pPr>
            <w:r>
              <w:rPr>
                <w:sz w:val="21"/>
              </w:rPr>
              <w:t>下列疾病不在保障范围内：</w:t>
            </w:r>
          </w:p>
          <w:p>
            <w:pPr>
              <w:pStyle w:val="TableParagraph"/>
              <w:ind w:left="0"/>
              <w:rPr>
                <w:rFonts w:ascii="Times New Roman"/>
                <w:sz w:val="17"/>
              </w:rPr>
            </w:pPr>
          </w:p>
          <w:p>
            <w:pPr>
              <w:pStyle w:val="TableParagraph"/>
              <w:rPr>
                <w:sz w:val="21"/>
              </w:rPr>
            </w:pPr>
            <w:r>
              <w:rPr>
                <w:sz w:val="21"/>
              </w:rPr>
              <w:t>（1）原位癌；</w:t>
            </w:r>
          </w:p>
          <w:p>
            <w:pPr>
              <w:pStyle w:val="TableParagraph"/>
              <w:spacing w:before="32"/>
              <w:rPr>
                <w:sz w:val="21"/>
              </w:rPr>
            </w:pPr>
            <w:r>
              <w:rPr>
                <w:sz w:val="21"/>
              </w:rPr>
              <w:t>（2）相当于 Binet 分期方案 A 期程度的慢性淋巴细胞白血病；</w:t>
            </w:r>
          </w:p>
          <w:p>
            <w:pPr>
              <w:pStyle w:val="TableParagraph"/>
              <w:spacing w:before="37"/>
              <w:rPr>
                <w:sz w:val="21"/>
              </w:rPr>
            </w:pPr>
            <w:r>
              <w:rPr>
                <w:sz w:val="21"/>
              </w:rPr>
              <w:t>（3）相当于 Ann Arbor 分期方案 I 期程度的何杰金氏病；</w:t>
            </w:r>
          </w:p>
          <w:p>
            <w:pPr>
              <w:pStyle w:val="TableParagraph"/>
              <w:spacing w:before="37"/>
              <w:rPr>
                <w:sz w:val="21"/>
              </w:rPr>
            </w:pPr>
            <w:r>
              <w:rPr>
                <w:w w:val="100"/>
                <w:sz w:val="21"/>
              </w:rPr>
              <w:t>（4</w:t>
            </w:r>
            <w:r>
              <w:rPr>
                <w:spacing w:val="-5"/>
                <w:w w:val="100"/>
                <w:sz w:val="21"/>
              </w:rPr>
              <w:t>）</w:t>
            </w:r>
            <w:r>
              <w:rPr>
                <w:w w:val="100"/>
                <w:sz w:val="21"/>
              </w:rPr>
              <w:t>皮肤癌（</w:t>
            </w:r>
            <w:r>
              <w:rPr>
                <w:spacing w:val="-5"/>
                <w:w w:val="100"/>
                <w:sz w:val="21"/>
              </w:rPr>
              <w:t>不包括恶性黑色素瘤及已发生转移的皮肤癌</w:t>
            </w:r>
            <w:r>
              <w:rPr>
                <w:spacing w:val="-106"/>
                <w:w w:val="100"/>
                <w:sz w:val="21"/>
              </w:rPr>
              <w:t>）</w:t>
            </w:r>
            <w:r>
              <w:rPr>
                <w:w w:val="100"/>
                <w:sz w:val="21"/>
              </w:rPr>
              <w:t>；</w:t>
            </w:r>
          </w:p>
          <w:p>
            <w:pPr>
              <w:pStyle w:val="TableParagraph"/>
              <w:spacing w:before="37"/>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rPr>
                <w:sz w:val="21"/>
              </w:rPr>
            </w:pPr>
            <w:r>
              <w:rPr>
                <w:sz w:val="21"/>
              </w:rPr>
              <w:t>（6）感染艾滋病病毒或患艾滋病期间所患恶性肿瘤。</w:t>
            </w:r>
          </w:p>
        </w:tc>
      </w:tr>
      <w:tr>
        <w:trPr>
          <w:trHeight w:val="2979" w:hRule="atLeast"/>
        </w:trPr>
        <w:tc>
          <w:tcPr>
            <w:tcW w:w="855" w:type="dxa"/>
          </w:tcPr>
          <w:p>
            <w:pPr>
              <w:pStyle w:val="TableParagraph"/>
              <w:spacing w:before="85"/>
              <w:ind w:left="110"/>
              <w:rPr>
                <w:rFonts w:ascii="Microsoft JhengHei"/>
                <w:b/>
                <w:sz w:val="21"/>
              </w:rPr>
            </w:pPr>
            <w:r>
              <w:rPr>
                <w:rFonts w:ascii="Microsoft JhengHei"/>
                <w:b/>
                <w:w w:val="105"/>
                <w:sz w:val="21"/>
              </w:rPr>
              <w:t>7.2</w:t>
            </w:r>
          </w:p>
        </w:tc>
        <w:tc>
          <w:tcPr>
            <w:tcW w:w="1407" w:type="dxa"/>
          </w:tcPr>
          <w:p>
            <w:pPr>
              <w:pStyle w:val="TableParagraph"/>
              <w:spacing w:line="201" w:lineRule="auto" w:before="144"/>
              <w:ind w:left="427" w:right="133"/>
              <w:rPr>
                <w:rFonts w:ascii="Microsoft JhengHei" w:eastAsia="Microsoft JhengHei" w:hint="eastAsia"/>
                <w:b/>
                <w:sz w:val="21"/>
              </w:rPr>
            </w:pPr>
            <w:r>
              <w:rPr>
                <w:rFonts w:ascii="Microsoft JhengHei" w:eastAsia="Microsoft JhengHei" w:hint="eastAsia"/>
                <w:b/>
                <w:sz w:val="21"/>
              </w:rPr>
              <w:t>急性心肌梗塞</w:t>
            </w:r>
          </w:p>
        </w:tc>
        <w:tc>
          <w:tcPr>
            <w:tcW w:w="6267" w:type="dxa"/>
          </w:tcPr>
          <w:p>
            <w:pPr>
              <w:pStyle w:val="TableParagraph"/>
              <w:spacing w:line="268" w:lineRule="auto" w:before="152"/>
              <w:ind w:right="106"/>
              <w:rPr>
                <w:sz w:val="21"/>
              </w:rPr>
            </w:pPr>
            <w:r>
              <w:rPr>
                <w:spacing w:val="-8"/>
                <w:sz w:val="21"/>
              </w:rPr>
              <w:t>指因冠状动脉阻塞导致的相应区域供血不足造成部分心肌坏死。须</w:t>
            </w:r>
            <w:r>
              <w:rPr>
                <w:spacing w:val="-6"/>
                <w:sz w:val="21"/>
              </w:rPr>
              <w:t>满足下列至少三项条件：</w:t>
            </w:r>
          </w:p>
          <w:p>
            <w:pPr>
              <w:pStyle w:val="TableParagraph"/>
              <w:spacing w:before="170"/>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line="273" w:lineRule="auto" w:before="37"/>
              <w:ind w:left="662" w:right="111" w:hanging="529"/>
              <w:rPr>
                <w:sz w:val="21"/>
              </w:rPr>
            </w:pPr>
            <w:r>
              <w:rPr>
                <w:sz w:val="21"/>
              </w:rPr>
              <w:t>（3）心肌酶或肌钙蛋白有诊断意义的升高，或呈符合急性心肌梗塞的动态性变化；</w:t>
            </w:r>
          </w:p>
          <w:p>
            <w:pPr>
              <w:pStyle w:val="TableParagraph"/>
              <w:spacing w:line="273" w:lineRule="auto" w:before="7"/>
              <w:ind w:left="662" w:right="111" w:hanging="529"/>
              <w:rPr>
                <w:sz w:val="21"/>
              </w:rPr>
            </w:pPr>
            <w:r>
              <w:rPr>
                <w:sz w:val="21"/>
              </w:rPr>
              <w:t>（4）</w:t>
            </w:r>
            <w:r>
              <w:rPr>
                <w:spacing w:val="-14"/>
                <w:sz w:val="21"/>
              </w:rPr>
              <w:t>发病 </w:t>
            </w:r>
            <w:r>
              <w:rPr>
                <w:sz w:val="21"/>
              </w:rPr>
              <w:t>90</w:t>
            </w:r>
            <w:r>
              <w:rPr>
                <w:spacing w:val="-12"/>
                <w:sz w:val="21"/>
              </w:rPr>
              <w:t> 天后，经检查证实左心室功能降低，若左心室射血分</w:t>
            </w:r>
            <w:r>
              <w:rPr>
                <w:spacing w:val="-21"/>
                <w:sz w:val="21"/>
              </w:rPr>
              <w:t>数低于 </w:t>
            </w:r>
            <w:r>
              <w:rPr>
                <w:sz w:val="21"/>
              </w:rPr>
              <w:t>50%。</w:t>
            </w:r>
          </w:p>
        </w:tc>
      </w:tr>
      <w:tr>
        <w:trPr>
          <w:trHeight w:val="2665" w:hRule="atLeast"/>
        </w:trPr>
        <w:tc>
          <w:tcPr>
            <w:tcW w:w="855" w:type="dxa"/>
          </w:tcPr>
          <w:p>
            <w:pPr>
              <w:pStyle w:val="TableParagraph"/>
              <w:spacing w:before="83"/>
              <w:ind w:left="110"/>
              <w:rPr>
                <w:rFonts w:ascii="Microsoft JhengHei"/>
                <w:b/>
                <w:sz w:val="21"/>
              </w:rPr>
            </w:pPr>
            <w:r>
              <w:rPr>
                <w:rFonts w:ascii="Microsoft JhengHei"/>
                <w:b/>
                <w:w w:val="105"/>
                <w:sz w:val="21"/>
              </w:rPr>
              <w:t>7.3</w:t>
            </w:r>
          </w:p>
        </w:tc>
        <w:tc>
          <w:tcPr>
            <w:tcW w:w="1407" w:type="dxa"/>
          </w:tcPr>
          <w:p>
            <w:pPr>
              <w:pStyle w:val="TableParagraph"/>
              <w:spacing w:line="204" w:lineRule="auto" w:before="138"/>
              <w:ind w:left="427" w:right="133"/>
              <w:rPr>
                <w:rFonts w:ascii="Microsoft JhengHei" w:eastAsia="Microsoft JhengHei" w:hint="eastAsia"/>
                <w:b/>
                <w:sz w:val="21"/>
              </w:rPr>
            </w:pPr>
            <w:r>
              <w:rPr>
                <w:rFonts w:ascii="Microsoft JhengHei" w:eastAsia="Microsoft JhengHei" w:hint="eastAsia"/>
                <w:b/>
                <w:sz w:val="21"/>
              </w:rPr>
              <w:t>脑中风后遗症</w:t>
            </w:r>
          </w:p>
        </w:tc>
        <w:tc>
          <w:tcPr>
            <w:tcW w:w="6267" w:type="dxa"/>
          </w:tcPr>
          <w:p>
            <w:pPr>
              <w:pStyle w:val="TableParagraph"/>
              <w:spacing w:line="273" w:lineRule="auto" w:before="150"/>
              <w:ind w:right="107"/>
              <w:rPr>
                <w:sz w:val="21"/>
              </w:rPr>
            </w:pPr>
            <w:r>
              <w:rPr>
                <w:spacing w:val="-8"/>
                <w:sz w:val="21"/>
              </w:rPr>
              <w:t>指因脑血管的突发病变引起脑血管出血、栓塞或梗塞，并导致神经</w:t>
            </w:r>
            <w:r>
              <w:rPr>
                <w:spacing w:val="-11"/>
                <w:sz w:val="21"/>
              </w:rPr>
              <w:t>系统永久性的功能障碍。神经系统永久性的功能障碍，指疾病确诊</w:t>
            </w:r>
          </w:p>
          <w:p>
            <w:pPr>
              <w:pStyle w:val="TableParagraph"/>
              <w:spacing w:before="8"/>
              <w:rPr>
                <w:sz w:val="21"/>
              </w:rPr>
            </w:pPr>
            <w:r>
              <w:rPr>
                <w:sz w:val="21"/>
              </w:rPr>
              <w:t>180 天后，仍遗留下列一种或一种以上障碍：</w:t>
            </w:r>
          </w:p>
          <w:p>
            <w:pPr>
              <w:pStyle w:val="TableParagraph"/>
              <w:spacing w:line="335" w:lineRule="exact" w:before="133"/>
              <w:rPr>
                <w:sz w:val="21"/>
              </w:rPr>
            </w:pPr>
            <w:r>
              <w:rPr>
                <w:sz w:val="21"/>
              </w:rPr>
              <w:t>（1）一肢或一肢以上</w:t>
            </w:r>
            <w:r>
              <w:rPr>
                <w:rFonts w:ascii="微软雅黑" w:eastAsia="微软雅黑" w:hint="eastAsia"/>
                <w:b/>
                <w:sz w:val="21"/>
              </w:rPr>
              <w:t>肢体机能完全丧失</w:t>
            </w:r>
            <w:r>
              <w:rPr>
                <w:sz w:val="21"/>
              </w:rPr>
              <w:t>；</w:t>
            </w:r>
          </w:p>
          <w:p>
            <w:pPr>
              <w:pStyle w:val="TableParagraph"/>
              <w:spacing w:line="310" w:lineRule="exact"/>
              <w:rPr>
                <w:sz w:val="21"/>
              </w:rPr>
            </w:pPr>
            <w:r>
              <w:rPr>
                <w:sz w:val="21"/>
              </w:rPr>
              <w:t>（2）</w:t>
            </w:r>
            <w:r>
              <w:rPr>
                <w:rFonts w:ascii="微软雅黑" w:eastAsia="微软雅黑" w:hint="eastAsia"/>
                <w:b/>
                <w:sz w:val="21"/>
              </w:rPr>
              <w:t>语言能力或咀嚼吞咽能力完全丧失</w:t>
            </w:r>
            <w:r>
              <w:rPr>
                <w:sz w:val="21"/>
              </w:rPr>
              <w:t>；</w:t>
            </w:r>
          </w:p>
          <w:p>
            <w:pPr>
              <w:pStyle w:val="TableParagraph"/>
              <w:spacing w:line="206" w:lineRule="auto" w:before="26"/>
              <w:ind w:left="662" w:right="114" w:hanging="529"/>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tc>
      </w:tr>
      <w:tr>
        <w:trPr>
          <w:trHeight w:val="736" w:hRule="atLeast"/>
        </w:trPr>
        <w:tc>
          <w:tcPr>
            <w:tcW w:w="855" w:type="dxa"/>
          </w:tcPr>
          <w:p>
            <w:pPr>
              <w:pStyle w:val="TableParagraph"/>
              <w:spacing w:before="83"/>
              <w:ind w:left="110"/>
              <w:rPr>
                <w:rFonts w:ascii="Microsoft JhengHei"/>
                <w:b/>
                <w:sz w:val="21"/>
              </w:rPr>
            </w:pPr>
            <w:r>
              <w:rPr>
                <w:rFonts w:ascii="Microsoft JhengHei"/>
                <w:b/>
                <w:w w:val="105"/>
                <w:sz w:val="21"/>
              </w:rPr>
              <w:t>7.4</w:t>
            </w:r>
          </w:p>
        </w:tc>
        <w:tc>
          <w:tcPr>
            <w:tcW w:w="1407" w:type="dxa"/>
          </w:tcPr>
          <w:p>
            <w:pPr>
              <w:pStyle w:val="TableParagraph"/>
              <w:spacing w:line="312" w:lineRule="exact" w:before="145"/>
              <w:ind w:left="427" w:right="133"/>
              <w:rPr>
                <w:rFonts w:ascii="Microsoft JhengHei" w:eastAsia="Microsoft JhengHei" w:hint="eastAsia"/>
                <w:b/>
                <w:sz w:val="21"/>
              </w:rPr>
            </w:pPr>
            <w:r>
              <w:rPr>
                <w:rFonts w:ascii="Microsoft JhengHei" w:eastAsia="Microsoft JhengHei" w:hint="eastAsia"/>
                <w:b/>
                <w:sz w:val="21"/>
              </w:rPr>
              <w:t>重大器官移植术或</w:t>
            </w:r>
          </w:p>
        </w:tc>
        <w:tc>
          <w:tcPr>
            <w:tcW w:w="6267" w:type="dxa"/>
          </w:tcPr>
          <w:p>
            <w:pPr>
              <w:pStyle w:val="TableParagraph"/>
              <w:spacing w:line="310" w:lineRule="atLeast" w:before="114"/>
              <w:ind w:right="1"/>
              <w:rPr>
                <w:sz w:val="21"/>
              </w:rPr>
            </w:pPr>
            <w:r>
              <w:rPr>
                <w:spacing w:val="-14"/>
                <w:sz w:val="21"/>
              </w:rPr>
              <w:t>重大器官移植术，指因相应器官功能衰竭，已经实施了肾脏、肝脏、</w:t>
            </w:r>
            <w:r>
              <w:rPr>
                <w:spacing w:val="-9"/>
                <w:sz w:val="21"/>
              </w:rPr>
              <w:t>心脏或肺脏的异体移植手术。</w:t>
            </w:r>
          </w:p>
        </w:tc>
      </w:tr>
    </w:tbl>
    <w:p>
      <w:pPr>
        <w:spacing w:after="0" w:line="310" w:lineRule="atLeast"/>
        <w:rPr>
          <w:sz w:val="21"/>
        </w:rPr>
        <w:sectPr>
          <w:pgSz w:w="11910" w:h="16840"/>
          <w:pgMar w:header="0" w:footer="898" w:top="1580" w:bottom="1080" w:left="1580" w:right="15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354"/>
        <w:gridCol w:w="6467"/>
      </w:tblGrid>
      <w:tr>
        <w:trPr>
          <w:trHeight w:val="1205" w:hRule="atLeast"/>
        </w:trPr>
        <w:tc>
          <w:tcPr>
            <w:tcW w:w="997" w:type="dxa"/>
          </w:tcPr>
          <w:p>
            <w:pPr>
              <w:pStyle w:val="TableParagraph"/>
              <w:ind w:left="0"/>
              <w:rPr>
                <w:rFonts w:ascii="Times New Roman"/>
                <w:sz w:val="20"/>
              </w:rPr>
            </w:pPr>
          </w:p>
        </w:tc>
        <w:tc>
          <w:tcPr>
            <w:tcW w:w="1354" w:type="dxa"/>
          </w:tcPr>
          <w:p>
            <w:pPr>
              <w:pStyle w:val="TableParagraph"/>
              <w:spacing w:line="199" w:lineRule="exact"/>
              <w:ind w:left="374"/>
              <w:rPr>
                <w:rFonts w:ascii="Microsoft JhengHei" w:eastAsia="Microsoft JhengHei" w:hint="eastAsia"/>
                <w:b/>
                <w:sz w:val="21"/>
              </w:rPr>
            </w:pPr>
            <w:r>
              <w:rPr>
                <w:rFonts w:ascii="Microsoft JhengHei" w:eastAsia="Microsoft JhengHei" w:hint="eastAsia"/>
                <w:b/>
                <w:sz w:val="21"/>
              </w:rPr>
              <w:t>造血干细</w:t>
            </w:r>
          </w:p>
          <w:p>
            <w:pPr>
              <w:pStyle w:val="TableParagraph"/>
              <w:spacing w:line="339" w:lineRule="exact"/>
              <w:ind w:left="374"/>
              <w:rPr>
                <w:rFonts w:ascii="Microsoft JhengHei" w:eastAsia="Microsoft JhengHei" w:hint="eastAsia"/>
                <w:b/>
                <w:sz w:val="21"/>
              </w:rPr>
            </w:pPr>
            <w:r>
              <w:rPr>
                <w:rFonts w:ascii="Microsoft JhengHei" w:eastAsia="Microsoft JhengHei" w:hint="eastAsia"/>
                <w:b/>
                <w:sz w:val="21"/>
              </w:rPr>
              <w:t>胞移植术</w:t>
            </w:r>
          </w:p>
        </w:tc>
        <w:tc>
          <w:tcPr>
            <w:tcW w:w="6467" w:type="dxa"/>
          </w:tcPr>
          <w:p>
            <w:pPr>
              <w:pStyle w:val="TableParagraph"/>
              <w:spacing w:line="271" w:lineRule="auto" w:before="85"/>
              <w:ind w:right="307"/>
              <w:jc w:val="both"/>
              <w:rPr>
                <w:sz w:val="21"/>
              </w:rPr>
            </w:pPr>
            <w:r>
              <w:rPr>
                <w:spacing w:val="-8"/>
                <w:sz w:val="21"/>
              </w:rPr>
              <w:t>造血干细胞移植术，指因造血功能损害或造血系统恶性肿瘤，已经</w:t>
            </w:r>
            <w:r>
              <w:rPr>
                <w:spacing w:val="-11"/>
                <w:sz w:val="21"/>
              </w:rPr>
              <w:t>实施了造血干细胞</w:t>
            </w:r>
            <w:r>
              <w:rPr>
                <w:sz w:val="21"/>
              </w:rPr>
              <w:t>（</w:t>
            </w:r>
            <w:r>
              <w:rPr>
                <w:spacing w:val="-7"/>
                <w:sz w:val="21"/>
              </w:rPr>
              <w:t>包括骨髓造血干细胞、外周血造血干细胞和脐</w:t>
            </w:r>
            <w:r>
              <w:rPr>
                <w:spacing w:val="-6"/>
                <w:sz w:val="21"/>
              </w:rPr>
              <w:t>血造血干细胞</w:t>
            </w:r>
            <w:r>
              <w:rPr>
                <w:sz w:val="21"/>
              </w:rPr>
              <w:t>）</w:t>
            </w:r>
            <w:r>
              <w:rPr>
                <w:spacing w:val="-3"/>
                <w:sz w:val="21"/>
              </w:rPr>
              <w:t>的异体移植手术。</w:t>
            </w:r>
          </w:p>
        </w:tc>
      </w:tr>
      <w:tr>
        <w:trPr>
          <w:trHeight w:val="2198" w:hRule="atLeast"/>
        </w:trPr>
        <w:tc>
          <w:tcPr>
            <w:tcW w:w="997" w:type="dxa"/>
          </w:tcPr>
          <w:p>
            <w:pPr>
              <w:pStyle w:val="TableParagraph"/>
              <w:spacing w:before="76"/>
              <w:ind w:left="200"/>
              <w:rPr>
                <w:rFonts w:ascii="Microsoft JhengHei"/>
                <w:b/>
                <w:sz w:val="21"/>
              </w:rPr>
            </w:pPr>
            <w:r>
              <w:rPr>
                <w:rFonts w:ascii="Microsoft JhengHei"/>
                <w:b/>
                <w:w w:val="105"/>
                <w:sz w:val="21"/>
              </w:rPr>
              <w:t>7.5</w:t>
            </w:r>
          </w:p>
        </w:tc>
        <w:tc>
          <w:tcPr>
            <w:tcW w:w="1354" w:type="dxa"/>
          </w:tcPr>
          <w:p>
            <w:pPr>
              <w:pStyle w:val="TableParagraph"/>
              <w:spacing w:line="201" w:lineRule="auto" w:before="134"/>
              <w:ind w:left="374" w:right="132"/>
              <w:rPr>
                <w:rFonts w:ascii="Microsoft JhengHei" w:eastAsia="Microsoft JhengHei" w:hint="eastAsia"/>
                <w:b/>
                <w:sz w:val="21"/>
              </w:rPr>
            </w:pPr>
            <w:r>
              <w:rPr>
                <w:rFonts w:ascii="Microsoft JhengHei" w:eastAsia="Microsoft JhengHei" w:hint="eastAsia"/>
                <w:b/>
                <w:sz w:val="21"/>
              </w:rPr>
              <w:t>冠状动脉搭桥术</w:t>
            </w:r>
          </w:p>
          <w:p>
            <w:pPr>
              <w:pStyle w:val="TableParagraph"/>
              <w:spacing w:line="204" w:lineRule="auto"/>
              <w:ind w:left="374" w:right="132"/>
              <w:rPr>
                <w:rFonts w:ascii="Microsoft JhengHei" w:eastAsia="Microsoft JhengHei" w:hint="eastAsia"/>
                <w:b/>
                <w:sz w:val="21"/>
              </w:rPr>
            </w:pPr>
            <w:r>
              <w:rPr>
                <w:rFonts w:ascii="Microsoft JhengHei" w:eastAsia="Microsoft JhengHei" w:hint="eastAsia"/>
                <w:b/>
                <w:sz w:val="21"/>
              </w:rPr>
              <w:t>（或称冠状动脉旁路 移 植 术）</w:t>
            </w:r>
          </w:p>
        </w:tc>
        <w:tc>
          <w:tcPr>
            <w:tcW w:w="6467" w:type="dxa"/>
          </w:tcPr>
          <w:p>
            <w:pPr>
              <w:pStyle w:val="TableParagraph"/>
              <w:spacing w:line="268" w:lineRule="auto" w:before="143"/>
              <w:ind w:right="304"/>
              <w:rPr>
                <w:sz w:val="21"/>
              </w:rPr>
            </w:pPr>
            <w:r>
              <w:rPr>
                <w:spacing w:val="-9"/>
                <w:sz w:val="21"/>
              </w:rPr>
              <w:t>指为治疗严重的冠心病，实际实施了开胸进行的冠状动脉血管旁路</w:t>
            </w:r>
            <w:r>
              <w:rPr>
                <w:spacing w:val="-8"/>
                <w:sz w:val="21"/>
              </w:rPr>
              <w:t>移植的手术。</w:t>
            </w:r>
          </w:p>
          <w:p>
            <w:pPr>
              <w:pStyle w:val="TableParagraph"/>
              <w:spacing w:line="273" w:lineRule="auto" w:before="170"/>
              <w:ind w:right="307"/>
              <w:rPr>
                <w:sz w:val="21"/>
              </w:rPr>
            </w:pPr>
            <w:r>
              <w:rPr>
                <w:spacing w:val="-8"/>
                <w:sz w:val="21"/>
              </w:rPr>
              <w:t>冠状动脉支架植入术、心导管球囊扩张术、激光射频技术及其它非</w:t>
            </w:r>
            <w:r>
              <w:rPr>
                <w:spacing w:val="-6"/>
                <w:sz w:val="21"/>
              </w:rPr>
              <w:t>开胸的介入手术、腔镜手术不在保障范围内。</w:t>
            </w:r>
          </w:p>
        </w:tc>
      </w:tr>
      <w:tr>
        <w:trPr>
          <w:trHeight w:val="1887" w:hRule="atLeast"/>
        </w:trPr>
        <w:tc>
          <w:tcPr>
            <w:tcW w:w="997" w:type="dxa"/>
          </w:tcPr>
          <w:p>
            <w:pPr>
              <w:pStyle w:val="TableParagraph"/>
              <w:spacing w:before="76"/>
              <w:ind w:left="200"/>
              <w:rPr>
                <w:rFonts w:ascii="Microsoft JhengHei"/>
                <w:b/>
                <w:sz w:val="21"/>
              </w:rPr>
            </w:pPr>
            <w:r>
              <w:rPr>
                <w:rFonts w:ascii="Microsoft JhengHei"/>
                <w:b/>
                <w:w w:val="105"/>
                <w:sz w:val="21"/>
              </w:rPr>
              <w:t>7.6</w:t>
            </w:r>
          </w:p>
        </w:tc>
        <w:tc>
          <w:tcPr>
            <w:tcW w:w="1354" w:type="dxa"/>
          </w:tcPr>
          <w:p>
            <w:pPr>
              <w:pStyle w:val="TableParagraph"/>
              <w:spacing w:line="204" w:lineRule="auto" w:before="131"/>
              <w:ind w:left="374" w:right="132"/>
              <w:jc w:val="both"/>
              <w:rPr>
                <w:rFonts w:ascii="Microsoft JhengHei" w:eastAsia="Microsoft JhengHei" w:hint="eastAsia"/>
                <w:b/>
                <w:sz w:val="21"/>
              </w:rPr>
            </w:pPr>
            <w:r>
              <w:rPr>
                <w:rFonts w:ascii="Microsoft JhengHei" w:eastAsia="Microsoft JhengHei" w:hint="eastAsia"/>
                <w:b/>
                <w:sz w:val="21"/>
              </w:rPr>
              <w:t>终末期肾病（或称慢性肾功能衰竭尿毒症期）</w:t>
            </w:r>
          </w:p>
        </w:tc>
        <w:tc>
          <w:tcPr>
            <w:tcW w:w="6467" w:type="dxa"/>
          </w:tcPr>
          <w:p>
            <w:pPr>
              <w:pStyle w:val="TableParagraph"/>
              <w:spacing w:line="268" w:lineRule="auto" w:before="143"/>
              <w:ind w:right="307"/>
              <w:rPr>
                <w:sz w:val="21"/>
              </w:rPr>
            </w:pPr>
            <w:r>
              <w:rPr>
                <w:spacing w:val="-8"/>
                <w:sz w:val="21"/>
              </w:rPr>
              <w:t>指双肾功能慢性不可逆性衰竭，达到尿毒症期，经诊断后已经进行</w:t>
            </w:r>
            <w:r>
              <w:rPr>
                <w:spacing w:val="-16"/>
                <w:sz w:val="21"/>
              </w:rPr>
              <w:t>了至少 </w:t>
            </w:r>
            <w:r>
              <w:rPr>
                <w:sz w:val="21"/>
              </w:rPr>
              <w:t>90</w:t>
            </w:r>
            <w:r>
              <w:rPr>
                <w:spacing w:val="-8"/>
                <w:sz w:val="21"/>
              </w:rPr>
              <w:t> 天的规律性透析治疗或实施了肾脏移植手术。</w:t>
            </w:r>
          </w:p>
        </w:tc>
      </w:tr>
      <w:tr>
        <w:trPr>
          <w:trHeight w:val="950" w:hRule="atLeast"/>
        </w:trPr>
        <w:tc>
          <w:tcPr>
            <w:tcW w:w="997" w:type="dxa"/>
          </w:tcPr>
          <w:p>
            <w:pPr>
              <w:pStyle w:val="TableParagraph"/>
              <w:spacing w:before="76"/>
              <w:ind w:left="200"/>
              <w:rPr>
                <w:rFonts w:ascii="Microsoft JhengHei"/>
                <w:b/>
                <w:sz w:val="21"/>
              </w:rPr>
            </w:pPr>
            <w:r>
              <w:rPr>
                <w:rFonts w:ascii="Microsoft JhengHei"/>
                <w:b/>
                <w:w w:val="105"/>
                <w:sz w:val="21"/>
              </w:rPr>
              <w:t>7.7</w:t>
            </w:r>
          </w:p>
        </w:tc>
        <w:tc>
          <w:tcPr>
            <w:tcW w:w="1354" w:type="dxa"/>
          </w:tcPr>
          <w:p>
            <w:pPr>
              <w:pStyle w:val="TableParagraph"/>
              <w:spacing w:line="201" w:lineRule="auto" w:before="134"/>
              <w:ind w:left="374" w:right="132"/>
              <w:rPr>
                <w:rFonts w:ascii="Microsoft JhengHei" w:eastAsia="Microsoft JhengHei" w:hint="eastAsia"/>
                <w:b/>
                <w:sz w:val="21"/>
              </w:rPr>
            </w:pPr>
            <w:r>
              <w:rPr>
                <w:rFonts w:ascii="Microsoft JhengHei" w:eastAsia="Microsoft JhengHei" w:hint="eastAsia"/>
                <w:b/>
                <w:sz w:val="21"/>
              </w:rPr>
              <w:t>多个肢体缺失</w:t>
            </w:r>
          </w:p>
        </w:tc>
        <w:tc>
          <w:tcPr>
            <w:tcW w:w="6467" w:type="dxa"/>
          </w:tcPr>
          <w:p>
            <w:pPr>
              <w:pStyle w:val="TableParagraph"/>
              <w:spacing w:line="268" w:lineRule="auto" w:before="143"/>
              <w:ind w:right="302"/>
              <w:rPr>
                <w:sz w:val="21"/>
              </w:rPr>
            </w:pPr>
            <w:r>
              <w:rPr>
                <w:sz w:val="21"/>
              </w:rPr>
              <w:t>指因疾病或意外伤害导致两个或两个以上肢体自腕关节或踝关节近端（靠近躯干端）以上完全性断离。</w:t>
            </w:r>
          </w:p>
        </w:tc>
      </w:tr>
      <w:tr>
        <w:trPr>
          <w:trHeight w:val="2355" w:hRule="atLeast"/>
        </w:trPr>
        <w:tc>
          <w:tcPr>
            <w:tcW w:w="997" w:type="dxa"/>
          </w:tcPr>
          <w:p>
            <w:pPr>
              <w:pStyle w:val="TableParagraph"/>
              <w:spacing w:before="76"/>
              <w:ind w:left="200"/>
              <w:rPr>
                <w:rFonts w:ascii="Microsoft JhengHei"/>
                <w:b/>
                <w:sz w:val="21"/>
              </w:rPr>
            </w:pPr>
            <w:r>
              <w:rPr>
                <w:rFonts w:ascii="Microsoft JhengHei"/>
                <w:b/>
                <w:w w:val="105"/>
                <w:sz w:val="21"/>
              </w:rPr>
              <w:t>7.8</w:t>
            </w:r>
          </w:p>
        </w:tc>
        <w:tc>
          <w:tcPr>
            <w:tcW w:w="1354" w:type="dxa"/>
          </w:tcPr>
          <w:p>
            <w:pPr>
              <w:pStyle w:val="TableParagraph"/>
              <w:spacing w:line="204" w:lineRule="auto" w:before="131"/>
              <w:ind w:left="374" w:right="132"/>
              <w:jc w:val="both"/>
              <w:rPr>
                <w:rFonts w:ascii="Microsoft JhengHei" w:eastAsia="Microsoft JhengHei" w:hint="eastAsia"/>
                <w:b/>
                <w:sz w:val="21"/>
              </w:rPr>
            </w:pPr>
            <w:r>
              <w:rPr>
                <w:rFonts w:ascii="Microsoft JhengHei" w:eastAsia="Microsoft JhengHei" w:hint="eastAsia"/>
                <w:b/>
                <w:sz w:val="21"/>
              </w:rPr>
              <w:t>急性或亚急性重症肝炎</w:t>
            </w:r>
          </w:p>
        </w:tc>
        <w:tc>
          <w:tcPr>
            <w:tcW w:w="6467" w:type="dxa"/>
          </w:tcPr>
          <w:p>
            <w:pPr>
              <w:pStyle w:val="TableParagraph"/>
              <w:spacing w:line="268" w:lineRule="auto" w:before="143"/>
              <w:ind w:right="302"/>
              <w:rPr>
                <w:sz w:val="21"/>
              </w:rPr>
            </w:pPr>
            <w:r>
              <w:rPr>
                <w:sz w:val="21"/>
              </w:rPr>
              <w:t>指因肝炎病毒感染引起肝脏组织弥漫性坏死，导致急性肝功能衰竭，且经血清学或病毒学检查证实，并须满足下列全部条件：</w:t>
            </w:r>
          </w:p>
          <w:p>
            <w:pPr>
              <w:pStyle w:val="TableParagraph"/>
              <w:spacing w:before="170"/>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超或其它影像学检查显示肝脏体积急速萎缩；</w:t>
            </w:r>
          </w:p>
          <w:p>
            <w:pPr>
              <w:pStyle w:val="TableParagraph"/>
              <w:spacing w:before="36"/>
              <w:rPr>
                <w:sz w:val="21"/>
              </w:rPr>
            </w:pPr>
            <w:r>
              <w:rPr>
                <w:sz w:val="21"/>
              </w:rPr>
              <w:t>（4）肝功能指标进行性恶化。</w:t>
            </w:r>
          </w:p>
        </w:tc>
      </w:tr>
      <w:tr>
        <w:trPr>
          <w:trHeight w:val="2823" w:hRule="atLeast"/>
        </w:trPr>
        <w:tc>
          <w:tcPr>
            <w:tcW w:w="997" w:type="dxa"/>
          </w:tcPr>
          <w:p>
            <w:pPr>
              <w:pStyle w:val="TableParagraph"/>
              <w:spacing w:before="74"/>
              <w:ind w:left="200"/>
              <w:rPr>
                <w:rFonts w:ascii="Microsoft JhengHei"/>
                <w:b/>
                <w:sz w:val="21"/>
              </w:rPr>
            </w:pPr>
            <w:r>
              <w:rPr>
                <w:rFonts w:ascii="Microsoft JhengHei"/>
                <w:b/>
                <w:w w:val="105"/>
                <w:sz w:val="21"/>
              </w:rPr>
              <w:t>7.9</w:t>
            </w:r>
          </w:p>
        </w:tc>
        <w:tc>
          <w:tcPr>
            <w:tcW w:w="1354" w:type="dxa"/>
          </w:tcPr>
          <w:p>
            <w:pPr>
              <w:pStyle w:val="TableParagraph"/>
              <w:spacing w:line="204" w:lineRule="auto" w:before="129"/>
              <w:ind w:left="374" w:right="132"/>
              <w:rPr>
                <w:rFonts w:ascii="Microsoft JhengHei" w:eastAsia="Microsoft JhengHei" w:hint="eastAsia"/>
                <w:b/>
                <w:sz w:val="21"/>
              </w:rPr>
            </w:pPr>
            <w:r>
              <w:rPr>
                <w:rFonts w:ascii="Microsoft JhengHei" w:eastAsia="Microsoft JhengHei" w:hint="eastAsia"/>
                <w:b/>
                <w:sz w:val="21"/>
              </w:rPr>
              <w:t>良性脑肿瘤</w:t>
            </w:r>
          </w:p>
        </w:tc>
        <w:tc>
          <w:tcPr>
            <w:tcW w:w="6467" w:type="dxa"/>
          </w:tcPr>
          <w:p>
            <w:pPr>
              <w:pStyle w:val="TableParagraph"/>
              <w:spacing w:line="273" w:lineRule="auto" w:before="141"/>
              <w:ind w:right="198"/>
              <w:rPr>
                <w:sz w:val="21"/>
              </w:rPr>
            </w:pPr>
            <w:r>
              <w:rPr>
                <w:spacing w:val="-8"/>
                <w:sz w:val="21"/>
              </w:rPr>
              <w:t>指脑的良性肿瘤，已经引起颅内压增高，临床表现为视神经乳头水</w:t>
            </w:r>
            <w:r>
              <w:rPr>
                <w:spacing w:val="-10"/>
                <w:sz w:val="21"/>
              </w:rPr>
              <w:t>肿、精神症状、癫痫及运动感觉障碍等，并危及生命。须由头颅断</w:t>
            </w:r>
            <w:r>
              <w:rPr>
                <w:spacing w:val="-12"/>
                <w:w w:val="100"/>
                <w:sz w:val="21"/>
              </w:rPr>
              <w:t>层扫描</w:t>
            </w:r>
            <w:r>
              <w:rPr>
                <w:w w:val="100"/>
                <w:sz w:val="21"/>
              </w:rPr>
              <w:t>（CT</w:t>
            </w:r>
            <w:r>
              <w:rPr>
                <w:spacing w:val="-111"/>
                <w:w w:val="100"/>
                <w:sz w:val="21"/>
              </w:rPr>
              <w:t>）</w:t>
            </w:r>
            <w:r>
              <w:rPr>
                <w:spacing w:val="-7"/>
                <w:w w:val="100"/>
                <w:sz w:val="21"/>
              </w:rPr>
              <w:t>、核磁共振检查</w:t>
            </w:r>
            <w:r>
              <w:rPr>
                <w:w w:val="100"/>
                <w:sz w:val="21"/>
              </w:rPr>
              <w:t>（M</w:t>
            </w:r>
            <w:r>
              <w:rPr>
                <w:spacing w:val="-5"/>
                <w:w w:val="100"/>
                <w:sz w:val="21"/>
              </w:rPr>
              <w:t>R</w:t>
            </w:r>
            <w:r>
              <w:rPr>
                <w:w w:val="100"/>
                <w:sz w:val="21"/>
              </w:rPr>
              <w:t>I</w:t>
            </w:r>
            <w:r>
              <w:rPr>
                <w:spacing w:val="-15"/>
                <w:w w:val="100"/>
                <w:sz w:val="21"/>
              </w:rPr>
              <w:t>）</w:t>
            </w:r>
            <w:r>
              <w:rPr>
                <w:spacing w:val="-6"/>
                <w:w w:val="100"/>
                <w:sz w:val="21"/>
              </w:rPr>
              <w:t>或正电子发射断层扫描</w:t>
            </w:r>
            <w:r>
              <w:rPr>
                <w:spacing w:val="0"/>
                <w:w w:val="100"/>
                <w:sz w:val="21"/>
              </w:rPr>
              <w:t>（</w:t>
            </w:r>
            <w:r>
              <w:rPr>
                <w:w w:val="100"/>
                <w:sz w:val="21"/>
              </w:rPr>
              <w:t>PET）</w:t>
            </w:r>
            <w:r>
              <w:rPr>
                <w:spacing w:val="-5"/>
                <w:sz w:val="21"/>
              </w:rPr>
              <w:t>等影像学检查证实，并须满足下列至少一项条件：</w:t>
            </w:r>
          </w:p>
          <w:p>
            <w:pPr>
              <w:pStyle w:val="TableParagraph"/>
              <w:spacing w:before="166"/>
              <w:rPr>
                <w:sz w:val="21"/>
              </w:rPr>
            </w:pPr>
            <w:r>
              <w:rPr>
                <w:sz w:val="21"/>
              </w:rPr>
              <w:t>（1）实际实施了开颅进行的脑肿瘤完全切除或部分切除的手术；</w:t>
            </w:r>
          </w:p>
          <w:p>
            <w:pPr>
              <w:pStyle w:val="TableParagraph"/>
              <w:spacing w:before="32"/>
              <w:rPr>
                <w:sz w:val="21"/>
              </w:rPr>
            </w:pPr>
            <w:r>
              <w:rPr>
                <w:sz w:val="21"/>
              </w:rPr>
              <w:t>（2）实际实施了对脑肿瘤进行的放射治疗。</w:t>
            </w:r>
          </w:p>
          <w:p>
            <w:pPr>
              <w:pStyle w:val="TableParagraph"/>
              <w:spacing w:before="10"/>
              <w:ind w:left="0"/>
              <w:rPr>
                <w:rFonts w:ascii="Times New Roman"/>
                <w:sz w:val="16"/>
              </w:rPr>
            </w:pPr>
          </w:p>
          <w:p>
            <w:pPr>
              <w:pStyle w:val="TableParagraph"/>
              <w:spacing w:before="1"/>
              <w:rPr>
                <w:sz w:val="21"/>
              </w:rPr>
            </w:pPr>
            <w:r>
              <w:rPr>
                <w:sz w:val="21"/>
              </w:rPr>
              <w:t>脑垂体瘤、脑囊肿、脑血管性疾病不在保障范围内。</w:t>
            </w:r>
          </w:p>
        </w:tc>
      </w:tr>
      <w:tr>
        <w:trPr>
          <w:trHeight w:val="2297" w:hRule="atLeast"/>
        </w:trPr>
        <w:tc>
          <w:tcPr>
            <w:tcW w:w="997" w:type="dxa"/>
          </w:tcPr>
          <w:p>
            <w:pPr>
              <w:pStyle w:val="TableParagraph"/>
              <w:spacing w:before="74"/>
              <w:ind w:left="200"/>
              <w:rPr>
                <w:rFonts w:ascii="Microsoft JhengHei"/>
                <w:b/>
                <w:sz w:val="21"/>
              </w:rPr>
            </w:pPr>
            <w:r>
              <w:rPr>
                <w:rFonts w:ascii="Microsoft JhengHei"/>
                <w:b/>
                <w:sz w:val="21"/>
              </w:rPr>
              <w:t>7.10</w:t>
            </w:r>
          </w:p>
        </w:tc>
        <w:tc>
          <w:tcPr>
            <w:tcW w:w="1354" w:type="dxa"/>
          </w:tcPr>
          <w:p>
            <w:pPr>
              <w:pStyle w:val="TableParagraph"/>
              <w:spacing w:line="204" w:lineRule="auto" w:before="128"/>
              <w:ind w:left="374" w:right="132"/>
              <w:jc w:val="both"/>
              <w:rPr>
                <w:rFonts w:ascii="Microsoft JhengHei" w:eastAsia="Microsoft JhengHei" w:hint="eastAsia"/>
                <w:b/>
                <w:sz w:val="21"/>
              </w:rPr>
            </w:pPr>
            <w:r>
              <w:rPr>
                <w:rFonts w:ascii="Microsoft JhengHei" w:eastAsia="Microsoft JhengHei" w:hint="eastAsia"/>
                <w:b/>
                <w:sz w:val="21"/>
              </w:rPr>
              <w:t>慢性肝功能衰竭失代偿期</w:t>
            </w:r>
          </w:p>
        </w:tc>
        <w:tc>
          <w:tcPr>
            <w:tcW w:w="6467" w:type="dxa"/>
          </w:tcPr>
          <w:p>
            <w:pPr>
              <w:pStyle w:val="TableParagraph"/>
              <w:spacing w:before="140"/>
              <w:rPr>
                <w:sz w:val="21"/>
              </w:rPr>
            </w:pPr>
            <w:r>
              <w:rPr>
                <w:sz w:val="21"/>
              </w:rPr>
              <w:t>指因慢性肝脏疾病导致肝功能衰竭。须满足下列全部条件：</w:t>
            </w:r>
          </w:p>
          <w:p>
            <w:pPr>
              <w:pStyle w:val="TableParagraph"/>
              <w:spacing w:before="6"/>
              <w:ind w:left="0"/>
              <w:rPr>
                <w:rFonts w:ascii="Times New Roman"/>
                <w:sz w:val="16"/>
              </w:rPr>
            </w:pPr>
          </w:p>
          <w:p>
            <w:pPr>
              <w:pStyle w:val="TableParagraph"/>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before="36"/>
              <w:rPr>
                <w:sz w:val="21"/>
              </w:rPr>
            </w:pPr>
            <w:r>
              <w:rPr>
                <w:sz w:val="21"/>
              </w:rPr>
              <w:t>（4）充血性脾肿大伴脾功能亢进或食管胃底静脉曲张。</w:t>
            </w:r>
          </w:p>
          <w:p>
            <w:pPr>
              <w:pStyle w:val="TableParagraph"/>
              <w:spacing w:before="11"/>
              <w:ind w:left="0"/>
              <w:rPr>
                <w:rFonts w:ascii="Times New Roman"/>
                <w:sz w:val="16"/>
              </w:rPr>
            </w:pPr>
          </w:p>
          <w:p>
            <w:pPr>
              <w:pStyle w:val="TableParagraph"/>
              <w:spacing w:line="264" w:lineRule="exact"/>
              <w:rPr>
                <w:sz w:val="21"/>
              </w:rPr>
            </w:pPr>
            <w:r>
              <w:rPr>
                <w:sz w:val="21"/>
              </w:rPr>
              <w:t>因酗酒或药物滥用导致的肝功能衰竭不在保障范围内。</w:t>
            </w:r>
          </w:p>
        </w:tc>
      </w:tr>
    </w:tbl>
    <w:p>
      <w:pPr>
        <w:spacing w:after="0" w:line="264" w:lineRule="exact"/>
        <w:rPr>
          <w:sz w:val="21"/>
        </w:rPr>
        <w:sectPr>
          <w:pgSz w:w="11910" w:h="16840"/>
          <w:pgMar w:header="0" w:footer="898" w:top="1480" w:bottom="1080" w:left="1500" w:right="1380"/>
        </w:sectPr>
      </w:pPr>
    </w:p>
    <w:p>
      <w:pPr>
        <w:pStyle w:val="BodyText"/>
        <w:spacing w:before="10"/>
        <w:rPr>
          <w:rFonts w:ascii="Times New Roman"/>
          <w:sz w:val="18"/>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354"/>
        <w:gridCol w:w="6430"/>
      </w:tblGrid>
      <w:tr>
        <w:trPr>
          <w:trHeight w:val="2453" w:hRule="atLeast"/>
        </w:trPr>
        <w:tc>
          <w:tcPr>
            <w:tcW w:w="997" w:type="dxa"/>
          </w:tcPr>
          <w:p>
            <w:pPr>
              <w:pStyle w:val="TableParagraph"/>
              <w:spacing w:line="235" w:lineRule="exact"/>
              <w:ind w:left="200"/>
              <w:rPr>
                <w:rFonts w:ascii="Microsoft JhengHei"/>
                <w:b/>
                <w:sz w:val="21"/>
              </w:rPr>
            </w:pPr>
            <w:r>
              <w:rPr>
                <w:rFonts w:ascii="Microsoft JhengHei"/>
                <w:b/>
                <w:sz w:val="21"/>
              </w:rPr>
              <w:t>7.11</w:t>
            </w:r>
          </w:p>
        </w:tc>
        <w:tc>
          <w:tcPr>
            <w:tcW w:w="1354" w:type="dxa"/>
          </w:tcPr>
          <w:p>
            <w:pPr>
              <w:pStyle w:val="TableParagraph"/>
              <w:spacing w:line="208" w:lineRule="exact"/>
              <w:ind w:left="374"/>
              <w:rPr>
                <w:rFonts w:ascii="Microsoft JhengHei" w:eastAsia="Microsoft JhengHei" w:hint="eastAsia"/>
                <w:b/>
                <w:sz w:val="21"/>
              </w:rPr>
            </w:pPr>
            <w:r>
              <w:rPr>
                <w:rFonts w:ascii="Microsoft JhengHei" w:eastAsia="Microsoft JhengHei" w:hint="eastAsia"/>
                <w:b/>
                <w:sz w:val="21"/>
              </w:rPr>
              <w:t>脑炎后遗</w:t>
            </w:r>
          </w:p>
          <w:p>
            <w:pPr>
              <w:pStyle w:val="TableParagraph"/>
              <w:spacing w:line="206" w:lineRule="auto" w:before="24"/>
              <w:ind w:left="374" w:right="132"/>
              <w:rPr>
                <w:rFonts w:ascii="Microsoft JhengHei" w:eastAsia="Microsoft JhengHei" w:hint="eastAsia"/>
                <w:b/>
                <w:sz w:val="21"/>
              </w:rPr>
            </w:pPr>
            <w:r>
              <w:rPr>
                <w:rFonts w:ascii="Microsoft JhengHei" w:eastAsia="Microsoft JhengHei" w:hint="eastAsia"/>
                <w:b/>
                <w:sz w:val="21"/>
              </w:rPr>
              <w:t>症或脑膜炎后遗症</w:t>
            </w:r>
          </w:p>
        </w:tc>
        <w:tc>
          <w:tcPr>
            <w:tcW w:w="6430" w:type="dxa"/>
          </w:tcPr>
          <w:p>
            <w:pPr>
              <w:pStyle w:val="TableParagraph"/>
              <w:spacing w:line="211" w:lineRule="exact"/>
              <w:rPr>
                <w:sz w:val="21"/>
              </w:rPr>
            </w:pPr>
            <w:r>
              <w:rPr>
                <w:sz w:val="21"/>
              </w:rPr>
              <w:t>指因患脑炎或脑膜炎导致的神经系统永久性的功能障碍。神经系统</w:t>
            </w:r>
          </w:p>
          <w:p>
            <w:pPr>
              <w:pStyle w:val="TableParagraph"/>
              <w:spacing w:line="273" w:lineRule="auto" w:before="37"/>
              <w:ind w:right="268"/>
              <w:rPr>
                <w:sz w:val="21"/>
              </w:rPr>
            </w:pPr>
            <w:r>
              <w:rPr>
                <w:spacing w:val="-8"/>
                <w:sz w:val="21"/>
              </w:rPr>
              <w:t>永久性的功能障碍，指疾病确诊 </w:t>
            </w:r>
            <w:r>
              <w:rPr>
                <w:sz w:val="21"/>
              </w:rPr>
              <w:t>180</w:t>
            </w:r>
            <w:r>
              <w:rPr>
                <w:spacing w:val="-10"/>
                <w:sz w:val="21"/>
              </w:rPr>
              <w:t> 天后，仍遗留下列一种或一种以上障碍：</w:t>
            </w:r>
          </w:p>
          <w:p>
            <w:pPr>
              <w:pStyle w:val="TableParagraph"/>
              <w:spacing w:before="166"/>
              <w:rPr>
                <w:sz w:val="21"/>
              </w:rPr>
            </w:pPr>
            <w:r>
              <w:rPr>
                <w:sz w:val="21"/>
              </w:rPr>
              <w:t>（1）一肢或一肢以上肌体机能完全丧失；</w:t>
            </w:r>
          </w:p>
          <w:p>
            <w:pPr>
              <w:pStyle w:val="TableParagraph"/>
              <w:spacing w:before="32"/>
              <w:rPr>
                <w:sz w:val="21"/>
              </w:rPr>
            </w:pPr>
            <w:r>
              <w:rPr>
                <w:sz w:val="21"/>
              </w:rPr>
              <w:t>（2）语言能力或咀嚼吞咽能力完全丧失；</w:t>
            </w:r>
          </w:p>
          <w:p>
            <w:pPr>
              <w:pStyle w:val="TableParagraph"/>
              <w:spacing w:line="273" w:lineRule="auto" w:before="37"/>
              <w:ind w:left="691" w:right="274" w:hanging="558"/>
              <w:rPr>
                <w:sz w:val="21"/>
              </w:rPr>
            </w:pPr>
            <w:r>
              <w:rPr>
                <w:sz w:val="21"/>
              </w:rPr>
              <w:t>（3）自主生活能力完全丧失，无法独立完成六项基本日常生活活动中的三项或三项以上。</w:t>
            </w:r>
          </w:p>
        </w:tc>
      </w:tr>
      <w:tr>
        <w:trPr>
          <w:trHeight w:val="2042" w:hRule="atLeast"/>
        </w:trPr>
        <w:tc>
          <w:tcPr>
            <w:tcW w:w="997" w:type="dxa"/>
          </w:tcPr>
          <w:p>
            <w:pPr>
              <w:pStyle w:val="TableParagraph"/>
              <w:spacing w:before="85"/>
              <w:ind w:left="200"/>
              <w:rPr>
                <w:rFonts w:ascii="Microsoft JhengHei"/>
                <w:b/>
                <w:sz w:val="21"/>
              </w:rPr>
            </w:pPr>
            <w:r>
              <w:rPr>
                <w:rFonts w:ascii="Microsoft JhengHei"/>
                <w:b/>
                <w:sz w:val="21"/>
              </w:rPr>
              <w:t>7.12</w:t>
            </w:r>
          </w:p>
        </w:tc>
        <w:tc>
          <w:tcPr>
            <w:tcW w:w="1354" w:type="dxa"/>
          </w:tcPr>
          <w:p>
            <w:pPr>
              <w:pStyle w:val="TableParagraph"/>
              <w:spacing w:before="85"/>
              <w:ind w:left="374"/>
              <w:rPr>
                <w:rFonts w:ascii="Microsoft JhengHei" w:eastAsia="Microsoft JhengHei" w:hint="eastAsia"/>
                <w:b/>
                <w:sz w:val="21"/>
              </w:rPr>
            </w:pPr>
            <w:r>
              <w:rPr>
                <w:rFonts w:ascii="Microsoft JhengHei" w:eastAsia="Microsoft JhengHei" w:hint="eastAsia"/>
                <w:b/>
                <w:sz w:val="21"/>
              </w:rPr>
              <w:t>深度昏迷</w:t>
            </w:r>
          </w:p>
        </w:tc>
        <w:tc>
          <w:tcPr>
            <w:tcW w:w="6430" w:type="dxa"/>
          </w:tcPr>
          <w:p>
            <w:pPr>
              <w:pStyle w:val="TableParagraph"/>
              <w:spacing w:line="271" w:lineRule="auto" w:before="152"/>
              <w:ind w:right="269"/>
              <w:jc w:val="both"/>
              <w:rPr>
                <w:sz w:val="21"/>
              </w:rPr>
            </w:pPr>
            <w:r>
              <w:rPr>
                <w:sz w:val="21"/>
              </w:rPr>
              <w:t>指因疾病或意外伤害导致意识丧失,对外界刺激和体内需求均无反应,昏迷程度按照格拉斯哥昏迷分级（Glasgow coma scale）结果</w:t>
            </w:r>
            <w:r>
              <w:rPr>
                <w:spacing w:val="-5"/>
                <w:sz w:val="21"/>
              </w:rPr>
              <w:t>为 </w:t>
            </w:r>
            <w:r>
              <w:rPr>
                <w:sz w:val="21"/>
              </w:rPr>
              <w:t>5</w:t>
            </w:r>
            <w:r>
              <w:rPr>
                <w:spacing w:val="-6"/>
                <w:sz w:val="21"/>
              </w:rPr>
              <w:t> 分或 </w:t>
            </w:r>
            <w:r>
              <w:rPr>
                <w:sz w:val="21"/>
              </w:rPr>
              <w:t>5</w:t>
            </w:r>
            <w:r>
              <w:rPr>
                <w:spacing w:val="-5"/>
                <w:sz w:val="21"/>
              </w:rPr>
              <w:t> 分以下，且已经持续使用呼吸机及其它生命维持系统</w:t>
            </w:r>
          </w:p>
          <w:p>
            <w:pPr>
              <w:pStyle w:val="TableParagraph"/>
              <w:spacing w:before="10"/>
              <w:jc w:val="both"/>
              <w:rPr>
                <w:sz w:val="21"/>
              </w:rPr>
            </w:pPr>
            <w:r>
              <w:rPr>
                <w:sz w:val="21"/>
              </w:rPr>
              <w:t>96 小时以上。</w:t>
            </w:r>
          </w:p>
          <w:p>
            <w:pPr>
              <w:pStyle w:val="TableParagraph"/>
              <w:spacing w:before="11"/>
              <w:ind w:left="0"/>
              <w:rPr>
                <w:rFonts w:ascii="Times New Roman"/>
                <w:sz w:val="16"/>
              </w:rPr>
            </w:pPr>
          </w:p>
          <w:p>
            <w:pPr>
              <w:pStyle w:val="TableParagraph"/>
              <w:jc w:val="both"/>
              <w:rPr>
                <w:sz w:val="21"/>
              </w:rPr>
            </w:pPr>
            <w:r>
              <w:rPr>
                <w:sz w:val="21"/>
              </w:rPr>
              <w:t>因酗酒或药物滥用所致的深度昏迷不在保障范围内。</w:t>
            </w:r>
          </w:p>
        </w:tc>
      </w:tr>
      <w:tr>
        <w:trPr>
          <w:trHeight w:val="1262" w:hRule="atLeast"/>
        </w:trPr>
        <w:tc>
          <w:tcPr>
            <w:tcW w:w="997" w:type="dxa"/>
          </w:tcPr>
          <w:p>
            <w:pPr>
              <w:pStyle w:val="TableParagraph"/>
              <w:spacing w:before="83"/>
              <w:ind w:left="200"/>
              <w:rPr>
                <w:rFonts w:ascii="Microsoft JhengHei"/>
                <w:b/>
                <w:sz w:val="21"/>
              </w:rPr>
            </w:pPr>
            <w:r>
              <w:rPr>
                <w:rFonts w:ascii="Microsoft JhengHei"/>
                <w:b/>
                <w:sz w:val="21"/>
              </w:rPr>
              <w:t>7.13</w:t>
            </w:r>
          </w:p>
        </w:tc>
        <w:tc>
          <w:tcPr>
            <w:tcW w:w="1354" w:type="dxa"/>
          </w:tcPr>
          <w:p>
            <w:pPr>
              <w:pStyle w:val="TableParagraph"/>
              <w:spacing w:before="83"/>
              <w:ind w:left="374"/>
              <w:rPr>
                <w:rFonts w:ascii="Microsoft JhengHei" w:eastAsia="Microsoft JhengHei" w:hint="eastAsia"/>
                <w:b/>
                <w:sz w:val="21"/>
              </w:rPr>
            </w:pPr>
            <w:r>
              <w:rPr>
                <w:rFonts w:ascii="Microsoft JhengHei" w:eastAsia="Microsoft JhengHei" w:hint="eastAsia"/>
                <w:b/>
                <w:sz w:val="21"/>
              </w:rPr>
              <w:t>双耳失聪</w:t>
            </w:r>
          </w:p>
        </w:tc>
        <w:tc>
          <w:tcPr>
            <w:tcW w:w="6430" w:type="dxa"/>
          </w:tcPr>
          <w:p>
            <w:pPr>
              <w:pStyle w:val="TableParagraph"/>
              <w:spacing w:before="87"/>
              <w:rPr>
                <w:sz w:val="21"/>
              </w:rPr>
            </w:pPr>
            <w:r>
              <w:rPr>
                <w:sz w:val="21"/>
              </w:rPr>
              <w:t>指因疾病或意外伤害导致双耳听力</w:t>
            </w:r>
            <w:r>
              <w:rPr>
                <w:rFonts w:ascii="微软雅黑" w:eastAsia="微软雅黑" w:hint="eastAsia"/>
                <w:b/>
                <w:sz w:val="21"/>
              </w:rPr>
              <w:t>永久不可逆</w:t>
            </w:r>
            <w:r>
              <w:rPr>
                <w:sz w:val="21"/>
              </w:rPr>
              <w:t>性丧失，在 500 赫</w:t>
            </w:r>
          </w:p>
          <w:p>
            <w:pPr>
              <w:pStyle w:val="TableParagraph"/>
              <w:spacing w:line="273" w:lineRule="auto" w:before="11"/>
              <w:ind w:right="267"/>
              <w:rPr>
                <w:sz w:val="21"/>
              </w:rPr>
            </w:pPr>
            <w:r>
              <w:rPr>
                <w:sz w:val="21"/>
              </w:rPr>
              <w:t>兹、1000</w:t>
            </w:r>
            <w:r>
              <w:rPr>
                <w:spacing w:val="-14"/>
                <w:sz w:val="21"/>
              </w:rPr>
              <w:t> 赫兹和 </w:t>
            </w:r>
            <w:r>
              <w:rPr>
                <w:sz w:val="21"/>
              </w:rPr>
              <w:t>2000</w:t>
            </w:r>
            <w:r>
              <w:rPr>
                <w:spacing w:val="-8"/>
                <w:sz w:val="21"/>
              </w:rPr>
              <w:t> 赫兹语音频率下，平均听阈大于 </w:t>
            </w:r>
            <w:r>
              <w:rPr>
                <w:sz w:val="21"/>
              </w:rPr>
              <w:t>90</w:t>
            </w:r>
            <w:r>
              <w:rPr>
                <w:spacing w:val="-9"/>
                <w:sz w:val="21"/>
              </w:rPr>
              <w:t> 分贝， </w:t>
            </w:r>
            <w:r>
              <w:rPr>
                <w:spacing w:val="-7"/>
                <w:sz w:val="21"/>
              </w:rPr>
              <w:t>且经纯音听力测试、声导抗检测或听觉诱发电位检测等证实。</w:t>
            </w:r>
          </w:p>
        </w:tc>
      </w:tr>
      <w:tr>
        <w:trPr>
          <w:trHeight w:val="2354" w:hRule="atLeast"/>
        </w:trPr>
        <w:tc>
          <w:tcPr>
            <w:tcW w:w="997" w:type="dxa"/>
          </w:tcPr>
          <w:p>
            <w:pPr>
              <w:pStyle w:val="TableParagraph"/>
              <w:spacing w:before="83"/>
              <w:ind w:left="200"/>
              <w:rPr>
                <w:rFonts w:ascii="Microsoft JhengHei"/>
                <w:b/>
                <w:sz w:val="21"/>
              </w:rPr>
            </w:pPr>
            <w:r>
              <w:rPr>
                <w:rFonts w:ascii="Microsoft JhengHei"/>
                <w:b/>
                <w:sz w:val="21"/>
              </w:rPr>
              <w:t>7.14</w:t>
            </w:r>
          </w:p>
        </w:tc>
        <w:tc>
          <w:tcPr>
            <w:tcW w:w="1354" w:type="dxa"/>
          </w:tcPr>
          <w:p>
            <w:pPr>
              <w:pStyle w:val="TableParagraph"/>
              <w:spacing w:before="83"/>
              <w:ind w:left="374"/>
              <w:rPr>
                <w:rFonts w:ascii="Microsoft JhengHei" w:eastAsia="Microsoft JhengHei" w:hint="eastAsia"/>
                <w:b/>
                <w:sz w:val="21"/>
              </w:rPr>
            </w:pPr>
            <w:r>
              <w:rPr>
                <w:rFonts w:ascii="Microsoft JhengHei" w:eastAsia="Microsoft JhengHei" w:hint="eastAsia"/>
                <w:b/>
                <w:sz w:val="21"/>
              </w:rPr>
              <w:t>双目失明</w:t>
            </w:r>
          </w:p>
        </w:tc>
        <w:tc>
          <w:tcPr>
            <w:tcW w:w="6430" w:type="dxa"/>
          </w:tcPr>
          <w:p>
            <w:pPr>
              <w:pStyle w:val="TableParagraph"/>
              <w:spacing w:line="273" w:lineRule="auto" w:before="150"/>
              <w:ind w:right="270"/>
              <w:rPr>
                <w:sz w:val="21"/>
              </w:rPr>
            </w:pPr>
            <w:r>
              <w:rPr>
                <w:spacing w:val="-8"/>
                <w:sz w:val="21"/>
              </w:rPr>
              <w:t>指因疾病或意外伤害导致双眼视力永久不可逆性丧失，双眼中较好</w:t>
            </w:r>
            <w:r>
              <w:rPr>
                <w:spacing w:val="-6"/>
                <w:sz w:val="21"/>
              </w:rPr>
              <w:t>眼须满足下列至少一项条件：</w:t>
            </w:r>
          </w:p>
          <w:p>
            <w:pPr>
              <w:pStyle w:val="TableParagraph"/>
              <w:spacing w:before="161"/>
              <w:rPr>
                <w:sz w:val="21"/>
              </w:rPr>
            </w:pPr>
            <w:r>
              <w:rPr>
                <w:sz w:val="21"/>
              </w:rPr>
              <w:t>（1）眼球缺失或摘除；</w:t>
            </w:r>
          </w:p>
          <w:p>
            <w:pPr>
              <w:pStyle w:val="TableParagraph"/>
              <w:spacing w:line="273" w:lineRule="auto" w:before="37"/>
              <w:ind w:left="677" w:right="273" w:hanging="543"/>
              <w:rPr>
                <w:sz w:val="21"/>
              </w:rPr>
            </w:pPr>
            <w:r>
              <w:rPr>
                <w:sz w:val="21"/>
              </w:rPr>
              <w:t>（2）</w:t>
            </w:r>
            <w:r>
              <w:rPr>
                <w:spacing w:val="-6"/>
                <w:sz w:val="21"/>
              </w:rPr>
              <w:t>矫正视力低于 </w:t>
            </w:r>
            <w:r>
              <w:rPr>
                <w:sz w:val="21"/>
              </w:rPr>
              <w:t>0.02（</w:t>
            </w:r>
            <w:r>
              <w:rPr>
                <w:spacing w:val="-5"/>
                <w:sz w:val="21"/>
              </w:rPr>
              <w:t>采用国际标准视力表，若使用其他视力</w:t>
            </w:r>
            <w:r>
              <w:rPr>
                <w:spacing w:val="-5"/>
                <w:w w:val="100"/>
                <w:sz w:val="21"/>
              </w:rPr>
              <w:t>表应进行换算</w:t>
            </w:r>
            <w:r>
              <w:rPr>
                <w:spacing w:val="-106"/>
                <w:w w:val="100"/>
                <w:sz w:val="21"/>
              </w:rPr>
              <w:t>）</w:t>
            </w:r>
            <w:r>
              <w:rPr>
                <w:w w:val="100"/>
                <w:sz w:val="21"/>
              </w:rPr>
              <w:t>；</w:t>
            </w:r>
          </w:p>
          <w:p>
            <w:pPr>
              <w:pStyle w:val="TableParagraph"/>
              <w:spacing w:before="7"/>
              <w:rPr>
                <w:sz w:val="21"/>
              </w:rPr>
            </w:pPr>
            <w:r>
              <w:rPr>
                <w:sz w:val="21"/>
              </w:rPr>
              <w:t>（3）视野半径小于 5 度。</w:t>
            </w:r>
          </w:p>
        </w:tc>
      </w:tr>
      <w:tr>
        <w:trPr>
          <w:trHeight w:val="1572" w:hRule="atLeast"/>
        </w:trPr>
        <w:tc>
          <w:tcPr>
            <w:tcW w:w="997" w:type="dxa"/>
          </w:tcPr>
          <w:p>
            <w:pPr>
              <w:pStyle w:val="TableParagraph"/>
              <w:spacing w:before="85"/>
              <w:ind w:left="200"/>
              <w:rPr>
                <w:rFonts w:ascii="Microsoft JhengHei"/>
                <w:b/>
                <w:sz w:val="21"/>
              </w:rPr>
            </w:pPr>
            <w:r>
              <w:rPr>
                <w:rFonts w:ascii="Microsoft JhengHei"/>
                <w:b/>
                <w:sz w:val="21"/>
              </w:rPr>
              <w:t>7.15</w:t>
            </w:r>
          </w:p>
        </w:tc>
        <w:tc>
          <w:tcPr>
            <w:tcW w:w="1354" w:type="dxa"/>
          </w:tcPr>
          <w:p>
            <w:pPr>
              <w:pStyle w:val="TableParagraph"/>
              <w:spacing w:before="85"/>
              <w:ind w:left="374"/>
              <w:rPr>
                <w:rFonts w:ascii="Microsoft JhengHei" w:eastAsia="Microsoft JhengHei" w:hint="eastAsia"/>
                <w:b/>
                <w:sz w:val="21"/>
              </w:rPr>
            </w:pPr>
            <w:r>
              <w:rPr>
                <w:rFonts w:ascii="Microsoft JhengHei" w:eastAsia="Microsoft JhengHei" w:hint="eastAsia"/>
                <w:b/>
                <w:sz w:val="21"/>
              </w:rPr>
              <w:t>瘫痪</w:t>
            </w:r>
          </w:p>
        </w:tc>
        <w:tc>
          <w:tcPr>
            <w:tcW w:w="6430" w:type="dxa"/>
          </w:tcPr>
          <w:p>
            <w:pPr>
              <w:pStyle w:val="TableParagraph"/>
              <w:spacing w:line="271" w:lineRule="auto" w:before="152"/>
              <w:ind w:right="198"/>
              <w:rPr>
                <w:sz w:val="21"/>
              </w:rPr>
            </w:pPr>
            <w:r>
              <w:rPr>
                <w:spacing w:val="-5"/>
                <w:sz w:val="21"/>
              </w:rPr>
              <w:t>指因疾病或意外伤害导致两肢或两肢以上肢体机能永久完全丧失。</w:t>
            </w:r>
            <w:r>
              <w:rPr>
                <w:spacing w:val="-10"/>
                <w:sz w:val="21"/>
              </w:rPr>
              <w:t>肢体机能永久完全丧失，指疾病确诊 </w:t>
            </w:r>
            <w:r>
              <w:rPr>
                <w:sz w:val="21"/>
              </w:rPr>
              <w:t>180</w:t>
            </w:r>
            <w:r>
              <w:rPr>
                <w:spacing w:val="-12"/>
                <w:sz w:val="21"/>
              </w:rPr>
              <w:t> 天后或意外伤害发生 </w:t>
            </w:r>
            <w:r>
              <w:rPr>
                <w:sz w:val="21"/>
              </w:rPr>
              <w:t>180 </w:t>
            </w:r>
            <w:r>
              <w:rPr>
                <w:spacing w:val="-9"/>
                <w:sz w:val="21"/>
              </w:rPr>
              <w:t>天后，每肢三大关节中的两大关节仍然完全僵硬，或不能随意识活动。</w:t>
            </w:r>
          </w:p>
        </w:tc>
      </w:tr>
      <w:tr>
        <w:trPr>
          <w:trHeight w:val="950" w:hRule="atLeast"/>
        </w:trPr>
        <w:tc>
          <w:tcPr>
            <w:tcW w:w="997" w:type="dxa"/>
          </w:tcPr>
          <w:p>
            <w:pPr>
              <w:pStyle w:val="TableParagraph"/>
              <w:spacing w:before="83"/>
              <w:ind w:left="200"/>
              <w:rPr>
                <w:rFonts w:ascii="Microsoft JhengHei"/>
                <w:b/>
                <w:sz w:val="21"/>
              </w:rPr>
            </w:pPr>
            <w:r>
              <w:rPr>
                <w:rFonts w:ascii="Microsoft JhengHei"/>
                <w:b/>
                <w:sz w:val="21"/>
              </w:rPr>
              <w:t>7.16</w:t>
            </w:r>
          </w:p>
        </w:tc>
        <w:tc>
          <w:tcPr>
            <w:tcW w:w="1354" w:type="dxa"/>
          </w:tcPr>
          <w:p>
            <w:pPr>
              <w:pStyle w:val="TableParagraph"/>
              <w:spacing w:line="204" w:lineRule="auto" w:before="138"/>
              <w:ind w:left="374" w:right="132"/>
              <w:rPr>
                <w:rFonts w:ascii="Microsoft JhengHei" w:eastAsia="Microsoft JhengHei" w:hint="eastAsia"/>
                <w:b/>
                <w:sz w:val="21"/>
              </w:rPr>
            </w:pPr>
            <w:r>
              <w:rPr>
                <w:rFonts w:ascii="Microsoft JhengHei" w:eastAsia="Microsoft JhengHei" w:hint="eastAsia"/>
                <w:b/>
                <w:sz w:val="21"/>
              </w:rPr>
              <w:t>心脏瓣膜手术</w:t>
            </w:r>
          </w:p>
        </w:tc>
        <w:tc>
          <w:tcPr>
            <w:tcW w:w="6430" w:type="dxa"/>
          </w:tcPr>
          <w:p>
            <w:pPr>
              <w:pStyle w:val="TableParagraph"/>
              <w:spacing w:line="273" w:lineRule="auto" w:before="150"/>
              <w:ind w:right="270"/>
              <w:rPr>
                <w:sz w:val="21"/>
              </w:rPr>
            </w:pPr>
            <w:r>
              <w:rPr>
                <w:spacing w:val="-9"/>
                <w:sz w:val="21"/>
              </w:rPr>
              <w:t>指为治疗心脏瓣膜疾病，实际实施了开胸进行的心脏瓣膜置换或修复的手术。</w:t>
            </w:r>
          </w:p>
        </w:tc>
      </w:tr>
      <w:tr>
        <w:trPr>
          <w:trHeight w:val="2455" w:hRule="atLeast"/>
        </w:trPr>
        <w:tc>
          <w:tcPr>
            <w:tcW w:w="997" w:type="dxa"/>
          </w:tcPr>
          <w:p>
            <w:pPr>
              <w:pStyle w:val="TableParagraph"/>
              <w:spacing w:before="83"/>
              <w:ind w:left="200"/>
              <w:rPr>
                <w:rFonts w:ascii="Microsoft JhengHei"/>
                <w:b/>
                <w:sz w:val="21"/>
              </w:rPr>
            </w:pPr>
            <w:r>
              <w:rPr>
                <w:rFonts w:ascii="Microsoft JhengHei"/>
                <w:b/>
                <w:sz w:val="21"/>
              </w:rPr>
              <w:t>7.17</w:t>
            </w:r>
          </w:p>
        </w:tc>
        <w:tc>
          <w:tcPr>
            <w:tcW w:w="1354" w:type="dxa"/>
          </w:tcPr>
          <w:p>
            <w:pPr>
              <w:pStyle w:val="TableParagraph"/>
              <w:spacing w:line="204" w:lineRule="auto" w:before="138"/>
              <w:ind w:left="374" w:right="132"/>
              <w:rPr>
                <w:rFonts w:ascii="Microsoft JhengHei" w:eastAsia="Microsoft JhengHei" w:hint="eastAsia"/>
                <w:b/>
                <w:sz w:val="21"/>
              </w:rPr>
            </w:pPr>
            <w:r>
              <w:rPr>
                <w:rFonts w:ascii="Microsoft JhengHei" w:eastAsia="Microsoft JhengHei" w:hint="eastAsia"/>
                <w:b/>
                <w:sz w:val="21"/>
              </w:rPr>
              <w:t>严重阿尔茨海默病</w:t>
            </w:r>
          </w:p>
        </w:tc>
        <w:tc>
          <w:tcPr>
            <w:tcW w:w="6430" w:type="dxa"/>
          </w:tcPr>
          <w:p>
            <w:pPr>
              <w:pStyle w:val="TableParagraph"/>
              <w:spacing w:line="273" w:lineRule="auto" w:before="150"/>
              <w:ind w:right="270"/>
              <w:jc w:val="both"/>
              <w:rPr>
                <w:sz w:val="21"/>
              </w:rPr>
            </w:pPr>
            <w:r>
              <w:rPr>
                <w:spacing w:val="-8"/>
                <w:sz w:val="21"/>
              </w:rPr>
              <w:t>指因大脑进行性、不可逆性改变导致智能严重衰退或丧失，临床表</w:t>
            </w:r>
            <w:r>
              <w:rPr>
                <w:spacing w:val="-11"/>
                <w:sz w:val="21"/>
              </w:rPr>
              <w:t>现为明显的认知能力障碍、行为异常和社交能力减退，其日常生活</w:t>
            </w:r>
            <w:r>
              <w:rPr>
                <w:spacing w:val="-11"/>
                <w:w w:val="100"/>
                <w:sz w:val="21"/>
              </w:rPr>
              <w:t>必须持续受到他人监护。须由头颅断层扫描</w:t>
            </w:r>
            <w:r>
              <w:rPr>
                <w:spacing w:val="1"/>
                <w:w w:val="100"/>
                <w:sz w:val="21"/>
              </w:rPr>
              <w:t>（</w:t>
            </w:r>
            <w:r>
              <w:rPr>
                <w:w w:val="100"/>
                <w:sz w:val="21"/>
              </w:rPr>
              <w:t>CT</w:t>
            </w:r>
            <w:r>
              <w:rPr>
                <w:spacing w:val="-106"/>
                <w:w w:val="100"/>
                <w:sz w:val="21"/>
              </w:rPr>
              <w:t>）</w:t>
            </w:r>
            <w:r>
              <w:rPr>
                <w:w w:val="100"/>
                <w:sz w:val="21"/>
              </w:rPr>
              <w:t>、核磁共振检查</w:t>
            </w:r>
          </w:p>
          <w:p>
            <w:pPr>
              <w:pStyle w:val="TableParagraph"/>
              <w:spacing w:line="273" w:lineRule="auto" w:before="8"/>
              <w:ind w:right="268"/>
              <w:jc w:val="both"/>
              <w:rPr>
                <w:sz w:val="21"/>
              </w:rPr>
            </w:pPr>
            <w:r>
              <w:rPr>
                <w:spacing w:val="-4"/>
                <w:sz w:val="21"/>
              </w:rPr>
              <w:t>（MRI）</w:t>
            </w:r>
            <w:r>
              <w:rPr>
                <w:spacing w:val="-5"/>
                <w:sz w:val="21"/>
              </w:rPr>
              <w:t>或正电子发射断层扫描（PET）等影像学检查证实，且自主</w:t>
            </w:r>
            <w:r>
              <w:rPr>
                <w:spacing w:val="-11"/>
                <w:sz w:val="21"/>
              </w:rPr>
              <w:t>生活能力完全丧失，无法独立完成六项基本日常生活活动中的三项</w:t>
            </w:r>
            <w:r>
              <w:rPr>
                <w:spacing w:val="-9"/>
                <w:sz w:val="21"/>
              </w:rPr>
              <w:t>或三项以上。</w:t>
            </w:r>
          </w:p>
          <w:p>
            <w:pPr>
              <w:pStyle w:val="TableParagraph"/>
              <w:spacing w:line="255" w:lineRule="exact" w:before="165"/>
              <w:jc w:val="both"/>
              <w:rPr>
                <w:sz w:val="21"/>
              </w:rPr>
            </w:pPr>
            <w:r>
              <w:rPr>
                <w:sz w:val="21"/>
              </w:rPr>
              <w:t>神经官能症和精神疾病不在保障范围内。</w:t>
            </w:r>
          </w:p>
        </w:tc>
      </w:tr>
    </w:tbl>
    <w:p>
      <w:pPr>
        <w:spacing w:after="0" w:line="255" w:lineRule="exact"/>
        <w:jc w:val="both"/>
        <w:rPr>
          <w:sz w:val="21"/>
        </w:rPr>
        <w:sectPr>
          <w:pgSz w:w="11910" w:h="16840"/>
          <w:pgMar w:header="0" w:footer="898" w:top="1580" w:bottom="1080" w:left="1500" w:right="1420"/>
        </w:sectPr>
      </w:pPr>
    </w:p>
    <w:p>
      <w:pPr>
        <w:pStyle w:val="BodyText"/>
        <w:spacing w:before="3"/>
        <w:rPr>
          <w:rFonts w:ascii="Times New Roman"/>
          <w:sz w:val="4"/>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354"/>
        <w:gridCol w:w="6433"/>
      </w:tblGrid>
      <w:tr>
        <w:trPr>
          <w:trHeight w:val="3075" w:hRule="atLeast"/>
        </w:trPr>
        <w:tc>
          <w:tcPr>
            <w:tcW w:w="997" w:type="dxa"/>
          </w:tcPr>
          <w:p>
            <w:pPr>
              <w:pStyle w:val="TableParagraph"/>
              <w:spacing w:line="235" w:lineRule="exact"/>
              <w:ind w:left="200"/>
              <w:rPr>
                <w:rFonts w:ascii="Microsoft JhengHei"/>
                <w:b/>
                <w:sz w:val="21"/>
              </w:rPr>
            </w:pPr>
            <w:r>
              <w:rPr>
                <w:rFonts w:ascii="Microsoft JhengHei"/>
                <w:b/>
                <w:sz w:val="21"/>
              </w:rPr>
              <w:t>7.18</w:t>
            </w:r>
          </w:p>
        </w:tc>
        <w:tc>
          <w:tcPr>
            <w:tcW w:w="1354" w:type="dxa"/>
          </w:tcPr>
          <w:p>
            <w:pPr>
              <w:pStyle w:val="TableParagraph"/>
              <w:spacing w:line="206" w:lineRule="exact"/>
              <w:ind w:left="374"/>
              <w:rPr>
                <w:rFonts w:ascii="Microsoft JhengHei" w:eastAsia="Microsoft JhengHei" w:hint="eastAsia"/>
                <w:b/>
                <w:sz w:val="21"/>
              </w:rPr>
            </w:pPr>
            <w:r>
              <w:rPr>
                <w:rFonts w:ascii="Microsoft JhengHei" w:eastAsia="Microsoft JhengHei" w:hint="eastAsia"/>
                <w:b/>
                <w:sz w:val="21"/>
              </w:rPr>
              <w:t>严重脑损</w:t>
            </w:r>
          </w:p>
          <w:p>
            <w:pPr>
              <w:pStyle w:val="TableParagraph"/>
              <w:spacing w:line="336" w:lineRule="exact"/>
              <w:ind w:left="374"/>
              <w:rPr>
                <w:rFonts w:ascii="Microsoft JhengHei" w:eastAsia="Microsoft JhengHei" w:hint="eastAsia"/>
                <w:b/>
                <w:sz w:val="21"/>
              </w:rPr>
            </w:pPr>
            <w:r>
              <w:rPr>
                <w:rFonts w:ascii="Microsoft JhengHei" w:eastAsia="Microsoft JhengHei" w:hint="eastAsia"/>
                <w:b/>
                <w:w w:val="100"/>
                <w:sz w:val="21"/>
              </w:rPr>
              <w:t>伤</w:t>
            </w:r>
          </w:p>
        </w:tc>
        <w:tc>
          <w:tcPr>
            <w:tcW w:w="6433" w:type="dxa"/>
          </w:tcPr>
          <w:p>
            <w:pPr>
              <w:pStyle w:val="TableParagraph"/>
              <w:spacing w:line="211" w:lineRule="exact"/>
              <w:rPr>
                <w:sz w:val="21"/>
              </w:rPr>
            </w:pPr>
            <w:r>
              <w:rPr>
                <w:sz w:val="21"/>
              </w:rPr>
              <w:t>指因头部遭受机械性外力，引起脑重要部位损伤，导致神经系统永</w:t>
            </w:r>
          </w:p>
          <w:p>
            <w:pPr>
              <w:pStyle w:val="TableParagraph"/>
              <w:spacing w:line="273" w:lineRule="auto" w:before="32"/>
              <w:ind w:right="198"/>
              <w:rPr>
                <w:sz w:val="21"/>
              </w:rPr>
            </w:pPr>
            <w:r>
              <w:rPr>
                <w:spacing w:val="-3"/>
                <w:w w:val="100"/>
                <w:sz w:val="21"/>
              </w:rPr>
              <w:t>久性的功能障碍。须由头颅断层扫描</w:t>
            </w:r>
            <w:r>
              <w:rPr>
                <w:spacing w:val="0"/>
                <w:w w:val="100"/>
                <w:sz w:val="21"/>
              </w:rPr>
              <w:t>（</w:t>
            </w:r>
            <w:r>
              <w:rPr>
                <w:spacing w:val="-5"/>
                <w:w w:val="100"/>
                <w:sz w:val="21"/>
              </w:rPr>
              <w:t>C</w:t>
            </w:r>
            <w:r>
              <w:rPr>
                <w:w w:val="100"/>
                <w:sz w:val="21"/>
              </w:rPr>
              <w:t>T</w:t>
            </w:r>
            <w:r>
              <w:rPr>
                <w:spacing w:val="-106"/>
                <w:w w:val="100"/>
                <w:sz w:val="21"/>
              </w:rPr>
              <w:t>）</w:t>
            </w:r>
            <w:r>
              <w:rPr>
                <w:spacing w:val="-3"/>
                <w:w w:val="100"/>
                <w:sz w:val="21"/>
              </w:rPr>
              <w:t>、核磁共振检查</w:t>
            </w:r>
            <w:r>
              <w:rPr>
                <w:spacing w:val="0"/>
                <w:w w:val="100"/>
                <w:sz w:val="21"/>
              </w:rPr>
              <w:t>（</w:t>
            </w:r>
            <w:r>
              <w:rPr>
                <w:w w:val="100"/>
                <w:sz w:val="21"/>
              </w:rPr>
              <w:t>MRI）</w:t>
            </w:r>
            <w:r>
              <w:rPr>
                <w:sz w:val="21"/>
              </w:rPr>
              <w:t>或正电子发射断层扫描（PET）等影像学检查证实。神经系统永久</w:t>
            </w:r>
            <w:r>
              <w:rPr>
                <w:spacing w:val="-10"/>
                <w:sz w:val="21"/>
              </w:rPr>
              <w:t>性的功能障碍，指脑损伤 </w:t>
            </w:r>
            <w:r>
              <w:rPr>
                <w:sz w:val="21"/>
              </w:rPr>
              <w:t>180</w:t>
            </w:r>
            <w:r>
              <w:rPr>
                <w:spacing w:val="-11"/>
                <w:sz w:val="21"/>
              </w:rPr>
              <w:t> 天后，仍遗留下列一种或一种以上障碍：</w:t>
            </w:r>
          </w:p>
          <w:p>
            <w:pPr>
              <w:pStyle w:val="TableParagraph"/>
              <w:spacing w:before="165"/>
              <w:rPr>
                <w:sz w:val="21"/>
              </w:rPr>
            </w:pPr>
            <w:r>
              <w:rPr>
                <w:sz w:val="21"/>
              </w:rPr>
              <w:t>（1）一肢或一肢以上肌体机能完全丧失；</w:t>
            </w:r>
          </w:p>
          <w:p>
            <w:pPr>
              <w:pStyle w:val="TableParagraph"/>
              <w:spacing w:before="36"/>
              <w:rPr>
                <w:sz w:val="21"/>
              </w:rPr>
            </w:pPr>
            <w:r>
              <w:rPr>
                <w:sz w:val="21"/>
              </w:rPr>
              <w:t>（2）语言能力或咀嚼吞咽能力完全丧失；</w:t>
            </w:r>
          </w:p>
          <w:p>
            <w:pPr>
              <w:pStyle w:val="TableParagraph"/>
              <w:spacing w:line="273" w:lineRule="auto" w:before="37"/>
              <w:ind w:left="662" w:right="277" w:hanging="529"/>
              <w:rPr>
                <w:sz w:val="21"/>
              </w:rPr>
            </w:pPr>
            <w:r>
              <w:rPr>
                <w:sz w:val="21"/>
              </w:rPr>
              <w:t>（3）自主生活能力完全丧失，无法独立完成六项基本日常生活活动中的三项或三项以上。</w:t>
            </w:r>
          </w:p>
        </w:tc>
      </w:tr>
      <w:tr>
        <w:trPr>
          <w:trHeight w:val="2511" w:hRule="atLeast"/>
        </w:trPr>
        <w:tc>
          <w:tcPr>
            <w:tcW w:w="997" w:type="dxa"/>
          </w:tcPr>
          <w:p>
            <w:pPr>
              <w:pStyle w:val="TableParagraph"/>
              <w:spacing w:before="83"/>
              <w:ind w:left="200"/>
              <w:rPr>
                <w:rFonts w:ascii="Microsoft JhengHei"/>
                <w:b/>
                <w:sz w:val="21"/>
              </w:rPr>
            </w:pPr>
            <w:r>
              <w:rPr>
                <w:rFonts w:ascii="Microsoft JhengHei"/>
                <w:b/>
                <w:sz w:val="21"/>
              </w:rPr>
              <w:t>7.19</w:t>
            </w:r>
          </w:p>
        </w:tc>
        <w:tc>
          <w:tcPr>
            <w:tcW w:w="1354" w:type="dxa"/>
          </w:tcPr>
          <w:p>
            <w:pPr>
              <w:pStyle w:val="TableParagraph"/>
              <w:spacing w:line="204" w:lineRule="auto" w:before="138"/>
              <w:ind w:left="374" w:right="132"/>
              <w:rPr>
                <w:rFonts w:ascii="Microsoft JhengHei" w:eastAsia="Microsoft JhengHei" w:hint="eastAsia"/>
                <w:b/>
                <w:sz w:val="21"/>
              </w:rPr>
            </w:pPr>
            <w:r>
              <w:rPr>
                <w:rFonts w:ascii="Microsoft JhengHei" w:eastAsia="Microsoft JhengHei" w:hint="eastAsia"/>
                <w:b/>
                <w:sz w:val="21"/>
              </w:rPr>
              <w:t>严重帕金森病</w:t>
            </w:r>
          </w:p>
        </w:tc>
        <w:tc>
          <w:tcPr>
            <w:tcW w:w="6433" w:type="dxa"/>
          </w:tcPr>
          <w:p>
            <w:pPr>
              <w:pStyle w:val="TableParagraph"/>
              <w:spacing w:line="273" w:lineRule="auto" w:before="150"/>
              <w:ind w:right="272"/>
              <w:rPr>
                <w:sz w:val="21"/>
              </w:rPr>
            </w:pPr>
            <w:r>
              <w:rPr>
                <w:spacing w:val="-8"/>
                <w:sz w:val="21"/>
              </w:rPr>
              <w:t>指一种中枢神经系统的退行性疾病，临床表现为震颤麻痹、共济失</w:t>
            </w:r>
            <w:r>
              <w:rPr>
                <w:spacing w:val="-6"/>
                <w:sz w:val="21"/>
              </w:rPr>
              <w:t>调等。须满足下列全部条件：</w:t>
            </w:r>
          </w:p>
          <w:p>
            <w:pPr>
              <w:pStyle w:val="TableParagraph"/>
              <w:spacing w:before="167"/>
              <w:rPr>
                <w:sz w:val="21"/>
              </w:rPr>
            </w:pPr>
            <w:r>
              <w:rPr>
                <w:sz w:val="21"/>
              </w:rPr>
              <w:t>（1）药物治疗无法控制病情；</w:t>
            </w:r>
          </w:p>
          <w:p>
            <w:pPr>
              <w:pStyle w:val="TableParagraph"/>
              <w:spacing w:line="273" w:lineRule="auto" w:before="32"/>
              <w:ind w:left="691" w:right="277" w:hanging="558"/>
              <w:rPr>
                <w:sz w:val="21"/>
              </w:rPr>
            </w:pPr>
            <w:r>
              <w:rPr>
                <w:sz w:val="21"/>
              </w:rPr>
              <w:t>（2）自主生活能力完全丧失，无法独立完成六项基本日常生活活动中的三项或三项以上。</w:t>
            </w:r>
          </w:p>
          <w:p>
            <w:pPr>
              <w:pStyle w:val="TableParagraph"/>
              <w:spacing w:before="165"/>
              <w:rPr>
                <w:sz w:val="21"/>
              </w:rPr>
            </w:pPr>
            <w:r>
              <w:rPr>
                <w:sz w:val="21"/>
              </w:rPr>
              <w:t>继发性帕金森综合症不在保障范围内。</w:t>
            </w:r>
          </w:p>
        </w:tc>
      </w:tr>
      <w:tr>
        <w:trPr>
          <w:trHeight w:val="950" w:hRule="atLeast"/>
        </w:trPr>
        <w:tc>
          <w:tcPr>
            <w:tcW w:w="997" w:type="dxa"/>
          </w:tcPr>
          <w:p>
            <w:pPr>
              <w:pStyle w:val="TableParagraph"/>
              <w:spacing w:before="83"/>
              <w:ind w:left="200"/>
              <w:rPr>
                <w:rFonts w:ascii="Microsoft JhengHei"/>
                <w:b/>
                <w:sz w:val="21"/>
              </w:rPr>
            </w:pPr>
            <w:r>
              <w:rPr>
                <w:rFonts w:ascii="Microsoft JhengHei"/>
                <w:b/>
                <w:sz w:val="21"/>
              </w:rPr>
              <w:t>7.20</w:t>
            </w:r>
          </w:p>
        </w:tc>
        <w:tc>
          <w:tcPr>
            <w:tcW w:w="1354" w:type="dxa"/>
          </w:tcPr>
          <w:p>
            <w:pPr>
              <w:pStyle w:val="TableParagraph"/>
              <w:spacing w:line="204" w:lineRule="auto" w:before="138"/>
              <w:ind w:left="374" w:right="130"/>
              <w:rPr>
                <w:rFonts w:ascii="Microsoft JhengHei" w:eastAsia="Microsoft JhengHei" w:hint="eastAsia"/>
                <w:b/>
                <w:sz w:val="21"/>
              </w:rPr>
            </w:pPr>
            <w:r>
              <w:rPr>
                <w:rFonts w:ascii="Microsoft JhengHei" w:eastAsia="Microsoft JhengHei" w:hint="eastAsia"/>
                <w:b/>
                <w:w w:val="115"/>
                <w:sz w:val="21"/>
              </w:rPr>
              <w:t>严重 </w:t>
            </w:r>
            <w:r>
              <w:rPr>
                <w:rFonts w:ascii="Microsoft JhengHei" w:eastAsia="Microsoft JhengHei" w:hint="eastAsia"/>
                <w:b/>
                <w:w w:val="145"/>
                <w:sz w:val="21"/>
              </w:rPr>
              <w:t>III</w:t>
            </w:r>
            <w:r>
              <w:rPr>
                <w:rFonts w:ascii="Microsoft JhengHei" w:eastAsia="Microsoft JhengHei" w:hint="eastAsia"/>
                <w:b/>
                <w:sz w:val="21"/>
              </w:rPr>
              <w:t>度烧伤</w:t>
            </w:r>
          </w:p>
        </w:tc>
        <w:tc>
          <w:tcPr>
            <w:tcW w:w="6433" w:type="dxa"/>
          </w:tcPr>
          <w:p>
            <w:pPr>
              <w:pStyle w:val="TableParagraph"/>
              <w:spacing w:line="273" w:lineRule="auto" w:before="150"/>
              <w:ind w:right="275"/>
              <w:rPr>
                <w:sz w:val="21"/>
              </w:rPr>
            </w:pPr>
            <w:r>
              <w:rPr>
                <w:sz w:val="21"/>
              </w:rPr>
              <w:t>指烧伤程度为Ⅲ度，且Ⅲ度烧伤的面积达到全身体表面积的 20％ 或 20％以上。体表面积根据 《中国新九分法》计算。</w:t>
            </w:r>
          </w:p>
        </w:tc>
      </w:tr>
      <w:tr>
        <w:trPr>
          <w:trHeight w:val="1574" w:hRule="atLeast"/>
        </w:trPr>
        <w:tc>
          <w:tcPr>
            <w:tcW w:w="997" w:type="dxa"/>
          </w:tcPr>
          <w:p>
            <w:pPr>
              <w:pStyle w:val="TableParagraph"/>
              <w:spacing w:before="83"/>
              <w:ind w:left="200"/>
              <w:rPr>
                <w:rFonts w:ascii="Microsoft JhengHei"/>
                <w:b/>
                <w:sz w:val="21"/>
              </w:rPr>
            </w:pPr>
            <w:r>
              <w:rPr>
                <w:rFonts w:ascii="Microsoft JhengHei"/>
                <w:b/>
                <w:sz w:val="21"/>
              </w:rPr>
              <w:t>7.21</w:t>
            </w:r>
          </w:p>
        </w:tc>
        <w:tc>
          <w:tcPr>
            <w:tcW w:w="1354" w:type="dxa"/>
          </w:tcPr>
          <w:p>
            <w:pPr>
              <w:pStyle w:val="TableParagraph"/>
              <w:spacing w:line="204" w:lineRule="auto" w:before="138"/>
              <w:ind w:left="374" w:right="132"/>
              <w:jc w:val="both"/>
              <w:rPr>
                <w:rFonts w:ascii="Microsoft JhengHei" w:eastAsia="Microsoft JhengHei" w:hint="eastAsia"/>
                <w:b/>
                <w:sz w:val="21"/>
              </w:rPr>
            </w:pPr>
            <w:r>
              <w:rPr>
                <w:rFonts w:ascii="Microsoft JhengHei" w:eastAsia="Microsoft JhengHei" w:hint="eastAsia"/>
                <w:b/>
                <w:sz w:val="21"/>
              </w:rPr>
              <w:t>严重原发性肺动脉高压</w:t>
            </w:r>
          </w:p>
        </w:tc>
        <w:tc>
          <w:tcPr>
            <w:tcW w:w="6433" w:type="dxa"/>
          </w:tcPr>
          <w:p>
            <w:pPr>
              <w:pStyle w:val="TableParagraph"/>
              <w:spacing w:line="273" w:lineRule="auto" w:before="150"/>
              <w:ind w:right="271"/>
              <w:jc w:val="both"/>
              <w:rPr>
                <w:sz w:val="21"/>
              </w:rPr>
            </w:pPr>
            <w:r>
              <w:rPr>
                <w:spacing w:val="-8"/>
                <w:sz w:val="21"/>
              </w:rPr>
              <w:t>指不明原因的肺动脉压力持续性增高，进行性发展而导致的慢性疾</w:t>
            </w:r>
            <w:r>
              <w:rPr>
                <w:spacing w:val="-10"/>
                <w:sz w:val="21"/>
              </w:rPr>
              <w:t>病，已经造成永久不可逆性的体力活动能力受限，达到美国纽约心</w:t>
            </w:r>
            <w:r>
              <w:rPr>
                <w:spacing w:val="-8"/>
                <w:sz w:val="21"/>
              </w:rPr>
              <w:t>脏病学会心功能状态分级 </w:t>
            </w:r>
            <w:r>
              <w:rPr>
                <w:spacing w:val="-3"/>
                <w:sz w:val="21"/>
              </w:rPr>
              <w:t>IV</w:t>
            </w:r>
            <w:r>
              <w:rPr>
                <w:spacing w:val="-5"/>
                <w:sz w:val="21"/>
              </w:rPr>
              <w:t> 级，且静息状态下肺动脉平均压超过</w:t>
            </w:r>
          </w:p>
          <w:p>
            <w:pPr>
              <w:pStyle w:val="TableParagraph"/>
              <w:spacing w:before="8"/>
              <w:jc w:val="both"/>
              <w:rPr>
                <w:sz w:val="21"/>
              </w:rPr>
            </w:pPr>
            <w:r>
              <w:rPr>
                <w:sz w:val="21"/>
              </w:rPr>
              <w:t>30mmHg。</w:t>
            </w:r>
          </w:p>
        </w:tc>
      </w:tr>
      <w:tr>
        <w:trPr>
          <w:trHeight w:val="1575" w:hRule="atLeast"/>
        </w:trPr>
        <w:tc>
          <w:tcPr>
            <w:tcW w:w="997" w:type="dxa"/>
          </w:tcPr>
          <w:p>
            <w:pPr>
              <w:pStyle w:val="TableParagraph"/>
              <w:spacing w:before="83"/>
              <w:ind w:left="200"/>
              <w:rPr>
                <w:rFonts w:ascii="Microsoft JhengHei"/>
                <w:b/>
                <w:sz w:val="21"/>
              </w:rPr>
            </w:pPr>
            <w:r>
              <w:rPr>
                <w:rFonts w:ascii="Microsoft JhengHei"/>
                <w:b/>
                <w:sz w:val="21"/>
              </w:rPr>
              <w:t>7.22</w:t>
            </w:r>
          </w:p>
        </w:tc>
        <w:tc>
          <w:tcPr>
            <w:tcW w:w="1354" w:type="dxa"/>
          </w:tcPr>
          <w:p>
            <w:pPr>
              <w:pStyle w:val="TableParagraph"/>
              <w:spacing w:line="206" w:lineRule="auto" w:before="134"/>
              <w:ind w:left="374" w:right="132"/>
              <w:rPr>
                <w:rFonts w:ascii="Microsoft JhengHei" w:eastAsia="Microsoft JhengHei" w:hint="eastAsia"/>
                <w:b/>
                <w:sz w:val="21"/>
              </w:rPr>
            </w:pPr>
            <w:r>
              <w:rPr>
                <w:rFonts w:ascii="Microsoft JhengHei" w:eastAsia="Microsoft JhengHei" w:hint="eastAsia"/>
                <w:b/>
                <w:sz w:val="21"/>
              </w:rPr>
              <w:t>严重运动神经元病</w:t>
            </w:r>
          </w:p>
        </w:tc>
        <w:tc>
          <w:tcPr>
            <w:tcW w:w="6433" w:type="dxa"/>
          </w:tcPr>
          <w:p>
            <w:pPr>
              <w:pStyle w:val="TableParagraph"/>
              <w:spacing w:line="273" w:lineRule="auto" w:before="150"/>
              <w:ind w:right="272"/>
              <w:jc w:val="both"/>
              <w:rPr>
                <w:sz w:val="21"/>
              </w:rPr>
            </w:pPr>
            <w:r>
              <w:rPr>
                <w:spacing w:val="-8"/>
                <w:sz w:val="21"/>
              </w:rPr>
              <w:t>是一组中枢神经系统运动神经元的进行性变性疾病，包括进行性脊</w:t>
            </w:r>
            <w:r>
              <w:rPr>
                <w:spacing w:val="-11"/>
                <w:sz w:val="21"/>
              </w:rPr>
              <w:t>肌萎缩症、进行性延髓麻痹症、原发性侧索硬化症、肌萎缩性侧索</w:t>
            </w:r>
            <w:r>
              <w:rPr>
                <w:spacing w:val="-12"/>
                <w:sz w:val="21"/>
              </w:rPr>
              <w:t>硬化症。须满足自主生活能力完全丧失，无法独立完成六项基本日</w:t>
            </w:r>
            <w:r>
              <w:rPr>
                <w:spacing w:val="-8"/>
                <w:sz w:val="21"/>
              </w:rPr>
              <w:t>常生活活动中的三项或三项以上的条件。</w:t>
            </w:r>
          </w:p>
        </w:tc>
      </w:tr>
      <w:tr>
        <w:trPr>
          <w:trHeight w:val="1730" w:hRule="atLeast"/>
        </w:trPr>
        <w:tc>
          <w:tcPr>
            <w:tcW w:w="997" w:type="dxa"/>
          </w:tcPr>
          <w:p>
            <w:pPr>
              <w:pStyle w:val="TableParagraph"/>
              <w:spacing w:before="83"/>
              <w:ind w:left="200"/>
              <w:rPr>
                <w:rFonts w:ascii="Microsoft JhengHei"/>
                <w:b/>
                <w:sz w:val="21"/>
              </w:rPr>
            </w:pPr>
            <w:r>
              <w:rPr>
                <w:rFonts w:ascii="Microsoft JhengHei"/>
                <w:b/>
                <w:sz w:val="21"/>
              </w:rPr>
              <w:t>7.23</w:t>
            </w:r>
          </w:p>
        </w:tc>
        <w:tc>
          <w:tcPr>
            <w:tcW w:w="1354" w:type="dxa"/>
          </w:tcPr>
          <w:p>
            <w:pPr>
              <w:pStyle w:val="TableParagraph"/>
              <w:spacing w:line="204" w:lineRule="auto" w:before="138"/>
              <w:ind w:left="374" w:right="132"/>
              <w:rPr>
                <w:rFonts w:ascii="Microsoft JhengHei" w:eastAsia="Microsoft JhengHei" w:hint="eastAsia"/>
                <w:b/>
                <w:sz w:val="21"/>
              </w:rPr>
            </w:pPr>
            <w:r>
              <w:rPr>
                <w:rFonts w:ascii="Microsoft JhengHei" w:eastAsia="Microsoft JhengHei" w:hint="eastAsia"/>
                <w:b/>
                <w:sz w:val="21"/>
              </w:rPr>
              <w:t>语言能力丧失</w:t>
            </w:r>
          </w:p>
        </w:tc>
        <w:tc>
          <w:tcPr>
            <w:tcW w:w="6433" w:type="dxa"/>
          </w:tcPr>
          <w:p>
            <w:pPr>
              <w:pStyle w:val="TableParagraph"/>
              <w:spacing w:before="150"/>
              <w:rPr>
                <w:sz w:val="21"/>
              </w:rPr>
            </w:pPr>
            <w:r>
              <w:rPr>
                <w:sz w:val="21"/>
              </w:rPr>
              <w:t>指因疾病或意外伤害导致完全丧失语言能力，经过积极治疗至少</w:t>
            </w:r>
          </w:p>
          <w:p>
            <w:pPr>
              <w:pStyle w:val="TableParagraph"/>
              <w:spacing w:line="273" w:lineRule="auto" w:before="37"/>
              <w:ind w:right="272"/>
              <w:rPr>
                <w:sz w:val="21"/>
              </w:rPr>
            </w:pPr>
            <w:r>
              <w:rPr>
                <w:w w:val="100"/>
                <w:sz w:val="21"/>
              </w:rPr>
              <w:t>12</w:t>
            </w:r>
            <w:r>
              <w:rPr>
                <w:spacing w:val="-52"/>
                <w:sz w:val="21"/>
              </w:rPr>
              <w:t> </w:t>
            </w:r>
            <w:r>
              <w:rPr>
                <w:spacing w:val="-5"/>
                <w:w w:val="100"/>
                <w:sz w:val="21"/>
              </w:rPr>
              <w:t>个月</w:t>
            </w:r>
            <w:r>
              <w:rPr>
                <w:w w:val="100"/>
                <w:sz w:val="21"/>
              </w:rPr>
              <w:t>（</w:t>
            </w:r>
            <w:r>
              <w:rPr>
                <w:spacing w:val="-4"/>
                <w:w w:val="100"/>
                <w:sz w:val="21"/>
              </w:rPr>
              <w:t>声带完全切除不受此时间限制</w:t>
            </w:r>
            <w:r>
              <w:rPr>
                <w:spacing w:val="-106"/>
                <w:w w:val="100"/>
                <w:sz w:val="21"/>
              </w:rPr>
              <w:t>）</w:t>
            </w:r>
            <w:r>
              <w:rPr>
                <w:spacing w:val="-5"/>
                <w:w w:val="100"/>
                <w:sz w:val="21"/>
              </w:rPr>
              <w:t>，仍无法通过现有医疗手</w:t>
            </w:r>
            <w:r>
              <w:rPr>
                <w:spacing w:val="-5"/>
                <w:sz w:val="21"/>
              </w:rPr>
              <w:t>段恢复。</w:t>
            </w:r>
          </w:p>
          <w:p>
            <w:pPr>
              <w:pStyle w:val="TableParagraph"/>
              <w:spacing w:before="166"/>
              <w:rPr>
                <w:sz w:val="21"/>
              </w:rPr>
            </w:pPr>
            <w:r>
              <w:rPr>
                <w:sz w:val="21"/>
              </w:rPr>
              <w:t>精神心理因素所致的语言能力丧失不在保障范围内。</w:t>
            </w:r>
          </w:p>
        </w:tc>
      </w:tr>
      <w:tr>
        <w:trPr>
          <w:trHeight w:val="2031" w:hRule="atLeast"/>
        </w:trPr>
        <w:tc>
          <w:tcPr>
            <w:tcW w:w="997" w:type="dxa"/>
          </w:tcPr>
          <w:p>
            <w:pPr>
              <w:pStyle w:val="TableParagraph"/>
              <w:spacing w:before="80"/>
              <w:ind w:left="200"/>
              <w:rPr>
                <w:rFonts w:ascii="Microsoft JhengHei"/>
                <w:b/>
                <w:sz w:val="21"/>
              </w:rPr>
            </w:pPr>
            <w:r>
              <w:rPr>
                <w:rFonts w:ascii="Microsoft JhengHei"/>
                <w:b/>
                <w:sz w:val="21"/>
              </w:rPr>
              <w:t>7.24</w:t>
            </w:r>
          </w:p>
        </w:tc>
        <w:tc>
          <w:tcPr>
            <w:tcW w:w="1354" w:type="dxa"/>
          </w:tcPr>
          <w:p>
            <w:pPr>
              <w:pStyle w:val="TableParagraph"/>
              <w:spacing w:line="204" w:lineRule="auto" w:before="135"/>
              <w:ind w:left="374" w:right="132"/>
              <w:jc w:val="both"/>
              <w:rPr>
                <w:rFonts w:ascii="Microsoft JhengHei" w:eastAsia="Microsoft JhengHei" w:hint="eastAsia"/>
                <w:b/>
                <w:sz w:val="21"/>
              </w:rPr>
            </w:pPr>
            <w:r>
              <w:rPr>
                <w:rFonts w:ascii="Microsoft JhengHei" w:eastAsia="Microsoft JhengHei" w:hint="eastAsia"/>
                <w:b/>
                <w:sz w:val="21"/>
              </w:rPr>
              <w:t>重型再生障碍性贫血</w:t>
            </w:r>
          </w:p>
        </w:tc>
        <w:tc>
          <w:tcPr>
            <w:tcW w:w="6433" w:type="dxa"/>
          </w:tcPr>
          <w:p>
            <w:pPr>
              <w:pStyle w:val="TableParagraph"/>
              <w:spacing w:line="273" w:lineRule="auto" w:before="147"/>
              <w:ind w:right="273"/>
              <w:rPr>
                <w:sz w:val="21"/>
              </w:rPr>
            </w:pPr>
            <w:r>
              <w:rPr>
                <w:spacing w:val="-8"/>
                <w:sz w:val="21"/>
              </w:rPr>
              <w:t>指因骨髓造血功能慢性持续性衰竭导致的贫血、中性粒细胞减少及</w:t>
            </w:r>
            <w:r>
              <w:rPr>
                <w:spacing w:val="-6"/>
                <w:sz w:val="21"/>
              </w:rPr>
              <w:t>血小板减少。须满足下列全部条件：</w:t>
            </w:r>
          </w:p>
          <w:p>
            <w:pPr>
              <w:pStyle w:val="TableParagraph"/>
              <w:spacing w:before="165"/>
              <w:rPr>
                <w:sz w:val="21"/>
              </w:rPr>
            </w:pPr>
            <w:r>
              <w:rPr>
                <w:sz w:val="21"/>
              </w:rPr>
              <w:t>（1）骨髓穿刺检查或骨髓活检结果支持诊断；</w:t>
            </w:r>
          </w:p>
          <w:p>
            <w:pPr>
              <w:pStyle w:val="TableParagraph"/>
              <w:spacing w:before="31"/>
              <w:rPr>
                <w:sz w:val="21"/>
              </w:rPr>
            </w:pPr>
            <w:r>
              <w:rPr>
                <w:sz w:val="21"/>
              </w:rPr>
              <w:t>（2）外周血象须具备以下三项条件：</w:t>
            </w:r>
          </w:p>
          <w:p>
            <w:pPr>
              <w:pStyle w:val="TableParagraph"/>
              <w:spacing w:before="4"/>
              <w:ind w:left="0"/>
              <w:rPr>
                <w:rFonts w:ascii="Times New Roman"/>
                <w:sz w:val="17"/>
              </w:rPr>
            </w:pPr>
          </w:p>
          <w:p>
            <w:pPr>
              <w:pStyle w:val="TableParagraph"/>
              <w:spacing w:line="298" w:lineRule="exact" w:before="1"/>
              <w:rPr>
                <w:sz w:val="21"/>
              </w:rPr>
            </w:pPr>
            <w:r>
              <w:rPr>
                <w:sz w:val="21"/>
              </w:rPr>
              <w:t>① 中性粒细胞绝对值≤ </w:t>
            </w:r>
            <w:r>
              <w:rPr>
                <w:sz w:val="23"/>
              </w:rPr>
              <w:t>0.5 </w:t>
            </w:r>
            <w:r>
              <w:rPr>
                <w:rFonts w:ascii="Symbol" w:hAnsi="Symbol" w:eastAsia="Symbol"/>
                <w:sz w:val="23"/>
              </w:rPr>
              <w:t></w:t>
            </w:r>
            <w:r>
              <w:rPr>
                <w:rFonts w:ascii="Times New Roman" w:hAnsi="Times New Roman" w:eastAsia="Times New Roman"/>
                <w:sz w:val="23"/>
              </w:rPr>
              <w:t> </w:t>
            </w:r>
            <w:r>
              <w:rPr>
                <w:sz w:val="23"/>
              </w:rPr>
              <w:t>10</w:t>
            </w:r>
            <w:r>
              <w:rPr>
                <w:position w:val="11"/>
                <w:sz w:val="13"/>
              </w:rPr>
              <w:t>9 </w:t>
            </w:r>
            <w:r>
              <w:rPr>
                <w:sz w:val="21"/>
              </w:rPr>
              <w:t>/L；</w:t>
            </w:r>
          </w:p>
        </w:tc>
      </w:tr>
    </w:tbl>
    <w:p>
      <w:pPr>
        <w:spacing w:after="0" w:line="298" w:lineRule="exact"/>
        <w:rPr>
          <w:sz w:val="21"/>
        </w:rPr>
        <w:sectPr>
          <w:pgSz w:w="11910" w:h="16840"/>
          <w:pgMar w:header="0" w:footer="898" w:top="1580" w:bottom="1080" w:left="1500" w:right="14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354"/>
        <w:gridCol w:w="6465"/>
      </w:tblGrid>
      <w:tr>
        <w:trPr>
          <w:trHeight w:val="998" w:hRule="atLeast"/>
        </w:trPr>
        <w:tc>
          <w:tcPr>
            <w:tcW w:w="997" w:type="dxa"/>
          </w:tcPr>
          <w:p>
            <w:pPr>
              <w:pStyle w:val="TableParagraph"/>
              <w:ind w:left="0"/>
              <w:rPr>
                <w:rFonts w:ascii="Times New Roman"/>
                <w:sz w:val="20"/>
              </w:rPr>
            </w:pPr>
          </w:p>
        </w:tc>
        <w:tc>
          <w:tcPr>
            <w:tcW w:w="1354" w:type="dxa"/>
          </w:tcPr>
          <w:p>
            <w:pPr>
              <w:pStyle w:val="TableParagraph"/>
              <w:ind w:left="0"/>
              <w:rPr>
                <w:rFonts w:ascii="Times New Roman"/>
                <w:sz w:val="20"/>
              </w:rPr>
            </w:pPr>
          </w:p>
        </w:tc>
        <w:tc>
          <w:tcPr>
            <w:tcW w:w="6465" w:type="dxa"/>
          </w:tcPr>
          <w:p>
            <w:pPr>
              <w:pStyle w:val="TableParagraph"/>
              <w:spacing w:line="202" w:lineRule="exact"/>
              <w:rPr>
                <w:sz w:val="21"/>
              </w:rPr>
            </w:pPr>
            <w:r>
              <w:rPr>
                <w:sz w:val="21"/>
              </w:rPr>
              <w:t>② 网织红细胞＜1%；</w:t>
            </w:r>
          </w:p>
          <w:p>
            <w:pPr>
              <w:pStyle w:val="TableParagraph"/>
              <w:spacing w:before="7"/>
              <w:ind w:left="0"/>
              <w:rPr>
                <w:rFonts w:ascii="Times New Roman"/>
                <w:sz w:val="17"/>
              </w:rPr>
            </w:pPr>
          </w:p>
          <w:p>
            <w:pPr>
              <w:pStyle w:val="TableParagraph"/>
              <w:rPr>
                <w:sz w:val="21"/>
              </w:rPr>
            </w:pPr>
            <w:r>
              <w:rPr>
                <w:spacing w:val="-14"/>
                <w:w w:val="105"/>
                <w:sz w:val="21"/>
              </w:rPr>
              <w:t>③ 血小板绝对值≤ </w:t>
            </w:r>
            <w:r>
              <w:rPr>
                <w:spacing w:val="-3"/>
                <w:w w:val="105"/>
                <w:sz w:val="23"/>
              </w:rPr>
              <w:t>20 </w:t>
            </w:r>
            <w:r>
              <w:rPr>
                <w:rFonts w:ascii="Symbol" w:hAnsi="Symbol" w:eastAsia="Symbol"/>
                <w:w w:val="105"/>
                <w:sz w:val="23"/>
              </w:rPr>
              <w:t></w:t>
            </w:r>
            <w:r>
              <w:rPr>
                <w:rFonts w:ascii="Times New Roman" w:hAnsi="Times New Roman" w:eastAsia="Times New Roman"/>
                <w:w w:val="105"/>
                <w:sz w:val="23"/>
              </w:rPr>
              <w:t> </w:t>
            </w:r>
            <w:r>
              <w:rPr>
                <w:spacing w:val="-3"/>
                <w:w w:val="105"/>
                <w:sz w:val="23"/>
              </w:rPr>
              <w:t>10</w:t>
            </w:r>
            <w:r>
              <w:rPr>
                <w:spacing w:val="-3"/>
                <w:w w:val="105"/>
                <w:position w:val="11"/>
                <w:sz w:val="13"/>
              </w:rPr>
              <w:t>9 </w:t>
            </w:r>
            <w:r>
              <w:rPr>
                <w:w w:val="105"/>
                <w:sz w:val="21"/>
              </w:rPr>
              <w:t>/L。</w:t>
            </w:r>
          </w:p>
        </w:tc>
      </w:tr>
      <w:tr>
        <w:trPr>
          <w:trHeight w:val="1784" w:hRule="atLeast"/>
        </w:trPr>
        <w:tc>
          <w:tcPr>
            <w:tcW w:w="997" w:type="dxa"/>
          </w:tcPr>
          <w:p>
            <w:pPr>
              <w:pStyle w:val="TableParagraph"/>
              <w:spacing w:before="125"/>
              <w:ind w:left="200"/>
              <w:rPr>
                <w:rFonts w:ascii="Microsoft JhengHei"/>
                <w:b/>
                <w:sz w:val="21"/>
              </w:rPr>
            </w:pPr>
            <w:r>
              <w:rPr>
                <w:rFonts w:ascii="Microsoft JhengHei"/>
                <w:b/>
                <w:sz w:val="21"/>
              </w:rPr>
              <w:t>7.25</w:t>
            </w:r>
          </w:p>
        </w:tc>
        <w:tc>
          <w:tcPr>
            <w:tcW w:w="1354" w:type="dxa"/>
          </w:tcPr>
          <w:p>
            <w:pPr>
              <w:pStyle w:val="TableParagraph"/>
              <w:spacing w:line="204" w:lineRule="auto" w:before="179"/>
              <w:ind w:left="374" w:right="132"/>
              <w:rPr>
                <w:rFonts w:ascii="Microsoft JhengHei" w:eastAsia="Microsoft JhengHei" w:hint="eastAsia"/>
                <w:b/>
                <w:sz w:val="21"/>
              </w:rPr>
            </w:pPr>
            <w:r>
              <w:rPr>
                <w:rFonts w:ascii="Microsoft JhengHei" w:eastAsia="Microsoft JhengHei" w:hint="eastAsia"/>
                <w:b/>
                <w:sz w:val="21"/>
              </w:rPr>
              <w:t>主动脉手术</w:t>
            </w:r>
          </w:p>
        </w:tc>
        <w:tc>
          <w:tcPr>
            <w:tcW w:w="6465" w:type="dxa"/>
          </w:tcPr>
          <w:p>
            <w:pPr>
              <w:pStyle w:val="TableParagraph"/>
              <w:spacing w:before="7"/>
              <w:ind w:left="0"/>
              <w:rPr>
                <w:rFonts w:ascii="Times New Roman"/>
                <w:sz w:val="16"/>
              </w:rPr>
            </w:pPr>
          </w:p>
          <w:p>
            <w:pPr>
              <w:pStyle w:val="TableParagraph"/>
              <w:spacing w:line="273" w:lineRule="auto"/>
              <w:ind w:right="233"/>
              <w:rPr>
                <w:sz w:val="21"/>
              </w:rPr>
            </w:pPr>
            <w:r>
              <w:rPr>
                <w:spacing w:val="-5"/>
                <w:sz w:val="21"/>
              </w:rPr>
              <w:t>指为治疗主动脉疾病，实际实施了开胸或开腹进行的切除、置换、</w:t>
            </w:r>
            <w:r>
              <w:rPr>
                <w:spacing w:val="-10"/>
                <w:sz w:val="21"/>
              </w:rPr>
              <w:t>修补病损主动脉血管的手术。主动脉指胸主动脉和腹主动脉，不包</w:t>
            </w:r>
            <w:r>
              <w:rPr>
                <w:spacing w:val="-7"/>
                <w:sz w:val="21"/>
              </w:rPr>
              <w:t>括胸主动脉和腹主动脉的分支血管。</w:t>
            </w:r>
          </w:p>
          <w:p>
            <w:pPr>
              <w:pStyle w:val="TableParagraph"/>
              <w:spacing w:before="166"/>
              <w:rPr>
                <w:sz w:val="21"/>
              </w:rPr>
            </w:pPr>
            <w:r>
              <w:rPr>
                <w:sz w:val="21"/>
              </w:rPr>
              <w:t>动脉内血管成形术不在保障范围内。</w:t>
            </w:r>
          </w:p>
        </w:tc>
      </w:tr>
      <w:tr>
        <w:trPr>
          <w:trHeight w:val="2976" w:hRule="atLeast"/>
        </w:trPr>
        <w:tc>
          <w:tcPr>
            <w:tcW w:w="997" w:type="dxa"/>
          </w:tcPr>
          <w:p>
            <w:pPr>
              <w:pStyle w:val="TableParagraph"/>
              <w:spacing w:before="74"/>
              <w:ind w:left="200"/>
              <w:rPr>
                <w:rFonts w:ascii="Microsoft JhengHei"/>
                <w:b/>
                <w:sz w:val="21"/>
              </w:rPr>
            </w:pPr>
            <w:r>
              <w:rPr>
                <w:rFonts w:ascii="Microsoft JhengHei"/>
                <w:b/>
                <w:sz w:val="21"/>
              </w:rPr>
              <w:t>7.26</w:t>
            </w:r>
          </w:p>
        </w:tc>
        <w:tc>
          <w:tcPr>
            <w:tcW w:w="1354" w:type="dxa"/>
          </w:tcPr>
          <w:p>
            <w:pPr>
              <w:pStyle w:val="TableParagraph"/>
              <w:spacing w:line="201" w:lineRule="auto" w:before="132"/>
              <w:ind w:left="374" w:right="132"/>
              <w:rPr>
                <w:rFonts w:ascii="Microsoft JhengHei" w:eastAsia="Microsoft JhengHei" w:hint="eastAsia"/>
                <w:b/>
                <w:sz w:val="21"/>
              </w:rPr>
            </w:pPr>
            <w:r>
              <w:rPr>
                <w:rFonts w:ascii="Microsoft JhengHei" w:eastAsia="Microsoft JhengHei" w:hint="eastAsia"/>
                <w:b/>
                <w:sz w:val="21"/>
              </w:rPr>
              <w:t>严重多发性硬化症</w:t>
            </w:r>
          </w:p>
        </w:tc>
        <w:tc>
          <w:tcPr>
            <w:tcW w:w="6465" w:type="dxa"/>
          </w:tcPr>
          <w:p>
            <w:pPr>
              <w:pStyle w:val="TableParagraph"/>
              <w:spacing w:line="271" w:lineRule="auto" w:before="140"/>
              <w:ind w:right="300"/>
              <w:jc w:val="both"/>
              <w:rPr>
                <w:sz w:val="21"/>
              </w:rPr>
            </w:pPr>
            <w:r>
              <w:rPr>
                <w:sz w:val="21"/>
              </w:rPr>
              <w:t>指因中枢神经系统脱髓鞘疾病，导致不可逆的运动或感觉功能障</w:t>
            </w:r>
            <w:r>
              <w:rPr>
                <w:spacing w:val="-9"/>
                <w:sz w:val="21"/>
              </w:rPr>
              <w:t>碍，临床表现为视力受损、截瘫、平衡失调、构音障碍、大小便机</w:t>
            </w:r>
            <w:r>
              <w:rPr>
                <w:sz w:val="21"/>
              </w:rPr>
              <w:t>能失调等症状。不可逆指运动或感觉功能障碍初次诊断后需持续</w:t>
            </w:r>
          </w:p>
          <w:p>
            <w:pPr>
              <w:pStyle w:val="TableParagraph"/>
              <w:spacing w:line="273" w:lineRule="auto" w:before="9"/>
              <w:ind w:right="198"/>
              <w:rPr>
                <w:sz w:val="21"/>
              </w:rPr>
            </w:pPr>
            <w:r>
              <w:rPr>
                <w:w w:val="100"/>
                <w:sz w:val="21"/>
              </w:rPr>
              <w:t>180</w:t>
            </w:r>
            <w:r>
              <w:rPr>
                <w:spacing w:val="-52"/>
                <w:sz w:val="21"/>
              </w:rPr>
              <w:t> </w:t>
            </w:r>
            <w:r>
              <w:rPr>
                <w:spacing w:val="-5"/>
                <w:w w:val="100"/>
                <w:sz w:val="21"/>
              </w:rPr>
              <w:t>天以上。须由断层扫描</w:t>
            </w:r>
            <w:r>
              <w:rPr>
                <w:spacing w:val="0"/>
                <w:w w:val="100"/>
                <w:sz w:val="21"/>
              </w:rPr>
              <w:t>（</w:t>
            </w:r>
            <w:r>
              <w:rPr>
                <w:w w:val="100"/>
                <w:sz w:val="21"/>
              </w:rPr>
              <w:t>CT</w:t>
            </w:r>
            <w:r>
              <w:rPr>
                <w:spacing w:val="-106"/>
                <w:w w:val="100"/>
                <w:sz w:val="21"/>
              </w:rPr>
              <w:t>）</w:t>
            </w:r>
            <w:r>
              <w:rPr>
                <w:spacing w:val="-5"/>
                <w:w w:val="100"/>
                <w:sz w:val="21"/>
              </w:rPr>
              <w:t>、核磁共振检查</w:t>
            </w:r>
            <w:r>
              <w:rPr>
                <w:w w:val="100"/>
                <w:sz w:val="21"/>
              </w:rPr>
              <w:t>（M</w:t>
            </w:r>
            <w:r>
              <w:rPr>
                <w:spacing w:val="-5"/>
                <w:w w:val="100"/>
                <w:sz w:val="21"/>
              </w:rPr>
              <w:t>R</w:t>
            </w:r>
            <w:r>
              <w:rPr>
                <w:w w:val="100"/>
                <w:sz w:val="21"/>
              </w:rPr>
              <w:t>I</w:t>
            </w:r>
            <w:r>
              <w:rPr>
                <w:spacing w:val="-5"/>
                <w:w w:val="100"/>
                <w:sz w:val="21"/>
              </w:rPr>
              <w:t>）</w:t>
            </w:r>
            <w:r>
              <w:rPr>
                <w:w w:val="100"/>
                <w:sz w:val="21"/>
              </w:rPr>
              <w:t>或正电子</w:t>
            </w:r>
            <w:r>
              <w:rPr>
                <w:spacing w:val="-5"/>
                <w:sz w:val="21"/>
              </w:rPr>
              <w:t>发射断层扫描（PET）</w:t>
            </w:r>
            <w:r>
              <w:rPr>
                <w:spacing w:val="-6"/>
                <w:sz w:val="21"/>
              </w:rPr>
              <w:t>等影像学检查证实，且须满足下列全部条件：</w:t>
            </w:r>
          </w:p>
          <w:p>
            <w:pPr>
              <w:pStyle w:val="TableParagraph"/>
              <w:numPr>
                <w:ilvl w:val="0"/>
                <w:numId w:val="6"/>
              </w:numPr>
              <w:tabs>
                <w:tab w:pos="558" w:val="left" w:leader="none"/>
              </w:tabs>
              <w:spacing w:line="240" w:lineRule="auto" w:before="165" w:after="0"/>
              <w:ind w:left="557" w:right="0" w:hanging="423"/>
              <w:jc w:val="both"/>
              <w:rPr>
                <w:sz w:val="21"/>
              </w:rPr>
            </w:pPr>
            <w:r>
              <w:rPr>
                <w:spacing w:val="-5"/>
                <w:sz w:val="21"/>
              </w:rPr>
              <w:t>明确出现因视神经、脑干、脊髓损伤等导致的上述临床症状；</w:t>
            </w:r>
          </w:p>
          <w:p>
            <w:pPr>
              <w:pStyle w:val="TableParagraph"/>
              <w:numPr>
                <w:ilvl w:val="0"/>
                <w:numId w:val="6"/>
              </w:numPr>
              <w:tabs>
                <w:tab w:pos="558" w:val="left" w:leader="none"/>
              </w:tabs>
              <w:spacing w:line="240" w:lineRule="auto" w:before="36" w:after="0"/>
              <w:ind w:left="557" w:right="0" w:hanging="423"/>
              <w:jc w:val="both"/>
              <w:rPr>
                <w:sz w:val="21"/>
              </w:rPr>
            </w:pPr>
            <w:r>
              <w:rPr>
                <w:spacing w:val="-4"/>
                <w:sz w:val="21"/>
              </w:rPr>
              <w:t>散在的、多样性的神经损伤；</w:t>
            </w:r>
          </w:p>
          <w:p>
            <w:pPr>
              <w:pStyle w:val="TableParagraph"/>
              <w:numPr>
                <w:ilvl w:val="0"/>
                <w:numId w:val="6"/>
              </w:numPr>
              <w:tabs>
                <w:tab w:pos="558" w:val="left" w:leader="none"/>
              </w:tabs>
              <w:spacing w:line="240" w:lineRule="auto" w:before="36" w:after="0"/>
              <w:ind w:left="557" w:right="0" w:hanging="423"/>
              <w:jc w:val="both"/>
              <w:rPr>
                <w:sz w:val="21"/>
              </w:rPr>
            </w:pPr>
            <w:r>
              <w:rPr>
                <w:spacing w:val="-5"/>
                <w:sz w:val="21"/>
              </w:rPr>
              <w:t>上述临床症状反复发作、恶化及神经损伤的病史纪录。</w:t>
            </w:r>
          </w:p>
        </w:tc>
      </w:tr>
      <w:tr>
        <w:trPr>
          <w:trHeight w:val="2511" w:hRule="atLeast"/>
        </w:trPr>
        <w:tc>
          <w:tcPr>
            <w:tcW w:w="997" w:type="dxa"/>
          </w:tcPr>
          <w:p>
            <w:pPr>
              <w:pStyle w:val="TableParagraph"/>
              <w:spacing w:before="74"/>
              <w:ind w:left="200"/>
              <w:rPr>
                <w:rFonts w:ascii="Microsoft JhengHei"/>
                <w:b/>
                <w:sz w:val="21"/>
              </w:rPr>
            </w:pPr>
            <w:r>
              <w:rPr>
                <w:rFonts w:ascii="Microsoft JhengHei"/>
                <w:b/>
                <w:sz w:val="21"/>
              </w:rPr>
              <w:t>7.27</w:t>
            </w:r>
          </w:p>
        </w:tc>
        <w:tc>
          <w:tcPr>
            <w:tcW w:w="1354" w:type="dxa"/>
          </w:tcPr>
          <w:p>
            <w:pPr>
              <w:pStyle w:val="TableParagraph"/>
              <w:spacing w:line="204" w:lineRule="auto" w:before="129"/>
              <w:ind w:left="374" w:right="132"/>
              <w:jc w:val="both"/>
              <w:rPr>
                <w:rFonts w:ascii="Microsoft JhengHei" w:eastAsia="Microsoft JhengHei" w:hint="eastAsia"/>
                <w:b/>
                <w:sz w:val="21"/>
              </w:rPr>
            </w:pPr>
            <w:r>
              <w:rPr>
                <w:rFonts w:ascii="Microsoft JhengHei" w:eastAsia="Microsoft JhengHei" w:hint="eastAsia"/>
                <w:b/>
                <w:sz w:val="21"/>
              </w:rPr>
              <w:t>慢性呼吸功能衰竭终末期肺病</w:t>
            </w:r>
          </w:p>
        </w:tc>
        <w:tc>
          <w:tcPr>
            <w:tcW w:w="6465" w:type="dxa"/>
          </w:tcPr>
          <w:p>
            <w:pPr>
              <w:pStyle w:val="TableParagraph"/>
              <w:spacing w:line="273" w:lineRule="auto" w:before="141"/>
              <w:ind w:right="300"/>
              <w:rPr>
                <w:sz w:val="21"/>
              </w:rPr>
            </w:pPr>
            <w:r>
              <w:rPr>
                <w:sz w:val="21"/>
              </w:rPr>
              <w:t>指因慢性呼吸系统疾病导致呼吸功能衰竭，并须满足下列全部条件：</w:t>
            </w:r>
          </w:p>
          <w:p>
            <w:pPr>
              <w:pStyle w:val="TableParagraph"/>
              <w:spacing w:before="8"/>
              <w:rPr>
                <w:sz w:val="21"/>
              </w:rPr>
            </w:pPr>
            <w:r>
              <w:rPr>
                <w:sz w:val="21"/>
              </w:rPr>
              <w:t>（1）第一秒末用力呼气量（FEV1）小于 1 升；</w:t>
            </w:r>
          </w:p>
          <w:p>
            <w:pPr>
              <w:pStyle w:val="TableParagraph"/>
              <w:spacing w:before="37"/>
              <w:rPr>
                <w:sz w:val="21"/>
              </w:rPr>
            </w:pPr>
            <w:r>
              <w:rPr>
                <w:sz w:val="21"/>
              </w:rPr>
              <w:t>（2）气道内阻力增加，至少达到 0.5 kPa/l/s；</w:t>
            </w:r>
          </w:p>
          <w:p>
            <w:pPr>
              <w:pStyle w:val="TableParagraph"/>
              <w:spacing w:before="37"/>
              <w:rPr>
                <w:sz w:val="21"/>
              </w:rPr>
            </w:pPr>
            <w:r>
              <w:rPr>
                <w:sz w:val="21"/>
              </w:rPr>
              <w:t>（3）残气容积占肺总量(TLC)的 60%以上；</w:t>
            </w:r>
          </w:p>
          <w:p>
            <w:pPr>
              <w:pStyle w:val="TableParagraph"/>
              <w:spacing w:before="37"/>
              <w:rPr>
                <w:sz w:val="21"/>
              </w:rPr>
            </w:pPr>
            <w:r>
              <w:rPr>
                <w:sz w:val="21"/>
              </w:rPr>
              <w:t>（4）胸内气体容积升高，超过 170(基值的百分比)；</w:t>
            </w:r>
          </w:p>
          <w:p>
            <w:pPr>
              <w:pStyle w:val="TableParagraph"/>
              <w:spacing w:before="37"/>
              <w:rPr>
                <w:sz w:val="21"/>
              </w:rPr>
            </w:pPr>
            <w:r>
              <w:rPr>
                <w:sz w:val="21"/>
              </w:rPr>
              <w:t>（5）PaO2&lt;60mmHg，PaCO2&gt;50mmHg。</w:t>
            </w:r>
          </w:p>
        </w:tc>
      </w:tr>
      <w:tr>
        <w:trPr>
          <w:trHeight w:val="5164" w:hRule="atLeast"/>
        </w:trPr>
        <w:tc>
          <w:tcPr>
            <w:tcW w:w="997" w:type="dxa"/>
          </w:tcPr>
          <w:p>
            <w:pPr>
              <w:pStyle w:val="TableParagraph"/>
              <w:spacing w:before="74"/>
              <w:ind w:left="200"/>
              <w:rPr>
                <w:rFonts w:ascii="Microsoft JhengHei"/>
                <w:b/>
                <w:sz w:val="21"/>
              </w:rPr>
            </w:pPr>
            <w:r>
              <w:rPr>
                <w:rFonts w:ascii="Microsoft JhengHei"/>
                <w:b/>
                <w:sz w:val="21"/>
              </w:rPr>
              <w:t>7.28</w:t>
            </w:r>
          </w:p>
        </w:tc>
        <w:tc>
          <w:tcPr>
            <w:tcW w:w="1354" w:type="dxa"/>
          </w:tcPr>
          <w:p>
            <w:pPr>
              <w:pStyle w:val="TableParagraph"/>
              <w:spacing w:line="204" w:lineRule="auto" w:before="128"/>
              <w:ind w:left="374" w:right="132"/>
              <w:jc w:val="both"/>
              <w:rPr>
                <w:rFonts w:ascii="Microsoft JhengHei" w:eastAsia="Microsoft JhengHei" w:hint="eastAsia"/>
                <w:b/>
                <w:sz w:val="21"/>
              </w:rPr>
            </w:pPr>
            <w:r>
              <w:rPr>
                <w:rFonts w:ascii="Microsoft JhengHei" w:eastAsia="Microsoft JhengHei" w:hint="eastAsia"/>
                <w:b/>
                <w:sz w:val="21"/>
              </w:rPr>
              <w:t>严重系统性红斑狼疮性肾病</w:t>
            </w:r>
          </w:p>
        </w:tc>
        <w:tc>
          <w:tcPr>
            <w:tcW w:w="6465" w:type="dxa"/>
          </w:tcPr>
          <w:p>
            <w:pPr>
              <w:pStyle w:val="TableParagraph"/>
              <w:spacing w:line="273" w:lineRule="auto" w:before="140"/>
              <w:ind w:right="199"/>
              <w:rPr>
                <w:sz w:val="21"/>
              </w:rPr>
            </w:pPr>
            <w:r>
              <w:rPr>
                <w:spacing w:val="-8"/>
                <w:sz w:val="21"/>
              </w:rPr>
              <w:t>系统性红斑狼疮是累及多系统、多器官的具有多种自身抗体的免疫</w:t>
            </w:r>
            <w:r>
              <w:rPr>
                <w:spacing w:val="-11"/>
                <w:sz w:val="21"/>
              </w:rPr>
              <w:t>性疾病。系统性红斑狼疮性肾病，又称为狼疮性肾炎，是系统性红</w:t>
            </w:r>
            <w:r>
              <w:rPr>
                <w:spacing w:val="-17"/>
                <w:sz w:val="21"/>
              </w:rPr>
              <w:t>斑狼疮累及肾脏，造成肾功能损伤。须经肾脏病理检查或临床确诊， </w:t>
            </w:r>
            <w:r>
              <w:rPr>
                <w:spacing w:val="-22"/>
                <w:sz w:val="21"/>
              </w:rPr>
              <w:t>并符合下列 </w:t>
            </w:r>
            <w:r>
              <w:rPr>
                <w:sz w:val="21"/>
              </w:rPr>
              <w:t>WHO</w:t>
            </w:r>
            <w:r>
              <w:rPr>
                <w:spacing w:val="-4"/>
                <w:sz w:val="21"/>
              </w:rPr>
              <w:t> 诊断标准定义的Ⅲ型至Ⅴ型狼疮性肾炎。</w:t>
            </w:r>
          </w:p>
          <w:p>
            <w:pPr>
              <w:pStyle w:val="TableParagraph"/>
              <w:spacing w:before="165"/>
              <w:rPr>
                <w:sz w:val="21"/>
              </w:rPr>
            </w:pPr>
            <w:r>
              <w:rPr>
                <w:sz w:val="21"/>
              </w:rPr>
              <w:t>世界卫生组织（WHO）狼疮性肾炎分型：</w:t>
            </w:r>
          </w:p>
          <w:p>
            <w:pPr>
              <w:pStyle w:val="TableParagraph"/>
              <w:spacing w:before="6"/>
              <w:ind w:left="0"/>
              <w:rPr>
                <w:rFonts w:ascii="Times New Roman"/>
                <w:sz w:val="16"/>
              </w:rPr>
            </w:pPr>
          </w:p>
          <w:p>
            <w:pPr>
              <w:pStyle w:val="TableParagraph"/>
              <w:rPr>
                <w:sz w:val="21"/>
              </w:rPr>
            </w:pPr>
            <w:r>
              <w:rPr>
                <w:sz w:val="21"/>
              </w:rPr>
              <w:t>Ⅰ型（微小病变型）镜下阴性，尿液正常</w:t>
            </w:r>
          </w:p>
          <w:p>
            <w:pPr>
              <w:pStyle w:val="TableParagraph"/>
              <w:ind w:left="0"/>
              <w:rPr>
                <w:rFonts w:ascii="Times New Roman"/>
                <w:sz w:val="17"/>
              </w:rPr>
            </w:pPr>
          </w:p>
          <w:p>
            <w:pPr>
              <w:pStyle w:val="TableParagraph"/>
              <w:rPr>
                <w:sz w:val="21"/>
              </w:rPr>
            </w:pPr>
            <w:r>
              <w:rPr>
                <w:sz w:val="21"/>
              </w:rPr>
              <w:t>Ⅱ型（系膜病变型）中度蛋白尿，偶有尿沉渣改变</w:t>
            </w:r>
          </w:p>
          <w:p>
            <w:pPr>
              <w:pStyle w:val="TableParagraph"/>
              <w:spacing w:before="6"/>
              <w:ind w:left="0"/>
              <w:rPr>
                <w:rFonts w:ascii="Times New Roman"/>
                <w:sz w:val="16"/>
              </w:rPr>
            </w:pPr>
          </w:p>
          <w:p>
            <w:pPr>
              <w:pStyle w:val="TableParagraph"/>
              <w:rPr>
                <w:sz w:val="21"/>
              </w:rPr>
            </w:pPr>
            <w:r>
              <w:rPr>
                <w:sz w:val="21"/>
              </w:rPr>
              <w:t>Ⅲ型（局灶及节段增生型）蛋白尿，尿沉渣改变</w:t>
            </w:r>
          </w:p>
          <w:p>
            <w:pPr>
              <w:pStyle w:val="TableParagraph"/>
              <w:spacing w:before="10"/>
              <w:ind w:left="0"/>
              <w:rPr>
                <w:rFonts w:ascii="Times New Roman"/>
                <w:sz w:val="16"/>
              </w:rPr>
            </w:pPr>
          </w:p>
          <w:p>
            <w:pPr>
              <w:pStyle w:val="TableParagraph"/>
              <w:spacing w:before="1"/>
              <w:rPr>
                <w:sz w:val="21"/>
              </w:rPr>
            </w:pPr>
            <w:r>
              <w:rPr>
                <w:sz w:val="21"/>
              </w:rPr>
              <w:t>Ⅳ型（弥漫增生型）急性肾炎伴有尿沉渣改变及／或肾病综合征</w:t>
            </w:r>
          </w:p>
          <w:p>
            <w:pPr>
              <w:pStyle w:val="TableParagraph"/>
              <w:spacing w:before="7"/>
              <w:ind w:left="0"/>
              <w:rPr>
                <w:rFonts w:ascii="Times New Roman"/>
                <w:sz w:val="16"/>
              </w:rPr>
            </w:pPr>
          </w:p>
          <w:p>
            <w:pPr>
              <w:pStyle w:val="TableParagraph"/>
              <w:rPr>
                <w:sz w:val="21"/>
              </w:rPr>
            </w:pPr>
            <w:r>
              <w:rPr>
                <w:sz w:val="21"/>
              </w:rPr>
              <w:t>Ⅴ型（膜型）肾病综合征或重度蛋白尿</w:t>
            </w:r>
          </w:p>
          <w:p>
            <w:pPr>
              <w:pStyle w:val="TableParagraph"/>
              <w:spacing w:before="11"/>
              <w:ind w:left="0"/>
              <w:rPr>
                <w:rFonts w:ascii="Times New Roman"/>
                <w:sz w:val="16"/>
              </w:rPr>
            </w:pPr>
          </w:p>
          <w:p>
            <w:pPr>
              <w:pStyle w:val="TableParagraph"/>
              <w:spacing w:line="268" w:lineRule="auto"/>
              <w:ind w:right="239"/>
              <w:rPr>
                <w:sz w:val="21"/>
              </w:rPr>
            </w:pPr>
            <w:r>
              <w:rPr>
                <w:sz w:val="21"/>
              </w:rPr>
              <w:t>其它类型的红斑性狼疮，如盘状狼疮，仅累及血液及关节等其它系统的系统性红斑狼疮不在保障范围内。</w:t>
            </w:r>
          </w:p>
        </w:tc>
      </w:tr>
      <w:tr>
        <w:trPr>
          <w:trHeight w:val="427" w:hRule="atLeast"/>
        </w:trPr>
        <w:tc>
          <w:tcPr>
            <w:tcW w:w="997" w:type="dxa"/>
          </w:tcPr>
          <w:p>
            <w:pPr>
              <w:pStyle w:val="TableParagraph"/>
              <w:spacing w:line="331" w:lineRule="exact" w:before="76"/>
              <w:ind w:left="200"/>
              <w:rPr>
                <w:rFonts w:ascii="Microsoft JhengHei"/>
                <w:b/>
                <w:sz w:val="21"/>
              </w:rPr>
            </w:pPr>
            <w:r>
              <w:rPr>
                <w:rFonts w:ascii="Microsoft JhengHei"/>
                <w:b/>
                <w:sz w:val="21"/>
              </w:rPr>
              <w:t>7.29</w:t>
            </w:r>
          </w:p>
        </w:tc>
        <w:tc>
          <w:tcPr>
            <w:tcW w:w="1354" w:type="dxa"/>
          </w:tcPr>
          <w:p>
            <w:pPr>
              <w:pStyle w:val="TableParagraph"/>
              <w:spacing w:line="331" w:lineRule="exact" w:before="76"/>
              <w:ind w:left="374"/>
              <w:rPr>
                <w:rFonts w:ascii="Microsoft JhengHei" w:eastAsia="Microsoft JhengHei" w:hint="eastAsia"/>
                <w:b/>
                <w:sz w:val="21"/>
              </w:rPr>
            </w:pPr>
            <w:r>
              <w:rPr>
                <w:rFonts w:ascii="Microsoft JhengHei" w:eastAsia="Microsoft JhengHei" w:hint="eastAsia"/>
                <w:b/>
                <w:sz w:val="21"/>
              </w:rPr>
              <w:t>脑动脉瘤</w:t>
            </w:r>
          </w:p>
        </w:tc>
        <w:tc>
          <w:tcPr>
            <w:tcW w:w="6465" w:type="dxa"/>
          </w:tcPr>
          <w:p>
            <w:pPr>
              <w:pStyle w:val="TableParagraph"/>
              <w:spacing w:line="264" w:lineRule="exact" w:before="143"/>
              <w:rPr>
                <w:sz w:val="21"/>
              </w:rPr>
            </w:pPr>
            <w:r>
              <w:rPr>
                <w:sz w:val="21"/>
              </w:rPr>
              <w:t>指为治疗脑动脉瘤，实际实施了开颅进行的夹闭、修复或切除病变</w:t>
            </w:r>
          </w:p>
        </w:tc>
      </w:tr>
    </w:tbl>
    <w:p>
      <w:pPr>
        <w:spacing w:after="0" w:line="264" w:lineRule="exact"/>
        <w:rPr>
          <w:sz w:val="21"/>
        </w:rPr>
        <w:sectPr>
          <w:pgSz w:w="11910" w:h="16840"/>
          <w:pgMar w:header="0" w:footer="898" w:top="1480" w:bottom="1080" w:left="1500" w:right="138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8"/>
        <w:gridCol w:w="1354"/>
        <w:gridCol w:w="6267"/>
      </w:tblGrid>
      <w:tr>
        <w:trPr>
          <w:trHeight w:val="895" w:hRule="atLeast"/>
        </w:trPr>
        <w:tc>
          <w:tcPr>
            <w:tcW w:w="908" w:type="dxa"/>
          </w:tcPr>
          <w:p>
            <w:pPr>
              <w:pStyle w:val="TableParagraph"/>
              <w:ind w:left="0"/>
              <w:rPr>
                <w:rFonts w:ascii="Times New Roman"/>
                <w:sz w:val="20"/>
              </w:rPr>
            </w:pPr>
          </w:p>
        </w:tc>
        <w:tc>
          <w:tcPr>
            <w:tcW w:w="1354" w:type="dxa"/>
          </w:tcPr>
          <w:p>
            <w:pPr>
              <w:pStyle w:val="TableParagraph"/>
              <w:spacing w:line="226" w:lineRule="exact"/>
              <w:ind w:left="374"/>
              <w:rPr>
                <w:rFonts w:ascii="Microsoft JhengHei" w:eastAsia="Microsoft JhengHei" w:hint="eastAsia"/>
                <w:b/>
                <w:sz w:val="21"/>
              </w:rPr>
            </w:pPr>
            <w:r>
              <w:rPr>
                <w:rFonts w:ascii="Microsoft JhengHei" w:eastAsia="Microsoft JhengHei" w:hint="eastAsia"/>
                <w:b/>
                <w:sz w:val="21"/>
              </w:rPr>
              <w:t>开颅手术</w:t>
            </w:r>
          </w:p>
        </w:tc>
        <w:tc>
          <w:tcPr>
            <w:tcW w:w="6267" w:type="dxa"/>
          </w:tcPr>
          <w:p>
            <w:pPr>
              <w:pStyle w:val="TableParagraph"/>
              <w:spacing w:line="202" w:lineRule="exact"/>
              <w:rPr>
                <w:sz w:val="21"/>
              </w:rPr>
            </w:pPr>
            <w:r>
              <w:rPr>
                <w:sz w:val="21"/>
              </w:rPr>
              <w:t>脑动脉血管的手术。</w:t>
            </w:r>
          </w:p>
          <w:p>
            <w:pPr>
              <w:pStyle w:val="TableParagraph"/>
              <w:ind w:left="0"/>
              <w:rPr>
                <w:rFonts w:ascii="Times New Roman"/>
                <w:sz w:val="17"/>
              </w:rPr>
            </w:pPr>
          </w:p>
          <w:p>
            <w:pPr>
              <w:pStyle w:val="TableParagraph"/>
              <w:rPr>
                <w:sz w:val="21"/>
              </w:rPr>
            </w:pPr>
            <w:r>
              <w:rPr>
                <w:sz w:val="21"/>
              </w:rPr>
              <w:t>导管及血管内手术不在保障范围内。</w:t>
            </w:r>
          </w:p>
        </w:tc>
      </w:tr>
      <w:tr>
        <w:trPr>
          <w:trHeight w:val="2664" w:hRule="atLeast"/>
        </w:trPr>
        <w:tc>
          <w:tcPr>
            <w:tcW w:w="908" w:type="dxa"/>
          </w:tcPr>
          <w:p>
            <w:pPr>
              <w:pStyle w:val="TableParagraph"/>
              <w:spacing w:before="74"/>
              <w:ind w:left="110"/>
              <w:rPr>
                <w:rFonts w:ascii="Microsoft JhengHei"/>
                <w:b/>
                <w:sz w:val="21"/>
              </w:rPr>
            </w:pPr>
            <w:r>
              <w:rPr>
                <w:rFonts w:ascii="Microsoft JhengHei"/>
                <w:b/>
                <w:sz w:val="21"/>
              </w:rPr>
              <w:t>7.30</w:t>
            </w:r>
          </w:p>
        </w:tc>
        <w:tc>
          <w:tcPr>
            <w:tcW w:w="1354" w:type="dxa"/>
          </w:tcPr>
          <w:p>
            <w:pPr>
              <w:pStyle w:val="TableParagraph"/>
              <w:spacing w:line="201" w:lineRule="auto" w:before="132"/>
              <w:ind w:left="374" w:right="133"/>
              <w:rPr>
                <w:rFonts w:ascii="Microsoft JhengHei" w:eastAsia="Microsoft JhengHei" w:hint="eastAsia"/>
                <w:b/>
                <w:sz w:val="21"/>
              </w:rPr>
            </w:pPr>
            <w:r>
              <w:rPr>
                <w:rFonts w:ascii="Microsoft JhengHei" w:eastAsia="Microsoft JhengHei" w:hint="eastAsia"/>
                <w:b/>
                <w:sz w:val="21"/>
              </w:rPr>
              <w:t>肌营养不良症</w:t>
            </w:r>
          </w:p>
        </w:tc>
        <w:tc>
          <w:tcPr>
            <w:tcW w:w="6267" w:type="dxa"/>
          </w:tcPr>
          <w:p>
            <w:pPr>
              <w:pStyle w:val="TableParagraph"/>
              <w:spacing w:line="268" w:lineRule="auto" w:before="141"/>
              <w:ind w:right="107"/>
              <w:rPr>
                <w:sz w:val="21"/>
              </w:rPr>
            </w:pPr>
            <w:r>
              <w:rPr>
                <w:spacing w:val="-8"/>
                <w:sz w:val="21"/>
              </w:rPr>
              <w:t>是一组遗传性肌肉变性性病变，临床特征为与神经系统无关的骨骼</w:t>
            </w:r>
            <w:r>
              <w:rPr>
                <w:spacing w:val="-6"/>
                <w:sz w:val="21"/>
              </w:rPr>
              <w:t>肌对称地进行性无力和萎缩，其诊断需同时符合以下条件：</w:t>
            </w:r>
          </w:p>
          <w:p>
            <w:pPr>
              <w:pStyle w:val="TableParagraph"/>
              <w:spacing w:before="170"/>
              <w:rPr>
                <w:sz w:val="21"/>
              </w:rPr>
            </w:pPr>
            <w:r>
              <w:rPr>
                <w:sz w:val="21"/>
              </w:rPr>
              <w:t>（1）肌电图显示典型肌营养不良症的阳性改变；</w:t>
            </w:r>
          </w:p>
          <w:p>
            <w:pPr>
              <w:pStyle w:val="TableParagraph"/>
              <w:spacing w:line="273" w:lineRule="auto" w:before="37"/>
              <w:ind w:left="662" w:right="111" w:hanging="529"/>
              <w:rPr>
                <w:sz w:val="21"/>
              </w:rPr>
            </w:pPr>
            <w:r>
              <w:rPr>
                <w:sz w:val="21"/>
              </w:rPr>
              <w:t>（2）肌肉活检的病理学诊断符合肌营养不良症的肌肉细胞变性、坏死等阳性改变；</w:t>
            </w:r>
          </w:p>
          <w:p>
            <w:pPr>
              <w:pStyle w:val="TableParagraph"/>
              <w:spacing w:line="273" w:lineRule="auto" w:before="8"/>
              <w:ind w:left="648" w:right="109" w:hanging="515"/>
              <w:rPr>
                <w:sz w:val="21"/>
              </w:rPr>
            </w:pPr>
            <w:r>
              <w:rPr>
                <w:sz w:val="21"/>
              </w:rPr>
              <w:t>（3）已导致被保险人永久不可逆性的丧失独立完成三项或三项以上日常生活活动能力。</w:t>
            </w:r>
          </w:p>
        </w:tc>
      </w:tr>
      <w:tr>
        <w:trPr>
          <w:trHeight w:val="1887" w:hRule="atLeast"/>
        </w:trPr>
        <w:tc>
          <w:tcPr>
            <w:tcW w:w="908" w:type="dxa"/>
          </w:tcPr>
          <w:p>
            <w:pPr>
              <w:pStyle w:val="TableParagraph"/>
              <w:spacing w:before="74"/>
              <w:ind w:left="110"/>
              <w:rPr>
                <w:rFonts w:ascii="Microsoft JhengHei"/>
                <w:b/>
                <w:sz w:val="21"/>
              </w:rPr>
            </w:pPr>
            <w:r>
              <w:rPr>
                <w:rFonts w:ascii="Microsoft JhengHei"/>
                <w:b/>
                <w:sz w:val="21"/>
              </w:rPr>
              <w:t>7.31</w:t>
            </w:r>
          </w:p>
        </w:tc>
        <w:tc>
          <w:tcPr>
            <w:tcW w:w="1354" w:type="dxa"/>
          </w:tcPr>
          <w:p>
            <w:pPr>
              <w:pStyle w:val="TableParagraph"/>
              <w:spacing w:line="204" w:lineRule="auto" w:before="128"/>
              <w:ind w:left="374" w:right="133"/>
              <w:rPr>
                <w:rFonts w:ascii="Microsoft JhengHei" w:eastAsia="Microsoft JhengHei" w:hint="eastAsia"/>
                <w:b/>
                <w:sz w:val="21"/>
              </w:rPr>
            </w:pPr>
            <w:r>
              <w:rPr>
                <w:rFonts w:ascii="Microsoft JhengHei" w:eastAsia="Microsoft JhengHei" w:hint="eastAsia"/>
                <w:b/>
                <w:sz w:val="21"/>
              </w:rPr>
              <w:t>植物人状态（或称大脑去皮层 综 合 征）</w:t>
            </w:r>
          </w:p>
        </w:tc>
        <w:tc>
          <w:tcPr>
            <w:tcW w:w="6267" w:type="dxa"/>
          </w:tcPr>
          <w:p>
            <w:pPr>
              <w:pStyle w:val="TableParagraph"/>
              <w:spacing w:line="273" w:lineRule="auto" w:before="140"/>
              <w:ind w:right="106"/>
              <w:jc w:val="both"/>
              <w:rPr>
                <w:sz w:val="21"/>
              </w:rPr>
            </w:pPr>
            <w:r>
              <w:rPr>
                <w:sz w:val="21"/>
              </w:rPr>
              <w:t>指因脑皮质广泛性坏死导致对自身及周边的认知能力完全丧失,但脑干功能依然存在，须经专科医生明确诊断,且由头颅断层扫描</w:t>
            </w:r>
          </w:p>
          <w:p>
            <w:pPr>
              <w:pStyle w:val="TableParagraph"/>
              <w:spacing w:line="273" w:lineRule="auto" w:before="7"/>
              <w:ind w:right="104"/>
              <w:jc w:val="both"/>
              <w:rPr>
                <w:sz w:val="21"/>
              </w:rPr>
            </w:pPr>
            <w:r>
              <w:rPr>
                <w:w w:val="100"/>
                <w:sz w:val="21"/>
              </w:rPr>
              <w:t>（CT</w:t>
            </w:r>
            <w:r>
              <w:rPr>
                <w:spacing w:val="-106"/>
                <w:w w:val="100"/>
                <w:sz w:val="21"/>
              </w:rPr>
              <w:t>）</w:t>
            </w:r>
            <w:r>
              <w:rPr>
                <w:w w:val="100"/>
                <w:sz w:val="21"/>
              </w:rPr>
              <w:t>，核磁共振检查（MRI）或正电子发射断层扫描</w:t>
            </w:r>
            <w:r>
              <w:rPr>
                <w:spacing w:val="0"/>
                <w:w w:val="100"/>
                <w:sz w:val="21"/>
              </w:rPr>
              <w:t>（</w:t>
            </w:r>
            <w:r>
              <w:rPr>
                <w:w w:val="100"/>
                <w:sz w:val="21"/>
              </w:rPr>
              <w:t>PET）等影</w:t>
            </w:r>
            <w:r>
              <w:rPr>
                <w:spacing w:val="-4"/>
                <w:sz w:val="21"/>
              </w:rPr>
              <w:t>像学检查证实，这种状态持续至少 </w:t>
            </w:r>
            <w:r>
              <w:rPr>
                <w:spacing w:val="-3"/>
                <w:sz w:val="21"/>
              </w:rPr>
              <w:t>30</w:t>
            </w:r>
            <w:r>
              <w:rPr>
                <w:spacing w:val="-5"/>
                <w:sz w:val="21"/>
              </w:rPr>
              <w:t> 天。因酗酒或滥用药物所致的植物人状态不在保障范围内。</w:t>
            </w:r>
          </w:p>
        </w:tc>
      </w:tr>
      <w:tr>
        <w:trPr>
          <w:trHeight w:val="1591" w:hRule="atLeast"/>
        </w:trPr>
        <w:tc>
          <w:tcPr>
            <w:tcW w:w="908" w:type="dxa"/>
          </w:tcPr>
          <w:p>
            <w:pPr>
              <w:pStyle w:val="TableParagraph"/>
              <w:spacing w:before="74"/>
              <w:ind w:left="110"/>
              <w:rPr>
                <w:rFonts w:ascii="Microsoft JhengHei"/>
                <w:b/>
                <w:sz w:val="21"/>
              </w:rPr>
            </w:pPr>
            <w:r>
              <w:rPr>
                <w:rFonts w:ascii="Microsoft JhengHei"/>
                <w:b/>
                <w:sz w:val="21"/>
              </w:rPr>
              <w:t>7.32</w:t>
            </w:r>
          </w:p>
        </w:tc>
        <w:tc>
          <w:tcPr>
            <w:tcW w:w="1354" w:type="dxa"/>
          </w:tcPr>
          <w:p>
            <w:pPr>
              <w:pStyle w:val="TableParagraph"/>
              <w:spacing w:line="204" w:lineRule="auto" w:before="129"/>
              <w:ind w:left="374" w:right="133"/>
              <w:jc w:val="both"/>
              <w:rPr>
                <w:rFonts w:ascii="Microsoft JhengHei" w:eastAsia="Microsoft JhengHei" w:hint="eastAsia"/>
                <w:b/>
                <w:sz w:val="21"/>
              </w:rPr>
            </w:pPr>
            <w:r>
              <w:rPr>
                <w:rFonts w:ascii="Microsoft JhengHei" w:eastAsia="Microsoft JhengHei" w:hint="eastAsia"/>
                <w:b/>
                <w:sz w:val="21"/>
              </w:rPr>
              <w:t>急性出血坏死性胰腺炎开腹术</w:t>
            </w:r>
          </w:p>
        </w:tc>
        <w:tc>
          <w:tcPr>
            <w:tcW w:w="6267" w:type="dxa"/>
          </w:tcPr>
          <w:p>
            <w:pPr>
              <w:pStyle w:val="TableParagraph"/>
              <w:spacing w:line="273" w:lineRule="auto" w:before="141"/>
              <w:ind w:right="102"/>
              <w:jc w:val="both"/>
              <w:rPr>
                <w:sz w:val="21"/>
              </w:rPr>
            </w:pPr>
            <w:r>
              <w:rPr>
                <w:sz w:val="21"/>
              </w:rPr>
              <w:t>指被保险人因为急性出血坏死性胰腺炎已经接受了外科开腹手术</w:t>
            </w:r>
            <w:r>
              <w:rPr>
                <w:spacing w:val="-9"/>
                <w:sz w:val="21"/>
              </w:rPr>
              <w:t>治疗，以进行坏死组织清除、坏死病灶切除或胰腺切除。但因酗酒</w:t>
            </w:r>
            <w:r>
              <w:rPr>
                <w:spacing w:val="-7"/>
                <w:sz w:val="21"/>
              </w:rPr>
              <w:t>所致的急性出血坏死性胰腺炎不属本保险责任范围。</w:t>
            </w:r>
          </w:p>
        </w:tc>
      </w:tr>
      <w:tr>
        <w:trPr>
          <w:trHeight w:val="556" w:hRule="atLeast"/>
        </w:trPr>
        <w:tc>
          <w:tcPr>
            <w:tcW w:w="908" w:type="dxa"/>
            <w:tcBorders>
              <w:bottom w:val="single" w:sz="8" w:space="0" w:color="000000"/>
            </w:tcBorders>
          </w:tcPr>
          <w:p>
            <w:pPr>
              <w:pStyle w:val="TableParagraph"/>
              <w:spacing w:before="70"/>
              <w:ind w:left="110"/>
              <w:rPr>
                <w:rFonts w:ascii="Microsoft JhengHei"/>
                <w:b/>
                <w:sz w:val="24"/>
              </w:rPr>
            </w:pPr>
            <w:r>
              <w:rPr>
                <w:rFonts w:ascii="Microsoft JhengHei"/>
                <w:b/>
                <w:w w:val="120"/>
                <w:sz w:val="24"/>
              </w:rPr>
              <w:t>8.</w:t>
            </w:r>
          </w:p>
        </w:tc>
        <w:tc>
          <w:tcPr>
            <w:tcW w:w="1354" w:type="dxa"/>
            <w:tcBorders>
              <w:bottom w:val="single" w:sz="8" w:space="0" w:color="000000"/>
            </w:tcBorders>
          </w:tcPr>
          <w:p>
            <w:pPr>
              <w:pStyle w:val="TableParagraph"/>
              <w:spacing w:before="70"/>
              <w:ind w:left="374"/>
              <w:rPr>
                <w:rFonts w:ascii="Microsoft JhengHei" w:eastAsia="Microsoft JhengHei" w:hint="eastAsia"/>
                <w:b/>
                <w:sz w:val="24"/>
              </w:rPr>
            </w:pPr>
            <w:r>
              <w:rPr>
                <w:rFonts w:ascii="Microsoft JhengHei" w:eastAsia="Microsoft JhengHei" w:hint="eastAsia"/>
                <w:b/>
                <w:sz w:val="24"/>
              </w:rPr>
              <w:t>释义</w:t>
            </w:r>
          </w:p>
        </w:tc>
        <w:tc>
          <w:tcPr>
            <w:tcW w:w="6267" w:type="dxa"/>
            <w:tcBorders>
              <w:bottom w:val="single" w:sz="8" w:space="0" w:color="000000"/>
            </w:tcBorders>
          </w:tcPr>
          <w:p>
            <w:pPr>
              <w:pStyle w:val="TableParagraph"/>
              <w:ind w:left="0"/>
              <w:rPr>
                <w:rFonts w:ascii="Times New Roman"/>
                <w:sz w:val="20"/>
              </w:rPr>
            </w:pPr>
          </w:p>
        </w:tc>
      </w:tr>
      <w:tr>
        <w:trPr>
          <w:trHeight w:val="1093" w:hRule="atLeast"/>
        </w:trPr>
        <w:tc>
          <w:tcPr>
            <w:tcW w:w="908" w:type="dxa"/>
            <w:tcBorders>
              <w:top w:val="single" w:sz="8" w:space="0" w:color="000000"/>
            </w:tcBorders>
          </w:tcPr>
          <w:p>
            <w:pPr>
              <w:pStyle w:val="TableParagraph"/>
              <w:spacing w:before="2"/>
              <w:ind w:left="0"/>
              <w:rPr>
                <w:rFonts w:ascii="Times New Roman"/>
                <w:sz w:val="19"/>
              </w:rPr>
            </w:pPr>
          </w:p>
          <w:p>
            <w:pPr>
              <w:pStyle w:val="TableParagraph"/>
              <w:ind w:left="110"/>
              <w:rPr>
                <w:rFonts w:ascii="Microsoft JhengHei"/>
                <w:b/>
                <w:sz w:val="21"/>
              </w:rPr>
            </w:pPr>
            <w:r>
              <w:rPr>
                <w:rFonts w:ascii="Microsoft JhengHei"/>
                <w:b/>
                <w:w w:val="105"/>
                <w:sz w:val="21"/>
              </w:rPr>
              <w:t>8.1</w:t>
            </w:r>
          </w:p>
        </w:tc>
        <w:tc>
          <w:tcPr>
            <w:tcW w:w="1354" w:type="dxa"/>
            <w:tcBorders>
              <w:top w:val="single" w:sz="8" w:space="0" w:color="000000"/>
            </w:tcBorders>
          </w:tcPr>
          <w:p>
            <w:pPr>
              <w:pStyle w:val="TableParagraph"/>
              <w:spacing w:before="2"/>
              <w:ind w:left="0"/>
              <w:rPr>
                <w:rFonts w:ascii="Times New Roman"/>
                <w:sz w:val="19"/>
              </w:rPr>
            </w:pPr>
          </w:p>
          <w:p>
            <w:pPr>
              <w:pStyle w:val="TableParagraph"/>
              <w:ind w:left="374"/>
              <w:rPr>
                <w:rFonts w:ascii="Microsoft JhengHei" w:eastAsia="Microsoft JhengHei" w:hint="eastAsia"/>
                <w:b/>
                <w:sz w:val="21"/>
              </w:rPr>
            </w:pPr>
            <w:r>
              <w:rPr>
                <w:rFonts w:ascii="Microsoft JhengHei" w:eastAsia="Microsoft JhengHei" w:hint="eastAsia"/>
                <w:b/>
                <w:sz w:val="21"/>
              </w:rPr>
              <w:t>合法有效</w:t>
            </w:r>
          </w:p>
        </w:tc>
        <w:tc>
          <w:tcPr>
            <w:tcW w:w="6267" w:type="dxa"/>
            <w:tcBorders>
              <w:top w:val="single" w:sz="8" w:space="0" w:color="000000"/>
            </w:tcBorders>
          </w:tcPr>
          <w:p>
            <w:pPr>
              <w:pStyle w:val="TableParagraph"/>
              <w:ind w:left="0"/>
              <w:rPr>
                <w:rFonts w:ascii="Times New Roman"/>
                <w:sz w:val="25"/>
              </w:rPr>
            </w:pPr>
          </w:p>
          <w:p>
            <w:pPr>
              <w:pStyle w:val="TableParagraph"/>
              <w:spacing w:line="268" w:lineRule="auto"/>
              <w:ind w:right="107"/>
              <w:rPr>
                <w:sz w:val="21"/>
              </w:rPr>
            </w:pPr>
            <w:r>
              <w:rPr>
                <w:spacing w:val="-9"/>
                <w:sz w:val="21"/>
              </w:rPr>
              <w:t>本合同所指合法有效均以中华人民共和国法律、法规、行政规章及</w:t>
            </w:r>
            <w:r>
              <w:rPr>
                <w:spacing w:val="-7"/>
                <w:sz w:val="21"/>
              </w:rPr>
              <w:t>有关规范性法律文件的规定为判定依据。</w:t>
            </w:r>
          </w:p>
        </w:tc>
      </w:tr>
      <w:tr>
        <w:trPr>
          <w:trHeight w:val="2356" w:hRule="atLeast"/>
        </w:trPr>
        <w:tc>
          <w:tcPr>
            <w:tcW w:w="908" w:type="dxa"/>
          </w:tcPr>
          <w:p>
            <w:pPr>
              <w:pStyle w:val="TableParagraph"/>
              <w:spacing w:before="68"/>
              <w:ind w:left="110"/>
              <w:rPr>
                <w:rFonts w:ascii="Microsoft JhengHei"/>
                <w:b/>
                <w:sz w:val="22"/>
              </w:rPr>
            </w:pPr>
            <w:r>
              <w:rPr>
                <w:rFonts w:ascii="Microsoft JhengHei"/>
                <w:b/>
                <w:w w:val="84"/>
                <w:sz w:val="22"/>
              </w:rPr>
              <w:t>8</w:t>
            </w:r>
            <w:r>
              <w:rPr>
                <w:rFonts w:ascii="Microsoft JhengHei"/>
                <w:b/>
                <w:w w:val="197"/>
                <w:sz w:val="22"/>
              </w:rPr>
              <w:t>.</w:t>
            </w:r>
            <w:r>
              <w:rPr>
                <w:rFonts w:ascii="Microsoft JhengHei"/>
                <w:b/>
                <w:w w:val="84"/>
                <w:sz w:val="22"/>
              </w:rPr>
              <w:t>2</w:t>
            </w:r>
          </w:p>
        </w:tc>
        <w:tc>
          <w:tcPr>
            <w:tcW w:w="1354" w:type="dxa"/>
          </w:tcPr>
          <w:p>
            <w:pPr>
              <w:pStyle w:val="TableParagraph"/>
              <w:spacing w:before="78"/>
              <w:ind w:left="374"/>
              <w:rPr>
                <w:rFonts w:ascii="Microsoft JhengHei" w:eastAsia="Microsoft JhengHei" w:hint="eastAsia"/>
                <w:b/>
                <w:sz w:val="21"/>
              </w:rPr>
            </w:pPr>
            <w:r>
              <w:rPr>
                <w:rFonts w:ascii="Microsoft JhengHei" w:eastAsia="Microsoft JhengHei" w:hint="eastAsia"/>
                <w:b/>
                <w:sz w:val="21"/>
              </w:rPr>
              <w:t>意外伤害</w:t>
            </w:r>
          </w:p>
        </w:tc>
        <w:tc>
          <w:tcPr>
            <w:tcW w:w="6267" w:type="dxa"/>
          </w:tcPr>
          <w:p>
            <w:pPr>
              <w:pStyle w:val="TableParagraph"/>
              <w:spacing w:line="271" w:lineRule="auto" w:before="145"/>
              <w:ind w:right="107"/>
              <w:jc w:val="both"/>
              <w:rPr>
                <w:sz w:val="21"/>
              </w:rPr>
            </w:pPr>
            <w:r>
              <w:rPr>
                <w:spacing w:val="-10"/>
                <w:sz w:val="21"/>
              </w:rPr>
              <w:t>指外来的、突然的、非本意的、非疾病的使被保险人身体受到伤害</w:t>
            </w:r>
            <w:r>
              <w:rPr>
                <w:spacing w:val="-13"/>
                <w:sz w:val="21"/>
              </w:rPr>
              <w:t>的客观事件，并以此客观事件为直接且单独原因导致被保险人身体</w:t>
            </w:r>
            <w:r>
              <w:rPr>
                <w:spacing w:val="-8"/>
                <w:sz w:val="21"/>
              </w:rPr>
              <w:t>蒙受伤害或者身故，猝死、自杀以及自伤均不属于意外伤害。</w:t>
            </w:r>
          </w:p>
          <w:p>
            <w:pPr>
              <w:pStyle w:val="TableParagraph"/>
              <w:spacing w:line="264" w:lineRule="auto" w:before="168"/>
              <w:ind w:right="104"/>
              <w:jc w:val="both"/>
              <w:rPr>
                <w:sz w:val="21"/>
              </w:rPr>
            </w:pPr>
            <w:r>
              <w:rPr>
                <w:spacing w:val="-8"/>
                <w:sz w:val="21"/>
              </w:rPr>
              <w:t>猝死指表面健康的人因潜在疾病、机能障碍或者其他原因在出现症</w:t>
            </w:r>
            <w:r>
              <w:rPr>
                <w:spacing w:val="-11"/>
                <w:sz w:val="21"/>
              </w:rPr>
              <w:t>状后 </w:t>
            </w:r>
            <w:r>
              <w:rPr>
                <w:rFonts w:ascii="Times New Roman" w:eastAsia="Times New Roman"/>
                <w:spacing w:val="-3"/>
                <w:sz w:val="21"/>
              </w:rPr>
              <w:t>24 </w:t>
            </w:r>
            <w:r>
              <w:rPr>
                <w:spacing w:val="-5"/>
                <w:sz w:val="21"/>
              </w:rPr>
              <w:t>小时内发生的非暴力性突然死亡。猝死的认定以医院的诊断和公安部门的鉴定为准。</w:t>
            </w:r>
          </w:p>
        </w:tc>
      </w:tr>
      <w:tr>
        <w:trPr>
          <w:trHeight w:val="2609" w:hRule="atLeast"/>
        </w:trPr>
        <w:tc>
          <w:tcPr>
            <w:tcW w:w="908" w:type="dxa"/>
          </w:tcPr>
          <w:p>
            <w:pPr>
              <w:pStyle w:val="TableParagraph"/>
              <w:spacing w:before="74"/>
              <w:ind w:left="110"/>
              <w:rPr>
                <w:rFonts w:ascii="Microsoft JhengHei"/>
                <w:b/>
                <w:sz w:val="21"/>
              </w:rPr>
            </w:pPr>
            <w:r>
              <w:rPr>
                <w:rFonts w:ascii="Microsoft JhengHei"/>
                <w:b/>
                <w:w w:val="105"/>
                <w:sz w:val="21"/>
              </w:rPr>
              <w:t>8.3</w:t>
            </w:r>
          </w:p>
        </w:tc>
        <w:tc>
          <w:tcPr>
            <w:tcW w:w="1354" w:type="dxa"/>
          </w:tcPr>
          <w:p>
            <w:pPr>
              <w:pStyle w:val="TableParagraph"/>
              <w:spacing w:before="74"/>
              <w:ind w:left="374"/>
              <w:rPr>
                <w:rFonts w:ascii="Microsoft JhengHei" w:eastAsia="Microsoft JhengHei" w:hint="eastAsia"/>
                <w:b/>
                <w:sz w:val="21"/>
              </w:rPr>
            </w:pPr>
            <w:r>
              <w:rPr>
                <w:rFonts w:ascii="Microsoft JhengHei" w:eastAsia="Microsoft JhengHei" w:hint="eastAsia"/>
                <w:b/>
                <w:sz w:val="21"/>
              </w:rPr>
              <w:t>医院</w:t>
            </w:r>
          </w:p>
        </w:tc>
        <w:tc>
          <w:tcPr>
            <w:tcW w:w="6267" w:type="dxa"/>
          </w:tcPr>
          <w:p>
            <w:pPr>
              <w:pStyle w:val="TableParagraph"/>
              <w:spacing w:line="273" w:lineRule="auto" w:before="140"/>
              <w:ind w:right="107"/>
              <w:jc w:val="both"/>
              <w:rPr>
                <w:sz w:val="21"/>
              </w:rPr>
            </w:pPr>
            <w:r>
              <w:rPr>
                <w:spacing w:val="-5"/>
                <w:sz w:val="21"/>
              </w:rPr>
              <w:t>是指拥有卫生行政部门核发的《医疗机构执业许可证》</w:t>
            </w:r>
            <w:r>
              <w:rPr>
                <w:sz w:val="21"/>
              </w:rPr>
              <w:t>（国家不核</w:t>
            </w:r>
            <w:r>
              <w:rPr>
                <w:w w:val="100"/>
                <w:sz w:val="21"/>
              </w:rPr>
              <w:t>拨经费、实行企业化经营的医院，还需依法申领营业执照</w:t>
            </w:r>
            <w:r>
              <w:rPr>
                <w:spacing w:val="-106"/>
                <w:w w:val="100"/>
                <w:sz w:val="21"/>
              </w:rPr>
              <w:t>）</w:t>
            </w:r>
            <w:r>
              <w:rPr>
                <w:w w:val="100"/>
                <w:sz w:val="21"/>
              </w:rPr>
              <w:t>，有合</w:t>
            </w:r>
            <w:r>
              <w:rPr>
                <w:spacing w:val="-8"/>
                <w:sz w:val="21"/>
              </w:rPr>
              <w:t>格医生和护士提供二十四小时医疗护理服务的，具有系统性诊疗程</w:t>
            </w:r>
            <w:r>
              <w:rPr>
                <w:spacing w:val="-11"/>
                <w:sz w:val="21"/>
              </w:rPr>
              <w:t>序、手术设备和住院诊疗设施的，符合卫生部颁发的医疗机构基本标准的二级或二级以上医院。医院不包括康复医院或康复病房、精</w:t>
            </w:r>
            <w:r>
              <w:rPr>
                <w:spacing w:val="-13"/>
                <w:sz w:val="21"/>
              </w:rPr>
              <w:t>神病医院、疗养院、美容医院、护理院、戒酒或戒毒中心、精神心</w:t>
            </w:r>
          </w:p>
          <w:p>
            <w:pPr>
              <w:pStyle w:val="TableParagraph"/>
              <w:spacing w:line="312" w:lineRule="exact" w:before="2"/>
              <w:ind w:right="104"/>
              <w:jc w:val="both"/>
              <w:rPr>
                <w:sz w:val="21"/>
              </w:rPr>
            </w:pPr>
            <w:r>
              <w:rPr>
                <w:spacing w:val="-9"/>
                <w:sz w:val="21"/>
              </w:rPr>
              <w:t>理治疗中心、急诊或门诊观察室、二级或三级医院的联合医院或联</w:t>
            </w:r>
            <w:r>
              <w:rPr>
                <w:spacing w:val="-11"/>
                <w:sz w:val="21"/>
              </w:rPr>
              <w:t>合病房、民营医院等，以及其它不符合本条款约定范围的医院。若</w:t>
            </w:r>
          </w:p>
        </w:tc>
      </w:tr>
    </w:tbl>
    <w:p>
      <w:pPr>
        <w:spacing w:after="0" w:line="312" w:lineRule="exact"/>
        <w:jc w:val="both"/>
        <w:rPr>
          <w:sz w:val="21"/>
        </w:rPr>
        <w:sectPr>
          <w:pgSz w:w="11910" w:h="16840"/>
          <w:pgMar w:header="0" w:footer="898" w:top="1480" w:bottom="1080" w:left="1580" w:right="15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1399"/>
        <w:gridCol w:w="6465"/>
      </w:tblGrid>
      <w:tr>
        <w:trPr>
          <w:trHeight w:val="737" w:hRule="atLeast"/>
        </w:trPr>
        <w:tc>
          <w:tcPr>
            <w:tcW w:w="951"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6465" w:type="dxa"/>
          </w:tcPr>
          <w:p>
            <w:pPr>
              <w:pStyle w:val="TableParagraph"/>
              <w:spacing w:line="202" w:lineRule="exact"/>
              <w:ind w:left="135"/>
              <w:rPr>
                <w:sz w:val="21"/>
              </w:rPr>
            </w:pPr>
            <w:r>
              <w:rPr>
                <w:sz w:val="21"/>
              </w:rPr>
              <w:t>本合同中附有关于医院范围的特别约定，则具体医院范围以此特别</w:t>
            </w:r>
          </w:p>
          <w:p>
            <w:pPr>
              <w:pStyle w:val="TableParagraph"/>
              <w:spacing w:before="37"/>
              <w:ind w:left="135"/>
              <w:rPr>
                <w:sz w:val="21"/>
              </w:rPr>
            </w:pPr>
            <w:r>
              <w:rPr>
                <w:sz w:val="21"/>
              </w:rPr>
              <w:t>约定为准。</w:t>
            </w:r>
          </w:p>
        </w:tc>
      </w:tr>
      <w:tr>
        <w:trPr>
          <w:trHeight w:val="2667" w:hRule="atLeast"/>
        </w:trPr>
        <w:tc>
          <w:tcPr>
            <w:tcW w:w="951" w:type="dxa"/>
          </w:tcPr>
          <w:p>
            <w:pPr>
              <w:pStyle w:val="TableParagraph"/>
              <w:spacing w:before="74"/>
              <w:ind w:left="200"/>
              <w:rPr>
                <w:rFonts w:ascii="Microsoft JhengHei"/>
                <w:b/>
                <w:sz w:val="21"/>
              </w:rPr>
            </w:pPr>
            <w:r>
              <w:rPr>
                <w:rFonts w:ascii="Microsoft JhengHei"/>
                <w:b/>
                <w:w w:val="105"/>
                <w:sz w:val="21"/>
              </w:rPr>
              <w:t>8.4</w:t>
            </w:r>
          </w:p>
        </w:tc>
        <w:tc>
          <w:tcPr>
            <w:tcW w:w="1399" w:type="dxa"/>
          </w:tcPr>
          <w:p>
            <w:pPr>
              <w:pStyle w:val="TableParagraph"/>
              <w:spacing w:before="74"/>
              <w:ind w:left="420"/>
              <w:rPr>
                <w:rFonts w:ascii="Microsoft JhengHei" w:eastAsia="Microsoft JhengHei" w:hint="eastAsia"/>
                <w:b/>
                <w:sz w:val="21"/>
              </w:rPr>
            </w:pPr>
            <w:r>
              <w:rPr>
                <w:rFonts w:ascii="Microsoft JhengHei" w:eastAsia="Microsoft JhengHei" w:hint="eastAsia"/>
                <w:b/>
                <w:sz w:val="21"/>
              </w:rPr>
              <w:t>专科医生</w:t>
            </w:r>
          </w:p>
        </w:tc>
        <w:tc>
          <w:tcPr>
            <w:tcW w:w="6465" w:type="dxa"/>
          </w:tcPr>
          <w:p>
            <w:pPr>
              <w:pStyle w:val="TableParagraph"/>
              <w:spacing w:before="141"/>
              <w:ind w:left="135"/>
              <w:rPr>
                <w:sz w:val="21"/>
              </w:rPr>
            </w:pPr>
            <w:r>
              <w:rPr>
                <w:sz w:val="21"/>
              </w:rPr>
              <w:t>专科医生应当同时满足以下四项资格条件：</w:t>
            </w:r>
          </w:p>
          <w:p>
            <w:pPr>
              <w:pStyle w:val="TableParagraph"/>
              <w:ind w:left="0"/>
              <w:rPr>
                <w:rFonts w:ascii="Times New Roman"/>
                <w:sz w:val="17"/>
              </w:rPr>
            </w:pPr>
          </w:p>
          <w:p>
            <w:pPr>
              <w:pStyle w:val="TableParagraph"/>
              <w:ind w:left="135"/>
              <w:rPr>
                <w:sz w:val="21"/>
              </w:rPr>
            </w:pPr>
            <w:r>
              <w:rPr>
                <w:sz w:val="21"/>
              </w:rPr>
              <w:t>（1）具有有效的中华人民共和国《医师资格证书》；</w:t>
            </w:r>
          </w:p>
          <w:p>
            <w:pPr>
              <w:pStyle w:val="TableParagraph"/>
              <w:spacing w:line="273" w:lineRule="auto" w:before="32"/>
              <w:ind w:left="558" w:right="308" w:hanging="423"/>
              <w:rPr>
                <w:sz w:val="21"/>
              </w:rPr>
            </w:pPr>
            <w:r>
              <w:rPr>
                <w:spacing w:val="-1"/>
                <w:sz w:val="21"/>
              </w:rPr>
              <w:t>（2）</w:t>
            </w:r>
            <w:r>
              <w:rPr>
                <w:spacing w:val="-14"/>
                <w:sz w:val="21"/>
              </w:rPr>
              <w:t>具有有效的中华人民共和国《医师执业证书》，并按期到相关</w:t>
            </w:r>
            <w:r>
              <w:rPr>
                <w:spacing w:val="-10"/>
                <w:sz w:val="21"/>
              </w:rPr>
              <w:t>部门登记注册；</w:t>
            </w:r>
          </w:p>
          <w:p>
            <w:pPr>
              <w:pStyle w:val="TableParagraph"/>
              <w:spacing w:before="8"/>
              <w:ind w:left="135"/>
              <w:rPr>
                <w:sz w:val="21"/>
              </w:rPr>
            </w:pPr>
            <w:r>
              <w:rPr>
                <w:sz w:val="21"/>
              </w:rPr>
              <w:t>（3）具有有效的中华人民共和国主治医师或主治医师以上职称的</w:t>
            </w:r>
          </w:p>
          <w:p>
            <w:pPr>
              <w:pStyle w:val="TableParagraph"/>
              <w:spacing w:before="37"/>
              <w:ind w:left="558"/>
              <w:rPr>
                <w:sz w:val="21"/>
              </w:rPr>
            </w:pPr>
            <w:r>
              <w:rPr>
                <w:sz w:val="21"/>
              </w:rPr>
              <w:t>《医师职称证书》；</w:t>
            </w:r>
          </w:p>
          <w:p>
            <w:pPr>
              <w:pStyle w:val="TableParagraph"/>
              <w:spacing w:before="37"/>
              <w:ind w:left="135"/>
              <w:rPr>
                <w:sz w:val="21"/>
              </w:rPr>
            </w:pPr>
            <w:r>
              <w:rPr>
                <w:sz w:val="21"/>
              </w:rPr>
              <w:t>（4）在二级或二级以上医院的相应科室从事临床工作三年以上。</w:t>
            </w:r>
          </w:p>
        </w:tc>
      </w:tr>
      <w:tr>
        <w:trPr>
          <w:trHeight w:val="7660" w:hRule="atLeast"/>
        </w:trPr>
        <w:tc>
          <w:tcPr>
            <w:tcW w:w="951" w:type="dxa"/>
          </w:tcPr>
          <w:p>
            <w:pPr>
              <w:pStyle w:val="TableParagraph"/>
              <w:spacing w:before="76"/>
              <w:ind w:left="200"/>
              <w:rPr>
                <w:rFonts w:ascii="Microsoft JhengHei"/>
                <w:b/>
                <w:sz w:val="21"/>
              </w:rPr>
            </w:pPr>
            <w:r>
              <w:rPr>
                <w:rFonts w:ascii="Microsoft JhengHei"/>
                <w:b/>
                <w:w w:val="105"/>
                <w:sz w:val="21"/>
              </w:rPr>
              <w:t>8.5</w:t>
            </w:r>
          </w:p>
        </w:tc>
        <w:tc>
          <w:tcPr>
            <w:tcW w:w="1399" w:type="dxa"/>
          </w:tcPr>
          <w:p>
            <w:pPr>
              <w:pStyle w:val="TableParagraph"/>
              <w:spacing w:before="76"/>
              <w:ind w:left="420"/>
              <w:rPr>
                <w:rFonts w:ascii="Microsoft JhengHei" w:eastAsia="Microsoft JhengHei" w:hint="eastAsia"/>
                <w:b/>
                <w:sz w:val="21"/>
              </w:rPr>
            </w:pPr>
            <w:r>
              <w:rPr>
                <w:rFonts w:ascii="Microsoft JhengHei" w:eastAsia="Microsoft JhengHei" w:hint="eastAsia"/>
                <w:b/>
                <w:sz w:val="21"/>
              </w:rPr>
              <w:t>初次确诊</w:t>
            </w:r>
          </w:p>
        </w:tc>
        <w:tc>
          <w:tcPr>
            <w:tcW w:w="6465" w:type="dxa"/>
          </w:tcPr>
          <w:p>
            <w:pPr>
              <w:pStyle w:val="TableParagraph"/>
              <w:spacing w:line="268" w:lineRule="auto" w:before="143"/>
              <w:ind w:left="135" w:right="196"/>
              <w:rPr>
                <w:sz w:val="21"/>
              </w:rPr>
            </w:pPr>
            <w:r>
              <w:rPr>
                <w:spacing w:val="-8"/>
                <w:sz w:val="21"/>
              </w:rPr>
              <w:t>指自被保险人出生之日起第一次经医院确诊患有某种疾病，而不是</w:t>
            </w:r>
            <w:r>
              <w:rPr>
                <w:spacing w:val="-16"/>
                <w:sz w:val="21"/>
              </w:rPr>
              <w:t>指自本合同生效、复效之后第一次经医院确诊患有某种疾病。例如，</w:t>
            </w:r>
          </w:p>
          <w:p>
            <w:pPr>
              <w:pStyle w:val="TableParagraph"/>
              <w:spacing w:before="12"/>
              <w:ind w:left="135"/>
              <w:rPr>
                <w:sz w:val="21"/>
              </w:rPr>
            </w:pPr>
            <w:r>
              <w:rPr>
                <w:sz w:val="21"/>
              </w:rPr>
              <w:t>2010 年 1 月 1 日本合同经首次投保后生效，若：</w:t>
            </w:r>
          </w:p>
          <w:p>
            <w:pPr>
              <w:pStyle w:val="TableParagraph"/>
              <w:ind w:left="0"/>
              <w:rPr>
                <w:rFonts w:ascii="Times New Roman"/>
                <w:sz w:val="17"/>
              </w:rPr>
            </w:pPr>
          </w:p>
          <w:p>
            <w:pPr>
              <w:pStyle w:val="TableParagraph"/>
              <w:spacing w:line="273" w:lineRule="auto"/>
              <w:ind w:left="558" w:right="302" w:hanging="423"/>
              <w:rPr>
                <w:sz w:val="21"/>
              </w:rPr>
            </w:pPr>
            <w:r>
              <w:rPr>
                <w:sz w:val="21"/>
              </w:rPr>
              <w:t>（1）2009</w:t>
            </w:r>
            <w:r>
              <w:rPr>
                <w:spacing w:val="-21"/>
                <w:sz w:val="21"/>
              </w:rPr>
              <w:t> 年</w:t>
            </w:r>
            <w:r>
              <w:rPr>
                <w:sz w:val="21"/>
              </w:rPr>
              <w:t>1</w:t>
            </w:r>
            <w:r>
              <w:rPr>
                <w:spacing w:val="-23"/>
                <w:sz w:val="21"/>
              </w:rPr>
              <w:t> 月</w:t>
            </w:r>
            <w:r>
              <w:rPr>
                <w:sz w:val="21"/>
              </w:rPr>
              <w:t>1</w:t>
            </w:r>
            <w:r>
              <w:rPr>
                <w:spacing w:val="-15"/>
                <w:sz w:val="21"/>
              </w:rPr>
              <w:t> 日被保险人自出生后第一次经医院确诊罹患“恶</w:t>
            </w:r>
            <w:r>
              <w:rPr>
                <w:spacing w:val="-43"/>
                <w:w w:val="100"/>
                <w:sz w:val="21"/>
              </w:rPr>
              <w:t>性肿瘤”，</w:t>
            </w:r>
            <w:r>
              <w:rPr>
                <w:w w:val="100"/>
                <w:sz w:val="21"/>
              </w:rPr>
              <w:t>2010</w:t>
            </w:r>
            <w:r>
              <w:rPr>
                <w:spacing w:val="-57"/>
                <w:sz w:val="21"/>
              </w:rPr>
              <w:t> </w:t>
            </w:r>
            <w:r>
              <w:rPr>
                <w:w w:val="100"/>
                <w:sz w:val="21"/>
              </w:rPr>
              <w:t>年</w:t>
            </w:r>
            <w:r>
              <w:rPr>
                <w:spacing w:val="-53"/>
                <w:sz w:val="21"/>
              </w:rPr>
              <w:t> </w:t>
            </w:r>
            <w:r>
              <w:rPr>
                <w:w w:val="100"/>
                <w:sz w:val="21"/>
              </w:rPr>
              <w:t>1</w:t>
            </w:r>
            <w:r>
              <w:rPr>
                <w:spacing w:val="-53"/>
                <w:sz w:val="21"/>
              </w:rPr>
              <w:t> </w:t>
            </w:r>
            <w:r>
              <w:rPr>
                <w:w w:val="100"/>
                <w:sz w:val="21"/>
              </w:rPr>
              <w:t>月</w:t>
            </w:r>
            <w:r>
              <w:rPr>
                <w:spacing w:val="-53"/>
                <w:sz w:val="21"/>
              </w:rPr>
              <w:t> </w:t>
            </w:r>
            <w:r>
              <w:rPr>
                <w:spacing w:val="-5"/>
                <w:w w:val="100"/>
                <w:sz w:val="21"/>
              </w:rPr>
              <w:t>1</w:t>
            </w:r>
            <w:r>
              <w:rPr>
                <w:w w:val="100"/>
                <w:sz w:val="21"/>
              </w:rPr>
              <w:t>0</w:t>
            </w:r>
            <w:r>
              <w:rPr>
                <w:spacing w:val="-52"/>
                <w:sz w:val="21"/>
              </w:rPr>
              <w:t> </w:t>
            </w:r>
            <w:r>
              <w:rPr>
                <w:spacing w:val="-10"/>
                <w:w w:val="100"/>
                <w:sz w:val="21"/>
              </w:rPr>
              <w:t>日被保险人再次经医院确诊罹患“恶</w:t>
            </w:r>
          </w:p>
          <w:p>
            <w:pPr>
              <w:pStyle w:val="TableParagraph"/>
              <w:spacing w:before="7"/>
              <w:ind w:left="558"/>
              <w:rPr>
                <w:sz w:val="21"/>
              </w:rPr>
            </w:pPr>
            <w:r>
              <w:rPr>
                <w:spacing w:val="-34"/>
                <w:sz w:val="21"/>
              </w:rPr>
              <w:t>性肿瘤”，则 </w:t>
            </w:r>
            <w:r>
              <w:rPr>
                <w:sz w:val="21"/>
              </w:rPr>
              <w:t>2009</w:t>
            </w:r>
            <w:r>
              <w:rPr>
                <w:spacing w:val="-33"/>
                <w:sz w:val="21"/>
              </w:rPr>
              <w:t> 年 </w:t>
            </w:r>
            <w:r>
              <w:rPr>
                <w:sz w:val="21"/>
              </w:rPr>
              <w:t>1</w:t>
            </w:r>
            <w:r>
              <w:rPr>
                <w:spacing w:val="-35"/>
                <w:sz w:val="21"/>
              </w:rPr>
              <w:t> 月 </w:t>
            </w:r>
            <w:r>
              <w:rPr>
                <w:sz w:val="21"/>
              </w:rPr>
              <w:t>1</w:t>
            </w:r>
            <w:r>
              <w:rPr>
                <w:spacing w:val="-8"/>
                <w:sz w:val="21"/>
              </w:rPr>
              <w:t> 日为被保险人经医院初次确诊罹患</w:t>
            </w:r>
          </w:p>
          <w:p>
            <w:pPr>
              <w:pStyle w:val="TableParagraph"/>
              <w:spacing w:line="273" w:lineRule="auto" w:before="37"/>
              <w:ind w:left="558" w:right="298"/>
              <w:jc w:val="both"/>
              <w:rPr>
                <w:sz w:val="21"/>
              </w:rPr>
            </w:pPr>
            <w:r>
              <w:rPr>
                <w:spacing w:val="-10"/>
                <w:sz w:val="21"/>
              </w:rPr>
              <w:t>“恶性肿瘤”的时间，由于“初次确诊”发生在本合同生效之前，因此不属于保险责任范围，本公司不承担给付重大疾病保</w:t>
            </w:r>
            <w:r>
              <w:rPr>
                <w:spacing w:val="-8"/>
                <w:sz w:val="21"/>
              </w:rPr>
              <w:t>险金的责任；</w:t>
            </w:r>
          </w:p>
          <w:p>
            <w:pPr>
              <w:pStyle w:val="TableParagraph"/>
              <w:spacing w:before="166"/>
              <w:ind w:left="135"/>
              <w:rPr>
                <w:sz w:val="21"/>
              </w:rPr>
            </w:pPr>
            <w:r>
              <w:rPr>
                <w:sz w:val="21"/>
              </w:rPr>
              <w:t>（2）2010 年 1 月 29 日被保险人自出生后第一次经医院确诊罹患</w:t>
            </w:r>
          </w:p>
          <w:p>
            <w:pPr>
              <w:pStyle w:val="TableParagraph"/>
              <w:spacing w:before="32"/>
              <w:ind w:left="558"/>
              <w:rPr>
                <w:sz w:val="21"/>
              </w:rPr>
            </w:pPr>
            <w:r>
              <w:rPr>
                <w:spacing w:val="-19"/>
                <w:w w:val="100"/>
                <w:sz w:val="21"/>
              </w:rPr>
              <w:t>“恶性肿瘤”，</w:t>
            </w:r>
            <w:r>
              <w:rPr>
                <w:spacing w:val="-5"/>
                <w:w w:val="100"/>
                <w:sz w:val="21"/>
              </w:rPr>
              <w:t>2</w:t>
            </w:r>
            <w:r>
              <w:rPr>
                <w:w w:val="100"/>
                <w:sz w:val="21"/>
              </w:rPr>
              <w:t>010</w:t>
            </w:r>
            <w:r>
              <w:rPr>
                <w:spacing w:val="-53"/>
                <w:sz w:val="21"/>
              </w:rPr>
              <w:t> </w:t>
            </w:r>
            <w:r>
              <w:rPr>
                <w:w w:val="100"/>
                <w:sz w:val="21"/>
              </w:rPr>
              <w:t>年</w:t>
            </w:r>
            <w:r>
              <w:rPr>
                <w:spacing w:val="-53"/>
                <w:sz w:val="21"/>
              </w:rPr>
              <w:t> </w:t>
            </w:r>
            <w:r>
              <w:rPr>
                <w:w w:val="100"/>
                <w:sz w:val="21"/>
              </w:rPr>
              <w:t>5</w:t>
            </w:r>
            <w:r>
              <w:rPr>
                <w:spacing w:val="-57"/>
                <w:sz w:val="21"/>
              </w:rPr>
              <w:t> </w:t>
            </w:r>
            <w:r>
              <w:rPr>
                <w:w w:val="100"/>
                <w:sz w:val="21"/>
              </w:rPr>
              <w:t>月</w:t>
            </w:r>
            <w:r>
              <w:rPr>
                <w:spacing w:val="-53"/>
                <w:sz w:val="21"/>
              </w:rPr>
              <w:t> </w:t>
            </w:r>
            <w:r>
              <w:rPr>
                <w:w w:val="100"/>
                <w:sz w:val="21"/>
              </w:rPr>
              <w:t>5</w:t>
            </w:r>
            <w:r>
              <w:rPr>
                <w:spacing w:val="-53"/>
                <w:sz w:val="21"/>
              </w:rPr>
              <w:t> </w:t>
            </w:r>
            <w:r>
              <w:rPr>
                <w:spacing w:val="-4"/>
                <w:w w:val="100"/>
                <w:sz w:val="21"/>
              </w:rPr>
              <w:t>日被保险人再次经医院确诊罹患</w:t>
            </w:r>
          </w:p>
          <w:p>
            <w:pPr>
              <w:pStyle w:val="TableParagraph"/>
              <w:spacing w:line="273" w:lineRule="auto" w:before="37"/>
              <w:ind w:left="558" w:right="296"/>
              <w:jc w:val="both"/>
              <w:rPr>
                <w:sz w:val="21"/>
              </w:rPr>
            </w:pPr>
            <w:r>
              <w:rPr>
                <w:spacing w:val="-15"/>
                <w:w w:val="100"/>
                <w:sz w:val="21"/>
              </w:rPr>
              <w:t>“恶性肿瘤”，则</w:t>
            </w:r>
            <w:r>
              <w:rPr>
                <w:spacing w:val="-47"/>
                <w:sz w:val="21"/>
              </w:rPr>
              <w:t> </w:t>
            </w:r>
            <w:r>
              <w:rPr>
                <w:w w:val="100"/>
                <w:sz w:val="21"/>
              </w:rPr>
              <w:t>2010</w:t>
            </w:r>
            <w:r>
              <w:rPr>
                <w:spacing w:val="-48"/>
                <w:sz w:val="21"/>
              </w:rPr>
              <w:t> </w:t>
            </w:r>
            <w:r>
              <w:rPr>
                <w:w w:val="100"/>
                <w:sz w:val="21"/>
              </w:rPr>
              <w:t>年</w:t>
            </w:r>
            <w:r>
              <w:rPr>
                <w:spacing w:val="-47"/>
                <w:sz w:val="21"/>
              </w:rPr>
              <w:t> </w:t>
            </w:r>
            <w:r>
              <w:rPr>
                <w:w w:val="100"/>
                <w:sz w:val="21"/>
              </w:rPr>
              <w:t>1</w:t>
            </w:r>
            <w:r>
              <w:rPr>
                <w:spacing w:val="-48"/>
                <w:sz w:val="21"/>
              </w:rPr>
              <w:t> </w:t>
            </w:r>
            <w:r>
              <w:rPr>
                <w:w w:val="100"/>
                <w:sz w:val="21"/>
              </w:rPr>
              <w:t>月</w:t>
            </w:r>
            <w:r>
              <w:rPr>
                <w:spacing w:val="-48"/>
                <w:sz w:val="21"/>
              </w:rPr>
              <w:t> </w:t>
            </w:r>
            <w:r>
              <w:rPr>
                <w:w w:val="100"/>
                <w:sz w:val="21"/>
              </w:rPr>
              <w:t>29</w:t>
            </w:r>
            <w:r>
              <w:rPr>
                <w:spacing w:val="-53"/>
                <w:sz w:val="21"/>
              </w:rPr>
              <w:t> </w:t>
            </w:r>
            <w:r>
              <w:rPr>
                <w:spacing w:val="-3"/>
                <w:w w:val="100"/>
                <w:sz w:val="21"/>
              </w:rPr>
              <w:t>日为被保险人经医院初次确</w:t>
            </w:r>
            <w:r>
              <w:rPr>
                <w:spacing w:val="-10"/>
                <w:sz w:val="21"/>
              </w:rPr>
              <w:t>诊罹患“恶性肿瘤”的时间，由于“初次确诊”发生在本合同生效之日起 </w:t>
            </w:r>
            <w:r>
              <w:rPr>
                <w:sz w:val="21"/>
              </w:rPr>
              <w:t>30</w:t>
            </w:r>
            <w:r>
              <w:rPr>
                <w:spacing w:val="-5"/>
                <w:sz w:val="21"/>
              </w:rPr>
              <w:t> 日内，本公司向投保人无息返还投保人为该被保险人已交纳的保险费，本合同终止；</w:t>
            </w:r>
          </w:p>
          <w:p>
            <w:pPr>
              <w:pStyle w:val="TableParagraph"/>
              <w:spacing w:line="256" w:lineRule="auto" w:before="166"/>
              <w:ind w:left="558" w:right="297" w:hanging="423"/>
              <w:rPr>
                <w:sz w:val="21"/>
              </w:rPr>
            </w:pPr>
            <w:r>
              <w:rPr>
                <w:sz w:val="21"/>
              </w:rPr>
              <w:t>（</w:t>
            </w:r>
            <w:r>
              <w:rPr>
                <w:rFonts w:ascii="Times New Roman" w:hAnsi="Times New Roman" w:eastAsia="Times New Roman"/>
                <w:sz w:val="21"/>
              </w:rPr>
              <w:t>3</w:t>
            </w:r>
            <w:r>
              <w:rPr>
                <w:sz w:val="21"/>
              </w:rPr>
              <w:t>）2010</w:t>
            </w:r>
            <w:r>
              <w:rPr>
                <w:spacing w:val="-21"/>
                <w:sz w:val="21"/>
              </w:rPr>
              <w:t> 年</w:t>
            </w:r>
            <w:r>
              <w:rPr>
                <w:sz w:val="21"/>
              </w:rPr>
              <w:t>5</w:t>
            </w:r>
            <w:r>
              <w:rPr>
                <w:spacing w:val="-23"/>
                <w:sz w:val="21"/>
              </w:rPr>
              <w:t> 月</w:t>
            </w:r>
            <w:r>
              <w:rPr>
                <w:sz w:val="21"/>
              </w:rPr>
              <w:t>5</w:t>
            </w:r>
            <w:r>
              <w:rPr>
                <w:spacing w:val="-15"/>
                <w:sz w:val="21"/>
              </w:rPr>
              <w:t> 日被保险人自出生后第一次经医院确诊罹患“恶</w:t>
            </w:r>
            <w:r>
              <w:rPr>
                <w:spacing w:val="-41"/>
                <w:sz w:val="21"/>
              </w:rPr>
              <w:t>性肿瘤”，则 </w:t>
            </w:r>
            <w:r>
              <w:rPr>
                <w:sz w:val="21"/>
              </w:rPr>
              <w:t>2010</w:t>
            </w:r>
            <w:r>
              <w:rPr>
                <w:spacing w:val="-33"/>
                <w:sz w:val="21"/>
              </w:rPr>
              <w:t> 年 </w:t>
            </w:r>
            <w:r>
              <w:rPr>
                <w:sz w:val="21"/>
              </w:rPr>
              <w:t>5</w:t>
            </w:r>
            <w:r>
              <w:rPr>
                <w:spacing w:val="-35"/>
                <w:sz w:val="21"/>
              </w:rPr>
              <w:t> 月 </w:t>
            </w:r>
            <w:r>
              <w:rPr>
                <w:sz w:val="21"/>
              </w:rPr>
              <w:t>5</w:t>
            </w:r>
            <w:r>
              <w:rPr>
                <w:spacing w:val="-8"/>
                <w:sz w:val="21"/>
              </w:rPr>
              <w:t> 日为被保险人经医院初次确诊罹患</w:t>
            </w:r>
          </w:p>
          <w:p>
            <w:pPr>
              <w:pStyle w:val="TableParagraph"/>
              <w:spacing w:line="273" w:lineRule="auto" w:before="22"/>
              <w:ind w:left="558" w:right="296"/>
              <w:jc w:val="both"/>
              <w:rPr>
                <w:sz w:val="21"/>
              </w:rPr>
            </w:pPr>
            <w:r>
              <w:rPr>
                <w:spacing w:val="-10"/>
                <w:sz w:val="21"/>
              </w:rPr>
              <w:t>“恶性肿瘤”的时间，由于“初次确诊”发生在本合同生效之</w:t>
            </w:r>
            <w:r>
              <w:rPr>
                <w:spacing w:val="-13"/>
                <w:sz w:val="21"/>
              </w:rPr>
              <w:t>日起 </w:t>
            </w:r>
            <w:r>
              <w:rPr>
                <w:spacing w:val="-3"/>
                <w:sz w:val="21"/>
              </w:rPr>
              <w:t>30</w:t>
            </w:r>
            <w:r>
              <w:rPr>
                <w:spacing w:val="-5"/>
                <w:sz w:val="21"/>
              </w:rPr>
              <w:t> 日后，本公司向重大疾病保险金受益人给付重大疾病</w:t>
            </w:r>
            <w:r>
              <w:rPr>
                <w:spacing w:val="-11"/>
                <w:sz w:val="21"/>
              </w:rPr>
              <w:t>保险金，本合同终止。重大疾病保险金数额为被保险人重大疾</w:t>
            </w:r>
            <w:r>
              <w:rPr>
                <w:spacing w:val="-13"/>
                <w:sz w:val="21"/>
              </w:rPr>
              <w:t>病初次确诊之日，在保险单上载明的本合同项下该被保险人名</w:t>
            </w:r>
            <w:r>
              <w:rPr>
                <w:spacing w:val="-8"/>
                <w:sz w:val="21"/>
              </w:rPr>
              <w:t>下的基本保险金额。</w:t>
            </w:r>
          </w:p>
        </w:tc>
      </w:tr>
      <w:tr>
        <w:trPr>
          <w:trHeight w:val="1573" w:hRule="atLeast"/>
        </w:trPr>
        <w:tc>
          <w:tcPr>
            <w:tcW w:w="951" w:type="dxa"/>
          </w:tcPr>
          <w:p>
            <w:pPr>
              <w:pStyle w:val="TableParagraph"/>
              <w:spacing w:before="74"/>
              <w:ind w:left="200"/>
              <w:rPr>
                <w:rFonts w:ascii="Microsoft JhengHei"/>
                <w:b/>
                <w:sz w:val="21"/>
              </w:rPr>
            </w:pPr>
            <w:r>
              <w:rPr>
                <w:rFonts w:ascii="Microsoft JhengHei"/>
                <w:b/>
                <w:w w:val="105"/>
                <w:sz w:val="21"/>
              </w:rPr>
              <w:t>8.6</w:t>
            </w:r>
          </w:p>
        </w:tc>
        <w:tc>
          <w:tcPr>
            <w:tcW w:w="1399" w:type="dxa"/>
          </w:tcPr>
          <w:p>
            <w:pPr>
              <w:pStyle w:val="TableParagraph"/>
              <w:spacing w:before="74"/>
              <w:ind w:left="420"/>
              <w:rPr>
                <w:rFonts w:ascii="Microsoft JhengHei" w:eastAsia="Microsoft JhengHei" w:hint="eastAsia"/>
                <w:b/>
                <w:sz w:val="21"/>
              </w:rPr>
            </w:pPr>
            <w:r>
              <w:rPr>
                <w:rFonts w:ascii="Microsoft JhengHei" w:eastAsia="Microsoft JhengHei" w:hint="eastAsia"/>
                <w:b/>
                <w:sz w:val="21"/>
              </w:rPr>
              <w:t>毒品</w:t>
            </w:r>
          </w:p>
        </w:tc>
        <w:tc>
          <w:tcPr>
            <w:tcW w:w="6465" w:type="dxa"/>
          </w:tcPr>
          <w:p>
            <w:pPr>
              <w:pStyle w:val="TableParagraph"/>
              <w:spacing w:line="273" w:lineRule="auto" w:before="140"/>
              <w:ind w:left="135" w:right="198"/>
              <w:rPr>
                <w:sz w:val="21"/>
              </w:rPr>
            </w:pPr>
            <w:r>
              <w:rPr>
                <w:spacing w:val="-7"/>
                <w:sz w:val="21"/>
              </w:rPr>
              <w:t>指中华人民共和国刑法规定的鸦片、海洛因、甲基苯丙胺</w:t>
            </w:r>
            <w:r>
              <w:rPr>
                <w:sz w:val="21"/>
              </w:rPr>
              <w:t>（冰毒</w:t>
            </w:r>
            <w:r>
              <w:rPr>
                <w:spacing w:val="-106"/>
                <w:sz w:val="21"/>
              </w:rPr>
              <w:t>）</w:t>
            </w:r>
            <w:r>
              <w:rPr>
                <w:sz w:val="21"/>
              </w:rPr>
              <w:t>、</w:t>
            </w:r>
            <w:r>
              <w:rPr>
                <w:spacing w:val="-10"/>
                <w:sz w:val="21"/>
              </w:rPr>
              <w:t>吗啡、大麻、可卡因以及国家规定管制的其他能够使人形成瘾癖的</w:t>
            </w:r>
            <w:r>
              <w:rPr>
                <w:spacing w:val="-12"/>
                <w:sz w:val="21"/>
              </w:rPr>
              <w:t>麻醉药品和精神药品，但不包括由医生开具并遵医嘱使用的用于治</w:t>
            </w:r>
            <w:r>
              <w:rPr>
                <w:spacing w:val="-8"/>
                <w:sz w:val="21"/>
              </w:rPr>
              <w:t>疗疾病但含有毒品成分的处方药品。</w:t>
            </w:r>
          </w:p>
        </w:tc>
      </w:tr>
      <w:tr>
        <w:trPr>
          <w:trHeight w:val="1050" w:hRule="atLeast"/>
        </w:trPr>
        <w:tc>
          <w:tcPr>
            <w:tcW w:w="951" w:type="dxa"/>
          </w:tcPr>
          <w:p>
            <w:pPr>
              <w:pStyle w:val="TableParagraph"/>
              <w:spacing w:before="65"/>
              <w:ind w:left="200"/>
              <w:rPr>
                <w:rFonts w:ascii="Microsoft JhengHei"/>
                <w:b/>
                <w:sz w:val="22"/>
              </w:rPr>
            </w:pPr>
            <w:r>
              <w:rPr>
                <w:rFonts w:ascii="Microsoft JhengHei"/>
                <w:b/>
                <w:w w:val="105"/>
                <w:sz w:val="22"/>
              </w:rPr>
              <w:t>8.7</w:t>
            </w:r>
          </w:p>
        </w:tc>
        <w:tc>
          <w:tcPr>
            <w:tcW w:w="1399" w:type="dxa"/>
          </w:tcPr>
          <w:p>
            <w:pPr>
              <w:pStyle w:val="TableParagraph"/>
              <w:spacing w:before="75"/>
              <w:ind w:left="420"/>
              <w:rPr>
                <w:rFonts w:ascii="Microsoft JhengHei" w:eastAsia="Microsoft JhengHei" w:hint="eastAsia"/>
                <w:b/>
                <w:sz w:val="21"/>
              </w:rPr>
            </w:pPr>
            <w:r>
              <w:rPr>
                <w:rFonts w:ascii="Microsoft JhengHei" w:eastAsia="Microsoft JhengHei" w:hint="eastAsia"/>
                <w:b/>
                <w:sz w:val="21"/>
              </w:rPr>
              <w:t>酒后驾驶</w:t>
            </w:r>
          </w:p>
        </w:tc>
        <w:tc>
          <w:tcPr>
            <w:tcW w:w="6465" w:type="dxa"/>
          </w:tcPr>
          <w:p>
            <w:pPr>
              <w:pStyle w:val="TableParagraph"/>
              <w:spacing w:line="310" w:lineRule="atLeast" w:before="107"/>
              <w:ind w:left="135" w:right="304"/>
              <w:jc w:val="both"/>
              <w:rPr>
                <w:sz w:val="21"/>
              </w:rPr>
            </w:pPr>
            <w:r>
              <w:rPr>
                <w:spacing w:val="-9"/>
                <w:sz w:val="21"/>
              </w:rPr>
              <w:t>指经检测或者鉴定，发生保险事故时被保险人每百毫升血液中的酒</w:t>
            </w:r>
            <w:r>
              <w:rPr>
                <w:spacing w:val="-12"/>
                <w:sz w:val="21"/>
              </w:rPr>
              <w:t>精含量达到或者超过一定的标准，是否达到前述标准由公安机关交通管理部门依据《道路交通安全法》的规定认定，本公司根据公安</w:t>
            </w:r>
          </w:p>
        </w:tc>
      </w:tr>
    </w:tbl>
    <w:p>
      <w:pPr>
        <w:spacing w:after="0" w:line="310" w:lineRule="atLeast"/>
        <w:jc w:val="both"/>
        <w:rPr>
          <w:sz w:val="21"/>
        </w:rPr>
        <w:sectPr>
          <w:pgSz w:w="11910" w:h="16840"/>
          <w:pgMar w:header="0" w:footer="898" w:top="1480" w:bottom="1080" w:left="1500" w:right="13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6"/>
        <w:gridCol w:w="1363"/>
        <w:gridCol w:w="6411"/>
      </w:tblGrid>
      <w:tr>
        <w:trPr>
          <w:trHeight w:val="737" w:hRule="atLeast"/>
        </w:trPr>
        <w:tc>
          <w:tcPr>
            <w:tcW w:w="1006" w:type="dxa"/>
          </w:tcPr>
          <w:p>
            <w:pPr>
              <w:pStyle w:val="TableParagraph"/>
              <w:ind w:left="0"/>
              <w:rPr>
                <w:rFonts w:ascii="Times New Roman"/>
                <w:sz w:val="20"/>
              </w:rPr>
            </w:pPr>
          </w:p>
        </w:tc>
        <w:tc>
          <w:tcPr>
            <w:tcW w:w="1363" w:type="dxa"/>
          </w:tcPr>
          <w:p>
            <w:pPr>
              <w:pStyle w:val="TableParagraph"/>
              <w:ind w:left="0"/>
              <w:rPr>
                <w:rFonts w:ascii="Times New Roman"/>
                <w:sz w:val="20"/>
              </w:rPr>
            </w:pPr>
          </w:p>
        </w:tc>
        <w:tc>
          <w:tcPr>
            <w:tcW w:w="6411" w:type="dxa"/>
          </w:tcPr>
          <w:p>
            <w:pPr>
              <w:pStyle w:val="TableParagraph"/>
              <w:spacing w:line="202" w:lineRule="exact"/>
              <w:ind w:left="116"/>
              <w:rPr>
                <w:sz w:val="21"/>
              </w:rPr>
            </w:pPr>
            <w:r>
              <w:rPr>
                <w:sz w:val="21"/>
              </w:rPr>
              <w:t>机关交通管理部门的认定确认被保险人是否属于饮酒后驾驶或醉</w:t>
            </w:r>
          </w:p>
          <w:p>
            <w:pPr>
              <w:pStyle w:val="TableParagraph"/>
              <w:spacing w:before="37"/>
              <w:ind w:left="116"/>
              <w:rPr>
                <w:sz w:val="21"/>
              </w:rPr>
            </w:pPr>
            <w:r>
              <w:rPr>
                <w:sz w:val="21"/>
              </w:rPr>
              <w:t>酒后驾驶。</w:t>
            </w:r>
          </w:p>
        </w:tc>
      </w:tr>
      <w:tr>
        <w:trPr>
          <w:trHeight w:val="2871" w:hRule="atLeast"/>
        </w:trPr>
        <w:tc>
          <w:tcPr>
            <w:tcW w:w="1006" w:type="dxa"/>
          </w:tcPr>
          <w:p>
            <w:pPr>
              <w:pStyle w:val="TableParagraph"/>
              <w:spacing w:before="74"/>
              <w:ind w:left="200"/>
              <w:rPr>
                <w:rFonts w:ascii="Microsoft JhengHei"/>
                <w:b/>
                <w:sz w:val="21"/>
              </w:rPr>
            </w:pPr>
            <w:r>
              <w:rPr>
                <w:rFonts w:ascii="Microsoft JhengHei"/>
                <w:b/>
                <w:w w:val="105"/>
                <w:sz w:val="21"/>
              </w:rPr>
              <w:t>8.8</w:t>
            </w:r>
          </w:p>
        </w:tc>
        <w:tc>
          <w:tcPr>
            <w:tcW w:w="1363" w:type="dxa"/>
          </w:tcPr>
          <w:p>
            <w:pPr>
              <w:pStyle w:val="TableParagraph"/>
              <w:spacing w:line="204" w:lineRule="auto" w:before="129"/>
              <w:ind w:left="365" w:right="150"/>
              <w:jc w:val="both"/>
              <w:rPr>
                <w:rFonts w:ascii="Microsoft JhengHei" w:eastAsia="Microsoft JhengHei" w:hint="eastAsia"/>
                <w:b/>
                <w:sz w:val="21"/>
              </w:rPr>
            </w:pPr>
            <w:r>
              <w:rPr>
                <w:rFonts w:ascii="Microsoft JhengHei" w:eastAsia="Microsoft JhengHei" w:hint="eastAsia"/>
                <w:b/>
                <w:sz w:val="21"/>
              </w:rPr>
              <w:t>无合法有效驾驶证驾驶</w:t>
            </w:r>
          </w:p>
        </w:tc>
        <w:tc>
          <w:tcPr>
            <w:tcW w:w="6411" w:type="dxa"/>
          </w:tcPr>
          <w:p>
            <w:pPr>
              <w:pStyle w:val="TableParagraph"/>
              <w:spacing w:before="141"/>
              <w:ind w:left="116"/>
              <w:rPr>
                <w:sz w:val="21"/>
              </w:rPr>
            </w:pPr>
            <w:r>
              <w:rPr>
                <w:sz w:val="21"/>
              </w:rPr>
              <w:t>指下列情形之一：</w:t>
            </w:r>
          </w:p>
          <w:p>
            <w:pPr>
              <w:pStyle w:val="TableParagraph"/>
              <w:spacing w:line="252" w:lineRule="auto" w:before="90"/>
              <w:ind w:left="673" w:right="268" w:hanging="558"/>
              <w:rPr>
                <w:sz w:val="21"/>
              </w:rPr>
            </w:pPr>
            <w:r>
              <w:rPr>
                <w:sz w:val="21"/>
              </w:rPr>
              <w:t>（</w:t>
            </w:r>
            <w:r>
              <w:rPr>
                <w:rFonts w:ascii="Cambria" w:eastAsia="Cambria"/>
                <w:sz w:val="21"/>
              </w:rPr>
              <w:t>1</w:t>
            </w:r>
            <w:r>
              <w:rPr>
                <w:sz w:val="21"/>
              </w:rPr>
              <w:t>）没有取得中华人民共和国有关主管部门颁发或者认可的驾驶资格证书；</w:t>
            </w:r>
          </w:p>
          <w:p>
            <w:pPr>
              <w:pStyle w:val="TableParagraph"/>
              <w:spacing w:before="26"/>
              <w:ind w:left="116"/>
              <w:rPr>
                <w:sz w:val="21"/>
              </w:rPr>
            </w:pPr>
            <w:r>
              <w:rPr>
                <w:sz w:val="21"/>
              </w:rPr>
              <w:t>（</w:t>
            </w:r>
            <w:r>
              <w:rPr>
                <w:rFonts w:ascii="Cambria" w:eastAsia="Cambria"/>
                <w:sz w:val="21"/>
              </w:rPr>
              <w:t>2</w:t>
            </w:r>
            <w:r>
              <w:rPr>
                <w:sz w:val="21"/>
              </w:rPr>
              <w:t>）驾驶与合法有效驾驶证准驾车型不相符合的车辆；</w:t>
            </w:r>
          </w:p>
          <w:p>
            <w:pPr>
              <w:pStyle w:val="TableParagraph"/>
              <w:spacing w:before="19"/>
              <w:ind w:left="116"/>
              <w:rPr>
                <w:sz w:val="21"/>
              </w:rPr>
            </w:pPr>
            <w:r>
              <w:rPr>
                <w:sz w:val="21"/>
              </w:rPr>
              <w:t>（</w:t>
            </w:r>
            <w:r>
              <w:rPr>
                <w:rFonts w:ascii="Cambria" w:eastAsia="Cambria"/>
                <w:sz w:val="21"/>
              </w:rPr>
              <w:t>3</w:t>
            </w:r>
            <w:r>
              <w:rPr>
                <w:sz w:val="21"/>
              </w:rPr>
              <w:t>）持审验不合格的驾驶证驾驶；</w:t>
            </w:r>
          </w:p>
          <w:p>
            <w:pPr>
              <w:pStyle w:val="TableParagraph"/>
              <w:spacing w:line="256" w:lineRule="auto" w:before="20"/>
              <w:ind w:left="673" w:right="268" w:hanging="558"/>
              <w:rPr>
                <w:sz w:val="21"/>
              </w:rPr>
            </w:pPr>
            <w:r>
              <w:rPr>
                <w:sz w:val="21"/>
              </w:rPr>
              <w:t>（</w:t>
            </w:r>
            <w:r>
              <w:rPr>
                <w:rFonts w:ascii="Cambria" w:eastAsia="Cambria"/>
                <w:sz w:val="21"/>
              </w:rPr>
              <w:t>4</w:t>
            </w:r>
            <w:r>
              <w:rPr>
                <w:sz w:val="21"/>
              </w:rPr>
              <w:t>）在驾驶证有效期内未按照中华人民共和国法律、行政法规的规定，定期对机动车驾驶证实施审验的；</w:t>
            </w:r>
          </w:p>
          <w:p>
            <w:pPr>
              <w:pStyle w:val="TableParagraph"/>
              <w:spacing w:before="22"/>
              <w:ind w:left="116"/>
              <w:rPr>
                <w:sz w:val="21"/>
              </w:rPr>
            </w:pPr>
            <w:r>
              <w:rPr>
                <w:sz w:val="21"/>
              </w:rPr>
              <w:t>（5）驾驶证已过有效期的。</w:t>
            </w:r>
          </w:p>
        </w:tc>
      </w:tr>
      <w:tr>
        <w:trPr>
          <w:trHeight w:val="2043" w:hRule="atLeast"/>
        </w:trPr>
        <w:tc>
          <w:tcPr>
            <w:tcW w:w="1006" w:type="dxa"/>
          </w:tcPr>
          <w:p>
            <w:pPr>
              <w:pStyle w:val="TableParagraph"/>
              <w:spacing w:before="68"/>
              <w:ind w:left="200"/>
              <w:rPr>
                <w:rFonts w:ascii="Microsoft JhengHei"/>
                <w:b/>
                <w:sz w:val="22"/>
              </w:rPr>
            </w:pPr>
            <w:r>
              <w:rPr>
                <w:rFonts w:ascii="Microsoft JhengHei"/>
                <w:b/>
                <w:w w:val="105"/>
                <w:sz w:val="22"/>
              </w:rPr>
              <w:t>8.9</w:t>
            </w:r>
          </w:p>
        </w:tc>
        <w:tc>
          <w:tcPr>
            <w:tcW w:w="1363" w:type="dxa"/>
          </w:tcPr>
          <w:p>
            <w:pPr>
              <w:pStyle w:val="TableParagraph"/>
              <w:spacing w:line="201" w:lineRule="auto" w:before="136"/>
              <w:ind w:left="365" w:right="150"/>
              <w:rPr>
                <w:rFonts w:ascii="Microsoft JhengHei" w:eastAsia="Microsoft JhengHei" w:hint="eastAsia"/>
                <w:b/>
                <w:sz w:val="21"/>
              </w:rPr>
            </w:pPr>
            <w:r>
              <w:rPr>
                <w:rFonts w:ascii="Microsoft JhengHei" w:eastAsia="Microsoft JhengHei" w:hint="eastAsia"/>
                <w:b/>
                <w:sz w:val="21"/>
              </w:rPr>
              <w:t>无合法有效行驶证</w:t>
            </w:r>
          </w:p>
        </w:tc>
        <w:tc>
          <w:tcPr>
            <w:tcW w:w="6411" w:type="dxa"/>
          </w:tcPr>
          <w:p>
            <w:pPr>
              <w:pStyle w:val="TableParagraph"/>
              <w:spacing w:before="145"/>
              <w:ind w:left="116"/>
              <w:rPr>
                <w:sz w:val="21"/>
              </w:rPr>
            </w:pPr>
            <w:r>
              <w:rPr>
                <w:sz w:val="21"/>
              </w:rPr>
              <w:t>指下列情形之一：</w:t>
            </w:r>
          </w:p>
          <w:p>
            <w:pPr>
              <w:pStyle w:val="TableParagraph"/>
              <w:spacing w:before="7"/>
              <w:ind w:left="0"/>
              <w:rPr>
                <w:rFonts w:ascii="Times New Roman"/>
                <w:sz w:val="16"/>
              </w:rPr>
            </w:pPr>
          </w:p>
          <w:p>
            <w:pPr>
              <w:pStyle w:val="TableParagraph"/>
              <w:ind w:left="116"/>
              <w:rPr>
                <w:sz w:val="21"/>
              </w:rPr>
            </w:pPr>
            <w:r>
              <w:rPr>
                <w:sz w:val="21"/>
              </w:rPr>
              <w:t>（1）未办理行驶证或者行驶证在申办过程中的；</w:t>
            </w:r>
          </w:p>
          <w:p>
            <w:pPr>
              <w:pStyle w:val="TableParagraph"/>
              <w:spacing w:before="36"/>
              <w:ind w:left="116"/>
              <w:rPr>
                <w:sz w:val="21"/>
              </w:rPr>
            </w:pPr>
            <w:r>
              <w:rPr>
                <w:sz w:val="21"/>
              </w:rPr>
              <w:t>（2）机动车行驶证被依法注销登记的；</w:t>
            </w:r>
          </w:p>
          <w:p>
            <w:pPr>
              <w:pStyle w:val="TableParagraph"/>
              <w:spacing w:line="273" w:lineRule="auto" w:before="36"/>
              <w:ind w:left="644" w:right="273" w:hanging="529"/>
              <w:rPr>
                <w:sz w:val="21"/>
              </w:rPr>
            </w:pPr>
            <w:r>
              <w:rPr>
                <w:sz w:val="21"/>
              </w:rPr>
              <w:t>（3）未在行驶证检验有效期内依法按时进行或者未通过机动车安全技术检验的。</w:t>
            </w:r>
          </w:p>
        </w:tc>
      </w:tr>
      <w:tr>
        <w:trPr>
          <w:trHeight w:val="950" w:hRule="atLeast"/>
        </w:trPr>
        <w:tc>
          <w:tcPr>
            <w:tcW w:w="1006" w:type="dxa"/>
          </w:tcPr>
          <w:p>
            <w:pPr>
              <w:pStyle w:val="TableParagraph"/>
              <w:spacing w:before="65"/>
              <w:ind w:left="200"/>
              <w:rPr>
                <w:rFonts w:ascii="Microsoft JhengHei"/>
                <w:b/>
                <w:sz w:val="22"/>
              </w:rPr>
            </w:pPr>
            <w:r>
              <w:rPr>
                <w:rFonts w:ascii="Microsoft JhengHei"/>
                <w:b/>
                <w:sz w:val="22"/>
              </w:rPr>
              <w:t>8.10</w:t>
            </w:r>
          </w:p>
        </w:tc>
        <w:tc>
          <w:tcPr>
            <w:tcW w:w="1363" w:type="dxa"/>
          </w:tcPr>
          <w:p>
            <w:pPr>
              <w:pStyle w:val="TableParagraph"/>
              <w:spacing w:before="65"/>
              <w:ind w:left="365"/>
              <w:rPr>
                <w:rFonts w:ascii="Microsoft JhengHei" w:eastAsia="Microsoft JhengHei" w:hint="eastAsia"/>
                <w:b/>
                <w:sz w:val="22"/>
              </w:rPr>
            </w:pPr>
            <w:r>
              <w:rPr>
                <w:rFonts w:ascii="Microsoft JhengHei" w:eastAsia="Microsoft JhengHei" w:hint="eastAsia"/>
                <w:b/>
                <w:sz w:val="22"/>
              </w:rPr>
              <w:t>机动车</w:t>
            </w:r>
          </w:p>
        </w:tc>
        <w:tc>
          <w:tcPr>
            <w:tcW w:w="6411" w:type="dxa"/>
          </w:tcPr>
          <w:p>
            <w:pPr>
              <w:pStyle w:val="TableParagraph"/>
              <w:spacing w:line="273" w:lineRule="auto" w:before="142"/>
              <w:ind w:left="116" w:right="269"/>
              <w:rPr>
                <w:sz w:val="21"/>
              </w:rPr>
            </w:pPr>
            <w:r>
              <w:rPr>
                <w:spacing w:val="-8"/>
                <w:sz w:val="21"/>
              </w:rPr>
              <w:t>指以动力装置驱动或者牵引，上道路行驶的供人员乘用或者用于运</w:t>
            </w:r>
            <w:r>
              <w:rPr>
                <w:spacing w:val="-6"/>
                <w:sz w:val="21"/>
              </w:rPr>
              <w:t>送物品以及进行工程专项作业的轮式车辆。</w:t>
            </w:r>
          </w:p>
        </w:tc>
      </w:tr>
      <w:tr>
        <w:trPr>
          <w:trHeight w:val="2040" w:hRule="atLeast"/>
        </w:trPr>
        <w:tc>
          <w:tcPr>
            <w:tcW w:w="1006" w:type="dxa"/>
          </w:tcPr>
          <w:p>
            <w:pPr>
              <w:pStyle w:val="TableParagraph"/>
              <w:spacing w:before="65"/>
              <w:ind w:left="200"/>
              <w:rPr>
                <w:rFonts w:ascii="Microsoft JhengHei"/>
                <w:b/>
                <w:sz w:val="22"/>
              </w:rPr>
            </w:pPr>
            <w:r>
              <w:rPr>
                <w:rFonts w:ascii="Microsoft JhengHei"/>
                <w:b/>
                <w:sz w:val="22"/>
              </w:rPr>
              <w:t>8.11</w:t>
            </w:r>
          </w:p>
        </w:tc>
        <w:tc>
          <w:tcPr>
            <w:tcW w:w="1363" w:type="dxa"/>
          </w:tcPr>
          <w:p>
            <w:pPr>
              <w:pStyle w:val="TableParagraph"/>
              <w:spacing w:line="196" w:lineRule="auto" w:before="134"/>
              <w:ind w:left="365" w:right="112"/>
              <w:jc w:val="both"/>
              <w:rPr>
                <w:rFonts w:ascii="Microsoft JhengHei" w:eastAsia="Microsoft JhengHei" w:hint="eastAsia"/>
                <w:b/>
                <w:sz w:val="22"/>
              </w:rPr>
            </w:pPr>
            <w:r>
              <w:rPr>
                <w:rFonts w:ascii="Microsoft JhengHei" w:eastAsia="Microsoft JhengHei" w:hint="eastAsia"/>
                <w:b/>
                <w:sz w:val="22"/>
              </w:rPr>
              <w:t>感染艾滋病病毒或者患艾滋病</w:t>
            </w:r>
          </w:p>
        </w:tc>
        <w:tc>
          <w:tcPr>
            <w:tcW w:w="6411" w:type="dxa"/>
          </w:tcPr>
          <w:p>
            <w:pPr>
              <w:pStyle w:val="TableParagraph"/>
              <w:spacing w:line="273" w:lineRule="auto" w:before="142"/>
              <w:ind w:left="116" w:right="195"/>
              <w:rPr>
                <w:sz w:val="21"/>
              </w:rPr>
            </w:pPr>
            <w:r>
              <w:rPr>
                <w:sz w:val="21"/>
              </w:rPr>
              <w:t>艾滋病病毒指人类免疫缺陷病毒，英文缩写为 HIV。艾滋病指人类免疫缺陷病毒引起的获得性免疫缺陷综合征，英文缩写为 AIDS。</w:t>
            </w:r>
          </w:p>
          <w:p>
            <w:pPr>
              <w:pStyle w:val="TableParagraph"/>
              <w:spacing w:line="271" w:lineRule="auto" w:before="166"/>
              <w:ind w:left="116" w:right="197"/>
              <w:rPr>
                <w:sz w:val="21"/>
              </w:rPr>
            </w:pPr>
            <w:r>
              <w:rPr>
                <w:spacing w:val="-5"/>
                <w:sz w:val="21"/>
              </w:rPr>
              <w:t>在人体血液或者其他样本中检测到艾滋病病毒或者其抗体呈阳性， </w:t>
            </w:r>
            <w:r>
              <w:rPr>
                <w:spacing w:val="-10"/>
                <w:sz w:val="21"/>
              </w:rPr>
              <w:t>没有出现临床症状或者体征的，为感染艾滋病病毒；如果同时出现</w:t>
            </w:r>
            <w:r>
              <w:rPr>
                <w:spacing w:val="-7"/>
                <w:sz w:val="21"/>
              </w:rPr>
              <w:t>了明显临床症状或者体征的，为患艾滋病。</w:t>
            </w:r>
          </w:p>
        </w:tc>
      </w:tr>
      <w:tr>
        <w:trPr>
          <w:trHeight w:val="953" w:hRule="atLeast"/>
        </w:trPr>
        <w:tc>
          <w:tcPr>
            <w:tcW w:w="1006" w:type="dxa"/>
          </w:tcPr>
          <w:p>
            <w:pPr>
              <w:pStyle w:val="TableParagraph"/>
              <w:spacing w:before="66"/>
              <w:ind w:left="200"/>
              <w:rPr>
                <w:rFonts w:ascii="Microsoft JhengHei"/>
                <w:b/>
                <w:sz w:val="22"/>
              </w:rPr>
            </w:pPr>
            <w:r>
              <w:rPr>
                <w:rFonts w:ascii="Microsoft JhengHei"/>
                <w:b/>
                <w:sz w:val="22"/>
              </w:rPr>
              <w:t>8.12</w:t>
            </w:r>
          </w:p>
        </w:tc>
        <w:tc>
          <w:tcPr>
            <w:tcW w:w="1363" w:type="dxa"/>
          </w:tcPr>
          <w:p>
            <w:pPr>
              <w:pStyle w:val="TableParagraph"/>
              <w:spacing w:line="194" w:lineRule="auto" w:before="138"/>
              <w:ind w:left="365" w:right="112"/>
              <w:rPr>
                <w:rFonts w:ascii="Microsoft JhengHei" w:eastAsia="Microsoft JhengHei" w:hint="eastAsia"/>
                <w:b/>
                <w:sz w:val="22"/>
              </w:rPr>
            </w:pPr>
            <w:r>
              <w:rPr>
                <w:rFonts w:ascii="Microsoft JhengHei" w:eastAsia="Microsoft JhengHei" w:hint="eastAsia"/>
                <w:b/>
                <w:sz w:val="22"/>
              </w:rPr>
              <w:t>遗传性疾病</w:t>
            </w:r>
          </w:p>
        </w:tc>
        <w:tc>
          <w:tcPr>
            <w:tcW w:w="6411" w:type="dxa"/>
          </w:tcPr>
          <w:p>
            <w:pPr>
              <w:pStyle w:val="TableParagraph"/>
              <w:spacing w:line="273" w:lineRule="auto" w:before="142"/>
              <w:ind w:left="116" w:right="197"/>
              <w:rPr>
                <w:sz w:val="21"/>
              </w:rPr>
            </w:pPr>
            <w:r>
              <w:rPr>
                <w:sz w:val="21"/>
              </w:rPr>
              <w:t>指生殖细胞或者受精卵的遗传物质（染色体和基因）发生突变或者畸变所引起的疾病，通常具有由亲代传至后代的垂直传递的特征。</w:t>
            </w:r>
          </w:p>
        </w:tc>
      </w:tr>
      <w:tr>
        <w:trPr>
          <w:trHeight w:val="1574" w:hRule="atLeast"/>
        </w:trPr>
        <w:tc>
          <w:tcPr>
            <w:tcW w:w="1006" w:type="dxa"/>
          </w:tcPr>
          <w:p>
            <w:pPr>
              <w:pStyle w:val="TableParagraph"/>
              <w:spacing w:before="62"/>
              <w:ind w:left="200"/>
              <w:rPr>
                <w:rFonts w:ascii="Microsoft JhengHei"/>
                <w:b/>
                <w:sz w:val="22"/>
              </w:rPr>
            </w:pPr>
            <w:r>
              <w:rPr>
                <w:rFonts w:ascii="Microsoft JhengHei"/>
                <w:b/>
                <w:sz w:val="22"/>
              </w:rPr>
              <w:t>8.13</w:t>
            </w:r>
          </w:p>
        </w:tc>
        <w:tc>
          <w:tcPr>
            <w:tcW w:w="1363" w:type="dxa"/>
          </w:tcPr>
          <w:p>
            <w:pPr>
              <w:pStyle w:val="TableParagraph"/>
              <w:spacing w:line="196" w:lineRule="auto" w:before="131"/>
              <w:ind w:left="365" w:right="112"/>
              <w:jc w:val="both"/>
              <w:rPr>
                <w:rFonts w:ascii="Microsoft JhengHei" w:eastAsia="Microsoft JhengHei" w:hint="eastAsia"/>
                <w:b/>
                <w:sz w:val="22"/>
              </w:rPr>
            </w:pPr>
            <w:r>
              <w:rPr>
                <w:rFonts w:ascii="Microsoft JhengHei" w:eastAsia="Microsoft JhengHei" w:hint="eastAsia"/>
                <w:b/>
                <w:sz w:val="22"/>
              </w:rPr>
              <w:t>先天性畸形、变形或者染色体异常</w:t>
            </w:r>
          </w:p>
        </w:tc>
        <w:tc>
          <w:tcPr>
            <w:tcW w:w="6411" w:type="dxa"/>
          </w:tcPr>
          <w:p>
            <w:pPr>
              <w:pStyle w:val="TableParagraph"/>
              <w:spacing w:line="273" w:lineRule="auto" w:before="139"/>
              <w:ind w:left="116" w:right="269"/>
              <w:jc w:val="both"/>
              <w:rPr>
                <w:sz w:val="21"/>
              </w:rPr>
            </w:pPr>
            <w:r>
              <w:rPr>
                <w:spacing w:val="-8"/>
                <w:sz w:val="21"/>
              </w:rPr>
              <w:t>指被保险人出生时就具有的畸形、变形或者染色体异常。先天性畸</w:t>
            </w:r>
            <w:r>
              <w:rPr>
                <w:spacing w:val="-10"/>
                <w:sz w:val="21"/>
              </w:rPr>
              <w:t>形、变形和染色体异常依照世界卫生组织《疾病和有关健康问题的</w:t>
            </w:r>
            <w:r>
              <w:rPr>
                <w:spacing w:val="-17"/>
                <w:sz w:val="21"/>
              </w:rPr>
              <w:t>国际统计分类》</w:t>
            </w:r>
            <w:r>
              <w:rPr>
                <w:sz w:val="21"/>
              </w:rPr>
              <w:t>（ICD-10）</w:t>
            </w:r>
            <w:r>
              <w:rPr>
                <w:spacing w:val="-2"/>
                <w:sz w:val="21"/>
              </w:rPr>
              <w:t>确定。</w:t>
            </w:r>
          </w:p>
        </w:tc>
      </w:tr>
      <w:tr>
        <w:trPr>
          <w:trHeight w:val="2039" w:hRule="atLeast"/>
        </w:trPr>
        <w:tc>
          <w:tcPr>
            <w:tcW w:w="1006" w:type="dxa"/>
          </w:tcPr>
          <w:p>
            <w:pPr>
              <w:pStyle w:val="TableParagraph"/>
              <w:spacing w:before="62"/>
              <w:ind w:left="200"/>
              <w:rPr>
                <w:rFonts w:ascii="Microsoft JhengHei"/>
                <w:b/>
                <w:sz w:val="22"/>
              </w:rPr>
            </w:pPr>
            <w:r>
              <w:rPr>
                <w:rFonts w:ascii="Microsoft JhengHei"/>
                <w:b/>
                <w:sz w:val="22"/>
              </w:rPr>
              <w:t>8.14</w:t>
            </w:r>
          </w:p>
        </w:tc>
        <w:tc>
          <w:tcPr>
            <w:tcW w:w="1363" w:type="dxa"/>
          </w:tcPr>
          <w:p>
            <w:pPr>
              <w:pStyle w:val="TableParagraph"/>
              <w:spacing w:before="72"/>
              <w:ind w:left="365"/>
              <w:rPr>
                <w:rFonts w:ascii="Microsoft JhengHei" w:eastAsia="Microsoft JhengHei" w:hint="eastAsia"/>
                <w:b/>
                <w:sz w:val="21"/>
              </w:rPr>
            </w:pPr>
            <w:r>
              <w:rPr>
                <w:rFonts w:ascii="Microsoft JhengHei" w:eastAsia="Microsoft JhengHei" w:hint="eastAsia"/>
                <w:b/>
                <w:sz w:val="21"/>
              </w:rPr>
              <w:t>现金价值</w:t>
            </w:r>
          </w:p>
        </w:tc>
        <w:tc>
          <w:tcPr>
            <w:tcW w:w="6411" w:type="dxa"/>
          </w:tcPr>
          <w:p>
            <w:pPr>
              <w:pStyle w:val="TableParagraph"/>
              <w:spacing w:line="273" w:lineRule="auto" w:before="139"/>
              <w:ind w:left="116" w:right="269"/>
              <w:jc w:val="both"/>
              <w:rPr>
                <w:sz w:val="21"/>
              </w:rPr>
            </w:pPr>
            <w:r>
              <w:rPr>
                <w:spacing w:val="-8"/>
                <w:sz w:val="21"/>
              </w:rPr>
              <w:t>指保险合同所具有的价值，通常体现为解除合同时，根据精算原理</w:t>
            </w:r>
            <w:r>
              <w:rPr>
                <w:spacing w:val="-6"/>
                <w:sz w:val="21"/>
              </w:rPr>
              <w:t>计算的，由本公司退还的那部分金额。</w:t>
            </w:r>
          </w:p>
          <w:p>
            <w:pPr>
              <w:pStyle w:val="TableParagraph"/>
              <w:spacing w:line="271" w:lineRule="auto" w:before="166"/>
              <w:ind w:left="116" w:right="271"/>
              <w:jc w:val="both"/>
              <w:rPr>
                <w:sz w:val="21"/>
              </w:rPr>
            </w:pPr>
            <w:r>
              <w:rPr>
                <w:sz w:val="21"/>
              </w:rPr>
              <w:t>具体为保险费×（1-25%）×（1－该保险费所保障的已经过天数/ </w:t>
            </w:r>
            <w:r>
              <w:rPr>
                <w:w w:val="100"/>
                <w:sz w:val="21"/>
              </w:rPr>
              <w:t>该保险费所保障的天数</w:t>
            </w:r>
            <w:r>
              <w:rPr>
                <w:spacing w:val="-106"/>
                <w:w w:val="100"/>
                <w:sz w:val="21"/>
              </w:rPr>
              <w:t>）</w:t>
            </w:r>
            <w:r>
              <w:rPr>
                <w:w w:val="100"/>
                <w:sz w:val="21"/>
              </w:rPr>
              <w:t>，上述已经过天数从保险合同生效日起计</w:t>
            </w:r>
            <w:r>
              <w:rPr>
                <w:spacing w:val="-7"/>
                <w:sz w:val="21"/>
              </w:rPr>
              <w:t>算，经过天数不足 </w:t>
            </w:r>
            <w:r>
              <w:rPr>
                <w:sz w:val="21"/>
              </w:rPr>
              <w:t>1</w:t>
            </w:r>
            <w:r>
              <w:rPr>
                <w:spacing w:val="-19"/>
                <w:sz w:val="21"/>
              </w:rPr>
              <w:t> 天的，按 </w:t>
            </w:r>
            <w:r>
              <w:rPr>
                <w:sz w:val="21"/>
              </w:rPr>
              <w:t>1</w:t>
            </w:r>
            <w:r>
              <w:rPr>
                <w:spacing w:val="-12"/>
                <w:sz w:val="21"/>
              </w:rPr>
              <w:t> 天计算。</w:t>
            </w:r>
          </w:p>
        </w:tc>
      </w:tr>
      <w:tr>
        <w:trPr>
          <w:trHeight w:val="435" w:hRule="atLeast"/>
        </w:trPr>
        <w:tc>
          <w:tcPr>
            <w:tcW w:w="1006" w:type="dxa"/>
          </w:tcPr>
          <w:p>
            <w:pPr>
              <w:pStyle w:val="TableParagraph"/>
              <w:spacing w:line="347" w:lineRule="exact" w:before="68"/>
              <w:ind w:left="200"/>
              <w:rPr>
                <w:rFonts w:ascii="Microsoft JhengHei"/>
                <w:b/>
                <w:sz w:val="22"/>
              </w:rPr>
            </w:pPr>
            <w:r>
              <w:rPr>
                <w:rFonts w:ascii="Microsoft JhengHei"/>
                <w:b/>
                <w:sz w:val="21"/>
              </w:rPr>
              <w:t>8.</w:t>
            </w:r>
            <w:r>
              <w:rPr>
                <w:rFonts w:ascii="Microsoft JhengHei"/>
                <w:b/>
                <w:sz w:val="22"/>
              </w:rPr>
              <w:t>15</w:t>
            </w:r>
          </w:p>
        </w:tc>
        <w:tc>
          <w:tcPr>
            <w:tcW w:w="1363" w:type="dxa"/>
          </w:tcPr>
          <w:p>
            <w:pPr>
              <w:pStyle w:val="TableParagraph"/>
              <w:spacing w:line="337" w:lineRule="exact" w:before="78"/>
              <w:ind w:left="365"/>
              <w:rPr>
                <w:rFonts w:ascii="Microsoft JhengHei" w:eastAsia="Microsoft JhengHei" w:hint="eastAsia"/>
                <w:b/>
                <w:sz w:val="21"/>
              </w:rPr>
            </w:pPr>
            <w:r>
              <w:rPr>
                <w:rFonts w:ascii="Microsoft JhengHei" w:eastAsia="Microsoft JhengHei" w:hint="eastAsia"/>
                <w:b/>
                <w:sz w:val="21"/>
              </w:rPr>
              <w:t>有效身份</w:t>
            </w:r>
          </w:p>
        </w:tc>
        <w:tc>
          <w:tcPr>
            <w:tcW w:w="6411" w:type="dxa"/>
          </w:tcPr>
          <w:p>
            <w:pPr>
              <w:pStyle w:val="TableParagraph"/>
              <w:spacing w:line="270" w:lineRule="exact" w:before="145"/>
              <w:ind w:left="116"/>
              <w:rPr>
                <w:sz w:val="21"/>
              </w:rPr>
            </w:pPr>
            <w:r>
              <w:rPr>
                <w:sz w:val="21"/>
              </w:rPr>
              <w:t>指由中华人民共和国政府主管部门规定的能够证明其身份的证件，</w:t>
            </w:r>
          </w:p>
        </w:tc>
      </w:tr>
    </w:tbl>
    <w:p>
      <w:pPr>
        <w:spacing w:after="0" w:line="270" w:lineRule="exact"/>
        <w:rPr>
          <w:sz w:val="21"/>
        </w:rPr>
        <w:sectPr>
          <w:pgSz w:w="11910" w:h="16840"/>
          <w:pgMar w:header="0" w:footer="898" w:top="1480" w:bottom="1080" w:left="1500" w:right="14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354"/>
        <w:gridCol w:w="6433"/>
      </w:tblGrid>
      <w:tr>
        <w:trPr>
          <w:trHeight w:val="1049" w:hRule="atLeast"/>
        </w:trPr>
        <w:tc>
          <w:tcPr>
            <w:tcW w:w="997" w:type="dxa"/>
          </w:tcPr>
          <w:p>
            <w:pPr>
              <w:pStyle w:val="TableParagraph"/>
              <w:ind w:left="0"/>
              <w:rPr>
                <w:rFonts w:ascii="Times New Roman"/>
                <w:sz w:val="20"/>
              </w:rPr>
            </w:pPr>
          </w:p>
        </w:tc>
        <w:tc>
          <w:tcPr>
            <w:tcW w:w="1354" w:type="dxa"/>
          </w:tcPr>
          <w:p>
            <w:pPr>
              <w:pStyle w:val="TableParagraph"/>
              <w:spacing w:line="226" w:lineRule="exact"/>
              <w:ind w:left="374"/>
              <w:rPr>
                <w:rFonts w:ascii="Microsoft JhengHei" w:eastAsia="Microsoft JhengHei" w:hint="eastAsia"/>
                <w:b/>
                <w:sz w:val="21"/>
              </w:rPr>
            </w:pPr>
            <w:r>
              <w:rPr>
                <w:rFonts w:ascii="Microsoft JhengHei" w:eastAsia="Microsoft JhengHei" w:hint="eastAsia"/>
                <w:b/>
                <w:sz w:val="21"/>
              </w:rPr>
              <w:t>证件</w:t>
            </w:r>
          </w:p>
        </w:tc>
        <w:tc>
          <w:tcPr>
            <w:tcW w:w="6433" w:type="dxa"/>
          </w:tcPr>
          <w:p>
            <w:pPr>
              <w:pStyle w:val="TableParagraph"/>
              <w:spacing w:line="202" w:lineRule="exact"/>
              <w:rPr>
                <w:sz w:val="21"/>
              </w:rPr>
            </w:pPr>
            <w:r>
              <w:rPr>
                <w:sz w:val="21"/>
              </w:rPr>
              <w:t>如：居民身份证、军官证、警官证、士兵证、户口簿以及中华人民</w:t>
            </w:r>
          </w:p>
          <w:p>
            <w:pPr>
              <w:pStyle w:val="TableParagraph"/>
              <w:spacing w:line="273" w:lineRule="auto" w:before="37"/>
              <w:ind w:right="268"/>
              <w:rPr>
                <w:sz w:val="21"/>
              </w:rPr>
            </w:pPr>
            <w:r>
              <w:rPr>
                <w:sz w:val="21"/>
              </w:rPr>
              <w:t>共和国政府主管部门颁发或者认可的有效护照或者其他身份证明文件。</w:t>
            </w:r>
          </w:p>
        </w:tc>
      </w:tr>
      <w:tr>
        <w:trPr>
          <w:trHeight w:val="912" w:hRule="atLeast"/>
        </w:trPr>
        <w:tc>
          <w:tcPr>
            <w:tcW w:w="997" w:type="dxa"/>
          </w:tcPr>
          <w:p>
            <w:pPr>
              <w:pStyle w:val="TableParagraph"/>
              <w:spacing w:before="74"/>
              <w:ind w:left="200"/>
              <w:rPr>
                <w:rFonts w:ascii="Microsoft JhengHei"/>
                <w:b/>
                <w:sz w:val="21"/>
              </w:rPr>
            </w:pPr>
            <w:r>
              <w:rPr>
                <w:rFonts w:ascii="Microsoft JhengHei"/>
                <w:b/>
                <w:sz w:val="21"/>
              </w:rPr>
              <w:t>8.16</w:t>
            </w:r>
          </w:p>
        </w:tc>
        <w:tc>
          <w:tcPr>
            <w:tcW w:w="1354" w:type="dxa"/>
          </w:tcPr>
          <w:p>
            <w:pPr>
              <w:pStyle w:val="TableParagraph"/>
              <w:spacing w:line="204" w:lineRule="auto" w:before="129"/>
              <w:ind w:left="374" w:right="132"/>
              <w:rPr>
                <w:rFonts w:ascii="Microsoft JhengHei" w:eastAsia="Microsoft JhengHei" w:hint="eastAsia"/>
                <w:b/>
                <w:sz w:val="21"/>
              </w:rPr>
            </w:pPr>
            <w:r>
              <w:rPr>
                <w:rFonts w:ascii="Microsoft JhengHei" w:eastAsia="Microsoft JhengHei" w:hint="eastAsia"/>
                <w:b/>
                <w:sz w:val="21"/>
              </w:rPr>
              <w:t>肢体机能完全丧失</w:t>
            </w:r>
          </w:p>
        </w:tc>
        <w:tc>
          <w:tcPr>
            <w:tcW w:w="6433" w:type="dxa"/>
          </w:tcPr>
          <w:p>
            <w:pPr>
              <w:pStyle w:val="TableParagraph"/>
              <w:spacing w:line="273" w:lineRule="auto" w:before="141"/>
              <w:ind w:right="273"/>
              <w:rPr>
                <w:sz w:val="21"/>
              </w:rPr>
            </w:pPr>
            <w:r>
              <w:rPr>
                <w:spacing w:val="-8"/>
                <w:sz w:val="21"/>
              </w:rPr>
              <w:t>指肢体的三大关节中的两大关节僵硬，或者不能随意识活动。肢体</w:t>
            </w:r>
            <w:r>
              <w:rPr>
                <w:spacing w:val="-6"/>
                <w:sz w:val="21"/>
              </w:rPr>
              <w:t>是指包括肩关节的整个上肢或者包括髋关节的整个下肢。</w:t>
            </w:r>
          </w:p>
        </w:tc>
      </w:tr>
      <w:tr>
        <w:trPr>
          <w:trHeight w:val="2393" w:hRule="atLeast"/>
        </w:trPr>
        <w:tc>
          <w:tcPr>
            <w:tcW w:w="997" w:type="dxa"/>
          </w:tcPr>
          <w:p>
            <w:pPr>
              <w:pStyle w:val="TableParagraph"/>
              <w:spacing w:before="35"/>
              <w:ind w:left="200"/>
              <w:rPr>
                <w:rFonts w:ascii="Microsoft JhengHei"/>
                <w:b/>
                <w:sz w:val="21"/>
              </w:rPr>
            </w:pPr>
            <w:r>
              <w:rPr>
                <w:rFonts w:ascii="Microsoft JhengHei"/>
                <w:b/>
                <w:sz w:val="21"/>
              </w:rPr>
              <w:t>8.17</w:t>
            </w:r>
          </w:p>
        </w:tc>
        <w:tc>
          <w:tcPr>
            <w:tcW w:w="1354" w:type="dxa"/>
          </w:tcPr>
          <w:p>
            <w:pPr>
              <w:pStyle w:val="TableParagraph"/>
              <w:spacing w:line="204" w:lineRule="auto" w:before="167"/>
              <w:ind w:left="374" w:right="132"/>
              <w:jc w:val="both"/>
              <w:rPr>
                <w:rFonts w:ascii="Microsoft JhengHei" w:eastAsia="Microsoft JhengHei" w:hint="eastAsia"/>
                <w:b/>
                <w:sz w:val="21"/>
              </w:rPr>
            </w:pPr>
            <w:r>
              <w:rPr>
                <w:rFonts w:ascii="Microsoft JhengHei" w:eastAsia="Microsoft JhengHei" w:hint="eastAsia"/>
                <w:b/>
                <w:sz w:val="21"/>
              </w:rPr>
              <w:t>语言能力或咀嚼吞咽能力完全丧失</w:t>
            </w:r>
          </w:p>
        </w:tc>
        <w:tc>
          <w:tcPr>
            <w:tcW w:w="6433" w:type="dxa"/>
          </w:tcPr>
          <w:p>
            <w:pPr>
              <w:pStyle w:val="TableParagraph"/>
              <w:spacing w:line="273" w:lineRule="auto" w:before="179"/>
              <w:ind w:right="199"/>
              <w:rPr>
                <w:sz w:val="21"/>
              </w:rPr>
            </w:pPr>
            <w:r>
              <w:rPr>
                <w:spacing w:val="-4"/>
                <w:sz w:val="21"/>
              </w:rPr>
              <w:t>语言能力完全丧失，指无法发出四种语音</w:t>
            </w:r>
            <w:r>
              <w:rPr>
                <w:sz w:val="21"/>
              </w:rPr>
              <w:t>（</w:t>
            </w:r>
            <w:r>
              <w:rPr>
                <w:spacing w:val="-3"/>
                <w:sz w:val="21"/>
              </w:rPr>
              <w:t>包括口唇音、齿舌音、</w:t>
            </w:r>
            <w:r>
              <w:rPr>
                <w:spacing w:val="-4"/>
                <w:sz w:val="21"/>
              </w:rPr>
              <w:t>口盖音和喉头音</w:t>
            </w:r>
            <w:r>
              <w:rPr>
                <w:spacing w:val="-25"/>
                <w:sz w:val="21"/>
              </w:rPr>
              <w:t>）</w:t>
            </w:r>
            <w:r>
              <w:rPr>
                <w:spacing w:val="-9"/>
                <w:sz w:val="21"/>
              </w:rPr>
              <w:t>中的任何三种、或者声带全部切除，或者因大脑</w:t>
            </w:r>
            <w:r>
              <w:rPr>
                <w:spacing w:val="-7"/>
                <w:sz w:val="21"/>
              </w:rPr>
              <w:t>语言中枢受伤害而患失语症。</w:t>
            </w:r>
          </w:p>
          <w:p>
            <w:pPr>
              <w:pStyle w:val="TableParagraph"/>
              <w:spacing w:line="271" w:lineRule="auto" w:before="166"/>
              <w:ind w:right="273"/>
              <w:jc w:val="both"/>
              <w:rPr>
                <w:sz w:val="21"/>
              </w:rPr>
            </w:pPr>
            <w:r>
              <w:rPr>
                <w:spacing w:val="-9"/>
                <w:sz w:val="21"/>
              </w:rPr>
              <w:t>咀嚼吞咽能力完全丧失，指因牙齿以外的原因导致器质障碍或者机</w:t>
            </w:r>
            <w:r>
              <w:rPr>
                <w:spacing w:val="-11"/>
                <w:sz w:val="21"/>
              </w:rPr>
              <w:t>能障碍，以致不能作咀嚼吞咽运动，除流质食物外不能摄取或者吞咽的状态。</w:t>
            </w:r>
          </w:p>
        </w:tc>
      </w:tr>
      <w:tr>
        <w:trPr>
          <w:trHeight w:val="2674" w:hRule="atLeast"/>
        </w:trPr>
        <w:tc>
          <w:tcPr>
            <w:tcW w:w="997" w:type="dxa"/>
          </w:tcPr>
          <w:p>
            <w:pPr>
              <w:pStyle w:val="TableParagraph"/>
              <w:spacing w:before="76"/>
              <w:ind w:left="200"/>
              <w:rPr>
                <w:rFonts w:ascii="Microsoft JhengHei"/>
                <w:b/>
                <w:sz w:val="21"/>
              </w:rPr>
            </w:pPr>
            <w:r>
              <w:rPr>
                <w:rFonts w:ascii="Microsoft JhengHei"/>
                <w:b/>
                <w:sz w:val="21"/>
              </w:rPr>
              <w:t>8.18</w:t>
            </w:r>
          </w:p>
        </w:tc>
        <w:tc>
          <w:tcPr>
            <w:tcW w:w="1354" w:type="dxa"/>
          </w:tcPr>
          <w:p>
            <w:pPr>
              <w:pStyle w:val="TableParagraph"/>
              <w:spacing w:line="204" w:lineRule="auto" w:before="131"/>
              <w:ind w:left="374" w:right="132"/>
              <w:jc w:val="both"/>
              <w:rPr>
                <w:rFonts w:ascii="Microsoft JhengHei" w:eastAsia="Microsoft JhengHei" w:hint="eastAsia"/>
                <w:b/>
                <w:sz w:val="21"/>
              </w:rPr>
            </w:pPr>
            <w:r>
              <w:rPr>
                <w:rFonts w:ascii="Microsoft JhengHei" w:eastAsia="Microsoft JhengHei" w:hint="eastAsia"/>
                <w:b/>
                <w:sz w:val="21"/>
              </w:rPr>
              <w:t>六项基本日常生活活动</w:t>
            </w:r>
          </w:p>
        </w:tc>
        <w:tc>
          <w:tcPr>
            <w:tcW w:w="6433" w:type="dxa"/>
          </w:tcPr>
          <w:p>
            <w:pPr>
              <w:pStyle w:val="TableParagraph"/>
              <w:spacing w:before="143"/>
              <w:rPr>
                <w:sz w:val="21"/>
              </w:rPr>
            </w:pPr>
            <w:r>
              <w:rPr>
                <w:sz w:val="21"/>
              </w:rPr>
              <w:t>六项基本日常生活活动是指：</w:t>
            </w:r>
          </w:p>
          <w:p>
            <w:pPr>
              <w:pStyle w:val="TableParagraph"/>
              <w:spacing w:before="6"/>
              <w:ind w:left="0"/>
              <w:rPr>
                <w:rFonts w:ascii="Times New Roman"/>
                <w:sz w:val="16"/>
              </w:rPr>
            </w:pPr>
          </w:p>
          <w:p>
            <w:pPr>
              <w:pStyle w:val="TableParagraph"/>
              <w:rPr>
                <w:sz w:val="21"/>
              </w:rPr>
            </w:pPr>
            <w:r>
              <w:rPr>
                <w:sz w:val="21"/>
              </w:rPr>
              <w:t>（</w:t>
            </w:r>
            <w:r>
              <w:rPr>
                <w:rFonts w:ascii="Times New Roman" w:eastAsia="Times New Roman"/>
                <w:sz w:val="21"/>
              </w:rPr>
              <w:t>1</w:t>
            </w:r>
            <w:r>
              <w:rPr>
                <w:sz w:val="21"/>
              </w:rPr>
              <w:t>）穿衣：自己能够穿衣及脱衣；</w:t>
            </w:r>
          </w:p>
          <w:p>
            <w:pPr>
              <w:pStyle w:val="TableParagraph"/>
              <w:spacing w:before="20"/>
              <w:rPr>
                <w:sz w:val="21"/>
              </w:rPr>
            </w:pPr>
            <w:r>
              <w:rPr>
                <w:sz w:val="21"/>
              </w:rPr>
              <w:t>（</w:t>
            </w:r>
            <w:r>
              <w:rPr>
                <w:rFonts w:ascii="Times New Roman" w:eastAsia="Times New Roman"/>
                <w:sz w:val="21"/>
              </w:rPr>
              <w:t>2</w:t>
            </w:r>
            <w:r>
              <w:rPr>
                <w:sz w:val="21"/>
              </w:rPr>
              <w:t>）移动：自己从一个房间到另一个房间；</w:t>
            </w:r>
          </w:p>
          <w:p>
            <w:pPr>
              <w:pStyle w:val="TableParagraph"/>
              <w:spacing w:before="21"/>
              <w:rPr>
                <w:sz w:val="21"/>
              </w:rPr>
            </w:pPr>
            <w:r>
              <w:rPr>
                <w:sz w:val="21"/>
              </w:rPr>
              <w:t>（</w:t>
            </w:r>
            <w:r>
              <w:rPr>
                <w:rFonts w:ascii="Times New Roman" w:eastAsia="Times New Roman"/>
                <w:sz w:val="21"/>
              </w:rPr>
              <w:t>3</w:t>
            </w:r>
            <w:r>
              <w:rPr>
                <w:sz w:val="21"/>
              </w:rPr>
              <w:t>）行动：自己上下床或者上下轮椅；</w:t>
            </w:r>
          </w:p>
          <w:p>
            <w:pPr>
              <w:pStyle w:val="TableParagraph"/>
              <w:spacing w:before="21"/>
              <w:rPr>
                <w:sz w:val="21"/>
              </w:rPr>
            </w:pPr>
            <w:r>
              <w:rPr>
                <w:sz w:val="21"/>
              </w:rPr>
              <w:t>（</w:t>
            </w:r>
            <w:r>
              <w:rPr>
                <w:rFonts w:ascii="Times New Roman" w:eastAsia="Times New Roman"/>
                <w:sz w:val="21"/>
              </w:rPr>
              <w:t>4</w:t>
            </w:r>
            <w:r>
              <w:rPr>
                <w:sz w:val="21"/>
              </w:rPr>
              <w:t>）如厕：自己控制进行大小便；</w:t>
            </w:r>
          </w:p>
          <w:p>
            <w:pPr>
              <w:pStyle w:val="TableParagraph"/>
              <w:spacing w:before="21"/>
              <w:rPr>
                <w:sz w:val="21"/>
              </w:rPr>
            </w:pPr>
            <w:r>
              <w:rPr>
                <w:sz w:val="21"/>
              </w:rPr>
              <w:t>（</w:t>
            </w:r>
            <w:r>
              <w:rPr>
                <w:rFonts w:ascii="Times New Roman" w:eastAsia="Times New Roman"/>
                <w:sz w:val="21"/>
              </w:rPr>
              <w:t>5</w:t>
            </w:r>
            <w:r>
              <w:rPr>
                <w:sz w:val="21"/>
              </w:rPr>
              <w:t>）进食：自己从已准备好的碗或者碟中取食物放入口中；</w:t>
            </w:r>
          </w:p>
          <w:p>
            <w:pPr>
              <w:pStyle w:val="TableParagraph"/>
              <w:spacing w:before="21"/>
              <w:rPr>
                <w:sz w:val="21"/>
              </w:rPr>
            </w:pPr>
            <w:r>
              <w:rPr>
                <w:sz w:val="21"/>
              </w:rPr>
              <w:t>（</w:t>
            </w:r>
            <w:r>
              <w:rPr>
                <w:rFonts w:ascii="Times New Roman" w:eastAsia="Times New Roman"/>
                <w:sz w:val="21"/>
              </w:rPr>
              <w:t>6</w:t>
            </w:r>
            <w:r>
              <w:rPr>
                <w:sz w:val="21"/>
              </w:rPr>
              <w:t>）洗澡：自己进行淋浴或者盆浴。</w:t>
            </w:r>
          </w:p>
        </w:tc>
      </w:tr>
      <w:tr>
        <w:trPr>
          <w:trHeight w:val="729" w:hRule="atLeast"/>
        </w:trPr>
        <w:tc>
          <w:tcPr>
            <w:tcW w:w="997" w:type="dxa"/>
          </w:tcPr>
          <w:p>
            <w:pPr>
              <w:pStyle w:val="TableParagraph"/>
              <w:spacing w:before="66"/>
              <w:ind w:left="200"/>
              <w:rPr>
                <w:rFonts w:ascii="Microsoft JhengHei"/>
                <w:b/>
                <w:sz w:val="21"/>
              </w:rPr>
            </w:pPr>
            <w:r>
              <w:rPr>
                <w:rFonts w:ascii="Microsoft JhengHei"/>
                <w:b/>
                <w:sz w:val="21"/>
              </w:rPr>
              <w:t>8.19</w:t>
            </w:r>
          </w:p>
        </w:tc>
        <w:tc>
          <w:tcPr>
            <w:tcW w:w="1354" w:type="dxa"/>
          </w:tcPr>
          <w:p>
            <w:pPr>
              <w:pStyle w:val="TableParagraph"/>
              <w:spacing w:line="312" w:lineRule="exact" w:before="128"/>
              <w:ind w:left="374" w:right="132"/>
              <w:rPr>
                <w:rFonts w:ascii="Microsoft JhengHei" w:eastAsia="Microsoft JhengHei" w:hint="eastAsia"/>
                <w:b/>
                <w:sz w:val="21"/>
              </w:rPr>
            </w:pPr>
            <w:r>
              <w:rPr>
                <w:rFonts w:ascii="Microsoft JhengHei" w:eastAsia="Microsoft JhengHei" w:hint="eastAsia"/>
                <w:b/>
                <w:sz w:val="21"/>
              </w:rPr>
              <w:t>永久不可逆</w:t>
            </w:r>
          </w:p>
        </w:tc>
        <w:tc>
          <w:tcPr>
            <w:tcW w:w="6433" w:type="dxa"/>
          </w:tcPr>
          <w:p>
            <w:pPr>
              <w:pStyle w:val="TableParagraph"/>
              <w:spacing w:line="310" w:lineRule="atLeast" w:before="97"/>
              <w:ind w:right="198"/>
              <w:rPr>
                <w:sz w:val="21"/>
              </w:rPr>
            </w:pPr>
            <w:r>
              <w:rPr>
                <w:spacing w:val="-7"/>
                <w:sz w:val="21"/>
              </w:rPr>
              <w:t>指自疾病确诊或者意外伤害发生之日起，经过积极治疗 </w:t>
            </w:r>
            <w:r>
              <w:rPr>
                <w:sz w:val="21"/>
              </w:rPr>
              <w:t>180</w:t>
            </w:r>
            <w:r>
              <w:rPr>
                <w:spacing w:val="-10"/>
                <w:sz w:val="21"/>
              </w:rPr>
              <w:t> 天后， </w:t>
            </w:r>
            <w:r>
              <w:rPr>
                <w:spacing w:val="-7"/>
                <w:sz w:val="21"/>
              </w:rPr>
              <w:t>仍无法通过现有医疗手段恢复。</w:t>
            </w:r>
          </w:p>
        </w:tc>
      </w:tr>
    </w:tbl>
    <w:p>
      <w:pPr>
        <w:spacing w:after="0" w:line="310" w:lineRule="atLeast"/>
        <w:rPr>
          <w:sz w:val="21"/>
        </w:rPr>
        <w:sectPr>
          <w:pgSz w:w="11910" w:h="16840"/>
          <w:pgMar w:header="0" w:footer="898" w:top="1480" w:bottom="1080" w:left="1500" w:right="1400"/>
        </w:sectPr>
      </w:pPr>
    </w:p>
    <w:p>
      <w:pPr>
        <w:spacing w:line="311" w:lineRule="exact" w:before="0"/>
        <w:ind w:left="220" w:right="0" w:firstLine="0"/>
        <w:jc w:val="left"/>
        <w:rPr>
          <w:rFonts w:ascii="微软雅黑" w:eastAsia="微软雅黑" w:hint="eastAsia"/>
          <w:b/>
          <w:sz w:val="24"/>
        </w:rPr>
      </w:pPr>
      <w:r>
        <w:rPr>
          <w:rFonts w:ascii="微软雅黑" w:eastAsia="微软雅黑" w:hint="eastAsia"/>
          <w:b/>
          <w:w w:val="95"/>
          <w:sz w:val="24"/>
        </w:rPr>
        <w:t>9．附表-保障方案</w:t>
      </w:r>
    </w:p>
    <w:p>
      <w:pPr>
        <w:spacing w:line="329" w:lineRule="exact" w:before="0" w:after="27"/>
        <w:ind w:left="215" w:right="0" w:firstLine="0"/>
        <w:jc w:val="left"/>
        <w:rPr>
          <w:rFonts w:ascii="微软雅黑" w:eastAsia="微软雅黑" w:hint="eastAsia"/>
          <w:b/>
          <w:sz w:val="21"/>
        </w:rPr>
      </w:pPr>
      <w:r>
        <w:rPr>
          <w:rFonts w:ascii="微软雅黑" w:eastAsia="微软雅黑" w:hint="eastAsia"/>
          <w:b/>
          <w:sz w:val="21"/>
        </w:rPr>
        <w:t>基本保障：</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40"/>
        <w:gridCol w:w="4239"/>
      </w:tblGrid>
      <w:tr>
        <w:trPr>
          <w:trHeight w:val="624" w:hRule="atLeast"/>
        </w:trPr>
        <w:tc>
          <w:tcPr>
            <w:tcW w:w="4240" w:type="dxa"/>
          </w:tcPr>
          <w:p>
            <w:pPr>
              <w:pStyle w:val="TableParagraph"/>
              <w:spacing w:line="260" w:lineRule="exact"/>
              <w:ind w:left="110"/>
              <w:rPr>
                <w:sz w:val="21"/>
              </w:rPr>
            </w:pPr>
            <w:r>
              <w:rPr>
                <w:sz w:val="21"/>
              </w:rPr>
              <w:t>一、恶性肿瘤-不包括部分早期恶性肿瘤</w:t>
            </w:r>
          </w:p>
        </w:tc>
        <w:tc>
          <w:tcPr>
            <w:tcW w:w="4239" w:type="dxa"/>
          </w:tcPr>
          <w:p>
            <w:pPr>
              <w:pStyle w:val="TableParagraph"/>
              <w:spacing w:line="260" w:lineRule="exact"/>
              <w:ind w:left="105"/>
              <w:rPr>
                <w:sz w:val="21"/>
              </w:rPr>
            </w:pPr>
            <w:r>
              <w:rPr>
                <w:sz w:val="21"/>
              </w:rPr>
              <w:t>四、重大器官移植术或造血干细胞移植术-</w:t>
            </w:r>
          </w:p>
          <w:p>
            <w:pPr>
              <w:pStyle w:val="TableParagraph"/>
              <w:spacing w:before="37"/>
              <w:ind w:left="105"/>
              <w:rPr>
                <w:sz w:val="21"/>
              </w:rPr>
            </w:pPr>
            <w:r>
              <w:rPr>
                <w:sz w:val="21"/>
              </w:rPr>
              <w:t>须异体移植手术</w:t>
            </w:r>
          </w:p>
        </w:tc>
      </w:tr>
      <w:tr>
        <w:trPr>
          <w:trHeight w:val="623" w:hRule="atLeast"/>
        </w:trPr>
        <w:tc>
          <w:tcPr>
            <w:tcW w:w="4240" w:type="dxa"/>
          </w:tcPr>
          <w:p>
            <w:pPr>
              <w:pStyle w:val="TableParagraph"/>
              <w:spacing w:line="260" w:lineRule="exact"/>
              <w:ind w:left="110"/>
              <w:rPr>
                <w:sz w:val="21"/>
              </w:rPr>
            </w:pPr>
            <w:r>
              <w:rPr>
                <w:sz w:val="21"/>
              </w:rPr>
              <w:t>二、急性心肌梗塞</w:t>
            </w:r>
          </w:p>
        </w:tc>
        <w:tc>
          <w:tcPr>
            <w:tcW w:w="4239" w:type="dxa"/>
          </w:tcPr>
          <w:p>
            <w:pPr>
              <w:pStyle w:val="TableParagraph"/>
              <w:spacing w:line="260" w:lineRule="exact"/>
              <w:ind w:left="105"/>
              <w:rPr>
                <w:sz w:val="21"/>
              </w:rPr>
            </w:pPr>
            <w:r>
              <w:rPr>
                <w:sz w:val="21"/>
              </w:rPr>
              <w:t>五、冠状动脉搭桥术（或称冠状动脉旁路移</w:t>
            </w:r>
          </w:p>
          <w:p>
            <w:pPr>
              <w:pStyle w:val="TableParagraph"/>
              <w:spacing w:before="37"/>
              <w:ind w:left="105"/>
              <w:rPr>
                <w:sz w:val="21"/>
              </w:rPr>
            </w:pPr>
            <w:r>
              <w:rPr>
                <w:sz w:val="21"/>
              </w:rPr>
              <w:t>植术）-须开胸手术</w:t>
            </w:r>
          </w:p>
        </w:tc>
      </w:tr>
      <w:tr>
        <w:trPr>
          <w:trHeight w:val="623" w:hRule="atLeast"/>
        </w:trPr>
        <w:tc>
          <w:tcPr>
            <w:tcW w:w="4240" w:type="dxa"/>
          </w:tcPr>
          <w:p>
            <w:pPr>
              <w:pStyle w:val="TableParagraph"/>
              <w:spacing w:line="260" w:lineRule="exact"/>
              <w:ind w:left="110"/>
              <w:rPr>
                <w:sz w:val="21"/>
              </w:rPr>
            </w:pPr>
            <w:r>
              <w:rPr>
                <w:sz w:val="21"/>
              </w:rPr>
              <w:t>三、脑中风后遗症-永久性的功能障碍</w:t>
            </w:r>
          </w:p>
        </w:tc>
        <w:tc>
          <w:tcPr>
            <w:tcW w:w="4239" w:type="dxa"/>
          </w:tcPr>
          <w:p>
            <w:pPr>
              <w:pStyle w:val="TableParagraph"/>
              <w:spacing w:line="260" w:lineRule="exact"/>
              <w:ind w:left="105"/>
              <w:rPr>
                <w:sz w:val="21"/>
              </w:rPr>
            </w:pPr>
            <w:r>
              <w:rPr>
                <w:sz w:val="21"/>
              </w:rPr>
              <w:t>六、终末期肾病（或称慢性肾功能衰竭尿毒</w:t>
            </w:r>
          </w:p>
          <w:p>
            <w:pPr>
              <w:pStyle w:val="TableParagraph"/>
              <w:spacing w:before="37"/>
              <w:ind w:left="105"/>
              <w:rPr>
                <w:sz w:val="21"/>
              </w:rPr>
            </w:pPr>
            <w:r>
              <w:rPr>
                <w:sz w:val="21"/>
              </w:rPr>
              <w:t>症期）-须透析治疗或肾脏移植手术</w:t>
            </w:r>
          </w:p>
        </w:tc>
      </w:tr>
    </w:tbl>
    <w:p>
      <w:pPr>
        <w:pStyle w:val="BodyText"/>
        <w:spacing w:before="10"/>
        <w:rPr>
          <w:rFonts w:ascii="微软雅黑"/>
          <w:b/>
          <w:sz w:val="13"/>
        </w:rPr>
      </w:pPr>
    </w:p>
    <w:p>
      <w:pPr>
        <w:spacing w:before="0" w:after="26"/>
        <w:ind w:left="215" w:right="0" w:firstLine="0"/>
        <w:jc w:val="left"/>
        <w:rPr>
          <w:rFonts w:ascii="微软雅黑" w:eastAsia="微软雅黑" w:hint="eastAsia"/>
          <w:b/>
          <w:sz w:val="21"/>
        </w:rPr>
      </w:pPr>
      <w:r>
        <w:rPr>
          <w:rFonts w:ascii="微软雅黑" w:eastAsia="微软雅黑" w:hint="eastAsia"/>
          <w:b/>
          <w:sz w:val="21"/>
        </w:rPr>
        <w:t>重要保障：</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40"/>
        <w:gridCol w:w="4239"/>
      </w:tblGrid>
      <w:tr>
        <w:trPr>
          <w:trHeight w:val="311" w:hRule="atLeast"/>
        </w:trPr>
        <w:tc>
          <w:tcPr>
            <w:tcW w:w="4240" w:type="dxa"/>
          </w:tcPr>
          <w:p>
            <w:pPr>
              <w:pStyle w:val="TableParagraph"/>
              <w:spacing w:line="260" w:lineRule="exact"/>
              <w:ind w:left="110"/>
              <w:rPr>
                <w:sz w:val="21"/>
              </w:rPr>
            </w:pPr>
            <w:r>
              <w:rPr>
                <w:sz w:val="21"/>
              </w:rPr>
              <w:t>一、恶性肿瘤-不包括部分早期恶性肿瘤</w:t>
            </w:r>
          </w:p>
        </w:tc>
        <w:tc>
          <w:tcPr>
            <w:tcW w:w="4239" w:type="dxa"/>
          </w:tcPr>
          <w:p>
            <w:pPr>
              <w:pStyle w:val="TableParagraph"/>
              <w:spacing w:line="260" w:lineRule="exact"/>
              <w:ind w:left="105"/>
              <w:rPr>
                <w:sz w:val="21"/>
              </w:rPr>
            </w:pPr>
            <w:r>
              <w:rPr>
                <w:sz w:val="21"/>
              </w:rPr>
              <w:t>十一、双耳失聪-永久不可逆</w:t>
            </w:r>
          </w:p>
        </w:tc>
      </w:tr>
      <w:tr>
        <w:trPr>
          <w:trHeight w:val="311" w:hRule="atLeast"/>
        </w:trPr>
        <w:tc>
          <w:tcPr>
            <w:tcW w:w="4240" w:type="dxa"/>
          </w:tcPr>
          <w:p>
            <w:pPr>
              <w:pStyle w:val="TableParagraph"/>
              <w:spacing w:line="260" w:lineRule="exact"/>
              <w:ind w:left="110"/>
              <w:rPr>
                <w:sz w:val="21"/>
              </w:rPr>
            </w:pPr>
            <w:r>
              <w:rPr>
                <w:sz w:val="21"/>
              </w:rPr>
              <w:t>二、急性心肌梗塞</w:t>
            </w:r>
          </w:p>
        </w:tc>
        <w:tc>
          <w:tcPr>
            <w:tcW w:w="4239" w:type="dxa"/>
          </w:tcPr>
          <w:p>
            <w:pPr>
              <w:pStyle w:val="TableParagraph"/>
              <w:spacing w:line="260" w:lineRule="exact"/>
              <w:ind w:left="105"/>
              <w:rPr>
                <w:sz w:val="21"/>
              </w:rPr>
            </w:pPr>
            <w:r>
              <w:rPr>
                <w:sz w:val="21"/>
              </w:rPr>
              <w:t>十二、双目失明-永久不可逆</w:t>
            </w:r>
          </w:p>
        </w:tc>
      </w:tr>
      <w:tr>
        <w:trPr>
          <w:trHeight w:val="316" w:hRule="atLeast"/>
        </w:trPr>
        <w:tc>
          <w:tcPr>
            <w:tcW w:w="4240" w:type="dxa"/>
          </w:tcPr>
          <w:p>
            <w:pPr>
              <w:pStyle w:val="TableParagraph"/>
              <w:spacing w:line="265" w:lineRule="exact"/>
              <w:ind w:left="110"/>
              <w:rPr>
                <w:sz w:val="21"/>
              </w:rPr>
            </w:pPr>
            <w:r>
              <w:rPr>
                <w:sz w:val="21"/>
              </w:rPr>
              <w:t>三、脑中风后遗症-永久性的功能障碍</w:t>
            </w:r>
          </w:p>
        </w:tc>
        <w:tc>
          <w:tcPr>
            <w:tcW w:w="4239" w:type="dxa"/>
          </w:tcPr>
          <w:p>
            <w:pPr>
              <w:pStyle w:val="TableParagraph"/>
              <w:spacing w:line="265" w:lineRule="exact"/>
              <w:ind w:left="105"/>
              <w:rPr>
                <w:sz w:val="21"/>
              </w:rPr>
            </w:pPr>
            <w:r>
              <w:rPr>
                <w:sz w:val="21"/>
              </w:rPr>
              <w:t>十三、瘫痪-永久完全</w:t>
            </w:r>
          </w:p>
        </w:tc>
      </w:tr>
      <w:tr>
        <w:trPr>
          <w:trHeight w:val="624" w:hRule="atLeast"/>
        </w:trPr>
        <w:tc>
          <w:tcPr>
            <w:tcW w:w="4240" w:type="dxa"/>
          </w:tcPr>
          <w:p>
            <w:pPr>
              <w:pStyle w:val="TableParagraph"/>
              <w:spacing w:line="260" w:lineRule="exact"/>
              <w:ind w:left="110"/>
              <w:rPr>
                <w:sz w:val="21"/>
              </w:rPr>
            </w:pPr>
            <w:r>
              <w:rPr>
                <w:sz w:val="21"/>
              </w:rPr>
              <w:t>四、重大器官移植术或造血干细胞移植术-</w:t>
            </w:r>
          </w:p>
          <w:p>
            <w:pPr>
              <w:pStyle w:val="TableParagraph"/>
              <w:spacing w:before="37"/>
              <w:ind w:left="110"/>
              <w:rPr>
                <w:sz w:val="21"/>
              </w:rPr>
            </w:pPr>
            <w:r>
              <w:rPr>
                <w:sz w:val="21"/>
              </w:rPr>
              <w:t>须异体移植手术</w:t>
            </w:r>
          </w:p>
        </w:tc>
        <w:tc>
          <w:tcPr>
            <w:tcW w:w="4239" w:type="dxa"/>
          </w:tcPr>
          <w:p>
            <w:pPr>
              <w:pStyle w:val="TableParagraph"/>
              <w:spacing w:line="260" w:lineRule="exact"/>
              <w:ind w:left="105"/>
              <w:rPr>
                <w:sz w:val="21"/>
              </w:rPr>
            </w:pPr>
            <w:r>
              <w:rPr>
                <w:sz w:val="21"/>
              </w:rPr>
              <w:t>十四、心脏瓣膜手术-须开胸手术</w:t>
            </w:r>
          </w:p>
        </w:tc>
      </w:tr>
      <w:tr>
        <w:trPr>
          <w:trHeight w:val="623" w:hRule="atLeast"/>
        </w:trPr>
        <w:tc>
          <w:tcPr>
            <w:tcW w:w="4240" w:type="dxa"/>
          </w:tcPr>
          <w:p>
            <w:pPr>
              <w:pStyle w:val="TableParagraph"/>
              <w:spacing w:line="260" w:lineRule="exact"/>
              <w:ind w:left="110"/>
              <w:rPr>
                <w:sz w:val="21"/>
              </w:rPr>
            </w:pPr>
            <w:r>
              <w:rPr>
                <w:sz w:val="21"/>
              </w:rPr>
              <w:t>五、冠状动脉搭桥术（或称冠状动脉旁路移</w:t>
            </w:r>
          </w:p>
          <w:p>
            <w:pPr>
              <w:pStyle w:val="TableParagraph"/>
              <w:spacing w:before="37"/>
              <w:ind w:left="110"/>
              <w:rPr>
                <w:sz w:val="21"/>
              </w:rPr>
            </w:pPr>
            <w:r>
              <w:rPr>
                <w:sz w:val="21"/>
              </w:rPr>
              <w:t>植术）-须开胸手术</w:t>
            </w:r>
          </w:p>
        </w:tc>
        <w:tc>
          <w:tcPr>
            <w:tcW w:w="4239" w:type="dxa"/>
          </w:tcPr>
          <w:p>
            <w:pPr>
              <w:pStyle w:val="TableParagraph"/>
              <w:spacing w:line="260" w:lineRule="exact"/>
              <w:ind w:left="105"/>
              <w:rPr>
                <w:sz w:val="21"/>
              </w:rPr>
            </w:pPr>
            <w:r>
              <w:rPr>
                <w:sz w:val="21"/>
              </w:rPr>
              <w:t>十五、严重阿尔茨海默病-自主生活能力完全</w:t>
            </w:r>
          </w:p>
          <w:p>
            <w:pPr>
              <w:pStyle w:val="TableParagraph"/>
              <w:spacing w:before="37"/>
              <w:ind w:left="105"/>
              <w:rPr>
                <w:sz w:val="21"/>
              </w:rPr>
            </w:pPr>
            <w:r>
              <w:rPr>
                <w:sz w:val="21"/>
              </w:rPr>
              <w:t>丧失</w:t>
            </w:r>
          </w:p>
        </w:tc>
      </w:tr>
      <w:tr>
        <w:trPr>
          <w:trHeight w:val="623" w:hRule="atLeast"/>
        </w:trPr>
        <w:tc>
          <w:tcPr>
            <w:tcW w:w="4240" w:type="dxa"/>
          </w:tcPr>
          <w:p>
            <w:pPr>
              <w:pStyle w:val="TableParagraph"/>
              <w:spacing w:line="260" w:lineRule="exact"/>
              <w:ind w:left="110"/>
              <w:rPr>
                <w:sz w:val="21"/>
              </w:rPr>
            </w:pPr>
            <w:r>
              <w:rPr>
                <w:sz w:val="21"/>
              </w:rPr>
              <w:t>六、终末期肾病（或称慢性肾功能衰竭尿毒</w:t>
            </w:r>
          </w:p>
          <w:p>
            <w:pPr>
              <w:pStyle w:val="TableParagraph"/>
              <w:spacing w:before="37"/>
              <w:ind w:left="110"/>
              <w:rPr>
                <w:sz w:val="21"/>
              </w:rPr>
            </w:pPr>
            <w:r>
              <w:rPr>
                <w:sz w:val="21"/>
              </w:rPr>
              <w:t>症期）-须透析治疗或肾脏移植手术</w:t>
            </w:r>
          </w:p>
        </w:tc>
        <w:tc>
          <w:tcPr>
            <w:tcW w:w="4239" w:type="dxa"/>
          </w:tcPr>
          <w:p>
            <w:pPr>
              <w:pStyle w:val="TableParagraph"/>
              <w:spacing w:line="260" w:lineRule="exact"/>
              <w:ind w:left="105"/>
              <w:rPr>
                <w:sz w:val="21"/>
              </w:rPr>
            </w:pPr>
            <w:r>
              <w:rPr>
                <w:sz w:val="21"/>
              </w:rPr>
              <w:t>十六、严重脑损伤-永久性的功能障碍</w:t>
            </w:r>
          </w:p>
        </w:tc>
      </w:tr>
      <w:tr>
        <w:trPr>
          <w:trHeight w:val="311" w:hRule="atLeast"/>
        </w:trPr>
        <w:tc>
          <w:tcPr>
            <w:tcW w:w="4240" w:type="dxa"/>
          </w:tcPr>
          <w:p>
            <w:pPr>
              <w:pStyle w:val="TableParagraph"/>
              <w:spacing w:line="260" w:lineRule="exact"/>
              <w:ind w:left="110"/>
              <w:rPr>
                <w:sz w:val="21"/>
              </w:rPr>
            </w:pPr>
            <w:r>
              <w:rPr>
                <w:sz w:val="21"/>
              </w:rPr>
              <w:t>七、急性或亚急性重症肝炎</w:t>
            </w:r>
          </w:p>
        </w:tc>
        <w:tc>
          <w:tcPr>
            <w:tcW w:w="4239" w:type="dxa"/>
          </w:tcPr>
          <w:p>
            <w:pPr>
              <w:pStyle w:val="TableParagraph"/>
              <w:spacing w:line="260" w:lineRule="exact"/>
              <w:ind w:left="105"/>
              <w:rPr>
                <w:sz w:val="21"/>
              </w:rPr>
            </w:pPr>
            <w:r>
              <w:rPr>
                <w:sz w:val="21"/>
              </w:rPr>
              <w:t>十七、严重帕金森病-自主生活能力完全丧失</w:t>
            </w:r>
          </w:p>
        </w:tc>
      </w:tr>
      <w:tr>
        <w:trPr>
          <w:trHeight w:val="623" w:hRule="atLeast"/>
        </w:trPr>
        <w:tc>
          <w:tcPr>
            <w:tcW w:w="4240" w:type="dxa"/>
          </w:tcPr>
          <w:p>
            <w:pPr>
              <w:pStyle w:val="TableParagraph"/>
              <w:spacing w:line="260" w:lineRule="exact"/>
              <w:ind w:left="110"/>
              <w:rPr>
                <w:sz w:val="21"/>
              </w:rPr>
            </w:pPr>
            <w:r>
              <w:rPr>
                <w:sz w:val="21"/>
              </w:rPr>
              <w:t>八、良性脑肿瘤-须开颅手术或放射治疗</w:t>
            </w:r>
          </w:p>
        </w:tc>
        <w:tc>
          <w:tcPr>
            <w:tcW w:w="4239" w:type="dxa"/>
          </w:tcPr>
          <w:p>
            <w:pPr>
              <w:pStyle w:val="TableParagraph"/>
              <w:spacing w:line="260" w:lineRule="exact"/>
              <w:ind w:left="105"/>
              <w:rPr>
                <w:sz w:val="21"/>
              </w:rPr>
            </w:pPr>
            <w:r>
              <w:rPr>
                <w:sz w:val="21"/>
              </w:rPr>
              <w:t>十八、严重 III 度烧伤-至少达体表面积的</w:t>
            </w:r>
          </w:p>
          <w:p>
            <w:pPr>
              <w:pStyle w:val="TableParagraph"/>
              <w:spacing w:before="37"/>
              <w:ind w:left="105"/>
              <w:rPr>
                <w:sz w:val="21"/>
              </w:rPr>
            </w:pPr>
            <w:r>
              <w:rPr>
                <w:sz w:val="21"/>
              </w:rPr>
              <w:t>20%</w:t>
            </w:r>
          </w:p>
        </w:tc>
      </w:tr>
      <w:tr>
        <w:trPr>
          <w:trHeight w:val="624" w:hRule="atLeast"/>
        </w:trPr>
        <w:tc>
          <w:tcPr>
            <w:tcW w:w="4240" w:type="dxa"/>
          </w:tcPr>
          <w:p>
            <w:pPr>
              <w:pStyle w:val="TableParagraph"/>
              <w:spacing w:line="260" w:lineRule="exact"/>
              <w:ind w:left="110"/>
              <w:rPr>
                <w:sz w:val="21"/>
              </w:rPr>
            </w:pPr>
            <w:r>
              <w:rPr>
                <w:sz w:val="21"/>
              </w:rPr>
              <w:t>九、慢性肝功能衰竭失代偿期-不包括酗酒或</w:t>
            </w:r>
          </w:p>
          <w:p>
            <w:pPr>
              <w:pStyle w:val="TableParagraph"/>
              <w:spacing w:before="37"/>
              <w:ind w:left="110"/>
              <w:rPr>
                <w:sz w:val="21"/>
              </w:rPr>
            </w:pPr>
            <w:r>
              <w:rPr>
                <w:sz w:val="21"/>
              </w:rPr>
              <w:t>药物滥用所致</w:t>
            </w:r>
          </w:p>
        </w:tc>
        <w:tc>
          <w:tcPr>
            <w:tcW w:w="4239" w:type="dxa"/>
          </w:tcPr>
          <w:p>
            <w:pPr>
              <w:pStyle w:val="TableParagraph"/>
              <w:spacing w:line="260" w:lineRule="exact"/>
              <w:ind w:left="105"/>
              <w:rPr>
                <w:sz w:val="21"/>
              </w:rPr>
            </w:pPr>
            <w:r>
              <w:rPr>
                <w:sz w:val="21"/>
              </w:rPr>
              <w:t>十九、严重多发性硬化症</w:t>
            </w:r>
          </w:p>
        </w:tc>
      </w:tr>
      <w:tr>
        <w:trPr>
          <w:trHeight w:val="623" w:hRule="atLeast"/>
        </w:trPr>
        <w:tc>
          <w:tcPr>
            <w:tcW w:w="4240" w:type="dxa"/>
          </w:tcPr>
          <w:p>
            <w:pPr>
              <w:pStyle w:val="TableParagraph"/>
              <w:spacing w:line="260" w:lineRule="exact"/>
              <w:ind w:left="110"/>
              <w:rPr>
                <w:sz w:val="21"/>
              </w:rPr>
            </w:pPr>
            <w:r>
              <w:rPr>
                <w:sz w:val="21"/>
              </w:rPr>
              <w:t>十、脑炎后遗症或脑膜炎后遗症-永久性的功</w:t>
            </w:r>
          </w:p>
          <w:p>
            <w:pPr>
              <w:pStyle w:val="TableParagraph"/>
              <w:spacing w:before="37"/>
              <w:ind w:left="110"/>
              <w:rPr>
                <w:sz w:val="21"/>
              </w:rPr>
            </w:pPr>
            <w:r>
              <w:rPr>
                <w:sz w:val="21"/>
              </w:rPr>
              <w:t>能障碍</w:t>
            </w:r>
          </w:p>
        </w:tc>
        <w:tc>
          <w:tcPr>
            <w:tcW w:w="4239" w:type="dxa"/>
          </w:tcPr>
          <w:p>
            <w:pPr>
              <w:pStyle w:val="TableParagraph"/>
              <w:spacing w:line="260" w:lineRule="exact"/>
              <w:ind w:left="105"/>
              <w:rPr>
                <w:sz w:val="21"/>
              </w:rPr>
            </w:pPr>
            <w:r>
              <w:rPr>
                <w:sz w:val="21"/>
              </w:rPr>
              <w:t>二十、慢性呼吸功能衰竭终末期肺病</w:t>
            </w:r>
          </w:p>
        </w:tc>
      </w:tr>
    </w:tbl>
    <w:p>
      <w:pPr>
        <w:pStyle w:val="BodyText"/>
        <w:spacing w:before="10"/>
        <w:rPr>
          <w:rFonts w:ascii="微软雅黑"/>
          <w:b/>
          <w:sz w:val="13"/>
        </w:rPr>
      </w:pPr>
    </w:p>
    <w:p>
      <w:pPr>
        <w:spacing w:before="0" w:after="26"/>
        <w:ind w:left="220" w:right="0" w:firstLine="0"/>
        <w:jc w:val="left"/>
        <w:rPr>
          <w:rFonts w:ascii="微软雅黑" w:eastAsia="微软雅黑" w:hint="eastAsia"/>
          <w:b/>
          <w:sz w:val="21"/>
        </w:rPr>
      </w:pPr>
      <w:r>
        <w:rPr>
          <w:rFonts w:ascii="微软雅黑" w:eastAsia="微软雅黑" w:hint="eastAsia"/>
          <w:b/>
          <w:sz w:val="21"/>
        </w:rPr>
        <w:t>全面保障：</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40"/>
        <w:gridCol w:w="4239"/>
      </w:tblGrid>
      <w:tr>
        <w:trPr>
          <w:trHeight w:val="624" w:hRule="atLeast"/>
        </w:trPr>
        <w:tc>
          <w:tcPr>
            <w:tcW w:w="4240" w:type="dxa"/>
          </w:tcPr>
          <w:p>
            <w:pPr>
              <w:pStyle w:val="TableParagraph"/>
              <w:spacing w:line="260" w:lineRule="exact"/>
              <w:ind w:left="110"/>
              <w:rPr>
                <w:sz w:val="21"/>
              </w:rPr>
            </w:pPr>
            <w:r>
              <w:rPr>
                <w:sz w:val="21"/>
              </w:rPr>
              <w:t>一、恶性肿瘤-不包括部分早期恶性肿瘤</w:t>
            </w:r>
          </w:p>
        </w:tc>
        <w:tc>
          <w:tcPr>
            <w:tcW w:w="4239" w:type="dxa"/>
          </w:tcPr>
          <w:p>
            <w:pPr>
              <w:pStyle w:val="TableParagraph"/>
              <w:spacing w:line="260" w:lineRule="exact"/>
              <w:ind w:left="105"/>
              <w:rPr>
                <w:sz w:val="21"/>
              </w:rPr>
            </w:pPr>
            <w:r>
              <w:rPr>
                <w:sz w:val="21"/>
              </w:rPr>
              <w:t>十七、严重阿尔茨海默病-自主生活能力完全</w:t>
            </w:r>
          </w:p>
          <w:p>
            <w:pPr>
              <w:pStyle w:val="TableParagraph"/>
              <w:spacing w:before="37"/>
              <w:ind w:left="105"/>
              <w:rPr>
                <w:sz w:val="21"/>
              </w:rPr>
            </w:pPr>
            <w:r>
              <w:rPr>
                <w:sz w:val="21"/>
              </w:rPr>
              <w:t>丧失</w:t>
            </w:r>
          </w:p>
        </w:tc>
      </w:tr>
      <w:tr>
        <w:trPr>
          <w:trHeight w:val="311" w:hRule="atLeast"/>
        </w:trPr>
        <w:tc>
          <w:tcPr>
            <w:tcW w:w="4240" w:type="dxa"/>
          </w:tcPr>
          <w:p>
            <w:pPr>
              <w:pStyle w:val="TableParagraph"/>
              <w:spacing w:line="260" w:lineRule="exact"/>
              <w:ind w:left="110"/>
              <w:rPr>
                <w:sz w:val="21"/>
              </w:rPr>
            </w:pPr>
            <w:r>
              <w:rPr>
                <w:sz w:val="21"/>
              </w:rPr>
              <w:t>二、急性心肌梗塞</w:t>
            </w:r>
          </w:p>
        </w:tc>
        <w:tc>
          <w:tcPr>
            <w:tcW w:w="4239" w:type="dxa"/>
          </w:tcPr>
          <w:p>
            <w:pPr>
              <w:pStyle w:val="TableParagraph"/>
              <w:spacing w:line="260" w:lineRule="exact"/>
              <w:ind w:left="105"/>
              <w:rPr>
                <w:sz w:val="21"/>
              </w:rPr>
            </w:pPr>
            <w:r>
              <w:rPr>
                <w:sz w:val="21"/>
              </w:rPr>
              <w:t>十八、严重脑损伤-永久性的功能障碍</w:t>
            </w:r>
          </w:p>
        </w:tc>
      </w:tr>
      <w:tr>
        <w:trPr>
          <w:trHeight w:val="311" w:hRule="atLeast"/>
        </w:trPr>
        <w:tc>
          <w:tcPr>
            <w:tcW w:w="4240" w:type="dxa"/>
          </w:tcPr>
          <w:p>
            <w:pPr>
              <w:pStyle w:val="TableParagraph"/>
              <w:spacing w:line="260" w:lineRule="exact"/>
              <w:ind w:left="110"/>
              <w:rPr>
                <w:sz w:val="21"/>
              </w:rPr>
            </w:pPr>
            <w:r>
              <w:rPr>
                <w:sz w:val="21"/>
              </w:rPr>
              <w:t>三、脑中风后遗症-永久性的功能障碍</w:t>
            </w:r>
          </w:p>
        </w:tc>
        <w:tc>
          <w:tcPr>
            <w:tcW w:w="4239" w:type="dxa"/>
          </w:tcPr>
          <w:p>
            <w:pPr>
              <w:pStyle w:val="TableParagraph"/>
              <w:spacing w:line="260" w:lineRule="exact"/>
              <w:ind w:left="105"/>
              <w:rPr>
                <w:sz w:val="21"/>
              </w:rPr>
            </w:pPr>
            <w:r>
              <w:rPr>
                <w:sz w:val="21"/>
              </w:rPr>
              <w:t>十九、严重帕金森病-自主生活能力完全丧失</w:t>
            </w:r>
          </w:p>
        </w:tc>
      </w:tr>
      <w:tr>
        <w:trPr>
          <w:trHeight w:val="628" w:hRule="atLeast"/>
        </w:trPr>
        <w:tc>
          <w:tcPr>
            <w:tcW w:w="4240" w:type="dxa"/>
          </w:tcPr>
          <w:p>
            <w:pPr>
              <w:pStyle w:val="TableParagraph"/>
              <w:spacing w:line="273" w:lineRule="auto"/>
              <w:ind w:left="110" w:right="93"/>
              <w:rPr>
                <w:sz w:val="21"/>
              </w:rPr>
            </w:pPr>
            <w:r>
              <w:rPr>
                <w:sz w:val="21"/>
              </w:rPr>
              <w:t>四、重大器官移植术或造血干细胞移植术- 须异体移植手术</w:t>
            </w:r>
          </w:p>
        </w:tc>
        <w:tc>
          <w:tcPr>
            <w:tcW w:w="4239" w:type="dxa"/>
          </w:tcPr>
          <w:p>
            <w:pPr>
              <w:pStyle w:val="TableParagraph"/>
              <w:spacing w:line="273" w:lineRule="auto"/>
              <w:ind w:left="105" w:right="102"/>
              <w:rPr>
                <w:sz w:val="21"/>
              </w:rPr>
            </w:pPr>
            <w:r>
              <w:rPr>
                <w:sz w:val="21"/>
              </w:rPr>
              <w:t>二十、严重 III 度烧伤-至少达体表面积的20%</w:t>
            </w:r>
          </w:p>
        </w:tc>
      </w:tr>
      <w:tr>
        <w:trPr>
          <w:trHeight w:val="623" w:hRule="atLeast"/>
        </w:trPr>
        <w:tc>
          <w:tcPr>
            <w:tcW w:w="4240" w:type="dxa"/>
          </w:tcPr>
          <w:p>
            <w:pPr>
              <w:pStyle w:val="TableParagraph"/>
              <w:spacing w:line="260" w:lineRule="exact"/>
              <w:ind w:left="110"/>
              <w:rPr>
                <w:sz w:val="21"/>
              </w:rPr>
            </w:pPr>
            <w:r>
              <w:rPr>
                <w:sz w:val="21"/>
              </w:rPr>
              <w:t>五、冠状动脉搭桥术（或称冠状动脉旁路移</w:t>
            </w:r>
          </w:p>
          <w:p>
            <w:pPr>
              <w:pStyle w:val="TableParagraph"/>
              <w:spacing w:before="37"/>
              <w:ind w:left="110"/>
              <w:rPr>
                <w:sz w:val="21"/>
              </w:rPr>
            </w:pPr>
            <w:r>
              <w:rPr>
                <w:sz w:val="21"/>
              </w:rPr>
              <w:t>植术）-须开胸手术</w:t>
            </w:r>
          </w:p>
        </w:tc>
        <w:tc>
          <w:tcPr>
            <w:tcW w:w="4239" w:type="dxa"/>
          </w:tcPr>
          <w:p>
            <w:pPr>
              <w:pStyle w:val="TableParagraph"/>
              <w:spacing w:line="260" w:lineRule="exact"/>
              <w:ind w:left="105"/>
              <w:rPr>
                <w:sz w:val="21"/>
              </w:rPr>
            </w:pPr>
            <w:r>
              <w:rPr>
                <w:sz w:val="21"/>
              </w:rPr>
              <w:t>二十一、严重原发性肺动脉高压-有心力衰竭</w:t>
            </w:r>
          </w:p>
          <w:p>
            <w:pPr>
              <w:pStyle w:val="TableParagraph"/>
              <w:spacing w:before="37"/>
              <w:ind w:left="105"/>
              <w:rPr>
                <w:sz w:val="21"/>
              </w:rPr>
            </w:pPr>
            <w:r>
              <w:rPr>
                <w:sz w:val="21"/>
              </w:rPr>
              <w:t>表现</w:t>
            </w:r>
          </w:p>
        </w:tc>
      </w:tr>
      <w:tr>
        <w:trPr>
          <w:trHeight w:val="623" w:hRule="atLeast"/>
        </w:trPr>
        <w:tc>
          <w:tcPr>
            <w:tcW w:w="4240" w:type="dxa"/>
          </w:tcPr>
          <w:p>
            <w:pPr>
              <w:pStyle w:val="TableParagraph"/>
              <w:spacing w:line="260" w:lineRule="exact"/>
              <w:ind w:left="110"/>
              <w:rPr>
                <w:sz w:val="21"/>
              </w:rPr>
            </w:pPr>
            <w:r>
              <w:rPr>
                <w:sz w:val="21"/>
              </w:rPr>
              <w:t>六、终末期肾病（或称慢性肾功能衰竭尿毒</w:t>
            </w:r>
          </w:p>
          <w:p>
            <w:pPr>
              <w:pStyle w:val="TableParagraph"/>
              <w:spacing w:before="37"/>
              <w:ind w:left="110"/>
              <w:rPr>
                <w:sz w:val="21"/>
              </w:rPr>
            </w:pPr>
            <w:r>
              <w:rPr>
                <w:sz w:val="21"/>
              </w:rPr>
              <w:t>症期）-须透析治疗或肾脏移植手术</w:t>
            </w:r>
          </w:p>
        </w:tc>
        <w:tc>
          <w:tcPr>
            <w:tcW w:w="4239" w:type="dxa"/>
          </w:tcPr>
          <w:p>
            <w:pPr>
              <w:pStyle w:val="TableParagraph"/>
              <w:spacing w:line="260" w:lineRule="exact"/>
              <w:ind w:left="105"/>
              <w:rPr>
                <w:sz w:val="21"/>
              </w:rPr>
            </w:pPr>
            <w:r>
              <w:rPr>
                <w:sz w:val="21"/>
              </w:rPr>
              <w:t>二十二、严重运动神经元病-自主生活能力完</w:t>
            </w:r>
          </w:p>
          <w:p>
            <w:pPr>
              <w:pStyle w:val="TableParagraph"/>
              <w:spacing w:before="37"/>
              <w:ind w:left="105"/>
              <w:rPr>
                <w:sz w:val="21"/>
              </w:rPr>
            </w:pPr>
            <w:r>
              <w:rPr>
                <w:sz w:val="21"/>
              </w:rPr>
              <w:t>全丧失</w:t>
            </w:r>
          </w:p>
        </w:tc>
      </w:tr>
      <w:tr>
        <w:trPr>
          <w:trHeight w:val="624" w:hRule="atLeast"/>
        </w:trPr>
        <w:tc>
          <w:tcPr>
            <w:tcW w:w="4240" w:type="dxa"/>
          </w:tcPr>
          <w:p>
            <w:pPr>
              <w:pStyle w:val="TableParagraph"/>
              <w:spacing w:line="260" w:lineRule="exact"/>
              <w:ind w:left="110"/>
              <w:rPr>
                <w:sz w:val="21"/>
              </w:rPr>
            </w:pPr>
            <w:r>
              <w:rPr>
                <w:sz w:val="21"/>
              </w:rPr>
              <w:t>七、多个肢体缺失-完全性断离</w:t>
            </w:r>
          </w:p>
        </w:tc>
        <w:tc>
          <w:tcPr>
            <w:tcW w:w="4239" w:type="dxa"/>
          </w:tcPr>
          <w:p>
            <w:pPr>
              <w:pStyle w:val="TableParagraph"/>
              <w:spacing w:line="260" w:lineRule="exact"/>
              <w:ind w:left="105"/>
              <w:rPr>
                <w:sz w:val="21"/>
              </w:rPr>
            </w:pPr>
            <w:r>
              <w:rPr>
                <w:sz w:val="21"/>
              </w:rPr>
              <w:t>二十三、语言能力丧失-完全丧失且经积极治</w:t>
            </w:r>
          </w:p>
          <w:p>
            <w:pPr>
              <w:pStyle w:val="TableParagraph"/>
              <w:spacing w:before="37"/>
              <w:ind w:left="105"/>
              <w:rPr>
                <w:sz w:val="21"/>
              </w:rPr>
            </w:pPr>
            <w:r>
              <w:rPr>
                <w:sz w:val="21"/>
              </w:rPr>
              <w:t>疗至少 12 个月</w:t>
            </w:r>
          </w:p>
        </w:tc>
      </w:tr>
      <w:tr>
        <w:trPr>
          <w:trHeight w:val="311" w:hRule="atLeast"/>
        </w:trPr>
        <w:tc>
          <w:tcPr>
            <w:tcW w:w="4240" w:type="dxa"/>
          </w:tcPr>
          <w:p>
            <w:pPr>
              <w:pStyle w:val="TableParagraph"/>
              <w:spacing w:line="260" w:lineRule="exact"/>
              <w:ind w:left="110"/>
              <w:rPr>
                <w:sz w:val="21"/>
              </w:rPr>
            </w:pPr>
            <w:r>
              <w:rPr>
                <w:sz w:val="21"/>
              </w:rPr>
              <w:t>八、急性或亚急性重症肝炎</w:t>
            </w:r>
          </w:p>
        </w:tc>
        <w:tc>
          <w:tcPr>
            <w:tcW w:w="4239" w:type="dxa"/>
          </w:tcPr>
          <w:p>
            <w:pPr>
              <w:pStyle w:val="TableParagraph"/>
              <w:spacing w:line="260" w:lineRule="exact"/>
              <w:ind w:left="105"/>
              <w:rPr>
                <w:sz w:val="21"/>
              </w:rPr>
            </w:pPr>
            <w:r>
              <w:rPr>
                <w:sz w:val="21"/>
              </w:rPr>
              <w:t>二十四、重型再生障碍性贫血</w:t>
            </w:r>
          </w:p>
        </w:tc>
      </w:tr>
      <w:tr>
        <w:trPr>
          <w:trHeight w:val="311" w:hRule="atLeast"/>
        </w:trPr>
        <w:tc>
          <w:tcPr>
            <w:tcW w:w="4240" w:type="dxa"/>
          </w:tcPr>
          <w:p>
            <w:pPr>
              <w:pStyle w:val="TableParagraph"/>
              <w:spacing w:line="260" w:lineRule="exact"/>
              <w:ind w:left="110"/>
              <w:rPr>
                <w:sz w:val="21"/>
              </w:rPr>
            </w:pPr>
            <w:r>
              <w:rPr>
                <w:sz w:val="21"/>
              </w:rPr>
              <w:t>九、良性脑肿瘤-须开颅手术或放射治疗</w:t>
            </w:r>
          </w:p>
        </w:tc>
        <w:tc>
          <w:tcPr>
            <w:tcW w:w="4239" w:type="dxa"/>
          </w:tcPr>
          <w:p>
            <w:pPr>
              <w:pStyle w:val="TableParagraph"/>
              <w:spacing w:line="260" w:lineRule="exact"/>
              <w:ind w:left="105"/>
              <w:rPr>
                <w:sz w:val="21"/>
              </w:rPr>
            </w:pPr>
            <w:r>
              <w:rPr>
                <w:sz w:val="21"/>
              </w:rPr>
              <w:t>二十五、主动脉手术-须开胸或开腹手术</w:t>
            </w:r>
          </w:p>
        </w:tc>
      </w:tr>
      <w:tr>
        <w:trPr>
          <w:trHeight w:val="311" w:hRule="atLeast"/>
        </w:trPr>
        <w:tc>
          <w:tcPr>
            <w:tcW w:w="4240" w:type="dxa"/>
          </w:tcPr>
          <w:p>
            <w:pPr>
              <w:pStyle w:val="TableParagraph"/>
              <w:spacing w:line="260" w:lineRule="exact"/>
              <w:ind w:left="110"/>
              <w:rPr>
                <w:sz w:val="21"/>
              </w:rPr>
            </w:pPr>
            <w:r>
              <w:rPr>
                <w:sz w:val="21"/>
              </w:rPr>
              <w:t>十、慢性肝功能衰竭失代偿期-不包括酗酒或</w:t>
            </w:r>
          </w:p>
        </w:tc>
        <w:tc>
          <w:tcPr>
            <w:tcW w:w="4239" w:type="dxa"/>
          </w:tcPr>
          <w:p>
            <w:pPr>
              <w:pStyle w:val="TableParagraph"/>
              <w:spacing w:line="260" w:lineRule="exact"/>
              <w:ind w:left="105"/>
              <w:rPr>
                <w:sz w:val="21"/>
              </w:rPr>
            </w:pPr>
            <w:r>
              <w:rPr>
                <w:sz w:val="21"/>
              </w:rPr>
              <w:t>二十六、严重多发性硬化症</w:t>
            </w:r>
          </w:p>
        </w:tc>
      </w:tr>
    </w:tbl>
    <w:p>
      <w:pPr>
        <w:spacing w:after="0" w:line="260" w:lineRule="exact"/>
        <w:rPr>
          <w:sz w:val="21"/>
        </w:rPr>
        <w:sectPr>
          <w:pgSz w:w="11910" w:h="16840"/>
          <w:pgMar w:header="0" w:footer="898" w:top="1380" w:bottom="1080" w:left="1580" w:right="16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40"/>
        <w:gridCol w:w="4239"/>
      </w:tblGrid>
      <w:tr>
        <w:trPr>
          <w:trHeight w:val="311" w:hRule="atLeast"/>
        </w:trPr>
        <w:tc>
          <w:tcPr>
            <w:tcW w:w="4240" w:type="dxa"/>
          </w:tcPr>
          <w:p>
            <w:pPr>
              <w:pStyle w:val="TableParagraph"/>
              <w:spacing w:line="260" w:lineRule="exact"/>
              <w:ind w:left="110"/>
              <w:rPr>
                <w:sz w:val="21"/>
              </w:rPr>
            </w:pPr>
            <w:r>
              <w:rPr>
                <w:sz w:val="21"/>
              </w:rPr>
              <w:t>药物滥用所致</w:t>
            </w:r>
          </w:p>
        </w:tc>
        <w:tc>
          <w:tcPr>
            <w:tcW w:w="4239" w:type="dxa"/>
          </w:tcPr>
          <w:p>
            <w:pPr>
              <w:pStyle w:val="TableParagraph"/>
              <w:ind w:left="0"/>
              <w:rPr>
                <w:rFonts w:ascii="Times New Roman"/>
                <w:sz w:val="20"/>
              </w:rPr>
            </w:pPr>
          </w:p>
        </w:tc>
      </w:tr>
      <w:tr>
        <w:trPr>
          <w:trHeight w:val="624" w:hRule="atLeast"/>
        </w:trPr>
        <w:tc>
          <w:tcPr>
            <w:tcW w:w="4240" w:type="dxa"/>
          </w:tcPr>
          <w:p>
            <w:pPr>
              <w:pStyle w:val="TableParagraph"/>
              <w:spacing w:line="260" w:lineRule="exact"/>
              <w:ind w:left="110"/>
              <w:rPr>
                <w:sz w:val="21"/>
              </w:rPr>
            </w:pPr>
            <w:r>
              <w:rPr>
                <w:sz w:val="21"/>
              </w:rPr>
              <w:t>十一、脑炎后遗症或脑膜炎后遗症-永久性的</w:t>
            </w:r>
          </w:p>
          <w:p>
            <w:pPr>
              <w:pStyle w:val="TableParagraph"/>
              <w:spacing w:before="37"/>
              <w:ind w:left="110"/>
              <w:rPr>
                <w:sz w:val="21"/>
              </w:rPr>
            </w:pPr>
            <w:r>
              <w:rPr>
                <w:sz w:val="21"/>
              </w:rPr>
              <w:t>功能障碍</w:t>
            </w:r>
          </w:p>
        </w:tc>
        <w:tc>
          <w:tcPr>
            <w:tcW w:w="4239" w:type="dxa"/>
          </w:tcPr>
          <w:p>
            <w:pPr>
              <w:pStyle w:val="TableParagraph"/>
              <w:spacing w:line="260" w:lineRule="exact"/>
              <w:ind w:left="105"/>
              <w:rPr>
                <w:sz w:val="21"/>
              </w:rPr>
            </w:pPr>
            <w:r>
              <w:rPr>
                <w:sz w:val="21"/>
              </w:rPr>
              <w:t>二十七、慢性呼吸功能衰竭终末期肺病</w:t>
            </w:r>
          </w:p>
        </w:tc>
      </w:tr>
      <w:tr>
        <w:trPr>
          <w:trHeight w:val="311" w:hRule="atLeast"/>
        </w:trPr>
        <w:tc>
          <w:tcPr>
            <w:tcW w:w="4240" w:type="dxa"/>
          </w:tcPr>
          <w:p>
            <w:pPr>
              <w:pStyle w:val="TableParagraph"/>
              <w:spacing w:line="260" w:lineRule="exact"/>
              <w:ind w:left="110"/>
              <w:rPr>
                <w:sz w:val="21"/>
              </w:rPr>
            </w:pPr>
            <w:r>
              <w:rPr>
                <w:sz w:val="21"/>
              </w:rPr>
              <w:t>十二、深度昏迷-不包括酗酒或药物滥用所致</w:t>
            </w:r>
          </w:p>
        </w:tc>
        <w:tc>
          <w:tcPr>
            <w:tcW w:w="4239" w:type="dxa"/>
          </w:tcPr>
          <w:p>
            <w:pPr>
              <w:pStyle w:val="TableParagraph"/>
              <w:spacing w:line="260" w:lineRule="exact"/>
              <w:ind w:left="105"/>
              <w:rPr>
                <w:sz w:val="21"/>
              </w:rPr>
            </w:pPr>
            <w:r>
              <w:rPr>
                <w:sz w:val="21"/>
              </w:rPr>
              <w:t>二十八、严重系统性红斑狼疮性肾病</w:t>
            </w:r>
          </w:p>
        </w:tc>
      </w:tr>
      <w:tr>
        <w:trPr>
          <w:trHeight w:val="311" w:hRule="atLeast"/>
        </w:trPr>
        <w:tc>
          <w:tcPr>
            <w:tcW w:w="4240" w:type="dxa"/>
          </w:tcPr>
          <w:p>
            <w:pPr>
              <w:pStyle w:val="TableParagraph"/>
              <w:spacing w:line="260" w:lineRule="exact"/>
              <w:ind w:left="110"/>
              <w:rPr>
                <w:sz w:val="21"/>
              </w:rPr>
            </w:pPr>
            <w:r>
              <w:rPr>
                <w:sz w:val="21"/>
              </w:rPr>
              <w:t>十三、双耳失聪-永久不可逆</w:t>
            </w:r>
          </w:p>
        </w:tc>
        <w:tc>
          <w:tcPr>
            <w:tcW w:w="4239" w:type="dxa"/>
          </w:tcPr>
          <w:p>
            <w:pPr>
              <w:pStyle w:val="TableParagraph"/>
              <w:spacing w:line="260" w:lineRule="exact"/>
              <w:ind w:left="105"/>
              <w:rPr>
                <w:sz w:val="21"/>
              </w:rPr>
            </w:pPr>
            <w:r>
              <w:rPr>
                <w:sz w:val="21"/>
              </w:rPr>
              <w:t>二十九、脑动脉瘤开颅手术</w:t>
            </w:r>
          </w:p>
        </w:tc>
      </w:tr>
      <w:tr>
        <w:trPr>
          <w:trHeight w:val="311" w:hRule="atLeast"/>
        </w:trPr>
        <w:tc>
          <w:tcPr>
            <w:tcW w:w="4240" w:type="dxa"/>
          </w:tcPr>
          <w:p>
            <w:pPr>
              <w:pStyle w:val="TableParagraph"/>
              <w:spacing w:line="260" w:lineRule="exact"/>
              <w:ind w:left="110"/>
              <w:rPr>
                <w:sz w:val="21"/>
              </w:rPr>
            </w:pPr>
            <w:r>
              <w:rPr>
                <w:sz w:val="21"/>
              </w:rPr>
              <w:t>十四、双目失明-永久不可逆</w:t>
            </w:r>
          </w:p>
        </w:tc>
        <w:tc>
          <w:tcPr>
            <w:tcW w:w="4239" w:type="dxa"/>
          </w:tcPr>
          <w:p>
            <w:pPr>
              <w:pStyle w:val="TableParagraph"/>
              <w:spacing w:line="260" w:lineRule="exact"/>
              <w:ind w:left="105"/>
              <w:rPr>
                <w:sz w:val="21"/>
              </w:rPr>
            </w:pPr>
            <w:r>
              <w:rPr>
                <w:sz w:val="21"/>
              </w:rPr>
              <w:t>三十、肌营养不良症</w:t>
            </w:r>
          </w:p>
        </w:tc>
      </w:tr>
      <w:tr>
        <w:trPr>
          <w:trHeight w:val="623" w:hRule="atLeast"/>
        </w:trPr>
        <w:tc>
          <w:tcPr>
            <w:tcW w:w="4240" w:type="dxa"/>
          </w:tcPr>
          <w:p>
            <w:pPr>
              <w:pStyle w:val="TableParagraph"/>
              <w:spacing w:line="260" w:lineRule="exact"/>
              <w:ind w:left="110"/>
              <w:rPr>
                <w:sz w:val="21"/>
              </w:rPr>
            </w:pPr>
            <w:r>
              <w:rPr>
                <w:sz w:val="21"/>
              </w:rPr>
              <w:t>十五、瘫痪-永久完全</w:t>
            </w:r>
          </w:p>
        </w:tc>
        <w:tc>
          <w:tcPr>
            <w:tcW w:w="4239" w:type="dxa"/>
          </w:tcPr>
          <w:p>
            <w:pPr>
              <w:pStyle w:val="TableParagraph"/>
              <w:spacing w:line="260" w:lineRule="exact"/>
              <w:ind w:left="105"/>
              <w:rPr>
                <w:sz w:val="21"/>
              </w:rPr>
            </w:pPr>
            <w:r>
              <w:rPr>
                <w:sz w:val="21"/>
              </w:rPr>
              <w:t>三十一、植物人状态（或称大脑去皮层综合</w:t>
            </w:r>
          </w:p>
          <w:p>
            <w:pPr>
              <w:pStyle w:val="TableParagraph"/>
              <w:spacing w:before="37"/>
              <w:ind w:left="105"/>
              <w:rPr>
                <w:sz w:val="21"/>
              </w:rPr>
            </w:pPr>
            <w:r>
              <w:rPr>
                <w:sz w:val="21"/>
              </w:rPr>
              <w:t>征）-不包括酗酒或药物滥用所致</w:t>
            </w:r>
          </w:p>
        </w:tc>
      </w:tr>
      <w:tr>
        <w:trPr>
          <w:trHeight w:val="316" w:hRule="atLeast"/>
        </w:trPr>
        <w:tc>
          <w:tcPr>
            <w:tcW w:w="4240" w:type="dxa"/>
          </w:tcPr>
          <w:p>
            <w:pPr>
              <w:pStyle w:val="TableParagraph"/>
              <w:spacing w:line="265" w:lineRule="exact"/>
              <w:ind w:left="110"/>
              <w:rPr>
                <w:sz w:val="21"/>
              </w:rPr>
            </w:pPr>
            <w:r>
              <w:rPr>
                <w:sz w:val="21"/>
              </w:rPr>
              <w:t>十六、心脏瓣膜手术-须开胸手术</w:t>
            </w:r>
          </w:p>
        </w:tc>
        <w:tc>
          <w:tcPr>
            <w:tcW w:w="4239" w:type="dxa"/>
          </w:tcPr>
          <w:p>
            <w:pPr>
              <w:pStyle w:val="TableParagraph"/>
              <w:spacing w:line="265" w:lineRule="exact"/>
              <w:ind w:left="105"/>
              <w:rPr>
                <w:sz w:val="21"/>
              </w:rPr>
            </w:pPr>
            <w:r>
              <w:rPr>
                <w:sz w:val="21"/>
              </w:rPr>
              <w:t>三十二、急性出血坏死性胰腺炎开腹术</w:t>
            </w:r>
          </w:p>
        </w:tc>
      </w:tr>
    </w:tbl>
    <w:sectPr>
      <w:pgSz w:w="11910" w:h="16840"/>
      <w:pgMar w:header="0" w:footer="898" w:top="1420" w:bottom="1080" w:left="158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Calibri">
    <w:altName w:val="Calibri"/>
    <w:charset w:val="0"/>
    <w:family w:val="swiss"/>
    <w:pitch w:val="variable"/>
  </w:font>
  <w:font w:name="Symbol">
    <w:altName w:val="Symbol"/>
    <w:charset w:val="2"/>
    <w:family w:val="roman"/>
    <w:pitch w:val="variable"/>
  </w:font>
  <w:font w:name="Cambria">
    <w:altName w:val="Cambria"/>
    <w:charset w:val="0"/>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160004pt;margin-top:782pt;width:13.15pt;height:11.15pt;mso-position-horizontal-relative:page;mso-position-vertical-relative:page;z-index:-35752" type="#_x0000_t202" filled="false" stroked="false">
          <v:textbox inset="0,0,0,0">
            <w:txbxContent>
              <w:p>
                <w:pPr>
                  <w:spacing w:line="205"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57" w:hanging="423"/>
        <w:jc w:val="left"/>
      </w:pPr>
      <w:rPr>
        <w:rFonts w:hint="default" w:ascii="宋体" w:hAnsi="宋体" w:eastAsia="宋体" w:cs="宋体"/>
        <w:w w:val="100"/>
        <w:sz w:val="21"/>
        <w:szCs w:val="21"/>
      </w:rPr>
    </w:lvl>
    <w:lvl w:ilvl="1">
      <w:start w:val="0"/>
      <w:numFmt w:val="bullet"/>
      <w:lvlText w:val="•"/>
      <w:lvlJc w:val="left"/>
      <w:pPr>
        <w:ind w:left="1150" w:hanging="423"/>
      </w:pPr>
      <w:rPr>
        <w:rFonts w:hint="default"/>
      </w:rPr>
    </w:lvl>
    <w:lvl w:ilvl="2">
      <w:start w:val="0"/>
      <w:numFmt w:val="bullet"/>
      <w:lvlText w:val="•"/>
      <w:lvlJc w:val="left"/>
      <w:pPr>
        <w:ind w:left="1741" w:hanging="423"/>
      </w:pPr>
      <w:rPr>
        <w:rFonts w:hint="default"/>
      </w:rPr>
    </w:lvl>
    <w:lvl w:ilvl="3">
      <w:start w:val="0"/>
      <w:numFmt w:val="bullet"/>
      <w:lvlText w:val="•"/>
      <w:lvlJc w:val="left"/>
      <w:pPr>
        <w:ind w:left="2331" w:hanging="423"/>
      </w:pPr>
      <w:rPr>
        <w:rFonts w:hint="default"/>
      </w:rPr>
    </w:lvl>
    <w:lvl w:ilvl="4">
      <w:start w:val="0"/>
      <w:numFmt w:val="bullet"/>
      <w:lvlText w:val="•"/>
      <w:lvlJc w:val="left"/>
      <w:pPr>
        <w:ind w:left="2922" w:hanging="423"/>
      </w:pPr>
      <w:rPr>
        <w:rFonts w:hint="default"/>
      </w:rPr>
    </w:lvl>
    <w:lvl w:ilvl="5">
      <w:start w:val="0"/>
      <w:numFmt w:val="bullet"/>
      <w:lvlText w:val="•"/>
      <w:lvlJc w:val="left"/>
      <w:pPr>
        <w:ind w:left="3512" w:hanging="423"/>
      </w:pPr>
      <w:rPr>
        <w:rFonts w:hint="default"/>
      </w:rPr>
    </w:lvl>
    <w:lvl w:ilvl="6">
      <w:start w:val="0"/>
      <w:numFmt w:val="bullet"/>
      <w:lvlText w:val="•"/>
      <w:lvlJc w:val="left"/>
      <w:pPr>
        <w:ind w:left="4103" w:hanging="423"/>
      </w:pPr>
      <w:rPr>
        <w:rFonts w:hint="default"/>
      </w:rPr>
    </w:lvl>
    <w:lvl w:ilvl="7">
      <w:start w:val="0"/>
      <w:numFmt w:val="bullet"/>
      <w:lvlText w:val="•"/>
      <w:lvlJc w:val="left"/>
      <w:pPr>
        <w:ind w:left="4693" w:hanging="423"/>
      </w:pPr>
      <w:rPr>
        <w:rFonts w:hint="default"/>
      </w:rPr>
    </w:lvl>
    <w:lvl w:ilvl="8">
      <w:start w:val="0"/>
      <w:numFmt w:val="bullet"/>
      <w:lvlText w:val="•"/>
      <w:lvlJc w:val="left"/>
      <w:pPr>
        <w:ind w:left="5284" w:hanging="423"/>
      </w:pPr>
      <w:rPr>
        <w:rFonts w:hint="default"/>
      </w:rPr>
    </w:lvl>
  </w:abstractNum>
  <w:abstractNum w:abstractNumId="4">
    <w:multiLevelType w:val="hybridMultilevel"/>
    <w:lvl w:ilvl="0">
      <w:start w:val="1"/>
      <w:numFmt w:val="decimal"/>
      <w:lvlText w:val="(%1)"/>
      <w:lvlJc w:val="left"/>
      <w:pPr>
        <w:ind w:left="490" w:hanging="375"/>
        <w:jc w:val="left"/>
      </w:pPr>
      <w:rPr>
        <w:rFonts w:hint="default" w:ascii="宋体" w:hAnsi="宋体" w:eastAsia="宋体" w:cs="宋体"/>
        <w:w w:val="100"/>
        <w:sz w:val="21"/>
        <w:szCs w:val="21"/>
      </w:rPr>
    </w:lvl>
    <w:lvl w:ilvl="1">
      <w:start w:val="0"/>
      <w:numFmt w:val="bullet"/>
      <w:lvlText w:val="•"/>
      <w:lvlJc w:val="left"/>
      <w:pPr>
        <w:ind w:left="1074" w:hanging="375"/>
      </w:pPr>
      <w:rPr>
        <w:rFonts w:hint="default"/>
      </w:rPr>
    </w:lvl>
    <w:lvl w:ilvl="2">
      <w:start w:val="0"/>
      <w:numFmt w:val="bullet"/>
      <w:lvlText w:val="•"/>
      <w:lvlJc w:val="left"/>
      <w:pPr>
        <w:ind w:left="1649" w:hanging="375"/>
      </w:pPr>
      <w:rPr>
        <w:rFonts w:hint="default"/>
      </w:rPr>
    </w:lvl>
    <w:lvl w:ilvl="3">
      <w:start w:val="0"/>
      <w:numFmt w:val="bullet"/>
      <w:lvlText w:val="•"/>
      <w:lvlJc w:val="left"/>
      <w:pPr>
        <w:ind w:left="2224" w:hanging="375"/>
      </w:pPr>
      <w:rPr>
        <w:rFonts w:hint="default"/>
      </w:rPr>
    </w:lvl>
    <w:lvl w:ilvl="4">
      <w:start w:val="0"/>
      <w:numFmt w:val="bullet"/>
      <w:lvlText w:val="•"/>
      <w:lvlJc w:val="left"/>
      <w:pPr>
        <w:ind w:left="2799" w:hanging="375"/>
      </w:pPr>
      <w:rPr>
        <w:rFonts w:hint="default"/>
      </w:rPr>
    </w:lvl>
    <w:lvl w:ilvl="5">
      <w:start w:val="0"/>
      <w:numFmt w:val="bullet"/>
      <w:lvlText w:val="•"/>
      <w:lvlJc w:val="left"/>
      <w:pPr>
        <w:ind w:left="3374" w:hanging="375"/>
      </w:pPr>
      <w:rPr>
        <w:rFonts w:hint="default"/>
      </w:rPr>
    </w:lvl>
    <w:lvl w:ilvl="6">
      <w:start w:val="0"/>
      <w:numFmt w:val="bullet"/>
      <w:lvlText w:val="•"/>
      <w:lvlJc w:val="left"/>
      <w:pPr>
        <w:ind w:left="3948" w:hanging="375"/>
      </w:pPr>
      <w:rPr>
        <w:rFonts w:hint="default"/>
      </w:rPr>
    </w:lvl>
    <w:lvl w:ilvl="7">
      <w:start w:val="0"/>
      <w:numFmt w:val="bullet"/>
      <w:lvlText w:val="•"/>
      <w:lvlJc w:val="left"/>
      <w:pPr>
        <w:ind w:left="4523" w:hanging="375"/>
      </w:pPr>
      <w:rPr>
        <w:rFonts w:hint="default"/>
      </w:rPr>
    </w:lvl>
    <w:lvl w:ilvl="8">
      <w:start w:val="0"/>
      <w:numFmt w:val="bullet"/>
      <w:lvlText w:val="•"/>
      <w:lvlJc w:val="left"/>
      <w:pPr>
        <w:ind w:left="5098" w:hanging="375"/>
      </w:pPr>
      <w:rPr>
        <w:rFonts w:hint="default"/>
      </w:rPr>
    </w:lvl>
  </w:abstractNum>
  <w:abstractNum w:abstractNumId="3">
    <w:multiLevelType w:val="hybridMultilevel"/>
    <w:lvl w:ilvl="0">
      <w:start w:val="8"/>
      <w:numFmt w:val="decimal"/>
      <w:lvlText w:val="%1"/>
      <w:lvlJc w:val="left"/>
      <w:pPr>
        <w:ind w:left="771" w:hanging="529"/>
        <w:jc w:val="left"/>
      </w:pPr>
      <w:rPr>
        <w:rFonts w:hint="default"/>
      </w:rPr>
    </w:lvl>
    <w:lvl w:ilvl="1">
      <w:start w:val="11"/>
      <w:numFmt w:val="decimal"/>
      <w:lvlText w:val="%1.%2"/>
      <w:lvlJc w:val="left"/>
      <w:pPr>
        <w:ind w:left="762" w:hanging="529"/>
        <w:jc w:val="left"/>
      </w:pPr>
      <w:rPr>
        <w:rFonts w:hint="default" w:ascii="宋体" w:hAnsi="宋体" w:eastAsia="宋体" w:cs="宋体"/>
        <w:w w:val="100"/>
        <w:sz w:val="21"/>
        <w:szCs w:val="21"/>
      </w:rPr>
    </w:lvl>
    <w:lvl w:ilvl="2">
      <w:start w:val="0"/>
      <w:numFmt w:val="bullet"/>
      <w:lvlText w:val="•"/>
      <w:lvlJc w:val="left"/>
      <w:pPr>
        <w:ind w:left="1058" w:hanging="529"/>
      </w:pPr>
      <w:rPr>
        <w:rFonts w:hint="default"/>
      </w:rPr>
    </w:lvl>
    <w:lvl w:ilvl="3">
      <w:start w:val="0"/>
      <w:numFmt w:val="bullet"/>
      <w:lvlText w:val="•"/>
      <w:lvlJc w:val="left"/>
      <w:pPr>
        <w:ind w:left="1336" w:hanging="529"/>
      </w:pPr>
      <w:rPr>
        <w:rFonts w:hint="default"/>
      </w:rPr>
    </w:lvl>
    <w:lvl w:ilvl="4">
      <w:start w:val="0"/>
      <w:numFmt w:val="bullet"/>
      <w:lvlText w:val="•"/>
      <w:lvlJc w:val="left"/>
      <w:pPr>
        <w:ind w:left="1615" w:hanging="529"/>
      </w:pPr>
      <w:rPr>
        <w:rFonts w:hint="default"/>
      </w:rPr>
    </w:lvl>
    <w:lvl w:ilvl="5">
      <w:start w:val="0"/>
      <w:numFmt w:val="bullet"/>
      <w:lvlText w:val="•"/>
      <w:lvlJc w:val="left"/>
      <w:pPr>
        <w:ind w:left="1893" w:hanging="529"/>
      </w:pPr>
      <w:rPr>
        <w:rFonts w:hint="default"/>
      </w:rPr>
    </w:lvl>
    <w:lvl w:ilvl="6">
      <w:start w:val="0"/>
      <w:numFmt w:val="bullet"/>
      <w:lvlText w:val="•"/>
      <w:lvlJc w:val="left"/>
      <w:pPr>
        <w:ind w:left="2171" w:hanging="529"/>
      </w:pPr>
      <w:rPr>
        <w:rFonts w:hint="default"/>
      </w:rPr>
    </w:lvl>
    <w:lvl w:ilvl="7">
      <w:start w:val="0"/>
      <w:numFmt w:val="bullet"/>
      <w:lvlText w:val="•"/>
      <w:lvlJc w:val="left"/>
      <w:pPr>
        <w:ind w:left="2450" w:hanging="529"/>
      </w:pPr>
      <w:rPr>
        <w:rFonts w:hint="default"/>
      </w:rPr>
    </w:lvl>
    <w:lvl w:ilvl="8">
      <w:start w:val="0"/>
      <w:numFmt w:val="bullet"/>
      <w:lvlText w:val="•"/>
      <w:lvlJc w:val="left"/>
      <w:pPr>
        <w:ind w:left="2728" w:hanging="529"/>
      </w:pPr>
      <w:rPr>
        <w:rFonts w:hint="default"/>
      </w:rPr>
    </w:lvl>
  </w:abstractNum>
  <w:abstractNum w:abstractNumId="2">
    <w:multiLevelType w:val="hybridMultilevel"/>
    <w:lvl w:ilvl="0">
      <w:start w:val="6"/>
      <w:numFmt w:val="decimal"/>
      <w:lvlText w:val="%1."/>
      <w:lvlJc w:val="left"/>
      <w:pPr>
        <w:ind w:left="430" w:hanging="317"/>
        <w:jc w:val="left"/>
      </w:pPr>
      <w:rPr>
        <w:rFonts w:hint="default" w:ascii="Microsoft JhengHei" w:hAnsi="Microsoft JhengHei" w:eastAsia="Microsoft JhengHei" w:cs="Microsoft JhengHei"/>
        <w:b/>
        <w:bCs/>
        <w:w w:val="84"/>
        <w:sz w:val="21"/>
        <w:szCs w:val="21"/>
      </w:rPr>
    </w:lvl>
    <w:lvl w:ilvl="1">
      <w:start w:val="1"/>
      <w:numFmt w:val="decimal"/>
      <w:lvlText w:val="%1.%2"/>
      <w:lvlJc w:val="left"/>
      <w:pPr>
        <w:ind w:left="641" w:hanging="418"/>
        <w:jc w:val="left"/>
      </w:pPr>
      <w:rPr>
        <w:rFonts w:hint="default" w:ascii="宋体" w:hAnsi="宋体" w:eastAsia="宋体" w:cs="宋体"/>
        <w:w w:val="100"/>
        <w:sz w:val="21"/>
        <w:szCs w:val="21"/>
      </w:rPr>
    </w:lvl>
    <w:lvl w:ilvl="2">
      <w:start w:val="0"/>
      <w:numFmt w:val="bullet"/>
      <w:lvlText w:val="•"/>
      <w:lvlJc w:val="left"/>
      <w:pPr>
        <w:ind w:left="740" w:hanging="418"/>
      </w:pPr>
      <w:rPr>
        <w:rFonts w:hint="default"/>
      </w:rPr>
    </w:lvl>
    <w:lvl w:ilvl="3">
      <w:start w:val="0"/>
      <w:numFmt w:val="bullet"/>
      <w:lvlText w:val="•"/>
      <w:lvlJc w:val="left"/>
      <w:pPr>
        <w:ind w:left="1033" w:hanging="418"/>
      </w:pPr>
      <w:rPr>
        <w:rFonts w:hint="default"/>
      </w:rPr>
    </w:lvl>
    <w:lvl w:ilvl="4">
      <w:start w:val="0"/>
      <w:numFmt w:val="bullet"/>
      <w:lvlText w:val="•"/>
      <w:lvlJc w:val="left"/>
      <w:pPr>
        <w:ind w:left="1326" w:hanging="418"/>
      </w:pPr>
      <w:rPr>
        <w:rFonts w:hint="default"/>
      </w:rPr>
    </w:lvl>
    <w:lvl w:ilvl="5">
      <w:start w:val="0"/>
      <w:numFmt w:val="bullet"/>
      <w:lvlText w:val="•"/>
      <w:lvlJc w:val="left"/>
      <w:pPr>
        <w:ind w:left="1620" w:hanging="418"/>
      </w:pPr>
      <w:rPr>
        <w:rFonts w:hint="default"/>
      </w:rPr>
    </w:lvl>
    <w:lvl w:ilvl="6">
      <w:start w:val="0"/>
      <w:numFmt w:val="bullet"/>
      <w:lvlText w:val="•"/>
      <w:lvlJc w:val="left"/>
      <w:pPr>
        <w:ind w:left="1913" w:hanging="418"/>
      </w:pPr>
      <w:rPr>
        <w:rFonts w:hint="default"/>
      </w:rPr>
    </w:lvl>
    <w:lvl w:ilvl="7">
      <w:start w:val="0"/>
      <w:numFmt w:val="bullet"/>
      <w:lvlText w:val="•"/>
      <w:lvlJc w:val="left"/>
      <w:pPr>
        <w:ind w:left="2206" w:hanging="418"/>
      </w:pPr>
      <w:rPr>
        <w:rFonts w:hint="default"/>
      </w:rPr>
    </w:lvl>
    <w:lvl w:ilvl="8">
      <w:start w:val="0"/>
      <w:numFmt w:val="bullet"/>
      <w:lvlText w:val="•"/>
      <w:lvlJc w:val="left"/>
      <w:pPr>
        <w:ind w:left="2500" w:hanging="418"/>
      </w:pPr>
      <w:rPr>
        <w:rFonts w:hint="default"/>
      </w:rPr>
    </w:lvl>
  </w:abstractNum>
  <w:abstractNum w:abstractNumId="1">
    <w:multiLevelType w:val="hybridMultilevel"/>
    <w:lvl w:ilvl="0">
      <w:start w:val="1"/>
      <w:numFmt w:val="decimal"/>
      <w:lvlText w:val="%1."/>
      <w:lvlJc w:val="left"/>
      <w:pPr>
        <w:ind w:left="516" w:hanging="317"/>
        <w:jc w:val="left"/>
      </w:pPr>
      <w:rPr>
        <w:rFonts w:hint="default" w:ascii="Microsoft JhengHei" w:hAnsi="Microsoft JhengHei" w:eastAsia="Microsoft JhengHei" w:cs="Microsoft JhengHei"/>
        <w:b/>
        <w:bCs/>
        <w:w w:val="118"/>
        <w:sz w:val="21"/>
        <w:szCs w:val="21"/>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967" w:hanging="423"/>
      </w:pPr>
      <w:rPr>
        <w:rFonts w:hint="default"/>
      </w:rPr>
    </w:lvl>
    <w:lvl w:ilvl="3">
      <w:start w:val="0"/>
      <w:numFmt w:val="bullet"/>
      <w:lvlText w:val="•"/>
      <w:lvlJc w:val="left"/>
      <w:pPr>
        <w:ind w:left="1214" w:hanging="423"/>
      </w:pPr>
      <w:rPr>
        <w:rFonts w:hint="default"/>
      </w:rPr>
    </w:lvl>
    <w:lvl w:ilvl="4">
      <w:start w:val="0"/>
      <w:numFmt w:val="bullet"/>
      <w:lvlText w:val="•"/>
      <w:lvlJc w:val="left"/>
      <w:pPr>
        <w:ind w:left="1461" w:hanging="423"/>
      </w:pPr>
      <w:rPr>
        <w:rFonts w:hint="default"/>
      </w:rPr>
    </w:lvl>
    <w:lvl w:ilvl="5">
      <w:start w:val="0"/>
      <w:numFmt w:val="bullet"/>
      <w:lvlText w:val="•"/>
      <w:lvlJc w:val="left"/>
      <w:pPr>
        <w:ind w:left="1708" w:hanging="423"/>
      </w:pPr>
      <w:rPr>
        <w:rFonts w:hint="default"/>
      </w:rPr>
    </w:lvl>
    <w:lvl w:ilvl="6">
      <w:start w:val="0"/>
      <w:numFmt w:val="bullet"/>
      <w:lvlText w:val="•"/>
      <w:lvlJc w:val="left"/>
      <w:pPr>
        <w:ind w:left="1955" w:hanging="423"/>
      </w:pPr>
      <w:rPr>
        <w:rFonts w:hint="default"/>
      </w:rPr>
    </w:lvl>
    <w:lvl w:ilvl="7">
      <w:start w:val="0"/>
      <w:numFmt w:val="bullet"/>
      <w:lvlText w:val="•"/>
      <w:lvlJc w:val="left"/>
      <w:pPr>
        <w:ind w:left="2202" w:hanging="423"/>
      </w:pPr>
      <w:rPr>
        <w:rFonts w:hint="default"/>
      </w:rPr>
    </w:lvl>
    <w:lvl w:ilvl="8">
      <w:start w:val="0"/>
      <w:numFmt w:val="bullet"/>
      <w:lvlText w:val="•"/>
      <w:lvlJc w:val="left"/>
      <w:pPr>
        <w:ind w:left="2449" w:hanging="423"/>
      </w:pPr>
      <w:rPr>
        <w:rFonts w:hint="default"/>
      </w:rPr>
    </w:lvl>
  </w:abstractNum>
  <w:abstractNum w:abstractNumId="0">
    <w:multiLevelType w:val="hybridMultilevel"/>
    <w:lvl w:ilvl="0">
      <w:start w:val="0"/>
      <w:numFmt w:val="bullet"/>
      <w:lvlText w:val=""/>
      <w:lvlJc w:val="left"/>
      <w:pPr>
        <w:ind w:left="646" w:hanging="423"/>
      </w:pPr>
      <w:rPr>
        <w:rFonts w:hint="default" w:ascii="Wingdings" w:hAnsi="Wingdings" w:eastAsia="Wingdings" w:cs="Wingdings"/>
        <w:w w:val="100"/>
        <w:sz w:val="21"/>
        <w:szCs w:val="21"/>
      </w:rPr>
    </w:lvl>
    <w:lvl w:ilvl="1">
      <w:start w:val="0"/>
      <w:numFmt w:val="bullet"/>
      <w:lvlText w:val="•"/>
      <w:lvlJc w:val="left"/>
      <w:pPr>
        <w:ind w:left="1610" w:hanging="423"/>
      </w:pPr>
      <w:rPr>
        <w:rFonts w:hint="default"/>
      </w:rPr>
    </w:lvl>
    <w:lvl w:ilvl="2">
      <w:start w:val="0"/>
      <w:numFmt w:val="bullet"/>
      <w:lvlText w:val="•"/>
      <w:lvlJc w:val="left"/>
      <w:pPr>
        <w:ind w:left="2580" w:hanging="423"/>
      </w:pPr>
      <w:rPr>
        <w:rFonts w:hint="default"/>
      </w:rPr>
    </w:lvl>
    <w:lvl w:ilvl="3">
      <w:start w:val="0"/>
      <w:numFmt w:val="bullet"/>
      <w:lvlText w:val="•"/>
      <w:lvlJc w:val="left"/>
      <w:pPr>
        <w:ind w:left="3551" w:hanging="423"/>
      </w:pPr>
      <w:rPr>
        <w:rFonts w:hint="default"/>
      </w:rPr>
    </w:lvl>
    <w:lvl w:ilvl="4">
      <w:start w:val="0"/>
      <w:numFmt w:val="bullet"/>
      <w:lvlText w:val="•"/>
      <w:lvlJc w:val="left"/>
      <w:pPr>
        <w:ind w:left="4521" w:hanging="423"/>
      </w:pPr>
      <w:rPr>
        <w:rFonts w:hint="default"/>
      </w:rPr>
    </w:lvl>
    <w:lvl w:ilvl="5">
      <w:start w:val="0"/>
      <w:numFmt w:val="bullet"/>
      <w:lvlText w:val="•"/>
      <w:lvlJc w:val="left"/>
      <w:pPr>
        <w:ind w:left="5492" w:hanging="423"/>
      </w:pPr>
      <w:rPr>
        <w:rFonts w:hint="default"/>
      </w:rPr>
    </w:lvl>
    <w:lvl w:ilvl="6">
      <w:start w:val="0"/>
      <w:numFmt w:val="bullet"/>
      <w:lvlText w:val="•"/>
      <w:lvlJc w:val="left"/>
      <w:pPr>
        <w:ind w:left="6462" w:hanging="423"/>
      </w:pPr>
      <w:rPr>
        <w:rFonts w:hint="default"/>
      </w:rPr>
    </w:lvl>
    <w:lvl w:ilvl="7">
      <w:start w:val="0"/>
      <w:numFmt w:val="bullet"/>
      <w:lvlText w:val="•"/>
      <w:lvlJc w:val="left"/>
      <w:pPr>
        <w:ind w:left="7432" w:hanging="423"/>
      </w:pPr>
      <w:rPr>
        <w:rFonts w:hint="default"/>
      </w:rPr>
    </w:lvl>
    <w:lvl w:ilvl="8">
      <w:start w:val="0"/>
      <w:numFmt w:val="bullet"/>
      <w:lvlText w:val="•"/>
      <w:lvlJc w:val="left"/>
      <w:pPr>
        <w:ind w:left="8403" w:hanging="423"/>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122"/>
      <w:outlineLvl w:val="1"/>
    </w:pPr>
    <w:rPr>
      <w:rFonts w:ascii="Microsoft JhengHei" w:hAnsi="Microsoft JhengHei" w:eastAsia="Microsoft JhengHei" w:cs="Microsoft JhengHei"/>
      <w:b/>
      <w:bCs/>
      <w:sz w:val="32"/>
      <w:szCs w:val="32"/>
    </w:rPr>
  </w:style>
  <w:style w:styleId="ListParagraph" w:type="paragraph">
    <w:name w:val="List Paragraph"/>
    <w:basedOn w:val="Normal"/>
    <w:uiPriority w:val="1"/>
    <w:qFormat/>
    <w:pPr>
      <w:spacing w:before="105"/>
      <w:ind w:left="646" w:hanging="423"/>
    </w:pPr>
    <w:rPr>
      <w:rFonts w:ascii="Microsoft JhengHei" w:hAnsi="Microsoft JhengHei" w:eastAsia="Microsoft JhengHei" w:cs="Microsoft JhengHei"/>
    </w:rPr>
  </w:style>
  <w:style w:styleId="TableParagraph" w:type="paragraph">
    <w:name w:val="Table Paragraph"/>
    <w:basedOn w:val="Normal"/>
    <w:uiPriority w:val="1"/>
    <w:qFormat/>
    <w:pPr>
      <w:ind w:left="13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刘越</dc:creator>
  <cp:keywords>渤海人寿开业产品</cp:keywords>
  <dc:title>团体重疾险</dc:title>
  <dcterms:created xsi:type="dcterms:W3CDTF">2018-10-20T02:15:25Z</dcterms:created>
  <dcterms:modified xsi:type="dcterms:W3CDTF">2018-10-20T02:15:25Z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2015-01-15T00:00:00Z</vt:filetime>
  </property>
  <property fmtid="{D5CDD505-2E9C-101B-9397-08002B2CF9AE}" pid="3" name="Creator">
    <vt:lpwstr>Microsoft® Word 2013</vt:lpwstr>
  </property>
  <property fmtid="{D5CDD505-2E9C-101B-9397-08002B2CF9AE}" pid="4" name="LastSaved">
    <vt:filetime>2018-10-19T00:00:00Z</vt:filetime>
  </property>
</Properties>
</file>