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139" w:firstLine="0"/>
        <w:jc w:val="right"/>
        <w:rPr>
          <w:sz w:val="21"/>
        </w:rPr>
      </w:pPr>
      <w:r>
        <w:rPr/>
        <w:pict>
          <v:group style="position:absolute;margin-left:0pt;margin-top:0pt;width:595.3pt;height:832.8pt;mso-position-horizontal-relative:page;mso-position-vertical-relative:page;z-index:-21664" coordorigin="0,0" coordsize="11906,16656">
            <v:shape style="position:absolute;left:0;top:0;width:11906;height:16656" type="#_x0000_t75" stroked="false">
              <v:imagedata r:id="rId5" o:title=""/>
            </v:shape>
            <v:shape style="position:absolute;left:8803;top:1351;width:1140;height:1140" type="#_x0000_t75" stroked="false">
              <v:imagedata r:id="rId6" o:title=""/>
            </v:shape>
            <v:line style="position:absolute" from="1080,15613" to="10580,15613" stroked="true" strokeweight=".39840pt" strokecolor="#000000">
              <v:stroke dashstyle="solid"/>
            </v:line>
            <w10:wrap type="none"/>
          </v:group>
        </w:pict>
      </w:r>
      <w:r>
        <w:rPr>
          <w:sz w:val="21"/>
        </w:rPr>
        <w:t>友邦保险</w:t>
      </w:r>
      <w:r>
        <w:rPr>
          <w:rFonts w:ascii="Times New Roman" w:eastAsia="Times New Roman"/>
          <w:sz w:val="21"/>
        </w:rPr>
        <w:t>[2016]</w:t>
      </w:r>
      <w:r>
        <w:rPr>
          <w:sz w:val="21"/>
        </w:rPr>
        <w:t>疾病保险 </w:t>
      </w:r>
      <w:r>
        <w:rPr>
          <w:rFonts w:ascii="Times New Roman" w:eastAsia="Times New Roman"/>
          <w:sz w:val="21"/>
        </w:rPr>
        <w:t>024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2"/>
        </w:rPr>
      </w:pPr>
    </w:p>
    <w:p>
      <w:pPr>
        <w:spacing w:line="264" w:lineRule="exact" w:before="37"/>
        <w:ind w:left="7363" w:right="0" w:firstLine="0"/>
        <w:jc w:val="left"/>
        <w:rPr>
          <w:sz w:val="21"/>
        </w:rPr>
      </w:pPr>
      <w:r>
        <w:rPr>
          <w:sz w:val="21"/>
        </w:rPr>
        <w:t>请扫描以查询验证条款</w:t>
      </w:r>
    </w:p>
    <w:p>
      <w:pPr>
        <w:spacing w:line="408" w:lineRule="exact" w:before="0"/>
        <w:ind w:left="2263" w:right="0" w:firstLine="0"/>
        <w:jc w:val="left"/>
        <w:rPr>
          <w:b/>
          <w:sz w:val="32"/>
        </w:rPr>
      </w:pPr>
      <w:bookmarkStart w:name="友邦全佑一生（倍健康）重大疾病保险" w:id="1"/>
      <w:bookmarkEnd w:id="1"/>
      <w:r>
        <w:rPr/>
      </w:r>
      <w:r>
        <w:rPr>
          <w:b/>
          <w:w w:val="95"/>
          <w:sz w:val="32"/>
        </w:rPr>
        <w:t>友邦全佑一生（倍健康）重大疾病保险</w:t>
      </w:r>
    </w:p>
    <w:p>
      <w:pPr>
        <w:pStyle w:val="BodyText"/>
        <w:spacing w:before="12"/>
        <w:ind w:left="0"/>
        <w:rPr>
          <w:b/>
          <w:sz w:val="28"/>
        </w:rPr>
      </w:pPr>
    </w:p>
    <w:p>
      <w:pPr>
        <w:pStyle w:val="Heading1"/>
        <w:tabs>
          <w:tab w:pos="926" w:val="left" w:leader="none"/>
        </w:tabs>
        <w:ind w:left="120"/>
      </w:pPr>
      <w:bookmarkStart w:name="第一条  保险合同的构成" w:id="2"/>
      <w:bookmarkEnd w:id="2"/>
      <w:r>
        <w:rPr>
          <w:b w:val="0"/>
        </w:rPr>
      </w:r>
      <w:r>
        <w:rPr/>
        <w:t>第一条</w:t>
        <w:tab/>
      </w:r>
      <w:r>
        <w:rPr>
          <w:w w:val="95"/>
        </w:rPr>
        <w:t>保险合同的构成</w:t>
      </w:r>
    </w:p>
    <w:p>
      <w:pPr>
        <w:pStyle w:val="BodyText"/>
        <w:spacing w:line="285" w:lineRule="auto" w:before="53"/>
        <w:ind w:left="120" w:right="113" w:firstLine="360"/>
        <w:jc w:val="both"/>
      </w:pPr>
      <w:r>
        <w:rPr/>
        <w:t>本保险条款、保险单、现金价值表、所附的投保单（正本留本公司存档，其复印件或电子影印件与正本具有同等效力）、批注及其他约定书均为《友邦全佑一生（倍健康）重大疾病保险》合同（以下简称本合同）的构成部分。</w:t>
      </w:r>
    </w:p>
    <w:p>
      <w:pPr>
        <w:pStyle w:val="BodyText"/>
        <w:spacing w:before="9"/>
        <w:ind w:left="0"/>
        <w:rPr>
          <w:sz w:val="21"/>
        </w:rPr>
      </w:pPr>
    </w:p>
    <w:p>
      <w:pPr>
        <w:pStyle w:val="Heading1"/>
        <w:tabs>
          <w:tab w:pos="926" w:val="left" w:leader="none"/>
        </w:tabs>
        <w:ind w:left="120"/>
      </w:pPr>
      <w:bookmarkStart w:name="第二条  保险责任" w:id="3"/>
      <w:bookmarkEnd w:id="3"/>
      <w:r>
        <w:rPr>
          <w:b w:val="0"/>
        </w:rPr>
      </w:r>
      <w:r>
        <w:rPr/>
        <w:t>第二条</w:t>
        <w:tab/>
      </w:r>
      <w:r>
        <w:rPr>
          <w:w w:val="95"/>
        </w:rPr>
        <w:t>保险责任</w:t>
      </w:r>
    </w:p>
    <w:p>
      <w:pPr>
        <w:pStyle w:val="BodyText"/>
        <w:spacing w:line="285" w:lineRule="auto" w:before="53"/>
        <w:ind w:left="120" w:right="146" w:firstLine="360"/>
        <w:jc w:val="both"/>
      </w:pPr>
      <w:r>
        <w:rPr/>
        <w:t>对于以下第一项第一类重大疾病保险金及第二项儿童特定疾病保险金，本公司仅给付一项，并以一次为限，且以较先发生者予以给付，较先发生时日以下列约定为准。若本公司给付第一类重大疾病保险金或儿童特定疾病保险金，本合同继续有效。</w:t>
      </w:r>
    </w:p>
    <w:p>
      <w:pPr>
        <w:pStyle w:val="BodyText"/>
        <w:spacing w:before="10"/>
        <w:ind w:left="480"/>
      </w:pPr>
      <w:r>
        <w:rPr/>
        <w:t>一、第一类重大疾病保险金</w:t>
      </w:r>
    </w:p>
    <w:p>
      <w:pPr>
        <w:pStyle w:val="BodyText"/>
        <w:spacing w:line="285" w:lineRule="auto"/>
        <w:ind w:left="119" w:right="115" w:firstLine="360"/>
        <w:jc w:val="both"/>
      </w:pPr>
      <w:r>
        <w:rPr/>
        <w:t>在本合同有效期内，若被保险人于年满七十五</w:t>
      </w:r>
      <w:r>
        <w:rPr>
          <w:b/>
        </w:rPr>
        <w:t>岁</w:t>
      </w:r>
      <w:r>
        <w:rPr/>
        <w:t>（释义一）后的首个保险单周年日以前（若保险单周年日与被保险人生日是同一日期，则于被保险人七十五岁生日以前），且于</w:t>
      </w:r>
      <w:r>
        <w:rPr>
          <w:b/>
        </w:rPr>
        <w:t>等待期</w:t>
      </w:r>
      <w:r>
        <w:rPr/>
        <w:t>（释义二）后就诊并被</w:t>
      </w:r>
      <w:r>
        <w:rPr>
          <w:b/>
        </w:rPr>
        <w:t>专科医生</w:t>
      </w:r>
      <w:r>
        <w:rPr/>
        <w:t>（释义三）首次确诊患有</w:t>
      </w:r>
      <w:r>
        <w:rPr>
          <w:b/>
        </w:rPr>
        <w:t>第一类重大疾病</w:t>
      </w:r>
      <w:r>
        <w:rPr/>
        <w:t>（释义四），则本公司将给付第一类重大疾病保险金予被保险人，其金额等于该重大疾病确诊时本合同基本保险金额的 </w:t>
      </w:r>
      <w:r>
        <w:rPr>
          <w:rFonts w:ascii="Times New Roman" w:eastAsia="Times New Roman"/>
        </w:rPr>
        <w:t>20%</w:t>
      </w:r>
      <w:r>
        <w:rPr/>
        <w:t>（百分之二十）。</w:t>
      </w:r>
    </w:p>
    <w:p>
      <w:pPr>
        <w:pStyle w:val="BodyText"/>
        <w:spacing w:line="227" w:lineRule="exact" w:before="0"/>
        <w:ind w:left="480"/>
      </w:pPr>
      <w:r>
        <w:rPr/>
        <w:t>二、儿童特定疾病保险金</w:t>
      </w:r>
    </w:p>
    <w:p>
      <w:pPr>
        <w:pStyle w:val="BodyText"/>
        <w:spacing w:line="285" w:lineRule="auto"/>
        <w:ind w:left="120" w:right="115"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w:t>
      </w:r>
      <w:r>
        <w:rPr>
          <w:b/>
        </w:rPr>
        <w:t>儿童特定疾病</w:t>
      </w:r>
      <w:r>
        <w:rPr/>
        <w:t>（释义五），则本公司将给付儿童特定疾病保险金予被保险人，其金额等于该特定疾病确诊时本合同基本保险金额的 </w:t>
      </w:r>
      <w:r>
        <w:rPr>
          <w:rFonts w:ascii="Times New Roman" w:eastAsia="Times New Roman"/>
        </w:rPr>
        <w:t>20%</w:t>
      </w:r>
      <w:r>
        <w:rPr/>
        <w:t>（百分之二十）。</w:t>
      </w:r>
    </w:p>
    <w:p>
      <w:pPr>
        <w:pStyle w:val="BodyText"/>
        <w:spacing w:before="10"/>
        <w:ind w:left="0"/>
        <w:rPr>
          <w:sz w:val="20"/>
        </w:rPr>
      </w:pPr>
    </w:p>
    <w:p>
      <w:pPr>
        <w:pStyle w:val="BodyText"/>
        <w:spacing w:line="285" w:lineRule="auto" w:before="0"/>
        <w:ind w:left="120" w:right="146" w:firstLine="360"/>
        <w:jc w:val="both"/>
      </w:pPr>
      <w:r>
        <w:rPr/>
        <w:t>对于以下第三项（一）中的首次第二类重大疾病基础保障、第四项全残保险金、第五项老年长期护理保险金、第六项疾病终末期阶段保险金及第七项身故保险金，本公司仅给付一项，并以一次为限，且以最先发生者予以给付，最先发生时日以下列约定为准。若本公司已给付首次第二类重大疾病基础保障、全残保险金、疾病终末期阶段保险金或身故保险金中的任何一项，或已开始给付老年长期护理保险金，则本公司将不再给付任何其他项，也不再给付第一项第一类重大疾病保险金及第二项儿童特定疾病保险金。</w:t>
      </w:r>
    </w:p>
    <w:p>
      <w:pPr>
        <w:pStyle w:val="BodyText"/>
        <w:spacing w:before="10"/>
        <w:ind w:left="480"/>
      </w:pPr>
      <w:r>
        <w:rPr/>
        <w:t>三、第二类重大疾病保险金</w:t>
      </w:r>
    </w:p>
    <w:p>
      <w:pPr>
        <w:pStyle w:val="BodyText"/>
        <w:spacing w:line="285" w:lineRule="auto" w:before="42"/>
        <w:ind w:left="119" w:right="118" w:firstLine="360"/>
        <w:jc w:val="both"/>
      </w:pPr>
      <w:r>
        <w:rPr/>
        <w:t>本合同所承保的三十四种</w:t>
      </w:r>
      <w:r>
        <w:rPr>
          <w:b/>
        </w:rPr>
        <w:t>第二类重大疾病</w:t>
      </w:r>
      <w:r>
        <w:rPr/>
        <w:t>（释义六）分属于四个</w:t>
      </w:r>
      <w:r>
        <w:rPr>
          <w:b/>
        </w:rPr>
        <w:t>重大疾病组</w:t>
      </w:r>
      <w:r>
        <w:rPr/>
        <w:t>（释义七），且第二类重大疾病保险金由以下二项保障构成。</w:t>
      </w:r>
    </w:p>
    <w:p>
      <w:pPr>
        <w:pStyle w:val="BodyText"/>
        <w:spacing w:before="11"/>
        <w:ind w:left="480"/>
      </w:pPr>
      <w:r>
        <w:rPr/>
        <w:t>（一）第二类重大疾病基础保障</w:t>
      </w:r>
    </w:p>
    <w:p>
      <w:pPr>
        <w:pStyle w:val="BodyText"/>
        <w:ind w:left="480"/>
      </w:pPr>
      <w:r>
        <w:rPr/>
        <w:t>第二类重大疾病基础保障最多给付三次。</w:t>
      </w:r>
    </w:p>
    <w:p>
      <w:pPr>
        <w:pStyle w:val="BodyText"/>
        <w:spacing w:before="42"/>
        <w:ind w:left="480"/>
      </w:pPr>
      <w:r>
        <w:rPr/>
        <w:t>1、首次第二类重大疾病基础保障</w:t>
      </w:r>
    </w:p>
    <w:p>
      <w:pPr>
        <w:pStyle w:val="BodyText"/>
        <w:spacing w:line="285" w:lineRule="auto" w:before="44"/>
        <w:ind w:left="119" w:right="118" w:firstLine="360"/>
        <w:jc w:val="both"/>
      </w:pPr>
      <w:r>
        <w:rPr/>
        <w:t>在本合同有效期内，若被保险人于等待期后就诊并被专科医生首次确诊患有第二类重大疾病，则本公司将给付首次第二类重大疾病基础保障予被保险人，本合同继续有效。该项首次第二类重大疾病基础保障金额等于该重大疾病确诊时本合同的基本保险金额。本合同的首次第二类重大疾病基础保障给付以一次为限。</w:t>
      </w:r>
    </w:p>
    <w:p>
      <w:pPr>
        <w:pStyle w:val="BodyText"/>
        <w:spacing w:before="10"/>
        <w:ind w:left="479"/>
      </w:pPr>
      <w:r>
        <w:rPr/>
        <w:t>2、第二次第二类重大疾病基础保障</w:t>
      </w:r>
    </w:p>
    <w:p>
      <w:pPr>
        <w:pStyle w:val="BodyText"/>
        <w:spacing w:line="285" w:lineRule="auto"/>
        <w:ind w:left="119" w:right="118" w:firstLine="360"/>
        <w:jc w:val="both"/>
      </w:pPr>
      <w:r>
        <w:rPr/>
        <w:t>本合同的第二次第二类重大疾病基础保障须满足下列所有条件。若被保险人被确诊患有第二次第二类重大疾病，则本公司将给付第二次第二类重大疾病基础保障予被保险人，本合同继续有效。该项第二次第二类重大疾病基础保障金额等于首次第二类重大疾病基础保障金额。本合同的第二次第二类重大疾病基础保障给付以一次为限。</w:t>
      </w:r>
    </w:p>
    <w:p>
      <w:pPr>
        <w:pStyle w:val="BodyText"/>
        <w:spacing w:line="285" w:lineRule="auto" w:before="11"/>
        <w:ind w:left="119" w:right="116" w:firstLine="360"/>
        <w:jc w:val="both"/>
      </w:pPr>
      <w:r>
        <w:rPr/>
        <w:t>（1）在本合同有效期内，专科医生确诊被保险人患第二次第二类重大疾病的首次确诊日，距首次第二类重大疾病的首次确诊日已达三百六十五日；</w:t>
      </w:r>
    </w:p>
    <w:p>
      <w:pPr>
        <w:pStyle w:val="BodyText"/>
        <w:spacing w:before="8"/>
        <w:ind w:left="479"/>
      </w:pPr>
      <w:r>
        <w:rPr/>
        <w:t>（2）被保险人的第二次第二类重大疾病，属于首次第二类重大疾病所属重大疾病组以外的其他重大疾病组。</w:t>
      </w:r>
    </w:p>
    <w:p>
      <w:pPr>
        <w:pStyle w:val="BodyText"/>
        <w:spacing w:before="44"/>
        <w:ind w:left="479"/>
      </w:pPr>
      <w:r>
        <w:rPr/>
        <w:t>3、第三次第二类重大疾病基础保障</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19"/>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w:t>
      </w:r>
    </w:p>
    <w:p>
      <w:pPr>
        <w:spacing w:after="0"/>
        <w:jc w:val="left"/>
        <w:rPr>
          <w:sz w:val="20"/>
        </w:rPr>
        <w:sectPr>
          <w:type w:val="continuous"/>
          <w:pgSz w:w="11910" w:h="16840"/>
          <w:pgMar w:top="1000" w:bottom="280" w:left="960" w:right="960"/>
        </w:sectPr>
      </w:pPr>
    </w:p>
    <w:p>
      <w:pPr>
        <w:pStyle w:val="BodyText"/>
        <w:spacing w:line="285" w:lineRule="auto" w:before="16"/>
        <w:ind w:left="120" w:right="118" w:firstLine="360"/>
        <w:jc w:val="both"/>
      </w:pPr>
      <w:r>
        <w:rPr/>
        <w:pict>
          <v:group style="position:absolute;margin-left:0pt;margin-top:0pt;width:595.3pt;height:832.8pt;mso-position-horizontal-relative:page;mso-position-vertical-relative:page;z-index:-21640"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本合同的第三次第二类重大疾病基础保障须满足下列所有条件。若被保险人被确诊患有第三次第二类重大疾病，则本公司将给付第三次第二类重大疾病基础保障予被保险人，本合同终止。该项第三次第二类重大疾病基础保障金额等于首次第二类重大疾病基础保障金额。本合同的第三次第二类重大疾病基础保障给付以一次为限。</w:t>
      </w:r>
    </w:p>
    <w:p>
      <w:pPr>
        <w:pStyle w:val="BodyText"/>
        <w:spacing w:line="285" w:lineRule="auto" w:before="11"/>
        <w:ind w:left="119" w:right="116" w:firstLine="360"/>
      </w:pPr>
      <w:r>
        <w:rPr/>
        <w:t>（1）在本合同有效期内，专科医生确诊被保险人患第三次第二类重大疾病的首次确诊日，距第二次第二类重大疾病的首次确诊日已达三百六十五日；</w:t>
      </w:r>
    </w:p>
    <w:p>
      <w:pPr>
        <w:pStyle w:val="BodyText"/>
        <w:spacing w:line="283" w:lineRule="auto" w:before="11"/>
        <w:ind w:left="119" w:right="235" w:firstLine="360"/>
      </w:pPr>
      <w:r>
        <w:rPr/>
        <w:t>（2）被保险人的第三次第二类重大疾病，属于首次第二类重大疾病和第二次第二类重大疾病所属二个重大疾病组以外的其他重大疾病组。</w:t>
      </w:r>
    </w:p>
    <w:p>
      <w:pPr>
        <w:pStyle w:val="BodyText"/>
        <w:spacing w:before="12"/>
        <w:ind w:left="480"/>
      </w:pPr>
      <w:r>
        <w:rPr/>
        <w:t>（二）白血病额外保障</w:t>
      </w:r>
    </w:p>
    <w:p>
      <w:pPr>
        <w:pStyle w:val="BodyText"/>
        <w:spacing w:line="285" w:lineRule="auto" w:before="44"/>
        <w:ind w:left="119" w:right="118"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w:t>
      </w:r>
      <w:r>
        <w:rPr>
          <w:b/>
        </w:rPr>
        <w:t>白血病</w:t>
      </w:r>
      <w:r>
        <w:rPr/>
        <w:t>（释义八），并因此可获首次第二类重大疾病基础保障的给付，则本公司除给付上述首次第二类重大疾病基础保障外，还将给付白血病额外保障予被保险人，其金额等于白血病确诊时本合同基本保险金额的 50%（百分之五十）。本合同的白血病额外保障给付以一次为限。</w:t>
      </w:r>
    </w:p>
    <w:p>
      <w:pPr>
        <w:pStyle w:val="BodyText"/>
        <w:spacing w:before="10"/>
        <w:ind w:left="480"/>
      </w:pPr>
      <w:r>
        <w:rPr/>
        <w:t>四、全残保险金</w:t>
      </w:r>
    </w:p>
    <w:p>
      <w:pPr>
        <w:pStyle w:val="BodyText"/>
        <w:spacing w:line="285" w:lineRule="auto" w:before="42"/>
        <w:ind w:left="120" w:right="144" w:firstLine="359"/>
      </w:pPr>
      <w:r>
        <w:rPr/>
        <w:t>在本合同有效期内，若被保险人</w:t>
      </w:r>
      <w:r>
        <w:rPr>
          <w:b/>
        </w:rPr>
        <w:t>全残</w:t>
      </w:r>
      <w:r>
        <w:rPr/>
        <w:t>（释义九），则本公司将给付全残保险金予被保险人，本合同终止。该项全残保险金金额等于被保险人全残发生时本合同的基本保险金额。</w:t>
      </w:r>
    </w:p>
    <w:p>
      <w:pPr>
        <w:pStyle w:val="BodyText"/>
        <w:spacing w:before="10"/>
        <w:ind w:left="480"/>
      </w:pPr>
      <w:r>
        <w:rPr/>
        <w:t>五、老年长期护理保险金</w:t>
      </w:r>
    </w:p>
    <w:p>
      <w:pPr>
        <w:pStyle w:val="BodyText"/>
        <w:spacing w:line="285" w:lineRule="auto" w:before="44"/>
        <w:ind w:left="120" w:right="115"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（释义十）中的三项或三项以上，且该状态持续一百八十天以上的，则本公司将给付老年长期护理保险金予被保险人，长期护理保险金于</w:t>
      </w:r>
      <w:r>
        <w:rPr>
          <w:b/>
        </w:rPr>
        <w:t>老年长期护理保险金给付日</w:t>
      </w:r>
      <w:r>
        <w:rPr/>
        <w:t>（释义十一）每月给付一次，连续给付十年，共计一百二十次。每次给付的金额等于该状态认定时本合同的基本保险金额的一百二十分之一。</w:t>
      </w:r>
    </w:p>
    <w:p>
      <w:pPr>
        <w:pStyle w:val="BodyText"/>
        <w:spacing w:line="285" w:lineRule="auto" w:before="10"/>
        <w:ind w:left="120" w:right="139" w:firstLine="360"/>
        <w:jc w:val="both"/>
      </w:pPr>
      <w:r>
        <w:rPr/>
        <w:t>若被保险人在老年长期护理保险金给付期间全残，或被确诊患有第二类重大疾病或被认定达到</w:t>
      </w:r>
      <w:r>
        <w:rPr>
          <w:b/>
        </w:rPr>
        <w:t>疾病终末期阶段</w:t>
      </w:r>
      <w:r>
        <w:rPr/>
        <w:t>（释义十二），则尚未给付的老年长期护理保险金将一次性给付予被保险人；若被保险人在老年长期护理保险金给付期间身故，则尚未给付的老年长期护理保险金将一次性给付予被保险人的继承人。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8"/>
        <w:ind w:left="480" w:right="146"/>
      </w:pPr>
      <w:r>
        <w:rPr/>
        <w:t>若开始给付老年长期护理保险金，则本合同终止，但本项保险金给付责任将延续至老年长期护理保险金完全给付时止。六、疾病终末期阶段保险金</w:t>
      </w:r>
    </w:p>
    <w:p>
      <w:pPr>
        <w:pStyle w:val="BodyText"/>
        <w:spacing w:line="285" w:lineRule="auto" w:before="10"/>
        <w:ind w:left="120" w:right="146" w:firstLine="360"/>
      </w:pPr>
      <w:r>
        <w:rPr/>
        <w:t>在本合同有效期内，若被保险人于等待期后被认定达到疾病终末期阶段的，则本公司将给付疾病终末期阶段保险金予被保险人，本合同终止。该项疾病终末期阶段保险金金额等于被保险人被认定达到该疾病终末期阶段时本合同的基本保险金 额。</w:t>
      </w:r>
    </w:p>
    <w:p>
      <w:pPr>
        <w:pStyle w:val="BodyText"/>
        <w:spacing w:before="10"/>
        <w:ind w:left="480"/>
      </w:pPr>
      <w:r>
        <w:rPr/>
        <w:t>七、身故保险金</w:t>
      </w:r>
    </w:p>
    <w:p>
      <w:pPr>
        <w:pStyle w:val="BodyText"/>
        <w:spacing w:line="283" w:lineRule="auto"/>
        <w:ind w:left="120" w:right="146" w:firstLine="360"/>
      </w:pPr>
      <w:r>
        <w:rPr/>
        <w:t>在本合同有效期内，若被保险人身故，则本公司将给付身故保险金予健在的身故保险金受益人，本合同终止。该项身故保险金金额按下列情况计算。</w:t>
      </w:r>
    </w:p>
    <w:p>
      <w:pPr>
        <w:pStyle w:val="BodyText"/>
        <w:spacing w:line="266" w:lineRule="auto" w:before="13"/>
        <w:ind w:left="120" w:right="117"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18"/>
        <w:ind w:left="480"/>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85" w:lineRule="auto" w:before="26"/>
        <w:ind w:left="119" w:right="118" w:firstLine="360"/>
      </w:pPr>
      <w:r>
        <w:rPr/>
        <w:t>上述（1）中提及的 “标准保险费”是根据保险合同签发时本合同的标准体保险费率和身故时本合同的基本保险金额计算的保险费，其中不包括根据</w:t>
      </w:r>
      <w:r>
        <w:rPr>
          <w:b/>
        </w:rPr>
        <w:t>次标准体费率</w:t>
      </w:r>
      <w:r>
        <w:rPr/>
        <w:t>（释义十三）计算的保险费。</w:t>
      </w:r>
    </w:p>
    <w:p>
      <w:pPr>
        <w:pStyle w:val="BodyText"/>
        <w:spacing w:before="10"/>
        <w:ind w:left="0"/>
        <w:rPr>
          <w:sz w:val="21"/>
        </w:rPr>
      </w:pPr>
    </w:p>
    <w:p>
      <w:pPr>
        <w:pStyle w:val="Heading1"/>
        <w:ind w:left="120"/>
      </w:pPr>
      <w:r>
        <w:rPr/>
        <w:t>第三条 未成年人身故保险金限制</w:t>
      </w:r>
    </w:p>
    <w:p>
      <w:pPr>
        <w:pStyle w:val="BodyText"/>
        <w:spacing w:line="285" w:lineRule="auto" w:before="54"/>
        <w:ind w:left="120" w:right="120"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ind w:left="0"/>
        <w:rPr>
          <w:sz w:val="24"/>
        </w:rPr>
      </w:pPr>
    </w:p>
    <w:p>
      <w:pPr>
        <w:pStyle w:val="Heading1"/>
        <w:tabs>
          <w:tab w:pos="926" w:val="left" w:leader="none"/>
        </w:tabs>
        <w:ind w:left="120"/>
      </w:pPr>
      <w:bookmarkStart w:name="第四条  责任免除" w:id="4"/>
      <w:bookmarkEnd w:id="4"/>
      <w:r>
        <w:rPr>
          <w:b w:val="0"/>
        </w:rPr>
      </w:r>
      <w:r>
        <w:rPr/>
        <w:t>第四条</w:t>
        <w:tab/>
      </w:r>
      <w:r>
        <w:rPr>
          <w:w w:val="95"/>
        </w:rPr>
        <w:t>责任免除</w:t>
      </w:r>
    </w:p>
    <w:p>
      <w:pPr>
        <w:spacing w:before="50"/>
        <w:ind w:left="480" w:right="0" w:firstLine="0"/>
        <w:jc w:val="left"/>
        <w:rPr>
          <w:b/>
          <w:sz w:val="20"/>
        </w:rPr>
      </w:pPr>
      <w:r>
        <w:rPr>
          <w:b/>
          <w:w w:val="95"/>
          <w:sz w:val="20"/>
        </w:rPr>
        <w:t>一、因下列情形之一导致被保险人身故的，本公司不承担给付身故保险金的责任：</w:t>
      </w:r>
    </w:p>
    <w:p>
      <w:pPr>
        <w:spacing w:before="47"/>
        <w:ind w:left="480" w:right="0" w:firstLine="0"/>
        <w:jc w:val="left"/>
        <w:rPr>
          <w:b/>
          <w:sz w:val="20"/>
        </w:rPr>
      </w:pPr>
      <w:r>
        <w:rPr>
          <w:b/>
          <w:w w:val="95"/>
          <w:sz w:val="20"/>
        </w:rPr>
        <w:t>（1）投保人对被保险人的故意杀害、故意伤害；</w:t>
      </w:r>
    </w:p>
    <w:p>
      <w:pPr>
        <w:spacing w:before="49"/>
        <w:ind w:left="480" w:right="0" w:firstLine="0"/>
        <w:jc w:val="left"/>
        <w:rPr>
          <w:b/>
          <w:sz w:val="20"/>
        </w:rPr>
      </w:pPr>
      <w:r>
        <w:rPr>
          <w:b/>
          <w:w w:val="95"/>
          <w:sz w:val="20"/>
        </w:rPr>
        <w:t>（2）被保险人故意犯罪或者抗拒依法采取的刑事强制措施；</w:t>
      </w:r>
    </w:p>
    <w:p>
      <w:pPr>
        <w:spacing w:line="285" w:lineRule="auto" w:before="49"/>
        <w:ind w:left="120" w:right="118" w:firstLine="360"/>
        <w:jc w:val="left"/>
        <w:rPr>
          <w:b/>
          <w:sz w:val="20"/>
        </w:rPr>
      </w:pPr>
      <w:r>
        <w:rPr>
          <w:b/>
          <w:sz w:val="20"/>
        </w:rPr>
        <w:t>（3）被保险人自本合同成立或者合同效力恢复之日起二年内自杀，但被保险人自杀时为无民事行为能力人的除外；</w:t>
      </w:r>
    </w:p>
    <w:p>
      <w:pPr>
        <w:spacing w:before="9"/>
        <w:ind w:left="480" w:right="0" w:firstLine="0"/>
        <w:jc w:val="left"/>
        <w:rPr>
          <w:b/>
          <w:sz w:val="20"/>
        </w:rPr>
      </w:pPr>
      <w:r>
        <w:rPr>
          <w:b/>
          <w:w w:val="95"/>
          <w:sz w:val="20"/>
        </w:rPr>
        <w:t>（4）被保险人主动吸食或注射毒品（释义十四）；</w:t>
      </w:r>
    </w:p>
    <w:p>
      <w:pPr>
        <w:pStyle w:val="BodyText"/>
        <w:spacing w:before="0"/>
        <w:ind w:left="0"/>
        <w:rPr>
          <w:b/>
          <w:sz w:val="20"/>
        </w:rPr>
      </w:pPr>
    </w:p>
    <w:p>
      <w:pPr>
        <w:pStyle w:val="BodyText"/>
        <w:spacing w:before="0"/>
        <w:ind w:left="0"/>
        <w:rPr>
          <w:b/>
          <w:sz w:val="20"/>
        </w:rPr>
      </w:pPr>
    </w:p>
    <w:p>
      <w:pPr>
        <w:pStyle w:val="BodyText"/>
        <w:spacing w:before="5"/>
        <w:ind w:left="0"/>
        <w:rPr>
          <w:b/>
          <w:sz w:val="20"/>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2</w:t>
      </w:r>
    </w:p>
    <w:p>
      <w:pPr>
        <w:spacing w:after="0"/>
        <w:jc w:val="left"/>
        <w:rPr>
          <w:sz w:val="20"/>
        </w:rPr>
        <w:sectPr>
          <w:pgSz w:w="11910" w:h="16840"/>
          <w:pgMar w:top="1020" w:bottom="280" w:left="960" w:right="960"/>
        </w:sectPr>
      </w:pPr>
    </w:p>
    <w:p>
      <w:pPr>
        <w:spacing w:line="285" w:lineRule="auto" w:before="12"/>
        <w:ind w:left="100" w:right="118" w:firstLine="360"/>
        <w:jc w:val="left"/>
        <w:rPr>
          <w:b/>
          <w:sz w:val="20"/>
        </w:rPr>
      </w:pPr>
      <w:r>
        <w:rPr/>
        <w:pict>
          <v:group style="position:absolute;margin-left:0pt;margin-top:0pt;width:595.3pt;height:832.8pt;mso-position-horizontal-relative:page;mso-position-vertical-relative:page;z-index:-21616"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b/>
          <w:sz w:val="20"/>
        </w:rPr>
        <w:t>（5）被保险人酒后驾驶（释义十五），无合法有效驾驶证驾驶（释义十六），或驾驶无有效行驶证（释义</w:t>
      </w:r>
      <w:r>
        <w:rPr>
          <w:b/>
          <w:w w:val="95"/>
          <w:sz w:val="20"/>
        </w:rPr>
        <w:t>十七）的机动车；</w:t>
      </w:r>
    </w:p>
    <w:p>
      <w:pPr>
        <w:spacing w:before="10"/>
        <w:ind w:left="460" w:right="0" w:firstLine="0"/>
        <w:jc w:val="left"/>
        <w:rPr>
          <w:b/>
          <w:sz w:val="20"/>
        </w:rPr>
      </w:pPr>
      <w:r>
        <w:rPr>
          <w:b/>
          <w:w w:val="95"/>
          <w:sz w:val="20"/>
        </w:rPr>
        <w:t>（6）战争、军事冲突、暴乱或武装叛乱；</w:t>
      </w:r>
    </w:p>
    <w:p>
      <w:pPr>
        <w:spacing w:before="50"/>
        <w:ind w:left="460" w:right="0" w:firstLine="0"/>
        <w:jc w:val="left"/>
        <w:rPr>
          <w:b/>
          <w:sz w:val="20"/>
        </w:rPr>
      </w:pPr>
      <w:r>
        <w:rPr>
          <w:b/>
          <w:w w:val="95"/>
          <w:sz w:val="20"/>
        </w:rPr>
        <w:t>（7）核爆炸、核辐射或核污染。</w:t>
      </w:r>
    </w:p>
    <w:p>
      <w:pPr>
        <w:spacing w:line="285" w:lineRule="auto" w:before="50"/>
        <w:ind w:left="100" w:right="111" w:firstLine="360"/>
        <w:jc w:val="both"/>
        <w:rPr>
          <w:b/>
          <w:sz w:val="20"/>
        </w:rPr>
      </w:pPr>
      <w:r>
        <w:rPr>
          <w:b/>
          <w:sz w:val="20"/>
        </w:rPr>
        <w:t>发生上述第（１）项情形导致被保险人身故的，本合同终止，投保人已交足二年以上保险费的，本公司向受益人退还本合同的现金价值（释义十八）；若无受益人或受益人丧失受益权的，本公司向被保险人的继承人</w:t>
      </w:r>
      <w:r>
        <w:rPr>
          <w:b/>
          <w:w w:val="95"/>
          <w:sz w:val="20"/>
        </w:rPr>
        <w:t>退还本合同的现金价值。</w:t>
      </w:r>
    </w:p>
    <w:p>
      <w:pPr>
        <w:spacing w:before="12"/>
        <w:ind w:left="460" w:right="0" w:firstLine="0"/>
        <w:jc w:val="left"/>
        <w:rPr>
          <w:b/>
          <w:sz w:val="20"/>
        </w:rPr>
      </w:pPr>
      <w:r>
        <w:rPr>
          <w:b/>
          <w:w w:val="95"/>
          <w:sz w:val="20"/>
        </w:rPr>
        <w:t>发生上述其他情形导致被保险人身故的，本合同终止，本公司向投保人退还本合同的现金价值。</w:t>
      </w:r>
    </w:p>
    <w:p>
      <w:pPr>
        <w:spacing w:line="285" w:lineRule="auto" w:before="50"/>
        <w:ind w:left="100" w:right="111" w:firstLine="360"/>
        <w:jc w:val="both"/>
        <w:rPr>
          <w:b/>
          <w:sz w:val="20"/>
        </w:rPr>
      </w:pPr>
      <w:r>
        <w:rPr>
          <w:b/>
          <w:spacing w:val="2"/>
          <w:w w:val="95"/>
          <w:sz w:val="20"/>
        </w:rPr>
        <w:t>二、因下列情形之一导致被保险人被认定达到疾病终末期阶段或发生第一类重大疾病、儿童特定疾病、第   </w:t>
      </w:r>
      <w:r>
        <w:rPr>
          <w:b/>
          <w:sz w:val="20"/>
        </w:rPr>
        <w:t>二类重大疾病的，本公司不承担给付疾病终末期阶段保险金、第一类重大疾病保险金、儿童特定疾病保险金及</w:t>
      </w:r>
      <w:r>
        <w:rPr>
          <w:b/>
          <w:w w:val="95"/>
          <w:sz w:val="20"/>
        </w:rPr>
        <w:t>第二类重大疾病保险金的责任：</w:t>
      </w:r>
    </w:p>
    <w:p>
      <w:pPr>
        <w:spacing w:before="12"/>
        <w:ind w:left="460" w:right="0" w:firstLine="0"/>
        <w:jc w:val="left"/>
        <w:rPr>
          <w:b/>
          <w:sz w:val="20"/>
        </w:rPr>
      </w:pPr>
      <w:r>
        <w:rPr>
          <w:b/>
          <w:w w:val="95"/>
          <w:sz w:val="20"/>
        </w:rPr>
        <w:t>（1）投保人对被保险人的故意杀害、故意伤害；</w:t>
      </w:r>
    </w:p>
    <w:p>
      <w:pPr>
        <w:spacing w:before="47"/>
        <w:ind w:left="460" w:right="0" w:firstLine="0"/>
        <w:jc w:val="left"/>
        <w:rPr>
          <w:b/>
          <w:sz w:val="20"/>
        </w:rPr>
      </w:pPr>
      <w:r>
        <w:rPr>
          <w:b/>
          <w:w w:val="95"/>
          <w:sz w:val="20"/>
        </w:rPr>
        <w:t>（2）被保险人故意犯罪或者抗拒依法采取的刑事强制措施；</w:t>
      </w:r>
    </w:p>
    <w:p>
      <w:pPr>
        <w:spacing w:before="50"/>
        <w:ind w:left="460" w:right="0" w:firstLine="0"/>
        <w:jc w:val="left"/>
        <w:rPr>
          <w:b/>
          <w:sz w:val="20"/>
        </w:rPr>
      </w:pPr>
      <w:r>
        <w:rPr>
          <w:b/>
          <w:w w:val="95"/>
          <w:sz w:val="20"/>
        </w:rPr>
        <w:t>（3）被保险人故意自伤；</w:t>
      </w:r>
    </w:p>
    <w:p>
      <w:pPr>
        <w:spacing w:before="50"/>
        <w:ind w:left="460" w:right="0" w:firstLine="0"/>
        <w:jc w:val="left"/>
        <w:rPr>
          <w:b/>
          <w:sz w:val="20"/>
        </w:rPr>
      </w:pPr>
      <w:r>
        <w:rPr>
          <w:b/>
          <w:w w:val="95"/>
          <w:sz w:val="20"/>
        </w:rPr>
        <w:t>（4）被保险人主动吸食或注射毒品；</w:t>
      </w:r>
    </w:p>
    <w:p>
      <w:pPr>
        <w:spacing w:before="47"/>
        <w:ind w:left="460" w:right="0" w:firstLine="0"/>
        <w:jc w:val="left"/>
        <w:rPr>
          <w:b/>
          <w:sz w:val="20"/>
        </w:rPr>
      </w:pPr>
      <w:r>
        <w:rPr>
          <w:b/>
          <w:w w:val="95"/>
          <w:sz w:val="20"/>
        </w:rPr>
        <w:t>（5）被保险人酒后驾驶、无合法有效驾驶证驾驶，或驾驶无有效行驶证的机动车；</w:t>
      </w:r>
    </w:p>
    <w:p>
      <w:pPr>
        <w:spacing w:before="50"/>
        <w:ind w:left="460" w:right="0" w:firstLine="0"/>
        <w:jc w:val="left"/>
        <w:rPr>
          <w:b/>
          <w:sz w:val="20"/>
        </w:rPr>
      </w:pPr>
      <w:r>
        <w:rPr>
          <w:b/>
          <w:w w:val="95"/>
          <w:sz w:val="20"/>
        </w:rPr>
        <w:t>（6）战争、军事冲突、暴乱或武装叛乱；</w:t>
      </w:r>
    </w:p>
    <w:p>
      <w:pPr>
        <w:spacing w:before="50"/>
        <w:ind w:left="460" w:right="0" w:firstLine="0"/>
        <w:jc w:val="left"/>
        <w:rPr>
          <w:b/>
          <w:sz w:val="20"/>
        </w:rPr>
      </w:pPr>
      <w:r>
        <w:rPr>
          <w:b/>
          <w:w w:val="95"/>
          <w:sz w:val="20"/>
        </w:rPr>
        <w:t>（7）核爆炸、核辐射或核污染；</w:t>
      </w:r>
    </w:p>
    <w:p>
      <w:pPr>
        <w:spacing w:before="47"/>
        <w:ind w:left="460" w:right="0" w:firstLine="0"/>
        <w:jc w:val="left"/>
        <w:rPr>
          <w:b/>
          <w:sz w:val="20"/>
        </w:rPr>
      </w:pPr>
      <w:r>
        <w:rPr>
          <w:b/>
          <w:w w:val="95"/>
          <w:sz w:val="20"/>
        </w:rPr>
        <w:t>（8）遗传性疾病（释义十九），先天性畸形、变形或染色体异常（释义二十）；</w:t>
      </w:r>
    </w:p>
    <w:p>
      <w:pPr>
        <w:spacing w:before="50"/>
        <w:ind w:left="460" w:right="0" w:firstLine="0"/>
        <w:jc w:val="left"/>
        <w:rPr>
          <w:b/>
          <w:sz w:val="20"/>
        </w:rPr>
      </w:pPr>
      <w:r>
        <w:rPr>
          <w:b/>
          <w:w w:val="95"/>
          <w:sz w:val="20"/>
        </w:rPr>
        <w:t>（9）被保险人感染艾滋病病毒或患艾滋病（释义二十一）。</w:t>
      </w:r>
    </w:p>
    <w:p>
      <w:pPr>
        <w:spacing w:line="283" w:lineRule="auto" w:before="50"/>
        <w:ind w:left="100" w:right="115" w:firstLine="360"/>
        <w:jc w:val="left"/>
        <w:rPr>
          <w:b/>
          <w:sz w:val="20"/>
        </w:rPr>
      </w:pPr>
      <w:r>
        <w:rPr>
          <w:b/>
          <w:spacing w:val="2"/>
          <w:w w:val="95"/>
          <w:sz w:val="20"/>
        </w:rPr>
        <w:t>三、因下列情形之一导致被保险人全残或自主生活能力完全丧失的，本公司不承担给付全残保险金或老年   </w:t>
      </w:r>
      <w:r>
        <w:rPr>
          <w:b/>
          <w:w w:val="95"/>
          <w:sz w:val="20"/>
        </w:rPr>
        <w:t>长期护理保险金的责任：</w:t>
      </w:r>
    </w:p>
    <w:p>
      <w:pPr>
        <w:spacing w:before="14"/>
        <w:ind w:left="460" w:right="0" w:firstLine="0"/>
        <w:jc w:val="left"/>
        <w:rPr>
          <w:b/>
          <w:sz w:val="20"/>
        </w:rPr>
      </w:pPr>
      <w:r>
        <w:rPr>
          <w:b/>
          <w:w w:val="95"/>
          <w:sz w:val="20"/>
        </w:rPr>
        <w:t>（1）投保人对被保险人的故意杀害、故意伤害；</w:t>
      </w:r>
    </w:p>
    <w:p>
      <w:pPr>
        <w:spacing w:before="50"/>
        <w:ind w:left="460" w:right="0" w:firstLine="0"/>
        <w:jc w:val="left"/>
        <w:rPr>
          <w:b/>
          <w:sz w:val="20"/>
        </w:rPr>
      </w:pPr>
      <w:r>
        <w:rPr>
          <w:b/>
          <w:w w:val="95"/>
          <w:sz w:val="20"/>
        </w:rPr>
        <w:t>（2）被保险人故意犯罪或者抗拒依法采取的刑事强制措施；</w:t>
      </w:r>
    </w:p>
    <w:p>
      <w:pPr>
        <w:spacing w:before="50"/>
        <w:ind w:left="460" w:right="0" w:firstLine="0"/>
        <w:jc w:val="left"/>
        <w:rPr>
          <w:b/>
          <w:sz w:val="20"/>
        </w:rPr>
      </w:pPr>
      <w:r>
        <w:rPr>
          <w:b/>
          <w:w w:val="95"/>
          <w:sz w:val="20"/>
        </w:rPr>
        <w:t>（3）被保险人故意自伤；</w:t>
      </w:r>
    </w:p>
    <w:p>
      <w:pPr>
        <w:spacing w:before="48"/>
        <w:ind w:left="460" w:right="0" w:firstLine="0"/>
        <w:jc w:val="left"/>
        <w:rPr>
          <w:b/>
          <w:sz w:val="20"/>
        </w:rPr>
      </w:pPr>
      <w:r>
        <w:rPr>
          <w:b/>
          <w:w w:val="95"/>
          <w:sz w:val="20"/>
        </w:rPr>
        <w:t>（4）被保险人主动吸食或注射毒品；</w:t>
      </w:r>
    </w:p>
    <w:p>
      <w:pPr>
        <w:spacing w:before="50"/>
        <w:ind w:left="460" w:right="0" w:firstLine="0"/>
        <w:jc w:val="left"/>
        <w:rPr>
          <w:b/>
          <w:sz w:val="20"/>
        </w:rPr>
      </w:pPr>
      <w:r>
        <w:rPr>
          <w:b/>
          <w:w w:val="95"/>
          <w:sz w:val="20"/>
        </w:rPr>
        <w:t>（5）被保险人酒后驾驶、无合法有效驾驶证驾驶，或驾驶无有效行驶证的机动车；</w:t>
      </w:r>
    </w:p>
    <w:p>
      <w:pPr>
        <w:spacing w:before="50"/>
        <w:ind w:left="460" w:right="0" w:firstLine="0"/>
        <w:jc w:val="left"/>
        <w:rPr>
          <w:b/>
          <w:sz w:val="20"/>
        </w:rPr>
      </w:pPr>
      <w:r>
        <w:rPr>
          <w:b/>
          <w:w w:val="95"/>
          <w:sz w:val="20"/>
        </w:rPr>
        <w:t>（6）战争、军事冲突、暴乱或武装叛乱；</w:t>
      </w:r>
    </w:p>
    <w:p>
      <w:pPr>
        <w:spacing w:before="48"/>
        <w:ind w:left="460" w:right="0" w:firstLine="0"/>
        <w:jc w:val="left"/>
        <w:rPr>
          <w:b/>
          <w:sz w:val="20"/>
        </w:rPr>
      </w:pPr>
      <w:r>
        <w:rPr>
          <w:b/>
          <w:w w:val="95"/>
          <w:sz w:val="20"/>
        </w:rPr>
        <w:t>（7）核爆炸、核辐射或核污染。</w:t>
      </w:r>
    </w:p>
    <w:p>
      <w:pPr>
        <w:pStyle w:val="BodyText"/>
        <w:spacing w:before="9"/>
        <w:ind w:left="0"/>
        <w:rPr>
          <w:b/>
          <w:sz w:val="27"/>
        </w:rPr>
      </w:pPr>
    </w:p>
    <w:p>
      <w:pPr>
        <w:tabs>
          <w:tab w:pos="906" w:val="left" w:leader="none"/>
        </w:tabs>
        <w:spacing w:before="0"/>
        <w:ind w:left="100" w:right="0" w:firstLine="0"/>
        <w:jc w:val="left"/>
        <w:rPr>
          <w:b/>
          <w:sz w:val="20"/>
        </w:rPr>
      </w:pPr>
      <w:bookmarkStart w:name="第五条  保险合同成立与生效" w:id="5"/>
      <w:bookmarkEnd w:id="5"/>
      <w:r>
        <w:rPr/>
      </w:r>
      <w:r>
        <w:rPr>
          <w:b/>
          <w:sz w:val="20"/>
        </w:rPr>
        <w:t>第五条</w:t>
        <w:tab/>
      </w:r>
      <w:r>
        <w:rPr>
          <w:b/>
          <w:w w:val="95"/>
          <w:sz w:val="20"/>
        </w:rPr>
        <w:t>保险合同成立与生效</w:t>
      </w:r>
    </w:p>
    <w:p>
      <w:pPr>
        <w:pStyle w:val="BodyText"/>
        <w:spacing w:before="52"/>
      </w:pPr>
      <w:r>
        <w:rPr/>
        <w:t>投保人提出保险申请、本公司同意承保，本合同成立。</w:t>
      </w:r>
    </w:p>
    <w:p>
      <w:pPr>
        <w:pStyle w:val="BodyText"/>
      </w:pPr>
      <w:r>
        <w:rPr/>
        <w:t>合同生效日期在保险单上载明。保单年度、保险费约定支付日均以该日期计算。</w:t>
      </w:r>
    </w:p>
    <w:p>
      <w:pPr>
        <w:pStyle w:val="BodyText"/>
        <w:spacing w:before="5"/>
        <w:ind w:left="0"/>
        <w:rPr>
          <w:sz w:val="24"/>
        </w:rPr>
      </w:pPr>
    </w:p>
    <w:p>
      <w:pPr>
        <w:pStyle w:val="Heading1"/>
        <w:tabs>
          <w:tab w:pos="906" w:val="left" w:leader="none"/>
        </w:tabs>
        <w:ind w:left="100"/>
      </w:pPr>
      <w:r>
        <w:rPr/>
        <w:t>第六条</w:t>
        <w:tab/>
      </w:r>
      <w:r>
        <w:rPr>
          <w:w w:val="95"/>
        </w:rPr>
        <w:t>投保年龄和保险期间</w:t>
      </w:r>
    </w:p>
    <w:p>
      <w:pPr>
        <w:pStyle w:val="BodyText"/>
        <w:spacing w:line="285" w:lineRule="auto" w:before="54"/>
        <w:ind w:right="4646"/>
      </w:pPr>
      <w:r>
        <w:rPr/>
        <w:t>本合同所承保的被保险人的投保年龄为出生满七日至十七岁。本合同的保险期间为终身。</w:t>
      </w:r>
    </w:p>
    <w:p>
      <w:pPr>
        <w:pStyle w:val="BodyText"/>
        <w:spacing w:before="10"/>
        <w:ind w:left="0"/>
        <w:rPr>
          <w:sz w:val="21"/>
        </w:rPr>
      </w:pPr>
    </w:p>
    <w:p>
      <w:pPr>
        <w:pStyle w:val="Heading1"/>
        <w:tabs>
          <w:tab w:pos="906" w:val="left" w:leader="none"/>
        </w:tabs>
        <w:ind w:left="100"/>
      </w:pPr>
      <w:r>
        <w:rPr/>
        <w:t>第七条</w:t>
        <w:tab/>
      </w:r>
      <w:r>
        <w:rPr>
          <w:w w:val="95"/>
        </w:rPr>
        <w:t>合同效力的终止</w:t>
      </w:r>
    </w:p>
    <w:p>
      <w:pPr>
        <w:pStyle w:val="BodyText"/>
        <w:spacing w:before="54"/>
      </w:pPr>
      <w:r>
        <w:rPr/>
        <w:t>发生下列情况之一时，本合同效力即时终止：</w:t>
      </w:r>
    </w:p>
    <w:p>
      <w:pPr>
        <w:pStyle w:val="BodyText"/>
      </w:pPr>
      <w:r>
        <w:rPr/>
        <w:t>（1）投保人向本公司申请解除本合同；</w:t>
      </w:r>
    </w:p>
    <w:p>
      <w:pPr>
        <w:pStyle w:val="BodyText"/>
        <w:spacing w:before="43"/>
      </w:pPr>
      <w:r>
        <w:rPr/>
        <w:t>（2）被保险人身故；</w:t>
      </w:r>
    </w:p>
    <w:p>
      <w:pPr>
        <w:pStyle w:val="BodyText"/>
      </w:pPr>
      <w:r>
        <w:rPr/>
        <w:t>（3）本公司已给付第三次第二类重大疾病基础保障；</w:t>
      </w:r>
    </w:p>
    <w:p>
      <w:pPr>
        <w:pStyle w:val="BodyText"/>
      </w:pPr>
      <w:r>
        <w:rPr/>
        <w:t>（4）本公司已给付疾病终末期阶段保险金或全残保险金中任何一项保险金，或已开始给付老年长期护理保险金；</w:t>
      </w:r>
    </w:p>
    <w:p>
      <w:pPr>
        <w:pStyle w:val="BodyText"/>
      </w:pPr>
      <w:r>
        <w:rPr/>
        <w:t>（5）本合同因其他条款所列情况而终止效力。</w:t>
      </w:r>
    </w:p>
    <w:p>
      <w:pPr>
        <w:pStyle w:val="BodyText"/>
        <w:spacing w:before="5"/>
        <w:ind w:left="0"/>
        <w:rPr>
          <w:sz w:val="24"/>
        </w:rPr>
      </w:pPr>
    </w:p>
    <w:p>
      <w:pPr>
        <w:pStyle w:val="Heading1"/>
        <w:tabs>
          <w:tab w:pos="906" w:val="left" w:leader="none"/>
        </w:tabs>
        <w:ind w:left="100"/>
      </w:pPr>
      <w:r>
        <w:rPr/>
        <w:t>第八条</w:t>
        <w:tab/>
      </w:r>
      <w:r>
        <w:rPr>
          <w:w w:val="95"/>
        </w:rPr>
        <w:t>年龄错误</w:t>
      </w:r>
    </w:p>
    <w:p>
      <w:pPr>
        <w:pStyle w:val="BodyText"/>
        <w:spacing w:before="0"/>
        <w:ind w:left="0"/>
        <w:rPr>
          <w:b/>
          <w:sz w:val="20"/>
        </w:rPr>
      </w:pPr>
    </w:p>
    <w:p>
      <w:pPr>
        <w:pStyle w:val="BodyText"/>
        <w:spacing w:before="8"/>
        <w:ind w:left="0"/>
        <w:rPr>
          <w:b/>
          <w:sz w:val="22"/>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3</w:t>
      </w:r>
    </w:p>
    <w:p>
      <w:pPr>
        <w:spacing w:after="0"/>
        <w:jc w:val="left"/>
        <w:rPr>
          <w:sz w:val="20"/>
        </w:rPr>
        <w:sectPr>
          <w:pgSz w:w="11910" w:h="16840"/>
          <w:pgMar w:top="1020" w:bottom="280" w:left="980" w:right="960"/>
        </w:sectPr>
      </w:pPr>
    </w:p>
    <w:p>
      <w:pPr>
        <w:pStyle w:val="BodyText"/>
        <w:spacing w:line="285" w:lineRule="auto" w:before="16"/>
        <w:ind w:left="100" w:right="120" w:firstLine="360"/>
      </w:pPr>
      <w:r>
        <w:rPr/>
        <w:pict>
          <v:group style="position:absolute;margin-left:0pt;margin-top:0pt;width:595.3pt;height:832.8pt;mso-position-horizontal-relative:page;mso-position-vertical-relative:page;z-index:-21592"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投保人在申请投保时，应将与有效身份证件相符的被保险人的出生日期在投保单上填明，如果发生错误按照下列方式办理：</w:t>
      </w:r>
    </w:p>
    <w:p>
      <w:pPr>
        <w:pStyle w:val="Heading1"/>
        <w:spacing w:line="285" w:lineRule="auto" w:before="4"/>
        <w:ind w:left="100" w:right="110" w:firstLine="360"/>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3" w:lineRule="auto" w:before="12"/>
        <w:ind w:left="10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4"/>
        <w:ind w:left="10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2"/>
        <w:ind w:left="0"/>
        <w:rPr>
          <w:b/>
          <w:sz w:val="22"/>
        </w:rPr>
      </w:pPr>
    </w:p>
    <w:p>
      <w:pPr>
        <w:tabs>
          <w:tab w:pos="906" w:val="left" w:leader="none"/>
        </w:tabs>
        <w:spacing w:before="0"/>
        <w:ind w:left="100" w:right="0" w:firstLine="0"/>
        <w:jc w:val="left"/>
        <w:rPr>
          <w:b/>
          <w:sz w:val="20"/>
        </w:rPr>
      </w:pPr>
      <w:r>
        <w:rPr>
          <w:b/>
          <w:sz w:val="20"/>
        </w:rPr>
        <w:t>第九条</w:t>
        <w:tab/>
      </w:r>
      <w:r>
        <w:rPr>
          <w:b/>
          <w:w w:val="95"/>
          <w:sz w:val="20"/>
        </w:rPr>
        <w:t>受益人</w:t>
      </w:r>
    </w:p>
    <w:p>
      <w:pPr>
        <w:pStyle w:val="BodyText"/>
        <w:spacing w:before="54"/>
      </w:pPr>
      <w:r>
        <w:rPr/>
        <w:t>投保人或者被保险人可以指定一人或多人为身故保险金受益人。</w:t>
      </w:r>
    </w:p>
    <w:p>
      <w:pPr>
        <w:pStyle w:val="BodyText"/>
        <w:spacing w:line="285" w:lineRule="auto" w:before="43"/>
        <w:ind w:right="146"/>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1"/>
        <w:ind w:left="100" w:right="120" w:firstLine="360"/>
      </w:pPr>
      <w:r>
        <w:rPr/>
        <w:t>投保人或者被保险人可以变更身故保险金受益人并书面通知本公司。本公司收到变更受益人的书面通知后，在保险单或其他保险凭证上批注或附贴批单。</w:t>
      </w:r>
    </w:p>
    <w:p>
      <w:pPr>
        <w:pStyle w:val="BodyText"/>
        <w:spacing w:before="8"/>
      </w:pPr>
      <w:r>
        <w:rPr/>
        <w:t>投保人在指定和变更身故保险金受益人时，必须经过被保险人同意。</w:t>
      </w:r>
    </w:p>
    <w:p>
      <w:pPr>
        <w:pStyle w:val="BodyText"/>
        <w:spacing w:line="285" w:lineRule="auto" w:before="44"/>
        <w:ind w:left="100" w:right="120" w:firstLine="360"/>
      </w:pPr>
      <w:r>
        <w:rPr/>
        <w:t>被保险人身故后，有下列情形之一的，身故保险金作为被保险人的遗产，由本公司依照《中华人民共和国继承法》的规定履行给付保险金的义务：</w:t>
      </w:r>
    </w:p>
    <w:p>
      <w:pPr>
        <w:pStyle w:val="BodyText"/>
        <w:spacing w:before="8"/>
      </w:pPr>
      <w:r>
        <w:rPr/>
        <w:t>（1）没有指定受益人，或者受益人指定不明无法确定的；</w:t>
      </w:r>
    </w:p>
    <w:p>
      <w:pPr>
        <w:pStyle w:val="BodyText"/>
      </w:pPr>
      <w:r>
        <w:rPr/>
        <w:t>（2）受益人先于被保险人身故，没有其他受益人的；</w:t>
      </w:r>
    </w:p>
    <w:p>
      <w:pPr>
        <w:pStyle w:val="BodyText"/>
      </w:pPr>
      <w:r>
        <w:rPr/>
        <w:t>（3）受益人依法丧失受益权或者放弃受益权，没有其他受益人的。</w:t>
      </w:r>
    </w:p>
    <w:p>
      <w:pPr>
        <w:pStyle w:val="BodyText"/>
      </w:pPr>
      <w:r>
        <w:rPr/>
        <w:t>受益人与被保险人在同一事件中身故，且不能确定身故先后顺序的，推定受益人身故在先。</w:t>
      </w:r>
    </w:p>
    <w:p>
      <w:pPr>
        <w:pStyle w:val="Heading1"/>
        <w:spacing w:before="38"/>
      </w:pPr>
      <w:r>
        <w:rPr>
          <w:w w:val="95"/>
        </w:rPr>
        <w:t>受益人故意造成被保险人身故、伤残、疾病的，或者故意杀害被保险人未遂的，该受益人丧失受益权。</w:t>
      </w:r>
    </w:p>
    <w:p>
      <w:pPr>
        <w:pStyle w:val="BodyText"/>
        <w:spacing w:before="3"/>
        <w:ind w:left="0"/>
        <w:rPr>
          <w:b/>
          <w:sz w:val="25"/>
        </w:rPr>
      </w:pPr>
    </w:p>
    <w:p>
      <w:pPr>
        <w:tabs>
          <w:tab w:pos="906" w:val="left" w:leader="none"/>
        </w:tabs>
        <w:spacing w:before="0"/>
        <w:ind w:left="100" w:right="0" w:firstLine="0"/>
        <w:jc w:val="left"/>
        <w:rPr>
          <w:b/>
          <w:sz w:val="20"/>
        </w:rPr>
      </w:pPr>
      <w:r>
        <w:rPr>
          <w:b/>
          <w:sz w:val="20"/>
        </w:rPr>
        <w:t>第十条</w:t>
        <w:tab/>
      </w:r>
      <w:r>
        <w:rPr>
          <w:b/>
          <w:w w:val="95"/>
          <w:sz w:val="20"/>
        </w:rPr>
        <w:t>住所或通讯地址的变更</w:t>
      </w:r>
    </w:p>
    <w:p>
      <w:pPr>
        <w:pStyle w:val="BodyText"/>
        <w:spacing w:before="51"/>
      </w:pPr>
      <w:r>
        <w:rPr/>
        <w:t>投保人的住所或通讯地址有变更时，应及时书面通知本公司。</w:t>
      </w:r>
    </w:p>
    <w:p>
      <w:pPr>
        <w:pStyle w:val="BodyText"/>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1105" w:val="left" w:leader="none"/>
        </w:tabs>
        <w:ind w:left="100"/>
      </w:pPr>
      <w:r>
        <w:rPr/>
        <w:t>第十一条</w:t>
        <w:tab/>
      </w:r>
      <w:r>
        <w:rPr>
          <w:w w:val="95"/>
        </w:rPr>
        <w:t>合同内容的变更</w:t>
      </w:r>
    </w:p>
    <w:p>
      <w:pPr>
        <w:pStyle w:val="BodyText"/>
        <w:spacing w:line="285" w:lineRule="auto" w:before="52"/>
        <w:ind w:left="100" w:right="120" w:firstLine="360"/>
      </w:pPr>
      <w:r>
        <w:rPr/>
        <w:t>投保人和本公司可以协商变更合同内容。投保人可根据本公司的规定申请变更本合同内容，经本公司同意并记录及在本合同上批注后生效。</w:t>
      </w:r>
    </w:p>
    <w:p>
      <w:pPr>
        <w:pStyle w:val="BodyText"/>
        <w:spacing w:before="11"/>
      </w:pPr>
      <w:r>
        <w:rPr/>
        <w:t>若被保险人身故，则本公司不接受本合同内容的任何变更申请。</w:t>
      </w:r>
    </w:p>
    <w:p>
      <w:pPr>
        <w:pStyle w:val="BodyText"/>
        <w:spacing w:before="5"/>
        <w:ind w:left="0"/>
        <w:rPr>
          <w:sz w:val="24"/>
        </w:rPr>
      </w:pPr>
    </w:p>
    <w:p>
      <w:pPr>
        <w:pStyle w:val="Heading1"/>
        <w:tabs>
          <w:tab w:pos="1105" w:val="left" w:leader="none"/>
        </w:tabs>
        <w:ind w:left="100"/>
      </w:pPr>
      <w:r>
        <w:rPr/>
        <w:t>第十二条</w:t>
        <w:tab/>
        <w:t>基本保险金额</w:t>
      </w:r>
    </w:p>
    <w:p>
      <w:pPr>
        <w:pStyle w:val="BodyText"/>
        <w:spacing w:line="285" w:lineRule="auto" w:before="54"/>
        <w:ind w:left="100" w:right="117" w:firstLine="360"/>
        <w:jc w:val="both"/>
      </w:pPr>
      <w:r>
        <w:rPr/>
        <w:t>本合同的基本保险金额载于本合同的保险单上，若该金额经本合同其他条款或批注的修正而发生变更，则以变更后的金额为本合同的基本保险金额。首次第二类重大疾病基础保障给付后，本合同的基本保险金额减少为零，本合同的现金价值也相应减少为零。</w:t>
      </w:r>
    </w:p>
    <w:p>
      <w:pPr>
        <w:pStyle w:val="BodyText"/>
        <w:spacing w:before="12"/>
        <w:ind w:left="0"/>
        <w:rPr>
          <w:sz w:val="21"/>
        </w:rPr>
      </w:pPr>
    </w:p>
    <w:p>
      <w:pPr>
        <w:pStyle w:val="Heading1"/>
        <w:tabs>
          <w:tab w:pos="1105" w:val="left" w:leader="none"/>
        </w:tabs>
        <w:spacing w:before="1"/>
        <w:ind w:left="100"/>
      </w:pPr>
      <w:r>
        <w:rPr/>
        <w:t>第十三条</w:t>
        <w:tab/>
      </w:r>
      <w:r>
        <w:rPr>
          <w:w w:val="95"/>
        </w:rPr>
        <w:t>基本保险金额的变更</w:t>
      </w:r>
    </w:p>
    <w:p>
      <w:pPr>
        <w:pStyle w:val="BodyText"/>
        <w:spacing w:line="285" w:lineRule="auto" w:before="52"/>
        <w:ind w:left="100" w:right="118"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0"/>
        <w:ind w:left="0"/>
        <w:rPr>
          <w:sz w:val="21"/>
        </w:rPr>
      </w:pPr>
    </w:p>
    <w:p>
      <w:pPr>
        <w:pStyle w:val="Heading1"/>
        <w:tabs>
          <w:tab w:pos="1105" w:val="left" w:leader="none"/>
        </w:tabs>
        <w:ind w:left="100"/>
      </w:pPr>
      <w:r>
        <w:rPr/>
        <w:t>第十四条</w:t>
        <w:tab/>
        <w:t>保险费的支付</w:t>
      </w:r>
    </w:p>
    <w:p>
      <w:pPr>
        <w:pStyle w:val="BodyText"/>
        <w:spacing w:line="285" w:lineRule="auto" w:before="54"/>
        <w:ind w:left="100" w:right="120"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8"/>
        <w:ind w:left="100" w:right="120"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0"/>
        <w:ind w:left="0"/>
        <w:rPr>
          <w:sz w:val="20"/>
        </w:rPr>
      </w:pPr>
    </w:p>
    <w:p>
      <w:pPr>
        <w:pStyle w:val="BodyText"/>
        <w:spacing w:before="1"/>
        <w:ind w:left="0"/>
        <w:rPr>
          <w:sz w:val="24"/>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4</w:t>
      </w:r>
    </w:p>
    <w:p>
      <w:pPr>
        <w:spacing w:after="0"/>
        <w:jc w:val="left"/>
        <w:rPr>
          <w:sz w:val="20"/>
        </w:rPr>
        <w:sectPr>
          <w:pgSz w:w="11910" w:h="16840"/>
          <w:pgMar w:top="1020" w:bottom="280" w:left="980" w:right="960"/>
        </w:sectPr>
      </w:pPr>
    </w:p>
    <w:p>
      <w:pPr>
        <w:pStyle w:val="BodyText"/>
        <w:spacing w:before="16"/>
      </w:pPr>
      <w:r>
        <w:rPr/>
        <w:pict>
          <v:group style="position:absolute;margin-left:0pt;margin-top:0pt;width:595.3pt;height:832.8pt;mso-position-horizontal-relative:page;mso-position-vertical-relative:page;z-index:-21568"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若本合同给付首次第二类重大疾病基础保障，投保人不需要支付本合同后续的保险费。</w:t>
      </w:r>
    </w:p>
    <w:p>
      <w:pPr>
        <w:pStyle w:val="BodyText"/>
        <w:spacing w:before="5"/>
        <w:ind w:left="0"/>
        <w:rPr>
          <w:sz w:val="24"/>
        </w:rPr>
      </w:pPr>
    </w:p>
    <w:p>
      <w:pPr>
        <w:pStyle w:val="Heading1"/>
        <w:tabs>
          <w:tab w:pos="1105" w:val="left" w:leader="none"/>
        </w:tabs>
        <w:ind w:left="100"/>
      </w:pPr>
      <w:r>
        <w:rPr/>
        <w:t>第十五条</w:t>
        <w:tab/>
        <w:t>宽限期</w:t>
      </w:r>
    </w:p>
    <w:p>
      <w:pPr>
        <w:pStyle w:val="BodyText"/>
        <w:spacing w:line="285" w:lineRule="auto" w:before="54"/>
        <w:ind w:left="100" w:right="159"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10"/>
        <w:ind w:left="0"/>
        <w:rPr>
          <w:sz w:val="21"/>
        </w:rPr>
      </w:pPr>
    </w:p>
    <w:p>
      <w:pPr>
        <w:pStyle w:val="Heading1"/>
        <w:tabs>
          <w:tab w:pos="1105" w:val="left" w:leader="none"/>
        </w:tabs>
        <w:ind w:left="100"/>
      </w:pPr>
      <w:r>
        <w:rPr/>
        <w:t>第十六条</w:t>
        <w:tab/>
      </w:r>
      <w:r>
        <w:rPr>
          <w:w w:val="95"/>
        </w:rPr>
        <w:t>效力恢复</w:t>
      </w:r>
    </w:p>
    <w:p>
      <w:pPr>
        <w:pStyle w:val="BodyText"/>
        <w:spacing w:line="283" w:lineRule="auto" w:before="54"/>
        <w:ind w:left="100" w:right="160" w:firstLine="360"/>
        <w:jc w:val="both"/>
      </w:pPr>
      <w:r>
        <w:rPr/>
        <w:t>本合同效力中止后二年内，投保人可以申请恢复合同效力。经本公司与投保人协商并达成协议，在投保人补交保险费及</w:t>
      </w:r>
      <w:r>
        <w:rPr>
          <w:b/>
        </w:rPr>
        <w:t>利息</w:t>
      </w:r>
      <w:r>
        <w:rPr/>
        <w:t>（释义二十二）、借款及借款利息之日起，合同效力恢复。</w:t>
      </w:r>
    </w:p>
    <w:p>
      <w:pPr>
        <w:pStyle w:val="Heading1"/>
        <w:spacing w:line="285" w:lineRule="auto" w:before="8"/>
        <w:ind w:left="100" w:right="106" w:firstLine="360"/>
        <w:jc w:val="both"/>
      </w:pPr>
      <w:r>
        <w:rPr>
          <w:spacing w:val="7"/>
          <w:w w:val="95"/>
        </w:rPr>
        <w:t>自本合同效力中止之日起满二年投保人和本公司未达成协议的，本公司有权解除合同。本公司解除合同   </w:t>
      </w:r>
      <w:r>
        <w:rPr>
          <w:w w:val="95"/>
        </w:rPr>
        <w:t>的，向投保人退还合同效力中止时本合同的现金价值。</w:t>
      </w:r>
    </w:p>
    <w:p>
      <w:pPr>
        <w:pStyle w:val="BodyText"/>
        <w:spacing w:before="2"/>
        <w:ind w:left="0"/>
        <w:rPr>
          <w:b/>
          <w:sz w:val="22"/>
        </w:rPr>
      </w:pPr>
    </w:p>
    <w:p>
      <w:pPr>
        <w:tabs>
          <w:tab w:pos="1105" w:val="left" w:leader="none"/>
        </w:tabs>
        <w:spacing w:before="0"/>
        <w:ind w:left="100" w:right="0" w:firstLine="0"/>
        <w:jc w:val="left"/>
        <w:rPr>
          <w:b/>
          <w:sz w:val="20"/>
        </w:rPr>
      </w:pPr>
      <w:r>
        <w:rPr>
          <w:b/>
          <w:sz w:val="20"/>
        </w:rPr>
        <w:t>第十七条</w:t>
        <w:tab/>
      </w:r>
      <w:r>
        <w:rPr>
          <w:b/>
          <w:w w:val="95"/>
          <w:sz w:val="20"/>
        </w:rPr>
        <w:t>保险费的自动垫付</w:t>
      </w:r>
    </w:p>
    <w:p>
      <w:pPr>
        <w:pStyle w:val="BodyText"/>
        <w:spacing w:line="285" w:lineRule="auto" w:before="54"/>
        <w:ind w:left="100" w:right="159"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7"/>
        <w:ind w:left="0"/>
        <w:rPr>
          <w:sz w:val="21"/>
        </w:rPr>
      </w:pPr>
    </w:p>
    <w:p>
      <w:pPr>
        <w:pStyle w:val="Heading1"/>
        <w:spacing w:before="1"/>
        <w:ind w:left="100"/>
      </w:pPr>
      <w:r>
        <w:rPr/>
        <w:t>第十八条 减额付清保险的选择</w:t>
      </w:r>
    </w:p>
    <w:p>
      <w:pPr>
        <w:pStyle w:val="BodyText"/>
        <w:spacing w:before="52"/>
      </w:pPr>
      <w:r>
        <w:rPr/>
        <w:t>本合同不可变更为减额付清保险。</w:t>
      </w:r>
    </w:p>
    <w:p>
      <w:pPr>
        <w:pStyle w:val="BodyText"/>
        <w:spacing w:before="7"/>
        <w:ind w:left="0"/>
        <w:rPr>
          <w:sz w:val="24"/>
        </w:rPr>
      </w:pPr>
    </w:p>
    <w:p>
      <w:pPr>
        <w:pStyle w:val="Heading1"/>
        <w:tabs>
          <w:tab w:pos="1105" w:val="left" w:leader="none"/>
        </w:tabs>
        <w:ind w:left="100"/>
      </w:pPr>
      <w:r>
        <w:rPr/>
        <w:t>第十九条</w:t>
        <w:tab/>
        <w:t>借款</w:t>
      </w:r>
    </w:p>
    <w:p>
      <w:pPr>
        <w:pStyle w:val="BodyText"/>
        <w:spacing w:line="285" w:lineRule="auto" w:before="54"/>
        <w:ind w:left="100" w:right="158" w:firstLine="360"/>
        <w:jc w:val="both"/>
      </w:pPr>
      <w:r>
        <w:rPr/>
        <w:t>在本合同有效期内且累积有现金价值的前提下，投保人经本公司同意可以向本公司申请借款。累积借款总金额最高不得超过本合同当时现金价值的百分之八十（保险监督管理机构对累积借款总金额另有规定的，从其规定），且每次借款期限最长为六个月。</w:t>
      </w:r>
    </w:p>
    <w:p>
      <w:pPr>
        <w:pStyle w:val="BodyText"/>
        <w:spacing w:line="283" w:lineRule="auto" w:before="11"/>
        <w:ind w:right="160"/>
      </w:pPr>
      <w:r>
        <w:rPr/>
        <w:t>在符合保险监督管理机构要求的前提下，本公司每年宣布两次借款利率（年利率），时间分别为一月一日和七月一日。合同借款的利息按当时本公司已宣布的利率计算，并沿用至该次借款期满，在同一借款期内，日利率按单利方式计算。</w:t>
      </w:r>
    </w:p>
    <w:p>
      <w:pPr>
        <w:spacing w:line="280" w:lineRule="auto" w:before="12"/>
        <w:ind w:left="100" w:right="159" w:firstLine="0"/>
        <w:jc w:val="left"/>
        <w:rPr>
          <w:b/>
          <w:sz w:val="20"/>
        </w:rPr>
      </w:pPr>
      <w:r>
        <w:rPr>
          <w:sz w:val="18"/>
        </w:rPr>
        <w:t>借款利息应在借款期满之日支付，如果逾期未付，则所有利息将与原借款金额，在下一借款期内按其最近一次宣布的利率合</w:t>
      </w:r>
      <w:r>
        <w:rPr>
          <w:w w:val="95"/>
          <w:sz w:val="18"/>
        </w:rPr>
        <w:t>并计息。</w:t>
      </w:r>
      <w:r>
        <w:rPr>
          <w:b/>
          <w:w w:val="95"/>
          <w:sz w:val="20"/>
        </w:rPr>
        <w:t>当本合同的现金价值不足以偿还借款及借款利息时，本合同即终止。</w:t>
      </w:r>
    </w:p>
    <w:p>
      <w:pPr>
        <w:pStyle w:val="BodyText"/>
        <w:spacing w:line="283" w:lineRule="auto" w:before="19"/>
        <w:ind w:left="100" w:right="160" w:firstLine="360"/>
        <w:jc w:val="both"/>
      </w:pPr>
      <w:r>
        <w:rPr/>
        <w:t>在偿还借款时，应先偿付所有借款利息，然后偿还借款本金。若有任何赔偿或给付，应先从该赔偿金或给付金中扣除未偿还的借款及借款利息。</w:t>
      </w:r>
    </w:p>
    <w:p>
      <w:pPr>
        <w:pStyle w:val="BodyText"/>
        <w:spacing w:before="0"/>
        <w:ind w:left="0"/>
        <w:rPr>
          <w:sz w:val="22"/>
        </w:rPr>
      </w:pPr>
    </w:p>
    <w:p>
      <w:pPr>
        <w:pStyle w:val="Heading1"/>
        <w:tabs>
          <w:tab w:pos="1105" w:val="left" w:leader="none"/>
        </w:tabs>
        <w:ind w:left="100"/>
      </w:pPr>
      <w:r>
        <w:rPr/>
        <w:t>第二十条</w:t>
        <w:tab/>
      </w:r>
      <w:r>
        <w:rPr>
          <w:w w:val="95"/>
        </w:rPr>
        <w:t>明确说明与如实告知</w:t>
      </w:r>
    </w:p>
    <w:p>
      <w:pPr>
        <w:pStyle w:val="BodyText"/>
        <w:spacing w:line="285" w:lineRule="auto" w:before="51"/>
        <w:ind w:left="100" w:right="159"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1"/>
      </w:pPr>
      <w:r>
        <w:rPr/>
        <w:t>本公司就投保人和被保险人的有关情况提出询问，投保人应当如实告知。</w:t>
      </w:r>
    </w:p>
    <w:p>
      <w:pPr>
        <w:pStyle w:val="Heading1"/>
        <w:spacing w:line="285" w:lineRule="auto" w:before="39"/>
        <w:ind w:left="100" w:right="156" w:firstLine="360"/>
        <w:jc w:val="both"/>
      </w:pPr>
      <w:r>
        <w:rPr>
          <w:spacing w:val="2"/>
          <w:w w:val="95"/>
        </w:rPr>
        <w:t>如果投保人故意或者因重大过失未履行前款规定的如实告知义务，足以影响本公司决定是否同意承保或者   </w:t>
      </w:r>
      <w:r>
        <w:rPr>
          <w:w w:val="95"/>
        </w:rPr>
        <w:t>提高保险费率的，本公司有权解除本合同。</w:t>
      </w:r>
    </w:p>
    <w:p>
      <w:pPr>
        <w:spacing w:line="283" w:lineRule="auto" w:before="12"/>
        <w:ind w:left="100" w:right="156" w:firstLine="360"/>
        <w:jc w:val="both"/>
        <w:rPr>
          <w:b/>
          <w:sz w:val="20"/>
        </w:rPr>
      </w:pPr>
      <w:r>
        <w:rPr>
          <w:b/>
          <w:spacing w:val="2"/>
          <w:w w:val="95"/>
          <w:sz w:val="20"/>
        </w:rPr>
        <w:t>如果投保人故意不履行如实告知义务，对于本合同解除前发生的保险事故，本公司不承担给付保险金的责   </w:t>
      </w:r>
      <w:r>
        <w:rPr>
          <w:b/>
          <w:sz w:val="20"/>
        </w:rPr>
        <w:t>任，并不退还保险费。</w:t>
      </w:r>
    </w:p>
    <w:p>
      <w:pPr>
        <w:spacing w:line="285" w:lineRule="auto" w:before="14"/>
        <w:ind w:left="100" w:right="156" w:firstLine="360"/>
        <w:jc w:val="both"/>
        <w:rPr>
          <w:b/>
          <w:sz w:val="20"/>
        </w:rPr>
      </w:pPr>
      <w:r>
        <w:rPr>
          <w:b/>
          <w:spacing w:val="2"/>
          <w:w w:val="95"/>
          <w:sz w:val="20"/>
        </w:rPr>
        <w:t>如果投保人因重大过失未履行如实告知义务，对保险事故的发生有严重影响的，对于本合同解除前发生的   </w:t>
      </w:r>
      <w:r>
        <w:rPr>
          <w:b/>
          <w:w w:val="95"/>
          <w:sz w:val="20"/>
        </w:rPr>
        <w:t>保险事故，本公司不承担给付保险金的责任，但应当退还保险费。</w:t>
      </w:r>
    </w:p>
    <w:p>
      <w:pPr>
        <w:pStyle w:val="BodyText"/>
        <w:spacing w:line="285" w:lineRule="auto" w:before="14"/>
        <w:ind w:left="100" w:right="160" w:firstLine="360"/>
        <w:jc w:val="both"/>
      </w:pPr>
      <w:r>
        <w:rPr/>
        <w:t>本公司在合同订立时已经知道投保人未如实告知的情况的，本公司不得解除合同；发生保险事故的，本公司承担给付保险金的责任。</w:t>
      </w:r>
    </w:p>
    <w:p>
      <w:pPr>
        <w:pStyle w:val="BodyText"/>
        <w:spacing w:before="12"/>
        <w:ind w:left="0"/>
        <w:rPr>
          <w:sz w:val="21"/>
        </w:rPr>
      </w:pPr>
    </w:p>
    <w:p>
      <w:pPr>
        <w:pStyle w:val="Heading1"/>
        <w:tabs>
          <w:tab w:pos="1307" w:val="left" w:leader="none"/>
        </w:tabs>
        <w:ind w:left="100"/>
      </w:pPr>
      <w:r>
        <w:rPr/>
        <w:t>第二十一条</w:t>
        <w:tab/>
      </w:r>
      <w:r>
        <w:rPr>
          <w:w w:val="95"/>
        </w:rPr>
        <w:t>本公司合同解除权的限制</w:t>
      </w:r>
    </w:p>
    <w:p>
      <w:pPr>
        <w:pStyle w:val="BodyText"/>
        <w:spacing w:before="0"/>
        <w:ind w:left="0"/>
        <w:rPr>
          <w:b/>
          <w:sz w:val="20"/>
        </w:rPr>
      </w:pPr>
    </w:p>
    <w:p>
      <w:pPr>
        <w:pStyle w:val="BodyText"/>
        <w:spacing w:before="0"/>
        <w:ind w:left="0"/>
        <w:rPr>
          <w:b/>
          <w:sz w:val="20"/>
        </w:rPr>
      </w:pPr>
    </w:p>
    <w:p>
      <w:pPr>
        <w:pStyle w:val="BodyText"/>
        <w:spacing w:before="3"/>
        <w:ind w:left="0"/>
        <w:rPr>
          <w:b/>
          <w:sz w:val="24"/>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5</w:t>
      </w:r>
    </w:p>
    <w:p>
      <w:pPr>
        <w:spacing w:after="0"/>
        <w:jc w:val="left"/>
        <w:rPr>
          <w:sz w:val="20"/>
        </w:rPr>
        <w:sectPr>
          <w:pgSz w:w="11910" w:h="16840"/>
          <w:pgMar w:top="1020" w:bottom="280" w:left="980" w:right="920"/>
        </w:sectPr>
      </w:pPr>
    </w:p>
    <w:p>
      <w:pPr>
        <w:pStyle w:val="BodyText"/>
        <w:spacing w:line="285" w:lineRule="auto" w:before="16"/>
        <w:ind w:left="100" w:right="105" w:firstLine="360"/>
      </w:pPr>
      <w:r>
        <w:rPr/>
        <w:pict>
          <v:group style="position:absolute;margin-left:0pt;margin-top:0pt;width:595.3pt;height:832.8pt;mso-position-horizontal-relative:page;mso-position-vertical-relative:page;z-index:-21544"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10"/>
        <w:ind w:left="0"/>
        <w:rPr>
          <w:sz w:val="21"/>
        </w:rPr>
      </w:pPr>
    </w:p>
    <w:p>
      <w:pPr>
        <w:pStyle w:val="Heading1"/>
        <w:tabs>
          <w:tab w:pos="1307" w:val="left" w:leader="none"/>
        </w:tabs>
        <w:ind w:left="100"/>
      </w:pPr>
      <w:r>
        <w:rPr/>
        <w:t>第二十二条</w:t>
        <w:tab/>
      </w:r>
      <w:r>
        <w:rPr>
          <w:w w:val="95"/>
        </w:rPr>
        <w:t>犹豫期内合同的解除</w:t>
      </w:r>
    </w:p>
    <w:p>
      <w:pPr>
        <w:spacing w:line="285" w:lineRule="auto" w:before="50"/>
        <w:ind w:left="100" w:right="116" w:firstLine="360"/>
        <w:jc w:val="left"/>
        <w:rPr>
          <w:b/>
          <w:sz w:val="20"/>
        </w:rPr>
      </w:pPr>
      <w:r>
        <w:rPr>
          <w:b/>
          <w:spacing w:val="2"/>
          <w:w w:val="95"/>
          <w:sz w:val="20"/>
        </w:rPr>
        <w:t>投保人在犹豫期（释义二十三）内，有权以任何理由将本合同交回本公司并申请解除本合同，本公司返还   </w:t>
      </w:r>
      <w:r>
        <w:rPr>
          <w:b/>
          <w:w w:val="95"/>
          <w:sz w:val="20"/>
        </w:rPr>
        <w:t>所有的已付保险费。</w:t>
      </w:r>
    </w:p>
    <w:p>
      <w:pPr>
        <w:pStyle w:val="BodyText"/>
        <w:spacing w:before="2"/>
        <w:ind w:left="0"/>
        <w:rPr>
          <w:b/>
          <w:sz w:val="22"/>
        </w:rPr>
      </w:pPr>
    </w:p>
    <w:p>
      <w:pPr>
        <w:tabs>
          <w:tab w:pos="1307" w:val="left" w:leader="none"/>
        </w:tabs>
        <w:spacing w:before="1"/>
        <w:ind w:left="100" w:right="0" w:firstLine="0"/>
        <w:jc w:val="left"/>
        <w:rPr>
          <w:b/>
          <w:sz w:val="20"/>
        </w:rPr>
      </w:pPr>
      <w:r>
        <w:rPr>
          <w:b/>
          <w:sz w:val="20"/>
        </w:rPr>
        <w:t>第二十三条</w:t>
        <w:tab/>
      </w:r>
      <w:r>
        <w:rPr>
          <w:b/>
          <w:w w:val="95"/>
          <w:sz w:val="20"/>
        </w:rPr>
        <w:t>投保人解除合同的手续及风险</w:t>
      </w:r>
    </w:p>
    <w:p>
      <w:pPr>
        <w:spacing w:before="50"/>
        <w:ind w:left="460" w:right="0" w:firstLine="0"/>
        <w:jc w:val="left"/>
        <w:rPr>
          <w:b/>
          <w:sz w:val="20"/>
        </w:rPr>
      </w:pPr>
      <w:r>
        <w:rPr>
          <w:b/>
          <w:w w:val="95"/>
          <w:sz w:val="20"/>
        </w:rPr>
        <w:t>如投保人在犹豫期后申请解除本合同，请填写解除合同申请书并向本公司提供下列资料：</w:t>
      </w:r>
    </w:p>
    <w:p>
      <w:pPr>
        <w:spacing w:before="47"/>
        <w:ind w:left="460" w:right="0" w:firstLine="0"/>
        <w:jc w:val="left"/>
        <w:rPr>
          <w:b/>
          <w:sz w:val="20"/>
        </w:rPr>
      </w:pPr>
      <w:r>
        <w:rPr>
          <w:b/>
          <w:sz w:val="20"/>
        </w:rPr>
        <w:t>（1）保险合同；</w:t>
      </w:r>
    </w:p>
    <w:p>
      <w:pPr>
        <w:spacing w:before="50"/>
        <w:ind w:left="460" w:right="0" w:firstLine="0"/>
        <w:jc w:val="left"/>
        <w:rPr>
          <w:b/>
          <w:sz w:val="20"/>
        </w:rPr>
      </w:pPr>
      <w:r>
        <w:rPr>
          <w:b/>
          <w:w w:val="95"/>
          <w:sz w:val="20"/>
        </w:rPr>
        <w:t>（2）投保人的有效身份证件。</w:t>
      </w:r>
    </w:p>
    <w:p>
      <w:pPr>
        <w:spacing w:line="283" w:lineRule="auto" w:before="50"/>
        <w:ind w:left="100" w:right="116" w:firstLine="360"/>
        <w:jc w:val="left"/>
        <w:rPr>
          <w:b/>
          <w:sz w:val="20"/>
        </w:rPr>
      </w:pPr>
      <w:r>
        <w:rPr>
          <w:b/>
          <w:spacing w:val="2"/>
          <w:w w:val="95"/>
          <w:sz w:val="20"/>
        </w:rPr>
        <w:t>自本公司收到解除合同申请书时起，本合同终止。本公司自收到解除合同申请书之日起三十日内向投保人   </w:t>
      </w:r>
      <w:r>
        <w:rPr>
          <w:b/>
          <w:w w:val="95"/>
          <w:sz w:val="20"/>
        </w:rPr>
        <w:t>退还本合同的现金价值；若有借款，则先扣除未偿还的借款及借款利息。</w:t>
      </w:r>
    </w:p>
    <w:p>
      <w:pPr>
        <w:spacing w:before="14"/>
        <w:ind w:left="460" w:right="0" w:firstLine="0"/>
        <w:jc w:val="left"/>
        <w:rPr>
          <w:b/>
          <w:sz w:val="20"/>
        </w:rPr>
      </w:pPr>
      <w:r>
        <w:rPr>
          <w:b/>
          <w:w w:val="95"/>
          <w:sz w:val="20"/>
        </w:rPr>
        <w:t>投保人犹豫期后解除合同会遭受一定损失。</w:t>
      </w:r>
    </w:p>
    <w:p>
      <w:pPr>
        <w:pStyle w:val="BodyText"/>
        <w:spacing w:before="1"/>
        <w:ind w:left="0"/>
        <w:rPr>
          <w:b/>
          <w:sz w:val="25"/>
        </w:rPr>
      </w:pPr>
    </w:p>
    <w:p>
      <w:pPr>
        <w:tabs>
          <w:tab w:pos="1307" w:val="left" w:leader="none"/>
        </w:tabs>
        <w:spacing w:before="0"/>
        <w:ind w:left="100" w:right="0" w:firstLine="0"/>
        <w:jc w:val="left"/>
        <w:rPr>
          <w:b/>
          <w:sz w:val="20"/>
        </w:rPr>
      </w:pPr>
      <w:r>
        <w:rPr>
          <w:b/>
          <w:sz w:val="20"/>
        </w:rPr>
        <w:t>第二十四条</w:t>
        <w:tab/>
      </w:r>
      <w:r>
        <w:rPr>
          <w:b/>
          <w:w w:val="95"/>
          <w:sz w:val="20"/>
        </w:rPr>
        <w:t>保险事故通知</w:t>
      </w:r>
    </w:p>
    <w:p>
      <w:pPr>
        <w:pStyle w:val="BodyText"/>
        <w:spacing w:before="53"/>
      </w:pPr>
      <w:r>
        <w:rPr/>
        <w:t>被保险人或受益人知道保险事故后应当在十日内通知本公司。</w:t>
      </w:r>
    </w:p>
    <w:p>
      <w:pPr>
        <w:spacing w:line="288" w:lineRule="auto" w:before="40"/>
        <w:ind w:left="100" w:right="115" w:firstLine="360"/>
        <w:jc w:val="both"/>
        <w:rPr>
          <w:sz w:val="18"/>
        </w:rPr>
      </w:pPr>
      <w:r>
        <w:rPr>
          <w:b/>
          <w:spacing w:val="2"/>
          <w:w w:val="95"/>
          <w:sz w:val="20"/>
        </w:rPr>
        <w:t>如果被保险人或受益人故意或者因重大过失未及时通知，致使保险事故的性质、原因、损失程度等难以确   </w:t>
      </w:r>
      <w:r>
        <w:rPr>
          <w:b/>
          <w:sz w:val="20"/>
        </w:rPr>
        <w:t>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0"/>
        <w:ind w:left="0"/>
        <w:rPr>
          <w:sz w:val="21"/>
        </w:rPr>
      </w:pPr>
    </w:p>
    <w:p>
      <w:pPr>
        <w:pStyle w:val="Heading1"/>
        <w:tabs>
          <w:tab w:pos="1307" w:val="left" w:leader="none"/>
        </w:tabs>
        <w:spacing w:before="1"/>
        <w:ind w:left="100"/>
      </w:pPr>
      <w:r>
        <w:rPr/>
        <w:t>第二十五条</w:t>
        <w:tab/>
        <w:t>保险金申请</w:t>
      </w:r>
    </w:p>
    <w:p>
      <w:pPr>
        <w:pStyle w:val="BodyText"/>
        <w:spacing w:line="285" w:lineRule="auto" w:before="52"/>
        <w:ind w:left="100" w:right="146" w:firstLine="360"/>
      </w:pPr>
      <w:r>
        <w:rPr/>
        <w:t>一、在申请第一类重大疾病保险金、儿童特定疾病保险金或第二类重大疾病保险金时，被保险人须填写保险金给付申请书，并提供下列证明和资料：</w:t>
      </w:r>
    </w:p>
    <w:p>
      <w:pPr>
        <w:pStyle w:val="BodyText"/>
        <w:spacing w:before="11"/>
      </w:pPr>
      <w:r>
        <w:rPr/>
        <w:t>（</w:t>
      </w:r>
      <w:r>
        <w:rPr>
          <w:rFonts w:ascii="Times New Roman" w:eastAsia="Times New Roman"/>
        </w:rPr>
        <w:t>1</w:t>
      </w:r>
      <w:r>
        <w:rPr/>
        <w:t>）保险合同；</w:t>
      </w:r>
    </w:p>
    <w:p>
      <w:pPr>
        <w:pStyle w:val="BodyText"/>
        <w:spacing w:before="32"/>
      </w:pPr>
      <w:r>
        <w:rPr/>
        <w:t>（</w:t>
      </w:r>
      <w:r>
        <w:rPr>
          <w:rFonts w:ascii="Times New Roman" w:eastAsia="Times New Roman"/>
        </w:rPr>
        <w:t>2</w:t>
      </w:r>
      <w:r>
        <w:rPr/>
        <w:t>）被保险人的有效身份证件；</w:t>
      </w:r>
    </w:p>
    <w:p>
      <w:pPr>
        <w:pStyle w:val="BodyText"/>
        <w:spacing w:line="271" w:lineRule="auto" w:before="29"/>
        <w:ind w:left="100" w:right="235" w:firstLine="360"/>
      </w:pPr>
      <w:r>
        <w:rPr/>
        <w:t>（</w:t>
      </w:r>
      <w:r>
        <w:rPr>
          <w:rFonts w:ascii="Times New Roman" w:eastAsia="Times New Roman"/>
        </w:rPr>
        <w:t>3</w:t>
      </w:r>
      <w:r>
        <w:rPr/>
        <w:t>）由</w:t>
      </w:r>
      <w:r>
        <w:rPr>
          <w:b/>
        </w:rPr>
        <w:t>医院</w:t>
      </w:r>
      <w:r>
        <w:rPr/>
        <w:t>（释义二十四）出具的病历、必需的病理检验、血液检验及其他科学诊断报告以及由专科医生出具的诊断书、手术证明；</w:t>
      </w:r>
    </w:p>
    <w:p>
      <w:pPr>
        <w:pStyle w:val="BodyText"/>
        <w:spacing w:before="21"/>
      </w:pPr>
      <w:r>
        <w:rPr/>
        <w:t>（</w:t>
      </w:r>
      <w:r>
        <w:rPr>
          <w:rFonts w:ascii="Times New Roman" w:eastAsia="Times New Roman"/>
        </w:rPr>
        <w:t>4</w:t>
      </w:r>
      <w:r>
        <w:rPr/>
        <w:t>）所能提供的与确认保险事故的性质、原因等有关的其他证明和资料。</w:t>
      </w:r>
    </w:p>
    <w:p>
      <w:pPr>
        <w:pStyle w:val="BodyText"/>
        <w:spacing w:before="29"/>
      </w:pPr>
      <w:r>
        <w:rPr/>
        <w:t>二、在申请全残保险金时，被保险人须填写保险金给付申请书，并提供下列证明和资料：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1"/>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29"/>
      </w:pPr>
      <w:r>
        <w:rPr/>
        <w:t>（</w:t>
      </w:r>
      <w:r>
        <w:rPr>
          <w:rFonts w:ascii="Times New Roman" w:eastAsia="Times New Roman"/>
        </w:rPr>
        <w:t>4</w:t>
      </w:r>
      <w:r>
        <w:rPr/>
        <w:t>）所能提供的与确认保险事故的性质、原因等有关的其他证明和资料。</w:t>
      </w:r>
    </w:p>
    <w:p>
      <w:pPr>
        <w:pStyle w:val="BodyText"/>
        <w:spacing w:before="31"/>
      </w:pPr>
      <w:r>
        <w:rPr/>
        <w:t>三、在申请老年长期护理保险金时，被保险人须填写保险金给付申请书，并提供下列证明和资料：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28"/>
      </w:pPr>
      <w:r>
        <w:rPr/>
        <w:t>（</w:t>
      </w:r>
      <w:r>
        <w:rPr>
          <w:rFonts w:ascii="Times New Roman" w:eastAsia="Times New Roman"/>
        </w:rPr>
        <w:t>2</w:t>
      </w:r>
      <w:r>
        <w:rPr/>
        <w:t>）被保险人的有效身份证件；</w:t>
      </w:r>
    </w:p>
    <w:p>
      <w:pPr>
        <w:pStyle w:val="BodyText"/>
        <w:spacing w:line="271" w:lineRule="auto" w:before="31"/>
        <w:ind w:left="100" w:right="235"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2"/>
      </w:pPr>
      <w:r>
        <w:rPr/>
        <w:t>（</w:t>
      </w:r>
      <w:r>
        <w:rPr>
          <w:rFonts w:ascii="Times New Roman" w:eastAsia="Times New Roman"/>
        </w:rPr>
        <w:t>4</w:t>
      </w:r>
      <w:r>
        <w:rPr/>
        <w:t>）所能提供的与确认保险事故的性质、原因等有关的其他证明和资料。</w:t>
      </w:r>
    </w:p>
    <w:p>
      <w:pPr>
        <w:pStyle w:val="BodyText"/>
        <w:spacing w:before="29"/>
      </w:pPr>
      <w:r>
        <w:rPr/>
        <w:t>四、在申请疾病终末期阶段保险金时，被保险人须填写保险金给付申请书，并提供下列证明和资料：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28"/>
      </w:pPr>
      <w:r>
        <w:rPr/>
        <w:t>（</w:t>
      </w:r>
      <w:r>
        <w:rPr>
          <w:rFonts w:ascii="Times New Roman" w:eastAsia="Times New Roman"/>
        </w:rPr>
        <w:t>3</w:t>
      </w:r>
      <w:r>
        <w:rPr/>
        <w:t>）由三级或三级以上医院出具的病历、其他科学诊断报告以及诊断书；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1"/>
      </w:pPr>
      <w:r>
        <w:rPr/>
        <w:t>五、在申请身故保险金时，</w:t>
      </w:r>
      <w:r>
        <w:rPr>
          <w:b/>
        </w:rPr>
        <w:t>申请人</w:t>
      </w:r>
      <w:r>
        <w:rPr/>
        <w:t>（释义二十五）须填写保险金给付申请书，并提供下列证明和资料：</w:t>
      </w:r>
    </w:p>
    <w:p>
      <w:pPr>
        <w:pStyle w:val="BodyText"/>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）申请人的有效身份证件；</w:t>
      </w:r>
    </w:p>
    <w:p>
      <w:pPr>
        <w:pStyle w:val="BodyText"/>
        <w:spacing w:before="31"/>
      </w:pPr>
      <w:r>
        <w:rPr/>
        <w:t>（</w:t>
      </w:r>
      <w:r>
        <w:rPr>
          <w:rFonts w:ascii="Times New Roman" w:eastAsia="Times New Roman"/>
        </w:rPr>
        <w:t>3</w:t>
      </w:r>
      <w:r>
        <w:rPr/>
        <w:t>）国家卫生行政部门认定的医疗机构、公安部门或其他相关机构出具的被保险人的死亡证明；</w:t>
      </w:r>
    </w:p>
    <w:p>
      <w:pPr>
        <w:pStyle w:val="BodyText"/>
        <w:spacing w:before="0"/>
        <w:ind w:left="0"/>
        <w:rPr>
          <w:sz w:val="20"/>
        </w:rPr>
      </w:pPr>
    </w:p>
    <w:p>
      <w:pPr>
        <w:pStyle w:val="BodyText"/>
        <w:spacing w:before="8"/>
        <w:ind w:left="0"/>
        <w:rPr>
          <w:sz w:val="25"/>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6</w:t>
      </w:r>
    </w:p>
    <w:p>
      <w:pPr>
        <w:spacing w:after="0"/>
        <w:jc w:val="left"/>
        <w:rPr>
          <w:sz w:val="20"/>
        </w:rPr>
        <w:sectPr>
          <w:pgSz w:w="11910" w:h="16840"/>
          <w:pgMar w:top="1020" w:bottom="280" w:left="980" w:right="960"/>
        </w:sectPr>
      </w:pPr>
    </w:p>
    <w:p>
      <w:pPr>
        <w:pStyle w:val="BodyText"/>
        <w:spacing w:line="271" w:lineRule="auto" w:before="36"/>
        <w:ind w:left="480" w:right="3566"/>
      </w:pPr>
      <w:r>
        <w:rPr/>
        <w:pict>
          <v:group style="position:absolute;margin-left:0pt;margin-top:0pt;width:595.3pt;height:832.8pt;mso-position-horizontal-relative:page;mso-position-vertical-relative:page;z-index:-21520"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19"/>
        <w:ind w:left="480"/>
      </w:pPr>
      <w:r>
        <w:rPr/>
        <w:t>以上证明和资料不完整的，本公司将及时一次性通知申请人或被保险人补充提供有关证明和资料。</w:t>
      </w:r>
    </w:p>
    <w:p>
      <w:pPr>
        <w:pStyle w:val="BodyText"/>
        <w:spacing w:before="7"/>
        <w:ind w:left="0"/>
        <w:rPr>
          <w:sz w:val="24"/>
        </w:rPr>
      </w:pPr>
    </w:p>
    <w:p>
      <w:pPr>
        <w:pStyle w:val="Heading1"/>
        <w:tabs>
          <w:tab w:pos="1327" w:val="left" w:leader="none"/>
        </w:tabs>
        <w:ind w:left="120"/>
      </w:pPr>
      <w:r>
        <w:rPr/>
        <w:t>第二十六条</w:t>
        <w:tab/>
        <w:t>保险金给付</w:t>
      </w:r>
    </w:p>
    <w:p>
      <w:pPr>
        <w:pStyle w:val="BodyText"/>
        <w:spacing w:line="283" w:lineRule="auto" w:before="54"/>
        <w:ind w:left="120" w:right="105" w:firstLine="360"/>
      </w:pPr>
      <w:r>
        <w:rPr/>
        <w:t>本公司在收到保险金给付申请书及合同约定的证明和资料后，将在五日内作出核定；情形复杂的，在三十日内作出核定。</w:t>
      </w:r>
    </w:p>
    <w:p>
      <w:pPr>
        <w:pStyle w:val="BodyText"/>
        <w:spacing w:line="285" w:lineRule="auto" w:before="13"/>
        <w:ind w:left="480" w:right="1046"/>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9"/>
        <w:ind w:left="480" w:right="120"/>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1"/>
        <w:ind w:left="120"/>
      </w:pPr>
      <w:r>
        <w:rPr/>
        <w:t>资料可以确定的数额先予支付；本公司最终确定给付保险金的数额后，将支付相应的差额。</w:t>
      </w:r>
    </w:p>
    <w:p>
      <w:pPr>
        <w:pStyle w:val="BodyText"/>
        <w:spacing w:before="5"/>
        <w:ind w:left="0"/>
        <w:rPr>
          <w:sz w:val="24"/>
        </w:rPr>
      </w:pPr>
    </w:p>
    <w:p>
      <w:pPr>
        <w:pStyle w:val="Heading1"/>
        <w:tabs>
          <w:tab w:pos="1327" w:val="left" w:leader="none"/>
        </w:tabs>
        <w:ind w:left="120"/>
      </w:pPr>
      <w:r>
        <w:rPr/>
        <w:t>第二十七条</w:t>
        <w:tab/>
      </w:r>
      <w:r>
        <w:rPr>
          <w:w w:val="95"/>
        </w:rPr>
        <w:t>诉讼时效</w:t>
      </w:r>
    </w:p>
    <w:p>
      <w:pPr>
        <w:pStyle w:val="BodyText"/>
        <w:spacing w:before="54"/>
        <w:ind w:left="480"/>
      </w:pPr>
      <w:r>
        <w:rPr/>
        <w:t>受益人或被保险人向本公司请求给付保险金的诉讼时效期间为五年，自其知道或者应当知道保险事故发生之日起计算。</w:t>
      </w:r>
    </w:p>
    <w:p>
      <w:pPr>
        <w:pStyle w:val="BodyText"/>
        <w:spacing w:before="5"/>
        <w:ind w:left="0"/>
        <w:rPr>
          <w:sz w:val="24"/>
        </w:rPr>
      </w:pPr>
    </w:p>
    <w:p>
      <w:pPr>
        <w:pStyle w:val="Heading1"/>
        <w:tabs>
          <w:tab w:pos="1327" w:val="left" w:leader="none"/>
        </w:tabs>
        <w:ind w:left="120"/>
      </w:pPr>
      <w:r>
        <w:rPr/>
        <w:t>第二十八条</w:t>
        <w:tab/>
        <w:t>失踪的处理</w:t>
      </w:r>
    </w:p>
    <w:p>
      <w:pPr>
        <w:pStyle w:val="BodyText"/>
        <w:spacing w:line="285" w:lineRule="auto" w:before="54"/>
        <w:ind w:left="120" w:right="120"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（释义二十六）必须将已领取的身故保险金返还本公司。</w:t>
      </w:r>
    </w:p>
    <w:p>
      <w:pPr>
        <w:pStyle w:val="BodyText"/>
        <w:spacing w:before="10"/>
        <w:ind w:left="0"/>
        <w:rPr>
          <w:sz w:val="21"/>
        </w:rPr>
      </w:pPr>
    </w:p>
    <w:p>
      <w:pPr>
        <w:pStyle w:val="Heading1"/>
        <w:tabs>
          <w:tab w:pos="1327" w:val="left" w:leader="none"/>
        </w:tabs>
        <w:ind w:left="120"/>
      </w:pPr>
      <w:r>
        <w:rPr/>
        <w:t>第二十九条</w:t>
        <w:tab/>
      </w:r>
      <w:r>
        <w:rPr>
          <w:w w:val="95"/>
        </w:rPr>
        <w:t>身体检查及司法鉴定</w:t>
      </w:r>
    </w:p>
    <w:p>
      <w:pPr>
        <w:pStyle w:val="BodyText"/>
        <w:spacing w:line="283" w:lineRule="auto" w:before="54"/>
        <w:ind w:left="120" w:right="120" w:firstLine="360"/>
      </w:pPr>
      <w:r>
        <w:rPr/>
        <w:t>在申请索赔期内，本公司有权要求被保险人作身体检查或提供有关的检验报告。若被保险人身故，本公司有权要求司法鉴定机构对保险事故进行鉴定。</w:t>
      </w:r>
    </w:p>
    <w:p>
      <w:pPr>
        <w:pStyle w:val="BodyText"/>
        <w:spacing w:before="1"/>
        <w:ind w:left="0"/>
        <w:rPr>
          <w:sz w:val="22"/>
        </w:rPr>
      </w:pPr>
    </w:p>
    <w:p>
      <w:pPr>
        <w:pStyle w:val="Heading1"/>
        <w:tabs>
          <w:tab w:pos="1125" w:val="left" w:leader="none"/>
        </w:tabs>
        <w:ind w:left="120"/>
      </w:pPr>
      <w:r>
        <w:rPr/>
        <w:t>第三十条</w:t>
        <w:tab/>
        <w:t>争议的处理</w:t>
      </w:r>
    </w:p>
    <w:p>
      <w:pPr>
        <w:pStyle w:val="BodyText"/>
        <w:spacing w:before="54"/>
        <w:ind w:left="480"/>
      </w:pPr>
      <w:r>
        <w:rPr/>
        <w:t>合同争议解决方式由当事人在合同约定从下列两种方式中选择一种：</w:t>
      </w:r>
    </w:p>
    <w:p>
      <w:pPr>
        <w:pStyle w:val="BodyText"/>
        <w:spacing w:before="42"/>
        <w:ind w:left="480"/>
      </w:pPr>
      <w:r>
        <w:rPr/>
        <w:t>（一）因履行本合同发生的争议，由当事人协商解决，协商不成的，提交双方共同选择的仲裁委员会仲裁；</w:t>
      </w:r>
    </w:p>
    <w:p>
      <w:pPr>
        <w:pStyle w:val="BodyText"/>
        <w:spacing w:before="44"/>
        <w:ind w:left="480"/>
      </w:pPr>
      <w:r>
        <w:rPr/>
        <w:t>（二）因履行本合同发生的争议，由当事人协商解决，协商不成的，依法向人民法院起诉。</w:t>
      </w:r>
    </w:p>
    <w:p>
      <w:pPr>
        <w:pStyle w:val="BodyText"/>
        <w:spacing w:before="4"/>
        <w:ind w:left="0"/>
        <w:rPr>
          <w:sz w:val="24"/>
        </w:rPr>
      </w:pPr>
    </w:p>
    <w:p>
      <w:pPr>
        <w:pStyle w:val="Heading1"/>
        <w:tabs>
          <w:tab w:pos="1327" w:val="left" w:leader="none"/>
        </w:tabs>
        <w:spacing w:before="1"/>
        <w:ind w:left="120"/>
      </w:pPr>
      <w:r>
        <w:rPr/>
        <w:t>第三十一条</w:t>
        <w:tab/>
        <w:t>释义</w:t>
      </w:r>
    </w:p>
    <w:p>
      <w:pPr>
        <w:pStyle w:val="BodyText"/>
        <w:spacing w:before="54"/>
        <w:ind w:left="480"/>
      </w:pPr>
      <w:r>
        <w:rPr/>
        <w:t>一、岁：指以法定证件登记的出生日期为基准日，满一年为一岁。</w:t>
      </w:r>
    </w:p>
    <w:p>
      <w:pPr>
        <w:pStyle w:val="BodyText"/>
        <w:spacing w:before="44"/>
        <w:ind w:left="480"/>
      </w:pPr>
      <w:r>
        <w:rPr/>
        <w:t>二、等待期：本合同有以下两种等待期。被保险人因</w:t>
      </w:r>
      <w:r>
        <w:rPr>
          <w:b/>
        </w:rPr>
        <w:t>意外事故</w:t>
      </w:r>
      <w:r>
        <w:rPr/>
        <w:t>（释义二十七）发生下列两项情形的，无等待期。</w:t>
      </w:r>
    </w:p>
    <w:p>
      <w:pPr>
        <w:spacing w:line="278" w:lineRule="auto" w:before="44"/>
        <w:ind w:left="120" w:right="120" w:firstLine="360"/>
        <w:jc w:val="left"/>
        <w:rPr>
          <w:sz w:val="18"/>
        </w:rPr>
      </w:pPr>
      <w:r>
        <w:rPr>
          <w:sz w:val="18"/>
        </w:rPr>
        <w:t>（一）本合同生效日起或最后一次效力恢复之日起一百八十日内（含第一百八十日）为本合同疾病终末期阶段保险金的</w:t>
      </w:r>
      <w:r>
        <w:rPr>
          <w:w w:val="95"/>
          <w:sz w:val="18"/>
        </w:rPr>
        <w:t>等待期。</w:t>
      </w:r>
      <w:r>
        <w:rPr>
          <w:b/>
          <w:w w:val="95"/>
          <w:sz w:val="20"/>
        </w:rPr>
        <w:t>若被保险人在等待期期间达到疾病终末期阶段，则本公司不承担该项保险责任</w:t>
      </w:r>
      <w:r>
        <w:rPr>
          <w:w w:val="95"/>
          <w:sz w:val="18"/>
        </w:rPr>
        <w:t>。</w:t>
      </w:r>
    </w:p>
    <w:p>
      <w:pPr>
        <w:spacing w:line="283" w:lineRule="auto" w:before="22"/>
        <w:ind w:left="120" w:right="146" w:firstLine="360"/>
        <w:jc w:val="left"/>
        <w:rPr>
          <w:b/>
          <w:sz w:val="20"/>
        </w:rPr>
      </w:pPr>
      <w:r>
        <w:rPr>
          <w:sz w:val="18"/>
        </w:rPr>
        <w:t>（二）本合同生效日起或最后一次效力恢复之日起九十日内（含第九十日）为本合同第一类重大疾病保险金、儿童特定疾病保险金、第二类重大疾病保险金的等待期。</w:t>
      </w:r>
      <w:r>
        <w:rPr>
          <w:b/>
          <w:sz w:val="20"/>
        </w:rPr>
        <w:t>若被保险人在等待期期间发生下列情形之一，则本公司均不承担该项保险责任：</w:t>
      </w:r>
    </w:p>
    <w:p>
      <w:pPr>
        <w:pStyle w:val="Heading1"/>
        <w:spacing w:before="14"/>
        <w:ind w:left="960"/>
      </w:pPr>
      <w:r>
        <w:rPr>
          <w:w w:val="95"/>
        </w:rPr>
        <w:t>（1）被确诊患有第一类重大疾病、儿童特定疾病、第二类重大疾病；</w:t>
      </w:r>
    </w:p>
    <w:p>
      <w:pPr>
        <w:spacing w:before="50"/>
        <w:ind w:left="960" w:right="0" w:firstLine="0"/>
        <w:jc w:val="left"/>
        <w:rPr>
          <w:b/>
          <w:sz w:val="20"/>
        </w:rPr>
      </w:pPr>
      <w:r>
        <w:rPr>
          <w:b/>
          <w:w w:val="95"/>
          <w:sz w:val="20"/>
        </w:rPr>
        <w:t>（2）因导致第一类重大疾病、儿童特定疾病、第二类重大疾病的相关疾病就诊。</w:t>
      </w:r>
    </w:p>
    <w:p>
      <w:pPr>
        <w:pStyle w:val="BodyText"/>
        <w:spacing w:before="52"/>
        <w:ind w:left="479"/>
      </w:pPr>
      <w:r>
        <w:rPr/>
        <w:t>三、专科医生：</w:t>
      </w:r>
    </w:p>
    <w:p>
      <w:pPr>
        <w:pStyle w:val="BodyText"/>
        <w:ind w:left="479"/>
      </w:pPr>
      <w:r>
        <w:rPr/>
        <w:t>专科医生应当同时满足以下四项资格条件：</w:t>
      </w:r>
    </w:p>
    <w:p>
      <w:pPr>
        <w:pStyle w:val="BodyText"/>
        <w:ind w:left="479"/>
      </w:pPr>
      <w:r>
        <w:rPr/>
        <w:t>（1）具有有效的中华人民共和国《医师资格证书》；</w:t>
      </w:r>
    </w:p>
    <w:p>
      <w:pPr>
        <w:pStyle w:val="BodyText"/>
        <w:ind w:left="479"/>
      </w:pPr>
      <w:r>
        <w:rPr/>
        <w:t>（2）具有有效的中华人民共和国《医师执业证书》，并按期到相关部门登记注册；</w:t>
      </w:r>
    </w:p>
    <w:p>
      <w:pPr>
        <w:pStyle w:val="BodyText"/>
        <w:spacing w:before="42"/>
        <w:ind w:left="479"/>
      </w:pPr>
      <w:r>
        <w:rPr/>
        <w:t>（3）具有有效的中华人民共和国主治医师或主治医师以上职称的《医师职称证书》；</w:t>
      </w:r>
    </w:p>
    <w:p>
      <w:pPr>
        <w:pStyle w:val="BodyText"/>
        <w:spacing w:before="44"/>
        <w:ind w:left="479"/>
      </w:pPr>
      <w:r>
        <w:rPr/>
        <w:t>（4）在二级或二级以上医院的相应科室从事临床工作三年以上。</w:t>
      </w:r>
    </w:p>
    <w:p>
      <w:pPr>
        <w:pStyle w:val="BodyText"/>
        <w:spacing w:before="44"/>
        <w:ind w:left="480"/>
      </w:pPr>
      <w:r>
        <w:rPr/>
        <w:t>若被保险人在</w:t>
      </w:r>
      <w:r>
        <w:rPr>
          <w:b/>
        </w:rPr>
        <w:t>境外</w:t>
      </w:r>
      <w:r>
        <w:rPr/>
        <w:t>（释义二十八）就诊并被</w:t>
      </w:r>
      <w:r>
        <w:rPr>
          <w:b/>
        </w:rPr>
        <w:t>医生</w:t>
      </w:r>
      <w:r>
        <w:rPr/>
        <w:t>（释义二十九）确诊，则医生的资格需符合以下条件：</w:t>
      </w:r>
    </w:p>
    <w:p>
      <w:pPr>
        <w:pStyle w:val="BodyText"/>
        <w:spacing w:line="285" w:lineRule="auto" w:before="42"/>
        <w:ind w:left="119" w:right="118"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ind w:left="0"/>
        <w:rPr>
          <w:sz w:val="29"/>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7</w:t>
      </w:r>
    </w:p>
    <w:p>
      <w:pPr>
        <w:spacing w:after="0"/>
        <w:jc w:val="left"/>
        <w:rPr>
          <w:sz w:val="20"/>
        </w:rPr>
        <w:sectPr>
          <w:pgSz w:w="11910" w:h="16840"/>
          <w:pgMar w:top="1000" w:bottom="280" w:left="960" w:right="960"/>
        </w:sectPr>
      </w:pPr>
    </w:p>
    <w:p>
      <w:pPr>
        <w:pStyle w:val="BodyText"/>
        <w:spacing w:before="16"/>
      </w:pPr>
      <w:r>
        <w:rPr/>
        <w:pict>
          <v:group style="position:absolute;margin-left:0pt;margin-top:0pt;width:595.3pt;height:832.8pt;mso-position-horizontal-relative:page;mso-position-vertical-relative:page;z-index:-21496"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四、第一类重大疾病：指符合下列定义的疾病、疾病状态或手术。</w:t>
      </w:r>
    </w:p>
    <w:p>
      <w:pPr>
        <w:pStyle w:val="BodyText"/>
      </w:pPr>
      <w:bookmarkStart w:name="1）极早期恶性肿瘤或恶性病变" w:id="6"/>
      <w:bookmarkEnd w:id="6"/>
      <w:r>
        <w:rPr/>
      </w:r>
      <w:r>
        <w:rPr/>
        <w:t>1）极早期恶性肿瘤或恶性病变</w:t>
      </w:r>
    </w:p>
    <w:p>
      <w:pPr>
        <w:pStyle w:val="BodyText"/>
        <w:spacing w:before="43"/>
      </w:pPr>
      <w:r>
        <w:rPr/>
        <w:t>指经组织病理学检查被明确诊断为下列恶性病变，并且接受了相应的治疗。</w:t>
      </w:r>
    </w:p>
    <w:p>
      <w:pPr>
        <w:pStyle w:val="BodyText"/>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spacing w:before="42"/>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pPr>
      <w:r>
        <w:rPr/>
        <w:t>*原位癌</w:t>
      </w:r>
    </w:p>
    <w:p>
      <w:pPr>
        <w:pStyle w:val="BodyText"/>
        <w:spacing w:line="285" w:lineRule="auto" w:before="42"/>
        <w:ind w:left="100" w:right="120"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0"/>
      </w:pPr>
      <w:r>
        <w:rPr/>
        <w:t>2）较小面积 III 度烧伤</w:t>
      </w:r>
    </w:p>
    <w:p>
      <w:pPr>
        <w:pStyle w:val="BodyText"/>
        <w:spacing w:before="44"/>
      </w:pPr>
      <w:r>
        <w:rPr/>
        <w:t>指烧伤程度为Ⅲ度，且Ⅲ度烧伤面积达到全身体表面积的 10%（百分之十）但少于 20%（百分之二十）。体表面积根据</w:t>
      </w:r>
    </w:p>
    <w:p>
      <w:pPr>
        <w:pStyle w:val="BodyText"/>
        <w:spacing w:before="42"/>
        <w:ind w:left="82" w:right="7868"/>
        <w:jc w:val="center"/>
      </w:pPr>
      <w:r>
        <w:rPr/>
        <w:t>《中国新九分法》计算。</w:t>
      </w:r>
    </w:p>
    <w:p>
      <w:pPr>
        <w:pStyle w:val="BodyText"/>
      </w:pPr>
      <w:bookmarkStart w:name="3）轻微脑中风" w:id="7"/>
      <w:bookmarkEnd w:id="7"/>
      <w:r>
        <w:rPr/>
      </w:r>
      <w:r>
        <w:rPr/>
        <w:t>3）轻微脑中风</w:t>
      </w:r>
    </w:p>
    <w:p>
      <w:pPr>
        <w:pStyle w:val="BodyText"/>
      </w:pPr>
      <w:r>
        <w:rPr/>
        <w:t>指实际发生了脑血管的突发病变，出现了神经系统功能障碍表现，并接受住院治疗，经头颅断层扫描（CT）、核磁共振</w:t>
      </w:r>
    </w:p>
    <w:p>
      <w:pPr>
        <w:pStyle w:val="BodyText"/>
        <w:spacing w:line="283" w:lineRule="auto"/>
        <w:ind w:left="100" w:right="120"/>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13"/>
        <w:ind w:left="100" w:right="120" w:firstLine="360"/>
      </w:pPr>
      <w:r>
        <w:rPr/>
        <w:t>若本次发病已符合第二类重大疾病“脑中风后遗症”给付标准的，则不在本疾病保障范围内。被保险人需在确诊一百八十天后申请理赔。</w:t>
      </w:r>
    </w:p>
    <w:p>
      <w:pPr>
        <w:pStyle w:val="BodyText"/>
        <w:spacing w:before="9"/>
      </w:pPr>
      <w:bookmarkStart w:name="4）冠状动脉介入手术（非开胸手术）" w:id="8"/>
      <w:bookmarkEnd w:id="8"/>
      <w:r>
        <w:rPr/>
      </w:r>
      <w:r>
        <w:rPr/>
        <w:t>4）冠状动脉介入手术（非开胸手术）</w:t>
      </w:r>
    </w:p>
    <w:p>
      <w:pPr>
        <w:pStyle w:val="BodyText"/>
        <w:spacing w:line="285" w:lineRule="auto"/>
        <w:ind w:left="100" w:right="120" w:firstLine="360"/>
      </w:pPr>
      <w:r>
        <w:rPr/>
        <w:t>为了治疗明显的冠状动脉狭窄性疾病，首次实际实施了冠状动脉球囊扩张成形术、冠状动脉支架植入术、冠状动脉粥肿斑块切除术或激光冠状动脉成形术。</w:t>
      </w:r>
    </w:p>
    <w:p>
      <w:pPr>
        <w:pStyle w:val="BodyText"/>
        <w:spacing w:before="10"/>
      </w:pPr>
      <w:bookmarkStart w:name="5）心脏瓣膜介入手术（非开胸手术）" w:id="9"/>
      <w:bookmarkEnd w:id="9"/>
      <w:r>
        <w:rPr/>
      </w:r>
      <w:r>
        <w:rPr/>
        <w:t>5）心脏瓣膜介入手术（非开胸手术）</w:t>
      </w:r>
    </w:p>
    <w:p>
      <w:pPr>
        <w:pStyle w:val="BodyText"/>
        <w:spacing w:line="285" w:lineRule="auto" w:before="42"/>
        <w:ind w:left="100" w:right="120" w:firstLine="360"/>
      </w:pPr>
      <w:r>
        <w:rPr/>
        <w:t>为了治疗心脏瓣膜疾病，实际实施了非开胸的经胸壁打孔内镜手术或经皮经导管介入手术进行的心脏瓣膜置换或修复手术。</w:t>
      </w:r>
    </w:p>
    <w:p>
      <w:pPr>
        <w:pStyle w:val="BodyText"/>
        <w:spacing w:before="11"/>
      </w:pPr>
      <w:bookmarkStart w:name="6）视力严重受损－须三岁后申请理赔" w:id="10"/>
      <w:bookmarkEnd w:id="10"/>
      <w:r>
        <w:rPr/>
      </w:r>
      <w:r>
        <w:rPr/>
        <w:t>6）视力严重受损－须三岁后申请理赔</w:t>
      </w:r>
    </w:p>
    <w:p>
      <w:pPr>
        <w:pStyle w:val="BodyText"/>
        <w:spacing w:line="285" w:lineRule="auto" w:before="42"/>
        <w:ind w:left="100" w:right="117" w:firstLine="359"/>
      </w:pPr>
      <w:r>
        <w:rPr/>
        <w:t>指因疾病或意外伤害导致双目视力</w:t>
      </w:r>
      <w:r>
        <w:rPr>
          <w:b/>
        </w:rPr>
        <w:t>永久不可逆</w:t>
      </w:r>
      <w:r>
        <w:rPr/>
        <w:t>（释义三十）性丧失，虽然未达到第二类重大疾病“双目失明”的给付标准，但满足下列条件之一：</w:t>
      </w:r>
    </w:p>
    <w:p>
      <w:pPr>
        <w:pStyle w:val="BodyText"/>
        <w:spacing w:before="10"/>
      </w:pPr>
      <w:r>
        <w:rPr/>
        <w:t>（1）双眼中较好眼矫正视力低于 0.1（采用国际标准视力表，如果使用其他视力表应进行换算）；</w:t>
      </w:r>
    </w:p>
    <w:p>
      <w:pPr>
        <w:pStyle w:val="BodyText"/>
      </w:pPr>
      <w:r>
        <w:rPr/>
        <w:t>（2）双眼中较好眼视野半径小于 20 度。</w:t>
      </w:r>
    </w:p>
    <w:p>
      <w:pPr>
        <w:pStyle w:val="BodyText"/>
        <w:spacing w:line="233" w:lineRule="exact" w:before="43"/>
      </w:pPr>
      <w:r>
        <w:rPr/>
        <w:t>被保险人申请理赔时年龄必须在三岁以上，并且提供理赔当时的视力严重受损诊断及检查证明和资料。</w:t>
      </w:r>
    </w:p>
    <w:p>
      <w:pPr>
        <w:pStyle w:val="Heading1"/>
        <w:spacing w:line="259" w:lineRule="exact"/>
      </w:pPr>
      <w:r>
        <w:rPr>
          <w:w w:val="95"/>
        </w:rPr>
        <w:t>若本次发病已符合第二类重大疾病“双目失明”给付标准的，则不在本疾病保障范围内。</w:t>
      </w:r>
    </w:p>
    <w:p>
      <w:pPr>
        <w:pStyle w:val="BodyText"/>
        <w:spacing w:before="52"/>
      </w:pPr>
      <w:bookmarkStart w:name="7）主动脉内手术（非开胸手术）" w:id="11"/>
      <w:bookmarkEnd w:id="11"/>
      <w:r>
        <w:rPr/>
      </w:r>
      <w:r>
        <w:rPr/>
        <w:t>7）主动脉内手术（非开胸手术）</w:t>
      </w:r>
    </w:p>
    <w:p>
      <w:pPr>
        <w:pStyle w:val="BodyText"/>
        <w:spacing w:line="285" w:lineRule="auto"/>
        <w:ind w:left="100" w:right="120" w:firstLine="360"/>
      </w:pPr>
      <w:r>
        <w:rPr/>
        <w:t>为了治疗主动脉疾病实际实施了经皮经导管进行的动脉内手术。主动脉指胸主动脉和腹主动脉，不包括胸主动脉和腹主动脉的分支血管。</w:t>
      </w:r>
    </w:p>
    <w:p>
      <w:pPr>
        <w:pStyle w:val="BodyText"/>
        <w:spacing w:before="8"/>
      </w:pPr>
      <w:bookmarkStart w:name="8）脑垂体瘤、脑囊肿、脑动脉瘤及脑血管瘤" w:id="12"/>
      <w:bookmarkEnd w:id="12"/>
      <w:r>
        <w:rPr/>
      </w:r>
      <w:r>
        <w:rPr/>
        <w:t>8）脑垂体瘤、脑囊肿、脑动脉瘤及脑血管瘤</w:t>
      </w:r>
    </w:p>
    <w:p>
      <w:pPr>
        <w:pStyle w:val="BodyText"/>
        <w:spacing w:before="44"/>
      </w:pPr>
      <w:r>
        <w:rPr/>
        <w:t>指经头颅断层扫描（CT）、核磁共振（MRI）或其他影像学检查被确诊为下列病变，并实际接受了手术或放射治疗。</w:t>
      </w:r>
    </w:p>
    <w:p>
      <w:pPr>
        <w:pStyle w:val="BodyText"/>
        <w:spacing w:before="44"/>
      </w:pPr>
      <w:r>
        <w:rPr/>
        <w:t>（1）脑垂体瘤；</w:t>
      </w:r>
    </w:p>
    <w:p>
      <w:pPr>
        <w:pStyle w:val="BodyText"/>
        <w:spacing w:before="44"/>
      </w:pPr>
      <w:r>
        <w:rPr/>
        <w:t>（2）脑囊肿；</w:t>
      </w:r>
    </w:p>
    <w:p>
      <w:pPr>
        <w:pStyle w:val="BodyText"/>
        <w:spacing w:before="42"/>
      </w:pPr>
      <w:r>
        <w:rPr/>
        <w:t>（3）脑动脉瘤、脑血管瘤。</w:t>
      </w:r>
    </w:p>
    <w:p>
      <w:pPr>
        <w:pStyle w:val="BodyText"/>
      </w:pPr>
      <w:r>
        <w:rPr/>
        <w:t>五、儿童特定疾病：指符合下列定义的疾病、疾病状态或手术。</w:t>
      </w:r>
    </w:p>
    <w:p>
      <w:pPr>
        <w:pStyle w:val="BodyText"/>
      </w:pPr>
      <w:r>
        <w:rPr>
          <w:rFonts w:ascii="Times New Roman" w:eastAsia="Times New Roman"/>
        </w:rPr>
        <w:t>1</w:t>
      </w:r>
      <w:r>
        <w:rPr/>
        <w:t>）严重川崎病</w:t>
      </w:r>
    </w:p>
    <w:p>
      <w:pPr>
        <w:pStyle w:val="BodyText"/>
        <w:spacing w:line="285" w:lineRule="auto" w:before="29"/>
        <w:ind w:left="100" w:right="120" w:firstLine="360"/>
      </w:pPr>
      <w:r>
        <w:rPr/>
        <w:t>川崎病为一种病因不明的系统性血管炎。本保单仅对诊断性检查证实川崎病并发冠状动脉瘤或其他心血管异常并且实际接受了手术治疗的情况予以理赔。</w:t>
      </w:r>
    </w:p>
    <w:p>
      <w:pPr>
        <w:pStyle w:val="BodyText"/>
        <w:spacing w:before="11"/>
      </w:pPr>
      <w:r>
        <w:rPr>
          <w:rFonts w:ascii="Times New Roman" w:eastAsia="Times New Roman"/>
        </w:rPr>
        <w:t>2</w:t>
      </w:r>
      <w:r>
        <w:rPr/>
        <w:t>）严重幼年型类风湿关节炎</w:t>
      </w:r>
    </w:p>
    <w:p>
      <w:pPr>
        <w:pStyle w:val="BodyText"/>
        <w:spacing w:line="283" w:lineRule="auto" w:before="31"/>
        <w:ind w:left="100" w:right="118" w:firstLine="360"/>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spacing w:before="12"/>
      </w:pPr>
      <w:r>
        <w:rPr>
          <w:rFonts w:ascii="Times New Roman" w:eastAsia="Times New Roman"/>
        </w:rPr>
        <w:t>3</w:t>
      </w:r>
      <w:r>
        <w:rPr/>
        <w:t>）重症手足口病</w:t>
      </w:r>
    </w:p>
    <w:p>
      <w:pPr>
        <w:pStyle w:val="BodyText"/>
        <w:spacing w:line="283" w:lineRule="auto" w:before="31"/>
        <w:ind w:left="100" w:right="120" w:firstLine="360"/>
      </w:pPr>
      <w:r>
        <w:rPr/>
        <w:t>是由肠道病毒引起的急性传染病，主要症状表现为手、足、口腔等部位的斑丘疹、疱疹。重症手足口病必须符合下列全部条件：</w:t>
      </w:r>
    </w:p>
    <w:p>
      <w:pPr>
        <w:pStyle w:val="BodyText"/>
        <w:spacing w:before="0"/>
        <w:ind w:left="0"/>
        <w:rPr>
          <w:sz w:val="20"/>
        </w:rPr>
      </w:pPr>
    </w:p>
    <w:p>
      <w:pPr>
        <w:pStyle w:val="BodyText"/>
        <w:spacing w:before="12"/>
        <w:ind w:left="0"/>
        <w:rPr>
          <w:sz w:val="15"/>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8</w:t>
      </w:r>
    </w:p>
    <w:p>
      <w:pPr>
        <w:spacing w:after="0"/>
        <w:jc w:val="left"/>
        <w:rPr>
          <w:sz w:val="20"/>
        </w:rPr>
        <w:sectPr>
          <w:pgSz w:w="11910" w:h="16840"/>
          <w:pgMar w:top="1020" w:bottom="280" w:left="980" w:right="960"/>
        </w:sectPr>
      </w:pPr>
    </w:p>
    <w:p>
      <w:pPr>
        <w:pStyle w:val="BodyText"/>
        <w:spacing w:before="36"/>
      </w:pPr>
      <w:r>
        <w:rPr/>
        <w:pict>
          <v:group style="position:absolute;margin-left:0pt;margin-top:0pt;width:595.3pt;height:832.8pt;mso-position-horizontal-relative:page;mso-position-vertical-relative:page;z-index:-21472"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w:t>
      </w:r>
      <w:r>
        <w:rPr>
          <w:rFonts w:ascii="Times New Roman" w:eastAsia="Times New Roman"/>
        </w:rPr>
        <w:t>1</w:t>
      </w:r>
      <w:r>
        <w:rPr/>
        <w:t>）经专科医生诊断为手足口病；</w:t>
      </w:r>
    </w:p>
    <w:p>
      <w:pPr>
        <w:pStyle w:val="BodyText"/>
        <w:spacing w:before="31"/>
      </w:pPr>
      <w:r>
        <w:rPr/>
        <w:t>（</w:t>
      </w:r>
      <w:r>
        <w:rPr>
          <w:rFonts w:ascii="Times New Roman" w:eastAsia="Times New Roman"/>
        </w:rPr>
        <w:t>2</w:t>
      </w:r>
      <w:r>
        <w:rPr/>
        <w:t>）伴有所列危重并发症之一：脑膜炎、脑炎、脑脊髓炎、肺水肿或心肌炎；</w:t>
      </w:r>
    </w:p>
    <w:p>
      <w:pPr>
        <w:pStyle w:val="BodyText"/>
        <w:spacing w:before="29"/>
      </w:pPr>
      <w:r>
        <w:rPr/>
        <w:t>（</w:t>
      </w:r>
      <w:r>
        <w:rPr>
          <w:rFonts w:ascii="Times New Roman" w:eastAsia="Times New Roman"/>
        </w:rPr>
        <w:t>3</w:t>
      </w:r>
      <w:r>
        <w:rPr/>
        <w:t>）接受了住院治疗。</w:t>
      </w:r>
    </w:p>
    <w:p>
      <w:pPr>
        <w:pStyle w:val="BodyText"/>
        <w:spacing w:before="32"/>
      </w:pPr>
      <w:r>
        <w:rPr/>
        <w:t>六、第二类重大疾病：指符合下列定义的疾病、疾病状态或手术。</w:t>
      </w:r>
    </w:p>
    <w:p>
      <w:pPr>
        <w:pStyle w:val="BodyText"/>
      </w:pPr>
      <w:r>
        <w:rPr/>
        <w:t>1）恶性肿瘤</w:t>
      </w:r>
    </w:p>
    <w:p>
      <w:pPr>
        <w:pStyle w:val="BodyText"/>
        <w:spacing w:line="285" w:lineRule="auto"/>
        <w:ind w:left="100" w:right="11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7"/>
      </w:pPr>
      <w:r>
        <w:rPr>
          <w:w w:val="95"/>
        </w:rPr>
        <w:t>下列疾病不在保障范围内：</w:t>
      </w:r>
    </w:p>
    <w:p>
      <w:pPr>
        <w:spacing w:before="48"/>
        <w:ind w:left="460" w:right="0" w:firstLine="0"/>
        <w:jc w:val="left"/>
        <w:rPr>
          <w:b/>
          <w:sz w:val="20"/>
        </w:rPr>
      </w:pPr>
      <w:r>
        <w:rPr>
          <w:b/>
          <w:sz w:val="20"/>
        </w:rPr>
        <w:t>（1）原位癌；</w:t>
      </w:r>
    </w:p>
    <w:p>
      <w:pPr>
        <w:spacing w:before="50"/>
        <w:ind w:left="460" w:right="0" w:firstLine="0"/>
        <w:jc w:val="left"/>
        <w:rPr>
          <w:b/>
          <w:sz w:val="20"/>
        </w:rPr>
      </w:pPr>
      <w:r>
        <w:rPr>
          <w:b/>
          <w:sz w:val="20"/>
        </w:rPr>
        <w:t>（2）相当于 Binet 分期方案 A 期程度的慢性淋巴细胞白血病；</w:t>
      </w:r>
    </w:p>
    <w:p>
      <w:pPr>
        <w:spacing w:before="50"/>
        <w:ind w:left="460" w:right="0" w:firstLine="0"/>
        <w:jc w:val="left"/>
        <w:rPr>
          <w:b/>
          <w:sz w:val="20"/>
        </w:rPr>
      </w:pPr>
      <w:r>
        <w:rPr>
          <w:b/>
          <w:sz w:val="20"/>
        </w:rPr>
        <w:t>（3）相当于 Ann Arbor 分期方案 I 期程度的何杰金氏病；</w:t>
      </w:r>
    </w:p>
    <w:p>
      <w:pPr>
        <w:spacing w:before="50"/>
        <w:ind w:left="460" w:right="0" w:firstLine="0"/>
        <w:jc w:val="left"/>
        <w:rPr>
          <w:b/>
          <w:sz w:val="20"/>
        </w:rPr>
      </w:pPr>
      <w:r>
        <w:rPr>
          <w:b/>
          <w:w w:val="95"/>
          <w:sz w:val="20"/>
        </w:rPr>
        <w:t>（4）皮肤癌（不包括恶性黑色素瘤及已发生转移的皮肤癌）；</w:t>
      </w:r>
    </w:p>
    <w:p>
      <w:pPr>
        <w:spacing w:before="47"/>
        <w:ind w:left="460" w:right="0" w:firstLine="0"/>
        <w:jc w:val="left"/>
        <w:rPr>
          <w:b/>
          <w:sz w:val="20"/>
        </w:rPr>
      </w:pPr>
      <w:r>
        <w:rPr>
          <w:b/>
          <w:sz w:val="20"/>
        </w:rPr>
        <w:t>（5）TNM 分期为 T1N0M0 期或更轻分期的前列腺癌；</w:t>
      </w:r>
    </w:p>
    <w:p>
      <w:pPr>
        <w:spacing w:before="49"/>
        <w:ind w:left="460" w:right="0" w:firstLine="0"/>
        <w:jc w:val="left"/>
        <w:rPr>
          <w:b/>
          <w:sz w:val="20"/>
        </w:rPr>
      </w:pPr>
      <w:r>
        <w:rPr>
          <w:b/>
          <w:w w:val="95"/>
          <w:sz w:val="20"/>
        </w:rPr>
        <w:t>（6）感染艾滋病病毒或患艾滋病期间所患恶性肿瘤。</w:t>
      </w:r>
    </w:p>
    <w:p>
      <w:pPr>
        <w:pStyle w:val="BodyText"/>
        <w:spacing w:before="53"/>
      </w:pPr>
      <w:r>
        <w:rPr/>
        <w:t>2）急性心肌梗塞</w:t>
      </w:r>
    </w:p>
    <w:p>
      <w:pPr>
        <w:pStyle w:val="BodyText"/>
        <w:spacing w:before="42"/>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spacing w:before="42"/>
      </w:pPr>
      <w:r>
        <w:rPr/>
        <w:t>（3）心肌酶或肌钙蛋白有诊断意义的升高，或呈符合急性心肌梗塞的动态性变化；</w:t>
      </w:r>
    </w:p>
    <w:p>
      <w:pPr>
        <w:pStyle w:val="BodyText"/>
        <w:spacing w:line="285" w:lineRule="auto" w:before="44"/>
        <w:ind w:right="3099" w:hanging="1"/>
      </w:pPr>
      <w:r>
        <w:rPr/>
        <w:t>（4）发病九十天后，经检查证实左心室功能降低，如左心室射血分数低于 50%。3）脑中风后遗症</w:t>
      </w:r>
    </w:p>
    <w:p>
      <w:pPr>
        <w:pStyle w:val="BodyText"/>
        <w:spacing w:line="283" w:lineRule="auto" w:before="10"/>
        <w:ind w:left="100" w:right="105"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2"/>
        <w:ind w:left="460" w:right="0" w:firstLine="0"/>
        <w:jc w:val="left"/>
        <w:rPr>
          <w:sz w:val="18"/>
        </w:rPr>
      </w:pPr>
      <w:r>
        <w:rPr>
          <w:sz w:val="18"/>
        </w:rPr>
        <w:t>（1）一肢或一肢以上</w:t>
      </w:r>
      <w:r>
        <w:rPr>
          <w:b/>
          <w:sz w:val="18"/>
        </w:rPr>
        <w:t>肢体机能完全丧失</w:t>
      </w:r>
      <w:r>
        <w:rPr>
          <w:sz w:val="18"/>
        </w:rPr>
        <w:t>（释义三十一）；</w:t>
      </w:r>
    </w:p>
    <w:p>
      <w:pPr>
        <w:spacing w:before="44"/>
        <w:ind w:left="460" w:right="0" w:firstLine="0"/>
        <w:jc w:val="left"/>
        <w:rPr>
          <w:sz w:val="18"/>
        </w:rPr>
      </w:pPr>
      <w:r>
        <w:rPr>
          <w:sz w:val="18"/>
        </w:rPr>
        <w:t>（2）</w:t>
      </w:r>
      <w:r>
        <w:rPr>
          <w:b/>
          <w:sz w:val="18"/>
        </w:rPr>
        <w:t>语言能力或咀嚼吞咽能力完全丧失</w:t>
      </w:r>
      <w:r>
        <w:rPr>
          <w:sz w:val="18"/>
        </w:rPr>
        <w:t>（释义三十二）；</w:t>
      </w:r>
    </w:p>
    <w:p>
      <w:pPr>
        <w:pStyle w:val="BodyText"/>
        <w:spacing w:before="42"/>
      </w:pPr>
      <w:r>
        <w:rPr/>
        <w:t>（3）自主生活能力完全丧失，无法独立完成六项基本日常生活活动中的三项或三项以上。</w:t>
      </w:r>
    </w:p>
    <w:p>
      <w:pPr>
        <w:pStyle w:val="BodyText"/>
      </w:pPr>
      <w:r>
        <w:rPr/>
        <w:t>4）重大器官移植术或造血干细胞移植术</w:t>
      </w:r>
    </w:p>
    <w:p>
      <w:pPr>
        <w:pStyle w:val="BodyText"/>
      </w:pPr>
      <w:r>
        <w:rPr/>
        <w:t>重大器官移植术，指因相应器官功能衰竭，已经实施了肾脏、肝脏、心脏或肺脏的异体移植手术。</w:t>
      </w:r>
    </w:p>
    <w:p>
      <w:pPr>
        <w:pStyle w:val="BodyText"/>
        <w:spacing w:line="283" w:lineRule="auto"/>
        <w:ind w:left="100" w:right="12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3"/>
      </w:pPr>
      <w:r>
        <w:rPr/>
        <w:t>5）冠状动脉搭桥术（或称冠状动脉旁路移植术）</w:t>
      </w:r>
    </w:p>
    <w:p>
      <w:pPr>
        <w:pStyle w:val="BodyText"/>
      </w:pPr>
      <w:r>
        <w:rPr/>
        <w:t>指为治疗严重的冠心病，实际实施了开胸进行的冠状动脉血管旁路移植的手术。</w:t>
      </w:r>
    </w:p>
    <w:p>
      <w:pPr>
        <w:pStyle w:val="Heading1"/>
        <w:spacing w:line="283" w:lineRule="auto" w:before="40"/>
        <w:ind w:left="100" w:right="113" w:firstLine="403"/>
      </w:pPr>
      <w:r>
        <w:rPr/>
        <w:t>冠状动脉支架植入术、心导管球囊扩张术、激光射频技术及其他非开胸的介入手术、腔镜手术不在保障范围内。</w:t>
      </w:r>
    </w:p>
    <w:p>
      <w:pPr>
        <w:pStyle w:val="BodyText"/>
        <w:spacing w:before="18"/>
      </w:pPr>
      <w:r>
        <w:rPr/>
        <w:t>6）终末期肾病（或称慢性肾功能衰竭尿毒症期）</w:t>
      </w:r>
    </w:p>
    <w:p>
      <w:pPr>
        <w:pStyle w:val="BodyText"/>
        <w:spacing w:line="283" w:lineRule="auto"/>
        <w:ind w:left="100" w:right="120" w:firstLine="360"/>
      </w:pPr>
      <w:r>
        <w:rPr/>
        <w:t>指双肾功能慢性不可逆性衰竭，达到尿毒症期，经诊断后已经进行了至少九十天的规律性透析治疗或实施了肾脏移植手术。</w:t>
      </w:r>
    </w:p>
    <w:p>
      <w:pPr>
        <w:pStyle w:val="BodyText"/>
        <w:spacing w:before="12"/>
      </w:pPr>
      <w:r>
        <w:rPr/>
        <w:t>7）多个肢体缺失</w:t>
      </w:r>
    </w:p>
    <w:p>
      <w:pPr>
        <w:pStyle w:val="BodyText"/>
        <w:spacing w:before="44"/>
      </w:pPr>
      <w:r>
        <w:rPr/>
        <w:t>指因疾病或意外伤害导致两个或两个以上肢体自腕关节或踝关节近端（靠近躯干端）以上完全性断离。</w:t>
      </w:r>
    </w:p>
    <w:p>
      <w:pPr>
        <w:pStyle w:val="BodyText"/>
        <w:spacing w:before="42"/>
      </w:pPr>
      <w:r>
        <w:rPr/>
        <w:t>8）急性或亚急性重症肝炎</w:t>
      </w:r>
    </w:p>
    <w:p>
      <w:pPr>
        <w:pStyle w:val="BodyText"/>
        <w:spacing w:line="285" w:lineRule="auto"/>
        <w:ind w:left="100" w:right="146" w:firstLine="360"/>
      </w:pPr>
      <w:r>
        <w:rPr/>
        <w:t>指因肝炎病毒感染引起肝脏组织弥漫性坏死，导致急性肝功能衰竭，且经血清学或病毒学检查证实，并须满足下列全部条件：</w:t>
      </w:r>
    </w:p>
    <w:p>
      <w:pPr>
        <w:pStyle w:val="BodyText"/>
        <w:spacing w:before="11"/>
      </w:pPr>
      <w:r>
        <w:rPr/>
        <w:t>（1）重度黄疸或黄疸迅速加重；</w:t>
      </w:r>
    </w:p>
    <w:p>
      <w:pPr>
        <w:pStyle w:val="BodyText"/>
        <w:spacing w:before="43"/>
      </w:pPr>
      <w:r>
        <w:rPr/>
        <w:t>（2）肝性脑病；</w:t>
      </w:r>
    </w:p>
    <w:p>
      <w:pPr>
        <w:pStyle w:val="BodyText"/>
      </w:pPr>
      <w:r>
        <w:rPr/>
        <w:t>（3）B 超或其他影像学检查显示肝脏体积急速萎缩；</w:t>
      </w:r>
    </w:p>
    <w:p>
      <w:pPr>
        <w:pStyle w:val="BodyText"/>
      </w:pPr>
      <w:r>
        <w:rPr/>
        <w:t>（4）肝功能指标进行性恶化。</w:t>
      </w:r>
    </w:p>
    <w:p>
      <w:pPr>
        <w:pStyle w:val="BodyText"/>
      </w:pPr>
      <w:r>
        <w:rPr/>
        <w:t>9）良性脑肿瘤</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9"/>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9</w:t>
      </w:r>
    </w:p>
    <w:p>
      <w:pPr>
        <w:spacing w:after="0"/>
        <w:jc w:val="left"/>
        <w:rPr>
          <w:sz w:val="20"/>
        </w:rPr>
        <w:sectPr>
          <w:pgSz w:w="11910" w:h="16840"/>
          <w:pgMar w:top="1000" w:bottom="280" w:left="980" w:right="960"/>
        </w:sectPr>
      </w:pPr>
    </w:p>
    <w:p>
      <w:pPr>
        <w:pStyle w:val="BodyText"/>
        <w:spacing w:line="285" w:lineRule="auto" w:before="16"/>
        <w:ind w:left="120" w:right="105" w:firstLine="360"/>
        <w:jc w:val="both"/>
      </w:pPr>
      <w:r>
        <w:rPr/>
        <w:pict>
          <v:group style="position:absolute;margin-left:0pt;margin-top:0pt;width:595.3pt;height:832.8pt;mso-position-horizontal-relative:page;mso-position-vertical-relative:page;z-index:-21448"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1"/>
        <w:ind w:left="480"/>
      </w:pPr>
      <w:r>
        <w:rPr/>
        <w:t>（1）实际实施了开颅进行的脑肿瘤完全切除或部分切除的手术；</w:t>
      </w:r>
    </w:p>
    <w:p>
      <w:pPr>
        <w:pStyle w:val="BodyText"/>
        <w:ind w:left="480"/>
      </w:pPr>
      <w:r>
        <w:rPr/>
        <w:t>（2）实际实施了对脑肿瘤进行的放射治疗。</w:t>
      </w:r>
    </w:p>
    <w:p>
      <w:pPr>
        <w:pStyle w:val="Heading1"/>
        <w:spacing w:before="40"/>
        <w:ind w:left="480"/>
      </w:pPr>
      <w:r>
        <w:rPr>
          <w:w w:val="95"/>
        </w:rPr>
        <w:t>脑垂体瘤、脑囊肿、脑血管性疾病不在保障范围内。</w:t>
      </w:r>
    </w:p>
    <w:p>
      <w:pPr>
        <w:pStyle w:val="BodyText"/>
        <w:spacing w:before="51"/>
        <w:ind w:left="480"/>
      </w:pPr>
      <w:r>
        <w:rPr/>
        <w:t>10）慢性肝功能衰竭失代偿期</w:t>
      </w:r>
    </w:p>
    <w:p>
      <w:pPr>
        <w:pStyle w:val="BodyText"/>
        <w:ind w:left="480"/>
      </w:pPr>
      <w:r>
        <w:rPr/>
        <w:t>指因慢性肝脏疾病导致肝功能衰竭。须满足下列全部条件：</w:t>
      </w:r>
    </w:p>
    <w:p>
      <w:pPr>
        <w:pStyle w:val="BodyText"/>
        <w:ind w:left="480"/>
      </w:pPr>
      <w:r>
        <w:rPr/>
        <w:t>（1）持续性黄疸；</w:t>
      </w:r>
    </w:p>
    <w:p>
      <w:pPr>
        <w:pStyle w:val="BodyText"/>
        <w:spacing w:before="42"/>
        <w:ind w:left="480"/>
      </w:pPr>
      <w:r>
        <w:rPr/>
        <w:t>（2）腹水；</w:t>
      </w:r>
    </w:p>
    <w:p>
      <w:pPr>
        <w:pStyle w:val="BodyText"/>
        <w:spacing w:before="44"/>
        <w:ind w:left="480"/>
      </w:pPr>
      <w:r>
        <w:rPr/>
        <w:t>（3）肝性脑病；</w:t>
      </w:r>
    </w:p>
    <w:p>
      <w:pPr>
        <w:pStyle w:val="BodyText"/>
        <w:spacing w:before="44"/>
        <w:ind w:left="480"/>
      </w:pPr>
      <w:r>
        <w:rPr/>
        <w:t>（4）充血性脾肿大伴脾功能亢进或食管胃底静脉曲张。</w:t>
      </w:r>
    </w:p>
    <w:p>
      <w:pPr>
        <w:pStyle w:val="Heading1"/>
        <w:spacing w:before="40"/>
        <w:ind w:left="480"/>
      </w:pPr>
      <w:r>
        <w:rPr>
          <w:w w:val="95"/>
        </w:rPr>
        <w:t>因酗酒或药物滥用导致的肝功能衰竭不在保障范围内。</w:t>
      </w:r>
    </w:p>
    <w:p>
      <w:pPr>
        <w:pStyle w:val="BodyText"/>
        <w:spacing w:before="51"/>
        <w:ind w:left="480"/>
      </w:pPr>
      <w:r>
        <w:rPr/>
        <w:t>11）脑炎后遗症或脑膜炎后遗症</w:t>
      </w:r>
    </w:p>
    <w:p>
      <w:pPr>
        <w:pStyle w:val="BodyText"/>
        <w:spacing w:line="285" w:lineRule="auto" w:before="44"/>
        <w:ind w:left="120" w:right="120" w:firstLine="360"/>
      </w:pPr>
      <w:r>
        <w:rPr/>
        <w:t>指因患脑炎或脑膜炎导致的神经系统永久性的功能障碍。神经系统永久性的功能障碍，指疾病确诊一百八十天后，仍遗留下列一种或一种以上障碍：</w:t>
      </w:r>
    </w:p>
    <w:p>
      <w:pPr>
        <w:pStyle w:val="BodyText"/>
        <w:spacing w:before="8"/>
        <w:ind w:left="480"/>
      </w:pPr>
      <w:r>
        <w:rPr/>
        <w:t>（1）一肢或一肢以上肢体机能完全丧失；</w:t>
      </w:r>
    </w:p>
    <w:p>
      <w:pPr>
        <w:pStyle w:val="BodyText"/>
        <w:ind w:left="480"/>
      </w:pPr>
      <w:r>
        <w:rPr/>
        <w:t>（2）语言能力或咀嚼吞咽能力完全丧失；</w:t>
      </w:r>
    </w:p>
    <w:p>
      <w:pPr>
        <w:pStyle w:val="BodyText"/>
        <w:ind w:left="480"/>
      </w:pPr>
      <w:r>
        <w:rPr/>
        <w:t>（3）自主生活能力完全丧失，无法独立完成六项基本日常生活活动中的三项或三项以上。</w:t>
      </w:r>
    </w:p>
    <w:p>
      <w:pPr>
        <w:pStyle w:val="BodyText"/>
        <w:ind w:left="480"/>
      </w:pPr>
      <w:r>
        <w:rPr/>
        <w:t>12）深度昏迷</w:t>
      </w:r>
    </w:p>
    <w:p>
      <w:pPr>
        <w:pStyle w:val="BodyText"/>
        <w:spacing w:line="285" w:lineRule="auto" w:before="42"/>
        <w:ind w:left="120" w:right="11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6"/>
        <w:ind w:left="480"/>
      </w:pPr>
      <w:r>
        <w:rPr>
          <w:w w:val="95"/>
        </w:rPr>
        <w:t>因酗酒或药物滥用导致的深度昏迷不在保障范围内。</w:t>
      </w:r>
    </w:p>
    <w:p>
      <w:pPr>
        <w:pStyle w:val="BodyText"/>
        <w:spacing w:before="52"/>
        <w:ind w:left="480"/>
      </w:pPr>
      <w:r>
        <w:rPr/>
        <w:t>13）双耳失聪－须三岁后申请理赔</w:t>
      </w:r>
    </w:p>
    <w:p>
      <w:pPr>
        <w:pStyle w:val="BodyText"/>
        <w:spacing w:line="285" w:lineRule="auto"/>
        <w:ind w:left="119" w:right="118"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line="234" w:lineRule="exact" w:before="10"/>
        <w:ind w:left="479"/>
      </w:pPr>
      <w:r>
        <w:rPr/>
        <w:t>被保险人申请理赔时年龄必须在三岁以上，并且提供理赔当时的听力丧失诊断及检查证明和资料。</w:t>
      </w:r>
    </w:p>
    <w:p>
      <w:pPr>
        <w:pStyle w:val="BodyText"/>
        <w:spacing w:line="234" w:lineRule="exact" w:before="0"/>
        <w:ind w:left="479"/>
      </w:pPr>
      <w:r>
        <w:rPr/>
        <w:t>14）双目失明－须三岁后申请理赔</w:t>
      </w:r>
    </w:p>
    <w:p>
      <w:pPr>
        <w:pStyle w:val="BodyText"/>
        <w:spacing w:before="46"/>
        <w:ind w:left="479"/>
      </w:pPr>
      <w:r>
        <w:rPr/>
        <w:t>指因疾病或意外伤害导致双眼视力永久不可逆性丧失，双眼中较好眼须满足下列至少一项条件：</w:t>
      </w:r>
    </w:p>
    <w:p>
      <w:pPr>
        <w:pStyle w:val="BodyText"/>
        <w:spacing w:before="43"/>
        <w:ind w:left="479"/>
      </w:pPr>
      <w:r>
        <w:rPr/>
        <w:t>（1）眼球缺失或摘除；</w:t>
      </w:r>
    </w:p>
    <w:p>
      <w:pPr>
        <w:pStyle w:val="BodyText"/>
        <w:ind w:left="479"/>
      </w:pPr>
      <w:r>
        <w:rPr/>
        <w:t>（2）矫正视力低于 0.02（采用国际标准视力表，如果使用其他视力表应进行换算）；</w:t>
      </w:r>
    </w:p>
    <w:p>
      <w:pPr>
        <w:pStyle w:val="BodyText"/>
        <w:ind w:left="479"/>
      </w:pPr>
      <w:r>
        <w:rPr/>
        <w:t>（3）视野半径小于 5 度。</w:t>
      </w:r>
    </w:p>
    <w:p>
      <w:pPr>
        <w:pStyle w:val="BodyText"/>
        <w:spacing w:line="235" w:lineRule="exact" w:before="43"/>
        <w:ind w:left="479"/>
      </w:pPr>
      <w:r>
        <w:rPr/>
        <w:t>被保险人申请理赔时年龄必须在三岁以上，并且提供理赔当时的视力丧失诊断及检查证明和资料。</w:t>
      </w:r>
    </w:p>
    <w:p>
      <w:pPr>
        <w:pStyle w:val="BodyText"/>
        <w:spacing w:before="0"/>
        <w:ind w:left="479"/>
      </w:pPr>
      <w:r>
        <w:rPr/>
        <w:t>15）瘫痪</w:t>
      </w:r>
    </w:p>
    <w:p>
      <w:pPr>
        <w:pStyle w:val="BodyText"/>
        <w:spacing w:line="285" w:lineRule="auto" w:before="43"/>
        <w:ind w:left="119" w:right="12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ind w:left="479"/>
      </w:pPr>
      <w:r>
        <w:rPr/>
        <w:t>16）心脏瓣膜手术</w:t>
      </w:r>
    </w:p>
    <w:p>
      <w:pPr>
        <w:pStyle w:val="BodyText"/>
        <w:ind w:left="479"/>
      </w:pPr>
      <w:r>
        <w:rPr/>
        <w:t>指为治疗心脏瓣膜疾病，实际实施了开胸进行的心脏瓣膜置换或修复的手术。</w:t>
      </w:r>
    </w:p>
    <w:p>
      <w:pPr>
        <w:pStyle w:val="BodyText"/>
        <w:spacing w:before="42"/>
        <w:ind w:left="479"/>
      </w:pPr>
      <w:r>
        <w:rPr/>
        <w:t>17）严重阿尔茨海默病</w:t>
      </w:r>
    </w:p>
    <w:p>
      <w:pPr>
        <w:pStyle w:val="BodyText"/>
        <w:spacing w:line="285" w:lineRule="auto" w:before="44"/>
        <w:ind w:left="119" w:right="106"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6"/>
        <w:ind w:left="480"/>
      </w:pPr>
      <w:r>
        <w:rPr>
          <w:w w:val="95"/>
        </w:rPr>
        <w:t>神经官能症和精神疾病不在保障范围内。</w:t>
      </w:r>
    </w:p>
    <w:p>
      <w:pPr>
        <w:pStyle w:val="BodyText"/>
        <w:spacing w:before="54"/>
        <w:ind w:left="480"/>
      </w:pPr>
      <w:r>
        <w:rPr/>
        <w:t>18）严重脑损伤</w:t>
      </w:r>
    </w:p>
    <w:p>
      <w:pPr>
        <w:pStyle w:val="BodyText"/>
        <w:spacing w:line="285" w:lineRule="auto"/>
        <w:ind w:left="120" w:right="11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1"/>
        <w:ind w:left="480"/>
      </w:pPr>
      <w:r>
        <w:rPr/>
        <w:t>（1）一肢或一肢以上肢体机能完全丧失；</w:t>
      </w:r>
    </w:p>
    <w:p>
      <w:pPr>
        <w:pStyle w:val="BodyText"/>
        <w:ind w:left="480"/>
      </w:pPr>
      <w:r>
        <w:rPr/>
        <w:t>（2）语言能力或咀嚼吞咽能力完全丧失；</w:t>
      </w:r>
    </w:p>
    <w:p>
      <w:pPr>
        <w:pStyle w:val="BodyText"/>
        <w:spacing w:before="43"/>
        <w:ind w:left="480"/>
      </w:pPr>
      <w:r>
        <w:rPr/>
        <w:t>（3）自主生活能力完全丧失，无法独立完成六项基本日常生活活动中的三项或三项以上。</w:t>
      </w:r>
    </w:p>
    <w:p>
      <w:pPr>
        <w:pStyle w:val="BodyText"/>
        <w:ind w:left="480"/>
      </w:pPr>
      <w:r>
        <w:rPr/>
        <w:t>19）严重帕金森病</w:t>
      </w:r>
    </w:p>
    <w:p>
      <w:pPr>
        <w:pStyle w:val="BodyText"/>
        <w:spacing w:before="0"/>
        <w:ind w:left="0"/>
        <w:rPr>
          <w:sz w:val="20"/>
        </w:rPr>
      </w:pPr>
    </w:p>
    <w:p>
      <w:pPr>
        <w:pStyle w:val="BodyText"/>
        <w:spacing w:before="10"/>
        <w:ind w:left="0"/>
        <w:rPr>
          <w:sz w:val="14"/>
        </w:rPr>
      </w:pPr>
    </w:p>
    <w:p>
      <w:pPr>
        <w:tabs>
          <w:tab w:pos="5167"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10</w:t>
      </w:r>
    </w:p>
    <w:p>
      <w:pPr>
        <w:spacing w:after="0"/>
        <w:jc w:val="left"/>
        <w:rPr>
          <w:sz w:val="20"/>
        </w:rPr>
        <w:sectPr>
          <w:pgSz w:w="11910" w:h="16840"/>
          <w:pgMar w:top="1020" w:bottom="280" w:left="960" w:right="960"/>
        </w:sectPr>
      </w:pPr>
    </w:p>
    <w:p>
      <w:pPr>
        <w:pStyle w:val="BodyText"/>
        <w:spacing w:before="16"/>
      </w:pPr>
      <w:r>
        <w:rPr/>
        <w:pict>
          <v:group style="position:absolute;margin-left:0pt;margin-top:0pt;width:595.3pt;height:832.8pt;mso-position-horizontal-relative:page;mso-position-vertical-relative:page;z-index:-21424"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是一种中枢神经系统的退行性疾病，临床表现为震颤麻痹、共济失调等。须满足下列全部条件：</w:t>
      </w:r>
    </w:p>
    <w:p>
      <w:pPr>
        <w:pStyle w:val="BodyText"/>
      </w:pPr>
      <w:r>
        <w:rPr/>
        <w:t>（1）药物治疗无法控制病情；</w:t>
      </w:r>
    </w:p>
    <w:p>
      <w:pPr>
        <w:pStyle w:val="BodyText"/>
        <w:spacing w:before="43"/>
      </w:pPr>
      <w:r>
        <w:rPr/>
        <w:t>（2）自主生活能力完全丧失，无法独立完成六项基本日常生活活动中的三项或三项以上。</w:t>
      </w:r>
    </w:p>
    <w:p>
      <w:pPr>
        <w:pStyle w:val="Heading1"/>
        <w:spacing w:before="41"/>
      </w:pPr>
      <w:r>
        <w:rPr>
          <w:w w:val="95"/>
        </w:rPr>
        <w:t>继发性帕金森综合征不在保障范围内。</w:t>
      </w:r>
    </w:p>
    <w:p>
      <w:pPr>
        <w:pStyle w:val="BodyText"/>
        <w:spacing w:before="54"/>
      </w:pPr>
      <w:r>
        <w:rPr/>
        <w:t>20）严重Ⅲ度烧伤</w:t>
      </w:r>
    </w:p>
    <w:p>
      <w:pPr>
        <w:pStyle w:val="BodyText"/>
        <w:spacing w:line="283" w:lineRule="auto"/>
        <w:ind w:right="235"/>
      </w:pPr>
      <w:r>
        <w:rPr>
          <w:spacing w:val="-2"/>
        </w:rPr>
        <w:t>指烧伤程度为Ⅲ度，且Ⅲ度烧伤的面积达到全身体表面积的 </w:t>
      </w:r>
      <w:r>
        <w:rPr/>
        <w:t>20</w:t>
      </w:r>
      <w:r>
        <w:rPr>
          <w:spacing w:val="-16"/>
        </w:rPr>
        <w:t>％或 </w:t>
      </w:r>
      <w:r>
        <w:rPr/>
        <w:t>20</w:t>
      </w:r>
      <w:r>
        <w:rPr>
          <w:spacing w:val="-1"/>
        </w:rPr>
        <w:t>％以上。体表面积根据《中国新九分法》计算。21）严重原发性肺动脉高压</w:t>
      </w:r>
    </w:p>
    <w:p>
      <w:pPr>
        <w:pStyle w:val="BodyText"/>
        <w:spacing w:line="285" w:lineRule="auto" w:before="13"/>
        <w:ind w:left="100"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9"/>
      </w:pPr>
      <w:r>
        <w:rPr/>
        <w:t>22）严重运动神经元病</w:t>
      </w:r>
    </w:p>
    <w:p>
      <w:pPr>
        <w:pStyle w:val="BodyText"/>
        <w:spacing w:line="285" w:lineRule="auto"/>
        <w:ind w:left="10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pPr>
      <w:r>
        <w:rPr/>
        <w:t>23）语言能力丧失－须三岁后申请理赔</w:t>
      </w:r>
    </w:p>
    <w:p>
      <w:pPr>
        <w:pStyle w:val="BodyText"/>
        <w:spacing w:line="285" w:lineRule="auto" w:before="42"/>
        <w:ind w:left="100" w:right="120" w:firstLine="360"/>
      </w:pPr>
      <w:r>
        <w:rPr/>
        <w:t>指因疾病或意外伤害导致完全丧失语言能力，经过积极治疗至少 12 个月（声带完全切除不受此时间限制），仍无法通过现有医疗手段恢复。</w:t>
      </w:r>
    </w:p>
    <w:p>
      <w:pPr>
        <w:pStyle w:val="Heading1"/>
        <w:spacing w:before="6"/>
      </w:pPr>
      <w:r>
        <w:rPr>
          <w:w w:val="95"/>
        </w:rPr>
        <w:t>精神心理因素所致的语言能力丧失不在保障范围内。</w:t>
      </w:r>
    </w:p>
    <w:p>
      <w:pPr>
        <w:pStyle w:val="BodyText"/>
        <w:spacing w:line="235" w:lineRule="exact" w:before="51"/>
      </w:pPr>
      <w:r>
        <w:rPr/>
        <w:t>被保险人申请理赔时年龄必须在三岁以上，并且提供理赔当时的语言能力丧失诊断及检查证明和资料。</w:t>
      </w:r>
    </w:p>
    <w:p>
      <w:pPr>
        <w:pStyle w:val="BodyText"/>
        <w:spacing w:before="0"/>
      </w:pPr>
      <w:r>
        <w:rPr/>
        <w:t>24）重型再生障碍性贫血</w:t>
      </w:r>
    </w:p>
    <w:p>
      <w:pPr>
        <w:pStyle w:val="BodyText"/>
        <w:spacing w:before="43"/>
      </w:pPr>
      <w:r>
        <w:rPr/>
        <w:t>指因骨髓造血功能慢性持续性衰竭导致的贫血、中性粒细胞减少及血小板减少。须满足下列全部条件：</w:t>
      </w:r>
    </w:p>
    <w:p>
      <w:pPr>
        <w:pStyle w:val="BodyText"/>
        <w:spacing w:before="44"/>
      </w:pPr>
      <w:r>
        <w:rPr/>
        <w:t>（1）骨髓穿刺检查或骨髓活检结果支持诊断；</w:t>
      </w:r>
    </w:p>
    <w:p>
      <w:pPr>
        <w:pStyle w:val="BodyText"/>
        <w:spacing w:before="44"/>
      </w:pPr>
      <w:r>
        <w:rPr/>
        <w:t>（2）外周血象须具备以下三项条件：</w:t>
      </w:r>
    </w:p>
    <w:p>
      <w:pPr>
        <w:pStyle w:val="BodyText"/>
        <w:spacing w:before="44"/>
      </w:pPr>
      <w:r>
        <w:rPr/>
        <w:t>① 中性粒细胞绝对值≤0.5×10</w:t>
      </w:r>
      <w:r>
        <w:rPr>
          <w:position w:val="9"/>
          <w:sz w:val="9"/>
        </w:rPr>
        <w:t>9</w:t>
      </w:r>
      <w:r>
        <w:rPr/>
        <w:t>/L；</w:t>
      </w:r>
    </w:p>
    <w:p>
      <w:pPr>
        <w:pStyle w:val="BodyText"/>
        <w:spacing w:before="42"/>
      </w:pPr>
      <w:r>
        <w:rPr/>
        <w:t>② 网织红细胞＜1%；</w:t>
      </w:r>
    </w:p>
    <w:p>
      <w:pPr>
        <w:pStyle w:val="BodyText"/>
      </w:pPr>
      <w:r>
        <w:rPr/>
        <w:t>③ 血小板绝对值≤20×10</w:t>
      </w:r>
      <w:r>
        <w:rPr>
          <w:position w:val="9"/>
          <w:sz w:val="9"/>
        </w:rPr>
        <w:t>9</w:t>
      </w:r>
      <w:r>
        <w:rPr/>
        <w:t>/L。</w:t>
      </w:r>
    </w:p>
    <w:p>
      <w:pPr>
        <w:pStyle w:val="BodyText"/>
      </w:pPr>
      <w:r>
        <w:rPr/>
        <w:t>25）主动脉手术</w:t>
      </w:r>
    </w:p>
    <w:p>
      <w:pPr>
        <w:spacing w:line="280" w:lineRule="auto" w:before="42"/>
        <w:ind w:left="100" w:right="120"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5"/>
      </w:pPr>
      <w:r>
        <w:rPr>
          <w:w w:val="95"/>
        </w:rPr>
        <w:t>动脉内血管成形术不在保障范围内。</w:t>
      </w:r>
    </w:p>
    <w:p>
      <w:pPr>
        <w:spacing w:before="54"/>
        <w:ind w:left="460"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3"/>
      </w:pPr>
      <w:r>
        <w:rPr/>
        <w:t>26）植物人</w:t>
      </w:r>
    </w:p>
    <w:p>
      <w:pPr>
        <w:pStyle w:val="BodyText"/>
      </w:pPr>
      <w:r>
        <w:rPr/>
        <w:t>指大脑皮质全面坏死，意识完全丧失，但脑干仍保持完好，且此情况持续一个月或一个月以上。</w:t>
      </w:r>
    </w:p>
    <w:p>
      <w:pPr>
        <w:pStyle w:val="BodyText"/>
      </w:pPr>
      <w:r>
        <w:rPr/>
        <w:t>27）I 型糖尿病或胰岛素依赖型糖尿病</w:t>
      </w:r>
    </w:p>
    <w:p>
      <w:pPr>
        <w:pStyle w:val="BodyText"/>
        <w:spacing w:line="285" w:lineRule="auto" w:before="43"/>
        <w:ind w:left="100" w:right="120" w:firstLine="360"/>
      </w:pPr>
      <w:r>
        <w:rPr/>
        <w:t>指由于胰岛素分泌绝对不足引起的慢性血糖升高，并持续性地依赖外源性胰岛素维持一百八十天以上。须经血胰岛素测定、血 C 肽测定或尿C 肽测定，结果异常。并须在本合同有效期内，满足下述条件之一者：</w:t>
      </w:r>
    </w:p>
    <w:p>
      <w:pPr>
        <w:pStyle w:val="BodyText"/>
        <w:spacing w:before="11"/>
      </w:pPr>
      <w:r>
        <w:rPr/>
        <w:t>（1）植入心脏起搏器治疗心脏病；</w:t>
      </w:r>
    </w:p>
    <w:p>
      <w:pPr>
        <w:pStyle w:val="BodyText"/>
      </w:pPr>
      <w:r>
        <w:rPr/>
        <w:t>（2）因坏疽需切除一只或以上脚趾。</w:t>
      </w:r>
    </w:p>
    <w:p>
      <w:pPr>
        <w:pStyle w:val="BodyText"/>
        <w:spacing w:before="42"/>
      </w:pPr>
      <w:r>
        <w:rPr/>
        <w:t>28）严重溃疡性结肠炎</w:t>
      </w:r>
    </w:p>
    <w:p>
      <w:pPr>
        <w:pStyle w:val="BodyText"/>
        <w:spacing w:line="285" w:lineRule="auto" w:before="44"/>
        <w:ind w:left="100" w:right="119"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0"/>
      </w:pPr>
      <w:r>
        <w:rPr/>
        <w:t>29）严重心肌病</w:t>
      </w:r>
    </w:p>
    <w:p>
      <w:pPr>
        <w:pStyle w:val="BodyText"/>
        <w:spacing w:line="285" w:lineRule="auto" w:before="44"/>
        <w:ind w:left="100" w:right="120" w:firstLine="360"/>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8"/>
        <w:ind w:left="459"/>
      </w:pPr>
      <w:r>
        <w:rPr/>
        <w:t>30）多样性硬化</w:t>
      </w:r>
    </w:p>
    <w:p>
      <w:pPr>
        <w:pStyle w:val="BodyText"/>
        <w:spacing w:line="285" w:lineRule="auto"/>
        <w:ind w:left="10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0"/>
      </w:pPr>
      <w:r>
        <w:rPr/>
        <w:t>（1）由于视神经、脑干、脊髓损伤而导致的临床表现；</w:t>
      </w:r>
    </w:p>
    <w:p>
      <w:pPr>
        <w:pStyle w:val="BodyText"/>
        <w:spacing w:before="42"/>
      </w:pPr>
      <w:r>
        <w:rPr/>
        <w:t>（2）散在的身体损害的多样性；</w:t>
      </w:r>
    </w:p>
    <w:p>
      <w:pPr>
        <w:pStyle w:val="BodyText"/>
      </w:pPr>
      <w:r>
        <w:rPr/>
        <w:t>（3）上述症状反复发作、恶化、及神经损伤的病史记录。</w:t>
      </w:r>
    </w:p>
    <w:p>
      <w:pPr>
        <w:pStyle w:val="BodyText"/>
      </w:pPr>
      <w:r>
        <w:rPr/>
        <w:t>31）严重急性坏死性胰腺炎</w:t>
      </w:r>
    </w:p>
    <w:p>
      <w:pPr>
        <w:pStyle w:val="BodyText"/>
        <w:spacing w:before="0"/>
        <w:ind w:left="0"/>
        <w:rPr>
          <w:sz w:val="20"/>
        </w:rPr>
      </w:pPr>
    </w:p>
    <w:p>
      <w:pPr>
        <w:pStyle w:val="BodyText"/>
        <w:spacing w:before="0"/>
        <w:ind w:left="0"/>
        <w:rPr>
          <w:sz w:val="20"/>
        </w:rPr>
      </w:pPr>
    </w:p>
    <w:p>
      <w:pPr>
        <w:tabs>
          <w:tab w:pos="5147" w:val="right" w:leader="none"/>
        </w:tabs>
        <w:spacing w:before="208"/>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11</w:t>
      </w:r>
    </w:p>
    <w:p>
      <w:pPr>
        <w:spacing w:after="0"/>
        <w:jc w:val="left"/>
        <w:rPr>
          <w:sz w:val="20"/>
        </w:rPr>
        <w:sectPr>
          <w:pgSz w:w="11910" w:h="16840"/>
          <w:pgMar w:top="1020" w:bottom="280" w:left="980" w:right="960"/>
        </w:sectPr>
      </w:pPr>
    </w:p>
    <w:p>
      <w:pPr>
        <w:spacing w:line="285" w:lineRule="auto" w:before="12"/>
        <w:ind w:left="100" w:right="118" w:firstLine="360"/>
        <w:jc w:val="left"/>
        <w:rPr>
          <w:b/>
          <w:sz w:val="20"/>
        </w:rPr>
      </w:pPr>
      <w:r>
        <w:rPr/>
        <w:pict>
          <v:group style="position:absolute;margin-left:0pt;margin-top:0pt;width:595.3pt;height:832.8pt;mso-position-horizontal-relative:page;mso-position-vertical-relative:page;z-index:-21400"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4"/>
      </w:pPr>
      <w:r>
        <w:rPr/>
        <w:t>32）肌营养不良症</w:t>
      </w:r>
    </w:p>
    <w:p>
      <w:pPr>
        <w:pStyle w:val="BodyText"/>
      </w:pPr>
      <w:r>
        <w:rPr/>
        <w:t>指骨骼肌对称地进行性无力和萎缩，须满足下列全部条件：</w:t>
      </w:r>
    </w:p>
    <w:p>
      <w:pPr>
        <w:pStyle w:val="BodyText"/>
      </w:pPr>
      <w:r>
        <w:rPr/>
        <w:t>（1）肌电图显示典型肌营养不良症的阳性改变；</w:t>
      </w:r>
    </w:p>
    <w:p>
      <w:pPr>
        <w:pStyle w:val="BodyText"/>
      </w:pPr>
      <w:r>
        <w:rPr/>
        <w:t>（2）肌肉活检的病理学诊断符合肌营养不良症的肌肉细胞变性、坏死等阳性改变；</w:t>
      </w:r>
    </w:p>
    <w:p>
      <w:pPr>
        <w:pStyle w:val="BodyText"/>
        <w:spacing w:before="42"/>
      </w:pPr>
      <w:r>
        <w:rPr/>
        <w:t>（3）自主生活能力完全丧失，无法独立完成六项基本日常生活活动中的三项或三项以上。</w:t>
      </w:r>
    </w:p>
    <w:p>
      <w:pPr>
        <w:pStyle w:val="BodyText"/>
        <w:spacing w:before="44"/>
      </w:pPr>
      <w:r>
        <w:rPr/>
        <w:t>33）慢性呼吸功能衰竭</w:t>
      </w:r>
    </w:p>
    <w:p>
      <w:pPr>
        <w:pStyle w:val="BodyText"/>
        <w:spacing w:before="44"/>
      </w:pPr>
      <w:r>
        <w:rPr/>
        <w:t>慢性肺部疾病导致永久不可逆性的慢性呼吸功能衰竭。慢性呼吸功能衰竭必须明确诊断并满足下列全部条件：</w:t>
      </w:r>
    </w:p>
    <w:p>
      <w:pPr>
        <w:pStyle w:val="BodyText"/>
        <w:spacing w:before="42"/>
      </w:pPr>
      <w:r>
        <w:rPr/>
        <w:t>（1）休息时出现呼吸困难；</w:t>
      </w:r>
    </w:p>
    <w:p>
      <w:pPr>
        <w:pStyle w:val="BodyText"/>
        <w:spacing w:before="44"/>
      </w:pPr>
      <w:r>
        <w:rPr>
          <w:position w:val="1"/>
        </w:rPr>
        <w:t>（2）动脉血氧分压（PaO</w:t>
      </w:r>
      <w:r>
        <w:rPr>
          <w:sz w:val="9"/>
        </w:rPr>
        <w:t>2</w:t>
      </w:r>
      <w:r>
        <w:rPr>
          <w:position w:val="1"/>
        </w:rPr>
        <w:t>）&lt; 50mmHg；</w:t>
      </w:r>
    </w:p>
    <w:p>
      <w:pPr>
        <w:pStyle w:val="BodyText"/>
        <w:spacing w:before="44"/>
      </w:pPr>
      <w:r>
        <w:rPr>
          <w:position w:val="1"/>
        </w:rPr>
        <w:t>（3）动脉血氧饱和度（SaO</w:t>
      </w:r>
      <w:r>
        <w:rPr>
          <w:sz w:val="9"/>
        </w:rPr>
        <w:t>2</w:t>
      </w:r>
      <w:r>
        <w:rPr>
          <w:position w:val="1"/>
        </w:rPr>
        <w:t>）&lt; 80％；</w:t>
      </w:r>
    </w:p>
    <w:p>
      <w:pPr>
        <w:pStyle w:val="BodyText"/>
      </w:pPr>
      <w:r>
        <w:rPr/>
        <w:t>（4）因缺氧必须接受持续的输氧治疗。</w:t>
      </w:r>
    </w:p>
    <w:p>
      <w:pPr>
        <w:pStyle w:val="BodyText"/>
        <w:spacing w:before="43"/>
      </w:pPr>
      <w:r>
        <w:rPr/>
        <w:t>34）系统性红斑狼疮 － III 型或以上狼疮性肾炎</w:t>
      </w:r>
    </w:p>
    <w:p>
      <w:pPr>
        <w:pStyle w:val="BodyText"/>
      </w:pPr>
      <w:r>
        <w:rPr/>
        <w:t>系统性红斑狼疮是由多种因素引起，累及多系统的自身免疫性疾病。其特点是生成自身抗体对抗多种自身抗原。</w:t>
      </w:r>
    </w:p>
    <w:p>
      <w:pPr>
        <w:spacing w:line="283" w:lineRule="auto" w:before="45"/>
        <w:ind w:left="100" w:right="111"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8"/>
        <w:ind w:left="459"/>
      </w:pPr>
      <w:r>
        <w:rPr/>
        <w:t>世界卫生组织（WHO）对狼疮性肾炎的分类标准：</w:t>
      </w:r>
    </w:p>
    <w:p>
      <w:pPr>
        <w:pStyle w:val="BodyText"/>
        <w:spacing w:before="11"/>
        <w:ind w:left="0"/>
        <w:rPr>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ind w:left="200"/>
              <w:rPr>
                <w:sz w:val="18"/>
              </w:rPr>
            </w:pPr>
            <w:r>
              <w:rPr>
                <w:sz w:val="18"/>
              </w:rPr>
              <w:t>I 型 – 轻微病变型狼疮性肾小球肾炎</w:t>
            </w:r>
          </w:p>
        </w:tc>
      </w:tr>
      <w:tr>
        <w:trPr>
          <w:trHeight w:val="342" w:hRule="atLeast"/>
        </w:trPr>
        <w:tc>
          <w:tcPr>
            <w:tcW w:w="4495" w:type="dxa"/>
          </w:tcPr>
          <w:p>
            <w:pPr>
              <w:pStyle w:val="TableParagraph"/>
              <w:spacing w:line="240" w:lineRule="auto" w:before="26"/>
              <w:ind w:left="200"/>
              <w:rPr>
                <w:sz w:val="18"/>
              </w:rPr>
            </w:pPr>
            <w:r>
              <w:rPr>
                <w:sz w:val="18"/>
              </w:rPr>
              <w:t>II 型 – 系膜病变型狼疮性肾小球肾炎</w:t>
            </w:r>
          </w:p>
        </w:tc>
      </w:tr>
      <w:tr>
        <w:trPr>
          <w:trHeight w:val="341" w:hRule="atLeast"/>
        </w:trPr>
        <w:tc>
          <w:tcPr>
            <w:tcW w:w="4495" w:type="dxa"/>
          </w:tcPr>
          <w:p>
            <w:pPr>
              <w:pStyle w:val="TableParagraph"/>
              <w:spacing w:line="240" w:lineRule="auto" w:before="25"/>
              <w:ind w:left="200"/>
              <w:rPr>
                <w:sz w:val="18"/>
              </w:rPr>
            </w:pPr>
            <w:r>
              <w:rPr>
                <w:sz w:val="18"/>
              </w:rPr>
              <w:t>III 型 – 节段增生型狼疮性肾小球肾炎</w:t>
            </w:r>
          </w:p>
        </w:tc>
      </w:tr>
      <w:tr>
        <w:trPr>
          <w:trHeight w:val="341" w:hRule="atLeast"/>
        </w:trPr>
        <w:tc>
          <w:tcPr>
            <w:tcW w:w="4495" w:type="dxa"/>
          </w:tcPr>
          <w:p>
            <w:pPr>
              <w:pStyle w:val="TableParagraph"/>
              <w:spacing w:line="240" w:lineRule="auto" w:before="26"/>
              <w:ind w:left="200"/>
              <w:rPr>
                <w:sz w:val="18"/>
              </w:rPr>
            </w:pPr>
            <w:r>
              <w:rPr>
                <w:sz w:val="18"/>
              </w:rPr>
              <w:t>IV 型 – 弥漫增殖型狼疮性肾小球肾炎</w:t>
            </w:r>
          </w:p>
        </w:tc>
      </w:tr>
      <w:tr>
        <w:trPr>
          <w:trHeight w:val="342" w:hRule="atLeast"/>
        </w:trPr>
        <w:tc>
          <w:tcPr>
            <w:tcW w:w="4495" w:type="dxa"/>
          </w:tcPr>
          <w:p>
            <w:pPr>
              <w:pStyle w:val="TableParagraph"/>
              <w:spacing w:line="240" w:lineRule="auto" w:before="25"/>
              <w:ind w:left="200"/>
              <w:rPr>
                <w:sz w:val="18"/>
              </w:rPr>
            </w:pPr>
            <w:r>
              <w:rPr>
                <w:sz w:val="18"/>
              </w:rPr>
              <w:t>V 型 – 广泛的肾小球基底膜增厚狼疮性肾小球肾炎</w:t>
            </w:r>
          </w:p>
        </w:tc>
      </w:tr>
      <w:tr>
        <w:trPr>
          <w:trHeight w:val="261" w:hRule="atLeast"/>
        </w:trPr>
        <w:tc>
          <w:tcPr>
            <w:tcW w:w="4495" w:type="dxa"/>
          </w:tcPr>
          <w:p>
            <w:pPr>
              <w:pStyle w:val="TableParagraph"/>
              <w:spacing w:line="216" w:lineRule="exact" w:before="26"/>
              <w:ind w:left="200"/>
              <w:rPr>
                <w:sz w:val="18"/>
              </w:rPr>
            </w:pPr>
            <w:r>
              <w:rPr>
                <w:sz w:val="18"/>
              </w:rPr>
              <w:t>VI 型 – 肾小球硬化型狼疮性肾小球肾炎</w:t>
            </w:r>
          </w:p>
        </w:tc>
      </w:tr>
    </w:tbl>
    <w:p>
      <w:pPr>
        <w:pStyle w:val="BodyText"/>
        <w:spacing w:before="76"/>
        <w:ind w:left="461"/>
      </w:pPr>
      <w:r>
        <w:rPr/>
        <w:pict>
          <v:shapetype id="_x0000_t202" o:spt="202" coordsize="21600,21600" path="m,l,21600r21600,l21600,xe">
            <v:stroke joinstyle="miter"/>
            <v:path gradientshapeok="t" o:connecttype="rect"/>
          </v:shapetype>
          <v:shape style="position:absolute;margin-left:71.760002pt;margin-top:19.227720pt;width:450.75pt;height:219.05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160"/>
                    <w:gridCol w:w="2280"/>
                    <w:gridCol w:w="2040"/>
                  </w:tblGrid>
                  <w:tr>
                    <w:trPr>
                      <w:trHeight w:val="256" w:hRule="atLeast"/>
                    </w:trPr>
                    <w:tc>
                      <w:tcPr>
                        <w:tcW w:w="2520" w:type="dxa"/>
                      </w:tcPr>
                      <w:p>
                        <w:pPr>
                          <w:pStyle w:val="TableParagraph"/>
                          <w:spacing w:line="236" w:lineRule="exact"/>
                          <w:ind w:left="743"/>
                          <w:rPr>
                            <w:b/>
                            <w:sz w:val="18"/>
                          </w:rPr>
                        </w:pPr>
                        <w:r>
                          <w:rPr>
                            <w:rFonts w:ascii="Arial" w:eastAsia="Arial"/>
                            <w:b/>
                            <w:sz w:val="18"/>
                          </w:rPr>
                          <w:t>A </w:t>
                        </w:r>
                        <w:r>
                          <w:rPr>
                            <w:b/>
                            <w:sz w:val="18"/>
                          </w:rPr>
                          <w:t>组（9 种）</w:t>
                        </w:r>
                      </w:p>
                    </w:tc>
                    <w:tc>
                      <w:tcPr>
                        <w:tcW w:w="2160" w:type="dxa"/>
                      </w:tcPr>
                      <w:p>
                        <w:pPr>
                          <w:pStyle w:val="TableParagraph"/>
                          <w:spacing w:line="236" w:lineRule="exact"/>
                          <w:ind w:left="563"/>
                          <w:rPr>
                            <w:b/>
                            <w:sz w:val="18"/>
                          </w:rPr>
                        </w:pPr>
                        <w:r>
                          <w:rPr>
                            <w:rFonts w:ascii="Arial" w:eastAsia="Arial"/>
                            <w:b/>
                            <w:sz w:val="18"/>
                          </w:rPr>
                          <w:t>B </w:t>
                        </w:r>
                        <w:r>
                          <w:rPr>
                            <w:b/>
                            <w:sz w:val="18"/>
                          </w:rPr>
                          <w:t>组（9 种）</w:t>
                        </w:r>
                      </w:p>
                    </w:tc>
                    <w:tc>
                      <w:tcPr>
                        <w:tcW w:w="2280" w:type="dxa"/>
                        <w:shd w:val="clear" w:color="auto" w:fill="FFFFFF"/>
                      </w:tcPr>
                      <w:p>
                        <w:pPr>
                          <w:pStyle w:val="TableParagraph"/>
                          <w:spacing w:line="236" w:lineRule="exact"/>
                          <w:ind w:left="578"/>
                          <w:rPr>
                            <w:b/>
                            <w:sz w:val="18"/>
                          </w:rPr>
                        </w:pPr>
                        <w:r>
                          <w:rPr>
                            <w:rFonts w:ascii="Arial" w:eastAsia="Arial"/>
                            <w:b/>
                            <w:sz w:val="18"/>
                          </w:rPr>
                          <w:t>C </w:t>
                        </w:r>
                        <w:r>
                          <w:rPr>
                            <w:b/>
                            <w:sz w:val="18"/>
                          </w:rPr>
                          <w:t>组（11 种）</w:t>
                        </w:r>
                      </w:p>
                    </w:tc>
                    <w:tc>
                      <w:tcPr>
                        <w:tcW w:w="2040" w:type="dxa"/>
                        <w:shd w:val="clear" w:color="auto" w:fill="FFFFFF"/>
                      </w:tcPr>
                      <w:p>
                        <w:pPr>
                          <w:pStyle w:val="TableParagraph"/>
                          <w:spacing w:line="236" w:lineRule="exact"/>
                          <w:ind w:left="503"/>
                          <w:rPr>
                            <w:b/>
                            <w:sz w:val="18"/>
                          </w:rPr>
                        </w:pPr>
                        <w:r>
                          <w:rPr>
                            <w:rFonts w:ascii="Arial" w:eastAsia="Arial"/>
                            <w:b/>
                            <w:sz w:val="18"/>
                          </w:rPr>
                          <w:t>D </w:t>
                        </w:r>
                        <w:r>
                          <w:rPr>
                            <w:b/>
                            <w:sz w:val="18"/>
                          </w:rPr>
                          <w:t>组（5 种）</w:t>
                        </w:r>
                      </w:p>
                    </w:tc>
                  </w:tr>
                  <w:tr>
                    <w:trPr>
                      <w:trHeight w:val="254" w:hRule="atLeast"/>
                    </w:trPr>
                    <w:tc>
                      <w:tcPr>
                        <w:tcW w:w="2520" w:type="dxa"/>
                      </w:tcPr>
                      <w:p>
                        <w:pPr>
                          <w:pStyle w:val="TableParagraph"/>
                          <w:rPr>
                            <w:sz w:val="18"/>
                          </w:rPr>
                        </w:pPr>
                        <w:r>
                          <w:rPr>
                            <w:rFonts w:ascii="Arial" w:eastAsia="Arial"/>
                            <w:w w:val="95"/>
                            <w:sz w:val="18"/>
                          </w:rPr>
                          <w:t>1</w:t>
                        </w:r>
                        <w:r>
                          <w:rPr>
                            <w:w w:val="95"/>
                            <w:sz w:val="18"/>
                          </w:rPr>
                          <w:t>、恶性肿瘤</w:t>
                        </w:r>
                      </w:p>
                    </w:tc>
                    <w:tc>
                      <w:tcPr>
                        <w:tcW w:w="2160" w:type="dxa"/>
                      </w:tcPr>
                      <w:p>
                        <w:pPr>
                          <w:pStyle w:val="TableParagraph"/>
                          <w:rPr>
                            <w:sz w:val="18"/>
                          </w:rPr>
                        </w:pPr>
                        <w:r>
                          <w:rPr>
                            <w:rFonts w:ascii="Arial" w:eastAsia="Arial"/>
                            <w:w w:val="95"/>
                            <w:sz w:val="18"/>
                          </w:rPr>
                          <w:t>1</w:t>
                        </w:r>
                        <w:r>
                          <w:rPr>
                            <w:w w:val="95"/>
                            <w:sz w:val="18"/>
                          </w:rPr>
                          <w:t>、良性脑肿瘤</w:t>
                        </w:r>
                      </w:p>
                    </w:tc>
                    <w:tc>
                      <w:tcPr>
                        <w:tcW w:w="2280" w:type="dxa"/>
                        <w:shd w:val="clear" w:color="auto" w:fill="FFFFFF"/>
                      </w:tcPr>
                      <w:p>
                        <w:pPr>
                          <w:pStyle w:val="TableParagraph"/>
                          <w:rPr>
                            <w:sz w:val="18"/>
                          </w:rPr>
                        </w:pPr>
                        <w:r>
                          <w:rPr>
                            <w:rFonts w:ascii="Arial" w:eastAsia="Arial"/>
                            <w:w w:val="95"/>
                            <w:sz w:val="18"/>
                          </w:rPr>
                          <w:t>1</w:t>
                        </w:r>
                        <w:r>
                          <w:rPr>
                            <w:w w:val="95"/>
                            <w:sz w:val="18"/>
                          </w:rPr>
                          <w:t>、急性心肌梗塞</w:t>
                        </w:r>
                      </w:p>
                    </w:tc>
                    <w:tc>
                      <w:tcPr>
                        <w:tcW w:w="2040" w:type="dxa"/>
                        <w:shd w:val="clear" w:color="auto" w:fill="FFFFFF"/>
                      </w:tcPr>
                      <w:p>
                        <w:pPr>
                          <w:pStyle w:val="TableParagraph"/>
                          <w:rPr>
                            <w:sz w:val="18"/>
                          </w:rPr>
                        </w:pPr>
                        <w:r>
                          <w:rPr>
                            <w:rFonts w:ascii="Arial" w:hAnsi="Arial" w:eastAsia="Arial"/>
                            <w:w w:val="95"/>
                            <w:sz w:val="18"/>
                          </w:rPr>
                          <w:t>1</w:t>
                        </w:r>
                        <w:r>
                          <w:rPr>
                            <w:w w:val="95"/>
                            <w:sz w:val="18"/>
                          </w:rPr>
                          <w:t>、严重Ⅲ度烧伤</w:t>
                        </w:r>
                      </w:p>
                    </w:tc>
                  </w:tr>
                  <w:tr>
                    <w:trPr>
                      <w:trHeight w:val="510" w:hRule="atLeast"/>
                    </w:trPr>
                    <w:tc>
                      <w:tcPr>
                        <w:tcW w:w="2520" w:type="dxa"/>
                        <w:shd w:val="clear" w:color="auto" w:fill="FFFFFF"/>
                      </w:tcPr>
                      <w:p>
                        <w:pPr>
                          <w:pStyle w:val="TableParagraph"/>
                          <w:spacing w:line="211" w:lineRule="exact"/>
                          <w:rPr>
                            <w:sz w:val="18"/>
                          </w:rPr>
                        </w:pPr>
                        <w:r>
                          <w:rPr>
                            <w:rFonts w:ascii="Arial" w:eastAsia="Arial"/>
                            <w:sz w:val="18"/>
                          </w:rPr>
                          <w:t>2</w:t>
                        </w:r>
                        <w:r>
                          <w:rPr>
                            <w:sz w:val="18"/>
                          </w:rPr>
                          <w:t>、重大器官移植术或造血干</w:t>
                        </w:r>
                      </w:p>
                      <w:p>
                        <w:pPr>
                          <w:pStyle w:val="TableParagraph"/>
                          <w:spacing w:line="229" w:lineRule="exact"/>
                          <w:rPr>
                            <w:sz w:val="18"/>
                          </w:rPr>
                        </w:pPr>
                        <w:r>
                          <w:rPr>
                            <w:sz w:val="18"/>
                          </w:rPr>
                          <w:t>细胞移植术</w:t>
                        </w:r>
                      </w:p>
                    </w:tc>
                    <w:tc>
                      <w:tcPr>
                        <w:tcW w:w="2160" w:type="dxa"/>
                      </w:tcPr>
                      <w:p>
                        <w:pPr>
                          <w:pStyle w:val="TableParagraph"/>
                          <w:spacing w:line="211" w:lineRule="exact"/>
                          <w:rPr>
                            <w:sz w:val="18"/>
                          </w:rPr>
                        </w:pPr>
                        <w:r>
                          <w:rPr>
                            <w:rFonts w:ascii="Arial" w:eastAsia="Arial"/>
                            <w:sz w:val="18"/>
                          </w:rPr>
                          <w:t>2</w:t>
                        </w:r>
                        <w:r>
                          <w:rPr>
                            <w:sz w:val="18"/>
                          </w:rPr>
                          <w:t>、脑炎后遗症或脑膜炎</w:t>
                        </w:r>
                      </w:p>
                      <w:p>
                        <w:pPr>
                          <w:pStyle w:val="TableParagraph"/>
                          <w:spacing w:line="229" w:lineRule="exact"/>
                          <w:rPr>
                            <w:sz w:val="18"/>
                          </w:rPr>
                        </w:pPr>
                        <w:r>
                          <w:rPr>
                            <w:sz w:val="18"/>
                          </w:rPr>
                          <w:t>后遗症</w:t>
                        </w:r>
                      </w:p>
                    </w:tc>
                    <w:tc>
                      <w:tcPr>
                        <w:tcW w:w="2280" w:type="dxa"/>
                        <w:shd w:val="clear" w:color="auto" w:fill="FFFFFF"/>
                      </w:tcPr>
                      <w:p>
                        <w:pPr>
                          <w:pStyle w:val="TableParagraph"/>
                          <w:spacing w:line="211" w:lineRule="exact"/>
                          <w:rPr>
                            <w:sz w:val="18"/>
                          </w:rPr>
                        </w:pPr>
                        <w:r>
                          <w:rPr>
                            <w:rFonts w:ascii="Arial" w:eastAsia="Arial"/>
                            <w:sz w:val="18"/>
                          </w:rPr>
                          <w:t>2 </w:t>
                        </w:r>
                        <w:r>
                          <w:rPr>
                            <w:sz w:val="18"/>
                          </w:rPr>
                          <w:t>、冠状动脉搭桥术（或</w:t>
                        </w:r>
                      </w:p>
                      <w:p>
                        <w:pPr>
                          <w:pStyle w:val="TableParagraph"/>
                          <w:spacing w:line="229" w:lineRule="exact"/>
                          <w:rPr>
                            <w:sz w:val="18"/>
                          </w:rPr>
                        </w:pPr>
                        <w:r>
                          <w:rPr>
                            <w:sz w:val="18"/>
                          </w:rPr>
                          <w:t>称冠状动脉旁路移植术）</w:t>
                        </w:r>
                      </w:p>
                    </w:tc>
                    <w:tc>
                      <w:tcPr>
                        <w:tcW w:w="2040" w:type="dxa"/>
                        <w:shd w:val="clear" w:color="auto" w:fill="FFFFFF"/>
                      </w:tcPr>
                      <w:p>
                        <w:pPr>
                          <w:pStyle w:val="TableParagraph"/>
                          <w:spacing w:line="205" w:lineRule="exact"/>
                          <w:rPr>
                            <w:sz w:val="18"/>
                          </w:rPr>
                        </w:pPr>
                        <w:r>
                          <w:rPr>
                            <w:sz w:val="18"/>
                          </w:rPr>
                          <w:t>2、双耳失聪－须三岁</w:t>
                        </w:r>
                      </w:p>
                      <w:p>
                        <w:pPr>
                          <w:pStyle w:val="TableParagraph"/>
                          <w:spacing w:line="240" w:lineRule="auto"/>
                          <w:rPr>
                            <w:sz w:val="18"/>
                          </w:rPr>
                        </w:pPr>
                        <w:r>
                          <w:rPr>
                            <w:sz w:val="18"/>
                          </w:rPr>
                          <w:t>后申请理赔</w:t>
                        </w:r>
                      </w:p>
                    </w:tc>
                  </w:tr>
                  <w:tr>
                    <w:trPr>
                      <w:trHeight w:val="508" w:hRule="atLeast"/>
                    </w:trPr>
                    <w:tc>
                      <w:tcPr>
                        <w:tcW w:w="2520" w:type="dxa"/>
                        <w:shd w:val="clear" w:color="auto" w:fill="FFFFFF"/>
                      </w:tcPr>
                      <w:p>
                        <w:pPr>
                          <w:pStyle w:val="TableParagraph"/>
                          <w:spacing w:line="210" w:lineRule="exact"/>
                          <w:rPr>
                            <w:sz w:val="18"/>
                          </w:rPr>
                        </w:pPr>
                        <w:r>
                          <w:rPr>
                            <w:rFonts w:ascii="Arial" w:eastAsia="Arial"/>
                            <w:sz w:val="18"/>
                          </w:rPr>
                          <w:t>3</w:t>
                        </w:r>
                        <w:r>
                          <w:rPr>
                            <w:sz w:val="18"/>
                          </w:rPr>
                          <w:t>、终末期肾病（或称慢性肾</w:t>
                        </w:r>
                      </w:p>
                      <w:p>
                        <w:pPr>
                          <w:pStyle w:val="TableParagraph"/>
                          <w:spacing w:line="228" w:lineRule="exact"/>
                          <w:rPr>
                            <w:sz w:val="18"/>
                          </w:rPr>
                        </w:pPr>
                        <w:r>
                          <w:rPr>
                            <w:sz w:val="18"/>
                          </w:rPr>
                          <w:t>功能衰竭尿毒症期）</w:t>
                        </w:r>
                      </w:p>
                    </w:tc>
                    <w:tc>
                      <w:tcPr>
                        <w:tcW w:w="2160" w:type="dxa"/>
                        <w:shd w:val="clear" w:color="auto" w:fill="FFFFFF"/>
                      </w:tcPr>
                      <w:p>
                        <w:pPr>
                          <w:pStyle w:val="TableParagraph"/>
                          <w:rPr>
                            <w:sz w:val="18"/>
                          </w:rPr>
                        </w:pPr>
                        <w:r>
                          <w:rPr>
                            <w:rFonts w:ascii="Arial" w:eastAsia="Arial"/>
                            <w:w w:val="95"/>
                            <w:sz w:val="18"/>
                          </w:rPr>
                          <w:t>3</w:t>
                        </w:r>
                        <w:r>
                          <w:rPr>
                            <w:w w:val="95"/>
                            <w:sz w:val="18"/>
                          </w:rPr>
                          <w:t>、严重帕金森病</w:t>
                        </w:r>
                      </w:p>
                    </w:tc>
                    <w:tc>
                      <w:tcPr>
                        <w:tcW w:w="2280" w:type="dxa"/>
                        <w:shd w:val="clear" w:color="auto" w:fill="FFFFFF"/>
                      </w:tcPr>
                      <w:p>
                        <w:pPr>
                          <w:pStyle w:val="TableParagraph"/>
                          <w:rPr>
                            <w:sz w:val="18"/>
                          </w:rPr>
                        </w:pPr>
                        <w:r>
                          <w:rPr>
                            <w:rFonts w:ascii="Arial" w:eastAsia="Arial"/>
                            <w:w w:val="95"/>
                            <w:sz w:val="18"/>
                          </w:rPr>
                          <w:t>3</w:t>
                        </w:r>
                        <w:r>
                          <w:rPr>
                            <w:w w:val="95"/>
                            <w:sz w:val="18"/>
                          </w:rPr>
                          <w:t>、心脏瓣膜手术</w:t>
                        </w:r>
                      </w:p>
                    </w:tc>
                    <w:tc>
                      <w:tcPr>
                        <w:tcW w:w="2040" w:type="dxa"/>
                        <w:shd w:val="clear" w:color="auto" w:fill="FFFFFF"/>
                      </w:tcPr>
                      <w:p>
                        <w:pPr>
                          <w:pStyle w:val="TableParagraph"/>
                          <w:spacing w:line="210" w:lineRule="exact"/>
                          <w:rPr>
                            <w:sz w:val="18"/>
                          </w:rPr>
                        </w:pPr>
                        <w:r>
                          <w:rPr>
                            <w:rFonts w:ascii="Arial" w:eastAsia="Arial"/>
                            <w:sz w:val="18"/>
                          </w:rPr>
                          <w:t>3</w:t>
                        </w:r>
                        <w:r>
                          <w:rPr>
                            <w:sz w:val="18"/>
                          </w:rPr>
                          <w:t>、双目失明－须三岁</w:t>
                        </w:r>
                      </w:p>
                      <w:p>
                        <w:pPr>
                          <w:pStyle w:val="TableParagraph"/>
                          <w:spacing w:line="228" w:lineRule="exact"/>
                          <w:rPr>
                            <w:sz w:val="18"/>
                          </w:rPr>
                        </w:pPr>
                        <w:r>
                          <w:rPr>
                            <w:sz w:val="18"/>
                          </w:rPr>
                          <w:t>后申请理赔</w:t>
                        </w:r>
                      </w:p>
                    </w:tc>
                  </w:tr>
                  <w:tr>
                    <w:trPr>
                      <w:trHeight w:val="256" w:hRule="atLeast"/>
                    </w:trPr>
                    <w:tc>
                      <w:tcPr>
                        <w:tcW w:w="2520" w:type="dxa"/>
                      </w:tcPr>
                      <w:p>
                        <w:pPr>
                          <w:pStyle w:val="TableParagraph"/>
                          <w:spacing w:line="220" w:lineRule="exact"/>
                          <w:rPr>
                            <w:sz w:val="18"/>
                          </w:rPr>
                        </w:pPr>
                        <w:r>
                          <w:rPr>
                            <w:rFonts w:ascii="Arial" w:eastAsia="Arial"/>
                            <w:w w:val="95"/>
                            <w:sz w:val="18"/>
                          </w:rPr>
                          <w:t>4</w:t>
                        </w:r>
                        <w:r>
                          <w:rPr>
                            <w:w w:val="95"/>
                            <w:sz w:val="18"/>
                          </w:rPr>
                          <w:t>、慢性肝功能衰竭失代偿期</w:t>
                        </w:r>
                      </w:p>
                    </w:tc>
                    <w:tc>
                      <w:tcPr>
                        <w:tcW w:w="2160" w:type="dxa"/>
                      </w:tcPr>
                      <w:p>
                        <w:pPr>
                          <w:pStyle w:val="TableParagraph"/>
                          <w:spacing w:line="220" w:lineRule="exact"/>
                          <w:rPr>
                            <w:sz w:val="18"/>
                          </w:rPr>
                        </w:pPr>
                        <w:r>
                          <w:rPr>
                            <w:rFonts w:ascii="Arial" w:eastAsia="Arial"/>
                            <w:w w:val="95"/>
                            <w:sz w:val="18"/>
                          </w:rPr>
                          <w:t>4</w:t>
                        </w:r>
                        <w:r>
                          <w:rPr>
                            <w:w w:val="95"/>
                            <w:sz w:val="18"/>
                          </w:rPr>
                          <w:t>、严重运动神经元病</w:t>
                        </w:r>
                      </w:p>
                    </w:tc>
                    <w:tc>
                      <w:tcPr>
                        <w:tcW w:w="2280" w:type="dxa"/>
                      </w:tcPr>
                      <w:p>
                        <w:pPr>
                          <w:pStyle w:val="TableParagraph"/>
                          <w:spacing w:line="220" w:lineRule="exact"/>
                          <w:rPr>
                            <w:sz w:val="18"/>
                          </w:rPr>
                        </w:pPr>
                        <w:r>
                          <w:rPr>
                            <w:rFonts w:ascii="Arial" w:eastAsia="Arial"/>
                            <w:w w:val="95"/>
                            <w:sz w:val="18"/>
                          </w:rPr>
                          <w:t>4</w:t>
                        </w:r>
                        <w:r>
                          <w:rPr>
                            <w:w w:val="95"/>
                            <w:sz w:val="18"/>
                          </w:rPr>
                          <w:t>、主动脉手术</w:t>
                        </w:r>
                      </w:p>
                    </w:tc>
                    <w:tc>
                      <w:tcPr>
                        <w:tcW w:w="2040" w:type="dxa"/>
                        <w:shd w:val="clear" w:color="auto" w:fill="FFFFFF"/>
                      </w:tcPr>
                      <w:p>
                        <w:pPr>
                          <w:pStyle w:val="TableParagraph"/>
                          <w:spacing w:line="220" w:lineRule="exact"/>
                          <w:rPr>
                            <w:sz w:val="18"/>
                          </w:rPr>
                        </w:pPr>
                        <w:r>
                          <w:rPr>
                            <w:rFonts w:ascii="Arial" w:eastAsia="Arial"/>
                            <w:w w:val="95"/>
                            <w:sz w:val="18"/>
                          </w:rPr>
                          <w:t>4</w:t>
                        </w:r>
                        <w:r>
                          <w:rPr>
                            <w:w w:val="95"/>
                            <w:sz w:val="18"/>
                          </w:rPr>
                          <w:t>、多个肢体缺失</w:t>
                        </w:r>
                      </w:p>
                    </w:tc>
                  </w:tr>
                  <w:tr>
                    <w:trPr>
                      <w:trHeight w:val="510" w:hRule="atLeast"/>
                    </w:trPr>
                    <w:tc>
                      <w:tcPr>
                        <w:tcW w:w="2520" w:type="dxa"/>
                        <w:shd w:val="clear" w:color="auto" w:fill="FFFFFF"/>
                      </w:tcPr>
                      <w:p>
                        <w:pPr>
                          <w:pStyle w:val="TableParagraph"/>
                          <w:spacing w:line="210" w:lineRule="exact"/>
                          <w:rPr>
                            <w:sz w:val="18"/>
                          </w:rPr>
                        </w:pPr>
                        <w:r>
                          <w:rPr>
                            <w:rFonts w:ascii="Arial" w:eastAsia="Arial"/>
                            <w:sz w:val="18"/>
                          </w:rPr>
                          <w:t>5</w:t>
                        </w:r>
                        <w:r>
                          <w:rPr>
                            <w:sz w:val="18"/>
                          </w:rPr>
                          <w:t>、系统性红斑狼疮－III 型</w:t>
                        </w:r>
                      </w:p>
                      <w:p>
                        <w:pPr>
                          <w:pStyle w:val="TableParagraph"/>
                          <w:spacing w:line="228" w:lineRule="exact"/>
                          <w:rPr>
                            <w:sz w:val="18"/>
                          </w:rPr>
                        </w:pPr>
                        <w:r>
                          <w:rPr>
                            <w:sz w:val="18"/>
                          </w:rPr>
                          <w:t>或以上狼疮性肾炎</w:t>
                        </w:r>
                      </w:p>
                    </w:tc>
                    <w:tc>
                      <w:tcPr>
                        <w:tcW w:w="2160" w:type="dxa"/>
                        <w:shd w:val="clear" w:color="auto" w:fill="FFFFFF"/>
                      </w:tcPr>
                      <w:p>
                        <w:pPr>
                          <w:pStyle w:val="TableParagraph"/>
                          <w:rPr>
                            <w:sz w:val="18"/>
                          </w:rPr>
                        </w:pPr>
                        <w:r>
                          <w:rPr>
                            <w:rFonts w:ascii="Arial" w:eastAsia="Arial"/>
                            <w:w w:val="95"/>
                            <w:sz w:val="18"/>
                          </w:rPr>
                          <w:t>5</w:t>
                        </w:r>
                        <w:r>
                          <w:rPr>
                            <w:w w:val="95"/>
                            <w:sz w:val="18"/>
                          </w:rPr>
                          <w:t>、多样性硬化</w:t>
                        </w:r>
                      </w:p>
                    </w:tc>
                    <w:tc>
                      <w:tcPr>
                        <w:tcW w:w="2280" w:type="dxa"/>
                        <w:shd w:val="clear" w:color="auto" w:fill="FFFFFF"/>
                      </w:tcPr>
                      <w:p>
                        <w:pPr>
                          <w:pStyle w:val="TableParagraph"/>
                          <w:spacing w:line="210" w:lineRule="exact"/>
                          <w:rPr>
                            <w:sz w:val="18"/>
                          </w:rPr>
                        </w:pPr>
                        <w:r>
                          <w:rPr>
                            <w:rFonts w:ascii="Arial" w:eastAsia="Arial"/>
                            <w:sz w:val="18"/>
                          </w:rPr>
                          <w:t>5 </w:t>
                        </w:r>
                        <w:r>
                          <w:rPr>
                            <w:sz w:val="18"/>
                          </w:rPr>
                          <w:t>、严重原发性肺动脉高</w:t>
                        </w:r>
                      </w:p>
                      <w:p>
                        <w:pPr>
                          <w:pStyle w:val="TableParagraph"/>
                          <w:spacing w:line="228" w:lineRule="exact"/>
                          <w:rPr>
                            <w:sz w:val="18"/>
                          </w:rPr>
                        </w:pPr>
                        <w:r>
                          <w:rPr>
                            <w:sz w:val="18"/>
                          </w:rPr>
                          <w:t>压</w:t>
                        </w:r>
                      </w:p>
                    </w:tc>
                    <w:tc>
                      <w:tcPr>
                        <w:tcW w:w="2040" w:type="dxa"/>
                        <w:tcBorders>
                          <w:bottom w:val="nil"/>
                        </w:tcBorders>
                        <w:shd w:val="clear" w:color="auto" w:fill="FFFFFF"/>
                      </w:tcPr>
                      <w:p>
                        <w:pPr>
                          <w:pStyle w:val="TableParagraph"/>
                          <w:rPr>
                            <w:sz w:val="18"/>
                          </w:rPr>
                        </w:pPr>
                        <w:r>
                          <w:rPr>
                            <w:rFonts w:ascii="Arial" w:eastAsia="Arial"/>
                            <w:w w:val="95"/>
                            <w:sz w:val="18"/>
                          </w:rPr>
                          <w:t>5</w:t>
                        </w:r>
                        <w:r>
                          <w:rPr>
                            <w:w w:val="95"/>
                            <w:sz w:val="18"/>
                          </w:rPr>
                          <w:t>、严重溃疡性结肠炎</w:t>
                        </w:r>
                      </w:p>
                    </w:tc>
                  </w:tr>
                  <w:tr>
                    <w:trPr>
                      <w:trHeight w:val="465" w:hRule="atLeast"/>
                    </w:trPr>
                    <w:tc>
                      <w:tcPr>
                        <w:tcW w:w="2520" w:type="dxa"/>
                        <w:shd w:val="clear" w:color="auto" w:fill="FFFFFF"/>
                      </w:tcPr>
                      <w:p>
                        <w:pPr>
                          <w:pStyle w:val="TableParagraph"/>
                          <w:spacing w:line="210" w:lineRule="exact"/>
                          <w:rPr>
                            <w:sz w:val="18"/>
                          </w:rPr>
                        </w:pPr>
                        <w:r>
                          <w:rPr>
                            <w:rFonts w:ascii="Arial" w:eastAsia="Arial"/>
                            <w:sz w:val="18"/>
                          </w:rPr>
                          <w:t>6</w:t>
                        </w:r>
                        <w:r>
                          <w:rPr>
                            <w:sz w:val="18"/>
                          </w:rPr>
                          <w:t>、I 型糖尿病或胰岛素依赖</w:t>
                        </w:r>
                      </w:p>
                      <w:p>
                        <w:pPr>
                          <w:pStyle w:val="TableParagraph"/>
                          <w:spacing w:line="228" w:lineRule="exact"/>
                          <w:rPr>
                            <w:sz w:val="18"/>
                          </w:rPr>
                        </w:pPr>
                        <w:r>
                          <w:rPr>
                            <w:sz w:val="18"/>
                          </w:rPr>
                          <w:t>型糖尿病</w:t>
                        </w:r>
                      </w:p>
                    </w:tc>
                    <w:tc>
                      <w:tcPr>
                        <w:tcW w:w="2160" w:type="dxa"/>
                        <w:shd w:val="clear" w:color="auto" w:fill="FFFFFF"/>
                      </w:tcPr>
                      <w:p>
                        <w:pPr>
                          <w:pStyle w:val="TableParagraph"/>
                          <w:rPr>
                            <w:sz w:val="18"/>
                          </w:rPr>
                        </w:pPr>
                        <w:r>
                          <w:rPr>
                            <w:rFonts w:ascii="Arial" w:eastAsia="Arial"/>
                            <w:w w:val="95"/>
                            <w:sz w:val="18"/>
                          </w:rPr>
                          <w:t>6</w:t>
                        </w:r>
                        <w:r>
                          <w:rPr>
                            <w:w w:val="95"/>
                            <w:sz w:val="18"/>
                          </w:rPr>
                          <w:t>、严重脑损伤</w:t>
                        </w:r>
                      </w:p>
                    </w:tc>
                    <w:tc>
                      <w:tcPr>
                        <w:tcW w:w="2280" w:type="dxa"/>
                        <w:shd w:val="clear" w:color="auto" w:fill="FFFFFF"/>
                      </w:tcPr>
                      <w:p>
                        <w:pPr>
                          <w:pStyle w:val="TableParagraph"/>
                          <w:rPr>
                            <w:sz w:val="18"/>
                          </w:rPr>
                        </w:pPr>
                        <w:r>
                          <w:rPr>
                            <w:rFonts w:ascii="Arial" w:eastAsia="Arial"/>
                            <w:w w:val="95"/>
                            <w:sz w:val="18"/>
                          </w:rPr>
                          <w:t>6</w:t>
                        </w:r>
                        <w:r>
                          <w:rPr>
                            <w:w w:val="95"/>
                            <w:sz w:val="18"/>
                          </w:rPr>
                          <w:t>、严重心肌病</w:t>
                        </w:r>
                      </w:p>
                    </w:tc>
                    <w:tc>
                      <w:tcPr>
                        <w:tcW w:w="2040" w:type="dxa"/>
                        <w:vMerge w:val="restart"/>
                        <w:tcBorders>
                          <w:top w:val="nil"/>
                        </w:tcBorders>
                      </w:tcPr>
                      <w:p>
                        <w:pPr>
                          <w:pStyle w:val="TableParagraph"/>
                          <w:spacing w:line="240" w:lineRule="auto"/>
                          <w:ind w:left="0"/>
                          <w:rPr>
                            <w:rFonts w:ascii="Times New Roman"/>
                            <w:sz w:val="18"/>
                          </w:rPr>
                        </w:pPr>
                      </w:p>
                    </w:tc>
                  </w:tr>
                  <w:tr>
                    <w:trPr>
                      <w:trHeight w:val="256" w:hRule="atLeast"/>
                    </w:trPr>
                    <w:tc>
                      <w:tcPr>
                        <w:tcW w:w="2520" w:type="dxa"/>
                      </w:tcPr>
                      <w:p>
                        <w:pPr>
                          <w:pStyle w:val="TableParagraph"/>
                          <w:rPr>
                            <w:sz w:val="18"/>
                          </w:rPr>
                        </w:pPr>
                        <w:r>
                          <w:rPr>
                            <w:rFonts w:ascii="Arial" w:eastAsia="Arial"/>
                            <w:w w:val="95"/>
                            <w:sz w:val="18"/>
                          </w:rPr>
                          <w:t>7</w:t>
                        </w:r>
                        <w:r>
                          <w:rPr>
                            <w:w w:val="95"/>
                            <w:sz w:val="18"/>
                          </w:rPr>
                          <w:t>、急性或亚急性重症肝炎</w:t>
                        </w:r>
                      </w:p>
                    </w:tc>
                    <w:tc>
                      <w:tcPr>
                        <w:tcW w:w="2160" w:type="dxa"/>
                        <w:shd w:val="clear" w:color="auto" w:fill="FFFFFF"/>
                      </w:tcPr>
                      <w:p>
                        <w:pPr>
                          <w:pStyle w:val="TableParagraph"/>
                          <w:rPr>
                            <w:sz w:val="18"/>
                          </w:rPr>
                        </w:pPr>
                        <w:r>
                          <w:rPr>
                            <w:rFonts w:ascii="Arial" w:eastAsia="Arial"/>
                            <w:w w:val="95"/>
                            <w:sz w:val="18"/>
                          </w:rPr>
                          <w:t>7</w:t>
                        </w:r>
                        <w:r>
                          <w:rPr>
                            <w:w w:val="95"/>
                            <w:sz w:val="18"/>
                          </w:rPr>
                          <w:t>、肌营养不良症</w:t>
                        </w:r>
                      </w:p>
                    </w:tc>
                    <w:tc>
                      <w:tcPr>
                        <w:tcW w:w="2280" w:type="dxa"/>
                        <w:shd w:val="clear" w:color="auto" w:fill="FFFFFF"/>
                      </w:tcPr>
                      <w:p>
                        <w:pPr>
                          <w:pStyle w:val="TableParagraph"/>
                          <w:rPr>
                            <w:sz w:val="18"/>
                          </w:rPr>
                        </w:pPr>
                        <w:r>
                          <w:rPr>
                            <w:rFonts w:ascii="Arial" w:eastAsia="Arial"/>
                            <w:w w:val="95"/>
                            <w:sz w:val="18"/>
                          </w:rPr>
                          <w:t>7</w:t>
                        </w:r>
                        <w:r>
                          <w:rPr>
                            <w:w w:val="95"/>
                            <w:sz w:val="18"/>
                          </w:rPr>
                          <w:t>、慢性呼吸功能衰竭</w:t>
                        </w:r>
                      </w:p>
                    </w:tc>
                    <w:tc>
                      <w:tcPr>
                        <w:tcW w:w="2040" w:type="dxa"/>
                        <w:vMerge/>
                        <w:tcBorders>
                          <w:top w:val="nil"/>
                        </w:tcBorders>
                      </w:tcPr>
                      <w:p>
                        <w:pPr>
                          <w:rPr>
                            <w:sz w:val="2"/>
                            <w:szCs w:val="2"/>
                          </w:rPr>
                        </w:pPr>
                      </w:p>
                    </w:tc>
                  </w:tr>
                  <w:tr>
                    <w:trPr>
                      <w:trHeight w:val="253" w:hRule="atLeast"/>
                    </w:trPr>
                    <w:tc>
                      <w:tcPr>
                        <w:tcW w:w="2520" w:type="dxa"/>
                      </w:tcPr>
                      <w:p>
                        <w:pPr>
                          <w:pStyle w:val="TableParagraph"/>
                          <w:rPr>
                            <w:sz w:val="18"/>
                          </w:rPr>
                        </w:pPr>
                        <w:r>
                          <w:rPr>
                            <w:rFonts w:ascii="Arial" w:eastAsia="Arial"/>
                            <w:w w:val="95"/>
                            <w:sz w:val="18"/>
                          </w:rPr>
                          <w:t>8</w:t>
                        </w:r>
                        <w:r>
                          <w:rPr>
                            <w:w w:val="95"/>
                            <w:sz w:val="18"/>
                          </w:rPr>
                          <w:t>、重型再生障碍性贫血</w:t>
                        </w:r>
                      </w:p>
                    </w:tc>
                    <w:tc>
                      <w:tcPr>
                        <w:tcW w:w="2160" w:type="dxa"/>
                      </w:tcPr>
                      <w:p>
                        <w:pPr>
                          <w:pStyle w:val="TableParagraph"/>
                          <w:rPr>
                            <w:sz w:val="18"/>
                          </w:rPr>
                        </w:pPr>
                        <w:r>
                          <w:rPr>
                            <w:rFonts w:ascii="Arial" w:eastAsia="Arial"/>
                            <w:w w:val="95"/>
                            <w:sz w:val="18"/>
                          </w:rPr>
                          <w:t>8</w:t>
                        </w:r>
                        <w:r>
                          <w:rPr>
                            <w:w w:val="95"/>
                            <w:sz w:val="18"/>
                          </w:rPr>
                          <w:t>、深度昏迷</w:t>
                        </w:r>
                      </w:p>
                    </w:tc>
                    <w:tc>
                      <w:tcPr>
                        <w:tcW w:w="2280" w:type="dxa"/>
                        <w:shd w:val="clear" w:color="auto" w:fill="FFFFFF"/>
                      </w:tcPr>
                      <w:p>
                        <w:pPr>
                          <w:pStyle w:val="TableParagraph"/>
                          <w:rPr>
                            <w:sz w:val="18"/>
                          </w:rPr>
                        </w:pPr>
                        <w:r>
                          <w:rPr>
                            <w:rFonts w:ascii="Arial" w:eastAsia="Arial"/>
                            <w:w w:val="95"/>
                            <w:sz w:val="18"/>
                          </w:rPr>
                          <w:t>8</w:t>
                        </w:r>
                        <w:r>
                          <w:rPr>
                            <w:w w:val="95"/>
                            <w:sz w:val="18"/>
                          </w:rPr>
                          <w:t>、脑中风后遗症</w:t>
                        </w:r>
                      </w:p>
                    </w:tc>
                    <w:tc>
                      <w:tcPr>
                        <w:tcW w:w="2040" w:type="dxa"/>
                        <w:vMerge/>
                        <w:tcBorders>
                          <w:top w:val="nil"/>
                        </w:tcBorders>
                      </w:tcPr>
                      <w:p>
                        <w:pPr>
                          <w:rPr>
                            <w:sz w:val="2"/>
                            <w:szCs w:val="2"/>
                          </w:rPr>
                        </w:pPr>
                      </w:p>
                    </w:tc>
                  </w:tr>
                  <w:tr>
                    <w:trPr>
                      <w:trHeight w:val="255" w:hRule="atLeast"/>
                    </w:trPr>
                    <w:tc>
                      <w:tcPr>
                        <w:tcW w:w="2520" w:type="dxa"/>
                        <w:vMerge w:val="restart"/>
                      </w:tcPr>
                      <w:p>
                        <w:pPr>
                          <w:pStyle w:val="TableParagraph"/>
                          <w:rPr>
                            <w:sz w:val="18"/>
                          </w:rPr>
                        </w:pPr>
                        <w:r>
                          <w:rPr>
                            <w:rFonts w:ascii="Arial" w:eastAsia="Arial"/>
                            <w:w w:val="95"/>
                            <w:sz w:val="18"/>
                          </w:rPr>
                          <w:t>9</w:t>
                        </w:r>
                        <w:r>
                          <w:rPr>
                            <w:w w:val="95"/>
                            <w:sz w:val="18"/>
                          </w:rPr>
                          <w:t>、严重急性坏死性胰腺炎</w:t>
                        </w:r>
                      </w:p>
                    </w:tc>
                    <w:tc>
                      <w:tcPr>
                        <w:tcW w:w="2160" w:type="dxa"/>
                        <w:vMerge w:val="restart"/>
                      </w:tcPr>
                      <w:p>
                        <w:pPr>
                          <w:pStyle w:val="TableParagraph"/>
                          <w:rPr>
                            <w:sz w:val="18"/>
                          </w:rPr>
                        </w:pPr>
                        <w:r>
                          <w:rPr>
                            <w:rFonts w:ascii="Arial" w:eastAsia="Arial"/>
                            <w:w w:val="95"/>
                            <w:sz w:val="18"/>
                          </w:rPr>
                          <w:t>9</w:t>
                        </w:r>
                        <w:r>
                          <w:rPr>
                            <w:w w:val="95"/>
                            <w:sz w:val="18"/>
                          </w:rPr>
                          <w:t>、植物人</w:t>
                        </w:r>
                      </w:p>
                    </w:tc>
                    <w:tc>
                      <w:tcPr>
                        <w:tcW w:w="2280" w:type="dxa"/>
                        <w:shd w:val="clear" w:color="auto" w:fill="FFFFFF"/>
                      </w:tcPr>
                      <w:p>
                        <w:pPr>
                          <w:pStyle w:val="TableParagraph"/>
                          <w:rPr>
                            <w:sz w:val="18"/>
                          </w:rPr>
                        </w:pPr>
                        <w:r>
                          <w:rPr>
                            <w:rFonts w:ascii="Arial" w:eastAsia="Arial"/>
                            <w:w w:val="95"/>
                            <w:sz w:val="18"/>
                          </w:rPr>
                          <w:t>9</w:t>
                        </w:r>
                        <w:r>
                          <w:rPr>
                            <w:w w:val="95"/>
                            <w:sz w:val="18"/>
                          </w:rPr>
                          <w:t>、严重阿尔茨海默病</w:t>
                        </w:r>
                      </w:p>
                    </w:tc>
                    <w:tc>
                      <w:tcPr>
                        <w:tcW w:w="2040" w:type="dxa"/>
                        <w:vMerge/>
                        <w:tcBorders>
                          <w:top w:val="nil"/>
                        </w:tcBorders>
                      </w:tcPr>
                      <w:p>
                        <w:pPr>
                          <w:rPr>
                            <w:sz w:val="2"/>
                            <w:szCs w:val="2"/>
                          </w:rPr>
                        </w:pPr>
                      </w:p>
                    </w:tc>
                  </w:tr>
                  <w:tr>
                    <w:trPr>
                      <w:trHeight w:val="466" w:hRule="atLeast"/>
                    </w:trPr>
                    <w:tc>
                      <w:tcPr>
                        <w:tcW w:w="2520" w:type="dxa"/>
                        <w:vMerge/>
                        <w:tcBorders>
                          <w:top w:val="nil"/>
                        </w:tcBorders>
                      </w:tcPr>
                      <w:p>
                        <w:pPr>
                          <w:rPr>
                            <w:sz w:val="2"/>
                            <w:szCs w:val="2"/>
                          </w:rPr>
                        </w:pPr>
                      </w:p>
                    </w:tc>
                    <w:tc>
                      <w:tcPr>
                        <w:tcW w:w="2160" w:type="dxa"/>
                        <w:vMerge/>
                        <w:tcBorders>
                          <w:top w:val="nil"/>
                        </w:tcBorders>
                      </w:tcPr>
                      <w:p>
                        <w:pPr>
                          <w:rPr>
                            <w:sz w:val="2"/>
                            <w:szCs w:val="2"/>
                          </w:rPr>
                        </w:pPr>
                      </w:p>
                    </w:tc>
                    <w:tc>
                      <w:tcPr>
                        <w:tcW w:w="2280" w:type="dxa"/>
                        <w:shd w:val="clear" w:color="auto" w:fill="FFFFFF"/>
                      </w:tcPr>
                      <w:p>
                        <w:pPr>
                          <w:pStyle w:val="TableParagraph"/>
                          <w:spacing w:line="211" w:lineRule="exact"/>
                          <w:rPr>
                            <w:sz w:val="18"/>
                          </w:rPr>
                        </w:pPr>
                        <w:r>
                          <w:rPr>
                            <w:rFonts w:ascii="Arial" w:eastAsia="Arial"/>
                            <w:sz w:val="18"/>
                          </w:rPr>
                          <w:t>10</w:t>
                        </w:r>
                        <w:r>
                          <w:rPr>
                            <w:sz w:val="18"/>
                          </w:rPr>
                          <w:t>、语言能力丧失－须三</w:t>
                        </w:r>
                      </w:p>
                      <w:p>
                        <w:pPr>
                          <w:pStyle w:val="TableParagraph"/>
                          <w:spacing w:line="228" w:lineRule="exact"/>
                          <w:rPr>
                            <w:sz w:val="18"/>
                          </w:rPr>
                        </w:pPr>
                        <w:r>
                          <w:rPr>
                            <w:sz w:val="18"/>
                          </w:rPr>
                          <w:t>岁后申请理赔</w:t>
                        </w:r>
                      </w:p>
                    </w:tc>
                    <w:tc>
                      <w:tcPr>
                        <w:tcW w:w="2040" w:type="dxa"/>
                        <w:vMerge/>
                        <w:tcBorders>
                          <w:top w:val="nil"/>
                        </w:tcBorders>
                      </w:tcPr>
                      <w:p>
                        <w:pPr>
                          <w:rPr>
                            <w:sz w:val="2"/>
                            <w:szCs w:val="2"/>
                          </w:rPr>
                        </w:pPr>
                      </w:p>
                    </w:tc>
                  </w:tr>
                  <w:tr>
                    <w:trPr>
                      <w:trHeight w:val="256" w:hRule="atLeast"/>
                    </w:trPr>
                    <w:tc>
                      <w:tcPr>
                        <w:tcW w:w="2520" w:type="dxa"/>
                        <w:vMerge/>
                        <w:tcBorders>
                          <w:top w:val="nil"/>
                        </w:tcBorders>
                      </w:tcPr>
                      <w:p>
                        <w:pPr>
                          <w:rPr>
                            <w:sz w:val="2"/>
                            <w:szCs w:val="2"/>
                          </w:rPr>
                        </w:pPr>
                      </w:p>
                    </w:tc>
                    <w:tc>
                      <w:tcPr>
                        <w:tcW w:w="2160" w:type="dxa"/>
                        <w:vMerge/>
                        <w:tcBorders>
                          <w:top w:val="nil"/>
                        </w:tcBorders>
                      </w:tcPr>
                      <w:p>
                        <w:pPr>
                          <w:rPr>
                            <w:sz w:val="2"/>
                            <w:szCs w:val="2"/>
                          </w:rPr>
                        </w:pPr>
                      </w:p>
                    </w:tc>
                    <w:tc>
                      <w:tcPr>
                        <w:tcW w:w="2280" w:type="dxa"/>
                      </w:tcPr>
                      <w:p>
                        <w:pPr>
                          <w:pStyle w:val="TableParagraph"/>
                          <w:rPr>
                            <w:sz w:val="18"/>
                          </w:rPr>
                        </w:pPr>
                        <w:r>
                          <w:rPr>
                            <w:rFonts w:ascii="Arial" w:eastAsia="Arial"/>
                            <w:w w:val="95"/>
                            <w:sz w:val="18"/>
                          </w:rPr>
                          <w:t>11</w:t>
                        </w:r>
                        <w:r>
                          <w:rPr>
                            <w:w w:val="95"/>
                            <w:sz w:val="18"/>
                          </w:rPr>
                          <w:t>、瘫痪</w:t>
                        </w:r>
                      </w:p>
                    </w:tc>
                    <w:tc>
                      <w:tcPr>
                        <w:tcW w:w="2040" w:type="dxa"/>
                        <w:vMerge/>
                        <w:tcBorders>
                          <w:top w:val="nil"/>
                        </w:tcBorders>
                      </w:tcPr>
                      <w:p>
                        <w:pPr>
                          <w:rPr>
                            <w:sz w:val="2"/>
                            <w:szCs w:val="2"/>
                          </w:rPr>
                        </w:pPr>
                      </w:p>
                    </w:tc>
                  </w:tr>
                </w:tbl>
                <w:p>
                  <w:pPr>
                    <w:pStyle w:val="BodyText"/>
                    <w:spacing w:before="0"/>
                    <w:ind w:left="0"/>
                  </w:pPr>
                </w:p>
              </w:txbxContent>
            </v:textbox>
            <w10:wrap type="none"/>
          </v:shape>
        </w:pict>
      </w:r>
      <w:r>
        <w:rPr/>
        <w:t>七、重大疾病组：本合同的第二类重大疾病分成以下四组：</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2"/>
        <w:ind w:left="0"/>
        <w:rPr>
          <w:sz w:val="13"/>
        </w:rPr>
      </w:pPr>
    </w:p>
    <w:p>
      <w:pPr>
        <w:pStyle w:val="BodyText"/>
        <w:spacing w:line="283" w:lineRule="auto" w:before="0"/>
        <w:ind w:left="100" w:right="120" w:firstLine="360"/>
      </w:pPr>
      <w:r>
        <w:rPr/>
        <w:t>八、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line="285" w:lineRule="auto" w:before="12"/>
        <w:ind w:right="3614"/>
      </w:pPr>
      <w:r>
        <w:rPr/>
        <w:t>相当于 Binet 分期方案A 期程度的慢性淋巴细胞白血病不在保障范围内。九、全残：指被保险人在本合同有效期内，发生下列情况之一者，</w:t>
      </w:r>
    </w:p>
    <w:p>
      <w:pPr>
        <w:pStyle w:val="ListParagraph"/>
        <w:numPr>
          <w:ilvl w:val="0"/>
          <w:numId w:val="1"/>
        </w:numPr>
        <w:tabs>
          <w:tab w:pos="1003" w:val="left" w:leader="none"/>
        </w:tabs>
        <w:spacing w:line="240" w:lineRule="auto" w:before="10" w:after="0"/>
        <w:ind w:left="100" w:right="0" w:firstLine="360"/>
        <w:jc w:val="left"/>
        <w:rPr>
          <w:sz w:val="18"/>
        </w:rPr>
      </w:pPr>
      <w:r>
        <w:rPr>
          <w:sz w:val="18"/>
        </w:rPr>
        <w:t>双目永久完全失明的</w:t>
      </w:r>
      <w:r>
        <w:rPr>
          <w:spacing w:val="-3"/>
          <w:sz w:val="18"/>
        </w:rPr>
        <w:t>（</w:t>
      </w:r>
      <w:r>
        <w:rPr>
          <w:spacing w:val="-22"/>
          <w:sz w:val="18"/>
        </w:rPr>
        <w:t>注 </w:t>
      </w:r>
      <w:r>
        <w:rPr>
          <w:sz w:val="18"/>
        </w:rPr>
        <w:t>1）；</w:t>
      </w:r>
    </w:p>
    <w:p>
      <w:pPr>
        <w:pStyle w:val="ListParagraph"/>
        <w:numPr>
          <w:ilvl w:val="0"/>
          <w:numId w:val="1"/>
        </w:numPr>
        <w:tabs>
          <w:tab w:pos="1003" w:val="left" w:leader="none"/>
        </w:tabs>
        <w:spacing w:line="240" w:lineRule="auto" w:before="42" w:after="0"/>
        <w:ind w:left="1002" w:right="0" w:hanging="542"/>
        <w:jc w:val="left"/>
        <w:rPr>
          <w:sz w:val="18"/>
        </w:rPr>
      </w:pPr>
      <w:r>
        <w:rPr>
          <w:spacing w:val="-1"/>
          <w:sz w:val="18"/>
        </w:rPr>
        <w:t>两上肢腕关节以上或两下肢踝关节以上缺失的；</w:t>
      </w:r>
    </w:p>
    <w:p>
      <w:pPr>
        <w:pStyle w:val="ListParagraph"/>
        <w:numPr>
          <w:ilvl w:val="0"/>
          <w:numId w:val="1"/>
        </w:numPr>
        <w:tabs>
          <w:tab w:pos="1003" w:val="left" w:leader="none"/>
        </w:tabs>
        <w:spacing w:line="240" w:lineRule="auto" w:before="45" w:after="0"/>
        <w:ind w:left="1002" w:right="0" w:hanging="542"/>
        <w:jc w:val="left"/>
        <w:rPr>
          <w:sz w:val="18"/>
        </w:rPr>
      </w:pPr>
      <w:r>
        <w:rPr>
          <w:spacing w:val="-1"/>
          <w:sz w:val="18"/>
        </w:rPr>
        <w:t>一上肢腕关节以上及一下肢踝关节以上缺失的；</w:t>
      </w:r>
    </w:p>
    <w:p>
      <w:pPr>
        <w:pStyle w:val="BodyText"/>
        <w:spacing w:before="0"/>
        <w:ind w:left="0"/>
        <w:rPr>
          <w:sz w:val="20"/>
        </w:rPr>
      </w:pPr>
    </w:p>
    <w:p>
      <w:pPr>
        <w:pStyle w:val="BodyText"/>
        <w:spacing w:before="0"/>
        <w:ind w:left="0"/>
        <w:rPr>
          <w:sz w:val="20"/>
        </w:rPr>
      </w:pPr>
    </w:p>
    <w:p>
      <w:pPr>
        <w:tabs>
          <w:tab w:pos="5147" w:val="right" w:leader="none"/>
        </w:tabs>
        <w:spacing w:before="17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12</w:t>
      </w:r>
    </w:p>
    <w:p>
      <w:pPr>
        <w:spacing w:after="0"/>
        <w:jc w:val="left"/>
        <w:rPr>
          <w:sz w:val="20"/>
        </w:rPr>
        <w:sectPr>
          <w:pgSz w:w="11910" w:h="16840"/>
          <w:pgMar w:top="1020" w:bottom="280" w:left="980" w:right="960"/>
        </w:sectPr>
      </w:pPr>
    </w:p>
    <w:p>
      <w:pPr>
        <w:pStyle w:val="ListParagraph"/>
        <w:numPr>
          <w:ilvl w:val="0"/>
          <w:numId w:val="1"/>
        </w:numPr>
        <w:tabs>
          <w:tab w:pos="1003" w:val="left" w:leader="none"/>
        </w:tabs>
        <w:spacing w:line="240" w:lineRule="auto" w:before="16" w:after="0"/>
        <w:ind w:left="100" w:right="0" w:firstLine="360"/>
        <w:jc w:val="left"/>
        <w:rPr>
          <w:sz w:val="18"/>
        </w:rPr>
      </w:pPr>
      <w:r>
        <w:rPr/>
        <w:pict>
          <v:group style="position:absolute;margin-left:0pt;margin-top:0pt;width:595.3pt;height:832.8pt;mso-position-horizontal-relative:page;mso-position-vertical-relative:page;z-index:-21352"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spacing w:val="-1"/>
          <w:sz w:val="18"/>
        </w:rPr>
        <w:t>一目永久完全失明及一上肢腕关节以上缺失的；</w:t>
      </w:r>
    </w:p>
    <w:p>
      <w:pPr>
        <w:pStyle w:val="ListParagraph"/>
        <w:numPr>
          <w:ilvl w:val="0"/>
          <w:numId w:val="1"/>
        </w:numPr>
        <w:tabs>
          <w:tab w:pos="1003" w:val="left" w:leader="none"/>
        </w:tabs>
        <w:spacing w:line="240" w:lineRule="auto" w:before="45" w:after="0"/>
        <w:ind w:left="1002" w:right="0" w:hanging="542"/>
        <w:jc w:val="left"/>
        <w:rPr>
          <w:sz w:val="18"/>
        </w:rPr>
      </w:pPr>
      <w:r>
        <w:rPr>
          <w:spacing w:val="-1"/>
          <w:sz w:val="18"/>
        </w:rPr>
        <w:t>一目永久完全失明及一下肢踝关节以上缺失的；</w:t>
      </w:r>
    </w:p>
    <w:p>
      <w:pPr>
        <w:pStyle w:val="ListParagraph"/>
        <w:numPr>
          <w:ilvl w:val="0"/>
          <w:numId w:val="1"/>
        </w:numPr>
        <w:tabs>
          <w:tab w:pos="1003" w:val="left" w:leader="none"/>
        </w:tabs>
        <w:spacing w:line="240" w:lineRule="auto" w:before="43" w:after="0"/>
        <w:ind w:left="1002" w:right="0" w:hanging="542"/>
        <w:jc w:val="left"/>
        <w:rPr>
          <w:sz w:val="18"/>
        </w:rPr>
      </w:pPr>
      <w:r>
        <w:rPr>
          <w:spacing w:val="-1"/>
          <w:sz w:val="18"/>
        </w:rPr>
        <w:t>四肢关节机能永久完全丧失的</w:t>
      </w:r>
      <w:r>
        <w:rPr>
          <w:sz w:val="18"/>
        </w:rPr>
        <w:t>（</w:t>
      </w:r>
      <w:r>
        <w:rPr>
          <w:spacing w:val="-22"/>
          <w:sz w:val="18"/>
        </w:rPr>
        <w:t>注 </w:t>
      </w:r>
      <w:r>
        <w:rPr>
          <w:sz w:val="18"/>
        </w:rPr>
        <w:t>2）；</w:t>
      </w:r>
    </w:p>
    <w:p>
      <w:pPr>
        <w:pStyle w:val="ListParagraph"/>
        <w:numPr>
          <w:ilvl w:val="0"/>
          <w:numId w:val="1"/>
        </w:numPr>
        <w:tabs>
          <w:tab w:pos="1004" w:val="left" w:leader="none"/>
        </w:tabs>
        <w:spacing w:line="240" w:lineRule="auto" w:before="45" w:after="0"/>
        <w:ind w:left="1003" w:right="0" w:hanging="543"/>
        <w:jc w:val="left"/>
        <w:rPr>
          <w:sz w:val="18"/>
        </w:rPr>
      </w:pPr>
      <w:r>
        <w:rPr>
          <w:spacing w:val="-1"/>
          <w:sz w:val="18"/>
        </w:rPr>
        <w:t>咀嚼、吞咽机能永久完全丧失的</w:t>
      </w:r>
      <w:r>
        <w:rPr>
          <w:sz w:val="18"/>
        </w:rPr>
        <w:t>（</w:t>
      </w:r>
      <w:r>
        <w:rPr>
          <w:spacing w:val="-22"/>
          <w:sz w:val="18"/>
        </w:rPr>
        <w:t>注 </w:t>
      </w:r>
      <w:r>
        <w:rPr>
          <w:sz w:val="18"/>
        </w:rPr>
        <w:t>3）；</w:t>
      </w:r>
    </w:p>
    <w:p>
      <w:pPr>
        <w:pStyle w:val="ListParagraph"/>
        <w:numPr>
          <w:ilvl w:val="0"/>
          <w:numId w:val="1"/>
        </w:numPr>
        <w:tabs>
          <w:tab w:pos="1004" w:val="left" w:leader="none"/>
        </w:tabs>
        <w:spacing w:line="285" w:lineRule="auto" w:before="45" w:after="0"/>
        <w:ind w:left="100" w:right="119"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before="9"/>
      </w:pPr>
      <w:r>
        <w:rPr/>
        <w:t>注：（1） 失明包括眼球缺失或摘除、或不能辨别明暗、或仅能辨别眼前手动者。最佳矫正视力低于国际标准视力表</w:t>
      </w:r>
    </w:p>
    <w:p>
      <w:pPr>
        <w:pStyle w:val="BodyText"/>
        <w:ind w:left="100"/>
      </w:pPr>
      <w:r>
        <w:rPr/>
        <w:t>0.02，或视野半径小于 5 度，并由有资格的眼科医师出具医疗诊断证明。</w:t>
      </w:r>
    </w:p>
    <w:p>
      <w:pPr>
        <w:pStyle w:val="ListParagraph"/>
        <w:numPr>
          <w:ilvl w:val="0"/>
          <w:numId w:val="2"/>
        </w:numPr>
        <w:tabs>
          <w:tab w:pos="1004" w:val="left" w:leader="none"/>
        </w:tabs>
        <w:spacing w:line="240" w:lineRule="auto" w:before="45" w:after="0"/>
        <w:ind w:left="101" w:right="0" w:firstLine="359"/>
        <w:jc w:val="left"/>
        <w:rPr>
          <w:sz w:val="18"/>
        </w:rPr>
      </w:pPr>
      <w:r>
        <w:rPr>
          <w:spacing w:val="-1"/>
          <w:sz w:val="18"/>
        </w:rPr>
        <w:t>关节机能的丧失系指关节永久完全僵硬、或麻痹、或关节不能随意识活动。</w:t>
      </w:r>
    </w:p>
    <w:p>
      <w:pPr>
        <w:pStyle w:val="ListParagraph"/>
        <w:numPr>
          <w:ilvl w:val="0"/>
          <w:numId w:val="2"/>
        </w:numPr>
        <w:tabs>
          <w:tab w:pos="1004" w:val="left" w:leader="none"/>
        </w:tabs>
        <w:spacing w:line="285" w:lineRule="auto" w:before="43" w:after="0"/>
        <w:ind w:left="101" w:right="119" w:firstLine="359"/>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
        </w:numPr>
        <w:tabs>
          <w:tab w:pos="1004" w:val="left" w:leader="none"/>
        </w:tabs>
        <w:spacing w:line="285" w:lineRule="auto" w:before="11" w:after="0"/>
        <w:ind w:left="101" w:right="119"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8"/>
        <w:ind w:left="101" w:right="119" w:firstLine="360"/>
      </w:pPr>
      <w:r>
        <w:rPr/>
        <w:t>所谓永久完全系指自以上情况发生之日起经过一百八十天的治疗，机能仍然完全丧失，但眼球摘除等明显无法复原之情况，不在此限。</w:t>
      </w:r>
    </w:p>
    <w:p>
      <w:pPr>
        <w:pStyle w:val="BodyText"/>
        <w:spacing w:before="10"/>
        <w:ind w:left="461"/>
      </w:pPr>
      <w:r>
        <w:rPr/>
        <w:t>十、六项基本日常生活活动</w:t>
      </w:r>
    </w:p>
    <w:p>
      <w:pPr>
        <w:pStyle w:val="BodyText"/>
        <w:ind w:left="461"/>
      </w:pPr>
      <w:r>
        <w:rPr/>
        <w:t>（1）穿衣：自己能够穿衣及脱衣；</w:t>
      </w:r>
    </w:p>
    <w:p>
      <w:pPr>
        <w:pStyle w:val="BodyText"/>
        <w:spacing w:before="43"/>
        <w:ind w:left="461"/>
      </w:pPr>
      <w:r>
        <w:rPr/>
        <w:t>（2）移动：自己从一个房间到另一个房间；</w:t>
      </w:r>
    </w:p>
    <w:p>
      <w:pPr>
        <w:pStyle w:val="BodyText"/>
        <w:ind w:left="461"/>
      </w:pPr>
      <w:r>
        <w:rPr/>
        <w:t>（3）行动：自己上下床或上下轮椅；</w:t>
      </w:r>
    </w:p>
    <w:p>
      <w:pPr>
        <w:pStyle w:val="BodyText"/>
        <w:ind w:left="461"/>
      </w:pPr>
      <w:r>
        <w:rPr/>
        <w:t>（4）如厕：自己控制进行大小便；</w:t>
      </w:r>
    </w:p>
    <w:p>
      <w:pPr>
        <w:pStyle w:val="BodyText"/>
        <w:spacing w:before="43"/>
        <w:ind w:left="461"/>
      </w:pPr>
      <w:r>
        <w:rPr/>
        <w:t>（5）进食：自己从已准备好的碗或碟中取食物放入口中；</w:t>
      </w:r>
    </w:p>
    <w:p>
      <w:pPr>
        <w:pStyle w:val="BodyText"/>
        <w:ind w:left="461"/>
      </w:pPr>
      <w:r>
        <w:rPr/>
        <w:t>（6）洗澡：自己进行淋浴或盆浴。</w:t>
      </w:r>
    </w:p>
    <w:p>
      <w:pPr>
        <w:pStyle w:val="BodyText"/>
        <w:spacing w:line="285" w:lineRule="auto" w:before="44"/>
        <w:ind w:left="100" w:right="115" w:firstLine="360"/>
        <w:jc w:val="both"/>
      </w:pPr>
      <w:r>
        <w:rPr/>
        <w:t>十一、老年长期护理保险金给付日：首个老年长期护理保险金给付日为自主生活能力完全丧失状态认定后的下一个</w:t>
      </w:r>
      <w:r>
        <w:rPr>
          <w:b/>
        </w:rPr>
        <w:t>保单月度对应日</w:t>
      </w:r>
      <w:r>
        <w:rPr/>
        <w:t>（释义三十三）（若该认定日与保单月度对应日为同一日，则首个老年长期护理保险金给付日为该认定日）；以后的老年长期护理保险金给付日为当月保单月度对应日。</w:t>
      </w:r>
    </w:p>
    <w:p>
      <w:pPr>
        <w:pStyle w:val="BodyText"/>
        <w:spacing w:line="285" w:lineRule="auto" w:before="10"/>
        <w:ind w:left="100" w:right="119" w:firstLine="360"/>
        <w:jc w:val="both"/>
      </w:pPr>
      <w:r>
        <w:rPr/>
        <w:t>十二、疾病终末期阶段：指被保险人达到疾病的终末期状态。疾病已经无法以现有的医疗技术治疗或缓解并且将导致被保险人在未来六个月内死亡。在患者及其家属的要求和医生的同意下一切积极治疗已被放弃，所有治疗措施仅以减轻患者痛苦为目的。</w:t>
      </w:r>
    </w:p>
    <w:p>
      <w:pPr>
        <w:pStyle w:val="BodyText"/>
        <w:spacing w:line="285" w:lineRule="auto" w:before="10"/>
        <w:ind w:left="100" w:right="119" w:firstLine="360"/>
        <w:jc w:val="both"/>
      </w:pPr>
      <w:r>
        <w:rPr/>
        <w:t>十三、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10"/>
        <w:ind w:left="100" w:right="119" w:firstLine="360"/>
        <w:jc w:val="both"/>
      </w:pPr>
      <w:r>
        <w:rPr/>
        <w:t>十四、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0"/>
        <w:ind w:left="100" w:right="120" w:firstLine="360"/>
      </w:pPr>
      <w:r>
        <w:rPr/>
        <w:t>十五、酒后驾驶：指经检测或鉴定，发生事故时车辆驾驶人员每百毫升血液中的酒精含量达到或超过一定的标准，公安机关交通管理部门依据《道路交通安全法》的规定认定为饮酒后驾驶或醉酒后驾驶。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pPr>
      <w:r>
        <w:rPr/>
        <w:t>十六、无合法有效驾驶证驾驶：指下列情形之一，</w:t>
      </w:r>
    </w:p>
    <w:p>
      <w:pPr>
        <w:pStyle w:val="BodyText"/>
        <w:spacing w:before="42"/>
      </w:pPr>
      <w:r>
        <w:rPr/>
        <w:t>（1）没有取得驾驶资格；</w:t>
      </w:r>
    </w:p>
    <w:p>
      <w:pPr>
        <w:pStyle w:val="BodyText"/>
      </w:pPr>
      <w:r>
        <w:rPr/>
        <w:t>（2）驾驶与驾驶证准驾车型不相符合的车辆；</w:t>
      </w:r>
    </w:p>
    <w:p>
      <w:pPr>
        <w:pStyle w:val="BodyText"/>
      </w:pPr>
      <w:r>
        <w:rPr/>
        <w:t>（3）持审验不合格的驾驶证驾驶；</w:t>
      </w:r>
    </w:p>
    <w:p>
      <w:pPr>
        <w:pStyle w:val="BodyText"/>
        <w:spacing w:line="283" w:lineRule="auto"/>
        <w:ind w:right="2575"/>
      </w:pPr>
      <w:r>
        <w:rPr/>
        <w:t>（4）持学习驾驶证学习驾车时，无教练员随车指导，或不按指定时间、路线学习驾车。十七、无有效行驶证：指下列情形之一，</w:t>
      </w:r>
    </w:p>
    <w:p>
      <w:pPr>
        <w:pStyle w:val="BodyText"/>
        <w:spacing w:before="13"/>
      </w:pPr>
      <w:r>
        <w:rPr/>
        <w:t>（1）机动车被依法注销登记的；</w:t>
      </w:r>
    </w:p>
    <w:p>
      <w:pPr>
        <w:pStyle w:val="BodyText"/>
      </w:pPr>
      <w:r>
        <w:rPr/>
        <w:t>（2）未依法按时进行或通过机动车安全技术检验。</w:t>
      </w:r>
    </w:p>
    <w:p>
      <w:pPr>
        <w:pStyle w:val="BodyText"/>
        <w:spacing w:line="285" w:lineRule="auto" w:before="42"/>
        <w:ind w:left="100" w:right="105" w:firstLine="359"/>
      </w:pPr>
      <w:r>
        <w:rPr/>
        <w:t>十八、现金价值：指保险单所具有的价值，通常体现为解除合同时，根据精算原理计算的，由本公司退还的那部分金额。</w:t>
      </w:r>
    </w:p>
    <w:p>
      <w:pPr>
        <w:pStyle w:val="BodyText"/>
        <w:spacing w:before="10"/>
      </w:pPr>
      <w:r>
        <w:rPr/>
        <w:t>十九、遗传性疾病</w:t>
      </w:r>
    </w:p>
    <w:p>
      <w:pPr>
        <w:pStyle w:val="BodyText"/>
        <w:spacing w:line="283" w:lineRule="auto"/>
        <w:ind w:left="100" w:right="120" w:firstLine="360"/>
      </w:pPr>
      <w:r>
        <w:rPr/>
        <w:t>指生殖细胞或受精卵的遗传物质（染色体和基因）发生突变或畸变所引起的疾病，通常具有由亲代传至后代的垂直传递的特征。</w:t>
      </w:r>
    </w:p>
    <w:p>
      <w:pPr>
        <w:pStyle w:val="BodyText"/>
        <w:spacing w:before="13"/>
      </w:pPr>
      <w:r>
        <w:rPr/>
        <w:t>二十、先天性畸形、变形或染色体异常</w:t>
      </w:r>
    </w:p>
    <w:p>
      <w:pPr>
        <w:pStyle w:val="BodyText"/>
        <w:spacing w:before="0"/>
        <w:ind w:left="0"/>
        <w:rPr>
          <w:sz w:val="20"/>
        </w:rPr>
      </w:pPr>
    </w:p>
    <w:p>
      <w:pPr>
        <w:pStyle w:val="BodyText"/>
        <w:spacing w:before="2"/>
        <w:ind w:left="0"/>
        <w:rPr>
          <w:sz w:val="17"/>
        </w:rPr>
      </w:pPr>
    </w:p>
    <w:p>
      <w:pPr>
        <w:tabs>
          <w:tab w:pos="5147"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13</w:t>
      </w:r>
    </w:p>
    <w:p>
      <w:pPr>
        <w:spacing w:after="0"/>
        <w:jc w:val="left"/>
        <w:rPr>
          <w:sz w:val="20"/>
        </w:rPr>
        <w:sectPr>
          <w:pgSz w:w="11910" w:h="16840"/>
          <w:pgMar w:top="1020" w:bottom="280" w:left="980" w:right="960"/>
        </w:sectPr>
      </w:pPr>
    </w:p>
    <w:p>
      <w:pPr>
        <w:pStyle w:val="BodyText"/>
        <w:spacing w:line="285" w:lineRule="auto" w:before="16"/>
        <w:ind w:left="100" w:right="120" w:firstLine="360"/>
      </w:pPr>
      <w:r>
        <w:rPr/>
        <w:pict>
          <v:group style="position:absolute;margin-left:0pt;margin-top:0pt;width:595.3pt;height:832.8pt;mso-position-horizontal-relative:page;mso-position-vertical-relative:page;z-index:-21328"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8"/>
      </w:pPr>
      <w:r>
        <w:rPr/>
        <w:t>二十一、感染艾滋病病毒或患艾滋病</w:t>
      </w:r>
    </w:p>
    <w:p>
      <w:pPr>
        <w:pStyle w:val="BodyText"/>
        <w:spacing w:line="285" w:lineRule="auto" w:before="44"/>
        <w:ind w:left="100" w:right="118"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8"/>
      </w:pPr>
      <w:r>
        <w:rPr/>
        <w:t>二十二、利息：本合同所指的利息均按借款利率计算。</w:t>
      </w:r>
    </w:p>
    <w:p>
      <w:pPr>
        <w:pStyle w:val="BodyText"/>
        <w:spacing w:line="285" w:lineRule="auto"/>
        <w:ind w:left="100" w:right="105" w:firstLine="360"/>
      </w:pPr>
      <w:r>
        <w:rPr/>
        <w:t>二十三、犹豫期：指从投保人收到本合同并书面签收起的十日（保险监督管理机构对犹豫期日数另有规定的，从其规定）。</w:t>
      </w:r>
    </w:p>
    <w:p>
      <w:pPr>
        <w:pStyle w:val="BodyText"/>
        <w:spacing w:before="8"/>
      </w:pPr>
      <w:r>
        <w:rPr/>
        <w:t>二十四、医院：指符合下列所有条件的机构，</w:t>
      </w:r>
    </w:p>
    <w:p>
      <w:pPr>
        <w:pStyle w:val="BodyText"/>
        <w:spacing w:before="44"/>
      </w:pPr>
      <w:r>
        <w:rPr/>
        <w:t>（1）拥有合法经营执照；</w:t>
      </w:r>
    </w:p>
    <w:p>
      <w:pPr>
        <w:pStyle w:val="BodyText"/>
        <w:spacing w:before="44"/>
      </w:pPr>
      <w:r>
        <w:rPr/>
        <w:t>（2）设立的主要目的为向受伤者和患病者提供留院治疗和护理服务；</w:t>
      </w:r>
    </w:p>
    <w:p>
      <w:pPr>
        <w:pStyle w:val="BodyText"/>
        <w:spacing w:before="44"/>
      </w:pPr>
      <w:r>
        <w:rPr/>
        <w:t>（3）有合格的医生和护士提供全日二十四小时的医疗和护理服务。</w:t>
      </w:r>
    </w:p>
    <w:p>
      <w:pPr>
        <w:pStyle w:val="Heading1"/>
        <w:spacing w:before="37"/>
      </w:pPr>
      <w:r>
        <w:rPr>
          <w:w w:val="95"/>
        </w:rPr>
        <w:t>作为康复医院、诊所、护理、疗养、戒酒、戒毒或类似的医疗机构均不属于本合同的医院范围。</w:t>
      </w:r>
    </w:p>
    <w:p>
      <w:pPr>
        <w:pStyle w:val="BodyText"/>
        <w:spacing w:before="53"/>
      </w:pPr>
      <w:r>
        <w:rPr/>
        <w:t>二十五、申请人：指本合同的身故保险金受益人、被保险人的继承人或法律规定享有保险金请求权的自然人。</w:t>
      </w:r>
    </w:p>
    <w:p>
      <w:pPr>
        <w:pStyle w:val="BodyText"/>
        <w:spacing w:line="283" w:lineRule="auto" w:before="44"/>
        <w:ind w:left="100" w:right="120" w:firstLine="360"/>
      </w:pPr>
      <w:r>
        <w:rPr/>
        <w:t>二十六、身故保险金的受领人：指本合同的身故保险金受益人、被保险人的继承人或法律规定享有身故保险金权利的自然人。</w:t>
      </w:r>
    </w:p>
    <w:p>
      <w:pPr>
        <w:pStyle w:val="BodyText"/>
        <w:spacing w:line="285" w:lineRule="auto" w:before="12"/>
        <w:ind w:right="866"/>
      </w:pPr>
      <w:r>
        <w:rPr/>
        <w:t>二十七、意外事故：指因外来的、突发的、非本意的、非疾病的原因而直接且单独地导致被保险人发生事故。二十八、境外：是指除中国大陆以外的国家和地区，该地区包括台湾、香港、澳门地区。</w:t>
      </w:r>
    </w:p>
    <w:p>
      <w:pPr>
        <w:pStyle w:val="BodyText"/>
        <w:spacing w:line="285" w:lineRule="auto" w:before="10"/>
        <w:ind w:left="100" w:right="113" w:firstLine="360"/>
        <w:jc w:val="both"/>
      </w:pPr>
      <w:r>
        <w:rPr/>
        <w:t>二十九、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三十、永久不可逆</w:t>
      </w:r>
    </w:p>
    <w:p>
      <w:pPr>
        <w:pStyle w:val="BodyText"/>
        <w:spacing w:line="283" w:lineRule="auto"/>
        <w:ind w:right="1586"/>
      </w:pPr>
      <w:r>
        <w:rPr/>
        <w:t>指自疾病确诊或意外伤害发生之日起，经过积极治疗一百八十天后，仍无法通过现有医疗手段恢复。三十一、肢体机能完全丧失</w:t>
      </w:r>
    </w:p>
    <w:p>
      <w:pPr>
        <w:pStyle w:val="BodyText"/>
        <w:spacing w:line="285" w:lineRule="auto" w:before="13"/>
        <w:ind w:right="146"/>
      </w:pPr>
      <w:r>
        <w:rPr/>
        <w:t>指肢体的三大关节中的两大关节僵硬，或不能随意识活动。肢体是指包括肩关节的整个上肢或包括髋关节的整个下肢。三十二、语言能力或咀嚼吞咽能力完全丧失</w:t>
      </w:r>
    </w:p>
    <w:p>
      <w:pPr>
        <w:pStyle w:val="BodyText"/>
        <w:spacing w:line="285" w:lineRule="auto" w:before="8"/>
        <w:ind w:left="100" w:right="120"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20" w:firstLine="360"/>
      </w:pPr>
      <w:r>
        <w:rPr/>
        <w:t>咀嚼吞咽能力完全丧失，指因牙齿以外的原因导致器质障碍或机能障碍，以致不能作咀嚼吞咽运动，除流质食物外不能摄取或吞咽的状态。</w:t>
      </w:r>
    </w:p>
    <w:p>
      <w:pPr>
        <w:pStyle w:val="BodyText"/>
        <w:spacing w:line="285" w:lineRule="auto" w:before="8"/>
        <w:ind w:left="100" w:right="120" w:firstLine="360"/>
      </w:pPr>
      <w:r>
        <w:rPr/>
        <w:t>三十三、保单月度对应日：指保险单所载的生效日在每月对应的同一日。若生效日在每月中的对应日大于当月总日数， 则保单月度对应日为当月最后一日。</w:t>
      </w:r>
    </w:p>
    <w:p>
      <w:pPr>
        <w:pStyle w:val="BodyText"/>
        <w:spacing w:before="1"/>
        <w:ind w:left="0"/>
        <w:rPr>
          <w:sz w:val="22"/>
        </w:rPr>
      </w:pPr>
    </w:p>
    <w:p>
      <w:pPr>
        <w:pStyle w:val="BodyText"/>
        <w:spacing w:before="0"/>
        <w:ind w:left="82" w:right="101"/>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17"/>
        </w:rPr>
      </w:pPr>
    </w:p>
    <w:p>
      <w:pPr>
        <w:tabs>
          <w:tab w:pos="5147"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L1209-04</w:t>
        <w:tab/>
      </w:r>
      <w:r>
        <w:rPr>
          <w:sz w:val="20"/>
        </w:rPr>
        <w:t>14</w:t>
      </w:r>
    </w:p>
    <w:sectPr>
      <w:pgSz w:w="11910" w:h="16840"/>
      <w:pgMar w:top="102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01" w:hanging="543"/>
        <w:jc w:val="left"/>
      </w:pPr>
      <w:rPr>
        <w:rFonts w:hint="default" w:ascii="宋体" w:hAnsi="宋体" w:eastAsia="宋体" w:cs="宋体"/>
        <w:w w:val="100"/>
        <w:sz w:val="18"/>
        <w:szCs w:val="18"/>
      </w:rPr>
    </w:lvl>
    <w:lvl w:ilvl="1">
      <w:start w:val="0"/>
      <w:numFmt w:val="bullet"/>
      <w:lvlText w:val="•"/>
      <w:lvlJc w:val="left"/>
      <w:pPr>
        <w:ind w:left="1086" w:hanging="543"/>
      </w:pPr>
      <w:rPr>
        <w:rFonts w:hint="default"/>
      </w:rPr>
    </w:lvl>
    <w:lvl w:ilvl="2">
      <w:start w:val="0"/>
      <w:numFmt w:val="bullet"/>
      <w:lvlText w:val="•"/>
      <w:lvlJc w:val="left"/>
      <w:pPr>
        <w:ind w:left="2073" w:hanging="543"/>
      </w:pPr>
      <w:rPr>
        <w:rFonts w:hint="default"/>
      </w:rPr>
    </w:lvl>
    <w:lvl w:ilvl="3">
      <w:start w:val="0"/>
      <w:numFmt w:val="bullet"/>
      <w:lvlText w:val="•"/>
      <w:lvlJc w:val="left"/>
      <w:pPr>
        <w:ind w:left="3060" w:hanging="543"/>
      </w:pPr>
      <w:rPr>
        <w:rFonts w:hint="default"/>
      </w:rPr>
    </w:lvl>
    <w:lvl w:ilvl="4">
      <w:start w:val="0"/>
      <w:numFmt w:val="bullet"/>
      <w:lvlText w:val="•"/>
      <w:lvlJc w:val="left"/>
      <w:pPr>
        <w:ind w:left="4047" w:hanging="543"/>
      </w:pPr>
      <w:rPr>
        <w:rFonts w:hint="default"/>
      </w:rPr>
    </w:lvl>
    <w:lvl w:ilvl="5">
      <w:start w:val="0"/>
      <w:numFmt w:val="bullet"/>
      <w:lvlText w:val="•"/>
      <w:lvlJc w:val="left"/>
      <w:pPr>
        <w:ind w:left="5034" w:hanging="543"/>
      </w:pPr>
      <w:rPr>
        <w:rFonts w:hint="default"/>
      </w:rPr>
    </w:lvl>
    <w:lvl w:ilvl="6">
      <w:start w:val="0"/>
      <w:numFmt w:val="bullet"/>
      <w:lvlText w:val="•"/>
      <w:lvlJc w:val="left"/>
      <w:pPr>
        <w:ind w:left="6021" w:hanging="543"/>
      </w:pPr>
      <w:rPr>
        <w:rFonts w:hint="default"/>
      </w:rPr>
    </w:lvl>
    <w:lvl w:ilvl="7">
      <w:start w:val="0"/>
      <w:numFmt w:val="bullet"/>
      <w:lvlText w:val="•"/>
      <w:lvlJc w:val="left"/>
      <w:pPr>
        <w:ind w:left="7008" w:hanging="543"/>
      </w:pPr>
      <w:rPr>
        <w:rFonts w:hint="default"/>
      </w:rPr>
    </w:lvl>
    <w:lvl w:ilvl="8">
      <w:start w:val="0"/>
      <w:numFmt w:val="bullet"/>
      <w:lvlText w:val="•"/>
      <w:lvlJc w:val="left"/>
      <w:pPr>
        <w:ind w:left="7995" w:hanging="543"/>
      </w:pPr>
      <w:rPr>
        <w:rFonts w:hint="default"/>
      </w:rPr>
    </w:lvl>
  </w:abstractNum>
  <w:abstractNum w:abstractNumId="0">
    <w:multiLevelType w:val="hybridMultilevel"/>
    <w:lvl w:ilvl="0">
      <w:start w:val="1"/>
      <w:numFmt w:val="decimal"/>
      <w:lvlText w:val="（%1）"/>
      <w:lvlJc w:val="left"/>
      <w:pPr>
        <w:ind w:left="100" w:hanging="543"/>
        <w:jc w:val="left"/>
      </w:pPr>
      <w:rPr>
        <w:rFonts w:hint="default" w:ascii="宋体" w:hAnsi="宋体" w:eastAsia="宋体" w:cs="宋体"/>
        <w:w w:val="100"/>
        <w:sz w:val="18"/>
        <w:szCs w:val="18"/>
      </w:rPr>
    </w:lvl>
    <w:lvl w:ilvl="1">
      <w:start w:val="0"/>
      <w:numFmt w:val="bullet"/>
      <w:lvlText w:val="•"/>
      <w:lvlJc w:val="left"/>
      <w:pPr>
        <w:ind w:left="1086" w:hanging="543"/>
      </w:pPr>
      <w:rPr>
        <w:rFonts w:hint="default"/>
      </w:rPr>
    </w:lvl>
    <w:lvl w:ilvl="2">
      <w:start w:val="0"/>
      <w:numFmt w:val="bullet"/>
      <w:lvlText w:val="•"/>
      <w:lvlJc w:val="left"/>
      <w:pPr>
        <w:ind w:left="2073" w:hanging="543"/>
      </w:pPr>
      <w:rPr>
        <w:rFonts w:hint="default"/>
      </w:rPr>
    </w:lvl>
    <w:lvl w:ilvl="3">
      <w:start w:val="0"/>
      <w:numFmt w:val="bullet"/>
      <w:lvlText w:val="•"/>
      <w:lvlJc w:val="left"/>
      <w:pPr>
        <w:ind w:left="3060" w:hanging="543"/>
      </w:pPr>
      <w:rPr>
        <w:rFonts w:hint="default"/>
      </w:rPr>
    </w:lvl>
    <w:lvl w:ilvl="4">
      <w:start w:val="0"/>
      <w:numFmt w:val="bullet"/>
      <w:lvlText w:val="•"/>
      <w:lvlJc w:val="left"/>
      <w:pPr>
        <w:ind w:left="4047" w:hanging="543"/>
      </w:pPr>
      <w:rPr>
        <w:rFonts w:hint="default"/>
      </w:rPr>
    </w:lvl>
    <w:lvl w:ilvl="5">
      <w:start w:val="0"/>
      <w:numFmt w:val="bullet"/>
      <w:lvlText w:val="•"/>
      <w:lvlJc w:val="left"/>
      <w:pPr>
        <w:ind w:left="5034" w:hanging="543"/>
      </w:pPr>
      <w:rPr>
        <w:rFonts w:hint="default"/>
      </w:rPr>
    </w:lvl>
    <w:lvl w:ilvl="6">
      <w:start w:val="0"/>
      <w:numFmt w:val="bullet"/>
      <w:lvlText w:val="•"/>
      <w:lvlJc w:val="left"/>
      <w:pPr>
        <w:ind w:left="6021" w:hanging="543"/>
      </w:pPr>
      <w:rPr>
        <w:rFonts w:hint="default"/>
      </w:rPr>
    </w:lvl>
    <w:lvl w:ilvl="7">
      <w:start w:val="0"/>
      <w:numFmt w:val="bullet"/>
      <w:lvlText w:val="•"/>
      <w:lvlJc w:val="left"/>
      <w:pPr>
        <w:ind w:left="7008" w:hanging="543"/>
      </w:pPr>
      <w:rPr>
        <w:rFonts w:hint="default"/>
      </w:rPr>
    </w:lvl>
    <w:lvl w:ilvl="8">
      <w:start w:val="0"/>
      <w:numFmt w:val="bullet"/>
      <w:lvlText w:val="•"/>
      <w:lvlJc w:val="left"/>
      <w:pPr>
        <w:ind w:left="7995" w:hanging="5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460"/>
    </w:pPr>
    <w:rPr>
      <w:rFonts w:ascii="宋体" w:hAnsi="宋体" w:eastAsia="宋体" w:cs="宋体"/>
      <w:sz w:val="18"/>
      <w:szCs w:val="18"/>
    </w:rPr>
  </w:style>
  <w:style w:styleId="Heading1" w:type="paragraph">
    <w:name w:val="Heading 1"/>
    <w:basedOn w:val="Normal"/>
    <w:uiPriority w:val="1"/>
    <w:qFormat/>
    <w:pPr>
      <w:ind w:left="460"/>
      <w:outlineLvl w:val="1"/>
    </w:pPr>
    <w:rPr>
      <w:rFonts w:ascii="宋体" w:hAnsi="宋体" w:eastAsia="宋体" w:cs="宋体"/>
      <w:b/>
      <w:bCs/>
      <w:sz w:val="20"/>
      <w:szCs w:val="20"/>
    </w:rPr>
  </w:style>
  <w:style w:styleId="ListParagraph" w:type="paragraph">
    <w:name w:val="List Paragraph"/>
    <w:basedOn w:val="Normal"/>
    <w:uiPriority w:val="1"/>
    <w:qFormat/>
    <w:pPr>
      <w:spacing w:before="45"/>
      <w:ind w:left="1002" w:hanging="542"/>
    </w:pPr>
    <w:rPr>
      <w:rFonts w:ascii="宋体" w:hAnsi="宋体" w:eastAsia="宋体" w:cs="宋体"/>
    </w:rPr>
  </w:style>
  <w:style w:styleId="TableParagraph" w:type="paragraph">
    <w:name w:val="Table Paragraph"/>
    <w:basedOn w:val="Normal"/>
    <w:uiPriority w:val="1"/>
    <w:qFormat/>
    <w:pPr>
      <w:spacing w:line="21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2018-10-19T23:12:04Z</dcterms:created>
  <dcterms:modified xsi:type="dcterms:W3CDTF">2018-10-19T23:12:04Z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Acrobat PDFMaker 11 Word 版</vt:lpwstr>
  </property>
  <property fmtid="{D5CDD505-2E9C-101B-9397-08002B2CF9AE}" pid="4" name="LastSaved">
    <vt:filetime>2018-10-19T00:00:00Z</vt:filetime>
  </property>
</Properties>
</file>