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5"/>
        </w:rPr>
      </w:pPr>
    </w:p>
    <w:p>
      <w:pPr>
        <w:pStyle w:val="Heading1"/>
        <w:ind w:left="4193"/>
      </w:pPr>
      <w:r>
        <w:rPr/>
        <w:pict>
          <v:group style="position:absolute;margin-left:382.199982pt;margin-top:-60.979847pt;width:156.5pt;height:88.1pt;mso-position-horizontal-relative:page;mso-position-vertical-relative:paragraph;z-index:1096" coordorigin="7644,-1220" coordsize="3130,1762">
            <v:shape style="position:absolute;left:7653;top:-1220;width:3120;height:312" type="#_x0000_t75" stroked="false">
              <v:imagedata r:id="rId5" o:title=""/>
            </v:shape>
            <v:shape style="position:absolute;left:7644;top:230;width:3120;height:312" type="#_x0000_t75" stroked="false">
              <v:imagedata r:id="rId5" o:title=""/>
            </v:shape>
            <v:shape style="position:absolute;left:8658;top:-910;width:1140;height:1140" type="#_x0000_t75" stroked="false">
              <v:imagedata r:id="rId6" o:title=""/>
            </v:shape>
            <v:shapetype id="_x0000_t202" o:spt="202" coordsize="21600,21600" path="m,l,21600r21600,l21600,xe">
              <v:stroke joinstyle="miter"/>
              <v:path gradientshapeok="t" o:connecttype="rect"/>
            </v:shapetype>
            <v:shape style="position:absolute;left:8088;top:-1152;width:2262;height:159" type="#_x0000_t202" filled="false" stroked="false">
              <v:textbox inset="0,0,0,0">
                <w:txbxContent>
                  <w:p>
                    <w:pPr>
                      <w:spacing w:line="158" w:lineRule="exact" w:before="0"/>
                      <w:ind w:left="0" w:right="0" w:firstLine="0"/>
                      <w:jc w:val="left"/>
                      <w:rPr>
                        <w:sz w:val="16"/>
                      </w:rPr>
                    </w:pPr>
                    <w:r>
                      <w:rPr>
                        <w:sz w:val="16"/>
                      </w:rPr>
                      <w:t>平安人寿[2018</w:t>
                    </w:r>
                    <w:r>
                      <w:rPr>
                        <w:spacing w:val="-8"/>
                        <w:sz w:val="16"/>
                      </w:rPr>
                      <w:t>]疾病保险 </w:t>
                    </w:r>
                    <w:r>
                      <w:rPr>
                        <w:sz w:val="16"/>
                      </w:rPr>
                      <w:t>034</w:t>
                    </w:r>
                    <w:r>
                      <w:rPr>
                        <w:spacing w:val="-25"/>
                        <w:sz w:val="16"/>
                      </w:rPr>
                      <w:t> 号</w:t>
                    </w:r>
                  </w:p>
                </w:txbxContent>
              </v:textbox>
              <w10:wrap type="none"/>
            </v:shape>
            <v:shape style="position:absolute;left:8400;top:302;width:1619;height:159" type="#_x0000_t202" filled="false" stroked="false">
              <v:textbox inset="0,0,0,0">
                <w:txbxContent>
                  <w:p>
                    <w:pPr>
                      <w:spacing w:line="158" w:lineRule="exact" w:before="0"/>
                      <w:ind w:left="0" w:right="0" w:firstLine="0"/>
                      <w:jc w:val="left"/>
                      <w:rPr>
                        <w:sz w:val="16"/>
                      </w:rPr>
                    </w:pPr>
                    <w:r>
                      <w:rPr>
                        <w:w w:val="95"/>
                        <w:sz w:val="16"/>
                      </w:rPr>
                      <w:t>请扫描以查询验证条款</w:t>
                    </w:r>
                  </w:p>
                </w:txbxContent>
              </v:textbox>
              <w10:wrap type="none"/>
            </v:shape>
            <w10:wrap type="none"/>
          </v:group>
        </w:pict>
      </w:r>
      <w:r>
        <w:rPr/>
        <w:pict>
          <v:shape style="position:absolute;margin-left:56.639999pt;margin-top:29.842783pt;width:24.45pt;height:27.35pt;mso-position-horizontal-relative:page;mso-position-vertical-relative:paragraph;z-index:1144" type="#_x0000_t202" filled="false" stroked="false">
            <v:textbox inset="0,0,0,0">
              <w:txbxContent>
                <w:p>
                  <w:pPr>
                    <w:spacing w:line="546" w:lineRule="exact" w:before="0"/>
                    <w:ind w:left="0" w:right="0" w:firstLine="0"/>
                    <w:jc w:val="left"/>
                    <w:rPr>
                      <w:rFonts w:ascii="Arial" w:hAnsi="Arial"/>
                      <w:b/>
                      <w:sz w:val="52"/>
                    </w:rPr>
                  </w:pPr>
                  <w:r>
                    <w:rPr>
                      <w:rFonts w:ascii="Arial" w:hAnsi="Arial"/>
                      <w:b/>
                      <w:w w:val="125"/>
                      <w:sz w:val="52"/>
                    </w:rPr>
                    <w:t></w:t>
                  </w:r>
                </w:p>
              </w:txbxContent>
            </v:textbox>
            <w10:wrap type="none"/>
          </v:shape>
        </w:pict>
      </w:r>
      <w:r>
        <w:rPr/>
        <w:t>阅  读  指 引</w:t>
      </w:r>
    </w:p>
    <w:p>
      <w:pPr>
        <w:pStyle w:val="Heading4"/>
        <w:spacing w:line="182" w:lineRule="auto" w:before="181"/>
        <w:ind w:left="742" w:right="3024"/>
      </w:pPr>
      <w:r>
        <w:rPr/>
        <w:pict>
          <v:group style="position:absolute;margin-left:49.919998pt;margin-top:5.868283pt;width:495.6pt;height:655.2pt;mso-position-horizontal-relative:page;mso-position-vertical-relative:paragraph;z-index:-81232" coordorigin="998,117" coordsize="9912,13104">
            <v:shape style="position:absolute;left:1497;top:3822;width:8909;height:332" coordorigin="1498,3823" coordsize="8909,332" path="m1498,3823l4507,3823m4517,3823l10406,3823m1498,4154l4507,4154m4517,4154l6778,4154m6787,4154l9182,4154m9192,4154l10406,4154e" filled="false" stroked="true" strokeweight=".48pt" strokecolor="#000000">
              <v:path arrowok="t"/>
              <v:stroke dashstyle="solid"/>
            </v:shape>
            <v:shape style="position:absolute;left:5764;top:5170;width:95;height:165" type="#_x0000_t75" stroked="false">
              <v:imagedata r:id="rId7" o:title=""/>
            </v:shape>
            <v:shape style="position:absolute;left:1497;top:5061;width:8909;height:346" coordorigin="1498,5061" coordsize="8909,346" path="m1498,5407l4507,5407m4517,5407l6778,5407m6787,5407l9182,5407m9192,5407l10406,5407m1498,5061l4507,5061m4517,5061l6778,5061m6787,5061l9182,5061m9192,5061l10406,5061e" filled="false" stroked="true" strokeweight=".48pt" strokecolor="#000000">
              <v:path arrowok="t"/>
              <v:stroke dashstyle="solid"/>
            </v:shape>
            <v:shape style="position:absolute;left:5764;top:5506;width:95;height:165" type="#_x0000_t75" stroked="false">
              <v:imagedata r:id="rId7" o:title=""/>
            </v:shape>
            <v:shape style="position:absolute;left:1497;top:5738;width:5280;height:2" coordorigin="1498,5738" coordsize="5280,0" path="m1498,5738l4507,5738m4517,5738l6778,5738e" filled="false" stroked="true" strokeweight=".48pt" strokecolor="#000000">
              <v:path arrowok="t"/>
              <v:stroke dashstyle="solid"/>
            </v:shape>
            <v:shape style="position:absolute;left:7996;top:5506;width:95;height:165" type="#_x0000_t75" stroked="false">
              <v:imagedata r:id="rId7" o:title=""/>
            </v:shape>
            <v:shape style="position:absolute;left:4512;top:3818;width:5895;height:2309" coordorigin="4512,3818" coordsize="5895,2309" path="m6787,5738l9182,5738m9192,5738l10406,5738m4512,3818l4512,6127e" filled="false" stroked="true" strokeweight=".48pt" strokecolor="#000000">
              <v:path arrowok="t"/>
              <v:stroke dashstyle="solid"/>
            </v:shape>
            <v:shape style="position:absolute;left:1497;top:4149;width:8909;height:1978" coordorigin="1498,4149" coordsize="8909,1978" path="m6782,4149l6782,6127m9187,4149l9187,6127m1498,6122l4507,6122m4517,6122l6778,6122m6787,6122l9182,6122m9192,6122l10406,6122e" filled="false" stroked="true" strokeweight=".481pt" strokecolor="#000000">
              <v:path arrowok="t"/>
              <v:stroke dashstyle="solid"/>
            </v:shape>
            <v:line style="position:absolute" from="1493,3818" to="1493,6977" stroked="true" strokeweight=".48pt" strokecolor="#000000">
              <v:stroke dashstyle="solid"/>
            </v:line>
            <v:shape style="position:absolute;left:1497;top:3818;width:8914;height:3159" coordorigin="1498,3818" coordsize="8914,3159" path="m1498,6972l10406,6972m10411,3818l10411,6977e" filled="false" stroked="true" strokeweight=".481pt" strokecolor="#000000">
              <v:path arrowok="t"/>
              <v:stroke dashstyle="solid"/>
            </v:shape>
            <v:shape style="position:absolute;left:5764;top:5866;width:95;height:165" type="#_x0000_t75" stroked="false">
              <v:imagedata r:id="rId7" o:title=""/>
            </v:shape>
            <v:shape style="position:absolute;left:8102;top:5866;width:95;height:165" type="#_x0000_t75" stroked="false">
              <v:imagedata r:id="rId7" o:title=""/>
            </v:shape>
            <v:shape style="position:absolute;left:1420;top:7994;width:9063;height:2" coordorigin="1421,7994" coordsize="9063,0" path="m1421,7994l3370,7994m3379,7994l4646,7994m4656,7994l6917,7994m6926,7994l9326,7994m9336,7994l10483,7994e" filled="false" stroked="true" strokeweight=".481pt" strokecolor="#000000">
              <v:path arrowok="t"/>
              <v:stroke dashstyle="solid"/>
            </v:shape>
            <v:shape style="position:absolute;left:5798;top:11251;width:95;height:165" type="#_x0000_t75" stroked="false">
              <v:imagedata r:id="rId7" o:title=""/>
            </v:shape>
            <v:shape style="position:absolute;left:5956;top:11597;width:95;height:165" type="#_x0000_t75" stroked="false">
              <v:imagedata r:id="rId7" o:title=""/>
            </v:shape>
            <v:shape style="position:absolute;left:8241;top:11962;width:95;height:165" type="#_x0000_t75" stroked="false">
              <v:imagedata r:id="rId7" o:title=""/>
            </v:shape>
            <v:shape style="position:absolute;left:8241;top:12394;width:95;height:165" type="#_x0000_t75" stroked="false">
              <v:imagedata r:id="rId7" o:title=""/>
            </v:shape>
            <v:shape style="position:absolute;left:8241;top:12792;width:95;height:165" type="#_x0000_t75" stroked="false">
              <v:imagedata r:id="rId7" o:title=""/>
            </v:shape>
            <v:shape style="position:absolute;left:998;top:117;width:9912;height:13104" type="#_x0000_t75" stroked="false">
              <v:imagedata r:id="rId8" o:title=""/>
            </v:shape>
            <w10:wrap type="none"/>
          </v:group>
        </w:pict>
      </w:r>
      <w:r>
        <w:rPr/>
        <w:pict>
          <v:shape style="position:absolute;margin-left:56.639999pt;margin-top:18.330938pt;width:24.45pt;height:27.35pt;mso-position-horizontal-relative:page;mso-position-vertical-relative:paragraph;z-index:1120" type="#_x0000_t202" filled="false" stroked="false">
            <v:textbox inset="0,0,0,0">
              <w:txbxContent>
                <w:p>
                  <w:pPr>
                    <w:spacing w:line="546" w:lineRule="exact" w:before="0"/>
                    <w:ind w:left="0" w:right="0" w:firstLine="0"/>
                    <w:jc w:val="left"/>
                    <w:rPr>
                      <w:rFonts w:ascii="Arial" w:hAnsi="Arial"/>
                      <w:b/>
                      <w:sz w:val="52"/>
                    </w:rPr>
                  </w:pPr>
                  <w:r>
                    <w:rPr>
                      <w:rFonts w:ascii="Arial" w:hAnsi="Arial"/>
                      <w:b/>
                      <w:w w:val="125"/>
                      <w:sz w:val="52"/>
                    </w:rPr>
                    <w:t></w:t>
                  </w:r>
                </w:p>
              </w:txbxContent>
            </v:textbox>
            <w10:wrap type="none"/>
          </v:shape>
        </w:pict>
      </w:r>
      <w:r>
        <w:rPr/>
        <w:t>平安守护福重大疾病保险产品提供特定轻度重疾、重疾及身故保障 为了帮助您更好地了解产品，我们先介绍几个保险条款中常用的术语</w:t>
      </w:r>
    </w:p>
    <w:p>
      <w:pPr>
        <w:pStyle w:val="ListParagraph"/>
        <w:numPr>
          <w:ilvl w:val="0"/>
          <w:numId w:val="1"/>
        </w:numPr>
        <w:tabs>
          <w:tab w:pos="1198" w:val="left" w:leader="none"/>
          <w:tab w:pos="1199" w:val="left" w:leader="none"/>
        </w:tabs>
        <w:spacing w:line="237" w:lineRule="exact" w:before="0" w:after="0"/>
        <w:ind w:left="1198" w:right="0" w:hanging="422"/>
        <w:jc w:val="left"/>
        <w:rPr>
          <w:sz w:val="21"/>
        </w:rPr>
      </w:pPr>
      <w:r>
        <w:rPr>
          <w:rFonts w:ascii="Microsoft JhengHei" w:eastAsia="Microsoft JhengHei" w:hint="eastAsia"/>
          <w:b/>
          <w:sz w:val="21"/>
        </w:rPr>
        <w:t>被保险人</w:t>
      </w:r>
      <w:r>
        <w:rPr>
          <w:spacing w:val="-3"/>
          <w:sz w:val="21"/>
        </w:rPr>
        <w:t>就是受保险合同保障的人。</w:t>
      </w:r>
    </w:p>
    <w:p>
      <w:pPr>
        <w:pStyle w:val="ListParagraph"/>
        <w:numPr>
          <w:ilvl w:val="0"/>
          <w:numId w:val="1"/>
        </w:numPr>
        <w:tabs>
          <w:tab w:pos="1198" w:val="left" w:leader="none"/>
          <w:tab w:pos="1199" w:val="left" w:leader="none"/>
        </w:tabs>
        <w:spacing w:line="281" w:lineRule="exact" w:before="0" w:after="0"/>
        <w:ind w:left="1198" w:right="0" w:hanging="423"/>
        <w:jc w:val="left"/>
        <w:rPr>
          <w:sz w:val="21"/>
        </w:rPr>
      </w:pPr>
      <w:r>
        <w:rPr>
          <w:rFonts w:ascii="Microsoft JhengHei" w:eastAsia="Microsoft JhengHei" w:hint="eastAsia"/>
          <w:b/>
          <w:sz w:val="21"/>
        </w:rPr>
        <w:t>投保人</w:t>
      </w:r>
      <w:r>
        <w:rPr>
          <w:spacing w:val="-4"/>
          <w:sz w:val="21"/>
        </w:rPr>
        <w:t>就是购买保险并交纳保险费的人。</w:t>
      </w:r>
    </w:p>
    <w:p>
      <w:pPr>
        <w:pStyle w:val="ListParagraph"/>
        <w:numPr>
          <w:ilvl w:val="0"/>
          <w:numId w:val="1"/>
        </w:numPr>
        <w:tabs>
          <w:tab w:pos="1198" w:val="left" w:leader="none"/>
          <w:tab w:pos="1199" w:val="left" w:leader="none"/>
        </w:tabs>
        <w:spacing w:line="278" w:lineRule="exact" w:before="0" w:after="0"/>
        <w:ind w:left="1198" w:right="0" w:hanging="422"/>
        <w:jc w:val="left"/>
        <w:rPr>
          <w:sz w:val="21"/>
        </w:rPr>
      </w:pPr>
      <w:r>
        <w:rPr>
          <w:rFonts w:ascii="Microsoft JhengHei" w:eastAsia="Microsoft JhengHei" w:hint="eastAsia"/>
          <w:b/>
          <w:sz w:val="21"/>
        </w:rPr>
        <w:t>受益人</w:t>
      </w:r>
      <w:r>
        <w:rPr>
          <w:spacing w:val="-5"/>
          <w:sz w:val="21"/>
        </w:rPr>
        <w:t>就是发生保险事故后领取保险金的人。</w:t>
      </w:r>
    </w:p>
    <w:p>
      <w:pPr>
        <w:pStyle w:val="ListParagraph"/>
        <w:numPr>
          <w:ilvl w:val="0"/>
          <w:numId w:val="1"/>
        </w:numPr>
        <w:tabs>
          <w:tab w:pos="1198" w:val="left" w:leader="none"/>
          <w:tab w:pos="1199" w:val="left" w:leader="none"/>
        </w:tabs>
        <w:spacing w:line="281" w:lineRule="exact" w:before="0" w:after="0"/>
        <w:ind w:left="1198" w:right="0" w:hanging="422"/>
        <w:jc w:val="left"/>
        <w:rPr>
          <w:sz w:val="21"/>
        </w:rPr>
      </w:pPr>
      <w:r>
        <w:rPr/>
        <w:pict>
          <v:shape style="position:absolute;margin-left:56.639999pt;margin-top:11.731204pt;width:24.45pt;height:27.35pt;mso-position-horizontal-relative:page;mso-position-vertical-relative:paragraph;z-index:1168" type="#_x0000_t202" filled="false" stroked="false">
            <v:textbox inset="0,0,0,0">
              <w:txbxContent>
                <w:p>
                  <w:pPr>
                    <w:spacing w:line="546" w:lineRule="exact" w:before="0"/>
                    <w:ind w:left="0" w:right="0" w:firstLine="0"/>
                    <w:jc w:val="left"/>
                    <w:rPr>
                      <w:rFonts w:ascii="Arial" w:hAnsi="Arial"/>
                      <w:b/>
                      <w:sz w:val="52"/>
                    </w:rPr>
                  </w:pPr>
                  <w:r>
                    <w:rPr>
                      <w:rFonts w:ascii="Arial" w:hAnsi="Arial"/>
                      <w:b/>
                      <w:w w:val="125"/>
                      <w:sz w:val="52"/>
                    </w:rPr>
                    <w:t></w:t>
                  </w:r>
                </w:p>
              </w:txbxContent>
            </v:textbox>
            <w10:wrap type="none"/>
          </v:shape>
        </w:pict>
      </w:r>
      <w:r>
        <w:rPr>
          <w:rFonts w:ascii="Microsoft JhengHei" w:eastAsia="Microsoft JhengHei" w:hint="eastAsia"/>
          <w:b/>
          <w:sz w:val="21"/>
        </w:rPr>
        <w:t>保险人</w:t>
      </w:r>
      <w:r>
        <w:rPr>
          <w:spacing w:val="-2"/>
          <w:sz w:val="21"/>
        </w:rPr>
        <w:t>就是保险公司。</w:t>
      </w:r>
    </w:p>
    <w:p>
      <w:pPr>
        <w:pStyle w:val="Heading4"/>
        <w:spacing w:line="314" w:lineRule="exact"/>
        <w:ind w:left="742"/>
      </w:pPr>
      <w:r>
        <w:rPr/>
        <w:t>下面我们举例说明本产品提供哪些保障</w:t>
      </w:r>
    </w:p>
    <w:p>
      <w:pPr>
        <w:pStyle w:val="BodyText"/>
        <w:spacing w:line="242" w:lineRule="auto"/>
        <w:ind w:left="776" w:right="774"/>
      </w:pPr>
      <w:r>
        <w:rPr>
          <w:spacing w:val="-2"/>
          <w:w w:val="100"/>
        </w:rPr>
        <w:t>例子：王先生为妻子李女士</w:t>
      </w:r>
      <w:r>
        <w:rPr>
          <w:w w:val="100"/>
        </w:rPr>
        <w:t>（</w:t>
      </w:r>
      <w:r>
        <w:rPr>
          <w:spacing w:val="-5"/>
          <w:w w:val="100"/>
        </w:rPr>
        <w:t>3</w:t>
      </w:r>
      <w:r>
        <w:rPr>
          <w:w w:val="100"/>
        </w:rPr>
        <w:t>0</w:t>
      </w:r>
      <w:r>
        <w:rPr/>
        <w:t> </w:t>
      </w:r>
      <w:r>
        <w:rPr>
          <w:w w:val="100"/>
        </w:rPr>
        <w:t>周岁</w:t>
      </w:r>
      <w:r>
        <w:rPr>
          <w:spacing w:val="-5"/>
          <w:w w:val="100"/>
        </w:rPr>
        <w:t>）</w:t>
      </w:r>
      <w:r>
        <w:rPr>
          <w:spacing w:val="-4"/>
          <w:w w:val="100"/>
        </w:rPr>
        <w:t>投保平安守护福重大疾病保险</w:t>
      </w:r>
      <w:r>
        <w:rPr>
          <w:w w:val="100"/>
        </w:rPr>
        <w:t>（</w:t>
      </w:r>
      <w:r>
        <w:rPr>
          <w:spacing w:val="-2"/>
          <w:w w:val="100"/>
        </w:rPr>
        <w:t>简称守护福</w:t>
      </w:r>
      <w:r>
        <w:rPr>
          <w:spacing w:val="-111"/>
          <w:w w:val="100"/>
        </w:rPr>
        <w:t>）</w:t>
      </w:r>
      <w:r>
        <w:rPr>
          <w:w w:val="100"/>
        </w:rPr>
        <w:t>，基本保</w:t>
      </w:r>
      <w:r>
        <w:rPr>
          <w:spacing w:val="-11"/>
        </w:rPr>
        <w:t>险金额 </w:t>
      </w:r>
      <w:r>
        <w:rPr/>
        <w:t>50</w:t>
      </w:r>
      <w:r>
        <w:rPr>
          <w:spacing w:val="-12"/>
        </w:rPr>
        <w:t> 万元，交费期为 </w:t>
      </w:r>
      <w:r>
        <w:rPr/>
        <w:t>20</w:t>
      </w:r>
      <w:r>
        <w:rPr>
          <w:spacing w:val="-8"/>
        </w:rPr>
        <w:t> 年，保险期间为终身，指定身故保险金受益人为儿子小王。</w:t>
      </w:r>
    </w:p>
    <w:p>
      <w:pPr>
        <w:pStyle w:val="BodyText"/>
        <w:spacing w:line="242" w:lineRule="auto" w:before="16"/>
        <w:ind w:left="775" w:right="755"/>
      </w:pPr>
      <w:r>
        <w:rPr>
          <w:spacing w:val="-5"/>
        </w:rPr>
        <w:t>本例中王先生为投保人，李女士为被保险人及特定轻度重疾保险金、重大疾病保险金受益人， 小王为身故保险金受益人，平安人寿为保险人。</w:t>
      </w:r>
    </w:p>
    <w:p>
      <w:pPr>
        <w:pStyle w:val="BodyText"/>
        <w:spacing w:line="247" w:lineRule="auto" w:before="1"/>
        <w:ind w:left="775" w:right="779"/>
      </w:pPr>
      <w:r>
        <w:rPr>
          <w:spacing w:val="-5"/>
        </w:rPr>
        <w:t>假设李女士在第 </w:t>
      </w:r>
      <w:r>
        <w:rPr/>
        <w:t>3</w:t>
      </w:r>
      <w:r>
        <w:rPr>
          <w:spacing w:val="-8"/>
        </w:rPr>
        <w:t> 个保单年度开始后发生本主险合同约定的特定轻度重疾，不同情况下特定轻</w:t>
      </w:r>
      <w:r>
        <w:rPr>
          <w:spacing w:val="-6"/>
        </w:rPr>
        <w:t>度重疾保险金赔付如下表所示：</w:t>
      </w:r>
    </w:p>
    <w:p>
      <w:pPr>
        <w:pStyle w:val="Heading4"/>
        <w:tabs>
          <w:tab w:pos="5211" w:val="left" w:leader="none"/>
        </w:tabs>
        <w:spacing w:line="334" w:lineRule="exact"/>
        <w:ind w:left="1702"/>
      </w:pPr>
      <w:r>
        <w:rPr/>
        <w:t>领取条件</w:t>
        <w:tab/>
        <w:t>特定轻度重疾保险金给付金额</w:t>
      </w:r>
    </w:p>
    <w:p>
      <w:pPr>
        <w:spacing w:after="0" w:line="334" w:lineRule="exact"/>
        <w:sectPr>
          <w:type w:val="continuous"/>
          <w:pgSz w:w="11910" w:h="16840"/>
          <w:pgMar w:top="520" w:bottom="280" w:left="880" w:right="880"/>
        </w:sectPr>
      </w:pPr>
    </w:p>
    <w:p>
      <w:pPr>
        <w:pStyle w:val="BodyText"/>
        <w:spacing w:before="18"/>
        <w:ind w:left="723"/>
      </w:pPr>
      <w:r>
        <w:rPr/>
        <w:t>①被保险人发生特定轻度重疾</w:t>
      </w:r>
    </w:p>
    <w:p>
      <w:pPr>
        <w:pStyle w:val="BodyText"/>
        <w:spacing w:before="22"/>
        <w:ind w:left="723"/>
      </w:pPr>
      <w:r>
        <w:rPr/>
        <w:t>②达到运动标准一</w:t>
      </w:r>
    </w:p>
    <w:p>
      <w:pPr>
        <w:pStyle w:val="BodyText"/>
        <w:spacing w:before="27"/>
        <w:ind w:left="722"/>
      </w:pPr>
      <w:r>
        <w:rPr/>
        <w:t>③达到运动标准二</w:t>
      </w:r>
    </w:p>
    <w:p>
      <w:pPr>
        <w:pStyle w:val="BodyText"/>
        <w:spacing w:line="264" w:lineRule="auto" w:before="167"/>
        <w:ind w:left="953" w:hanging="524"/>
      </w:pPr>
      <w:r>
        <w:rPr/>
        <w:br w:type="column"/>
      </w:r>
      <w:r>
        <w:rPr/>
        <w:t>基本特定轻度重疾保险金</w:t>
      </w:r>
    </w:p>
    <w:p>
      <w:pPr>
        <w:pStyle w:val="BodyText"/>
        <w:spacing w:before="18"/>
        <w:ind w:left="406"/>
      </w:pPr>
      <w:r>
        <w:rPr/>
        <w:br w:type="column"/>
      </w:r>
      <w:r>
        <w:rPr/>
        <w:t>达到运动标准后发生特</w:t>
      </w:r>
    </w:p>
    <w:p>
      <w:pPr>
        <w:pStyle w:val="BodyText"/>
        <w:tabs>
          <w:tab w:pos="3056" w:val="left" w:leader="none"/>
        </w:tabs>
        <w:spacing w:line="259" w:lineRule="auto" w:before="27"/>
        <w:ind w:left="507" w:right="1009" w:hanging="101"/>
      </w:pPr>
      <w:r>
        <w:rPr/>
        <w:t>定轻度重</w:t>
      </w:r>
      <w:r>
        <w:rPr>
          <w:spacing w:val="-5"/>
        </w:rPr>
        <w:t>疾</w:t>
      </w:r>
      <w:r>
        <w:rPr/>
        <w:t>额外给</w:t>
      </w:r>
      <w:r>
        <w:rPr>
          <w:spacing w:val="-5"/>
        </w:rPr>
        <w:t>付</w:t>
      </w:r>
      <w:r>
        <w:rPr/>
        <w:t>的</w:t>
        <w:tab/>
        <w:t>合计 特定轻度</w:t>
      </w:r>
      <w:r>
        <w:rPr>
          <w:spacing w:val="-5"/>
        </w:rPr>
        <w:t>重</w:t>
      </w:r>
      <w:r>
        <w:rPr/>
        <w:t>疾保险金</w:t>
      </w:r>
    </w:p>
    <w:p>
      <w:pPr>
        <w:spacing w:after="0" w:line="259" w:lineRule="auto"/>
        <w:sectPr>
          <w:type w:val="continuous"/>
          <w:pgSz w:w="11910" w:h="16840"/>
          <w:pgMar w:top="520" w:bottom="280" w:left="880" w:right="880"/>
          <w:cols w:num="3" w:equalWidth="0">
            <w:col w:w="3460" w:space="40"/>
            <w:col w:w="2115" w:space="39"/>
            <w:col w:w="4496"/>
          </w:cols>
        </w:sectPr>
      </w:pPr>
    </w:p>
    <w:p>
      <w:pPr>
        <w:pStyle w:val="BodyText"/>
        <w:tabs>
          <w:tab w:pos="3771" w:val="left" w:leader="none"/>
          <w:tab w:pos="7054" w:val="left" w:leader="none"/>
          <w:tab w:pos="8580" w:val="left" w:leader="none"/>
        </w:tabs>
        <w:spacing w:before="39"/>
        <w:ind w:left="2019"/>
      </w:pPr>
      <w:r>
        <w:rPr/>
        <w:t>①</w:t>
        <w:tab/>
        <w:t>50</w:t>
      </w:r>
      <w:r>
        <w:rPr>
          <w:spacing w:val="-52"/>
        </w:rPr>
        <w:t> </w:t>
      </w:r>
      <w:r>
        <w:rPr/>
        <w:t>万元×20=10</w:t>
      </w:r>
      <w:r>
        <w:rPr>
          <w:spacing w:val="-52"/>
        </w:rPr>
        <w:t> </w:t>
      </w:r>
      <w:r>
        <w:rPr/>
        <w:t>万元</w:t>
        <w:tab/>
        <w:t>/</w:t>
        <w:tab/>
        <w:t>10</w:t>
      </w:r>
      <w:r>
        <w:rPr>
          <w:spacing w:val="-50"/>
        </w:rPr>
        <w:t> </w:t>
      </w:r>
      <w:r>
        <w:rPr/>
        <w:t>万元</w:t>
      </w:r>
    </w:p>
    <w:p>
      <w:pPr>
        <w:pStyle w:val="BodyText"/>
        <w:tabs>
          <w:tab w:pos="3771" w:val="left" w:leader="none"/>
          <w:tab w:pos="6108" w:val="left" w:leader="none"/>
          <w:tab w:pos="8474" w:val="left" w:leader="none"/>
        </w:tabs>
        <w:spacing w:before="60"/>
        <w:ind w:left="1913"/>
      </w:pPr>
      <w:r>
        <w:rPr/>
        <w:t>①②</w:t>
        <w:tab/>
        <w:t>50</w:t>
      </w:r>
      <w:r>
        <w:rPr>
          <w:spacing w:val="-52"/>
        </w:rPr>
        <w:t> </w:t>
      </w:r>
      <w:r>
        <w:rPr/>
        <w:t>万元×20=10</w:t>
      </w:r>
      <w:r>
        <w:rPr>
          <w:spacing w:val="-52"/>
        </w:rPr>
        <w:t> </w:t>
      </w:r>
      <w:r>
        <w:rPr/>
        <w:t>万元</w:t>
        <w:tab/>
        <w:t>50</w:t>
      </w:r>
      <w:r>
        <w:rPr>
          <w:spacing w:val="-53"/>
        </w:rPr>
        <w:t> </w:t>
      </w:r>
      <w:r>
        <w:rPr/>
        <w:t>万元×1</w:t>
      </w:r>
      <w:r>
        <w:rPr>
          <w:spacing w:val="0"/>
        </w:rPr>
        <w:t> </w:t>
      </w:r>
      <w:r>
        <w:rPr/>
        <w:t>=0.5</w:t>
      </w:r>
      <w:r>
        <w:rPr>
          <w:spacing w:val="-53"/>
        </w:rPr>
        <w:t> </w:t>
      </w:r>
      <w:r>
        <w:rPr/>
        <w:t>万元</w:t>
        <w:tab/>
        <w:t>10.5</w:t>
      </w:r>
      <w:r>
        <w:rPr>
          <w:spacing w:val="-49"/>
        </w:rPr>
        <w:t> </w:t>
      </w:r>
      <w:r>
        <w:rPr/>
        <w:t>万元</w:t>
      </w:r>
    </w:p>
    <w:p>
      <w:pPr>
        <w:pStyle w:val="BodyText"/>
        <w:tabs>
          <w:tab w:pos="3771" w:val="left" w:leader="none"/>
        </w:tabs>
        <w:spacing w:line="264" w:lineRule="auto" w:before="84"/>
        <w:ind w:left="723" w:right="807" w:firstLine="1190"/>
        <w:jc w:val="both"/>
      </w:pPr>
      <w:r>
        <w:rPr/>
        <w:t>①③</w:t>
        <w:tab/>
        <w:t>50</w:t>
      </w:r>
      <w:r>
        <w:rPr>
          <w:spacing w:val="-18"/>
        </w:rPr>
        <w:t> 万元</w:t>
      </w:r>
      <w:r>
        <w:rPr/>
        <w:t>×20=10</w:t>
      </w:r>
      <w:r>
        <w:rPr>
          <w:spacing w:val="-4"/>
        </w:rPr>
        <w:t> 万元    </w:t>
      </w:r>
      <w:r>
        <w:rPr/>
        <w:t>50</w:t>
      </w:r>
      <w:r>
        <w:rPr>
          <w:spacing w:val="-18"/>
        </w:rPr>
        <w:t> 万元</w:t>
      </w:r>
      <w:r>
        <w:rPr/>
        <w:t>×2</w:t>
      </w:r>
      <w:r>
        <w:rPr>
          <w:spacing w:val="-1"/>
        </w:rPr>
        <w:t> =</w:t>
      </w:r>
      <w:r>
        <w:rPr>
          <w:spacing w:val="-3"/>
        </w:rPr>
        <w:t>1</w:t>
      </w:r>
      <w:r>
        <w:rPr/>
        <w:t> 万元     11</w:t>
      </w:r>
      <w:r>
        <w:rPr>
          <w:spacing w:val="-32"/>
        </w:rPr>
        <w:t> 万元</w:t>
      </w:r>
      <w:r>
        <w:rPr>
          <w:spacing w:val="-5"/>
        </w:rPr>
        <w:t>特定轻度重疾保险金累计给付以三次为限，每种特定轻度重疾限给付一次，当累计给付的特定轻度重疾保险金达到三次时，特定轻度重疾保险金保险责任终止，本主险合同继续有效，基本</w:t>
      </w:r>
    </w:p>
    <w:p>
      <w:pPr>
        <w:pStyle w:val="BodyText"/>
        <w:spacing w:line="262" w:lineRule="exact"/>
        <w:ind w:left="723"/>
      </w:pPr>
      <w:r>
        <w:rPr/>
        <w:t>保险金额不变。</w:t>
      </w:r>
    </w:p>
    <w:p>
      <w:pPr>
        <w:pStyle w:val="BodyText"/>
        <w:spacing w:line="242" w:lineRule="auto" w:before="13"/>
        <w:ind w:left="511" w:right="649"/>
      </w:pPr>
      <w:r>
        <w:rPr/>
        <w:t>假设李女士在第3个保单年度开始后初次发生本主险合同约定的重大疾病，不同情况下重大疾病保险金赔付如下表所示：</w:t>
      </w:r>
    </w:p>
    <w:p>
      <w:pPr>
        <w:pStyle w:val="Heading4"/>
        <w:spacing w:before="15"/>
        <w:ind w:left="1958"/>
        <w:jc w:val="center"/>
      </w:pPr>
      <w:r>
        <w:rPr/>
        <w:pict>
          <v:shape style="position:absolute;margin-left:70.559998pt;margin-top:1.474444pt;width:454.1pt;height:281.05pt;mso-position-horizontal-relative:page;mso-position-vertical-relative:paragraph;z-index:119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8"/>
                    <w:gridCol w:w="1276"/>
                    <w:gridCol w:w="2270"/>
                    <w:gridCol w:w="2409"/>
                    <w:gridCol w:w="1156"/>
                  </w:tblGrid>
                  <w:tr>
                    <w:trPr>
                      <w:trHeight w:val="2174" w:hRule="atLeast"/>
                    </w:trPr>
                    <w:tc>
                      <w:tcPr>
                        <w:tcW w:w="1958" w:type="dxa"/>
                        <w:tcBorders>
                          <w:bottom w:val="nil"/>
                        </w:tcBorders>
                      </w:tcPr>
                      <w:p>
                        <w:pPr>
                          <w:pStyle w:val="TableParagraph"/>
                          <w:spacing w:line="346" w:lineRule="exact"/>
                          <w:ind w:left="561"/>
                          <w:rPr>
                            <w:rFonts w:ascii="Microsoft JhengHei" w:eastAsia="Microsoft JhengHei" w:hint="eastAsia"/>
                            <w:b/>
                            <w:sz w:val="21"/>
                          </w:rPr>
                        </w:pPr>
                        <w:r>
                          <w:rPr>
                            <w:rFonts w:ascii="Microsoft JhengHei" w:eastAsia="Microsoft JhengHei" w:hint="eastAsia"/>
                            <w:b/>
                            <w:sz w:val="21"/>
                          </w:rPr>
                          <w:t>领取条件</w:t>
                        </w:r>
                      </w:p>
                      <w:p>
                        <w:pPr>
                          <w:pStyle w:val="TableParagraph"/>
                          <w:spacing w:line="247" w:lineRule="auto" w:before="85"/>
                          <w:ind w:left="110" w:right="150"/>
                          <w:rPr>
                            <w:sz w:val="21"/>
                          </w:rPr>
                        </w:pPr>
                        <w:r>
                          <w:rPr>
                            <w:sz w:val="21"/>
                          </w:rPr>
                          <w:t>①被保险人初次发生重大疾病</w:t>
                        </w:r>
                      </w:p>
                      <w:p>
                        <w:pPr>
                          <w:pStyle w:val="TableParagraph"/>
                          <w:spacing w:line="272" w:lineRule="exact"/>
                          <w:ind w:left="110"/>
                          <w:rPr>
                            <w:sz w:val="21"/>
                          </w:rPr>
                        </w:pPr>
                        <w:r>
                          <w:rPr>
                            <w:sz w:val="21"/>
                          </w:rPr>
                          <w:t>②达到运动标准一</w:t>
                        </w:r>
                      </w:p>
                      <w:p>
                        <w:pPr>
                          <w:pStyle w:val="TableParagraph"/>
                          <w:spacing w:before="4"/>
                          <w:ind w:left="109"/>
                          <w:rPr>
                            <w:sz w:val="21"/>
                          </w:rPr>
                        </w:pPr>
                        <w:r>
                          <w:rPr>
                            <w:sz w:val="21"/>
                          </w:rPr>
                          <w:t>③达到运动标准二</w:t>
                        </w:r>
                      </w:p>
                      <w:p>
                        <w:pPr>
                          <w:pStyle w:val="TableParagraph"/>
                          <w:spacing w:line="242" w:lineRule="auto" w:before="8"/>
                          <w:ind w:left="109" w:right="35"/>
                          <w:rPr>
                            <w:sz w:val="21"/>
                          </w:rPr>
                        </w:pPr>
                        <w:r>
                          <w:rPr>
                            <w:sz w:val="21"/>
                          </w:rPr>
                          <w:t>④70 周岁前发生过一次特定轻度重疾</w:t>
                        </w:r>
                      </w:p>
                    </w:tc>
                    <w:tc>
                      <w:tcPr>
                        <w:tcW w:w="1276" w:type="dxa"/>
                        <w:tcBorders>
                          <w:bottom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
                          <w:rPr>
                            <w:sz w:val="14"/>
                          </w:rPr>
                        </w:pPr>
                      </w:p>
                      <w:p>
                        <w:pPr>
                          <w:pStyle w:val="TableParagraph"/>
                          <w:spacing w:line="320" w:lineRule="atLeast" w:before="1"/>
                          <w:ind w:left="110" w:right="97"/>
                          <w:rPr>
                            <w:sz w:val="21"/>
                          </w:rPr>
                        </w:pPr>
                        <w:r>
                          <w:rPr>
                            <w:sz w:val="21"/>
                          </w:rPr>
                          <w:t>基本重大疾病保险金</w:t>
                        </w:r>
                      </w:p>
                    </w:tc>
                    <w:tc>
                      <w:tcPr>
                        <w:tcW w:w="2270" w:type="dxa"/>
                        <w:tcBorders>
                          <w:bottom w:val="nil"/>
                        </w:tcBorders>
                      </w:tcPr>
                      <w:p>
                        <w:pPr>
                          <w:pStyle w:val="TableParagraph"/>
                          <w:spacing w:line="346" w:lineRule="exact"/>
                          <w:ind w:left="1119"/>
                          <w:rPr>
                            <w:rFonts w:ascii="Microsoft JhengHei" w:eastAsia="Microsoft JhengHei" w:hint="eastAsia"/>
                            <w:b/>
                            <w:sz w:val="21"/>
                          </w:rPr>
                        </w:pPr>
                        <w:r>
                          <w:rPr>
                            <w:rFonts w:ascii="Microsoft JhengHei" w:eastAsia="Microsoft JhengHei" w:hint="eastAsia"/>
                            <w:b/>
                            <w:sz w:val="21"/>
                          </w:rPr>
                          <w:t>重大疾病保</w:t>
                        </w:r>
                      </w:p>
                      <w:p>
                        <w:pPr>
                          <w:pStyle w:val="TableParagraph"/>
                          <w:rPr>
                            <w:sz w:val="20"/>
                          </w:rPr>
                        </w:pPr>
                      </w:p>
                      <w:p>
                        <w:pPr>
                          <w:pStyle w:val="TableParagraph"/>
                          <w:rPr>
                            <w:sz w:val="20"/>
                          </w:rPr>
                        </w:pPr>
                      </w:p>
                      <w:p>
                        <w:pPr>
                          <w:pStyle w:val="TableParagraph"/>
                          <w:rPr>
                            <w:sz w:val="20"/>
                          </w:rPr>
                        </w:pPr>
                      </w:p>
                      <w:p>
                        <w:pPr>
                          <w:pStyle w:val="TableParagraph"/>
                          <w:spacing w:before="1"/>
                          <w:rPr>
                            <w:sz w:val="19"/>
                          </w:rPr>
                        </w:pPr>
                      </w:p>
                      <w:p>
                        <w:pPr>
                          <w:pStyle w:val="TableParagraph"/>
                          <w:spacing w:line="280" w:lineRule="auto"/>
                          <w:ind w:left="110" w:right="251"/>
                          <w:rPr>
                            <w:sz w:val="21"/>
                          </w:rPr>
                        </w:pPr>
                        <w:r>
                          <w:rPr>
                            <w:sz w:val="21"/>
                          </w:rPr>
                          <w:t>达到运动标准后发生重大疾病额外给付的</w:t>
                        </w:r>
                      </w:p>
                    </w:tc>
                    <w:tc>
                      <w:tcPr>
                        <w:tcW w:w="2409" w:type="dxa"/>
                        <w:tcBorders>
                          <w:bottom w:val="nil"/>
                        </w:tcBorders>
                      </w:tcPr>
                      <w:p>
                        <w:pPr>
                          <w:pStyle w:val="TableParagraph"/>
                          <w:spacing w:line="346" w:lineRule="exact"/>
                          <w:ind w:left="116"/>
                          <w:rPr>
                            <w:rFonts w:ascii="Microsoft JhengHei" w:eastAsia="Microsoft JhengHei" w:hint="eastAsia"/>
                            <w:b/>
                            <w:sz w:val="21"/>
                          </w:rPr>
                        </w:pPr>
                        <w:r>
                          <w:rPr>
                            <w:rFonts w:ascii="Microsoft JhengHei" w:eastAsia="Microsoft JhengHei" w:hint="eastAsia"/>
                            <w:b/>
                            <w:sz w:val="21"/>
                          </w:rPr>
                          <w:t>金给付金额</w:t>
                        </w:r>
                      </w:p>
                      <w:p>
                        <w:pPr>
                          <w:pStyle w:val="TableParagraph"/>
                          <w:rPr>
                            <w:sz w:val="20"/>
                          </w:rPr>
                        </w:pPr>
                      </w:p>
                      <w:p>
                        <w:pPr>
                          <w:pStyle w:val="TableParagraph"/>
                          <w:rPr>
                            <w:sz w:val="20"/>
                          </w:rPr>
                        </w:pPr>
                      </w:p>
                      <w:p>
                        <w:pPr>
                          <w:pStyle w:val="TableParagraph"/>
                          <w:rPr>
                            <w:sz w:val="20"/>
                          </w:rPr>
                        </w:pPr>
                      </w:p>
                      <w:p>
                        <w:pPr>
                          <w:pStyle w:val="TableParagraph"/>
                          <w:spacing w:before="1"/>
                          <w:rPr>
                            <w:sz w:val="19"/>
                          </w:rPr>
                        </w:pPr>
                      </w:p>
                      <w:p>
                        <w:pPr>
                          <w:pStyle w:val="TableParagraph"/>
                          <w:spacing w:line="280" w:lineRule="auto"/>
                          <w:ind w:left="111" w:right="183"/>
                          <w:rPr>
                            <w:sz w:val="21"/>
                          </w:rPr>
                        </w:pPr>
                        <w:r>
                          <w:rPr>
                            <w:sz w:val="21"/>
                          </w:rPr>
                          <w:t>发生过特定轻度重疾后发生重大疾病额外给付</w:t>
                        </w:r>
                      </w:p>
                    </w:tc>
                    <w:tc>
                      <w:tcPr>
                        <w:tcW w:w="1156" w:type="dxa"/>
                        <w:tcBorders>
                          <w:bottom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33"/>
                          <w:ind w:left="163" w:right="145"/>
                          <w:jc w:val="center"/>
                          <w:rPr>
                            <w:sz w:val="21"/>
                          </w:rPr>
                        </w:pPr>
                        <w:r>
                          <w:rPr>
                            <w:sz w:val="21"/>
                          </w:rPr>
                          <w:t>合计</w:t>
                        </w:r>
                      </w:p>
                    </w:tc>
                  </w:tr>
                  <w:tr>
                    <w:trPr>
                      <w:trHeight w:val="1079" w:hRule="atLeast"/>
                    </w:trPr>
                    <w:tc>
                      <w:tcPr>
                        <w:tcW w:w="1958" w:type="dxa"/>
                        <w:tcBorders>
                          <w:top w:val="nil"/>
                        </w:tcBorders>
                      </w:tcPr>
                      <w:p>
                        <w:pPr>
                          <w:pStyle w:val="TableParagraph"/>
                          <w:spacing w:line="211" w:lineRule="exact"/>
                          <w:ind w:left="109"/>
                          <w:rPr>
                            <w:sz w:val="21"/>
                          </w:rPr>
                        </w:pPr>
                        <w:r>
                          <w:rPr>
                            <w:sz w:val="21"/>
                          </w:rPr>
                          <w:t>⑤70 周岁前发生过</w:t>
                        </w:r>
                      </w:p>
                      <w:p>
                        <w:pPr>
                          <w:pStyle w:val="TableParagraph"/>
                          <w:spacing w:before="8"/>
                          <w:ind w:left="109"/>
                          <w:rPr>
                            <w:sz w:val="21"/>
                          </w:rPr>
                        </w:pPr>
                        <w:r>
                          <w:rPr>
                            <w:sz w:val="21"/>
                          </w:rPr>
                          <w:t>两次特定轻度重疾</w:t>
                        </w:r>
                      </w:p>
                      <w:p>
                        <w:pPr>
                          <w:pStyle w:val="TableParagraph"/>
                          <w:spacing w:line="242" w:lineRule="auto" w:before="3"/>
                          <w:ind w:left="109" w:right="35"/>
                          <w:rPr>
                            <w:sz w:val="21"/>
                          </w:rPr>
                        </w:pPr>
                        <w:r>
                          <w:rPr>
                            <w:sz w:val="21"/>
                          </w:rPr>
                          <w:t>⑥70 周岁前发生过三次特定轻度重疾</w:t>
                        </w:r>
                      </w:p>
                    </w:tc>
                    <w:tc>
                      <w:tcPr>
                        <w:tcW w:w="1276" w:type="dxa"/>
                        <w:tcBorders>
                          <w:top w:val="nil"/>
                        </w:tcBorders>
                      </w:tcPr>
                      <w:p>
                        <w:pPr>
                          <w:pStyle w:val="TableParagraph"/>
                          <w:rPr>
                            <w:rFonts w:ascii="Times New Roman"/>
                            <w:sz w:val="20"/>
                          </w:rPr>
                        </w:pPr>
                      </w:p>
                    </w:tc>
                    <w:tc>
                      <w:tcPr>
                        <w:tcW w:w="2270" w:type="dxa"/>
                        <w:tcBorders>
                          <w:top w:val="nil"/>
                        </w:tcBorders>
                      </w:tcPr>
                      <w:p>
                        <w:pPr>
                          <w:pStyle w:val="TableParagraph"/>
                          <w:spacing w:line="120" w:lineRule="exact"/>
                          <w:ind w:left="110"/>
                          <w:rPr>
                            <w:sz w:val="21"/>
                          </w:rPr>
                        </w:pPr>
                        <w:r>
                          <w:rPr>
                            <w:sz w:val="21"/>
                          </w:rPr>
                          <w:t>重大疾病保险金</w:t>
                        </w:r>
                      </w:p>
                    </w:tc>
                    <w:tc>
                      <w:tcPr>
                        <w:tcW w:w="2409" w:type="dxa"/>
                        <w:tcBorders>
                          <w:top w:val="nil"/>
                        </w:tcBorders>
                      </w:tcPr>
                      <w:p>
                        <w:pPr>
                          <w:pStyle w:val="TableParagraph"/>
                          <w:spacing w:line="120" w:lineRule="exact"/>
                          <w:ind w:left="111"/>
                          <w:rPr>
                            <w:sz w:val="21"/>
                          </w:rPr>
                        </w:pPr>
                        <w:r>
                          <w:rPr>
                            <w:sz w:val="21"/>
                          </w:rPr>
                          <w:t>的重大疾病保险金</w:t>
                        </w:r>
                      </w:p>
                    </w:tc>
                    <w:tc>
                      <w:tcPr>
                        <w:tcW w:w="1156" w:type="dxa"/>
                        <w:tcBorders>
                          <w:top w:val="nil"/>
                        </w:tcBorders>
                      </w:tcPr>
                      <w:p>
                        <w:pPr>
                          <w:pStyle w:val="TableParagraph"/>
                          <w:rPr>
                            <w:rFonts w:ascii="Times New Roman"/>
                            <w:sz w:val="20"/>
                          </w:rPr>
                        </w:pPr>
                      </w:p>
                    </w:tc>
                  </w:tr>
                  <w:tr>
                    <w:trPr>
                      <w:trHeight w:val="316" w:hRule="atLeast"/>
                    </w:trPr>
                    <w:tc>
                      <w:tcPr>
                        <w:tcW w:w="1958" w:type="dxa"/>
                      </w:tcPr>
                      <w:p>
                        <w:pPr>
                          <w:pStyle w:val="TableParagraph"/>
                          <w:spacing w:before="9"/>
                          <w:ind w:left="19"/>
                          <w:jc w:val="center"/>
                          <w:rPr>
                            <w:sz w:val="21"/>
                          </w:rPr>
                        </w:pPr>
                        <w:r>
                          <w:rPr>
                            <w:w w:val="100"/>
                            <w:sz w:val="21"/>
                          </w:rPr>
                          <w:t>①</w:t>
                        </w:r>
                      </w:p>
                    </w:tc>
                    <w:tc>
                      <w:tcPr>
                        <w:tcW w:w="1276" w:type="dxa"/>
                      </w:tcPr>
                      <w:p>
                        <w:pPr>
                          <w:pStyle w:val="TableParagraph"/>
                          <w:spacing w:before="9"/>
                          <w:ind w:left="253" w:right="237"/>
                          <w:jc w:val="center"/>
                          <w:rPr>
                            <w:sz w:val="21"/>
                          </w:rPr>
                        </w:pPr>
                        <w:r>
                          <w:rPr>
                            <w:sz w:val="21"/>
                          </w:rPr>
                          <w:t>50 万元</w:t>
                        </w:r>
                      </w:p>
                    </w:tc>
                    <w:tc>
                      <w:tcPr>
                        <w:tcW w:w="2270" w:type="dxa"/>
                      </w:tcPr>
                      <w:p>
                        <w:pPr>
                          <w:pStyle w:val="TableParagraph"/>
                          <w:spacing w:before="9"/>
                          <w:ind w:left="17"/>
                          <w:jc w:val="center"/>
                          <w:rPr>
                            <w:sz w:val="21"/>
                          </w:rPr>
                        </w:pPr>
                        <w:r>
                          <w:rPr>
                            <w:w w:val="100"/>
                            <w:sz w:val="21"/>
                          </w:rPr>
                          <w:t>/</w:t>
                        </w:r>
                      </w:p>
                    </w:tc>
                    <w:tc>
                      <w:tcPr>
                        <w:tcW w:w="2409" w:type="dxa"/>
                      </w:tcPr>
                      <w:p>
                        <w:pPr>
                          <w:pStyle w:val="TableParagraph"/>
                          <w:spacing w:before="9"/>
                          <w:ind w:left="13"/>
                          <w:jc w:val="center"/>
                          <w:rPr>
                            <w:sz w:val="21"/>
                          </w:rPr>
                        </w:pPr>
                        <w:r>
                          <w:rPr>
                            <w:w w:val="100"/>
                            <w:sz w:val="21"/>
                          </w:rPr>
                          <w:t>/</w:t>
                        </w:r>
                      </w:p>
                    </w:tc>
                    <w:tc>
                      <w:tcPr>
                        <w:tcW w:w="1156" w:type="dxa"/>
                      </w:tcPr>
                      <w:p>
                        <w:pPr>
                          <w:pStyle w:val="TableParagraph"/>
                          <w:spacing w:before="9"/>
                          <w:ind w:left="169" w:right="145"/>
                          <w:jc w:val="center"/>
                          <w:rPr>
                            <w:sz w:val="21"/>
                          </w:rPr>
                        </w:pPr>
                        <w:r>
                          <w:rPr>
                            <w:sz w:val="21"/>
                          </w:rPr>
                          <w:t>50 万元</w:t>
                        </w:r>
                      </w:p>
                    </w:tc>
                  </w:tr>
                  <w:tr>
                    <w:trPr>
                      <w:trHeight w:val="354" w:hRule="atLeast"/>
                    </w:trPr>
                    <w:tc>
                      <w:tcPr>
                        <w:tcW w:w="1958" w:type="dxa"/>
                      </w:tcPr>
                      <w:p>
                        <w:pPr>
                          <w:pStyle w:val="TableParagraph"/>
                          <w:spacing w:before="28"/>
                          <w:ind w:left="78" w:right="59"/>
                          <w:jc w:val="center"/>
                          <w:rPr>
                            <w:sz w:val="21"/>
                          </w:rPr>
                        </w:pPr>
                        <w:r>
                          <w:rPr>
                            <w:sz w:val="21"/>
                          </w:rPr>
                          <w:t>①②</w:t>
                        </w:r>
                      </w:p>
                    </w:tc>
                    <w:tc>
                      <w:tcPr>
                        <w:tcW w:w="1276" w:type="dxa"/>
                      </w:tcPr>
                      <w:p>
                        <w:pPr>
                          <w:pStyle w:val="TableParagraph"/>
                          <w:spacing w:before="28"/>
                          <w:ind w:left="252" w:right="237"/>
                          <w:jc w:val="center"/>
                          <w:rPr>
                            <w:sz w:val="21"/>
                          </w:rPr>
                        </w:pPr>
                        <w:r>
                          <w:rPr>
                            <w:sz w:val="21"/>
                          </w:rPr>
                          <w:t>50 万元</w:t>
                        </w:r>
                      </w:p>
                    </w:tc>
                    <w:tc>
                      <w:tcPr>
                        <w:tcW w:w="2270" w:type="dxa"/>
                      </w:tcPr>
                      <w:p>
                        <w:pPr>
                          <w:pStyle w:val="TableParagraph"/>
                          <w:spacing w:before="28"/>
                          <w:ind w:left="139"/>
                          <w:rPr>
                            <w:sz w:val="21"/>
                          </w:rPr>
                        </w:pPr>
                        <w:r>
                          <w:rPr>
                            <w:sz w:val="21"/>
                          </w:rPr>
                          <w:t>50 万元×5 =2.5 万元</w:t>
                        </w:r>
                      </w:p>
                    </w:tc>
                    <w:tc>
                      <w:tcPr>
                        <w:tcW w:w="2409" w:type="dxa"/>
                      </w:tcPr>
                      <w:p>
                        <w:pPr>
                          <w:pStyle w:val="TableParagraph"/>
                          <w:spacing w:before="28"/>
                          <w:ind w:left="12"/>
                          <w:jc w:val="center"/>
                          <w:rPr>
                            <w:sz w:val="21"/>
                          </w:rPr>
                        </w:pPr>
                        <w:r>
                          <w:rPr>
                            <w:w w:val="100"/>
                            <w:sz w:val="21"/>
                          </w:rPr>
                          <w:t>/</w:t>
                        </w:r>
                      </w:p>
                    </w:tc>
                    <w:tc>
                      <w:tcPr>
                        <w:tcW w:w="1156" w:type="dxa"/>
                      </w:tcPr>
                      <w:p>
                        <w:pPr>
                          <w:pStyle w:val="TableParagraph"/>
                          <w:spacing w:before="28"/>
                          <w:ind w:left="136"/>
                          <w:rPr>
                            <w:sz w:val="21"/>
                          </w:rPr>
                        </w:pPr>
                        <w:r>
                          <w:rPr>
                            <w:sz w:val="21"/>
                          </w:rPr>
                          <w:t>52.5 万元</w:t>
                        </w:r>
                      </w:p>
                    </w:tc>
                  </w:tr>
                  <w:tr>
                    <w:trPr>
                      <w:trHeight w:val="321" w:hRule="atLeast"/>
                    </w:trPr>
                    <w:tc>
                      <w:tcPr>
                        <w:tcW w:w="1958" w:type="dxa"/>
                      </w:tcPr>
                      <w:p>
                        <w:pPr>
                          <w:pStyle w:val="TableParagraph"/>
                          <w:spacing w:before="9"/>
                          <w:ind w:left="78" w:right="59"/>
                          <w:jc w:val="center"/>
                          <w:rPr>
                            <w:sz w:val="21"/>
                          </w:rPr>
                        </w:pPr>
                        <w:r>
                          <w:rPr>
                            <w:sz w:val="21"/>
                          </w:rPr>
                          <w:t>①③</w:t>
                        </w:r>
                      </w:p>
                    </w:tc>
                    <w:tc>
                      <w:tcPr>
                        <w:tcW w:w="1276" w:type="dxa"/>
                      </w:tcPr>
                      <w:p>
                        <w:pPr>
                          <w:pStyle w:val="TableParagraph"/>
                          <w:spacing w:before="9"/>
                          <w:ind w:left="252" w:right="237"/>
                          <w:jc w:val="center"/>
                          <w:rPr>
                            <w:sz w:val="21"/>
                          </w:rPr>
                        </w:pPr>
                        <w:r>
                          <w:rPr>
                            <w:sz w:val="21"/>
                          </w:rPr>
                          <w:t>50 万元</w:t>
                        </w:r>
                      </w:p>
                    </w:tc>
                    <w:tc>
                      <w:tcPr>
                        <w:tcW w:w="2270" w:type="dxa"/>
                      </w:tcPr>
                      <w:p>
                        <w:pPr>
                          <w:pStyle w:val="TableParagraph"/>
                          <w:spacing w:before="9"/>
                          <w:ind w:left="192"/>
                          <w:rPr>
                            <w:sz w:val="21"/>
                          </w:rPr>
                        </w:pPr>
                        <w:r>
                          <w:rPr>
                            <w:sz w:val="21"/>
                          </w:rPr>
                          <w:t>50</w:t>
                        </w:r>
                        <w:r>
                          <w:rPr>
                            <w:spacing w:val="-18"/>
                            <w:sz w:val="21"/>
                          </w:rPr>
                          <w:t> 万元</w:t>
                        </w:r>
                        <w:r>
                          <w:rPr>
                            <w:sz w:val="21"/>
                          </w:rPr>
                          <w:t>×10=5</w:t>
                        </w:r>
                        <w:r>
                          <w:rPr>
                            <w:spacing w:val="-18"/>
                            <w:sz w:val="21"/>
                          </w:rPr>
                          <w:t> 万元</w:t>
                        </w:r>
                      </w:p>
                    </w:tc>
                    <w:tc>
                      <w:tcPr>
                        <w:tcW w:w="2409" w:type="dxa"/>
                      </w:tcPr>
                      <w:p>
                        <w:pPr>
                          <w:pStyle w:val="TableParagraph"/>
                          <w:spacing w:before="9"/>
                          <w:ind w:left="12"/>
                          <w:jc w:val="center"/>
                          <w:rPr>
                            <w:sz w:val="21"/>
                          </w:rPr>
                        </w:pPr>
                        <w:r>
                          <w:rPr>
                            <w:w w:val="100"/>
                            <w:sz w:val="21"/>
                          </w:rPr>
                          <w:t>/</w:t>
                        </w:r>
                      </w:p>
                    </w:tc>
                    <w:tc>
                      <w:tcPr>
                        <w:tcW w:w="1156" w:type="dxa"/>
                      </w:tcPr>
                      <w:p>
                        <w:pPr>
                          <w:pStyle w:val="TableParagraph"/>
                          <w:spacing w:before="9"/>
                          <w:ind w:left="168" w:right="145"/>
                          <w:jc w:val="center"/>
                          <w:rPr>
                            <w:sz w:val="21"/>
                          </w:rPr>
                        </w:pPr>
                        <w:r>
                          <w:rPr>
                            <w:sz w:val="21"/>
                          </w:rPr>
                          <w:t>55 万元</w:t>
                        </w:r>
                      </w:p>
                    </w:tc>
                  </w:tr>
                  <w:tr>
                    <w:trPr>
                      <w:trHeight w:val="388" w:hRule="atLeast"/>
                    </w:trPr>
                    <w:tc>
                      <w:tcPr>
                        <w:tcW w:w="1958" w:type="dxa"/>
                      </w:tcPr>
                      <w:p>
                        <w:pPr>
                          <w:pStyle w:val="TableParagraph"/>
                          <w:spacing w:before="42"/>
                          <w:ind w:left="78" w:right="59"/>
                          <w:jc w:val="center"/>
                          <w:rPr>
                            <w:sz w:val="21"/>
                          </w:rPr>
                        </w:pPr>
                        <w:r>
                          <w:rPr>
                            <w:sz w:val="21"/>
                          </w:rPr>
                          <w:t>①④</w:t>
                        </w:r>
                      </w:p>
                    </w:tc>
                    <w:tc>
                      <w:tcPr>
                        <w:tcW w:w="1276" w:type="dxa"/>
                      </w:tcPr>
                      <w:p>
                        <w:pPr>
                          <w:pStyle w:val="TableParagraph"/>
                          <w:spacing w:before="42"/>
                          <w:ind w:left="252" w:right="237"/>
                          <w:jc w:val="center"/>
                          <w:rPr>
                            <w:sz w:val="21"/>
                          </w:rPr>
                        </w:pPr>
                        <w:r>
                          <w:rPr>
                            <w:sz w:val="21"/>
                          </w:rPr>
                          <w:t>50 万元</w:t>
                        </w:r>
                      </w:p>
                    </w:tc>
                    <w:tc>
                      <w:tcPr>
                        <w:tcW w:w="2270" w:type="dxa"/>
                      </w:tcPr>
                      <w:p>
                        <w:pPr>
                          <w:pStyle w:val="TableParagraph"/>
                          <w:spacing w:before="42"/>
                          <w:ind w:left="16"/>
                          <w:jc w:val="center"/>
                          <w:rPr>
                            <w:sz w:val="21"/>
                          </w:rPr>
                        </w:pPr>
                        <w:r>
                          <w:rPr>
                            <w:w w:val="100"/>
                            <w:sz w:val="21"/>
                          </w:rPr>
                          <w:t>/</w:t>
                        </w:r>
                      </w:p>
                    </w:tc>
                    <w:tc>
                      <w:tcPr>
                        <w:tcW w:w="2409" w:type="dxa"/>
                      </w:tcPr>
                      <w:p>
                        <w:pPr>
                          <w:pStyle w:val="TableParagraph"/>
                          <w:spacing w:before="42"/>
                          <w:ind w:right="187"/>
                          <w:jc w:val="right"/>
                          <w:rPr>
                            <w:sz w:val="21"/>
                          </w:rPr>
                        </w:pPr>
                        <w:r>
                          <w:rPr>
                            <w:sz w:val="21"/>
                          </w:rPr>
                          <w:t>50 万元×30=15 万元</w:t>
                        </w:r>
                      </w:p>
                    </w:tc>
                    <w:tc>
                      <w:tcPr>
                        <w:tcW w:w="1156" w:type="dxa"/>
                      </w:tcPr>
                      <w:p>
                        <w:pPr>
                          <w:pStyle w:val="TableParagraph"/>
                          <w:spacing w:before="42"/>
                          <w:ind w:left="168" w:right="145"/>
                          <w:jc w:val="center"/>
                          <w:rPr>
                            <w:sz w:val="21"/>
                          </w:rPr>
                        </w:pPr>
                        <w:r>
                          <w:rPr>
                            <w:sz w:val="21"/>
                          </w:rPr>
                          <w:t>65 万元</w:t>
                        </w:r>
                      </w:p>
                    </w:tc>
                  </w:tr>
                  <w:tr>
                    <w:trPr>
                      <w:trHeight w:val="455" w:hRule="atLeast"/>
                    </w:trPr>
                    <w:tc>
                      <w:tcPr>
                        <w:tcW w:w="1958" w:type="dxa"/>
                      </w:tcPr>
                      <w:p>
                        <w:pPr>
                          <w:pStyle w:val="TableParagraph"/>
                          <w:spacing w:before="76"/>
                          <w:ind w:left="78" w:right="59"/>
                          <w:jc w:val="center"/>
                          <w:rPr>
                            <w:sz w:val="21"/>
                          </w:rPr>
                        </w:pPr>
                        <w:r>
                          <w:rPr>
                            <w:sz w:val="21"/>
                          </w:rPr>
                          <w:t>①⑤</w:t>
                        </w:r>
                      </w:p>
                    </w:tc>
                    <w:tc>
                      <w:tcPr>
                        <w:tcW w:w="1276" w:type="dxa"/>
                      </w:tcPr>
                      <w:p>
                        <w:pPr>
                          <w:pStyle w:val="TableParagraph"/>
                          <w:spacing w:before="76"/>
                          <w:ind w:left="252" w:right="237"/>
                          <w:jc w:val="center"/>
                          <w:rPr>
                            <w:sz w:val="21"/>
                          </w:rPr>
                        </w:pPr>
                        <w:r>
                          <w:rPr>
                            <w:sz w:val="21"/>
                          </w:rPr>
                          <w:t>50 万元</w:t>
                        </w:r>
                      </w:p>
                    </w:tc>
                    <w:tc>
                      <w:tcPr>
                        <w:tcW w:w="2270" w:type="dxa"/>
                      </w:tcPr>
                      <w:p>
                        <w:pPr>
                          <w:pStyle w:val="TableParagraph"/>
                          <w:spacing w:before="76"/>
                          <w:ind w:left="16"/>
                          <w:jc w:val="center"/>
                          <w:rPr>
                            <w:sz w:val="21"/>
                          </w:rPr>
                        </w:pPr>
                        <w:r>
                          <w:rPr>
                            <w:w w:val="100"/>
                            <w:sz w:val="21"/>
                          </w:rPr>
                          <w:t>/</w:t>
                        </w:r>
                      </w:p>
                    </w:tc>
                    <w:tc>
                      <w:tcPr>
                        <w:tcW w:w="2409" w:type="dxa"/>
                      </w:tcPr>
                      <w:p>
                        <w:pPr>
                          <w:pStyle w:val="TableParagraph"/>
                          <w:spacing w:before="76"/>
                          <w:ind w:right="187"/>
                          <w:jc w:val="right"/>
                          <w:rPr>
                            <w:sz w:val="21"/>
                          </w:rPr>
                        </w:pPr>
                        <w:r>
                          <w:rPr>
                            <w:sz w:val="21"/>
                          </w:rPr>
                          <w:t>50 万元×60=30 万元</w:t>
                        </w:r>
                      </w:p>
                    </w:tc>
                    <w:tc>
                      <w:tcPr>
                        <w:tcW w:w="1156" w:type="dxa"/>
                      </w:tcPr>
                      <w:p>
                        <w:pPr>
                          <w:pStyle w:val="TableParagraph"/>
                          <w:spacing w:before="76"/>
                          <w:ind w:left="168" w:right="145"/>
                          <w:jc w:val="center"/>
                          <w:rPr>
                            <w:sz w:val="21"/>
                          </w:rPr>
                        </w:pPr>
                        <w:r>
                          <w:rPr>
                            <w:sz w:val="21"/>
                          </w:rPr>
                          <w:t>80 万元</w:t>
                        </w:r>
                      </w:p>
                    </w:tc>
                  </w:tr>
                  <w:tr>
                    <w:trPr>
                      <w:trHeight w:val="450" w:hRule="atLeast"/>
                    </w:trPr>
                    <w:tc>
                      <w:tcPr>
                        <w:tcW w:w="1958" w:type="dxa"/>
                      </w:tcPr>
                      <w:p>
                        <w:pPr>
                          <w:pStyle w:val="TableParagraph"/>
                          <w:spacing w:before="76"/>
                          <w:ind w:left="78" w:right="59"/>
                          <w:jc w:val="center"/>
                          <w:rPr>
                            <w:sz w:val="21"/>
                          </w:rPr>
                        </w:pPr>
                        <w:r>
                          <w:rPr>
                            <w:sz w:val="21"/>
                          </w:rPr>
                          <w:t>①⑥</w:t>
                        </w:r>
                      </w:p>
                    </w:tc>
                    <w:tc>
                      <w:tcPr>
                        <w:tcW w:w="1276" w:type="dxa"/>
                      </w:tcPr>
                      <w:p>
                        <w:pPr>
                          <w:pStyle w:val="TableParagraph"/>
                          <w:spacing w:before="76"/>
                          <w:ind w:left="252" w:right="237"/>
                          <w:jc w:val="center"/>
                          <w:rPr>
                            <w:sz w:val="21"/>
                          </w:rPr>
                        </w:pPr>
                        <w:r>
                          <w:rPr>
                            <w:sz w:val="21"/>
                          </w:rPr>
                          <w:t>50 万元</w:t>
                        </w:r>
                      </w:p>
                    </w:tc>
                    <w:tc>
                      <w:tcPr>
                        <w:tcW w:w="2270" w:type="dxa"/>
                      </w:tcPr>
                      <w:p>
                        <w:pPr>
                          <w:pStyle w:val="TableParagraph"/>
                          <w:spacing w:before="76"/>
                          <w:ind w:left="16"/>
                          <w:jc w:val="center"/>
                          <w:rPr>
                            <w:sz w:val="21"/>
                          </w:rPr>
                        </w:pPr>
                        <w:r>
                          <w:rPr>
                            <w:w w:val="100"/>
                            <w:sz w:val="21"/>
                          </w:rPr>
                          <w:t>/</w:t>
                        </w:r>
                      </w:p>
                    </w:tc>
                    <w:tc>
                      <w:tcPr>
                        <w:tcW w:w="2409" w:type="dxa"/>
                      </w:tcPr>
                      <w:p>
                        <w:pPr>
                          <w:pStyle w:val="TableParagraph"/>
                          <w:spacing w:before="9"/>
                          <w:ind w:right="187"/>
                          <w:jc w:val="right"/>
                          <w:rPr>
                            <w:sz w:val="21"/>
                          </w:rPr>
                        </w:pPr>
                        <w:r>
                          <w:rPr>
                            <w:sz w:val="21"/>
                          </w:rPr>
                          <w:t>50 万元×90=45 万元</w:t>
                        </w:r>
                      </w:p>
                    </w:tc>
                    <w:tc>
                      <w:tcPr>
                        <w:tcW w:w="1156" w:type="dxa"/>
                      </w:tcPr>
                      <w:p>
                        <w:pPr>
                          <w:pStyle w:val="TableParagraph"/>
                          <w:spacing w:before="76"/>
                          <w:ind w:left="168" w:right="145"/>
                          <w:jc w:val="center"/>
                          <w:rPr>
                            <w:sz w:val="21"/>
                          </w:rPr>
                        </w:pPr>
                        <w:r>
                          <w:rPr>
                            <w:sz w:val="21"/>
                          </w:rPr>
                          <w:t>95 万元</w:t>
                        </w:r>
                      </w:p>
                    </w:tc>
                  </w:tr>
                </w:tbl>
                <w:p>
                  <w:pPr>
                    <w:pStyle w:val="BodyText"/>
                  </w:pPr>
                </w:p>
              </w:txbxContent>
            </v:textbox>
            <w10:wrap type="none"/>
          </v:shape>
        </w:pict>
      </w:r>
      <w:r>
        <w:rPr>
          <w:w w:val="100"/>
        </w:rPr>
        <w:t>险</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11"/>
        <w:rPr>
          <w:rFonts w:ascii="Microsoft JhengHei"/>
          <w:b/>
          <w:sz w:val="26"/>
        </w:rPr>
      </w:pPr>
    </w:p>
    <w:p>
      <w:pPr>
        <w:spacing w:line="316" w:lineRule="auto" w:before="0"/>
        <w:ind w:left="8542" w:right="154" w:firstLine="0"/>
        <w:jc w:val="left"/>
        <w:rPr>
          <w:sz w:val="18"/>
        </w:rPr>
      </w:pPr>
      <w:r>
        <w:rPr>
          <w:sz w:val="18"/>
        </w:rPr>
        <w:t>险种简称：守护福险种代码：1272</w:t>
      </w:r>
    </w:p>
    <w:p>
      <w:pPr>
        <w:spacing w:after="0" w:line="316" w:lineRule="auto"/>
        <w:jc w:val="left"/>
        <w:rPr>
          <w:sz w:val="18"/>
        </w:rPr>
        <w:sectPr>
          <w:type w:val="continuous"/>
          <w:pgSz w:w="11910" w:h="16840"/>
          <w:pgMar w:top="520" w:bottom="280" w:left="880" w:right="880"/>
        </w:sectPr>
      </w:pPr>
    </w:p>
    <w:p>
      <w:pPr>
        <w:pStyle w:val="BodyText"/>
        <w:spacing w:before="9"/>
        <w:rPr>
          <w:sz w:val="4"/>
        </w:rPr>
      </w:pPr>
    </w:p>
    <w:tbl>
      <w:tblPr>
        <w:tblW w:w="0" w:type="auto"/>
        <w:jc w:val="left"/>
        <w:tblInd w:w="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8"/>
        <w:gridCol w:w="1046"/>
        <w:gridCol w:w="230"/>
        <w:gridCol w:w="2179"/>
        <w:gridCol w:w="91"/>
        <w:gridCol w:w="2409"/>
        <w:gridCol w:w="1156"/>
      </w:tblGrid>
      <w:tr>
        <w:trPr>
          <w:trHeight w:val="450" w:hRule="atLeast"/>
        </w:trPr>
        <w:tc>
          <w:tcPr>
            <w:tcW w:w="1958" w:type="dxa"/>
          </w:tcPr>
          <w:p>
            <w:pPr>
              <w:pStyle w:val="TableParagraph"/>
              <w:spacing w:before="76"/>
              <w:ind w:left="78" w:right="59"/>
              <w:jc w:val="center"/>
              <w:rPr>
                <w:sz w:val="21"/>
              </w:rPr>
            </w:pPr>
            <w:r>
              <w:rPr>
                <w:sz w:val="21"/>
              </w:rPr>
              <w:t>①②④</w:t>
            </w:r>
          </w:p>
        </w:tc>
        <w:tc>
          <w:tcPr>
            <w:tcW w:w="1276" w:type="dxa"/>
            <w:gridSpan w:val="2"/>
          </w:tcPr>
          <w:p>
            <w:pPr>
              <w:pStyle w:val="TableParagraph"/>
              <w:spacing w:before="76"/>
              <w:ind w:left="297"/>
              <w:rPr>
                <w:sz w:val="21"/>
              </w:rPr>
            </w:pPr>
            <w:r>
              <w:rPr>
                <w:sz w:val="21"/>
              </w:rPr>
              <w:t>50 万元</w:t>
            </w:r>
          </w:p>
        </w:tc>
        <w:tc>
          <w:tcPr>
            <w:tcW w:w="2270" w:type="dxa"/>
            <w:gridSpan w:val="2"/>
          </w:tcPr>
          <w:p>
            <w:pPr>
              <w:pStyle w:val="TableParagraph"/>
              <w:spacing w:before="76"/>
              <w:ind w:left="139"/>
              <w:rPr>
                <w:sz w:val="21"/>
              </w:rPr>
            </w:pPr>
            <w:r>
              <w:rPr>
                <w:sz w:val="21"/>
              </w:rPr>
              <w:t>50 万元×5 =2.5 万元</w:t>
            </w:r>
          </w:p>
        </w:tc>
        <w:tc>
          <w:tcPr>
            <w:tcW w:w="2409" w:type="dxa"/>
          </w:tcPr>
          <w:p>
            <w:pPr>
              <w:pStyle w:val="TableParagraph"/>
              <w:spacing w:before="76"/>
              <w:ind w:left="207"/>
              <w:rPr>
                <w:sz w:val="21"/>
              </w:rPr>
            </w:pPr>
            <w:r>
              <w:rPr>
                <w:sz w:val="21"/>
              </w:rPr>
              <w:t>50</w:t>
            </w:r>
            <w:r>
              <w:rPr>
                <w:spacing w:val="-17"/>
                <w:sz w:val="21"/>
              </w:rPr>
              <w:t> 万元</w:t>
            </w:r>
            <w:r>
              <w:rPr>
                <w:sz w:val="21"/>
              </w:rPr>
              <w:t>×30=15</w:t>
            </w:r>
            <w:r>
              <w:rPr>
                <w:spacing w:val="-17"/>
                <w:sz w:val="21"/>
              </w:rPr>
              <w:t> 万元</w:t>
            </w:r>
          </w:p>
        </w:tc>
        <w:tc>
          <w:tcPr>
            <w:tcW w:w="1156" w:type="dxa"/>
          </w:tcPr>
          <w:p>
            <w:pPr>
              <w:pStyle w:val="TableParagraph"/>
              <w:spacing w:before="76"/>
              <w:ind w:left="136"/>
              <w:rPr>
                <w:sz w:val="21"/>
              </w:rPr>
            </w:pPr>
            <w:r>
              <w:rPr>
                <w:sz w:val="21"/>
              </w:rPr>
              <w:t>67.5 万元</w:t>
            </w:r>
          </w:p>
        </w:tc>
      </w:tr>
      <w:tr>
        <w:trPr>
          <w:trHeight w:val="455" w:hRule="atLeast"/>
        </w:trPr>
        <w:tc>
          <w:tcPr>
            <w:tcW w:w="1958" w:type="dxa"/>
          </w:tcPr>
          <w:p>
            <w:pPr>
              <w:pStyle w:val="TableParagraph"/>
              <w:spacing w:before="76"/>
              <w:ind w:left="78" w:right="59"/>
              <w:jc w:val="center"/>
              <w:rPr>
                <w:sz w:val="21"/>
              </w:rPr>
            </w:pPr>
            <w:r>
              <w:rPr>
                <w:sz w:val="21"/>
              </w:rPr>
              <w:t>①②⑤</w:t>
            </w:r>
          </w:p>
        </w:tc>
        <w:tc>
          <w:tcPr>
            <w:tcW w:w="1276" w:type="dxa"/>
            <w:gridSpan w:val="2"/>
          </w:tcPr>
          <w:p>
            <w:pPr>
              <w:pStyle w:val="TableParagraph"/>
              <w:spacing w:before="76"/>
              <w:ind w:left="297"/>
              <w:rPr>
                <w:sz w:val="21"/>
              </w:rPr>
            </w:pPr>
            <w:r>
              <w:rPr>
                <w:sz w:val="21"/>
              </w:rPr>
              <w:t>50 万元</w:t>
            </w:r>
          </w:p>
        </w:tc>
        <w:tc>
          <w:tcPr>
            <w:tcW w:w="2270" w:type="dxa"/>
            <w:gridSpan w:val="2"/>
          </w:tcPr>
          <w:p>
            <w:pPr>
              <w:pStyle w:val="TableParagraph"/>
              <w:spacing w:before="76"/>
              <w:ind w:left="139"/>
              <w:rPr>
                <w:sz w:val="21"/>
              </w:rPr>
            </w:pPr>
            <w:r>
              <w:rPr>
                <w:sz w:val="21"/>
              </w:rPr>
              <w:t>50 万元×5 =2.5 万元</w:t>
            </w:r>
          </w:p>
        </w:tc>
        <w:tc>
          <w:tcPr>
            <w:tcW w:w="2409" w:type="dxa"/>
          </w:tcPr>
          <w:p>
            <w:pPr>
              <w:pStyle w:val="TableParagraph"/>
              <w:spacing w:before="76"/>
              <w:ind w:left="207"/>
              <w:rPr>
                <w:sz w:val="21"/>
              </w:rPr>
            </w:pPr>
            <w:r>
              <w:rPr>
                <w:sz w:val="21"/>
              </w:rPr>
              <w:t>50</w:t>
            </w:r>
            <w:r>
              <w:rPr>
                <w:spacing w:val="-17"/>
                <w:sz w:val="21"/>
              </w:rPr>
              <w:t> 万元</w:t>
            </w:r>
            <w:r>
              <w:rPr>
                <w:sz w:val="21"/>
              </w:rPr>
              <w:t>×60=30</w:t>
            </w:r>
            <w:r>
              <w:rPr>
                <w:spacing w:val="-17"/>
                <w:sz w:val="21"/>
              </w:rPr>
              <w:t> 万元</w:t>
            </w:r>
          </w:p>
        </w:tc>
        <w:tc>
          <w:tcPr>
            <w:tcW w:w="1156" w:type="dxa"/>
          </w:tcPr>
          <w:p>
            <w:pPr>
              <w:pStyle w:val="TableParagraph"/>
              <w:spacing w:before="76"/>
              <w:ind w:left="136"/>
              <w:rPr>
                <w:sz w:val="21"/>
              </w:rPr>
            </w:pPr>
            <w:r>
              <w:rPr>
                <w:sz w:val="21"/>
              </w:rPr>
              <w:t>82.5 万元</w:t>
            </w:r>
          </w:p>
        </w:tc>
      </w:tr>
      <w:tr>
        <w:trPr>
          <w:trHeight w:val="455" w:hRule="atLeast"/>
        </w:trPr>
        <w:tc>
          <w:tcPr>
            <w:tcW w:w="1958" w:type="dxa"/>
          </w:tcPr>
          <w:p>
            <w:pPr>
              <w:pStyle w:val="TableParagraph"/>
              <w:spacing w:before="76"/>
              <w:ind w:left="78" w:right="59"/>
              <w:jc w:val="center"/>
              <w:rPr>
                <w:sz w:val="21"/>
              </w:rPr>
            </w:pPr>
            <w:r>
              <w:rPr>
                <w:sz w:val="21"/>
              </w:rPr>
              <w:t>①②⑥</w:t>
            </w:r>
          </w:p>
        </w:tc>
        <w:tc>
          <w:tcPr>
            <w:tcW w:w="1276" w:type="dxa"/>
            <w:gridSpan w:val="2"/>
          </w:tcPr>
          <w:p>
            <w:pPr>
              <w:pStyle w:val="TableParagraph"/>
              <w:spacing w:before="76"/>
              <w:ind w:left="297"/>
              <w:rPr>
                <w:sz w:val="21"/>
              </w:rPr>
            </w:pPr>
            <w:r>
              <w:rPr>
                <w:sz w:val="21"/>
              </w:rPr>
              <w:t>50 万元</w:t>
            </w:r>
          </w:p>
        </w:tc>
        <w:tc>
          <w:tcPr>
            <w:tcW w:w="2270" w:type="dxa"/>
            <w:gridSpan w:val="2"/>
          </w:tcPr>
          <w:p>
            <w:pPr>
              <w:pStyle w:val="TableParagraph"/>
              <w:spacing w:before="76"/>
              <w:ind w:left="139"/>
              <w:rPr>
                <w:sz w:val="21"/>
              </w:rPr>
            </w:pPr>
            <w:r>
              <w:rPr>
                <w:sz w:val="21"/>
              </w:rPr>
              <w:t>50 万元×5 =2.5 万元</w:t>
            </w:r>
          </w:p>
        </w:tc>
        <w:tc>
          <w:tcPr>
            <w:tcW w:w="2409" w:type="dxa"/>
          </w:tcPr>
          <w:p>
            <w:pPr>
              <w:pStyle w:val="TableParagraph"/>
              <w:spacing w:before="76"/>
              <w:ind w:left="207"/>
              <w:rPr>
                <w:sz w:val="21"/>
              </w:rPr>
            </w:pPr>
            <w:r>
              <w:rPr>
                <w:sz w:val="21"/>
              </w:rPr>
              <w:t>50</w:t>
            </w:r>
            <w:r>
              <w:rPr>
                <w:spacing w:val="-17"/>
                <w:sz w:val="21"/>
              </w:rPr>
              <w:t> 万元</w:t>
            </w:r>
            <w:r>
              <w:rPr>
                <w:sz w:val="21"/>
              </w:rPr>
              <w:t>×90=45</w:t>
            </w:r>
            <w:r>
              <w:rPr>
                <w:spacing w:val="-17"/>
                <w:sz w:val="21"/>
              </w:rPr>
              <w:t> 万元</w:t>
            </w:r>
          </w:p>
        </w:tc>
        <w:tc>
          <w:tcPr>
            <w:tcW w:w="1156" w:type="dxa"/>
          </w:tcPr>
          <w:p>
            <w:pPr>
              <w:pStyle w:val="TableParagraph"/>
              <w:spacing w:before="76"/>
              <w:ind w:left="136"/>
              <w:rPr>
                <w:sz w:val="21"/>
              </w:rPr>
            </w:pPr>
            <w:r>
              <w:rPr>
                <w:sz w:val="21"/>
              </w:rPr>
              <w:t>97.5 万元</w:t>
            </w:r>
          </w:p>
        </w:tc>
      </w:tr>
      <w:tr>
        <w:trPr>
          <w:trHeight w:val="450" w:hRule="atLeast"/>
        </w:trPr>
        <w:tc>
          <w:tcPr>
            <w:tcW w:w="1958" w:type="dxa"/>
          </w:tcPr>
          <w:p>
            <w:pPr>
              <w:pStyle w:val="TableParagraph"/>
              <w:spacing w:before="76"/>
              <w:ind w:left="78" w:right="59"/>
              <w:jc w:val="center"/>
              <w:rPr>
                <w:sz w:val="21"/>
              </w:rPr>
            </w:pPr>
            <w:r>
              <w:rPr>
                <w:sz w:val="21"/>
              </w:rPr>
              <w:t>①③④</w:t>
            </w:r>
          </w:p>
        </w:tc>
        <w:tc>
          <w:tcPr>
            <w:tcW w:w="1276" w:type="dxa"/>
            <w:gridSpan w:val="2"/>
          </w:tcPr>
          <w:p>
            <w:pPr>
              <w:pStyle w:val="TableParagraph"/>
              <w:spacing w:before="76"/>
              <w:ind w:left="297"/>
              <w:rPr>
                <w:sz w:val="21"/>
              </w:rPr>
            </w:pPr>
            <w:r>
              <w:rPr>
                <w:sz w:val="21"/>
              </w:rPr>
              <w:t>50 万元</w:t>
            </w:r>
          </w:p>
        </w:tc>
        <w:tc>
          <w:tcPr>
            <w:tcW w:w="2270" w:type="dxa"/>
            <w:gridSpan w:val="2"/>
          </w:tcPr>
          <w:p>
            <w:pPr>
              <w:pStyle w:val="TableParagraph"/>
              <w:spacing w:before="76"/>
              <w:ind w:left="192"/>
              <w:rPr>
                <w:sz w:val="21"/>
              </w:rPr>
            </w:pPr>
            <w:r>
              <w:rPr>
                <w:sz w:val="21"/>
              </w:rPr>
              <w:t>50</w:t>
            </w:r>
            <w:r>
              <w:rPr>
                <w:spacing w:val="-18"/>
                <w:sz w:val="21"/>
              </w:rPr>
              <w:t> 万元</w:t>
            </w:r>
            <w:r>
              <w:rPr>
                <w:sz w:val="21"/>
              </w:rPr>
              <w:t>×10=5</w:t>
            </w:r>
            <w:r>
              <w:rPr>
                <w:spacing w:val="-18"/>
                <w:sz w:val="21"/>
              </w:rPr>
              <w:t> 万元</w:t>
            </w:r>
          </w:p>
        </w:tc>
        <w:tc>
          <w:tcPr>
            <w:tcW w:w="2409" w:type="dxa"/>
          </w:tcPr>
          <w:p>
            <w:pPr>
              <w:pStyle w:val="TableParagraph"/>
              <w:spacing w:before="76"/>
              <w:ind w:left="207"/>
              <w:rPr>
                <w:sz w:val="21"/>
              </w:rPr>
            </w:pPr>
            <w:r>
              <w:rPr>
                <w:sz w:val="21"/>
              </w:rPr>
              <w:t>50</w:t>
            </w:r>
            <w:r>
              <w:rPr>
                <w:spacing w:val="-17"/>
                <w:sz w:val="21"/>
              </w:rPr>
              <w:t> 万元</w:t>
            </w:r>
            <w:r>
              <w:rPr>
                <w:sz w:val="21"/>
              </w:rPr>
              <w:t>×30=15</w:t>
            </w:r>
            <w:r>
              <w:rPr>
                <w:spacing w:val="-17"/>
                <w:sz w:val="21"/>
              </w:rPr>
              <w:t> 万元</w:t>
            </w:r>
          </w:p>
        </w:tc>
        <w:tc>
          <w:tcPr>
            <w:tcW w:w="1156" w:type="dxa"/>
          </w:tcPr>
          <w:p>
            <w:pPr>
              <w:pStyle w:val="TableParagraph"/>
              <w:spacing w:before="76"/>
              <w:ind w:left="241"/>
              <w:rPr>
                <w:sz w:val="21"/>
              </w:rPr>
            </w:pPr>
            <w:r>
              <w:rPr>
                <w:sz w:val="21"/>
              </w:rPr>
              <w:t>70 万元</w:t>
            </w:r>
          </w:p>
        </w:tc>
      </w:tr>
      <w:tr>
        <w:trPr>
          <w:trHeight w:val="455" w:hRule="atLeast"/>
        </w:trPr>
        <w:tc>
          <w:tcPr>
            <w:tcW w:w="1958" w:type="dxa"/>
          </w:tcPr>
          <w:p>
            <w:pPr>
              <w:pStyle w:val="TableParagraph"/>
              <w:spacing w:before="76"/>
              <w:ind w:left="78" w:right="59"/>
              <w:jc w:val="center"/>
              <w:rPr>
                <w:sz w:val="21"/>
              </w:rPr>
            </w:pPr>
            <w:r>
              <w:rPr>
                <w:sz w:val="21"/>
              </w:rPr>
              <w:t>①③⑤</w:t>
            </w:r>
          </w:p>
        </w:tc>
        <w:tc>
          <w:tcPr>
            <w:tcW w:w="1276" w:type="dxa"/>
            <w:gridSpan w:val="2"/>
          </w:tcPr>
          <w:p>
            <w:pPr>
              <w:pStyle w:val="TableParagraph"/>
              <w:spacing w:before="76"/>
              <w:ind w:left="297"/>
              <w:rPr>
                <w:sz w:val="21"/>
              </w:rPr>
            </w:pPr>
            <w:r>
              <w:rPr>
                <w:sz w:val="21"/>
              </w:rPr>
              <w:t>50 万元</w:t>
            </w:r>
          </w:p>
        </w:tc>
        <w:tc>
          <w:tcPr>
            <w:tcW w:w="2270" w:type="dxa"/>
            <w:gridSpan w:val="2"/>
          </w:tcPr>
          <w:p>
            <w:pPr>
              <w:pStyle w:val="TableParagraph"/>
              <w:spacing w:before="76"/>
              <w:ind w:left="192"/>
              <w:rPr>
                <w:sz w:val="21"/>
              </w:rPr>
            </w:pPr>
            <w:r>
              <w:rPr>
                <w:sz w:val="21"/>
              </w:rPr>
              <w:t>50</w:t>
            </w:r>
            <w:r>
              <w:rPr>
                <w:spacing w:val="-18"/>
                <w:sz w:val="21"/>
              </w:rPr>
              <w:t> 万元</w:t>
            </w:r>
            <w:r>
              <w:rPr>
                <w:sz w:val="21"/>
              </w:rPr>
              <w:t>×10=5</w:t>
            </w:r>
            <w:r>
              <w:rPr>
                <w:spacing w:val="-18"/>
                <w:sz w:val="21"/>
              </w:rPr>
              <w:t> 万元</w:t>
            </w:r>
          </w:p>
        </w:tc>
        <w:tc>
          <w:tcPr>
            <w:tcW w:w="2409" w:type="dxa"/>
          </w:tcPr>
          <w:p>
            <w:pPr>
              <w:pStyle w:val="TableParagraph"/>
              <w:spacing w:before="76"/>
              <w:ind w:left="207"/>
              <w:rPr>
                <w:sz w:val="21"/>
              </w:rPr>
            </w:pPr>
            <w:r>
              <w:rPr>
                <w:sz w:val="21"/>
              </w:rPr>
              <w:t>50</w:t>
            </w:r>
            <w:r>
              <w:rPr>
                <w:spacing w:val="-17"/>
                <w:sz w:val="21"/>
              </w:rPr>
              <w:t> 万元</w:t>
            </w:r>
            <w:r>
              <w:rPr>
                <w:sz w:val="21"/>
              </w:rPr>
              <w:t>×60=30</w:t>
            </w:r>
            <w:r>
              <w:rPr>
                <w:spacing w:val="-17"/>
                <w:sz w:val="21"/>
              </w:rPr>
              <w:t> 万元</w:t>
            </w:r>
          </w:p>
        </w:tc>
        <w:tc>
          <w:tcPr>
            <w:tcW w:w="1156" w:type="dxa"/>
          </w:tcPr>
          <w:p>
            <w:pPr>
              <w:pStyle w:val="TableParagraph"/>
              <w:spacing w:before="76"/>
              <w:ind w:left="241"/>
              <w:rPr>
                <w:sz w:val="21"/>
              </w:rPr>
            </w:pPr>
            <w:r>
              <w:rPr>
                <w:sz w:val="21"/>
              </w:rPr>
              <w:t>85 万元</w:t>
            </w:r>
          </w:p>
        </w:tc>
      </w:tr>
      <w:tr>
        <w:trPr>
          <w:trHeight w:val="455" w:hRule="atLeast"/>
        </w:trPr>
        <w:tc>
          <w:tcPr>
            <w:tcW w:w="1958" w:type="dxa"/>
          </w:tcPr>
          <w:p>
            <w:pPr>
              <w:pStyle w:val="TableParagraph"/>
              <w:spacing w:before="76"/>
              <w:ind w:left="78" w:right="59"/>
              <w:jc w:val="center"/>
              <w:rPr>
                <w:sz w:val="21"/>
              </w:rPr>
            </w:pPr>
            <w:r>
              <w:rPr>
                <w:sz w:val="21"/>
              </w:rPr>
              <w:t>①③⑥</w:t>
            </w:r>
          </w:p>
        </w:tc>
        <w:tc>
          <w:tcPr>
            <w:tcW w:w="1276" w:type="dxa"/>
            <w:gridSpan w:val="2"/>
          </w:tcPr>
          <w:p>
            <w:pPr>
              <w:pStyle w:val="TableParagraph"/>
              <w:spacing w:before="76"/>
              <w:ind w:left="297"/>
              <w:rPr>
                <w:sz w:val="21"/>
              </w:rPr>
            </w:pPr>
            <w:r>
              <w:rPr>
                <w:sz w:val="21"/>
              </w:rPr>
              <w:t>50 万元</w:t>
            </w:r>
          </w:p>
        </w:tc>
        <w:tc>
          <w:tcPr>
            <w:tcW w:w="2270" w:type="dxa"/>
            <w:gridSpan w:val="2"/>
          </w:tcPr>
          <w:p>
            <w:pPr>
              <w:pStyle w:val="TableParagraph"/>
              <w:spacing w:before="76"/>
              <w:ind w:left="192"/>
              <w:rPr>
                <w:sz w:val="21"/>
              </w:rPr>
            </w:pPr>
            <w:r>
              <w:rPr>
                <w:sz w:val="21"/>
              </w:rPr>
              <w:t>50</w:t>
            </w:r>
            <w:r>
              <w:rPr>
                <w:spacing w:val="-18"/>
                <w:sz w:val="21"/>
              </w:rPr>
              <w:t> 万元</w:t>
            </w:r>
            <w:r>
              <w:rPr>
                <w:sz w:val="21"/>
              </w:rPr>
              <w:t>×10=5</w:t>
            </w:r>
            <w:r>
              <w:rPr>
                <w:spacing w:val="-18"/>
                <w:sz w:val="21"/>
              </w:rPr>
              <w:t> 万元</w:t>
            </w:r>
          </w:p>
        </w:tc>
        <w:tc>
          <w:tcPr>
            <w:tcW w:w="2409" w:type="dxa"/>
          </w:tcPr>
          <w:p>
            <w:pPr>
              <w:pStyle w:val="TableParagraph"/>
              <w:spacing w:before="76"/>
              <w:ind w:left="207"/>
              <w:rPr>
                <w:sz w:val="21"/>
              </w:rPr>
            </w:pPr>
            <w:r>
              <w:rPr>
                <w:sz w:val="21"/>
              </w:rPr>
              <w:t>50</w:t>
            </w:r>
            <w:r>
              <w:rPr>
                <w:spacing w:val="-17"/>
                <w:sz w:val="21"/>
              </w:rPr>
              <w:t> 万元</w:t>
            </w:r>
            <w:r>
              <w:rPr>
                <w:sz w:val="21"/>
              </w:rPr>
              <w:t>×90=45</w:t>
            </w:r>
            <w:r>
              <w:rPr>
                <w:spacing w:val="-17"/>
                <w:sz w:val="21"/>
              </w:rPr>
              <w:t> 万元</w:t>
            </w:r>
          </w:p>
        </w:tc>
        <w:tc>
          <w:tcPr>
            <w:tcW w:w="1156" w:type="dxa"/>
          </w:tcPr>
          <w:p>
            <w:pPr>
              <w:pStyle w:val="TableParagraph"/>
              <w:spacing w:before="76"/>
              <w:ind w:left="188"/>
              <w:rPr>
                <w:sz w:val="21"/>
              </w:rPr>
            </w:pPr>
            <w:r>
              <w:rPr>
                <w:sz w:val="21"/>
              </w:rPr>
              <w:t>100 万元</w:t>
            </w:r>
          </w:p>
        </w:tc>
      </w:tr>
      <w:tr>
        <w:trPr>
          <w:trHeight w:val="479" w:hRule="atLeast"/>
        </w:trPr>
        <w:tc>
          <w:tcPr>
            <w:tcW w:w="9069" w:type="dxa"/>
            <w:gridSpan w:val="7"/>
            <w:tcBorders>
              <w:top w:val="nil"/>
              <w:left w:val="nil"/>
              <w:bottom w:val="nil"/>
              <w:right w:val="nil"/>
            </w:tcBorders>
          </w:tcPr>
          <w:p>
            <w:pPr>
              <w:pStyle w:val="TableParagraph"/>
              <w:spacing w:before="3"/>
              <w:rPr>
                <w:sz w:val="14"/>
              </w:rPr>
            </w:pPr>
          </w:p>
          <w:p>
            <w:pPr>
              <w:pStyle w:val="TableParagraph"/>
              <w:spacing w:line="273" w:lineRule="exact"/>
              <w:ind w:left="244"/>
              <w:rPr>
                <w:sz w:val="21"/>
              </w:rPr>
            </w:pPr>
            <w:r>
              <w:rPr>
                <w:sz w:val="21"/>
              </w:rPr>
              <w:t>假设李女士在第 3 个保单年度开始后身故，不同情况下身故保险金赔付如下表所示：</w:t>
            </w:r>
          </w:p>
        </w:tc>
      </w:tr>
      <w:tr>
        <w:trPr>
          <w:trHeight w:val="2721" w:hRule="atLeast"/>
        </w:trPr>
        <w:tc>
          <w:tcPr>
            <w:tcW w:w="1958" w:type="dxa"/>
          </w:tcPr>
          <w:p>
            <w:pPr>
              <w:pStyle w:val="TableParagraph"/>
              <w:spacing w:line="235" w:lineRule="exact"/>
              <w:ind w:left="78" w:right="11"/>
              <w:jc w:val="center"/>
              <w:rPr>
                <w:rFonts w:ascii="Microsoft JhengHei" w:eastAsia="Microsoft JhengHei" w:hint="eastAsia"/>
                <w:b/>
                <w:sz w:val="21"/>
              </w:rPr>
            </w:pPr>
            <w:r>
              <w:rPr>
                <w:rFonts w:ascii="Microsoft JhengHei" w:eastAsia="Microsoft JhengHei" w:hint="eastAsia"/>
                <w:b/>
                <w:sz w:val="21"/>
              </w:rPr>
              <w:t>领取条件</w:t>
            </w:r>
          </w:p>
          <w:p>
            <w:pPr>
              <w:pStyle w:val="TableParagraph"/>
              <w:spacing w:line="238" w:lineRule="exact"/>
              <w:ind w:left="110"/>
              <w:rPr>
                <w:sz w:val="21"/>
              </w:rPr>
            </w:pPr>
            <w:r>
              <w:rPr>
                <w:sz w:val="21"/>
              </w:rPr>
              <w:t>①被保险人身故</w:t>
            </w:r>
          </w:p>
          <w:p>
            <w:pPr>
              <w:pStyle w:val="TableParagraph"/>
              <w:spacing w:line="240" w:lineRule="exact"/>
              <w:ind w:left="26" w:right="66"/>
              <w:jc w:val="center"/>
              <w:rPr>
                <w:sz w:val="21"/>
              </w:rPr>
            </w:pPr>
            <w:r>
              <w:rPr>
                <w:sz w:val="21"/>
              </w:rPr>
              <w:t>②达到运动标准一</w:t>
            </w:r>
          </w:p>
          <w:p>
            <w:pPr>
              <w:pStyle w:val="TableParagraph"/>
              <w:spacing w:line="240" w:lineRule="exact"/>
              <w:ind w:left="26" w:right="66"/>
              <w:jc w:val="center"/>
              <w:rPr>
                <w:sz w:val="21"/>
              </w:rPr>
            </w:pPr>
            <w:r>
              <w:rPr>
                <w:sz w:val="21"/>
              </w:rPr>
              <w:t>③达到运动标准二</w:t>
            </w:r>
          </w:p>
          <w:p>
            <w:pPr>
              <w:pStyle w:val="TableParagraph"/>
              <w:spacing w:line="208" w:lineRule="auto" w:before="18"/>
              <w:ind w:left="78" w:right="66"/>
              <w:jc w:val="center"/>
              <w:rPr>
                <w:sz w:val="21"/>
              </w:rPr>
            </w:pPr>
            <w:r>
              <w:rPr>
                <w:sz w:val="21"/>
              </w:rPr>
              <w:t>④70 周岁前发生过一次特定轻度重疾</w:t>
            </w:r>
          </w:p>
          <w:p>
            <w:pPr>
              <w:pStyle w:val="TableParagraph"/>
              <w:spacing w:line="208" w:lineRule="auto"/>
              <w:ind w:left="78" w:right="66"/>
              <w:jc w:val="center"/>
              <w:rPr>
                <w:sz w:val="21"/>
              </w:rPr>
            </w:pPr>
            <w:r>
              <w:rPr>
                <w:sz w:val="21"/>
              </w:rPr>
              <w:t>⑤70 周岁前发生过两次特定轻度重疾</w:t>
            </w:r>
          </w:p>
          <w:p>
            <w:pPr>
              <w:pStyle w:val="TableParagraph"/>
              <w:spacing w:line="208" w:lineRule="auto"/>
              <w:ind w:left="78" w:right="66"/>
              <w:jc w:val="center"/>
              <w:rPr>
                <w:sz w:val="21"/>
              </w:rPr>
            </w:pPr>
            <w:r>
              <w:rPr>
                <w:sz w:val="21"/>
              </w:rPr>
              <w:t>⑥70 周岁前发生过三次特定轻度重疾</w:t>
            </w:r>
          </w:p>
          <w:p>
            <w:pPr>
              <w:pStyle w:val="TableParagraph"/>
              <w:spacing w:line="274" w:lineRule="exact"/>
              <w:ind w:left="67"/>
              <w:jc w:val="center"/>
              <w:rPr>
                <w:sz w:val="21"/>
              </w:rPr>
            </w:pPr>
            <w:r>
              <w:rPr>
                <w:w w:val="100"/>
                <w:sz w:val="21"/>
              </w:rPr>
              <w:t>①</w:t>
            </w:r>
          </w:p>
        </w:tc>
        <w:tc>
          <w:tcPr>
            <w:tcW w:w="1046" w:type="dxa"/>
          </w:tcPr>
          <w:p>
            <w:pPr>
              <w:pStyle w:val="TableParagraph"/>
              <w:rPr>
                <w:sz w:val="20"/>
              </w:rPr>
            </w:pPr>
          </w:p>
          <w:p>
            <w:pPr>
              <w:pStyle w:val="TableParagraph"/>
              <w:rPr>
                <w:sz w:val="20"/>
              </w:rPr>
            </w:pPr>
          </w:p>
          <w:p>
            <w:pPr>
              <w:pStyle w:val="TableParagraph"/>
              <w:rPr>
                <w:sz w:val="20"/>
              </w:rPr>
            </w:pPr>
          </w:p>
          <w:p>
            <w:pPr>
              <w:pStyle w:val="TableParagraph"/>
              <w:spacing w:before="2"/>
              <w:rPr>
                <w:sz w:val="14"/>
              </w:rPr>
            </w:pPr>
          </w:p>
          <w:p>
            <w:pPr>
              <w:pStyle w:val="TableParagraph"/>
              <w:spacing w:line="208" w:lineRule="auto"/>
              <w:ind w:left="163" w:right="236"/>
              <w:jc w:val="both"/>
              <w:rPr>
                <w:sz w:val="21"/>
              </w:rPr>
            </w:pPr>
            <w:r>
              <w:rPr>
                <w:sz w:val="21"/>
              </w:rPr>
              <w:t>基本身故保险金</w:t>
            </w:r>
          </w:p>
          <w:p>
            <w:pPr>
              <w:pStyle w:val="TableParagraph"/>
              <w:rPr>
                <w:sz w:val="20"/>
              </w:rPr>
            </w:pPr>
          </w:p>
          <w:p>
            <w:pPr>
              <w:pStyle w:val="TableParagraph"/>
              <w:rPr>
                <w:sz w:val="20"/>
              </w:rPr>
            </w:pPr>
          </w:p>
          <w:p>
            <w:pPr>
              <w:pStyle w:val="TableParagraph"/>
              <w:spacing w:before="12"/>
              <w:rPr>
                <w:sz w:val="14"/>
              </w:rPr>
            </w:pPr>
          </w:p>
          <w:p>
            <w:pPr>
              <w:pStyle w:val="TableParagraph"/>
              <w:spacing w:before="1"/>
              <w:ind w:left="211"/>
              <w:jc w:val="both"/>
              <w:rPr>
                <w:sz w:val="21"/>
              </w:rPr>
            </w:pPr>
            <w:r>
              <w:rPr>
                <w:sz w:val="21"/>
              </w:rPr>
              <w:t>50 万元</w:t>
            </w:r>
          </w:p>
        </w:tc>
        <w:tc>
          <w:tcPr>
            <w:tcW w:w="2409" w:type="dxa"/>
            <w:gridSpan w:val="2"/>
          </w:tcPr>
          <w:p>
            <w:pPr>
              <w:pStyle w:val="TableParagraph"/>
              <w:spacing w:line="255" w:lineRule="exact"/>
              <w:ind w:left="1589" w:right="-44"/>
              <w:rPr>
                <w:rFonts w:ascii="Microsoft JhengHei" w:eastAsia="Microsoft JhengHei" w:hint="eastAsia"/>
                <w:b/>
                <w:sz w:val="21"/>
              </w:rPr>
            </w:pPr>
            <w:r>
              <w:rPr>
                <w:rFonts w:ascii="Microsoft JhengHei" w:eastAsia="Microsoft JhengHei" w:hint="eastAsia"/>
                <w:b/>
                <w:sz w:val="21"/>
              </w:rPr>
              <w:t>身故保险</w:t>
            </w:r>
          </w:p>
          <w:p>
            <w:pPr>
              <w:pStyle w:val="TableParagraph"/>
              <w:rPr>
                <w:sz w:val="20"/>
              </w:rPr>
            </w:pPr>
          </w:p>
          <w:p>
            <w:pPr>
              <w:pStyle w:val="TableParagraph"/>
              <w:rPr>
                <w:sz w:val="20"/>
              </w:rPr>
            </w:pPr>
          </w:p>
          <w:p>
            <w:pPr>
              <w:pStyle w:val="TableParagraph"/>
              <w:spacing w:before="10"/>
              <w:rPr>
                <w:sz w:val="23"/>
              </w:rPr>
            </w:pPr>
          </w:p>
          <w:p>
            <w:pPr>
              <w:pStyle w:val="TableParagraph"/>
              <w:spacing w:line="208" w:lineRule="auto" w:before="1"/>
              <w:ind w:left="111" w:right="183" w:firstLine="90"/>
              <w:jc w:val="center"/>
              <w:rPr>
                <w:sz w:val="21"/>
              </w:rPr>
            </w:pPr>
            <w:r>
              <w:rPr>
                <w:sz w:val="21"/>
              </w:rPr>
              <w:t>达到运动标准后身故 额外给付的身故保险金</w:t>
            </w:r>
          </w:p>
          <w:p>
            <w:pPr>
              <w:pStyle w:val="TableParagraph"/>
              <w:rPr>
                <w:sz w:val="20"/>
              </w:rPr>
            </w:pPr>
          </w:p>
          <w:p>
            <w:pPr>
              <w:pStyle w:val="TableParagraph"/>
              <w:rPr>
                <w:sz w:val="20"/>
              </w:rPr>
            </w:pPr>
          </w:p>
          <w:p>
            <w:pPr>
              <w:pStyle w:val="TableParagraph"/>
              <w:spacing w:before="2"/>
              <w:rPr>
                <w:sz w:val="24"/>
              </w:rPr>
            </w:pPr>
          </w:p>
          <w:p>
            <w:pPr>
              <w:pStyle w:val="TableParagraph"/>
              <w:ind w:left="11"/>
              <w:jc w:val="center"/>
              <w:rPr>
                <w:sz w:val="21"/>
              </w:rPr>
            </w:pPr>
            <w:r>
              <w:rPr>
                <w:w w:val="100"/>
                <w:sz w:val="21"/>
              </w:rPr>
              <w:t>/</w:t>
            </w:r>
          </w:p>
        </w:tc>
        <w:tc>
          <w:tcPr>
            <w:tcW w:w="2500" w:type="dxa"/>
            <w:gridSpan w:val="2"/>
          </w:tcPr>
          <w:p>
            <w:pPr>
              <w:pStyle w:val="TableParagraph"/>
              <w:spacing w:line="255" w:lineRule="exact"/>
              <w:ind w:left="25"/>
              <w:rPr>
                <w:rFonts w:ascii="Microsoft JhengHei" w:eastAsia="Microsoft JhengHei" w:hint="eastAsia"/>
                <w:b/>
                <w:sz w:val="21"/>
              </w:rPr>
            </w:pPr>
            <w:r>
              <w:rPr>
                <w:rFonts w:ascii="Microsoft JhengHei" w:eastAsia="Microsoft JhengHei" w:hint="eastAsia"/>
                <w:b/>
                <w:sz w:val="21"/>
              </w:rPr>
              <w:t>金给付金额</w:t>
            </w:r>
          </w:p>
          <w:p>
            <w:pPr>
              <w:pStyle w:val="TableParagraph"/>
              <w:rPr>
                <w:sz w:val="20"/>
              </w:rPr>
            </w:pPr>
          </w:p>
          <w:p>
            <w:pPr>
              <w:pStyle w:val="TableParagraph"/>
              <w:rPr>
                <w:sz w:val="20"/>
              </w:rPr>
            </w:pPr>
          </w:p>
          <w:p>
            <w:pPr>
              <w:pStyle w:val="TableParagraph"/>
              <w:spacing w:before="10"/>
              <w:rPr>
                <w:sz w:val="23"/>
              </w:rPr>
            </w:pPr>
          </w:p>
          <w:p>
            <w:pPr>
              <w:pStyle w:val="TableParagraph"/>
              <w:spacing w:line="208" w:lineRule="auto" w:before="1"/>
              <w:ind w:left="111" w:right="62"/>
              <w:rPr>
                <w:sz w:val="21"/>
              </w:rPr>
            </w:pPr>
            <w:r>
              <w:rPr>
                <w:sz w:val="21"/>
              </w:rPr>
              <w:t>发生特定轻度重疾后身故额外给付的身故保险金</w:t>
            </w:r>
          </w:p>
          <w:p>
            <w:pPr>
              <w:pStyle w:val="TableParagraph"/>
              <w:rPr>
                <w:sz w:val="20"/>
              </w:rPr>
            </w:pPr>
          </w:p>
          <w:p>
            <w:pPr>
              <w:pStyle w:val="TableParagraph"/>
              <w:rPr>
                <w:sz w:val="20"/>
              </w:rPr>
            </w:pPr>
          </w:p>
          <w:p>
            <w:pPr>
              <w:pStyle w:val="TableParagraph"/>
              <w:spacing w:before="2"/>
              <w:rPr>
                <w:sz w:val="24"/>
              </w:rPr>
            </w:pPr>
          </w:p>
          <w:p>
            <w:pPr>
              <w:pStyle w:val="TableParagraph"/>
              <w:ind w:left="75"/>
              <w:jc w:val="center"/>
              <w:rPr>
                <w:sz w:val="21"/>
              </w:rPr>
            </w:pPr>
            <w:r>
              <w:rPr>
                <w:w w:val="100"/>
                <w:sz w:val="21"/>
              </w:rPr>
              <w:t>/</w:t>
            </w:r>
          </w:p>
        </w:tc>
        <w:tc>
          <w:tcPr>
            <w:tcW w:w="1156" w:type="dxa"/>
          </w:tcPr>
          <w:p>
            <w:pPr>
              <w:pStyle w:val="TableParagraph"/>
              <w:rPr>
                <w:sz w:val="20"/>
              </w:rPr>
            </w:pPr>
          </w:p>
          <w:p>
            <w:pPr>
              <w:pStyle w:val="TableParagraph"/>
              <w:rPr>
                <w:sz w:val="20"/>
              </w:rPr>
            </w:pPr>
          </w:p>
          <w:p>
            <w:pPr>
              <w:pStyle w:val="TableParagraph"/>
              <w:rPr>
                <w:sz w:val="20"/>
              </w:rPr>
            </w:pPr>
          </w:p>
          <w:p>
            <w:pPr>
              <w:pStyle w:val="TableParagraph"/>
              <w:spacing w:before="9"/>
              <w:rPr>
                <w:sz w:val="29"/>
              </w:rPr>
            </w:pPr>
          </w:p>
          <w:p>
            <w:pPr>
              <w:pStyle w:val="TableParagraph"/>
              <w:ind w:left="197" w:right="120"/>
              <w:jc w:val="center"/>
              <w:rPr>
                <w:sz w:val="21"/>
              </w:rPr>
            </w:pPr>
            <w:r>
              <w:rPr>
                <w:sz w:val="21"/>
              </w:rPr>
              <w:t>合计</w:t>
            </w:r>
          </w:p>
          <w:p>
            <w:pPr>
              <w:pStyle w:val="TableParagraph"/>
              <w:rPr>
                <w:sz w:val="20"/>
              </w:rPr>
            </w:pPr>
          </w:p>
          <w:p>
            <w:pPr>
              <w:pStyle w:val="TableParagraph"/>
              <w:rPr>
                <w:sz w:val="20"/>
              </w:rPr>
            </w:pPr>
          </w:p>
          <w:p>
            <w:pPr>
              <w:pStyle w:val="TableParagraph"/>
              <w:rPr>
                <w:sz w:val="20"/>
              </w:rPr>
            </w:pPr>
          </w:p>
          <w:p>
            <w:pPr>
              <w:pStyle w:val="TableParagraph"/>
              <w:spacing w:before="174"/>
              <w:ind w:left="197" w:right="116"/>
              <w:jc w:val="center"/>
              <w:rPr>
                <w:sz w:val="21"/>
              </w:rPr>
            </w:pPr>
            <w:r>
              <w:rPr>
                <w:sz w:val="21"/>
              </w:rPr>
              <w:t>50 万元</w:t>
            </w:r>
          </w:p>
        </w:tc>
      </w:tr>
      <w:tr>
        <w:trPr>
          <w:trHeight w:val="287" w:hRule="atLeast"/>
        </w:trPr>
        <w:tc>
          <w:tcPr>
            <w:tcW w:w="1958" w:type="dxa"/>
          </w:tcPr>
          <w:p>
            <w:pPr>
              <w:pStyle w:val="TableParagraph"/>
              <w:spacing w:line="245" w:lineRule="exact"/>
              <w:ind w:left="78" w:right="1"/>
              <w:jc w:val="center"/>
              <w:rPr>
                <w:sz w:val="21"/>
              </w:rPr>
            </w:pPr>
            <w:r>
              <w:rPr>
                <w:sz w:val="21"/>
              </w:rPr>
              <w:t>①②</w:t>
            </w:r>
          </w:p>
        </w:tc>
        <w:tc>
          <w:tcPr>
            <w:tcW w:w="1046" w:type="dxa"/>
          </w:tcPr>
          <w:p>
            <w:pPr>
              <w:pStyle w:val="TableParagraph"/>
              <w:spacing w:line="245" w:lineRule="exact"/>
              <w:ind w:right="136"/>
              <w:jc w:val="right"/>
              <w:rPr>
                <w:sz w:val="21"/>
              </w:rPr>
            </w:pPr>
            <w:r>
              <w:rPr>
                <w:sz w:val="21"/>
              </w:rPr>
              <w:t>50 万元</w:t>
            </w:r>
          </w:p>
        </w:tc>
        <w:tc>
          <w:tcPr>
            <w:tcW w:w="2409" w:type="dxa"/>
            <w:gridSpan w:val="2"/>
          </w:tcPr>
          <w:p>
            <w:pPr>
              <w:pStyle w:val="TableParagraph"/>
              <w:spacing w:line="245" w:lineRule="exact"/>
              <w:ind w:left="206"/>
              <w:rPr>
                <w:sz w:val="21"/>
              </w:rPr>
            </w:pPr>
            <w:r>
              <w:rPr>
                <w:sz w:val="21"/>
              </w:rPr>
              <w:t>50 万元×5 =2.5 万元</w:t>
            </w:r>
          </w:p>
        </w:tc>
        <w:tc>
          <w:tcPr>
            <w:tcW w:w="2500" w:type="dxa"/>
            <w:gridSpan w:val="2"/>
          </w:tcPr>
          <w:p>
            <w:pPr>
              <w:pStyle w:val="TableParagraph"/>
              <w:spacing w:line="245" w:lineRule="exact"/>
              <w:ind w:left="75"/>
              <w:jc w:val="center"/>
              <w:rPr>
                <w:sz w:val="21"/>
              </w:rPr>
            </w:pPr>
            <w:r>
              <w:rPr>
                <w:w w:val="100"/>
                <w:sz w:val="21"/>
              </w:rPr>
              <w:t>/</w:t>
            </w:r>
          </w:p>
        </w:tc>
        <w:tc>
          <w:tcPr>
            <w:tcW w:w="1156" w:type="dxa"/>
          </w:tcPr>
          <w:p>
            <w:pPr>
              <w:pStyle w:val="TableParagraph"/>
              <w:spacing w:line="245" w:lineRule="exact"/>
              <w:ind w:left="169"/>
              <w:rPr>
                <w:sz w:val="21"/>
              </w:rPr>
            </w:pPr>
            <w:r>
              <w:rPr>
                <w:sz w:val="21"/>
              </w:rPr>
              <w:t>52.5 万元</w:t>
            </w:r>
          </w:p>
        </w:tc>
      </w:tr>
      <w:tr>
        <w:trPr>
          <w:trHeight w:val="282" w:hRule="atLeast"/>
        </w:trPr>
        <w:tc>
          <w:tcPr>
            <w:tcW w:w="1958" w:type="dxa"/>
          </w:tcPr>
          <w:p>
            <w:pPr>
              <w:pStyle w:val="TableParagraph"/>
              <w:spacing w:line="241" w:lineRule="exact"/>
              <w:ind w:left="78" w:right="1"/>
              <w:jc w:val="center"/>
              <w:rPr>
                <w:sz w:val="21"/>
              </w:rPr>
            </w:pPr>
            <w:r>
              <w:rPr>
                <w:sz w:val="21"/>
              </w:rPr>
              <w:t>①③</w:t>
            </w:r>
          </w:p>
        </w:tc>
        <w:tc>
          <w:tcPr>
            <w:tcW w:w="1046" w:type="dxa"/>
          </w:tcPr>
          <w:p>
            <w:pPr>
              <w:pStyle w:val="TableParagraph"/>
              <w:spacing w:line="241" w:lineRule="exact"/>
              <w:ind w:right="136"/>
              <w:jc w:val="right"/>
              <w:rPr>
                <w:sz w:val="21"/>
              </w:rPr>
            </w:pPr>
            <w:r>
              <w:rPr>
                <w:sz w:val="21"/>
              </w:rPr>
              <w:t>50 万元</w:t>
            </w:r>
          </w:p>
        </w:tc>
        <w:tc>
          <w:tcPr>
            <w:tcW w:w="2409" w:type="dxa"/>
            <w:gridSpan w:val="2"/>
          </w:tcPr>
          <w:p>
            <w:pPr>
              <w:pStyle w:val="TableParagraph"/>
              <w:spacing w:line="241" w:lineRule="exact"/>
              <w:ind w:left="259"/>
              <w:rPr>
                <w:sz w:val="21"/>
              </w:rPr>
            </w:pPr>
            <w:r>
              <w:rPr>
                <w:sz w:val="21"/>
              </w:rPr>
              <w:t>50 万元×10=5 万元</w:t>
            </w:r>
          </w:p>
        </w:tc>
        <w:tc>
          <w:tcPr>
            <w:tcW w:w="2500" w:type="dxa"/>
            <w:gridSpan w:val="2"/>
          </w:tcPr>
          <w:p>
            <w:pPr>
              <w:pStyle w:val="TableParagraph"/>
              <w:spacing w:line="241" w:lineRule="exact"/>
              <w:ind w:left="75"/>
              <w:jc w:val="center"/>
              <w:rPr>
                <w:sz w:val="21"/>
              </w:rPr>
            </w:pPr>
            <w:r>
              <w:rPr>
                <w:w w:val="100"/>
                <w:sz w:val="21"/>
              </w:rPr>
              <w:t>/</w:t>
            </w:r>
          </w:p>
        </w:tc>
        <w:tc>
          <w:tcPr>
            <w:tcW w:w="1156" w:type="dxa"/>
          </w:tcPr>
          <w:p>
            <w:pPr>
              <w:pStyle w:val="TableParagraph"/>
              <w:spacing w:line="241" w:lineRule="exact"/>
              <w:ind w:left="270"/>
              <w:rPr>
                <w:sz w:val="21"/>
              </w:rPr>
            </w:pPr>
            <w:r>
              <w:rPr>
                <w:sz w:val="21"/>
              </w:rPr>
              <w:t>55 万元</w:t>
            </w:r>
          </w:p>
        </w:tc>
      </w:tr>
      <w:tr>
        <w:trPr>
          <w:trHeight w:val="282" w:hRule="atLeast"/>
        </w:trPr>
        <w:tc>
          <w:tcPr>
            <w:tcW w:w="1958" w:type="dxa"/>
          </w:tcPr>
          <w:p>
            <w:pPr>
              <w:pStyle w:val="TableParagraph"/>
              <w:spacing w:line="245" w:lineRule="exact"/>
              <w:ind w:left="78" w:right="1"/>
              <w:jc w:val="center"/>
              <w:rPr>
                <w:sz w:val="21"/>
              </w:rPr>
            </w:pPr>
            <w:r>
              <w:rPr>
                <w:sz w:val="21"/>
              </w:rPr>
              <w:t>①④</w:t>
            </w:r>
          </w:p>
        </w:tc>
        <w:tc>
          <w:tcPr>
            <w:tcW w:w="1046" w:type="dxa"/>
          </w:tcPr>
          <w:p>
            <w:pPr>
              <w:pStyle w:val="TableParagraph"/>
              <w:spacing w:line="245" w:lineRule="exact"/>
              <w:ind w:right="136"/>
              <w:jc w:val="right"/>
              <w:rPr>
                <w:sz w:val="21"/>
              </w:rPr>
            </w:pPr>
            <w:r>
              <w:rPr>
                <w:sz w:val="21"/>
              </w:rPr>
              <w:t>50 万元</w:t>
            </w:r>
          </w:p>
        </w:tc>
        <w:tc>
          <w:tcPr>
            <w:tcW w:w="2409" w:type="dxa"/>
            <w:gridSpan w:val="2"/>
          </w:tcPr>
          <w:p>
            <w:pPr>
              <w:pStyle w:val="TableParagraph"/>
              <w:spacing w:line="245" w:lineRule="exact"/>
              <w:ind w:left="11"/>
              <w:jc w:val="center"/>
              <w:rPr>
                <w:sz w:val="21"/>
              </w:rPr>
            </w:pPr>
            <w:r>
              <w:rPr>
                <w:w w:val="100"/>
                <w:sz w:val="21"/>
              </w:rPr>
              <w:t>/</w:t>
            </w:r>
          </w:p>
        </w:tc>
        <w:tc>
          <w:tcPr>
            <w:tcW w:w="2500" w:type="dxa"/>
            <w:gridSpan w:val="2"/>
          </w:tcPr>
          <w:p>
            <w:pPr>
              <w:pStyle w:val="TableParagraph"/>
              <w:spacing w:line="245" w:lineRule="exact"/>
              <w:ind w:left="284"/>
              <w:rPr>
                <w:sz w:val="21"/>
              </w:rPr>
            </w:pPr>
            <w:r>
              <w:rPr>
                <w:sz w:val="21"/>
              </w:rPr>
              <w:t>50 万元×30=15 万元</w:t>
            </w:r>
          </w:p>
        </w:tc>
        <w:tc>
          <w:tcPr>
            <w:tcW w:w="1156" w:type="dxa"/>
          </w:tcPr>
          <w:p>
            <w:pPr>
              <w:pStyle w:val="TableParagraph"/>
              <w:spacing w:line="245" w:lineRule="exact"/>
              <w:ind w:left="270"/>
              <w:rPr>
                <w:sz w:val="21"/>
              </w:rPr>
            </w:pPr>
            <w:r>
              <w:rPr>
                <w:sz w:val="21"/>
              </w:rPr>
              <w:t>65 万元</w:t>
            </w:r>
          </w:p>
        </w:tc>
      </w:tr>
      <w:tr>
        <w:trPr>
          <w:trHeight w:val="282" w:hRule="atLeast"/>
        </w:trPr>
        <w:tc>
          <w:tcPr>
            <w:tcW w:w="1958" w:type="dxa"/>
          </w:tcPr>
          <w:p>
            <w:pPr>
              <w:pStyle w:val="TableParagraph"/>
              <w:spacing w:line="245" w:lineRule="exact"/>
              <w:ind w:left="78" w:right="1"/>
              <w:jc w:val="center"/>
              <w:rPr>
                <w:sz w:val="21"/>
              </w:rPr>
            </w:pPr>
            <w:r>
              <w:rPr>
                <w:sz w:val="21"/>
              </w:rPr>
              <w:t>①⑤</w:t>
            </w:r>
          </w:p>
        </w:tc>
        <w:tc>
          <w:tcPr>
            <w:tcW w:w="1046" w:type="dxa"/>
          </w:tcPr>
          <w:p>
            <w:pPr>
              <w:pStyle w:val="TableParagraph"/>
              <w:spacing w:line="245" w:lineRule="exact"/>
              <w:ind w:right="136"/>
              <w:jc w:val="right"/>
              <w:rPr>
                <w:sz w:val="21"/>
              </w:rPr>
            </w:pPr>
            <w:r>
              <w:rPr>
                <w:sz w:val="21"/>
              </w:rPr>
              <w:t>50 万元</w:t>
            </w:r>
          </w:p>
        </w:tc>
        <w:tc>
          <w:tcPr>
            <w:tcW w:w="2409" w:type="dxa"/>
            <w:gridSpan w:val="2"/>
          </w:tcPr>
          <w:p>
            <w:pPr>
              <w:pStyle w:val="TableParagraph"/>
              <w:spacing w:line="245" w:lineRule="exact"/>
              <w:ind w:left="11"/>
              <w:jc w:val="center"/>
              <w:rPr>
                <w:sz w:val="21"/>
              </w:rPr>
            </w:pPr>
            <w:r>
              <w:rPr>
                <w:w w:val="100"/>
                <w:sz w:val="21"/>
              </w:rPr>
              <w:t>/</w:t>
            </w:r>
          </w:p>
        </w:tc>
        <w:tc>
          <w:tcPr>
            <w:tcW w:w="2500" w:type="dxa"/>
            <w:gridSpan w:val="2"/>
          </w:tcPr>
          <w:p>
            <w:pPr>
              <w:pStyle w:val="TableParagraph"/>
              <w:spacing w:line="245" w:lineRule="exact"/>
              <w:ind w:left="284"/>
              <w:rPr>
                <w:sz w:val="21"/>
              </w:rPr>
            </w:pPr>
            <w:r>
              <w:rPr>
                <w:sz w:val="21"/>
              </w:rPr>
              <w:t>50 万元×60=30 万元</w:t>
            </w:r>
          </w:p>
        </w:tc>
        <w:tc>
          <w:tcPr>
            <w:tcW w:w="1156" w:type="dxa"/>
          </w:tcPr>
          <w:p>
            <w:pPr>
              <w:pStyle w:val="TableParagraph"/>
              <w:spacing w:line="245" w:lineRule="exact"/>
              <w:ind w:left="270"/>
              <w:rPr>
                <w:sz w:val="21"/>
              </w:rPr>
            </w:pPr>
            <w:r>
              <w:rPr>
                <w:sz w:val="21"/>
              </w:rPr>
              <w:t>80 万元</w:t>
            </w:r>
          </w:p>
        </w:tc>
      </w:tr>
      <w:tr>
        <w:trPr>
          <w:trHeight w:val="287" w:hRule="atLeast"/>
        </w:trPr>
        <w:tc>
          <w:tcPr>
            <w:tcW w:w="1958" w:type="dxa"/>
          </w:tcPr>
          <w:p>
            <w:pPr>
              <w:pStyle w:val="TableParagraph"/>
              <w:spacing w:line="245" w:lineRule="exact"/>
              <w:ind w:left="78" w:right="1"/>
              <w:jc w:val="center"/>
              <w:rPr>
                <w:sz w:val="21"/>
              </w:rPr>
            </w:pPr>
            <w:r>
              <w:rPr>
                <w:sz w:val="21"/>
              </w:rPr>
              <w:t>①⑥</w:t>
            </w:r>
          </w:p>
        </w:tc>
        <w:tc>
          <w:tcPr>
            <w:tcW w:w="1046" w:type="dxa"/>
          </w:tcPr>
          <w:p>
            <w:pPr>
              <w:pStyle w:val="TableParagraph"/>
              <w:spacing w:line="245" w:lineRule="exact"/>
              <w:ind w:right="136"/>
              <w:jc w:val="right"/>
              <w:rPr>
                <w:sz w:val="21"/>
              </w:rPr>
            </w:pPr>
            <w:r>
              <w:rPr>
                <w:sz w:val="21"/>
              </w:rPr>
              <w:t>50 万元</w:t>
            </w:r>
          </w:p>
        </w:tc>
        <w:tc>
          <w:tcPr>
            <w:tcW w:w="2409" w:type="dxa"/>
            <w:gridSpan w:val="2"/>
          </w:tcPr>
          <w:p>
            <w:pPr>
              <w:pStyle w:val="TableParagraph"/>
              <w:spacing w:line="245" w:lineRule="exact"/>
              <w:ind w:left="11"/>
              <w:jc w:val="center"/>
              <w:rPr>
                <w:sz w:val="21"/>
              </w:rPr>
            </w:pPr>
            <w:r>
              <w:rPr>
                <w:w w:val="100"/>
                <w:sz w:val="21"/>
              </w:rPr>
              <w:t>/</w:t>
            </w:r>
          </w:p>
        </w:tc>
        <w:tc>
          <w:tcPr>
            <w:tcW w:w="2500" w:type="dxa"/>
            <w:gridSpan w:val="2"/>
          </w:tcPr>
          <w:p>
            <w:pPr>
              <w:pStyle w:val="TableParagraph"/>
              <w:spacing w:line="245" w:lineRule="exact"/>
              <w:ind w:left="284"/>
              <w:rPr>
                <w:sz w:val="21"/>
              </w:rPr>
            </w:pPr>
            <w:r>
              <w:rPr>
                <w:sz w:val="21"/>
              </w:rPr>
              <w:t>50 万元×90=45 万元</w:t>
            </w:r>
          </w:p>
        </w:tc>
        <w:tc>
          <w:tcPr>
            <w:tcW w:w="1156" w:type="dxa"/>
          </w:tcPr>
          <w:p>
            <w:pPr>
              <w:pStyle w:val="TableParagraph"/>
              <w:spacing w:line="245" w:lineRule="exact"/>
              <w:ind w:left="270"/>
              <w:rPr>
                <w:sz w:val="21"/>
              </w:rPr>
            </w:pPr>
            <w:r>
              <w:rPr>
                <w:sz w:val="21"/>
              </w:rPr>
              <w:t>95 万元</w:t>
            </w:r>
          </w:p>
        </w:tc>
      </w:tr>
      <w:tr>
        <w:trPr>
          <w:trHeight w:val="311" w:hRule="atLeast"/>
        </w:trPr>
        <w:tc>
          <w:tcPr>
            <w:tcW w:w="1958" w:type="dxa"/>
          </w:tcPr>
          <w:p>
            <w:pPr>
              <w:pStyle w:val="TableParagraph"/>
              <w:spacing w:line="260" w:lineRule="exact"/>
              <w:ind w:left="78" w:right="1"/>
              <w:jc w:val="center"/>
              <w:rPr>
                <w:sz w:val="21"/>
              </w:rPr>
            </w:pPr>
            <w:r>
              <w:rPr>
                <w:sz w:val="21"/>
              </w:rPr>
              <w:t>①②④</w:t>
            </w:r>
          </w:p>
        </w:tc>
        <w:tc>
          <w:tcPr>
            <w:tcW w:w="1046" w:type="dxa"/>
          </w:tcPr>
          <w:p>
            <w:pPr>
              <w:pStyle w:val="TableParagraph"/>
              <w:spacing w:line="255" w:lineRule="exact"/>
              <w:ind w:right="136"/>
              <w:jc w:val="right"/>
              <w:rPr>
                <w:sz w:val="21"/>
              </w:rPr>
            </w:pPr>
            <w:r>
              <w:rPr>
                <w:sz w:val="21"/>
              </w:rPr>
              <w:t>50 万元</w:t>
            </w:r>
          </w:p>
        </w:tc>
        <w:tc>
          <w:tcPr>
            <w:tcW w:w="2409" w:type="dxa"/>
            <w:gridSpan w:val="2"/>
          </w:tcPr>
          <w:p>
            <w:pPr>
              <w:pStyle w:val="TableParagraph"/>
              <w:spacing w:line="255" w:lineRule="exact"/>
              <w:ind w:left="206"/>
              <w:rPr>
                <w:sz w:val="21"/>
              </w:rPr>
            </w:pPr>
            <w:r>
              <w:rPr>
                <w:sz w:val="21"/>
              </w:rPr>
              <w:t>50 万元×5 =2.5 万元</w:t>
            </w:r>
          </w:p>
        </w:tc>
        <w:tc>
          <w:tcPr>
            <w:tcW w:w="2500" w:type="dxa"/>
            <w:gridSpan w:val="2"/>
          </w:tcPr>
          <w:p>
            <w:pPr>
              <w:pStyle w:val="TableParagraph"/>
              <w:spacing w:line="255" w:lineRule="exact"/>
              <w:ind w:left="284"/>
              <w:rPr>
                <w:sz w:val="21"/>
              </w:rPr>
            </w:pPr>
            <w:r>
              <w:rPr>
                <w:sz w:val="21"/>
              </w:rPr>
              <w:t>50 万元×30=15 万元</w:t>
            </w:r>
          </w:p>
        </w:tc>
        <w:tc>
          <w:tcPr>
            <w:tcW w:w="1156" w:type="dxa"/>
          </w:tcPr>
          <w:p>
            <w:pPr>
              <w:pStyle w:val="TableParagraph"/>
              <w:spacing w:line="255" w:lineRule="exact"/>
              <w:ind w:left="169"/>
              <w:rPr>
                <w:sz w:val="21"/>
              </w:rPr>
            </w:pPr>
            <w:r>
              <w:rPr>
                <w:sz w:val="21"/>
              </w:rPr>
              <w:t>67.5 万元</w:t>
            </w:r>
          </w:p>
        </w:tc>
      </w:tr>
      <w:tr>
        <w:trPr>
          <w:trHeight w:val="311" w:hRule="atLeast"/>
        </w:trPr>
        <w:tc>
          <w:tcPr>
            <w:tcW w:w="1958" w:type="dxa"/>
          </w:tcPr>
          <w:p>
            <w:pPr>
              <w:pStyle w:val="TableParagraph"/>
              <w:spacing w:line="260" w:lineRule="exact"/>
              <w:ind w:left="78" w:right="1"/>
              <w:jc w:val="center"/>
              <w:rPr>
                <w:sz w:val="21"/>
              </w:rPr>
            </w:pPr>
            <w:r>
              <w:rPr>
                <w:sz w:val="21"/>
              </w:rPr>
              <w:t>①②⑤</w:t>
            </w:r>
          </w:p>
        </w:tc>
        <w:tc>
          <w:tcPr>
            <w:tcW w:w="1046" w:type="dxa"/>
          </w:tcPr>
          <w:p>
            <w:pPr>
              <w:pStyle w:val="TableParagraph"/>
              <w:spacing w:line="255" w:lineRule="exact"/>
              <w:ind w:right="136"/>
              <w:jc w:val="right"/>
              <w:rPr>
                <w:sz w:val="21"/>
              </w:rPr>
            </w:pPr>
            <w:r>
              <w:rPr>
                <w:sz w:val="21"/>
              </w:rPr>
              <w:t>50 万元</w:t>
            </w:r>
          </w:p>
        </w:tc>
        <w:tc>
          <w:tcPr>
            <w:tcW w:w="2409" w:type="dxa"/>
            <w:gridSpan w:val="2"/>
          </w:tcPr>
          <w:p>
            <w:pPr>
              <w:pStyle w:val="TableParagraph"/>
              <w:spacing w:line="255" w:lineRule="exact"/>
              <w:ind w:left="206"/>
              <w:rPr>
                <w:sz w:val="21"/>
              </w:rPr>
            </w:pPr>
            <w:r>
              <w:rPr>
                <w:sz w:val="21"/>
              </w:rPr>
              <w:t>50 万元×5 =2.5 万元</w:t>
            </w:r>
          </w:p>
        </w:tc>
        <w:tc>
          <w:tcPr>
            <w:tcW w:w="2500" w:type="dxa"/>
            <w:gridSpan w:val="2"/>
          </w:tcPr>
          <w:p>
            <w:pPr>
              <w:pStyle w:val="TableParagraph"/>
              <w:spacing w:line="255" w:lineRule="exact"/>
              <w:ind w:left="284"/>
              <w:rPr>
                <w:sz w:val="21"/>
              </w:rPr>
            </w:pPr>
            <w:r>
              <w:rPr>
                <w:sz w:val="21"/>
              </w:rPr>
              <w:t>50 万元×60=30 万元</w:t>
            </w:r>
          </w:p>
        </w:tc>
        <w:tc>
          <w:tcPr>
            <w:tcW w:w="1156" w:type="dxa"/>
          </w:tcPr>
          <w:p>
            <w:pPr>
              <w:pStyle w:val="TableParagraph"/>
              <w:spacing w:line="255" w:lineRule="exact"/>
              <w:ind w:left="169"/>
              <w:rPr>
                <w:sz w:val="21"/>
              </w:rPr>
            </w:pPr>
            <w:r>
              <w:rPr>
                <w:sz w:val="21"/>
              </w:rPr>
              <w:t>82.5 万元</w:t>
            </w:r>
          </w:p>
        </w:tc>
      </w:tr>
      <w:tr>
        <w:trPr>
          <w:trHeight w:val="311" w:hRule="atLeast"/>
        </w:trPr>
        <w:tc>
          <w:tcPr>
            <w:tcW w:w="1958" w:type="dxa"/>
          </w:tcPr>
          <w:p>
            <w:pPr>
              <w:pStyle w:val="TableParagraph"/>
              <w:spacing w:line="260" w:lineRule="exact"/>
              <w:ind w:left="78" w:right="1"/>
              <w:jc w:val="center"/>
              <w:rPr>
                <w:sz w:val="21"/>
              </w:rPr>
            </w:pPr>
            <w:r>
              <w:rPr>
                <w:sz w:val="21"/>
              </w:rPr>
              <w:t>①②⑥</w:t>
            </w:r>
          </w:p>
        </w:tc>
        <w:tc>
          <w:tcPr>
            <w:tcW w:w="1046" w:type="dxa"/>
          </w:tcPr>
          <w:p>
            <w:pPr>
              <w:pStyle w:val="TableParagraph"/>
              <w:spacing w:line="255" w:lineRule="exact"/>
              <w:ind w:right="136"/>
              <w:jc w:val="right"/>
              <w:rPr>
                <w:sz w:val="21"/>
              </w:rPr>
            </w:pPr>
            <w:r>
              <w:rPr>
                <w:sz w:val="21"/>
              </w:rPr>
              <w:t>50 万元</w:t>
            </w:r>
          </w:p>
        </w:tc>
        <w:tc>
          <w:tcPr>
            <w:tcW w:w="2409" w:type="dxa"/>
            <w:gridSpan w:val="2"/>
          </w:tcPr>
          <w:p>
            <w:pPr>
              <w:pStyle w:val="TableParagraph"/>
              <w:spacing w:line="255" w:lineRule="exact"/>
              <w:ind w:left="206"/>
              <w:rPr>
                <w:sz w:val="21"/>
              </w:rPr>
            </w:pPr>
            <w:r>
              <w:rPr>
                <w:sz w:val="21"/>
              </w:rPr>
              <w:t>50 万元×5 =2.5 万元</w:t>
            </w:r>
          </w:p>
        </w:tc>
        <w:tc>
          <w:tcPr>
            <w:tcW w:w="2500" w:type="dxa"/>
            <w:gridSpan w:val="2"/>
          </w:tcPr>
          <w:p>
            <w:pPr>
              <w:pStyle w:val="TableParagraph"/>
              <w:spacing w:line="255" w:lineRule="exact"/>
              <w:ind w:left="284"/>
              <w:rPr>
                <w:sz w:val="21"/>
              </w:rPr>
            </w:pPr>
            <w:r>
              <w:rPr>
                <w:sz w:val="21"/>
              </w:rPr>
              <w:t>50 万元×90=45 万元</w:t>
            </w:r>
          </w:p>
        </w:tc>
        <w:tc>
          <w:tcPr>
            <w:tcW w:w="1156" w:type="dxa"/>
          </w:tcPr>
          <w:p>
            <w:pPr>
              <w:pStyle w:val="TableParagraph"/>
              <w:spacing w:line="255" w:lineRule="exact"/>
              <w:ind w:left="169"/>
              <w:rPr>
                <w:sz w:val="21"/>
              </w:rPr>
            </w:pPr>
            <w:r>
              <w:rPr>
                <w:sz w:val="21"/>
              </w:rPr>
              <w:t>97.5 万元</w:t>
            </w:r>
          </w:p>
        </w:tc>
      </w:tr>
      <w:tr>
        <w:trPr>
          <w:trHeight w:val="311" w:hRule="atLeast"/>
        </w:trPr>
        <w:tc>
          <w:tcPr>
            <w:tcW w:w="1958" w:type="dxa"/>
          </w:tcPr>
          <w:p>
            <w:pPr>
              <w:pStyle w:val="TableParagraph"/>
              <w:spacing w:line="260" w:lineRule="exact"/>
              <w:ind w:left="78" w:right="1"/>
              <w:jc w:val="center"/>
              <w:rPr>
                <w:sz w:val="21"/>
              </w:rPr>
            </w:pPr>
            <w:r>
              <w:rPr>
                <w:sz w:val="21"/>
              </w:rPr>
              <w:t>①③④</w:t>
            </w:r>
          </w:p>
        </w:tc>
        <w:tc>
          <w:tcPr>
            <w:tcW w:w="1046" w:type="dxa"/>
          </w:tcPr>
          <w:p>
            <w:pPr>
              <w:pStyle w:val="TableParagraph"/>
              <w:spacing w:line="255" w:lineRule="exact"/>
              <w:ind w:right="136"/>
              <w:jc w:val="right"/>
              <w:rPr>
                <w:sz w:val="21"/>
              </w:rPr>
            </w:pPr>
            <w:r>
              <w:rPr>
                <w:sz w:val="21"/>
              </w:rPr>
              <w:t>50 万元</w:t>
            </w:r>
          </w:p>
        </w:tc>
        <w:tc>
          <w:tcPr>
            <w:tcW w:w="2409" w:type="dxa"/>
            <w:gridSpan w:val="2"/>
          </w:tcPr>
          <w:p>
            <w:pPr>
              <w:pStyle w:val="TableParagraph"/>
              <w:spacing w:line="255" w:lineRule="exact"/>
              <w:ind w:left="259"/>
              <w:rPr>
                <w:sz w:val="21"/>
              </w:rPr>
            </w:pPr>
            <w:r>
              <w:rPr>
                <w:sz w:val="21"/>
              </w:rPr>
              <w:t>50 万元×10=5 万元</w:t>
            </w:r>
          </w:p>
        </w:tc>
        <w:tc>
          <w:tcPr>
            <w:tcW w:w="2500" w:type="dxa"/>
            <w:gridSpan w:val="2"/>
          </w:tcPr>
          <w:p>
            <w:pPr>
              <w:pStyle w:val="TableParagraph"/>
              <w:spacing w:line="255" w:lineRule="exact"/>
              <w:ind w:left="284"/>
              <w:rPr>
                <w:sz w:val="21"/>
              </w:rPr>
            </w:pPr>
            <w:r>
              <w:rPr>
                <w:sz w:val="21"/>
              </w:rPr>
              <w:t>50 万元×30=15 万元</w:t>
            </w:r>
          </w:p>
        </w:tc>
        <w:tc>
          <w:tcPr>
            <w:tcW w:w="1156" w:type="dxa"/>
          </w:tcPr>
          <w:p>
            <w:pPr>
              <w:pStyle w:val="TableParagraph"/>
              <w:spacing w:line="255" w:lineRule="exact"/>
              <w:ind w:left="270"/>
              <w:rPr>
                <w:sz w:val="21"/>
              </w:rPr>
            </w:pPr>
            <w:r>
              <w:rPr>
                <w:sz w:val="21"/>
              </w:rPr>
              <w:t>70 万元</w:t>
            </w:r>
          </w:p>
        </w:tc>
      </w:tr>
      <w:tr>
        <w:trPr>
          <w:trHeight w:val="311" w:hRule="atLeast"/>
        </w:trPr>
        <w:tc>
          <w:tcPr>
            <w:tcW w:w="1958" w:type="dxa"/>
          </w:tcPr>
          <w:p>
            <w:pPr>
              <w:pStyle w:val="TableParagraph"/>
              <w:spacing w:line="260" w:lineRule="exact"/>
              <w:ind w:left="78" w:right="1"/>
              <w:jc w:val="center"/>
              <w:rPr>
                <w:sz w:val="21"/>
              </w:rPr>
            </w:pPr>
            <w:r>
              <w:rPr>
                <w:sz w:val="21"/>
              </w:rPr>
              <w:t>①③⑤</w:t>
            </w:r>
          </w:p>
        </w:tc>
        <w:tc>
          <w:tcPr>
            <w:tcW w:w="1046" w:type="dxa"/>
          </w:tcPr>
          <w:p>
            <w:pPr>
              <w:pStyle w:val="TableParagraph"/>
              <w:spacing w:line="260" w:lineRule="exact"/>
              <w:ind w:right="136"/>
              <w:jc w:val="right"/>
              <w:rPr>
                <w:sz w:val="21"/>
              </w:rPr>
            </w:pPr>
            <w:r>
              <w:rPr>
                <w:sz w:val="21"/>
              </w:rPr>
              <w:t>50 万元</w:t>
            </w:r>
          </w:p>
        </w:tc>
        <w:tc>
          <w:tcPr>
            <w:tcW w:w="2409" w:type="dxa"/>
            <w:gridSpan w:val="2"/>
          </w:tcPr>
          <w:p>
            <w:pPr>
              <w:pStyle w:val="TableParagraph"/>
              <w:spacing w:line="260" w:lineRule="exact"/>
              <w:ind w:left="259"/>
              <w:rPr>
                <w:sz w:val="21"/>
              </w:rPr>
            </w:pPr>
            <w:r>
              <w:rPr>
                <w:sz w:val="21"/>
              </w:rPr>
              <w:t>50 万元×10=5 万元</w:t>
            </w:r>
          </w:p>
        </w:tc>
        <w:tc>
          <w:tcPr>
            <w:tcW w:w="2500" w:type="dxa"/>
            <w:gridSpan w:val="2"/>
          </w:tcPr>
          <w:p>
            <w:pPr>
              <w:pStyle w:val="TableParagraph"/>
              <w:spacing w:line="260" w:lineRule="exact"/>
              <w:ind w:left="284"/>
              <w:rPr>
                <w:sz w:val="21"/>
              </w:rPr>
            </w:pPr>
            <w:r>
              <w:rPr>
                <w:sz w:val="21"/>
              </w:rPr>
              <w:t>50 万元×60=30 万元</w:t>
            </w:r>
          </w:p>
        </w:tc>
        <w:tc>
          <w:tcPr>
            <w:tcW w:w="1156" w:type="dxa"/>
          </w:tcPr>
          <w:p>
            <w:pPr>
              <w:pStyle w:val="TableParagraph"/>
              <w:spacing w:line="260" w:lineRule="exact"/>
              <w:ind w:left="270"/>
              <w:rPr>
                <w:sz w:val="21"/>
              </w:rPr>
            </w:pPr>
            <w:r>
              <w:rPr>
                <w:sz w:val="21"/>
              </w:rPr>
              <w:t>85 万元</w:t>
            </w:r>
          </w:p>
        </w:tc>
      </w:tr>
      <w:tr>
        <w:trPr>
          <w:trHeight w:val="311" w:hRule="atLeast"/>
        </w:trPr>
        <w:tc>
          <w:tcPr>
            <w:tcW w:w="1958" w:type="dxa"/>
          </w:tcPr>
          <w:p>
            <w:pPr>
              <w:pStyle w:val="TableParagraph"/>
              <w:spacing w:line="260" w:lineRule="exact"/>
              <w:ind w:left="78" w:right="1"/>
              <w:jc w:val="center"/>
              <w:rPr>
                <w:sz w:val="21"/>
              </w:rPr>
            </w:pPr>
            <w:r>
              <w:rPr>
                <w:sz w:val="21"/>
              </w:rPr>
              <w:t>①③⑥</w:t>
            </w:r>
          </w:p>
        </w:tc>
        <w:tc>
          <w:tcPr>
            <w:tcW w:w="1046" w:type="dxa"/>
          </w:tcPr>
          <w:p>
            <w:pPr>
              <w:pStyle w:val="TableParagraph"/>
              <w:spacing w:line="260" w:lineRule="exact"/>
              <w:ind w:right="136"/>
              <w:jc w:val="right"/>
              <w:rPr>
                <w:sz w:val="21"/>
              </w:rPr>
            </w:pPr>
            <w:r>
              <w:rPr>
                <w:sz w:val="21"/>
              </w:rPr>
              <w:t>50 万元</w:t>
            </w:r>
          </w:p>
        </w:tc>
        <w:tc>
          <w:tcPr>
            <w:tcW w:w="2409" w:type="dxa"/>
            <w:gridSpan w:val="2"/>
          </w:tcPr>
          <w:p>
            <w:pPr>
              <w:pStyle w:val="TableParagraph"/>
              <w:spacing w:line="260" w:lineRule="exact"/>
              <w:ind w:left="259"/>
              <w:rPr>
                <w:sz w:val="21"/>
              </w:rPr>
            </w:pPr>
            <w:r>
              <w:rPr>
                <w:sz w:val="21"/>
              </w:rPr>
              <w:t>50 万元×10=5 万元</w:t>
            </w:r>
          </w:p>
        </w:tc>
        <w:tc>
          <w:tcPr>
            <w:tcW w:w="2500" w:type="dxa"/>
            <w:gridSpan w:val="2"/>
          </w:tcPr>
          <w:p>
            <w:pPr>
              <w:pStyle w:val="TableParagraph"/>
              <w:spacing w:line="260" w:lineRule="exact"/>
              <w:ind w:left="284"/>
              <w:rPr>
                <w:sz w:val="21"/>
              </w:rPr>
            </w:pPr>
            <w:r>
              <w:rPr>
                <w:sz w:val="21"/>
              </w:rPr>
              <w:t>50 万元×90=45 万元</w:t>
            </w:r>
          </w:p>
        </w:tc>
        <w:tc>
          <w:tcPr>
            <w:tcW w:w="1156" w:type="dxa"/>
          </w:tcPr>
          <w:p>
            <w:pPr>
              <w:pStyle w:val="TableParagraph"/>
              <w:spacing w:line="260" w:lineRule="exact"/>
              <w:ind w:left="217"/>
              <w:rPr>
                <w:sz w:val="21"/>
              </w:rPr>
            </w:pPr>
            <w:r>
              <w:rPr>
                <w:sz w:val="21"/>
              </w:rPr>
              <w:t>100 万元</w:t>
            </w:r>
          </w:p>
        </w:tc>
      </w:tr>
    </w:tbl>
    <w:p>
      <w:pPr>
        <w:pStyle w:val="BodyText"/>
        <w:spacing w:before="2"/>
        <w:rPr>
          <w:sz w:val="11"/>
        </w:rPr>
      </w:pPr>
    </w:p>
    <w:p>
      <w:pPr>
        <w:pStyle w:val="Heading4"/>
        <w:spacing w:line="321" w:lineRule="exact"/>
        <w:ind w:left="675"/>
      </w:pPr>
      <w:r>
        <w:rPr/>
        <w:pict>
          <v:group style="position:absolute;margin-left:49.919998pt;margin-top:-481.524933pt;width:495.6pt;height:676.8pt;mso-position-horizontal-relative:page;mso-position-vertical-relative:paragraph;z-index:-81040" coordorigin="998,-9630" coordsize="9912,13536">
            <v:shape style="position:absolute;left:5798;top:-9397;width:95;height:165" type="#_x0000_t75" stroked="false">
              <v:imagedata r:id="rId7" o:title=""/>
            </v:shape>
            <v:shape style="position:absolute;left:8241;top:-9397;width:95;height:165" type="#_x0000_t75" stroked="false">
              <v:imagedata r:id="rId7" o:title=""/>
            </v:shape>
            <v:shape style="position:absolute;left:5798;top:-8937;width:95;height:165" type="#_x0000_t75" stroked="false">
              <v:imagedata r:id="rId7" o:title=""/>
            </v:shape>
            <v:shape style="position:absolute;left:8241;top:-8937;width:95;height:165" type="#_x0000_t75" stroked="false">
              <v:imagedata r:id="rId7" o:title=""/>
            </v:shape>
            <v:shape style="position:absolute;left:5798;top:-8471;width:95;height:165" type="#_x0000_t75" stroked="false">
              <v:imagedata r:id="rId7" o:title=""/>
            </v:shape>
            <v:shape style="position:absolute;left:8241;top:-8471;width:95;height:165" type="#_x0000_t75" stroked="false">
              <v:imagedata r:id="rId7" o:title=""/>
            </v:shape>
            <v:shape style="position:absolute;left:5956;top:-8005;width:95;height:165" type="#_x0000_t75" stroked="false">
              <v:imagedata r:id="rId7" o:title=""/>
            </v:shape>
            <v:shape style="position:absolute;left:8241;top:-8005;width:95;height:165" type="#_x0000_t75" stroked="false">
              <v:imagedata r:id="rId7" o:title=""/>
            </v:shape>
            <v:shape style="position:absolute;left:5956;top:-7545;width:95;height:165" type="#_x0000_t75" stroked="false">
              <v:imagedata r:id="rId7" o:title=""/>
            </v:shape>
            <v:shape style="position:absolute;left:8241;top:-7545;width:95;height:165" type="#_x0000_t75" stroked="false">
              <v:imagedata r:id="rId7" o:title=""/>
            </v:shape>
            <v:shape style="position:absolute;left:5956;top:-7079;width:95;height:165" type="#_x0000_t75" stroked="false">
              <v:imagedata r:id="rId7" o:title=""/>
            </v:shape>
            <v:shape style="position:absolute;left:8241;top:-7079;width:95;height:165" type="#_x0000_t75" stroked="false">
              <v:imagedata r:id="rId7" o:title=""/>
            </v:shape>
            <v:shape style="position:absolute;left:1420;top:-6021;width:9063;height:2" coordorigin="1421,-6021" coordsize="9063,0" path="m1421,-6021l3422,-6021m3432,-6021l4416,-6021m4426,-6021l6826,-6021m6835,-6021l9384,-6021m9394,-6021l10483,-6021e" filled="false" stroked="true" strokeweight=".481pt" strokecolor="#000000">
              <v:path arrowok="t"/>
              <v:stroke dashstyle="solid"/>
            </v:shape>
            <v:shape style="position:absolute;left:1420;top:-3852;width:9063;height:2" coordorigin="1421,-3851" coordsize="9063,0" path="m1421,-3851l3422,-3851m3432,-3851l4416,-3851m4426,-3851l6826,-3851m6835,-3851l9384,-3851m9394,-3851l10483,-3851e" filled="false" stroked="true" strokeweight=".48pt" strokecolor="#000000">
              <v:path arrowok="t"/>
              <v:stroke dashstyle="solid"/>
            </v:shape>
            <v:shape style="position:absolute;left:5635;top:-3498;width:95;height:165" type="#_x0000_t75" stroked="false">
              <v:imagedata r:id="rId7" o:title=""/>
            </v:shape>
            <v:shape style="position:absolute;left:5793;top:-3205;width:95;height:165" type="#_x0000_t75" stroked="false">
              <v:imagedata r:id="rId7" o:title=""/>
            </v:shape>
            <v:shape style="position:absolute;left:8227;top:-2908;width:95;height:165" type="#_x0000_t75" stroked="false">
              <v:imagedata r:id="rId7" o:title=""/>
            </v:shape>
            <v:shape style="position:absolute;left:8227;top:-2615;width:95;height:165" type="#_x0000_t75" stroked="false">
              <v:imagedata r:id="rId7" o:title=""/>
            </v:shape>
            <v:shape style="position:absolute;left:8227;top:-2322;width:95;height:165" type="#_x0000_t75" stroked="false">
              <v:imagedata r:id="rId7" o:title=""/>
            </v:shape>
            <v:shape style="position:absolute;left:5635;top:-2015;width:95;height:165" type="#_x0000_t75" stroked="false">
              <v:imagedata r:id="rId7" o:title=""/>
            </v:shape>
            <v:shape style="position:absolute;left:8227;top:-2015;width:95;height:165" type="#_x0000_t75" stroked="false">
              <v:imagedata r:id="rId7" o:title=""/>
            </v:shape>
            <v:shape style="position:absolute;left:5635;top:-1693;width:95;height:165" type="#_x0000_t75" stroked="false">
              <v:imagedata r:id="rId7" o:title=""/>
            </v:shape>
            <v:shape style="position:absolute;left:8227;top:-1693;width:95;height:165" type="#_x0000_t75" stroked="false">
              <v:imagedata r:id="rId7" o:title=""/>
            </v:shape>
            <v:shape style="position:absolute;left:5635;top:-1372;width:95;height:165" type="#_x0000_t75" stroked="false">
              <v:imagedata r:id="rId7" o:title=""/>
            </v:shape>
            <v:shape style="position:absolute;left:8227;top:-1372;width:95;height:165" type="#_x0000_t75" stroked="false">
              <v:imagedata r:id="rId7" o:title=""/>
            </v:shape>
            <v:shape style="position:absolute;left:5793;top:-1050;width:95;height:165" type="#_x0000_t75" stroked="false">
              <v:imagedata r:id="rId7" o:title=""/>
            </v:shape>
            <v:shape style="position:absolute;left:8227;top:-1050;width:95;height:165" type="#_x0000_t75" stroked="false">
              <v:imagedata r:id="rId7" o:title=""/>
            </v:shape>
            <v:shape style="position:absolute;left:5793;top:-724;width:95;height:165" type="#_x0000_t75" stroked="false">
              <v:imagedata r:id="rId7" o:title=""/>
            </v:shape>
            <v:shape style="position:absolute;left:8227;top:-724;width:95;height:165" type="#_x0000_t75" stroked="false">
              <v:imagedata r:id="rId7" o:title=""/>
            </v:shape>
            <v:shape style="position:absolute;left:5793;top:-402;width:95;height:165" type="#_x0000_t75" stroked="false">
              <v:imagedata r:id="rId7" o:title=""/>
            </v:shape>
            <v:shape style="position:absolute;left:8227;top:-402;width:95;height:165" type="#_x0000_t75" stroked="false">
              <v:imagedata r:id="rId7" o:title=""/>
            </v:shape>
            <v:shape style="position:absolute;left:998;top:-9631;width:9912;height:13536" type="#_x0000_t75" stroked="false">
              <v:imagedata r:id="rId9" o:title=""/>
            </v:shape>
            <v:rect style="position:absolute;left:1529;top:806;width:8737;height:2933" filled="true" fillcolor="#ffffff" stroked="false">
              <v:fill type="solid"/>
            </v:rect>
            <v:rect style="position:absolute;left:1529;top:806;width:8737;height:2933" filled="false" stroked="true" strokeweight=".75pt" strokecolor="#000000">
              <v:stroke dashstyle="shortdot"/>
            </v:rect>
            <v:rect style="position:absolute;left:1640;top:873;width:2555;height:2833" filled="true" fillcolor="#ffffff" stroked="false">
              <v:fill type="solid"/>
            </v:rect>
            <w10:wrap type="none"/>
          </v:group>
        </w:pict>
      </w:r>
      <w:r>
        <w:rPr/>
        <w:t>以上举例仅供您更好地理解产品之用，您所购买产品的具体保险利益以保险合同中载明的为准。</w:t>
      </w:r>
    </w:p>
    <w:p>
      <w:pPr>
        <w:spacing w:line="580" w:lineRule="exact" w:before="0"/>
        <w:ind w:left="252" w:right="0" w:firstLine="0"/>
        <w:jc w:val="left"/>
        <w:rPr>
          <w:rFonts w:ascii="Microsoft JhengHei" w:hAnsi="Microsoft JhengHei" w:eastAsia="Microsoft JhengHei" w:hint="eastAsia"/>
          <w:b/>
          <w:sz w:val="21"/>
        </w:rPr>
      </w:pPr>
      <w:r>
        <w:rPr>
          <w:rFonts w:ascii="Arial" w:hAnsi="Arial" w:eastAsia="Arial"/>
          <w:b/>
          <w:w w:val="110"/>
          <w:position w:val="-11"/>
          <w:sz w:val="52"/>
        </w:rPr>
        <w:t></w:t>
      </w:r>
      <w:r>
        <w:rPr>
          <w:rFonts w:ascii="Microsoft JhengHei" w:hAnsi="Microsoft JhengHei" w:eastAsia="Microsoft JhengHei" w:hint="eastAsia"/>
          <w:b/>
          <w:w w:val="110"/>
          <w:sz w:val="21"/>
        </w:rPr>
        <w:t>条款目录</w:t>
      </w:r>
    </w:p>
    <w:p>
      <w:pPr>
        <w:spacing w:after="0" w:line="580" w:lineRule="exact"/>
        <w:jc w:val="left"/>
        <w:rPr>
          <w:rFonts w:ascii="Microsoft JhengHei" w:hAnsi="Microsoft JhengHei" w:eastAsia="Microsoft JhengHei" w:hint="eastAsia"/>
          <w:sz w:val="21"/>
        </w:rPr>
        <w:sectPr>
          <w:pgSz w:w="11910" w:h="16840"/>
          <w:pgMar w:top="1120" w:bottom="280" w:left="880" w:right="880"/>
        </w:sectPr>
      </w:pPr>
    </w:p>
    <w:p>
      <w:pPr>
        <w:spacing w:line="230" w:lineRule="exact" w:before="0"/>
        <w:ind w:left="905"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2"/>
        </w:numPr>
        <w:tabs>
          <w:tab w:pos="1540" w:val="left" w:leader="none"/>
        </w:tabs>
        <w:spacing w:line="209" w:lineRule="exact" w:before="0" w:after="0"/>
        <w:ind w:left="1539" w:right="0" w:hanging="423"/>
        <w:jc w:val="left"/>
        <w:rPr>
          <w:sz w:val="21"/>
        </w:rPr>
      </w:pPr>
      <w:r>
        <w:rPr>
          <w:spacing w:val="-2"/>
          <w:sz w:val="21"/>
        </w:rPr>
        <w:t>保险责任</w:t>
      </w:r>
    </w:p>
    <w:p>
      <w:pPr>
        <w:pStyle w:val="ListParagraph"/>
        <w:numPr>
          <w:ilvl w:val="1"/>
          <w:numId w:val="2"/>
        </w:numPr>
        <w:tabs>
          <w:tab w:pos="1540" w:val="left" w:leader="none"/>
        </w:tabs>
        <w:spacing w:line="187" w:lineRule="exact" w:before="0" w:after="0"/>
        <w:ind w:left="1539" w:right="0" w:hanging="423"/>
        <w:jc w:val="left"/>
        <w:rPr>
          <w:sz w:val="21"/>
        </w:rPr>
      </w:pPr>
      <w:r>
        <w:rPr>
          <w:spacing w:val="-2"/>
          <w:sz w:val="21"/>
        </w:rPr>
        <w:t>保险期间</w:t>
      </w:r>
    </w:p>
    <w:p>
      <w:pPr>
        <w:pStyle w:val="Heading4"/>
        <w:spacing w:line="266" w:lineRule="exact"/>
      </w:pPr>
      <w:r>
        <w:rPr>
          <w:rFonts w:ascii="宋体" w:eastAsia="宋体" w:hint="eastAsia"/>
        </w:rPr>
        <w:t>2.</w:t>
      </w:r>
      <w:r>
        <w:rPr/>
        <w:t>我们不保什么</w:t>
      </w:r>
    </w:p>
    <w:p>
      <w:pPr>
        <w:pStyle w:val="ListParagraph"/>
        <w:numPr>
          <w:ilvl w:val="1"/>
          <w:numId w:val="3"/>
        </w:numPr>
        <w:tabs>
          <w:tab w:pos="1540" w:val="left" w:leader="none"/>
        </w:tabs>
        <w:spacing w:line="209" w:lineRule="exact" w:before="0" w:after="0"/>
        <w:ind w:left="1539" w:right="0" w:hanging="423"/>
        <w:jc w:val="left"/>
        <w:rPr>
          <w:sz w:val="21"/>
        </w:rPr>
      </w:pPr>
      <w:r>
        <w:rPr>
          <w:spacing w:val="-2"/>
          <w:sz w:val="21"/>
        </w:rPr>
        <w:t>责任免除</w:t>
      </w:r>
    </w:p>
    <w:p>
      <w:pPr>
        <w:pStyle w:val="ListParagraph"/>
        <w:numPr>
          <w:ilvl w:val="1"/>
          <w:numId w:val="3"/>
        </w:numPr>
        <w:tabs>
          <w:tab w:pos="1540" w:val="left" w:leader="none"/>
        </w:tabs>
        <w:spacing w:line="185" w:lineRule="exact" w:before="0" w:after="0"/>
        <w:ind w:left="1539" w:right="0" w:hanging="423"/>
        <w:jc w:val="left"/>
        <w:rPr>
          <w:sz w:val="21"/>
        </w:rPr>
      </w:pPr>
      <w:r>
        <w:rPr>
          <w:spacing w:val="-2"/>
          <w:sz w:val="21"/>
        </w:rPr>
        <w:t>其他免责条款</w:t>
      </w:r>
    </w:p>
    <w:p>
      <w:pPr>
        <w:pStyle w:val="Heading4"/>
        <w:spacing w:line="264" w:lineRule="exact"/>
      </w:pPr>
      <w:r>
        <w:rPr>
          <w:rFonts w:ascii="宋体" w:eastAsia="宋体" w:hint="eastAsia"/>
        </w:rPr>
        <w:t>3.</w:t>
      </w:r>
      <w:r>
        <w:rPr/>
        <w:t>如何支付保险费</w:t>
      </w:r>
    </w:p>
    <w:p>
      <w:pPr>
        <w:pStyle w:val="ListParagraph"/>
        <w:numPr>
          <w:ilvl w:val="1"/>
          <w:numId w:val="4"/>
        </w:numPr>
        <w:tabs>
          <w:tab w:pos="1540" w:val="left" w:leader="none"/>
        </w:tabs>
        <w:spacing w:line="209" w:lineRule="exact" w:before="0" w:after="0"/>
        <w:ind w:left="1539" w:right="0" w:hanging="423"/>
        <w:jc w:val="left"/>
        <w:rPr>
          <w:sz w:val="21"/>
        </w:rPr>
      </w:pPr>
      <w:r>
        <w:rPr>
          <w:spacing w:val="-2"/>
          <w:sz w:val="21"/>
        </w:rPr>
        <w:t>保险费的支付</w:t>
      </w:r>
    </w:p>
    <w:p>
      <w:pPr>
        <w:pStyle w:val="ListParagraph"/>
        <w:numPr>
          <w:ilvl w:val="1"/>
          <w:numId w:val="4"/>
        </w:numPr>
        <w:tabs>
          <w:tab w:pos="1540" w:val="left" w:leader="none"/>
        </w:tabs>
        <w:spacing w:line="221" w:lineRule="exact" w:before="0" w:after="0"/>
        <w:ind w:left="1539" w:right="0" w:hanging="423"/>
        <w:jc w:val="left"/>
        <w:rPr>
          <w:sz w:val="21"/>
        </w:rPr>
      </w:pPr>
      <w:r>
        <w:rPr>
          <w:sz w:val="21"/>
        </w:rPr>
        <w:t>宽限期</w:t>
      </w:r>
    </w:p>
    <w:p>
      <w:pPr>
        <w:pStyle w:val="ListParagraph"/>
        <w:numPr>
          <w:ilvl w:val="1"/>
          <w:numId w:val="4"/>
        </w:numPr>
        <w:tabs>
          <w:tab w:pos="1540" w:val="left" w:leader="none"/>
        </w:tabs>
        <w:spacing w:line="221" w:lineRule="exact" w:before="0" w:after="0"/>
        <w:ind w:left="1539" w:right="0" w:hanging="423"/>
        <w:jc w:val="left"/>
        <w:rPr>
          <w:sz w:val="21"/>
        </w:rPr>
      </w:pPr>
      <w:r>
        <w:rPr>
          <w:spacing w:val="-2"/>
          <w:sz w:val="21"/>
        </w:rPr>
        <w:t>效力中止</w:t>
      </w:r>
    </w:p>
    <w:p>
      <w:pPr>
        <w:pStyle w:val="ListParagraph"/>
        <w:numPr>
          <w:ilvl w:val="1"/>
          <w:numId w:val="4"/>
        </w:numPr>
        <w:tabs>
          <w:tab w:pos="1540" w:val="left" w:leader="none"/>
        </w:tabs>
        <w:spacing w:line="188" w:lineRule="exact" w:before="0" w:after="0"/>
        <w:ind w:left="1539" w:right="0" w:hanging="423"/>
        <w:jc w:val="left"/>
        <w:rPr>
          <w:sz w:val="21"/>
        </w:rPr>
      </w:pPr>
      <w:r>
        <w:rPr>
          <w:spacing w:val="-3"/>
          <w:sz w:val="21"/>
        </w:rPr>
        <w:t>效力恢复</w:t>
      </w:r>
    </w:p>
    <w:p>
      <w:pPr>
        <w:pStyle w:val="Heading4"/>
        <w:spacing w:line="305" w:lineRule="exact"/>
      </w:pPr>
      <w:r>
        <w:rPr>
          <w:rFonts w:ascii="宋体" w:eastAsia="宋体" w:hint="eastAsia"/>
        </w:rPr>
        <w:t>4.</w:t>
      </w:r>
      <w:r>
        <w:rPr/>
        <w:t>如何领取保险金</w:t>
      </w:r>
    </w:p>
    <w:p>
      <w:pPr>
        <w:pStyle w:val="ListParagraph"/>
        <w:numPr>
          <w:ilvl w:val="1"/>
          <w:numId w:val="5"/>
        </w:numPr>
        <w:tabs>
          <w:tab w:pos="1463" w:val="left" w:leader="none"/>
        </w:tabs>
        <w:spacing w:line="218" w:lineRule="exact" w:before="0" w:after="0"/>
        <w:ind w:left="1462" w:right="0" w:hanging="422"/>
        <w:jc w:val="left"/>
        <w:rPr>
          <w:sz w:val="21"/>
        </w:rPr>
      </w:pPr>
      <w:r>
        <w:rPr>
          <w:w w:val="100"/>
          <w:sz w:val="21"/>
        </w:rPr>
        <w:br w:type="column"/>
      </w:r>
      <w:r>
        <w:rPr>
          <w:sz w:val="21"/>
        </w:rPr>
        <w:t>受益人</w:t>
      </w:r>
    </w:p>
    <w:p>
      <w:pPr>
        <w:pStyle w:val="ListParagraph"/>
        <w:numPr>
          <w:ilvl w:val="1"/>
          <w:numId w:val="5"/>
        </w:numPr>
        <w:tabs>
          <w:tab w:pos="1463" w:val="left" w:leader="none"/>
        </w:tabs>
        <w:spacing w:line="221" w:lineRule="exact" w:before="0" w:after="0"/>
        <w:ind w:left="1462" w:right="0" w:hanging="422"/>
        <w:jc w:val="left"/>
        <w:rPr>
          <w:sz w:val="21"/>
        </w:rPr>
      </w:pPr>
      <w:r>
        <w:rPr>
          <w:spacing w:val="-2"/>
          <w:sz w:val="21"/>
        </w:rPr>
        <w:t>保险事故通知</w:t>
      </w:r>
    </w:p>
    <w:p>
      <w:pPr>
        <w:pStyle w:val="ListParagraph"/>
        <w:numPr>
          <w:ilvl w:val="1"/>
          <w:numId w:val="5"/>
        </w:numPr>
        <w:tabs>
          <w:tab w:pos="1463" w:val="left" w:leader="none"/>
        </w:tabs>
        <w:spacing w:line="221" w:lineRule="exact" w:before="0" w:after="0"/>
        <w:ind w:left="1462" w:right="0" w:hanging="422"/>
        <w:jc w:val="left"/>
        <w:rPr>
          <w:sz w:val="21"/>
        </w:rPr>
      </w:pPr>
      <w:r>
        <w:rPr>
          <w:spacing w:val="-2"/>
          <w:sz w:val="21"/>
        </w:rPr>
        <w:t>保险金申请</w:t>
      </w:r>
    </w:p>
    <w:p>
      <w:pPr>
        <w:pStyle w:val="ListParagraph"/>
        <w:numPr>
          <w:ilvl w:val="1"/>
          <w:numId w:val="5"/>
        </w:numPr>
        <w:tabs>
          <w:tab w:pos="1463" w:val="left" w:leader="none"/>
        </w:tabs>
        <w:spacing w:line="187" w:lineRule="exact" w:before="0" w:after="0"/>
        <w:ind w:left="1462" w:right="0" w:hanging="422"/>
        <w:jc w:val="left"/>
        <w:rPr>
          <w:sz w:val="21"/>
        </w:rPr>
      </w:pPr>
      <w:r>
        <w:rPr>
          <w:spacing w:val="-2"/>
          <w:sz w:val="21"/>
        </w:rPr>
        <w:t>保险金的给付</w:t>
      </w:r>
    </w:p>
    <w:p>
      <w:pPr>
        <w:pStyle w:val="Heading4"/>
        <w:spacing w:line="266" w:lineRule="exact"/>
        <w:ind w:left="828"/>
      </w:pPr>
      <w:r>
        <w:rPr>
          <w:rFonts w:ascii="宋体" w:eastAsia="宋体" w:hint="eastAsia"/>
        </w:rPr>
        <w:t>5.</w:t>
      </w:r>
      <w:r>
        <w:rPr/>
        <w:t>如何退保</w:t>
      </w:r>
    </w:p>
    <w:p>
      <w:pPr>
        <w:pStyle w:val="ListParagraph"/>
        <w:numPr>
          <w:ilvl w:val="1"/>
          <w:numId w:val="6"/>
        </w:numPr>
        <w:tabs>
          <w:tab w:pos="1463" w:val="left" w:leader="none"/>
        </w:tabs>
        <w:spacing w:line="206" w:lineRule="exact" w:before="0" w:after="0"/>
        <w:ind w:left="1457" w:right="0" w:hanging="417"/>
        <w:jc w:val="left"/>
        <w:rPr>
          <w:sz w:val="21"/>
        </w:rPr>
      </w:pPr>
      <w:r>
        <w:rPr>
          <w:sz w:val="21"/>
        </w:rPr>
        <w:t>犹豫期</w:t>
      </w:r>
    </w:p>
    <w:p>
      <w:pPr>
        <w:pStyle w:val="ListParagraph"/>
        <w:numPr>
          <w:ilvl w:val="1"/>
          <w:numId w:val="6"/>
        </w:numPr>
        <w:tabs>
          <w:tab w:pos="1477" w:val="left" w:leader="none"/>
        </w:tabs>
        <w:spacing w:line="192" w:lineRule="auto" w:before="25" w:after="0"/>
        <w:ind w:left="1457" w:right="0" w:hanging="417"/>
        <w:jc w:val="left"/>
        <w:rPr>
          <w:sz w:val="21"/>
        </w:rPr>
      </w:pPr>
      <w:r>
        <w:rPr>
          <w:spacing w:val="5"/>
          <w:sz w:val="21"/>
        </w:rPr>
        <w:t>您解除合同的手续及风险</w:t>
      </w:r>
    </w:p>
    <w:p>
      <w:pPr>
        <w:pStyle w:val="Heading4"/>
        <w:spacing w:line="206" w:lineRule="exact"/>
        <w:ind w:left="828"/>
      </w:pPr>
      <w:r>
        <w:rPr>
          <w:rFonts w:ascii="宋体" w:eastAsia="宋体" w:hint="eastAsia"/>
        </w:rPr>
        <w:t>6.</w:t>
      </w:r>
      <w:r>
        <w:rPr/>
        <w:t>其他权益</w:t>
      </w:r>
    </w:p>
    <w:p>
      <w:pPr>
        <w:pStyle w:val="ListParagraph"/>
        <w:numPr>
          <w:ilvl w:val="1"/>
          <w:numId w:val="7"/>
        </w:numPr>
        <w:tabs>
          <w:tab w:pos="1463" w:val="left" w:leader="none"/>
        </w:tabs>
        <w:spacing w:line="209" w:lineRule="exact" w:before="0" w:after="0"/>
        <w:ind w:left="1462" w:right="0" w:hanging="422"/>
        <w:jc w:val="left"/>
        <w:rPr>
          <w:sz w:val="21"/>
        </w:rPr>
      </w:pPr>
      <w:r>
        <w:rPr>
          <w:spacing w:val="-2"/>
          <w:sz w:val="21"/>
        </w:rPr>
        <w:t>现金价值</w:t>
      </w:r>
    </w:p>
    <w:p>
      <w:pPr>
        <w:pStyle w:val="ListParagraph"/>
        <w:numPr>
          <w:ilvl w:val="1"/>
          <w:numId w:val="7"/>
        </w:numPr>
        <w:tabs>
          <w:tab w:pos="1463" w:val="left" w:leader="none"/>
        </w:tabs>
        <w:spacing w:line="223" w:lineRule="exact" w:before="0" w:after="0"/>
        <w:ind w:left="1462" w:right="0" w:hanging="422"/>
        <w:jc w:val="left"/>
        <w:rPr>
          <w:sz w:val="21"/>
        </w:rPr>
      </w:pPr>
      <w:r>
        <w:rPr>
          <w:spacing w:val="-2"/>
          <w:sz w:val="21"/>
        </w:rPr>
        <w:t>保单贷款</w:t>
      </w:r>
    </w:p>
    <w:p>
      <w:pPr>
        <w:pStyle w:val="ListParagraph"/>
        <w:numPr>
          <w:ilvl w:val="1"/>
          <w:numId w:val="7"/>
        </w:numPr>
        <w:tabs>
          <w:tab w:pos="1463" w:val="left" w:leader="none"/>
        </w:tabs>
        <w:spacing w:line="250" w:lineRule="exact" w:before="0" w:after="0"/>
        <w:ind w:left="1462" w:right="0" w:hanging="422"/>
        <w:jc w:val="left"/>
        <w:rPr>
          <w:sz w:val="21"/>
        </w:rPr>
      </w:pPr>
      <w:r>
        <w:rPr>
          <w:spacing w:val="-2"/>
          <w:sz w:val="21"/>
        </w:rPr>
        <w:t>自动垫交</w:t>
      </w:r>
    </w:p>
    <w:p>
      <w:pPr>
        <w:pStyle w:val="ListParagraph"/>
        <w:numPr>
          <w:ilvl w:val="1"/>
          <w:numId w:val="7"/>
        </w:numPr>
        <w:tabs>
          <w:tab w:pos="1026" w:val="left" w:leader="none"/>
        </w:tabs>
        <w:spacing w:line="151" w:lineRule="exact" w:before="0" w:after="0"/>
        <w:ind w:left="1025" w:right="0" w:hanging="422"/>
        <w:jc w:val="left"/>
        <w:rPr>
          <w:sz w:val="21"/>
        </w:rPr>
      </w:pPr>
      <w:r>
        <w:rPr>
          <w:w w:val="100"/>
          <w:sz w:val="21"/>
        </w:rPr>
        <w:br w:type="column"/>
      </w:r>
      <w:r>
        <w:rPr>
          <w:spacing w:val="-2"/>
          <w:sz w:val="21"/>
        </w:rPr>
        <w:t>减额交清</w:t>
      </w:r>
    </w:p>
    <w:p>
      <w:pPr>
        <w:pStyle w:val="Heading4"/>
        <w:numPr>
          <w:ilvl w:val="0"/>
          <w:numId w:val="8"/>
        </w:numPr>
        <w:tabs>
          <w:tab w:pos="709" w:val="left" w:leader="none"/>
        </w:tabs>
        <w:spacing w:line="233" w:lineRule="exact" w:before="0" w:after="0"/>
        <w:ind w:left="708" w:right="0" w:hanging="316"/>
        <w:jc w:val="left"/>
      </w:pPr>
      <w:r>
        <w:rPr/>
        <w:t>特定轻度重疾释义</w:t>
      </w:r>
    </w:p>
    <w:p>
      <w:pPr>
        <w:pStyle w:val="ListParagraph"/>
        <w:numPr>
          <w:ilvl w:val="0"/>
          <w:numId w:val="8"/>
        </w:numPr>
        <w:tabs>
          <w:tab w:pos="709" w:val="left" w:leader="none"/>
        </w:tabs>
        <w:spacing w:line="221" w:lineRule="exact" w:before="0" w:after="0"/>
        <w:ind w:left="708" w:right="0" w:hanging="316"/>
        <w:jc w:val="left"/>
        <w:rPr>
          <w:rFonts w:ascii="Microsoft JhengHei" w:eastAsia="Microsoft JhengHei" w:hint="eastAsia"/>
          <w:b/>
          <w:sz w:val="21"/>
        </w:rPr>
      </w:pPr>
      <w:r>
        <w:rPr>
          <w:rFonts w:ascii="Microsoft JhengHei" w:eastAsia="Microsoft JhengHei" w:hint="eastAsia"/>
          <w:b/>
          <w:sz w:val="21"/>
        </w:rPr>
        <w:t>重大疾病释义</w:t>
      </w:r>
    </w:p>
    <w:p>
      <w:pPr>
        <w:pStyle w:val="ListParagraph"/>
        <w:numPr>
          <w:ilvl w:val="0"/>
          <w:numId w:val="8"/>
        </w:numPr>
        <w:tabs>
          <w:tab w:pos="709" w:val="left" w:leader="none"/>
        </w:tabs>
        <w:spacing w:line="254" w:lineRule="exact" w:before="0" w:after="0"/>
        <w:ind w:left="708" w:right="0" w:hanging="316"/>
        <w:jc w:val="left"/>
        <w:rPr>
          <w:rFonts w:ascii="Microsoft JhengHei" w:eastAsia="Microsoft JhengHei" w:hint="eastAsia"/>
          <w:b/>
          <w:sz w:val="21"/>
        </w:rPr>
      </w:pPr>
      <w:r>
        <w:rPr>
          <w:rFonts w:ascii="Microsoft JhengHei" w:eastAsia="Microsoft JhengHei" w:hint="eastAsia"/>
          <w:b/>
          <w:sz w:val="21"/>
        </w:rPr>
        <w:t>需关注的其他内容</w:t>
      </w:r>
    </w:p>
    <w:p>
      <w:pPr>
        <w:pStyle w:val="ListParagraph"/>
        <w:numPr>
          <w:ilvl w:val="1"/>
          <w:numId w:val="8"/>
        </w:numPr>
        <w:tabs>
          <w:tab w:pos="1026" w:val="left" w:leader="none"/>
        </w:tabs>
        <w:spacing w:line="206" w:lineRule="exact" w:before="0" w:after="0"/>
        <w:ind w:left="1025" w:right="0" w:hanging="422"/>
        <w:jc w:val="left"/>
        <w:rPr>
          <w:sz w:val="21"/>
        </w:rPr>
      </w:pPr>
      <w:r>
        <w:rPr>
          <w:spacing w:val="-2"/>
          <w:sz w:val="21"/>
        </w:rPr>
        <w:t>合同构成</w:t>
      </w:r>
    </w:p>
    <w:p>
      <w:pPr>
        <w:pStyle w:val="ListParagraph"/>
        <w:numPr>
          <w:ilvl w:val="1"/>
          <w:numId w:val="8"/>
        </w:numPr>
        <w:tabs>
          <w:tab w:pos="1026" w:val="left" w:leader="none"/>
        </w:tabs>
        <w:spacing w:line="218" w:lineRule="exact" w:before="0" w:after="0"/>
        <w:ind w:left="1025" w:right="0" w:hanging="422"/>
        <w:jc w:val="left"/>
        <w:rPr>
          <w:sz w:val="21"/>
        </w:rPr>
      </w:pPr>
      <w:r>
        <w:rPr>
          <w:spacing w:val="-2"/>
          <w:sz w:val="21"/>
        </w:rPr>
        <w:t>合同成立与生效</w:t>
      </w:r>
    </w:p>
    <w:p>
      <w:pPr>
        <w:pStyle w:val="ListParagraph"/>
        <w:numPr>
          <w:ilvl w:val="1"/>
          <w:numId w:val="8"/>
        </w:numPr>
        <w:tabs>
          <w:tab w:pos="1026" w:val="left" w:leader="none"/>
        </w:tabs>
        <w:spacing w:line="221" w:lineRule="exact" w:before="0" w:after="0"/>
        <w:ind w:left="1025" w:right="0" w:hanging="422"/>
        <w:jc w:val="left"/>
        <w:rPr>
          <w:sz w:val="21"/>
        </w:rPr>
      </w:pPr>
      <w:r>
        <w:rPr>
          <w:spacing w:val="-2"/>
          <w:sz w:val="21"/>
        </w:rPr>
        <w:t>投保年龄</w:t>
      </w:r>
    </w:p>
    <w:p>
      <w:pPr>
        <w:pStyle w:val="ListParagraph"/>
        <w:numPr>
          <w:ilvl w:val="1"/>
          <w:numId w:val="8"/>
        </w:numPr>
        <w:tabs>
          <w:tab w:pos="1026" w:val="left" w:leader="none"/>
        </w:tabs>
        <w:spacing w:line="221" w:lineRule="exact" w:before="0" w:after="0"/>
        <w:ind w:left="1025" w:right="0" w:hanging="422"/>
        <w:jc w:val="left"/>
        <w:rPr>
          <w:sz w:val="21"/>
        </w:rPr>
      </w:pPr>
      <w:r>
        <w:rPr>
          <w:spacing w:val="-2"/>
          <w:sz w:val="21"/>
        </w:rPr>
        <w:t>年龄错误</w:t>
      </w:r>
    </w:p>
    <w:p>
      <w:pPr>
        <w:pStyle w:val="ListParagraph"/>
        <w:numPr>
          <w:ilvl w:val="1"/>
          <w:numId w:val="8"/>
        </w:numPr>
        <w:tabs>
          <w:tab w:pos="1026" w:val="left" w:leader="none"/>
        </w:tabs>
        <w:spacing w:line="230" w:lineRule="exact" w:before="0" w:after="0"/>
        <w:ind w:left="1025" w:right="0" w:hanging="422"/>
        <w:jc w:val="left"/>
        <w:rPr>
          <w:sz w:val="21"/>
        </w:rPr>
      </w:pPr>
      <w:r>
        <w:rPr>
          <w:spacing w:val="-3"/>
          <w:sz w:val="21"/>
        </w:rPr>
        <w:t>明确说明与如实告知</w:t>
      </w:r>
    </w:p>
    <w:p>
      <w:pPr>
        <w:pStyle w:val="ListParagraph"/>
        <w:numPr>
          <w:ilvl w:val="1"/>
          <w:numId w:val="8"/>
        </w:numPr>
        <w:tabs>
          <w:tab w:pos="1026" w:val="left" w:leader="none"/>
        </w:tabs>
        <w:spacing w:line="240" w:lineRule="exact" w:before="0" w:after="0"/>
        <w:ind w:left="1025" w:right="0" w:hanging="422"/>
        <w:jc w:val="left"/>
        <w:rPr>
          <w:sz w:val="21"/>
        </w:rPr>
      </w:pPr>
      <w:r>
        <w:rPr>
          <w:spacing w:val="-2"/>
          <w:sz w:val="21"/>
        </w:rPr>
        <w:t>未还款项</w:t>
      </w:r>
    </w:p>
    <w:p>
      <w:pPr>
        <w:pStyle w:val="ListParagraph"/>
        <w:numPr>
          <w:ilvl w:val="1"/>
          <w:numId w:val="8"/>
        </w:numPr>
        <w:tabs>
          <w:tab w:pos="1026" w:val="left" w:leader="none"/>
        </w:tabs>
        <w:spacing w:line="240" w:lineRule="exact" w:before="0" w:after="0"/>
        <w:ind w:left="1025" w:right="0" w:hanging="422"/>
        <w:jc w:val="left"/>
        <w:rPr>
          <w:sz w:val="21"/>
        </w:rPr>
      </w:pPr>
      <w:r>
        <w:rPr>
          <w:spacing w:val="-2"/>
          <w:sz w:val="21"/>
        </w:rPr>
        <w:t>合同内容变更</w:t>
      </w:r>
    </w:p>
    <w:p>
      <w:pPr>
        <w:pStyle w:val="ListParagraph"/>
        <w:numPr>
          <w:ilvl w:val="1"/>
          <w:numId w:val="8"/>
        </w:numPr>
        <w:tabs>
          <w:tab w:pos="1026" w:val="left" w:leader="none"/>
        </w:tabs>
        <w:spacing w:line="257" w:lineRule="exact" w:before="0" w:after="0"/>
        <w:ind w:left="1025" w:right="0" w:hanging="422"/>
        <w:jc w:val="left"/>
        <w:rPr>
          <w:sz w:val="21"/>
        </w:rPr>
      </w:pPr>
      <w:r>
        <w:rPr>
          <w:spacing w:val="-2"/>
          <w:sz w:val="21"/>
        </w:rPr>
        <w:t>争议处理</w:t>
      </w:r>
    </w:p>
    <w:p>
      <w:pPr>
        <w:spacing w:after="0" w:line="257" w:lineRule="exact"/>
        <w:jc w:val="left"/>
        <w:rPr>
          <w:sz w:val="21"/>
        </w:rPr>
        <w:sectPr>
          <w:type w:val="continuous"/>
          <w:pgSz w:w="11910" w:h="16840"/>
          <w:pgMar w:top="520" w:bottom="280" w:left="880" w:right="880"/>
          <w:cols w:num="3" w:equalWidth="0">
            <w:col w:w="3018" w:space="40"/>
            <w:col w:w="3253" w:space="39"/>
            <w:col w:w="3800"/>
          </w:cols>
        </w:sectPr>
      </w:pPr>
    </w:p>
    <w:p>
      <w:pPr>
        <w:pStyle w:val="BodyText"/>
        <w:ind w:left="233"/>
        <w:rPr>
          <w:sz w:val="20"/>
        </w:rPr>
      </w:pPr>
      <w:r>
        <w:rPr>
          <w:sz w:val="20"/>
        </w:rPr>
        <w:drawing>
          <wp:inline distT="0" distB="0" distL="0" distR="0">
            <wp:extent cx="2052289" cy="342042"/>
            <wp:effectExtent l="0" t="0" r="0" b="0"/>
            <wp:docPr id="1" name="image6.png" descr="新LOGO-K"/>
            <wp:cNvGraphicFramePr>
              <a:graphicFrameLocks noChangeAspect="1"/>
            </wp:cNvGraphicFramePr>
            <a:graphic>
              <a:graphicData uri="http://schemas.openxmlformats.org/drawingml/2006/picture">
                <pic:pic>
                  <pic:nvPicPr>
                    <pic:cNvPr id="2" name="image6.png"/>
                    <pic:cNvPicPr/>
                  </pic:nvPicPr>
                  <pic:blipFill>
                    <a:blip r:embed="rId10" cstate="print"/>
                    <a:stretch>
                      <a:fillRect/>
                    </a:stretch>
                  </pic:blipFill>
                  <pic:spPr>
                    <a:xfrm>
                      <a:off x="0" y="0"/>
                      <a:ext cx="2052289" cy="342042"/>
                    </a:xfrm>
                    <a:prstGeom prst="rect">
                      <a:avLst/>
                    </a:prstGeom>
                  </pic:spPr>
                </pic:pic>
              </a:graphicData>
            </a:graphic>
          </wp:inline>
        </w:drawing>
      </w:r>
      <w:r>
        <w:rPr>
          <w:sz w:val="20"/>
        </w:rPr>
      </w:r>
    </w:p>
    <w:p>
      <w:pPr>
        <w:pStyle w:val="BodyText"/>
        <w:rPr>
          <w:sz w:val="20"/>
        </w:rPr>
      </w:pPr>
    </w:p>
    <w:p>
      <w:pPr>
        <w:pStyle w:val="BodyText"/>
        <w:rPr>
          <w:sz w:val="16"/>
        </w:rPr>
      </w:pPr>
      <w:r>
        <w:rPr/>
        <w:drawing>
          <wp:anchor distT="0" distB="0" distL="0" distR="0" allowOverlap="1" layoutInCell="1" locked="0" behindDoc="0" simplePos="0" relativeHeight="1240">
            <wp:simplePos x="0" y="0"/>
            <wp:positionH relativeFrom="page">
              <wp:posOffset>1507032</wp:posOffset>
            </wp:positionH>
            <wp:positionV relativeFrom="paragraph">
              <wp:posOffset>158209</wp:posOffset>
            </wp:positionV>
            <wp:extent cx="4715850" cy="230504"/>
            <wp:effectExtent l="0" t="0" r="0" b="0"/>
            <wp:wrapTopAndBottom/>
            <wp:docPr id="3" name="image7.png" descr="抬头"/>
            <wp:cNvGraphicFramePr>
              <a:graphicFrameLocks noChangeAspect="1"/>
            </wp:cNvGraphicFramePr>
            <a:graphic>
              <a:graphicData uri="http://schemas.openxmlformats.org/drawingml/2006/picture">
                <pic:pic>
                  <pic:nvPicPr>
                    <pic:cNvPr id="4" name="image7.png"/>
                    <pic:cNvPicPr/>
                  </pic:nvPicPr>
                  <pic:blipFill>
                    <a:blip r:embed="rId11" cstate="print"/>
                    <a:stretch>
                      <a:fillRect/>
                    </a:stretch>
                  </pic:blipFill>
                  <pic:spPr>
                    <a:xfrm>
                      <a:off x="0" y="0"/>
                      <a:ext cx="4715850" cy="230504"/>
                    </a:xfrm>
                    <a:prstGeom prst="rect">
                      <a:avLst/>
                    </a:prstGeom>
                  </pic:spPr>
                </pic:pic>
              </a:graphicData>
            </a:graphic>
          </wp:anchor>
        </w:drawing>
      </w:r>
    </w:p>
    <w:p>
      <w:pPr>
        <w:pStyle w:val="BodyText"/>
        <w:spacing w:before="1"/>
        <w:rPr>
          <w:sz w:val="24"/>
        </w:rPr>
      </w:pPr>
    </w:p>
    <w:p>
      <w:pPr>
        <w:pStyle w:val="Heading1"/>
      </w:pPr>
      <w:r>
        <w:rPr/>
        <w:t>平安守护福重大疾病保险条款</w:t>
      </w:r>
    </w:p>
    <w:p>
      <w:pPr>
        <w:pStyle w:val="BodyText"/>
        <w:spacing w:before="14"/>
        <w:rPr>
          <w:rFonts w:ascii="微软雅黑"/>
          <w:b/>
          <w:sz w:val="41"/>
        </w:rPr>
      </w:pPr>
    </w:p>
    <w:p>
      <w:pPr>
        <w:pStyle w:val="BodyText"/>
        <w:ind w:left="222"/>
      </w:pPr>
      <w:r>
        <w:rPr/>
        <w:t>在本条款中，“您”指投保人，“我们”、“本公司”均指中国平安人寿保险股份有限公司。</w:t>
      </w:r>
    </w:p>
    <w:p>
      <w:pPr>
        <w:pStyle w:val="BodyText"/>
        <w:spacing w:before="8"/>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732"/>
        <w:gridCol w:w="7641"/>
      </w:tblGrid>
      <w:tr>
        <w:trPr>
          <w:trHeight w:val="940" w:hRule="atLeast"/>
        </w:trPr>
        <w:tc>
          <w:tcPr>
            <w:tcW w:w="710" w:type="dxa"/>
            <w:tcBorders>
              <w:bottom w:val="single" w:sz="8" w:space="0" w:color="000000"/>
            </w:tcBorders>
          </w:tcPr>
          <w:p>
            <w:pPr>
              <w:pStyle w:val="TableParagraph"/>
              <w:spacing w:line="421" w:lineRule="exact"/>
              <w:ind w:right="151"/>
              <w:jc w:val="right"/>
              <w:rPr>
                <w:rFonts w:ascii="Arial" w:hAnsi="Arial"/>
                <w:b/>
                <w:sz w:val="40"/>
              </w:rPr>
            </w:pPr>
            <w:r>
              <w:rPr>
                <w:rFonts w:ascii="Arial" w:hAnsi="Arial"/>
                <w:b/>
                <w:w w:val="118"/>
                <w:sz w:val="40"/>
              </w:rPr>
              <w:t></w:t>
            </w:r>
          </w:p>
        </w:tc>
        <w:tc>
          <w:tcPr>
            <w:tcW w:w="9373" w:type="dxa"/>
            <w:gridSpan w:val="2"/>
            <w:tcBorders>
              <w:bottom w:val="single" w:sz="8" w:space="0" w:color="000000"/>
            </w:tcBorders>
          </w:tcPr>
          <w:p>
            <w:pPr>
              <w:pStyle w:val="TableParagraph"/>
              <w:spacing w:line="279" w:lineRule="exact"/>
              <w:ind w:left="154"/>
              <w:rPr>
                <w:b/>
                <w:sz w:val="24"/>
              </w:rPr>
            </w:pPr>
            <w:r>
              <w:rPr>
                <w:b/>
                <w:w w:val="95"/>
                <w:sz w:val="24"/>
              </w:rPr>
              <w:t>我们保什么、保多久</w:t>
            </w:r>
          </w:p>
          <w:p>
            <w:pPr>
              <w:pStyle w:val="TableParagraph"/>
              <w:spacing w:before="132"/>
              <w:ind w:left="154"/>
              <w:rPr>
                <w:sz w:val="24"/>
              </w:rPr>
            </w:pPr>
            <w:r>
              <w:rPr>
                <w:sz w:val="24"/>
              </w:rPr>
              <w:t>这部分讲的是我们提供的保障以及我们提供保障的期间。</w:t>
            </w:r>
          </w:p>
        </w:tc>
      </w:tr>
      <w:tr>
        <w:trPr>
          <w:trHeight w:val="523" w:hRule="atLeast"/>
        </w:trPr>
        <w:tc>
          <w:tcPr>
            <w:tcW w:w="710" w:type="dxa"/>
            <w:tcBorders>
              <w:top w:val="single" w:sz="8" w:space="0" w:color="000000"/>
            </w:tcBorders>
          </w:tcPr>
          <w:p>
            <w:pPr>
              <w:pStyle w:val="TableParagraph"/>
              <w:rPr>
                <w:sz w:val="19"/>
              </w:rPr>
            </w:pPr>
          </w:p>
          <w:p>
            <w:pPr>
              <w:pStyle w:val="TableParagraph"/>
              <w:spacing w:line="255" w:lineRule="exact"/>
              <w:ind w:right="170"/>
              <w:jc w:val="right"/>
              <w:rPr>
                <w:b/>
                <w:sz w:val="21"/>
              </w:rPr>
            </w:pPr>
            <w:r>
              <w:rPr>
                <w:b/>
                <w:sz w:val="21"/>
              </w:rPr>
              <w:t>1.1</w:t>
            </w:r>
          </w:p>
        </w:tc>
        <w:tc>
          <w:tcPr>
            <w:tcW w:w="1732" w:type="dxa"/>
            <w:tcBorders>
              <w:top w:val="single" w:sz="8" w:space="0" w:color="000000"/>
            </w:tcBorders>
          </w:tcPr>
          <w:p>
            <w:pPr>
              <w:pStyle w:val="TableParagraph"/>
              <w:rPr>
                <w:sz w:val="19"/>
              </w:rPr>
            </w:pPr>
          </w:p>
          <w:p>
            <w:pPr>
              <w:pStyle w:val="TableParagraph"/>
              <w:spacing w:line="255" w:lineRule="exact"/>
              <w:ind w:left="154"/>
              <w:rPr>
                <w:b/>
                <w:sz w:val="21"/>
              </w:rPr>
            </w:pPr>
            <w:r>
              <w:rPr>
                <w:b/>
                <w:sz w:val="21"/>
              </w:rPr>
              <w:t>保险责任</w:t>
            </w:r>
          </w:p>
        </w:tc>
        <w:tc>
          <w:tcPr>
            <w:tcW w:w="7641" w:type="dxa"/>
            <w:tcBorders>
              <w:top w:val="single" w:sz="8" w:space="0" w:color="000000"/>
            </w:tcBorders>
          </w:tcPr>
          <w:p>
            <w:pPr>
              <w:pStyle w:val="TableParagraph"/>
              <w:rPr>
                <w:sz w:val="19"/>
              </w:rPr>
            </w:pPr>
          </w:p>
          <w:p>
            <w:pPr>
              <w:pStyle w:val="TableParagraph"/>
              <w:spacing w:line="255" w:lineRule="exact"/>
              <w:ind w:left="735"/>
              <w:rPr>
                <w:sz w:val="21"/>
              </w:rPr>
            </w:pPr>
            <w:r>
              <w:rPr>
                <w:sz w:val="21"/>
              </w:rPr>
              <w:t>在本主险合同保险期间内，我们承担如下保险责任：</w:t>
            </w:r>
          </w:p>
        </w:tc>
      </w:tr>
    </w:tbl>
    <w:p>
      <w:pPr>
        <w:pStyle w:val="BodyText"/>
        <w:spacing w:before="11"/>
        <w:rPr>
          <w:sz w:val="23"/>
        </w:rPr>
      </w:pPr>
    </w:p>
    <w:p>
      <w:pPr>
        <w:tabs>
          <w:tab w:pos="3303" w:val="left" w:leader="none"/>
        </w:tabs>
        <w:spacing w:before="0"/>
        <w:ind w:left="971" w:right="0" w:firstLine="0"/>
        <w:jc w:val="left"/>
        <w:rPr>
          <w:b/>
          <w:sz w:val="21"/>
        </w:rPr>
      </w:pPr>
      <w:r>
        <w:rPr>
          <w:rFonts w:ascii="等线" w:eastAsia="等线" w:hint="eastAsia"/>
          <w:b/>
          <w:position w:val="1"/>
          <w:sz w:val="24"/>
        </w:rPr>
        <w:t>身故保险金</w:t>
        <w:tab/>
      </w:r>
      <w:r>
        <w:rPr>
          <w:b/>
          <w:sz w:val="21"/>
        </w:rPr>
        <w:t>（一）基本身故保险金</w:t>
      </w:r>
    </w:p>
    <w:p>
      <w:pPr>
        <w:pStyle w:val="BodyText"/>
        <w:spacing w:line="273" w:lineRule="auto" w:before="20"/>
        <w:ind w:left="3303" w:right="205"/>
      </w:pPr>
      <w:r>
        <w:rPr>
          <w:spacing w:val="-6"/>
        </w:rPr>
        <w:t>被保险人身故，我们按照本主险合同</w:t>
      </w:r>
      <w:r>
        <w:rPr>
          <w:rFonts w:ascii="黑体" w:eastAsia="黑体" w:hint="eastAsia"/>
          <w:b/>
          <w:spacing w:val="-3"/>
        </w:rPr>
        <w:t>基本保险金额 </w:t>
      </w:r>
      <w:hyperlink w:history="true" w:anchor="_bookmark0">
        <w:r>
          <w:rPr>
            <w:rFonts w:ascii="黑体" w:eastAsia="黑体" w:hint="eastAsia"/>
            <w:b/>
            <w:spacing w:val="5"/>
            <w:position w:val="11"/>
            <w:sz w:val="11"/>
          </w:rPr>
          <w:t>1</w:t>
        </w:r>
      </w:hyperlink>
      <w:r>
        <w:rPr>
          <w:spacing w:val="-7"/>
        </w:rPr>
        <w:t>给付身故保险金，本主</w:t>
      </w:r>
      <w:r>
        <w:rPr>
          <w:spacing w:val="-6"/>
        </w:rPr>
        <w:t>险合同终止。</w:t>
      </w:r>
    </w:p>
    <w:p>
      <w:pPr>
        <w:pStyle w:val="BodyText"/>
        <w:spacing w:before="5"/>
        <w:rPr>
          <w:sz w:val="24"/>
        </w:rPr>
      </w:pPr>
    </w:p>
    <w:p>
      <w:pPr>
        <w:pStyle w:val="Heading4"/>
        <w:ind w:left="3304"/>
        <w:rPr>
          <w:rFonts w:ascii="宋体" w:eastAsia="宋体" w:hint="eastAsia"/>
        </w:rPr>
      </w:pPr>
      <w:r>
        <w:rPr>
          <w:rFonts w:ascii="宋体" w:eastAsia="宋体" w:hint="eastAsia"/>
        </w:rPr>
        <w:t>（二）达到运动标准后身故额外给付的身故保险金</w:t>
      </w:r>
    </w:p>
    <w:p>
      <w:pPr>
        <w:spacing w:line="273" w:lineRule="auto" w:before="36"/>
        <w:ind w:left="3304" w:right="105" w:firstLine="0"/>
        <w:jc w:val="left"/>
        <w:rPr>
          <w:sz w:val="21"/>
        </w:rPr>
      </w:pPr>
      <w:r>
        <w:rPr>
          <w:spacing w:val="-5"/>
          <w:sz w:val="21"/>
        </w:rPr>
        <w:t>若被保险人在本主险合同生效之日起两个</w:t>
      </w:r>
      <w:r>
        <w:rPr>
          <w:rFonts w:ascii="黑体" w:eastAsia="黑体" w:hint="eastAsia"/>
          <w:b/>
          <w:spacing w:val="-7"/>
          <w:sz w:val="21"/>
        </w:rPr>
        <w:t>保单年度 </w:t>
      </w:r>
      <w:hyperlink w:history="true" w:anchor="_bookmark1">
        <w:r>
          <w:rPr>
            <w:rFonts w:ascii="黑体" w:eastAsia="黑体" w:hint="eastAsia"/>
            <w:b/>
            <w:spacing w:val="5"/>
            <w:position w:val="11"/>
            <w:sz w:val="11"/>
          </w:rPr>
          <w:t>2</w:t>
        </w:r>
      </w:hyperlink>
      <w:r>
        <w:rPr>
          <w:spacing w:val="-10"/>
          <w:sz w:val="21"/>
        </w:rPr>
        <w:t>内，参加指定的运动记</w:t>
      </w:r>
      <w:r>
        <w:rPr>
          <w:spacing w:val="-12"/>
          <w:sz w:val="21"/>
        </w:rPr>
        <w:t>录平台活动，达到以下运动标准，被保险人</w:t>
      </w:r>
      <w:r>
        <w:rPr>
          <w:b/>
          <w:spacing w:val="-14"/>
          <w:sz w:val="21"/>
        </w:rPr>
        <w:t>在第 </w:t>
      </w:r>
      <w:r>
        <w:rPr>
          <w:b/>
          <w:sz w:val="21"/>
        </w:rPr>
        <w:t>3</w:t>
      </w:r>
      <w:r>
        <w:rPr>
          <w:b/>
          <w:spacing w:val="-7"/>
          <w:sz w:val="21"/>
        </w:rPr>
        <w:t> 个保单年度开始后身故</w:t>
      </w:r>
      <w:r>
        <w:rPr>
          <w:sz w:val="21"/>
        </w:rPr>
        <w:t>， </w:t>
      </w:r>
      <w:r>
        <w:rPr>
          <w:spacing w:val="-4"/>
          <w:sz w:val="21"/>
        </w:rPr>
        <w:t>我们按照如下约定额外给付身故保险金：</w:t>
      </w:r>
    </w:p>
    <w:p>
      <w:pPr>
        <w:pStyle w:val="BodyText"/>
        <w:spacing w:line="273" w:lineRule="auto" w:before="7"/>
        <w:ind w:left="3827" w:right="210" w:hanging="524"/>
      </w:pPr>
      <w:r>
        <w:rPr>
          <w:spacing w:val="-7"/>
        </w:rPr>
        <w:t>（1）</w:t>
      </w:r>
      <w:r>
        <w:rPr>
          <w:spacing w:val="-6"/>
        </w:rPr>
        <w:t>被保险人参加指定的运动记录平台活动，且在本主险合同生效之日起</w:t>
      </w:r>
      <w:r>
        <w:rPr>
          <w:spacing w:val="-13"/>
        </w:rPr>
        <w:t>两个保单年度内，累计 </w:t>
      </w:r>
      <w:r>
        <w:rPr/>
        <w:t>18</w:t>
      </w:r>
      <w:r>
        <w:rPr>
          <w:spacing w:val="-12"/>
        </w:rPr>
        <w:t> 个月达到每月至少有 </w:t>
      </w:r>
      <w:r>
        <w:rPr/>
        <w:t>25</w:t>
      </w:r>
      <w:r>
        <w:rPr>
          <w:spacing w:val="-8"/>
        </w:rPr>
        <w:t> 天每天运动步数不</w:t>
      </w:r>
    </w:p>
    <w:p>
      <w:pPr>
        <w:pStyle w:val="BodyText"/>
        <w:spacing w:line="273" w:lineRule="auto" w:before="7"/>
        <w:ind w:left="3827" w:right="215"/>
      </w:pPr>
      <w:r>
        <w:rPr>
          <w:w w:val="100"/>
        </w:rPr>
        <w:t>少于</w:t>
      </w:r>
      <w:r>
        <w:rPr/>
        <w:t> </w:t>
      </w:r>
      <w:r>
        <w:rPr>
          <w:w w:val="100"/>
        </w:rPr>
        <w:t>10000</w:t>
      </w:r>
      <w:r>
        <w:rPr/>
        <w:t> </w:t>
      </w:r>
      <w:r>
        <w:rPr>
          <w:w w:val="100"/>
        </w:rPr>
        <w:t>步的标准</w:t>
      </w:r>
      <w:r>
        <w:rPr>
          <w:spacing w:val="-5"/>
          <w:w w:val="100"/>
        </w:rPr>
        <w:t>（</w:t>
      </w:r>
      <w:r>
        <w:rPr>
          <w:spacing w:val="-2"/>
          <w:w w:val="100"/>
        </w:rPr>
        <w:t>运动标准一</w:t>
      </w:r>
      <w:r>
        <w:rPr>
          <w:spacing w:val="-106"/>
          <w:w w:val="100"/>
        </w:rPr>
        <w:t>）</w:t>
      </w:r>
      <w:r>
        <w:rPr>
          <w:spacing w:val="-5"/>
          <w:w w:val="100"/>
        </w:rPr>
        <w:t>，我们按照本主险合同基本保险</w:t>
      </w:r>
      <w:r>
        <w:rPr>
          <w:spacing w:val="-11"/>
        </w:rPr>
        <w:t>金额的 </w:t>
      </w:r>
      <w:r>
        <w:rPr/>
        <w:t>5%</w:t>
      </w:r>
      <w:r>
        <w:rPr>
          <w:spacing w:val="-5"/>
        </w:rPr>
        <w:t>额外给付身故保险金，本主险合同终止；</w:t>
      </w:r>
    </w:p>
    <w:p>
      <w:pPr>
        <w:pStyle w:val="BodyText"/>
        <w:spacing w:line="273" w:lineRule="auto" w:before="7"/>
        <w:ind w:left="3827" w:right="210" w:hanging="524"/>
      </w:pPr>
      <w:r>
        <w:rPr>
          <w:spacing w:val="-7"/>
        </w:rPr>
        <w:t>（2）</w:t>
      </w:r>
      <w:r>
        <w:rPr>
          <w:spacing w:val="-6"/>
        </w:rPr>
        <w:t>被保险人参加指定的运动记录平台活动，且在本主险合同生效之日起</w:t>
      </w:r>
      <w:r>
        <w:rPr>
          <w:spacing w:val="-13"/>
        </w:rPr>
        <w:t>两个保单年度内，累计 </w:t>
      </w:r>
      <w:r>
        <w:rPr/>
        <w:t>24</w:t>
      </w:r>
      <w:r>
        <w:rPr>
          <w:spacing w:val="-12"/>
        </w:rPr>
        <w:t> 个月达到每月至少有 </w:t>
      </w:r>
      <w:r>
        <w:rPr/>
        <w:t>25</w:t>
      </w:r>
      <w:r>
        <w:rPr>
          <w:spacing w:val="-8"/>
        </w:rPr>
        <w:t> 天每天运动步数不</w:t>
      </w:r>
    </w:p>
    <w:p>
      <w:pPr>
        <w:pStyle w:val="BodyText"/>
        <w:spacing w:line="273" w:lineRule="auto" w:before="7"/>
        <w:ind w:left="3827" w:right="215"/>
      </w:pPr>
      <w:r>
        <w:rPr>
          <w:w w:val="100"/>
        </w:rPr>
        <w:t>少于</w:t>
      </w:r>
      <w:r>
        <w:rPr/>
        <w:t> </w:t>
      </w:r>
      <w:r>
        <w:rPr>
          <w:w w:val="100"/>
        </w:rPr>
        <w:t>10000</w:t>
      </w:r>
      <w:r>
        <w:rPr/>
        <w:t> </w:t>
      </w:r>
      <w:r>
        <w:rPr>
          <w:w w:val="100"/>
        </w:rPr>
        <w:t>步的标准</w:t>
      </w:r>
      <w:r>
        <w:rPr>
          <w:spacing w:val="-5"/>
          <w:w w:val="100"/>
        </w:rPr>
        <w:t>（</w:t>
      </w:r>
      <w:r>
        <w:rPr>
          <w:spacing w:val="-2"/>
          <w:w w:val="100"/>
        </w:rPr>
        <w:t>运动标准二</w:t>
      </w:r>
      <w:r>
        <w:rPr>
          <w:spacing w:val="-106"/>
          <w:w w:val="100"/>
        </w:rPr>
        <w:t>）</w:t>
      </w:r>
      <w:r>
        <w:rPr>
          <w:spacing w:val="-5"/>
          <w:w w:val="100"/>
        </w:rPr>
        <w:t>，我们按照本主险合同基本保险</w:t>
      </w:r>
      <w:r>
        <w:rPr>
          <w:spacing w:val="-11"/>
        </w:rPr>
        <w:t>金额的 </w:t>
      </w:r>
      <w:r>
        <w:rPr/>
        <w:t>10%</w:t>
      </w:r>
      <w:r>
        <w:rPr>
          <w:spacing w:val="-5"/>
        </w:rPr>
        <w:t>额外给付身故保险金，本主险合同终止。</w:t>
      </w:r>
    </w:p>
    <w:p>
      <w:pPr>
        <w:pStyle w:val="BodyText"/>
        <w:spacing w:line="273" w:lineRule="auto" w:before="7"/>
        <w:ind w:left="3304" w:right="220"/>
      </w:pPr>
      <w:r>
        <w:rPr/>
        <w:t>达到运动标准后身故额外给付的身故保险金，我们按照被保险人身故时满足的以上约定条件之一单独给付，不累计给付。</w:t>
      </w:r>
    </w:p>
    <w:p>
      <w:pPr>
        <w:pStyle w:val="BodyText"/>
        <w:spacing w:before="5"/>
        <w:rPr>
          <w:sz w:val="24"/>
        </w:rPr>
      </w:pPr>
    </w:p>
    <w:p>
      <w:pPr>
        <w:pStyle w:val="Heading4"/>
        <w:spacing w:before="1"/>
        <w:ind w:left="3304"/>
        <w:rPr>
          <w:rFonts w:ascii="宋体" w:eastAsia="宋体" w:hint="eastAsia"/>
        </w:rPr>
      </w:pPr>
      <w:r>
        <w:rPr>
          <w:rFonts w:ascii="宋体" w:eastAsia="宋体" w:hint="eastAsia"/>
        </w:rPr>
        <w:t>（三）发生特定轻度重疾后身故额外给付的身故保险金</w:t>
      </w:r>
    </w:p>
    <w:p>
      <w:pPr>
        <w:pStyle w:val="BodyText"/>
        <w:spacing w:line="273" w:lineRule="auto" w:before="37"/>
        <w:ind w:left="3304" w:right="143"/>
      </w:pPr>
      <w:r>
        <w:rPr>
          <w:spacing w:val="-2"/>
        </w:rPr>
        <w:t>若被保险人发生过经</w:t>
      </w:r>
      <w:r>
        <w:rPr>
          <w:rFonts w:ascii="黑体" w:eastAsia="黑体" w:hint="eastAsia"/>
          <w:b/>
          <w:spacing w:val="-5"/>
        </w:rPr>
        <w:t>医院 </w:t>
      </w:r>
      <w:hyperlink w:history="true" w:anchor="_bookmark2">
        <w:r>
          <w:rPr>
            <w:rFonts w:ascii="黑体" w:eastAsia="黑体" w:hint="eastAsia"/>
            <w:b/>
            <w:spacing w:val="5"/>
            <w:position w:val="11"/>
            <w:sz w:val="11"/>
          </w:rPr>
          <w:t>3</w:t>
        </w:r>
      </w:hyperlink>
      <w:r>
        <w:rPr>
          <w:spacing w:val="-5"/>
        </w:rPr>
        <w:t>确诊的、符合本主险合同约定的特定轻度重疾， 且满足本主险合同约定的特定轻度重疾保险金给付条件，被保险人身故， 我们按照如下约定额外给付身故保险金：</w:t>
      </w:r>
    </w:p>
    <w:p>
      <w:pPr>
        <w:pStyle w:val="BodyText"/>
        <w:spacing w:before="6"/>
        <w:rPr>
          <w:sz w:val="25"/>
        </w:rPr>
      </w:pPr>
      <w:r>
        <w:rPr/>
        <w:pict>
          <v:line style="position:absolute;mso-position-horizontal-relative:page;mso-position-vertical-relative:paragraph;z-index:1264;mso-wrap-distance-left:0;mso-wrap-distance-right:0" from="51.119999pt,18.878635pt" to="195.119999pt,18.878635pt" stroked="true" strokeweight=".48pt" strokecolor="#000000">
            <v:stroke dashstyle="solid"/>
            <w10:wrap type="topAndBottom"/>
          </v:line>
        </w:pict>
      </w:r>
    </w:p>
    <w:p>
      <w:pPr>
        <w:spacing w:line="261" w:lineRule="auto" w:before="25"/>
        <w:ind w:left="404" w:right="214" w:hanging="183"/>
        <w:jc w:val="left"/>
        <w:rPr>
          <w:sz w:val="18"/>
        </w:rPr>
      </w:pPr>
      <w:bookmarkStart w:name="_bookmark0" w:id="1"/>
      <w:bookmarkEnd w:id="1"/>
      <w:r>
        <w:rPr/>
      </w:r>
      <w:r>
        <w:rPr>
          <w:rFonts w:ascii="Microsoft JhengHei" w:eastAsia="Microsoft JhengHei" w:hint="eastAsia"/>
          <w:b/>
          <w:position w:val="9"/>
          <w:sz w:val="9"/>
        </w:rPr>
        <w:t>1</w:t>
      </w:r>
      <w:r>
        <w:rPr>
          <w:rFonts w:ascii="Microsoft JhengHei" w:eastAsia="Microsoft JhengHei" w:hint="eastAsia"/>
          <w:b/>
          <w:spacing w:val="1"/>
          <w:position w:val="9"/>
          <w:sz w:val="9"/>
        </w:rPr>
        <w:t>   </w:t>
      </w:r>
      <w:r>
        <w:rPr>
          <w:rFonts w:ascii="Microsoft JhengHei" w:eastAsia="Microsoft JhengHei" w:hint="eastAsia"/>
          <w:b/>
          <w:spacing w:val="-2"/>
          <w:sz w:val="18"/>
        </w:rPr>
        <w:t>基本保险金额</w:t>
      </w:r>
      <w:r>
        <w:rPr>
          <w:spacing w:val="-5"/>
          <w:sz w:val="18"/>
        </w:rPr>
        <w:t>指投保时您购买的金额，会在投保书以及保险单上载明。若该金额发生变更，则以变更后的金额为基本保险金</w:t>
      </w:r>
      <w:r>
        <w:rPr>
          <w:sz w:val="18"/>
        </w:rPr>
        <w:t>额。</w:t>
      </w:r>
    </w:p>
    <w:p>
      <w:pPr>
        <w:spacing w:line="220" w:lineRule="exact" w:before="0"/>
        <w:ind w:left="222" w:right="0" w:firstLine="0"/>
        <w:jc w:val="left"/>
        <w:rPr>
          <w:sz w:val="18"/>
        </w:rPr>
      </w:pPr>
      <w:bookmarkStart w:name="_bookmark1" w:id="2"/>
      <w:bookmarkEnd w:id="2"/>
      <w:r>
        <w:rPr/>
      </w:r>
      <w:r>
        <w:rPr>
          <w:rFonts w:ascii="Microsoft JhengHei" w:eastAsia="Microsoft JhengHei" w:hint="eastAsia"/>
          <w:b/>
          <w:position w:val="9"/>
          <w:sz w:val="9"/>
        </w:rPr>
        <w:t>2       </w:t>
      </w:r>
      <w:r>
        <w:rPr>
          <w:rFonts w:ascii="Microsoft JhengHei" w:eastAsia="Microsoft JhengHei" w:hint="eastAsia"/>
          <w:b/>
          <w:sz w:val="18"/>
        </w:rPr>
        <w:t>保单年度</w:t>
      </w:r>
      <w:r>
        <w:rPr>
          <w:sz w:val="18"/>
        </w:rPr>
        <w:t>指从保险合同生效日或生效对应日零时起至下一年度保险合同生效对应日零时止的期间为一个保单年度。</w:t>
      </w:r>
    </w:p>
    <w:p>
      <w:pPr>
        <w:spacing w:line="278" w:lineRule="exact" w:before="30"/>
        <w:ind w:left="366" w:right="124" w:hanging="144"/>
        <w:jc w:val="left"/>
        <w:rPr>
          <w:sz w:val="18"/>
        </w:rPr>
      </w:pPr>
      <w:bookmarkStart w:name="_bookmark2" w:id="3"/>
      <w:bookmarkEnd w:id="3"/>
      <w:r>
        <w:rPr/>
      </w:r>
      <w:r>
        <w:rPr>
          <w:rFonts w:ascii="Microsoft JhengHei" w:eastAsia="Microsoft JhengHei" w:hint="eastAsia"/>
          <w:b/>
          <w:position w:val="9"/>
          <w:sz w:val="9"/>
        </w:rPr>
        <w:t>3</w:t>
      </w:r>
      <w:r>
        <w:rPr>
          <w:rFonts w:ascii="Microsoft JhengHei" w:eastAsia="Microsoft JhengHei" w:hint="eastAsia"/>
          <w:b/>
          <w:spacing w:val="1"/>
          <w:position w:val="9"/>
          <w:sz w:val="9"/>
        </w:rPr>
        <w:t>      </w:t>
      </w:r>
      <w:r>
        <w:rPr>
          <w:rFonts w:ascii="Microsoft JhengHei" w:eastAsia="Microsoft JhengHei" w:hint="eastAsia"/>
          <w:b/>
          <w:sz w:val="18"/>
        </w:rPr>
        <w:t>医院</w:t>
      </w:r>
      <w:r>
        <w:rPr>
          <w:spacing w:val="-5"/>
          <w:sz w:val="18"/>
        </w:rPr>
        <w:t>指经中华人民共和国卫生部门评审确定的二级或二级以上的公立医院，</w:t>
      </w:r>
      <w:r>
        <w:rPr>
          <w:spacing w:val="-5"/>
          <w:sz w:val="18"/>
          <w:shd w:fill="DADADA" w:color="auto" w:val="clear"/>
        </w:rPr>
        <w:t>但不包括精神病院及专供康复、休养、戒毒、戒酒</w:t>
      </w:r>
      <w:r>
        <w:rPr>
          <w:spacing w:val="-9"/>
          <w:sz w:val="18"/>
          <w:shd w:fill="DADADA" w:color="auto" w:val="clear"/>
        </w:rPr>
        <w:t>、护理、养老等非以直接诊治病人为目的的医疗机构。</w:t>
      </w:r>
      <w:r>
        <w:rPr>
          <w:spacing w:val="-5"/>
          <w:sz w:val="18"/>
        </w:rPr>
        <w:t>该医院必须具有符合国家有关医院管理规则设置标准的医疗设备， 且全天二十四小时有合格医师及护士驻院提供医疗及护理服务。</w:t>
      </w:r>
    </w:p>
    <w:p>
      <w:pPr>
        <w:spacing w:after="0" w:line="278" w:lineRule="exact"/>
        <w:jc w:val="left"/>
        <w:rPr>
          <w:sz w:val="18"/>
        </w:rPr>
        <w:sectPr>
          <w:pgSz w:w="11910" w:h="16840"/>
          <w:pgMar w:top="920" w:bottom="280" w:left="800" w:right="800"/>
        </w:sectPr>
      </w:pPr>
    </w:p>
    <w:tbl>
      <w:tblPr>
        <w:tblW w:w="0" w:type="auto"/>
        <w:jc w:val="left"/>
        <w:tblInd w:w="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4"/>
        <w:gridCol w:w="6800"/>
      </w:tblGrid>
      <w:tr>
        <w:trPr>
          <w:trHeight w:val="3977" w:hRule="atLeast"/>
        </w:trPr>
        <w:tc>
          <w:tcPr>
            <w:tcW w:w="2514" w:type="dxa"/>
            <w:tcBorders>
              <w:bottom w:val="single" w:sz="18" w:space="0" w:color="FFFFFF"/>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line="318" w:lineRule="exact" w:before="184"/>
              <w:ind w:left="200"/>
              <w:rPr>
                <w:rFonts w:ascii="等线" w:eastAsia="等线" w:hint="eastAsia"/>
                <w:b/>
                <w:sz w:val="24"/>
              </w:rPr>
            </w:pPr>
            <w:r>
              <w:rPr>
                <w:rFonts w:ascii="等线" w:eastAsia="等线" w:hint="eastAsia"/>
                <w:b/>
                <w:sz w:val="24"/>
              </w:rPr>
              <w:t>等待期</w:t>
            </w:r>
          </w:p>
        </w:tc>
        <w:tc>
          <w:tcPr>
            <w:tcW w:w="6800" w:type="dxa"/>
            <w:tcBorders>
              <w:bottom w:val="single" w:sz="18" w:space="0" w:color="FFFFFF"/>
            </w:tcBorders>
          </w:tcPr>
          <w:p>
            <w:pPr>
              <w:pStyle w:val="TableParagraph"/>
              <w:spacing w:line="235" w:lineRule="exact"/>
              <w:ind w:left="13" w:right="-15"/>
              <w:rPr>
                <w:sz w:val="21"/>
              </w:rPr>
            </w:pPr>
            <w:r>
              <w:rPr>
                <w:sz w:val="21"/>
              </w:rPr>
              <w:t>（1）</w:t>
            </w:r>
            <w:r>
              <w:rPr>
                <w:spacing w:val="-6"/>
                <w:sz w:val="21"/>
              </w:rPr>
              <w:t>被保险人身故，且在 </w:t>
            </w:r>
            <w:r>
              <w:rPr>
                <w:sz w:val="21"/>
              </w:rPr>
              <w:t>70</w:t>
            </w:r>
            <w:r>
              <w:rPr>
                <w:spacing w:val="-37"/>
                <w:sz w:val="21"/>
              </w:rPr>
              <w:t> </w:t>
            </w:r>
            <w:r>
              <w:rPr>
                <w:rFonts w:ascii="黑体" w:eastAsia="黑体" w:hint="eastAsia"/>
                <w:b/>
                <w:spacing w:val="-8"/>
                <w:sz w:val="21"/>
              </w:rPr>
              <w:t>周岁 </w:t>
            </w:r>
            <w:hyperlink w:history="true" w:anchor="_bookmark3">
              <w:r>
                <w:rPr>
                  <w:rFonts w:ascii="黑体" w:eastAsia="黑体" w:hint="eastAsia"/>
                  <w:b/>
                  <w:spacing w:val="5"/>
                  <w:position w:val="11"/>
                  <w:sz w:val="11"/>
                </w:rPr>
                <w:t>4</w:t>
              </w:r>
            </w:hyperlink>
            <w:r>
              <w:rPr>
                <w:sz w:val="21"/>
              </w:rPr>
              <w:t>前（</w:t>
            </w:r>
            <w:r>
              <w:rPr>
                <w:spacing w:val="-11"/>
                <w:sz w:val="21"/>
              </w:rPr>
              <w:t>不含 </w:t>
            </w:r>
            <w:r>
              <w:rPr>
                <w:sz w:val="21"/>
              </w:rPr>
              <w:t>70</w:t>
            </w:r>
            <w:r>
              <w:rPr>
                <w:spacing w:val="-14"/>
                <w:sz w:val="21"/>
              </w:rPr>
              <w:t> 周岁</w:t>
            </w:r>
            <w:r>
              <w:rPr>
                <w:spacing w:val="-5"/>
                <w:sz w:val="21"/>
              </w:rPr>
              <w:t>）发生过一次特定轻</w:t>
            </w:r>
          </w:p>
          <w:p>
            <w:pPr>
              <w:pStyle w:val="TableParagraph"/>
              <w:spacing w:line="273" w:lineRule="auto" w:before="37"/>
              <w:ind w:left="537" w:right="1"/>
              <w:rPr>
                <w:sz w:val="21"/>
              </w:rPr>
            </w:pPr>
            <w:r>
              <w:rPr>
                <w:spacing w:val="-5"/>
                <w:sz w:val="21"/>
              </w:rPr>
              <w:t>度重疾，我们按照本主险合同基本保险金额的 </w:t>
            </w:r>
            <w:r>
              <w:rPr>
                <w:sz w:val="21"/>
              </w:rPr>
              <w:t>30</w:t>
            </w:r>
            <w:r>
              <w:rPr>
                <w:spacing w:val="-3"/>
                <w:sz w:val="21"/>
              </w:rPr>
              <w:t>%额外给付身故保险</w:t>
            </w:r>
            <w:r>
              <w:rPr>
                <w:spacing w:val="-5"/>
                <w:sz w:val="21"/>
              </w:rPr>
              <w:t>金，本主险合同终止；</w:t>
            </w:r>
          </w:p>
          <w:p>
            <w:pPr>
              <w:pStyle w:val="TableParagraph"/>
              <w:spacing w:line="273" w:lineRule="auto" w:before="7"/>
              <w:ind w:left="537" w:right="-15" w:hanging="524"/>
              <w:jc w:val="both"/>
              <w:rPr>
                <w:sz w:val="21"/>
              </w:rPr>
            </w:pPr>
            <w:r>
              <w:rPr>
                <w:spacing w:val="-4"/>
                <w:sz w:val="21"/>
              </w:rPr>
              <w:t>（2）</w:t>
            </w:r>
            <w:r>
              <w:rPr>
                <w:spacing w:val="-9"/>
                <w:sz w:val="21"/>
              </w:rPr>
              <w:t>被保险人身故，且在 </w:t>
            </w:r>
            <w:r>
              <w:rPr>
                <w:sz w:val="21"/>
              </w:rPr>
              <w:t>70</w:t>
            </w:r>
            <w:r>
              <w:rPr>
                <w:spacing w:val="-15"/>
                <w:sz w:val="21"/>
              </w:rPr>
              <w:t> 周岁前</w:t>
            </w:r>
            <w:r>
              <w:rPr>
                <w:sz w:val="21"/>
              </w:rPr>
              <w:t>（</w:t>
            </w:r>
            <w:r>
              <w:rPr>
                <w:spacing w:val="-17"/>
                <w:sz w:val="21"/>
              </w:rPr>
              <w:t>不含 </w:t>
            </w:r>
            <w:r>
              <w:rPr>
                <w:sz w:val="21"/>
              </w:rPr>
              <w:t>70</w:t>
            </w:r>
            <w:r>
              <w:rPr>
                <w:spacing w:val="-17"/>
                <w:sz w:val="21"/>
              </w:rPr>
              <w:t> 周岁</w:t>
            </w:r>
            <w:r>
              <w:rPr>
                <w:spacing w:val="-15"/>
                <w:sz w:val="21"/>
              </w:rPr>
              <w:t>）</w:t>
            </w:r>
            <w:r>
              <w:rPr>
                <w:spacing w:val="-1"/>
                <w:sz w:val="21"/>
              </w:rPr>
              <w:t>发生过两次不同种特</w:t>
            </w:r>
            <w:r>
              <w:rPr>
                <w:spacing w:val="-6"/>
                <w:sz w:val="21"/>
              </w:rPr>
              <w:t>定轻度重疾，我们按照本主险合同基本保险金额的 </w:t>
            </w:r>
            <w:r>
              <w:rPr>
                <w:sz w:val="21"/>
              </w:rPr>
              <w:t>60</w:t>
            </w:r>
            <w:r>
              <w:rPr>
                <w:spacing w:val="-1"/>
                <w:sz w:val="21"/>
              </w:rPr>
              <w:t>%额外给付身故</w:t>
            </w:r>
            <w:r>
              <w:rPr>
                <w:spacing w:val="-3"/>
                <w:sz w:val="21"/>
              </w:rPr>
              <w:t>保险金，本主险合同终止；</w:t>
            </w:r>
          </w:p>
          <w:p>
            <w:pPr>
              <w:pStyle w:val="TableParagraph"/>
              <w:spacing w:line="273" w:lineRule="auto" w:before="7"/>
              <w:ind w:left="537" w:right="-15" w:hanging="524"/>
              <w:jc w:val="both"/>
              <w:rPr>
                <w:sz w:val="21"/>
              </w:rPr>
            </w:pPr>
            <w:r>
              <w:rPr>
                <w:spacing w:val="-4"/>
                <w:sz w:val="21"/>
              </w:rPr>
              <w:t>（3）</w:t>
            </w:r>
            <w:r>
              <w:rPr>
                <w:spacing w:val="-9"/>
                <w:sz w:val="21"/>
              </w:rPr>
              <w:t>被保险人身故，且在 </w:t>
            </w:r>
            <w:r>
              <w:rPr>
                <w:sz w:val="21"/>
              </w:rPr>
              <w:t>70</w:t>
            </w:r>
            <w:r>
              <w:rPr>
                <w:spacing w:val="-15"/>
                <w:sz w:val="21"/>
              </w:rPr>
              <w:t> 周岁前</w:t>
            </w:r>
            <w:r>
              <w:rPr>
                <w:sz w:val="21"/>
              </w:rPr>
              <w:t>（</w:t>
            </w:r>
            <w:r>
              <w:rPr>
                <w:spacing w:val="-17"/>
                <w:sz w:val="21"/>
              </w:rPr>
              <w:t>不含 </w:t>
            </w:r>
            <w:r>
              <w:rPr>
                <w:sz w:val="21"/>
              </w:rPr>
              <w:t>70</w:t>
            </w:r>
            <w:r>
              <w:rPr>
                <w:spacing w:val="-17"/>
                <w:sz w:val="21"/>
              </w:rPr>
              <w:t> 周岁</w:t>
            </w:r>
            <w:r>
              <w:rPr>
                <w:spacing w:val="-15"/>
                <w:sz w:val="21"/>
              </w:rPr>
              <w:t>）</w:t>
            </w:r>
            <w:r>
              <w:rPr>
                <w:spacing w:val="-1"/>
                <w:sz w:val="21"/>
              </w:rPr>
              <w:t>发生过三次不同种特</w:t>
            </w:r>
            <w:r>
              <w:rPr>
                <w:spacing w:val="-6"/>
                <w:sz w:val="21"/>
              </w:rPr>
              <w:t>定轻度重疾，我们按照本主险合同基本保险金额的 </w:t>
            </w:r>
            <w:r>
              <w:rPr>
                <w:sz w:val="21"/>
              </w:rPr>
              <w:t>90</w:t>
            </w:r>
            <w:r>
              <w:rPr>
                <w:spacing w:val="-1"/>
                <w:sz w:val="21"/>
              </w:rPr>
              <w:t>%额外给付身故</w:t>
            </w:r>
            <w:r>
              <w:rPr>
                <w:spacing w:val="-3"/>
                <w:sz w:val="21"/>
              </w:rPr>
              <w:t>保险金，本主险合同终止。</w:t>
            </w:r>
          </w:p>
          <w:p>
            <w:pPr>
              <w:pStyle w:val="TableParagraph"/>
              <w:spacing w:line="273" w:lineRule="auto" w:before="7"/>
              <w:ind w:left="13" w:right="6"/>
              <w:rPr>
                <w:sz w:val="21"/>
              </w:rPr>
            </w:pPr>
            <w:r>
              <w:rPr>
                <w:sz w:val="21"/>
              </w:rPr>
              <w:t>发生特定轻度重疾后身故额外给付的身故保险金，我们按照被保险人身故时满足的以上约定条件之一单独给付，不累计给付。</w:t>
            </w:r>
          </w:p>
          <w:p>
            <w:pPr>
              <w:pStyle w:val="TableParagraph"/>
              <w:spacing w:before="3"/>
              <w:rPr>
                <w:sz w:val="22"/>
              </w:rPr>
            </w:pPr>
          </w:p>
          <w:p>
            <w:pPr>
              <w:pStyle w:val="TableParagraph"/>
              <w:ind w:left="-1" w:right="-15"/>
              <w:rPr>
                <w:sz w:val="21"/>
              </w:rPr>
            </w:pPr>
            <w:r>
              <w:rPr>
                <w:spacing w:val="-3"/>
                <w:sz w:val="21"/>
                <w:shd w:fill="DADADA" w:color="auto" w:val="clear"/>
              </w:rPr>
              <w:t>从本主险合同生效</w:t>
            </w:r>
            <w:r>
              <w:rPr>
                <w:spacing w:val="-5"/>
                <w:sz w:val="21"/>
                <w:shd w:fill="DADADA" w:color="auto" w:val="clear"/>
              </w:rPr>
              <w:t>（</w:t>
            </w:r>
            <w:r>
              <w:rPr>
                <w:spacing w:val="-2"/>
                <w:sz w:val="21"/>
                <w:shd w:fill="DADADA" w:color="auto" w:val="clear"/>
              </w:rPr>
              <w:t>或最后复效</w:t>
            </w:r>
            <w:r>
              <w:rPr>
                <w:spacing w:val="-10"/>
                <w:sz w:val="21"/>
                <w:shd w:fill="DADADA" w:color="auto" w:val="clear"/>
              </w:rPr>
              <w:t>）之日起 </w:t>
            </w:r>
            <w:r>
              <w:rPr>
                <w:sz w:val="21"/>
                <w:shd w:fill="DADADA" w:color="auto" w:val="clear"/>
              </w:rPr>
              <w:t>90</w:t>
            </w:r>
            <w:r>
              <w:rPr>
                <w:spacing w:val="-8"/>
                <w:sz w:val="21"/>
                <w:shd w:fill="DADADA" w:color="auto" w:val="clear"/>
              </w:rPr>
              <w:t> 日内，被保险人首次发病并经</w:t>
            </w:r>
          </w:p>
        </w:tc>
      </w:tr>
      <w:tr>
        <w:trPr>
          <w:trHeight w:val="267" w:hRule="atLeast"/>
        </w:trPr>
        <w:tc>
          <w:tcPr>
            <w:tcW w:w="2514" w:type="dxa"/>
            <w:tcBorders>
              <w:top w:val="single" w:sz="18" w:space="0" w:color="FFFFFF"/>
            </w:tcBorders>
          </w:tcPr>
          <w:p>
            <w:pPr>
              <w:pStyle w:val="TableParagraph"/>
              <w:rPr>
                <w:rFonts w:ascii="Times New Roman"/>
                <w:sz w:val="18"/>
              </w:rPr>
            </w:pPr>
          </w:p>
        </w:tc>
        <w:tc>
          <w:tcPr>
            <w:tcW w:w="6800" w:type="dxa"/>
            <w:tcBorders>
              <w:top w:val="single" w:sz="18" w:space="0" w:color="FFFFFF"/>
              <w:bottom w:val="single" w:sz="18" w:space="0" w:color="FFFFFF"/>
            </w:tcBorders>
            <w:shd w:val="clear" w:color="auto" w:fill="DADADA"/>
          </w:tcPr>
          <w:p>
            <w:pPr>
              <w:pStyle w:val="TableParagraph"/>
              <w:spacing w:line="240" w:lineRule="exact"/>
              <w:ind w:left="-1" w:right="-15"/>
              <w:rPr>
                <w:sz w:val="21"/>
              </w:rPr>
            </w:pPr>
            <w:r>
              <w:rPr>
                <w:spacing w:val="-4"/>
                <w:sz w:val="21"/>
              </w:rPr>
              <w:t>医院确诊为本主险合同约定的</w:t>
            </w:r>
            <w:r>
              <w:rPr>
                <w:rFonts w:ascii="黑体" w:hAnsi="黑体" w:eastAsia="黑体" w:hint="eastAsia"/>
                <w:b/>
                <w:spacing w:val="-1"/>
                <w:sz w:val="21"/>
              </w:rPr>
              <w:t>“特定轻度重疾”</w:t>
            </w:r>
            <w:hyperlink w:history="true" w:anchor="_bookmark4">
              <w:r>
                <w:rPr>
                  <w:rFonts w:ascii="黑体" w:hAnsi="黑体" w:eastAsia="黑体" w:hint="eastAsia"/>
                  <w:b/>
                  <w:spacing w:val="-3"/>
                  <w:position w:val="11"/>
                  <w:sz w:val="11"/>
                </w:rPr>
                <w:t>5</w:t>
              </w:r>
            </w:hyperlink>
            <w:r>
              <w:rPr>
                <w:spacing w:val="-15"/>
                <w:sz w:val="21"/>
              </w:rPr>
              <w:t>或</w:t>
            </w:r>
            <w:r>
              <w:rPr>
                <w:rFonts w:ascii="黑体" w:hAnsi="黑体" w:eastAsia="黑体" w:hint="eastAsia"/>
                <w:b/>
                <w:spacing w:val="-1"/>
                <w:sz w:val="21"/>
              </w:rPr>
              <w:t>“重大疾病”</w:t>
            </w:r>
            <w:hyperlink w:history="true" w:anchor="_bookmark5">
              <w:r>
                <w:rPr>
                  <w:rFonts w:ascii="黑体" w:hAnsi="黑体" w:eastAsia="黑体" w:hint="eastAsia"/>
                  <w:b/>
                  <w:spacing w:val="-6"/>
                  <w:position w:val="11"/>
                  <w:sz w:val="11"/>
                </w:rPr>
                <w:t>6</w:t>
              </w:r>
            </w:hyperlink>
            <w:r>
              <w:rPr>
                <w:spacing w:val="-6"/>
                <w:sz w:val="21"/>
              </w:rPr>
              <w:t>，我们不</w:t>
            </w:r>
          </w:p>
        </w:tc>
      </w:tr>
      <w:tr>
        <w:trPr>
          <w:trHeight w:val="7391" w:hRule="atLeast"/>
        </w:trPr>
        <w:tc>
          <w:tcPr>
            <w:tcW w:w="2514" w:type="dxa"/>
          </w:tcPr>
          <w:p>
            <w:pPr>
              <w:pStyle w:val="TableParagraph"/>
              <w:rPr>
                <w:sz w:val="24"/>
              </w:rPr>
            </w:pPr>
          </w:p>
          <w:p>
            <w:pPr>
              <w:pStyle w:val="TableParagraph"/>
              <w:rPr>
                <w:sz w:val="24"/>
              </w:rPr>
            </w:pPr>
          </w:p>
          <w:p>
            <w:pPr>
              <w:pStyle w:val="TableParagraph"/>
              <w:rPr>
                <w:sz w:val="24"/>
              </w:rPr>
            </w:pPr>
          </w:p>
          <w:p>
            <w:pPr>
              <w:pStyle w:val="TableParagraph"/>
              <w:spacing w:before="11"/>
              <w:rPr>
                <w:sz w:val="16"/>
              </w:rPr>
            </w:pPr>
          </w:p>
          <w:p>
            <w:pPr>
              <w:pStyle w:val="TableParagraph"/>
              <w:spacing w:line="232" w:lineRule="auto"/>
              <w:ind w:left="200" w:right="190"/>
              <w:rPr>
                <w:rFonts w:ascii="等线" w:eastAsia="等线" w:hint="eastAsia"/>
                <w:b/>
                <w:sz w:val="24"/>
              </w:rPr>
            </w:pPr>
            <w:r>
              <w:rPr>
                <w:rFonts w:ascii="等线" w:eastAsia="等线" w:hint="eastAsia"/>
                <w:b/>
                <w:sz w:val="24"/>
              </w:rPr>
              <w:t>特定轻度重疾保险金</w:t>
            </w:r>
          </w:p>
        </w:tc>
        <w:tc>
          <w:tcPr>
            <w:tcW w:w="6800" w:type="dxa"/>
            <w:tcBorders>
              <w:top w:val="single" w:sz="18" w:space="0" w:color="FFFFFF"/>
            </w:tcBorders>
          </w:tcPr>
          <w:p>
            <w:pPr>
              <w:pStyle w:val="TableParagraph"/>
              <w:spacing w:line="240" w:lineRule="exact"/>
              <w:ind w:left="-1"/>
              <w:rPr>
                <w:sz w:val="21"/>
              </w:rPr>
            </w:pPr>
            <w:r>
              <w:rPr>
                <w:spacing w:val="-8"/>
                <w:sz w:val="21"/>
                <w:shd w:fill="DADADA" w:color="auto" w:val="clear"/>
              </w:rPr>
              <w:t>承担保险责任，退还本主险合同的现金价值，本主险合同终止。这 </w:t>
            </w:r>
            <w:r>
              <w:rPr>
                <w:sz w:val="21"/>
                <w:shd w:fill="DADADA" w:color="auto" w:val="clear"/>
              </w:rPr>
              <w:t>90</w:t>
            </w:r>
            <w:r>
              <w:rPr>
                <w:spacing w:val="-15"/>
                <w:sz w:val="21"/>
                <w:shd w:fill="DADADA" w:color="auto" w:val="clear"/>
              </w:rPr>
              <w:t> 日的</w:t>
            </w:r>
          </w:p>
          <w:p>
            <w:pPr>
              <w:pStyle w:val="TableParagraph"/>
              <w:spacing w:line="273" w:lineRule="auto" w:before="37"/>
              <w:ind w:left="-1" w:right="308"/>
              <w:rPr>
                <w:sz w:val="21"/>
              </w:rPr>
            </w:pPr>
            <w:r>
              <w:rPr>
                <w:sz w:val="21"/>
                <w:shd w:fill="DADADA" w:color="auto" w:val="clear"/>
              </w:rPr>
              <w:t>时间称为等待期</w:t>
            </w:r>
            <w:r>
              <w:rPr>
                <w:sz w:val="21"/>
              </w:rPr>
              <w:t>；被保险人因</w:t>
            </w:r>
            <w:r>
              <w:rPr>
                <w:rFonts w:ascii="黑体" w:eastAsia="黑体" w:hint="eastAsia"/>
                <w:b/>
                <w:sz w:val="21"/>
              </w:rPr>
              <w:t>意外伤害 </w:t>
            </w:r>
            <w:hyperlink w:history="true" w:anchor="_bookmark6">
              <w:r>
                <w:rPr>
                  <w:rFonts w:ascii="黑体" w:eastAsia="黑体" w:hint="eastAsia"/>
                  <w:b/>
                  <w:position w:val="11"/>
                  <w:sz w:val="11"/>
                </w:rPr>
                <w:t>7</w:t>
              </w:r>
            </w:hyperlink>
            <w:r>
              <w:rPr>
                <w:sz w:val="21"/>
              </w:rPr>
              <w:t>发生上述情形的，无等待期。如果在等待期后发生保险事故，我们按照下列方式给付保险金：</w:t>
            </w:r>
          </w:p>
          <w:p>
            <w:pPr>
              <w:pStyle w:val="TableParagraph"/>
              <w:spacing w:before="7"/>
              <w:rPr>
                <w:sz w:val="22"/>
              </w:rPr>
            </w:pPr>
          </w:p>
          <w:p>
            <w:pPr>
              <w:pStyle w:val="TableParagraph"/>
              <w:ind w:left="-1"/>
              <w:rPr>
                <w:b/>
                <w:sz w:val="21"/>
              </w:rPr>
            </w:pPr>
            <w:r>
              <w:rPr>
                <w:b/>
                <w:sz w:val="21"/>
              </w:rPr>
              <w:t>（一）基本特定轻度重疾保险金</w:t>
            </w:r>
          </w:p>
          <w:p>
            <w:pPr>
              <w:pStyle w:val="TableParagraph"/>
              <w:spacing w:line="273" w:lineRule="auto" w:before="36"/>
              <w:ind w:left="-1" w:right="-15"/>
              <w:jc w:val="both"/>
              <w:rPr>
                <w:sz w:val="21"/>
              </w:rPr>
            </w:pPr>
            <w:r>
              <w:rPr>
                <w:sz w:val="21"/>
              </w:rPr>
              <w:t>被保险人等待期后经医院确诊发生本主险合同约定的特定轻度重疾，且此前未发生本主险合同约定的重大疾病，我们按照本主险合同基本保险金额的 20%给付特定轻度重疾保险金。</w:t>
            </w:r>
          </w:p>
          <w:p>
            <w:pPr>
              <w:pStyle w:val="TableParagraph"/>
              <w:spacing w:before="5"/>
              <w:rPr>
                <w:sz w:val="24"/>
              </w:rPr>
            </w:pPr>
          </w:p>
          <w:p>
            <w:pPr>
              <w:pStyle w:val="TableParagraph"/>
              <w:spacing w:line="273" w:lineRule="auto"/>
              <w:ind w:left="-1" w:right="-15"/>
              <w:jc w:val="both"/>
              <w:rPr>
                <w:sz w:val="21"/>
              </w:rPr>
            </w:pPr>
            <w:r>
              <w:rPr>
                <w:b/>
                <w:sz w:val="21"/>
              </w:rPr>
              <w:t>（二）</w:t>
            </w:r>
            <w:r>
              <w:rPr>
                <w:b/>
                <w:spacing w:val="-2"/>
                <w:sz w:val="21"/>
              </w:rPr>
              <w:t>达到运动标准后发生特定轻度重疾额外给付的特定轻度重疾保险金</w:t>
            </w:r>
            <w:r>
              <w:rPr>
                <w:sz w:val="21"/>
              </w:rPr>
              <w:t>若被保险人在本主险合同生效之日起两个保单年度内，参加指定的运动记</w:t>
            </w:r>
            <w:r>
              <w:rPr>
                <w:spacing w:val="-5"/>
                <w:sz w:val="21"/>
              </w:rPr>
              <w:t>录平台活动，达到以下运动标准，被保险人</w:t>
            </w:r>
            <w:r>
              <w:rPr>
                <w:b/>
                <w:spacing w:val="-3"/>
                <w:sz w:val="21"/>
              </w:rPr>
              <w:t>在第 </w:t>
            </w:r>
            <w:r>
              <w:rPr>
                <w:b/>
                <w:sz w:val="21"/>
              </w:rPr>
              <w:t>3</w:t>
            </w:r>
            <w:r>
              <w:rPr>
                <w:b/>
                <w:spacing w:val="-3"/>
                <w:sz w:val="21"/>
              </w:rPr>
              <w:t> 个保单年度开始后</w:t>
            </w:r>
            <w:r>
              <w:rPr>
                <w:sz w:val="21"/>
              </w:rPr>
              <w:t>，经医院确诊发生本主险合同约定的特定轻度重疾，且此前未发生本主险合同约定的重大疾病，我们在给付基本特定轻度重疾保险金的前提下，还按照</w:t>
            </w:r>
            <w:r>
              <w:rPr>
                <w:spacing w:val="-4"/>
                <w:sz w:val="21"/>
              </w:rPr>
              <w:t>如下约定额外给付特定轻度重疾保险金：</w:t>
            </w:r>
          </w:p>
          <w:p>
            <w:pPr>
              <w:pStyle w:val="TableParagraph"/>
              <w:spacing w:line="273" w:lineRule="auto" w:before="7"/>
              <w:ind w:left="522" w:right="-15" w:hanging="524"/>
              <w:rPr>
                <w:sz w:val="21"/>
              </w:rPr>
            </w:pPr>
            <w:r>
              <w:rPr>
                <w:spacing w:val="-5"/>
                <w:sz w:val="21"/>
              </w:rPr>
              <w:t>（1）</w:t>
            </w:r>
            <w:r>
              <w:rPr>
                <w:spacing w:val="-6"/>
                <w:sz w:val="21"/>
              </w:rPr>
              <w:t>被保险人参加指定的运动记录平台活动，且在本主险合同生效之日起</w:t>
            </w:r>
            <w:r>
              <w:rPr>
                <w:spacing w:val="-12"/>
                <w:sz w:val="21"/>
              </w:rPr>
              <w:t>两个保单年度内，累计 </w:t>
            </w:r>
            <w:r>
              <w:rPr>
                <w:sz w:val="21"/>
              </w:rPr>
              <w:t>18</w:t>
            </w:r>
            <w:r>
              <w:rPr>
                <w:spacing w:val="-12"/>
                <w:sz w:val="21"/>
              </w:rPr>
              <w:t> 个月达到每月至少有 </w:t>
            </w:r>
            <w:r>
              <w:rPr>
                <w:sz w:val="21"/>
              </w:rPr>
              <w:t>25</w:t>
            </w:r>
            <w:r>
              <w:rPr>
                <w:spacing w:val="-8"/>
                <w:sz w:val="21"/>
              </w:rPr>
              <w:t> 天每天运动步数不</w:t>
            </w:r>
          </w:p>
          <w:p>
            <w:pPr>
              <w:pStyle w:val="TableParagraph"/>
              <w:spacing w:line="273" w:lineRule="auto" w:before="7"/>
              <w:ind w:left="523" w:right="1" w:hanging="1"/>
              <w:rPr>
                <w:sz w:val="21"/>
              </w:rPr>
            </w:pPr>
            <w:r>
              <w:rPr>
                <w:w w:val="100"/>
                <w:sz w:val="21"/>
              </w:rPr>
              <w:t>少于</w:t>
            </w:r>
            <w:r>
              <w:rPr>
                <w:sz w:val="21"/>
              </w:rPr>
              <w:t> </w:t>
            </w:r>
            <w:r>
              <w:rPr>
                <w:w w:val="100"/>
                <w:sz w:val="21"/>
              </w:rPr>
              <w:t>100</w:t>
            </w:r>
            <w:r>
              <w:rPr>
                <w:spacing w:val="-5"/>
                <w:w w:val="100"/>
                <w:sz w:val="21"/>
              </w:rPr>
              <w:t>0</w:t>
            </w:r>
            <w:r>
              <w:rPr>
                <w:w w:val="100"/>
                <w:sz w:val="21"/>
              </w:rPr>
              <w:t>0</w:t>
            </w:r>
            <w:r>
              <w:rPr>
                <w:sz w:val="21"/>
              </w:rPr>
              <w:t> </w:t>
            </w:r>
            <w:r>
              <w:rPr>
                <w:spacing w:val="-2"/>
                <w:w w:val="100"/>
                <w:sz w:val="21"/>
              </w:rPr>
              <w:t>步的标准</w:t>
            </w:r>
            <w:r>
              <w:rPr>
                <w:w w:val="100"/>
                <w:sz w:val="21"/>
              </w:rPr>
              <w:t>（</w:t>
            </w:r>
            <w:r>
              <w:rPr>
                <w:spacing w:val="-2"/>
                <w:w w:val="100"/>
                <w:sz w:val="21"/>
              </w:rPr>
              <w:t>运动标准一</w:t>
            </w:r>
            <w:r>
              <w:rPr>
                <w:spacing w:val="-111"/>
                <w:w w:val="100"/>
                <w:sz w:val="21"/>
              </w:rPr>
              <w:t>）</w:t>
            </w:r>
            <w:r>
              <w:rPr>
                <w:spacing w:val="-4"/>
                <w:w w:val="100"/>
                <w:sz w:val="21"/>
              </w:rPr>
              <w:t>，我们按照本主险合同基本保险</w:t>
            </w:r>
            <w:r>
              <w:rPr>
                <w:spacing w:val="-11"/>
                <w:sz w:val="21"/>
              </w:rPr>
              <w:t>金额的 </w:t>
            </w:r>
            <w:r>
              <w:rPr>
                <w:sz w:val="21"/>
              </w:rPr>
              <w:t>1%</w:t>
            </w:r>
            <w:r>
              <w:rPr>
                <w:spacing w:val="-5"/>
                <w:sz w:val="21"/>
              </w:rPr>
              <w:t>额外给付特定轻度重疾保险金；</w:t>
            </w:r>
          </w:p>
          <w:p>
            <w:pPr>
              <w:pStyle w:val="TableParagraph"/>
              <w:spacing w:line="273" w:lineRule="auto" w:before="7"/>
              <w:ind w:left="522" w:right="-15" w:hanging="524"/>
              <w:rPr>
                <w:sz w:val="21"/>
              </w:rPr>
            </w:pPr>
            <w:r>
              <w:rPr>
                <w:spacing w:val="-5"/>
                <w:sz w:val="21"/>
              </w:rPr>
              <w:t>（2）</w:t>
            </w:r>
            <w:r>
              <w:rPr>
                <w:spacing w:val="-6"/>
                <w:sz w:val="21"/>
              </w:rPr>
              <w:t>被保险人参加指定的运动记录平台活动，且在本主险合同生效之日起</w:t>
            </w:r>
            <w:r>
              <w:rPr>
                <w:spacing w:val="-12"/>
                <w:sz w:val="21"/>
              </w:rPr>
              <w:t>两个保单年度内，累计 </w:t>
            </w:r>
            <w:r>
              <w:rPr>
                <w:sz w:val="21"/>
              </w:rPr>
              <w:t>24</w:t>
            </w:r>
            <w:r>
              <w:rPr>
                <w:spacing w:val="-12"/>
                <w:sz w:val="21"/>
              </w:rPr>
              <w:t> 个月达到每月至少有 </w:t>
            </w:r>
            <w:r>
              <w:rPr>
                <w:sz w:val="21"/>
              </w:rPr>
              <w:t>25</w:t>
            </w:r>
            <w:r>
              <w:rPr>
                <w:spacing w:val="-8"/>
                <w:sz w:val="21"/>
              </w:rPr>
              <w:t> 天每天运动步数不</w:t>
            </w:r>
          </w:p>
          <w:p>
            <w:pPr>
              <w:pStyle w:val="TableParagraph"/>
              <w:spacing w:line="273" w:lineRule="auto" w:before="7"/>
              <w:ind w:left="523" w:right="1" w:hanging="1"/>
              <w:rPr>
                <w:sz w:val="21"/>
              </w:rPr>
            </w:pPr>
            <w:r>
              <w:rPr>
                <w:w w:val="100"/>
                <w:sz w:val="21"/>
              </w:rPr>
              <w:t>少于</w:t>
            </w:r>
            <w:r>
              <w:rPr>
                <w:sz w:val="21"/>
              </w:rPr>
              <w:t> </w:t>
            </w:r>
            <w:r>
              <w:rPr>
                <w:w w:val="100"/>
                <w:sz w:val="21"/>
              </w:rPr>
              <w:t>100</w:t>
            </w:r>
            <w:r>
              <w:rPr>
                <w:spacing w:val="-5"/>
                <w:w w:val="100"/>
                <w:sz w:val="21"/>
              </w:rPr>
              <w:t>0</w:t>
            </w:r>
            <w:r>
              <w:rPr>
                <w:w w:val="100"/>
                <w:sz w:val="21"/>
              </w:rPr>
              <w:t>0</w:t>
            </w:r>
            <w:r>
              <w:rPr>
                <w:sz w:val="21"/>
              </w:rPr>
              <w:t> </w:t>
            </w:r>
            <w:r>
              <w:rPr>
                <w:spacing w:val="-2"/>
                <w:w w:val="100"/>
                <w:sz w:val="21"/>
              </w:rPr>
              <w:t>步的标准</w:t>
            </w:r>
            <w:r>
              <w:rPr>
                <w:w w:val="100"/>
                <w:sz w:val="21"/>
              </w:rPr>
              <w:t>（</w:t>
            </w:r>
            <w:r>
              <w:rPr>
                <w:spacing w:val="-2"/>
                <w:w w:val="100"/>
                <w:sz w:val="21"/>
              </w:rPr>
              <w:t>运动标准二</w:t>
            </w:r>
            <w:r>
              <w:rPr>
                <w:spacing w:val="-111"/>
                <w:w w:val="100"/>
                <w:sz w:val="21"/>
              </w:rPr>
              <w:t>）</w:t>
            </w:r>
            <w:r>
              <w:rPr>
                <w:spacing w:val="-4"/>
                <w:w w:val="100"/>
                <w:sz w:val="21"/>
              </w:rPr>
              <w:t>，我们按照本主险合同基本保险</w:t>
            </w:r>
            <w:r>
              <w:rPr>
                <w:spacing w:val="-11"/>
                <w:sz w:val="21"/>
              </w:rPr>
              <w:t>金额的 </w:t>
            </w:r>
            <w:r>
              <w:rPr>
                <w:sz w:val="21"/>
              </w:rPr>
              <w:t>2%</w:t>
            </w:r>
            <w:r>
              <w:rPr>
                <w:spacing w:val="-5"/>
                <w:sz w:val="21"/>
              </w:rPr>
              <w:t>额外给付特定轻度重疾保险金。</w:t>
            </w:r>
          </w:p>
          <w:p>
            <w:pPr>
              <w:pStyle w:val="TableParagraph"/>
              <w:spacing w:line="255" w:lineRule="exact" w:before="7"/>
              <w:ind w:left="-1"/>
              <w:jc w:val="both"/>
              <w:rPr>
                <w:sz w:val="21"/>
              </w:rPr>
            </w:pPr>
            <w:r>
              <w:rPr>
                <w:sz w:val="21"/>
              </w:rPr>
              <w:t>达到运动标准后发生特定轻度重疾额外给付的特定轻度重疾保险金，我们</w:t>
            </w:r>
          </w:p>
        </w:tc>
      </w:tr>
    </w:tbl>
    <w:p>
      <w:pPr>
        <w:pStyle w:val="BodyText"/>
        <w:rPr>
          <w:sz w:val="20"/>
        </w:rPr>
      </w:pPr>
    </w:p>
    <w:p>
      <w:pPr>
        <w:pStyle w:val="BodyText"/>
        <w:spacing w:before="3"/>
        <w:rPr>
          <w:sz w:val="13"/>
        </w:rPr>
      </w:pPr>
      <w:r>
        <w:rPr/>
        <w:pict>
          <v:line style="position:absolute;mso-position-horizontal-relative:page;mso-position-vertical-relative:paragraph;z-index:1288;mso-wrap-distance-left:0;mso-wrap-distance-right:0" from="51.119999pt,10.871232pt" to="195.119999pt,10.871232pt" stroked="true" strokeweight=".48pt" strokecolor="#000000">
            <v:stroke dashstyle="solid"/>
            <w10:wrap type="topAndBottom"/>
          </v:line>
        </w:pict>
      </w:r>
    </w:p>
    <w:p>
      <w:pPr>
        <w:spacing w:line="296" w:lineRule="exact" w:before="25"/>
        <w:ind w:left="102" w:right="0" w:firstLine="0"/>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line="284" w:lineRule="exact" w:before="23"/>
        <w:ind w:left="284" w:right="110" w:hanging="183"/>
        <w:jc w:val="left"/>
        <w:rPr>
          <w:sz w:val="18"/>
        </w:rPr>
      </w:pPr>
      <w:bookmarkStart w:name="_bookmark4" w:id="5"/>
      <w:bookmarkEnd w:id="5"/>
      <w:r>
        <w:rPr/>
      </w:r>
      <w:r>
        <w:rPr>
          <w:rFonts w:ascii="Microsoft JhengHei" w:hAnsi="Microsoft JhengHei" w:eastAsia="Microsoft JhengHei" w:hint="eastAsia"/>
          <w:b/>
          <w:position w:val="9"/>
          <w:sz w:val="9"/>
        </w:rPr>
        <w:t>5 </w:t>
      </w:r>
      <w:r>
        <w:rPr>
          <w:rFonts w:ascii="Microsoft JhengHei" w:hAnsi="Microsoft JhengHei" w:eastAsia="Microsoft JhengHei" w:hint="eastAsia"/>
          <w:b/>
          <w:spacing w:val="-2"/>
          <w:sz w:val="18"/>
        </w:rPr>
        <w:t>特定轻度重疾</w:t>
      </w:r>
      <w:r>
        <w:rPr>
          <w:spacing w:val="-10"/>
          <w:sz w:val="18"/>
        </w:rPr>
        <w:t>指被保险人初次发生符合“</w:t>
      </w:r>
      <w:r>
        <w:rPr>
          <w:sz w:val="18"/>
        </w:rPr>
        <w:t>7</w:t>
      </w:r>
      <w:r>
        <w:rPr>
          <w:spacing w:val="-16"/>
          <w:sz w:val="18"/>
        </w:rPr>
        <w:t> 特定轻度重疾释义”定义的疾病，或初次接受符合“</w:t>
      </w:r>
      <w:r>
        <w:rPr>
          <w:sz w:val="18"/>
        </w:rPr>
        <w:t>7</w:t>
      </w:r>
      <w:r>
        <w:rPr>
          <w:spacing w:val="-12"/>
          <w:sz w:val="18"/>
        </w:rPr>
        <w:t> 特定轻度重疾释义”的手术。</w:t>
      </w:r>
      <w:r>
        <w:rPr>
          <w:spacing w:val="-5"/>
          <w:sz w:val="18"/>
        </w:rPr>
        <w:t>该疾病或手术应当由专科医生明确诊断。</w:t>
      </w:r>
    </w:p>
    <w:p>
      <w:pPr>
        <w:spacing w:line="267" w:lineRule="exact" w:before="0"/>
        <w:ind w:left="102" w:right="0" w:firstLine="0"/>
        <w:jc w:val="left"/>
        <w:rPr>
          <w:sz w:val="18"/>
        </w:rPr>
      </w:pPr>
      <w:bookmarkStart w:name="_bookmark5" w:id="6"/>
      <w:bookmarkEnd w:id="6"/>
      <w:r>
        <w:rPr/>
      </w:r>
      <w:r>
        <w:rPr>
          <w:rFonts w:ascii="Microsoft JhengHei" w:hAnsi="Microsoft JhengHei" w:eastAsia="Microsoft JhengHei" w:hint="eastAsia"/>
          <w:b/>
          <w:position w:val="9"/>
          <w:sz w:val="9"/>
        </w:rPr>
        <w:t>6    </w:t>
      </w:r>
      <w:r>
        <w:rPr>
          <w:rFonts w:ascii="Microsoft JhengHei" w:hAnsi="Microsoft JhengHei" w:eastAsia="Microsoft JhengHei" w:hint="eastAsia"/>
          <w:b/>
          <w:spacing w:val="-2"/>
          <w:sz w:val="18"/>
        </w:rPr>
        <w:t>重大疾病</w:t>
      </w:r>
      <w:r>
        <w:rPr>
          <w:spacing w:val="-7"/>
          <w:sz w:val="18"/>
        </w:rPr>
        <w:t>指被保险人初次发生符合“</w:t>
      </w:r>
      <w:r>
        <w:rPr>
          <w:sz w:val="18"/>
        </w:rPr>
        <w:t>8</w:t>
      </w:r>
      <w:r>
        <w:rPr>
          <w:spacing w:val="-9"/>
          <w:sz w:val="18"/>
        </w:rPr>
        <w:t> 重大疾病释义”定义的疾病，或初次接受符合</w:t>
      </w:r>
      <w:r>
        <w:rPr>
          <w:sz w:val="18"/>
        </w:rPr>
        <w:t>“8</w:t>
      </w:r>
      <w:r>
        <w:rPr>
          <w:spacing w:val="-8"/>
          <w:sz w:val="18"/>
        </w:rPr>
        <w:t> 重大疾病释义”定义的手术。该疾病</w:t>
      </w:r>
    </w:p>
    <w:p>
      <w:pPr>
        <w:spacing w:line="285" w:lineRule="auto" w:before="22"/>
        <w:ind w:left="284" w:right="110" w:firstLine="0"/>
        <w:jc w:val="both"/>
        <w:rPr>
          <w:sz w:val="18"/>
        </w:rPr>
      </w:pPr>
      <w:r>
        <w:rPr>
          <w:spacing w:val="-6"/>
          <w:w w:val="101"/>
          <w:sz w:val="18"/>
        </w:rPr>
        <w:t>或手术应当由专科医生明确诊断。专科医生应当同时满足以下四项资格条件</w:t>
      </w:r>
      <w:r>
        <w:rPr>
          <w:spacing w:val="-106"/>
          <w:w w:val="101"/>
          <w:sz w:val="18"/>
        </w:rPr>
        <w:t>：</w:t>
      </w:r>
      <w:r>
        <w:rPr>
          <w:spacing w:val="-1"/>
          <w:w w:val="101"/>
          <w:sz w:val="18"/>
        </w:rPr>
        <w:t>（</w:t>
      </w:r>
      <w:r>
        <w:rPr>
          <w:w w:val="101"/>
          <w:sz w:val="18"/>
        </w:rPr>
        <w:t>1</w:t>
      </w:r>
      <w:r>
        <w:rPr>
          <w:spacing w:val="-15"/>
          <w:w w:val="101"/>
          <w:sz w:val="18"/>
        </w:rPr>
        <w:t>）</w:t>
      </w:r>
      <w:r>
        <w:rPr>
          <w:spacing w:val="-6"/>
          <w:w w:val="101"/>
          <w:sz w:val="18"/>
        </w:rPr>
        <w:t>具有有效的中华人民共和国《医师资格证</w:t>
      </w:r>
      <w:r>
        <w:rPr>
          <w:spacing w:val="-67"/>
          <w:w w:val="101"/>
          <w:sz w:val="18"/>
        </w:rPr>
        <w:t>书》；</w:t>
      </w:r>
      <w:r>
        <w:rPr>
          <w:w w:val="101"/>
          <w:sz w:val="18"/>
        </w:rPr>
        <w:t>（</w:t>
      </w:r>
      <w:r>
        <w:rPr>
          <w:spacing w:val="-5"/>
          <w:w w:val="101"/>
          <w:sz w:val="18"/>
        </w:rPr>
        <w:t>2）</w:t>
      </w:r>
      <w:r>
        <w:rPr>
          <w:spacing w:val="-14"/>
          <w:w w:val="101"/>
          <w:sz w:val="18"/>
        </w:rPr>
        <w:t>具有有效的中华人民共和国《医师执业证书》，并按期到相关部门登记注册；</w:t>
      </w:r>
      <w:r>
        <w:rPr>
          <w:spacing w:val="-2"/>
          <w:w w:val="101"/>
          <w:sz w:val="18"/>
        </w:rPr>
        <w:t>（</w:t>
      </w:r>
      <w:r>
        <w:rPr>
          <w:spacing w:val="-5"/>
          <w:w w:val="101"/>
          <w:sz w:val="18"/>
        </w:rPr>
        <w:t>3</w:t>
      </w:r>
      <w:r>
        <w:rPr>
          <w:spacing w:val="-10"/>
          <w:w w:val="101"/>
          <w:sz w:val="18"/>
        </w:rPr>
        <w:t>）</w:t>
      </w:r>
      <w:r>
        <w:rPr>
          <w:spacing w:val="-5"/>
          <w:w w:val="101"/>
          <w:sz w:val="18"/>
        </w:rPr>
        <w:t>具有有效的中华人民共和国主治</w:t>
      </w:r>
      <w:r>
        <w:rPr>
          <w:spacing w:val="-15"/>
          <w:w w:val="101"/>
          <w:sz w:val="18"/>
        </w:rPr>
        <w:t>医师或主治医师以上职称的《医师职称证书》；</w:t>
      </w:r>
      <w:r>
        <w:rPr>
          <w:w w:val="101"/>
          <w:sz w:val="18"/>
        </w:rPr>
        <w:t>（4</w:t>
      </w:r>
      <w:r>
        <w:rPr>
          <w:spacing w:val="-5"/>
          <w:w w:val="101"/>
          <w:sz w:val="18"/>
        </w:rPr>
        <w:t>）在二级或二级以上医院的相应科室从事临床工作三年以上。</w:t>
      </w:r>
    </w:p>
    <w:p>
      <w:pPr>
        <w:spacing w:line="265" w:lineRule="exact" w:before="0"/>
        <w:ind w:left="102" w:right="0" w:firstLine="0"/>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意外伤害</w:t>
      </w:r>
      <w:r>
        <w:rPr>
          <w:sz w:val="18"/>
        </w:rPr>
        <w:t>指遭受外来的、突发的、非本意的、非疾病的使身体受到伤害的客观事件。</w:t>
      </w:r>
    </w:p>
    <w:p>
      <w:pPr>
        <w:spacing w:after="0" w:line="265" w:lineRule="exact"/>
        <w:jc w:val="left"/>
        <w:rPr>
          <w:sz w:val="18"/>
        </w:rPr>
        <w:sectPr>
          <w:pgSz w:w="11910" w:h="16840"/>
          <w:pgMar w:top="1140" w:bottom="280" w:left="920" w:right="9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7"/>
        <w:gridCol w:w="7324"/>
      </w:tblGrid>
      <w:tr>
        <w:trPr>
          <w:trHeight w:val="4137" w:hRule="atLeast"/>
        </w:trPr>
        <w:tc>
          <w:tcPr>
            <w:tcW w:w="2197" w:type="dxa"/>
          </w:tcPr>
          <w:p>
            <w:pPr>
              <w:pStyle w:val="TableParagraph"/>
              <w:rPr>
                <w:rFonts w:ascii="Times New Roman"/>
                <w:sz w:val="20"/>
              </w:rPr>
            </w:pPr>
          </w:p>
        </w:tc>
        <w:tc>
          <w:tcPr>
            <w:tcW w:w="7324" w:type="dxa"/>
          </w:tcPr>
          <w:p>
            <w:pPr>
              <w:pStyle w:val="TableParagraph"/>
              <w:spacing w:line="211" w:lineRule="exact"/>
              <w:ind w:left="316"/>
              <w:rPr>
                <w:sz w:val="21"/>
              </w:rPr>
            </w:pPr>
            <w:r>
              <w:rPr>
                <w:sz w:val="21"/>
              </w:rPr>
              <w:t>按照被保险人确诊发生本主险合同约定的特定轻度重疾时满足的以上约定</w:t>
            </w:r>
          </w:p>
          <w:p>
            <w:pPr>
              <w:pStyle w:val="TableParagraph"/>
              <w:spacing w:before="37"/>
              <w:ind w:left="316"/>
              <w:rPr>
                <w:sz w:val="21"/>
              </w:rPr>
            </w:pPr>
            <w:r>
              <w:rPr>
                <w:sz w:val="21"/>
              </w:rPr>
              <w:t>条件之一单独给付，不累计给付。</w:t>
            </w:r>
          </w:p>
          <w:p>
            <w:pPr>
              <w:pStyle w:val="TableParagraph"/>
              <w:spacing w:before="8"/>
              <w:rPr>
                <w:sz w:val="26"/>
              </w:rPr>
            </w:pPr>
          </w:p>
          <w:p>
            <w:pPr>
              <w:pStyle w:val="TableParagraph"/>
              <w:spacing w:line="273" w:lineRule="auto"/>
              <w:ind w:left="316" w:right="203"/>
              <w:jc w:val="both"/>
              <w:rPr>
                <w:sz w:val="21"/>
              </w:rPr>
            </w:pPr>
            <w:r>
              <w:rPr>
                <w:sz w:val="21"/>
              </w:rPr>
              <w:t>在本主险合同保险期间内，特定轻度重疾保险金累计给付以三次为限，每种特定轻度重疾限给付一次，当累计给付的特定轻度重疾保险金达到三次时，特定轻度重疾保险金保险责任终止，本主险合同继续有效，基本保险金额不变。</w:t>
            </w:r>
          </w:p>
          <w:p>
            <w:pPr>
              <w:pStyle w:val="TableParagraph"/>
              <w:spacing w:line="273" w:lineRule="auto" w:before="7"/>
              <w:ind w:left="316" w:right="203"/>
              <w:jc w:val="both"/>
              <w:rPr>
                <w:sz w:val="21"/>
              </w:rPr>
            </w:pPr>
            <w:r>
              <w:rPr>
                <w:sz w:val="21"/>
              </w:rPr>
              <w:t>若被保险人因同一疾病或同一事故导致其发生本主险合同约定的两种或两种以上的特定轻度重疾，我们仅按一种特定轻度重疾给付特定轻度重疾保险金。</w:t>
            </w:r>
          </w:p>
          <w:p>
            <w:pPr>
              <w:pStyle w:val="TableParagraph"/>
              <w:spacing w:line="273" w:lineRule="auto" w:before="8"/>
              <w:ind w:left="316" w:right="198"/>
              <w:jc w:val="both"/>
              <w:rPr>
                <w:sz w:val="21"/>
              </w:rPr>
            </w:pPr>
            <w:r>
              <w:rPr>
                <w:sz w:val="21"/>
              </w:rPr>
              <w:t>若被保险人确诊特定轻度重疾时已经符合本主险合同约定的重大疾病保险金的给付条件，则我们按照下述“重大疾病保险金”责任进行给付，</w:t>
            </w:r>
            <w:r>
              <w:rPr>
                <w:sz w:val="21"/>
                <w:shd w:fill="DADADA" w:color="auto" w:val="clear"/>
              </w:rPr>
              <w:t>不再承担给付特定轻度重疾保险金的责任。</w:t>
            </w:r>
          </w:p>
        </w:tc>
      </w:tr>
      <w:tr>
        <w:trPr>
          <w:trHeight w:val="10084" w:hRule="atLeast"/>
        </w:trPr>
        <w:tc>
          <w:tcPr>
            <w:tcW w:w="2197" w:type="dxa"/>
          </w:tcPr>
          <w:p>
            <w:pPr>
              <w:pStyle w:val="TableParagraph"/>
              <w:spacing w:before="102"/>
              <w:ind w:left="200"/>
              <w:rPr>
                <w:rFonts w:ascii="等线" w:eastAsia="等线" w:hint="eastAsia"/>
                <w:b/>
                <w:sz w:val="24"/>
              </w:rPr>
            </w:pPr>
            <w:r>
              <w:rPr>
                <w:rFonts w:ascii="等线" w:eastAsia="等线" w:hint="eastAsia"/>
                <w:b/>
                <w:sz w:val="24"/>
              </w:rPr>
              <w:t>重大疾病保险金</w:t>
            </w:r>
          </w:p>
        </w:tc>
        <w:tc>
          <w:tcPr>
            <w:tcW w:w="7324" w:type="dxa"/>
          </w:tcPr>
          <w:p>
            <w:pPr>
              <w:pStyle w:val="TableParagraph"/>
              <w:spacing w:before="138"/>
              <w:ind w:left="316"/>
              <w:rPr>
                <w:b/>
                <w:sz w:val="21"/>
              </w:rPr>
            </w:pPr>
            <w:r>
              <w:rPr>
                <w:b/>
                <w:sz w:val="21"/>
              </w:rPr>
              <w:t>（一）基本重大疾病保险金</w:t>
            </w:r>
          </w:p>
          <w:p>
            <w:pPr>
              <w:pStyle w:val="TableParagraph"/>
              <w:spacing w:line="273" w:lineRule="auto" w:before="37"/>
              <w:ind w:left="316" w:right="203"/>
              <w:jc w:val="both"/>
              <w:rPr>
                <w:sz w:val="21"/>
              </w:rPr>
            </w:pPr>
            <w:r>
              <w:rPr>
                <w:sz w:val="21"/>
              </w:rPr>
              <w:t>被保险人等待期后经医院确诊初次发生本主险合同约定的重大疾病，我们按照本主险合同基本保险金额给付重大疾病保险金，本主险合同终止。</w:t>
            </w:r>
          </w:p>
          <w:p>
            <w:pPr>
              <w:pStyle w:val="TableParagraph"/>
              <w:spacing w:before="5"/>
              <w:rPr>
                <w:sz w:val="24"/>
              </w:rPr>
            </w:pPr>
          </w:p>
          <w:p>
            <w:pPr>
              <w:pStyle w:val="TableParagraph"/>
              <w:spacing w:before="1"/>
              <w:ind w:left="316"/>
              <w:rPr>
                <w:b/>
                <w:sz w:val="21"/>
              </w:rPr>
            </w:pPr>
            <w:r>
              <w:rPr>
                <w:b/>
                <w:sz w:val="21"/>
              </w:rPr>
              <w:t>（二）达到运动标准后发生重大疾病额外给付的重大疾病保险金</w:t>
            </w:r>
          </w:p>
          <w:p>
            <w:pPr>
              <w:pStyle w:val="TableParagraph"/>
              <w:spacing w:line="273" w:lineRule="auto" w:before="37"/>
              <w:ind w:left="316" w:right="203"/>
              <w:jc w:val="both"/>
              <w:rPr>
                <w:sz w:val="21"/>
              </w:rPr>
            </w:pPr>
            <w:r>
              <w:rPr>
                <w:sz w:val="21"/>
              </w:rPr>
              <w:t>若被保险人在本主险合同生效之日起两个保单年度内，参加指定的运动记</w:t>
            </w:r>
            <w:r>
              <w:rPr>
                <w:spacing w:val="-5"/>
                <w:sz w:val="21"/>
              </w:rPr>
              <w:t>录平台活动，达到以下运动标准，被保险人</w:t>
            </w:r>
            <w:r>
              <w:rPr>
                <w:b/>
                <w:spacing w:val="-3"/>
                <w:sz w:val="21"/>
              </w:rPr>
              <w:t>在第 </w:t>
            </w:r>
            <w:r>
              <w:rPr>
                <w:b/>
                <w:sz w:val="21"/>
              </w:rPr>
              <w:t>3</w:t>
            </w:r>
            <w:r>
              <w:rPr>
                <w:b/>
                <w:spacing w:val="-4"/>
                <w:sz w:val="21"/>
              </w:rPr>
              <w:t> 个保单年度开始后，</w:t>
            </w:r>
            <w:r>
              <w:rPr>
                <w:sz w:val="21"/>
              </w:rPr>
              <w:t>经医院确诊初次发生本主险合同约定的重大疾病，我们按照如下约定额外给</w:t>
            </w:r>
            <w:r>
              <w:rPr>
                <w:spacing w:val="-1"/>
                <w:sz w:val="21"/>
              </w:rPr>
              <w:t>付重大疾病保险金：</w:t>
            </w:r>
          </w:p>
          <w:p>
            <w:pPr>
              <w:pStyle w:val="TableParagraph"/>
              <w:spacing w:line="273" w:lineRule="auto" w:before="7"/>
              <w:ind w:left="839" w:right="204" w:hanging="524"/>
              <w:rPr>
                <w:sz w:val="21"/>
              </w:rPr>
            </w:pPr>
            <w:r>
              <w:rPr>
                <w:spacing w:val="-5"/>
                <w:sz w:val="21"/>
              </w:rPr>
              <w:t>（1）</w:t>
            </w:r>
            <w:r>
              <w:rPr>
                <w:spacing w:val="-6"/>
                <w:sz w:val="21"/>
              </w:rPr>
              <w:t>被保险人参加指定的运动记录平台活动，且在本主险合同生效之日起</w:t>
            </w:r>
            <w:r>
              <w:rPr>
                <w:spacing w:val="-12"/>
                <w:sz w:val="21"/>
              </w:rPr>
              <w:t>两个保单年度内，累计 </w:t>
            </w:r>
            <w:r>
              <w:rPr>
                <w:sz w:val="21"/>
              </w:rPr>
              <w:t>18</w:t>
            </w:r>
            <w:r>
              <w:rPr>
                <w:spacing w:val="-12"/>
                <w:sz w:val="21"/>
              </w:rPr>
              <w:t> 个月达到每月至少有 </w:t>
            </w:r>
            <w:r>
              <w:rPr>
                <w:sz w:val="21"/>
              </w:rPr>
              <w:t>25</w:t>
            </w:r>
            <w:r>
              <w:rPr>
                <w:spacing w:val="-8"/>
                <w:sz w:val="21"/>
              </w:rPr>
              <w:t> 天每天运动步数不</w:t>
            </w:r>
          </w:p>
          <w:p>
            <w:pPr>
              <w:pStyle w:val="TableParagraph"/>
              <w:spacing w:line="273" w:lineRule="auto" w:before="7"/>
              <w:ind w:left="839" w:right="208" w:hanging="1"/>
              <w:rPr>
                <w:sz w:val="21"/>
              </w:rPr>
            </w:pPr>
            <w:r>
              <w:rPr>
                <w:w w:val="100"/>
                <w:sz w:val="21"/>
              </w:rPr>
              <w:t>少于</w:t>
            </w:r>
            <w:r>
              <w:rPr>
                <w:sz w:val="21"/>
              </w:rPr>
              <w:t> </w:t>
            </w:r>
            <w:r>
              <w:rPr>
                <w:w w:val="100"/>
                <w:sz w:val="21"/>
              </w:rPr>
              <w:t>100</w:t>
            </w:r>
            <w:r>
              <w:rPr>
                <w:spacing w:val="-5"/>
                <w:w w:val="100"/>
                <w:sz w:val="21"/>
              </w:rPr>
              <w:t>0</w:t>
            </w:r>
            <w:r>
              <w:rPr>
                <w:w w:val="100"/>
                <w:sz w:val="21"/>
              </w:rPr>
              <w:t>0</w:t>
            </w:r>
            <w:r>
              <w:rPr>
                <w:sz w:val="21"/>
              </w:rPr>
              <w:t> </w:t>
            </w:r>
            <w:r>
              <w:rPr>
                <w:spacing w:val="-2"/>
                <w:w w:val="100"/>
                <w:sz w:val="21"/>
              </w:rPr>
              <w:t>步的标准</w:t>
            </w:r>
            <w:r>
              <w:rPr>
                <w:w w:val="100"/>
                <w:sz w:val="21"/>
              </w:rPr>
              <w:t>（</w:t>
            </w:r>
            <w:r>
              <w:rPr>
                <w:spacing w:val="-2"/>
                <w:w w:val="100"/>
                <w:sz w:val="21"/>
              </w:rPr>
              <w:t>运动标准一</w:t>
            </w:r>
            <w:r>
              <w:rPr>
                <w:spacing w:val="-111"/>
                <w:w w:val="100"/>
                <w:sz w:val="21"/>
              </w:rPr>
              <w:t>）</w:t>
            </w:r>
            <w:r>
              <w:rPr>
                <w:spacing w:val="-4"/>
                <w:w w:val="100"/>
                <w:sz w:val="21"/>
              </w:rPr>
              <w:t>，我们按照本主险合同基本保险</w:t>
            </w:r>
            <w:r>
              <w:rPr>
                <w:spacing w:val="-10"/>
                <w:sz w:val="21"/>
              </w:rPr>
              <w:t>金额的 </w:t>
            </w:r>
            <w:r>
              <w:rPr>
                <w:sz w:val="21"/>
              </w:rPr>
              <w:t>5%</w:t>
            </w:r>
            <w:r>
              <w:rPr>
                <w:spacing w:val="-5"/>
                <w:sz w:val="21"/>
              </w:rPr>
              <w:t>额外给付重大疾病保险金，本主险合同终止；</w:t>
            </w:r>
          </w:p>
          <w:p>
            <w:pPr>
              <w:pStyle w:val="TableParagraph"/>
              <w:spacing w:line="273" w:lineRule="auto" w:before="7"/>
              <w:ind w:left="839" w:right="203" w:hanging="524"/>
              <w:rPr>
                <w:sz w:val="21"/>
              </w:rPr>
            </w:pPr>
            <w:r>
              <w:rPr>
                <w:spacing w:val="-5"/>
                <w:sz w:val="21"/>
              </w:rPr>
              <w:t>（2）</w:t>
            </w:r>
            <w:r>
              <w:rPr>
                <w:spacing w:val="-6"/>
                <w:sz w:val="21"/>
              </w:rPr>
              <w:t>被保险人参加指定的运动记录平台活动，且在本主险合同生效之日起</w:t>
            </w:r>
            <w:r>
              <w:rPr>
                <w:spacing w:val="-12"/>
                <w:sz w:val="21"/>
              </w:rPr>
              <w:t>两个保单年度内，累计 </w:t>
            </w:r>
            <w:r>
              <w:rPr>
                <w:sz w:val="21"/>
              </w:rPr>
              <w:t>24</w:t>
            </w:r>
            <w:r>
              <w:rPr>
                <w:spacing w:val="-12"/>
                <w:sz w:val="21"/>
              </w:rPr>
              <w:t> 个月达到每月至少有 </w:t>
            </w:r>
            <w:r>
              <w:rPr>
                <w:sz w:val="21"/>
              </w:rPr>
              <w:t>25</w:t>
            </w:r>
            <w:r>
              <w:rPr>
                <w:spacing w:val="-8"/>
                <w:sz w:val="21"/>
              </w:rPr>
              <w:t> 天每天运动步数不</w:t>
            </w:r>
          </w:p>
          <w:p>
            <w:pPr>
              <w:pStyle w:val="TableParagraph"/>
              <w:spacing w:line="273" w:lineRule="auto" w:before="7"/>
              <w:ind w:left="839" w:right="208"/>
              <w:rPr>
                <w:sz w:val="21"/>
              </w:rPr>
            </w:pPr>
            <w:r>
              <w:rPr>
                <w:w w:val="100"/>
                <w:sz w:val="21"/>
              </w:rPr>
              <w:t>少于</w:t>
            </w:r>
            <w:r>
              <w:rPr>
                <w:sz w:val="21"/>
              </w:rPr>
              <w:t> </w:t>
            </w:r>
            <w:r>
              <w:rPr>
                <w:w w:val="100"/>
                <w:sz w:val="21"/>
              </w:rPr>
              <w:t>100</w:t>
            </w:r>
            <w:r>
              <w:rPr>
                <w:spacing w:val="-5"/>
                <w:w w:val="100"/>
                <w:sz w:val="21"/>
              </w:rPr>
              <w:t>0</w:t>
            </w:r>
            <w:r>
              <w:rPr>
                <w:w w:val="100"/>
                <w:sz w:val="21"/>
              </w:rPr>
              <w:t>0</w:t>
            </w:r>
            <w:r>
              <w:rPr>
                <w:sz w:val="21"/>
              </w:rPr>
              <w:t> </w:t>
            </w:r>
            <w:r>
              <w:rPr>
                <w:spacing w:val="-2"/>
                <w:w w:val="100"/>
                <w:sz w:val="21"/>
              </w:rPr>
              <w:t>步的标准</w:t>
            </w:r>
            <w:r>
              <w:rPr>
                <w:w w:val="100"/>
                <w:sz w:val="21"/>
              </w:rPr>
              <w:t>（</w:t>
            </w:r>
            <w:r>
              <w:rPr>
                <w:spacing w:val="-2"/>
                <w:w w:val="100"/>
                <w:sz w:val="21"/>
              </w:rPr>
              <w:t>运动标准二</w:t>
            </w:r>
            <w:r>
              <w:rPr>
                <w:spacing w:val="-111"/>
                <w:w w:val="100"/>
                <w:sz w:val="21"/>
              </w:rPr>
              <w:t>）</w:t>
            </w:r>
            <w:r>
              <w:rPr>
                <w:spacing w:val="-4"/>
                <w:w w:val="100"/>
                <w:sz w:val="21"/>
              </w:rPr>
              <w:t>，我们按照本主险合同基本保险</w:t>
            </w:r>
            <w:r>
              <w:rPr>
                <w:spacing w:val="-9"/>
                <w:sz w:val="21"/>
              </w:rPr>
              <w:t>金额的 </w:t>
            </w:r>
            <w:r>
              <w:rPr>
                <w:sz w:val="21"/>
              </w:rPr>
              <w:t>10%</w:t>
            </w:r>
            <w:r>
              <w:rPr>
                <w:spacing w:val="-5"/>
                <w:sz w:val="21"/>
              </w:rPr>
              <w:t>额外给付重大疾病保险金，本主险合同终止。</w:t>
            </w:r>
          </w:p>
          <w:p>
            <w:pPr>
              <w:pStyle w:val="TableParagraph"/>
              <w:spacing w:line="273" w:lineRule="auto" w:before="7"/>
              <w:ind w:left="316" w:right="198"/>
              <w:jc w:val="both"/>
              <w:rPr>
                <w:sz w:val="21"/>
              </w:rPr>
            </w:pPr>
            <w:r>
              <w:rPr>
                <w:sz w:val="21"/>
              </w:rPr>
              <w:t>达到运动标准后发生重大疾病额外给付的重大疾病保险金，我们按照被保险人确诊发生本主险合同约定的重大疾病时满足的以上约定条件之一单独给付，不累计给付。</w:t>
            </w:r>
          </w:p>
          <w:p>
            <w:pPr>
              <w:pStyle w:val="TableParagraph"/>
              <w:spacing w:before="5"/>
              <w:rPr>
                <w:sz w:val="24"/>
              </w:rPr>
            </w:pPr>
          </w:p>
          <w:p>
            <w:pPr>
              <w:pStyle w:val="TableParagraph"/>
              <w:spacing w:before="1"/>
              <w:ind w:left="316"/>
              <w:rPr>
                <w:b/>
                <w:sz w:val="21"/>
              </w:rPr>
            </w:pPr>
            <w:r>
              <w:rPr>
                <w:b/>
                <w:sz w:val="21"/>
              </w:rPr>
              <w:t>（三）发生特定轻度重疾后发生重大疾病额外给付的重大疾病保险金</w:t>
            </w:r>
          </w:p>
          <w:p>
            <w:pPr>
              <w:pStyle w:val="TableParagraph"/>
              <w:spacing w:line="273" w:lineRule="auto" w:before="37"/>
              <w:ind w:left="316" w:right="203"/>
              <w:jc w:val="both"/>
              <w:rPr>
                <w:sz w:val="21"/>
              </w:rPr>
            </w:pPr>
            <w:r>
              <w:rPr>
                <w:sz w:val="21"/>
              </w:rPr>
              <w:t>若被保险人发生过经医院确诊的、符合本主险合同约定的特定轻度重疾， 且满足本主险合同约定的特定轻度重疾保险金给付条件，被保险人经医院确诊初次发生本主险合同约定的重大疾病，我们按照如下约定额外给付重大疾病保险金：</w:t>
            </w:r>
          </w:p>
          <w:p>
            <w:pPr>
              <w:pStyle w:val="TableParagraph"/>
              <w:spacing w:line="273" w:lineRule="auto" w:before="7"/>
              <w:ind w:left="839" w:right="203" w:hanging="524"/>
              <w:rPr>
                <w:sz w:val="21"/>
              </w:rPr>
            </w:pPr>
            <w:r>
              <w:rPr>
                <w:spacing w:val="-4"/>
                <w:sz w:val="21"/>
              </w:rPr>
              <w:t>（1）</w:t>
            </w:r>
            <w:r>
              <w:rPr>
                <w:spacing w:val="-8"/>
                <w:sz w:val="21"/>
              </w:rPr>
              <w:t>被保险人经医院确诊初次发生重大疾病，且在 </w:t>
            </w:r>
            <w:r>
              <w:rPr>
                <w:spacing w:val="-3"/>
                <w:sz w:val="21"/>
              </w:rPr>
              <w:t>70</w:t>
            </w:r>
            <w:r>
              <w:rPr>
                <w:spacing w:val="-14"/>
                <w:sz w:val="21"/>
              </w:rPr>
              <w:t> 周岁前</w:t>
            </w:r>
            <w:r>
              <w:rPr>
                <w:spacing w:val="-5"/>
                <w:sz w:val="21"/>
              </w:rPr>
              <w:t>（</w:t>
            </w:r>
            <w:r>
              <w:rPr>
                <w:spacing w:val="-15"/>
                <w:sz w:val="21"/>
              </w:rPr>
              <w:t>不含 </w:t>
            </w:r>
            <w:r>
              <w:rPr>
                <w:sz w:val="21"/>
              </w:rPr>
              <w:t>70</w:t>
            </w:r>
            <w:r>
              <w:rPr>
                <w:spacing w:val="-22"/>
                <w:sz w:val="21"/>
              </w:rPr>
              <w:t> 周岁</w:t>
            </w:r>
            <w:r>
              <w:rPr>
                <w:spacing w:val="-15"/>
                <w:sz w:val="21"/>
              </w:rPr>
              <w:t>）</w:t>
            </w:r>
            <w:r>
              <w:rPr>
                <w:spacing w:val="-5"/>
                <w:sz w:val="21"/>
              </w:rPr>
              <w:t>发生过一次特定轻度重疾，我们按照本主险合同基本保险金额的</w:t>
            </w:r>
          </w:p>
          <w:p>
            <w:pPr>
              <w:pStyle w:val="TableParagraph"/>
              <w:spacing w:before="7"/>
              <w:ind w:left="840"/>
              <w:rPr>
                <w:sz w:val="21"/>
              </w:rPr>
            </w:pPr>
            <w:r>
              <w:rPr>
                <w:sz w:val="21"/>
              </w:rPr>
              <w:t>30%额外给付重大疾病保险金，本主险合同终止；</w:t>
            </w:r>
          </w:p>
          <w:p>
            <w:pPr>
              <w:pStyle w:val="TableParagraph"/>
              <w:spacing w:line="310" w:lineRule="atLeast" w:before="1"/>
              <w:ind w:left="840" w:right="203" w:hanging="524"/>
              <w:jc w:val="both"/>
              <w:rPr>
                <w:sz w:val="21"/>
              </w:rPr>
            </w:pPr>
            <w:r>
              <w:rPr>
                <w:spacing w:val="-4"/>
                <w:sz w:val="21"/>
              </w:rPr>
              <w:t>（2）</w:t>
            </w:r>
            <w:r>
              <w:rPr>
                <w:spacing w:val="-8"/>
                <w:sz w:val="21"/>
              </w:rPr>
              <w:t>被保险人经医院确诊初次发生重大疾病，且在 </w:t>
            </w:r>
            <w:r>
              <w:rPr>
                <w:spacing w:val="-3"/>
                <w:sz w:val="21"/>
              </w:rPr>
              <w:t>70</w:t>
            </w:r>
            <w:r>
              <w:rPr>
                <w:spacing w:val="-14"/>
                <w:sz w:val="21"/>
              </w:rPr>
              <w:t> 周岁前</w:t>
            </w:r>
            <w:r>
              <w:rPr>
                <w:spacing w:val="-5"/>
                <w:sz w:val="21"/>
              </w:rPr>
              <w:t>（</w:t>
            </w:r>
            <w:r>
              <w:rPr>
                <w:spacing w:val="-15"/>
                <w:sz w:val="21"/>
              </w:rPr>
              <w:t>不含 </w:t>
            </w:r>
            <w:r>
              <w:rPr>
                <w:sz w:val="21"/>
              </w:rPr>
              <w:t>70</w:t>
            </w:r>
            <w:r>
              <w:rPr>
                <w:spacing w:val="-22"/>
                <w:sz w:val="21"/>
              </w:rPr>
              <w:t> 周岁</w:t>
            </w:r>
            <w:r>
              <w:rPr>
                <w:spacing w:val="-15"/>
                <w:sz w:val="21"/>
              </w:rPr>
              <w:t>）</w:t>
            </w:r>
            <w:r>
              <w:rPr>
                <w:spacing w:val="-6"/>
                <w:sz w:val="21"/>
              </w:rPr>
              <w:t>发生过两次不同种特定轻度重疾，我们按照本主险合同基本保险</w:t>
            </w:r>
            <w:r>
              <w:rPr>
                <w:spacing w:val="-11"/>
                <w:sz w:val="21"/>
              </w:rPr>
              <w:t>金额的 </w:t>
            </w:r>
            <w:r>
              <w:rPr>
                <w:sz w:val="21"/>
              </w:rPr>
              <w:t>60%</w:t>
            </w:r>
            <w:r>
              <w:rPr>
                <w:spacing w:val="-5"/>
                <w:sz w:val="21"/>
              </w:rPr>
              <w:t>额外给付重大疾病保险金，本主险合同终止；</w:t>
            </w:r>
          </w:p>
        </w:tc>
      </w:tr>
    </w:tbl>
    <w:p>
      <w:pPr>
        <w:spacing w:after="0" w:line="310" w:lineRule="atLeast"/>
        <w:jc w:val="both"/>
        <w:rPr>
          <w:sz w:val="21"/>
        </w:rPr>
        <w:sectPr>
          <w:pgSz w:w="11910" w:h="16840"/>
          <w:pgMar w:top="1160" w:bottom="280" w:left="1460" w:right="700"/>
        </w:sectPr>
      </w:pPr>
    </w:p>
    <w:p>
      <w:pPr>
        <w:pStyle w:val="BodyText"/>
        <w:spacing w:line="273" w:lineRule="auto" w:before="19"/>
        <w:ind w:left="3692" w:right="110" w:hanging="524"/>
        <w:jc w:val="both"/>
      </w:pPr>
      <w:r>
        <w:rPr>
          <w:spacing w:val="-4"/>
        </w:rPr>
        <w:t>（3）</w:t>
      </w:r>
      <w:r>
        <w:rPr>
          <w:spacing w:val="-8"/>
        </w:rPr>
        <w:t>被保险人经医院确诊初次发生重大疾病，且在 </w:t>
      </w:r>
      <w:r>
        <w:rPr>
          <w:spacing w:val="-3"/>
        </w:rPr>
        <w:t>70</w:t>
      </w:r>
      <w:r>
        <w:rPr>
          <w:spacing w:val="-14"/>
        </w:rPr>
        <w:t> 周岁前</w:t>
      </w:r>
      <w:r>
        <w:rPr>
          <w:spacing w:val="-5"/>
        </w:rPr>
        <w:t>（</w:t>
      </w:r>
      <w:r>
        <w:rPr>
          <w:spacing w:val="-15"/>
        </w:rPr>
        <w:t>不含 </w:t>
      </w:r>
      <w:r>
        <w:rPr/>
        <w:t>70</w:t>
      </w:r>
      <w:r>
        <w:rPr>
          <w:spacing w:val="-22"/>
        </w:rPr>
        <w:t> 周岁</w:t>
      </w:r>
      <w:r>
        <w:rPr>
          <w:spacing w:val="-15"/>
        </w:rPr>
        <w:t>）</w:t>
      </w:r>
      <w:r>
        <w:rPr>
          <w:spacing w:val="-6"/>
        </w:rPr>
        <w:t>发生过三次不同种特定轻度重疾，我们按照本主险合同基本保险</w:t>
      </w:r>
      <w:r>
        <w:rPr>
          <w:spacing w:val="-11"/>
        </w:rPr>
        <w:t>金额的 </w:t>
      </w:r>
      <w:r>
        <w:rPr/>
        <w:t>90%</w:t>
      </w:r>
      <w:r>
        <w:rPr>
          <w:spacing w:val="-5"/>
        </w:rPr>
        <w:t>额外给付重大疾病保险金，本主险合同终止。</w:t>
      </w:r>
    </w:p>
    <w:p>
      <w:pPr>
        <w:pStyle w:val="BodyText"/>
        <w:spacing w:line="273" w:lineRule="auto" w:before="7"/>
        <w:ind w:left="3169" w:right="105"/>
        <w:jc w:val="both"/>
      </w:pPr>
      <w:r>
        <w:rPr/>
        <w:t>发生特定轻度重疾后发生重大疾病额外给付的重大疾病保险金，我们按照被保险人确诊初次发生本主险合同约定的重大疾病时满足的以上约定条件之一单独给付，不累计给付。</w:t>
      </w:r>
    </w:p>
    <w:p>
      <w:pPr>
        <w:pStyle w:val="BodyText"/>
        <w:spacing w:before="2"/>
        <w:rPr>
          <w:sz w:val="22"/>
        </w:rPr>
      </w:pPr>
    </w:p>
    <w:p>
      <w:pPr>
        <w:pStyle w:val="BodyText"/>
        <w:spacing w:line="273" w:lineRule="auto" w:before="1"/>
        <w:ind w:left="3170" w:right="2496" w:hanging="1"/>
      </w:pPr>
      <w:r>
        <w:rPr/>
        <w:t>我们给付重大疾病保险金后，本主险合同终止。重大疾病保险金给付以一次为限。</w:t>
      </w:r>
    </w:p>
    <w:p>
      <w:pPr>
        <w:pStyle w:val="BodyText"/>
        <w:spacing w:before="2"/>
        <w:rPr>
          <w:sz w:val="25"/>
        </w:rPr>
      </w:pPr>
    </w:p>
    <w:p>
      <w:pPr>
        <w:pStyle w:val="BodyText"/>
        <w:ind w:left="3169"/>
      </w:pPr>
      <w:r>
        <w:rPr/>
        <w:t>上述各项保险责任中所称“18 个月”、“24 个月”均指</w:t>
      </w:r>
      <w:r>
        <w:rPr>
          <w:rFonts w:ascii="黑体" w:hAnsi="黑体" w:eastAsia="黑体" w:hint="eastAsia"/>
          <w:b/>
        </w:rPr>
        <w:t>自然月 </w:t>
      </w:r>
      <w:hyperlink w:history="true" w:anchor="_bookmark7">
        <w:r>
          <w:rPr>
            <w:b/>
            <w:position w:val="11"/>
            <w:sz w:val="11"/>
          </w:rPr>
          <w:t>8</w:t>
        </w:r>
      </w:hyperlink>
      <w:r>
        <w:rPr/>
        <w:t>。</w:t>
      </w:r>
    </w:p>
    <w:p>
      <w:pPr>
        <w:pStyle w:val="BodyText"/>
        <w:spacing w:line="273" w:lineRule="auto" w:before="36"/>
        <w:ind w:left="3169" w:right="62"/>
      </w:pPr>
      <w:r>
        <w:rPr/>
        <w:t>若本主险合同生效当月实际剩余天数不满 1 个自然月，但达到如下运动标准，生效当月视为达标并计算在“18 个月”、“24 个月”之内：</w:t>
      </w:r>
    </w:p>
    <w:p>
      <w:pPr>
        <w:pStyle w:val="BodyText"/>
        <w:spacing w:line="273" w:lineRule="auto" w:before="7"/>
        <w:ind w:left="3692" w:right="115" w:hanging="524"/>
        <w:jc w:val="both"/>
      </w:pPr>
      <w:r>
        <w:rPr>
          <w:spacing w:val="-5"/>
        </w:rPr>
        <w:t>（1）</w:t>
      </w:r>
      <w:r>
        <w:rPr>
          <w:spacing w:val="-6"/>
        </w:rPr>
        <w:t>若自本主险合同生效次日起至生效当月最后一天止，实际天数大于等</w:t>
      </w:r>
      <w:r>
        <w:rPr>
          <w:spacing w:val="-28"/>
        </w:rPr>
        <w:t>于 </w:t>
      </w:r>
      <w:r>
        <w:rPr/>
        <w:t>15</w:t>
      </w:r>
      <w:r>
        <w:rPr>
          <w:spacing w:val="-14"/>
        </w:rPr>
        <w:t> 天，则至少有 </w:t>
      </w:r>
      <w:r>
        <w:rPr>
          <w:spacing w:val="-3"/>
        </w:rPr>
        <w:t>15</w:t>
      </w:r>
      <w:r>
        <w:rPr>
          <w:spacing w:val="-12"/>
        </w:rPr>
        <w:t> 天每天运动步数不少于 </w:t>
      </w:r>
      <w:r>
        <w:rPr/>
        <w:t>10000</w:t>
      </w:r>
      <w:r>
        <w:rPr>
          <w:spacing w:val="-18"/>
        </w:rPr>
        <w:t> 步；</w:t>
      </w:r>
    </w:p>
    <w:p>
      <w:pPr>
        <w:pStyle w:val="BodyText"/>
        <w:spacing w:before="7"/>
        <w:ind w:left="3169"/>
        <w:jc w:val="both"/>
      </w:pPr>
      <w:r>
        <w:rPr>
          <w:spacing w:val="-15"/>
        </w:rPr>
        <w:t>（2）</w:t>
      </w:r>
      <w:r>
        <w:rPr>
          <w:spacing w:val="-8"/>
        </w:rPr>
        <w:t>若自本主险合同生效次日起至生效当月最后一天止，实际天数小于 </w:t>
      </w:r>
      <w:r>
        <w:rPr/>
        <w:t>15</w:t>
      </w:r>
    </w:p>
    <w:p>
      <w:pPr>
        <w:pStyle w:val="BodyText"/>
        <w:spacing w:before="36"/>
        <w:ind w:left="3692"/>
      </w:pPr>
      <w:r>
        <w:rPr/>
        <w:t>天，则每天运动步数不少于 10000 步。</w:t>
      </w:r>
    </w:p>
    <w:p>
      <w:pPr>
        <w:pStyle w:val="BodyText"/>
        <w:spacing w:before="1"/>
        <w:rPr>
          <w:sz w:val="20"/>
        </w:rPr>
      </w:pPr>
    </w:p>
    <w:p>
      <w:pPr>
        <w:spacing w:after="0"/>
        <w:rPr>
          <w:sz w:val="20"/>
        </w:rPr>
        <w:sectPr>
          <w:pgSz w:w="11910" w:h="16840"/>
          <w:pgMar w:top="1080" w:bottom="280" w:left="920" w:right="900"/>
        </w:sectPr>
      </w:pPr>
    </w:p>
    <w:p>
      <w:pPr>
        <w:spacing w:line="232" w:lineRule="auto" w:before="31"/>
        <w:ind w:left="856" w:right="0" w:firstLine="0"/>
        <w:jc w:val="left"/>
        <w:rPr>
          <w:rFonts w:ascii="等线" w:eastAsia="等线" w:hint="eastAsia"/>
          <w:b/>
          <w:sz w:val="24"/>
        </w:rPr>
      </w:pPr>
      <w:r>
        <w:rPr>
          <w:rFonts w:ascii="等线" w:eastAsia="等线" w:hint="eastAsia"/>
          <w:b/>
          <w:sz w:val="24"/>
        </w:rPr>
        <w:t>我们所保障的特定轻度重疾</w:t>
      </w:r>
    </w:p>
    <w:p>
      <w:pPr>
        <w:pStyle w:val="BodyText"/>
        <w:spacing w:line="273" w:lineRule="auto" w:before="57"/>
        <w:ind w:left="152" w:right="115" w:hanging="1"/>
      </w:pPr>
      <w:r>
        <w:rPr/>
        <w:br w:type="column"/>
      </w:r>
      <w:r>
        <w:rPr>
          <w:spacing w:val="-6"/>
        </w:rPr>
        <w:t>我们提供保障的特定轻度重疾共有 </w:t>
      </w:r>
      <w:r>
        <w:rPr/>
        <w:t>30</w:t>
      </w:r>
      <w:r>
        <w:rPr>
          <w:spacing w:val="-7"/>
        </w:rPr>
        <w:t> 种，名称如下，具体释义见</w:t>
      </w:r>
      <w:r>
        <w:rPr/>
        <w:t>“7</w:t>
      </w:r>
      <w:r>
        <w:rPr>
          <w:spacing w:val="-13"/>
        </w:rPr>
        <w:t> 特定</w:t>
      </w:r>
      <w:r>
        <w:rPr>
          <w:spacing w:val="-21"/>
        </w:rPr>
        <w:t>轻度重疾释义”。</w:t>
      </w:r>
    </w:p>
    <w:p>
      <w:pPr>
        <w:spacing w:after="0" w:line="273" w:lineRule="auto"/>
        <w:sectPr>
          <w:type w:val="continuous"/>
          <w:pgSz w:w="11910" w:h="16840"/>
          <w:pgMar w:top="520" w:bottom="280" w:left="920" w:right="900"/>
          <w:cols w:num="2" w:equalWidth="0">
            <w:col w:w="2978" w:space="40"/>
            <w:col w:w="7072"/>
          </w:cols>
        </w:sectPr>
      </w:pPr>
    </w:p>
    <w:p>
      <w:pPr>
        <w:pStyle w:val="BodyText"/>
        <w:spacing w:before="2"/>
        <w:rPr>
          <w:sz w:val="14"/>
        </w:rPr>
      </w:pPr>
    </w:p>
    <w:p>
      <w:pPr>
        <w:pStyle w:val="BodyText"/>
        <w:ind w:left="3169"/>
        <w:rPr>
          <w:sz w:val="20"/>
        </w:rPr>
      </w:pPr>
      <w:r>
        <w:rPr>
          <w:sz w:val="20"/>
        </w:rPr>
        <w:pict>
          <v:group style="width:339.85pt;height:263.3pt;mso-position-horizontal-relative:char;mso-position-vertical-relative:line" coordorigin="0,0" coordsize="6797,5266">
            <v:line style="position:absolute" from="10,5" to="6787,5" stroked="true" strokeweight=".48pt" strokecolor="#000000">
              <v:stroke dashstyle="solid"/>
            </v:line>
            <v:line style="position:absolute" from="10,288" to="2467,288" stroked="true" strokeweight=".481pt" strokecolor="#000000">
              <v:stroke dashstyle="solid"/>
            </v:line>
            <v:rect style="position:absolute;left:2467;top:283;width:10;height:10" filled="true" fillcolor="#000000" stroked="false">
              <v:fill type="solid"/>
            </v:rect>
            <v:line style="position:absolute" from="2477,288" to="4862,288" stroked="true" strokeweight=".481pt" strokecolor="#000000">
              <v:stroke dashstyle="solid"/>
            </v:line>
            <v:rect style="position:absolute;left:4862;top:283;width:10;height:10" filled="true" fillcolor="#000000" stroked="false">
              <v:fill type="solid"/>
            </v:rect>
            <v:line style="position:absolute" from="4872,288" to="6787,288" stroked="true" strokeweight=".481pt" strokecolor="#000000">
              <v:stroke dashstyle="solid"/>
            </v:line>
            <v:line style="position:absolute" from="10,571" to="2467,571" stroked="true" strokeweight=".48pt" strokecolor="#000000">
              <v:stroke dashstyle="solid"/>
            </v:line>
            <v:rect style="position:absolute;left:2467;top:566;width:10;height:10" filled="true" fillcolor="#000000" stroked="false">
              <v:fill type="solid"/>
            </v:rect>
            <v:line style="position:absolute" from="2477,571" to="4862,571" stroked="true" strokeweight=".48pt" strokecolor="#000000">
              <v:stroke dashstyle="solid"/>
            </v:line>
            <v:rect style="position:absolute;left:4862;top:566;width:10;height:10" filled="true" fillcolor="#000000" stroked="false">
              <v:fill type="solid"/>
            </v:rect>
            <v:line style="position:absolute" from="4872,571" to="6787,571" stroked="true" strokeweight=".48pt" strokecolor="#000000">
              <v:stroke dashstyle="solid"/>
            </v:line>
            <v:line style="position:absolute" from="10,854" to="2467,854" stroked="true" strokeweight=".48pt" strokecolor="#000000">
              <v:stroke dashstyle="solid"/>
            </v:line>
            <v:rect style="position:absolute;left:2467;top:849;width:10;height:10" filled="true" fillcolor="#000000" stroked="false">
              <v:fill type="solid"/>
            </v:rect>
            <v:line style="position:absolute" from="2477,854" to="6787,854" stroked="true" strokeweight=".48pt" strokecolor="#000000">
              <v:stroke dashstyle="solid"/>
            </v:line>
            <v:line style="position:absolute" from="10,1954" to="2467,1954" stroked="true" strokeweight=".48pt" strokecolor="#000000">
              <v:stroke dashstyle="solid"/>
            </v:line>
            <v:rect style="position:absolute;left:2467;top:1948;width:10;height:10" filled="true" fillcolor="#000000" stroked="false">
              <v:fill type="solid"/>
            </v:rect>
            <v:line style="position:absolute" from="2477,1954" to="6787,1954" stroked="true" strokeweight=".48pt" strokecolor="#000000">
              <v:stroke dashstyle="solid"/>
            </v:line>
            <v:line style="position:absolute" from="10,2237" to="2467,2237" stroked="true" strokeweight=".48pt" strokecolor="#000000">
              <v:stroke dashstyle="solid"/>
            </v:line>
            <v:rect style="position:absolute;left:2467;top:2232;width:10;height:10" filled="true" fillcolor="#000000" stroked="false">
              <v:fill type="solid"/>
            </v:rect>
            <v:line style="position:absolute" from="2477,2237" to="6787,2237" stroked="true" strokeweight=".48pt" strokecolor="#000000">
              <v:stroke dashstyle="solid"/>
            </v:line>
            <v:line style="position:absolute" from="10,3878" to="2467,3878" stroked="true" strokeweight=".48pt" strokecolor="#000000">
              <v:stroke dashstyle="solid"/>
            </v:line>
            <v:rect style="position:absolute;left:2467;top:3873;width:10;height:10" filled="true" fillcolor="#000000" stroked="false">
              <v:fill type="solid"/>
            </v:rect>
            <v:line style="position:absolute" from="2477,3878" to="6787,3878" stroked="true" strokeweight=".48pt" strokecolor="#000000">
              <v:stroke dashstyle="solid"/>
            </v:line>
            <v:line style="position:absolute" from="10,4162" to="2467,4162" stroked="true" strokeweight=".481pt" strokecolor="#000000">
              <v:stroke dashstyle="solid"/>
            </v:line>
            <v:rect style="position:absolute;left:2467;top:4156;width:10;height:10" filled="true" fillcolor="#000000" stroked="false">
              <v:fill type="solid"/>
            </v:rect>
            <v:line style="position:absolute" from="2477,4162" to="6787,4162" stroked="true" strokeweight=".481pt" strokecolor="#000000">
              <v:stroke dashstyle="solid"/>
            </v:line>
            <v:line style="position:absolute" from="5,0" to="5,5266" stroked="true" strokeweight=".48pt" strokecolor="#000000">
              <v:stroke dashstyle="solid"/>
            </v:line>
            <v:line style="position:absolute" from="10,5261" to="2467,5261" stroked="true" strokeweight=".48pt" strokecolor="#000000">
              <v:stroke dashstyle="solid"/>
            </v:line>
            <v:rect style="position:absolute;left:2452;top:5256;width:10;height:10" filled="true" fillcolor="#000000" stroked="false">
              <v:fill type="solid"/>
            </v:rect>
            <v:line style="position:absolute" from="2462,5261" to="6787,5261" stroked="true" strokeweight=".48pt" strokecolor="#000000">
              <v:stroke dashstyle="solid"/>
            </v:line>
            <v:line style="position:absolute" from="6792,0" to="6792,5266" stroked="true" strokeweight=".48pt" strokecolor="#000000">
              <v:stroke dashstyle="solid"/>
            </v:line>
            <v:shape style="position:absolute;left:115;top:34;width:3433;height:495" type="#_x0000_t202" filled="false" stroked="false">
              <v:textbox inset="0,0,0,0">
                <w:txbxContent>
                  <w:p>
                    <w:pPr>
                      <w:spacing w:line="211" w:lineRule="exact" w:before="0"/>
                      <w:ind w:left="0" w:right="0" w:firstLine="0"/>
                      <w:jc w:val="left"/>
                      <w:rPr>
                        <w:b/>
                        <w:sz w:val="21"/>
                      </w:rPr>
                    </w:pPr>
                    <w:r>
                      <w:rPr>
                        <w:b/>
                        <w:sz w:val="21"/>
                      </w:rPr>
                      <w:t>第 1 类：与恶性肿瘤相关的疾病</w:t>
                    </w:r>
                  </w:p>
                  <w:p>
                    <w:pPr>
                      <w:tabs>
                        <w:tab w:pos="2462" w:val="left" w:leader="none"/>
                      </w:tabs>
                      <w:spacing w:before="8"/>
                      <w:ind w:left="0" w:right="0" w:firstLine="0"/>
                      <w:jc w:val="left"/>
                      <w:rPr>
                        <w:sz w:val="21"/>
                      </w:rPr>
                    </w:pPr>
                    <w:r>
                      <w:rPr>
                        <w:sz w:val="21"/>
                      </w:rPr>
                      <w:t>1、早期恶</w:t>
                    </w:r>
                    <w:r>
                      <w:rPr>
                        <w:spacing w:val="-5"/>
                        <w:sz w:val="21"/>
                      </w:rPr>
                      <w:t>性</w:t>
                    </w:r>
                    <w:r>
                      <w:rPr>
                        <w:sz w:val="21"/>
                      </w:rPr>
                      <w:t>病变</w:t>
                      <w:tab/>
                      <w:t>2、原位癌</w:t>
                    </w:r>
                  </w:p>
                </w:txbxContent>
              </v:textbox>
              <w10:wrap type="none"/>
            </v:shape>
            <v:shape style="position:absolute;left:4973;top:317;width:971;height:212" type="#_x0000_t202" filled="false" stroked="false">
              <v:textbox inset="0,0,0,0">
                <w:txbxContent>
                  <w:p>
                    <w:pPr>
                      <w:spacing w:line="211" w:lineRule="exact" w:before="0"/>
                      <w:ind w:left="0" w:right="0" w:firstLine="0"/>
                      <w:jc w:val="left"/>
                      <w:rPr>
                        <w:sz w:val="21"/>
                      </w:rPr>
                    </w:pPr>
                    <w:r>
                      <w:rPr>
                        <w:sz w:val="21"/>
                      </w:rPr>
                      <w:t>3、皮肤癌</w:t>
                    </w:r>
                  </w:p>
                </w:txbxContent>
              </v:textbox>
              <w10:wrap type="none"/>
            </v:shape>
            <v:shape style="position:absolute;left:115;top:600;width:6597;height:4618" type="#_x0000_t202" filled="false" stroked="false">
              <v:textbox inset="0,0,0,0">
                <w:txbxContent>
                  <w:p>
                    <w:pPr>
                      <w:spacing w:line="211" w:lineRule="exact" w:before="0"/>
                      <w:ind w:left="0" w:right="0" w:firstLine="0"/>
                      <w:jc w:val="left"/>
                      <w:rPr>
                        <w:b/>
                        <w:sz w:val="21"/>
                      </w:rPr>
                    </w:pPr>
                    <w:r>
                      <w:rPr>
                        <w:b/>
                        <w:sz w:val="21"/>
                      </w:rPr>
                      <w:t>第 2 类：与心脏或脑血管相关的疾病</w:t>
                    </w:r>
                  </w:p>
                  <w:p>
                    <w:pPr>
                      <w:tabs>
                        <w:tab w:pos="2462" w:val="left" w:leader="none"/>
                      </w:tabs>
                      <w:spacing w:line="274" w:lineRule="exact" w:before="8"/>
                      <w:ind w:left="0" w:right="0" w:firstLine="0"/>
                      <w:jc w:val="left"/>
                      <w:rPr>
                        <w:sz w:val="21"/>
                      </w:rPr>
                    </w:pPr>
                    <w:r>
                      <w:rPr>
                        <w:sz w:val="21"/>
                      </w:rPr>
                      <w:t>4、心脏瓣</w:t>
                    </w:r>
                    <w:r>
                      <w:rPr>
                        <w:spacing w:val="-5"/>
                        <w:sz w:val="21"/>
                      </w:rPr>
                      <w:t>膜</w:t>
                    </w:r>
                    <w:r>
                      <w:rPr>
                        <w:sz w:val="21"/>
                      </w:rPr>
                      <w:t>介入手术</w:t>
                      <w:tab/>
                      <w:t>5、主动脉</w:t>
                    </w:r>
                    <w:r>
                      <w:rPr>
                        <w:spacing w:val="-5"/>
                        <w:sz w:val="21"/>
                      </w:rPr>
                      <w:t>内</w:t>
                    </w:r>
                    <w:r>
                      <w:rPr>
                        <w:sz w:val="21"/>
                      </w:rPr>
                      <w:t>手术</w:t>
                    </w:r>
                  </w:p>
                  <w:p>
                    <w:pPr>
                      <w:tabs>
                        <w:tab w:pos="2462" w:val="left" w:leader="none"/>
                      </w:tabs>
                      <w:spacing w:line="271" w:lineRule="exact" w:before="0"/>
                      <w:ind w:left="0" w:right="0" w:firstLine="0"/>
                      <w:jc w:val="left"/>
                      <w:rPr>
                        <w:sz w:val="21"/>
                      </w:rPr>
                    </w:pPr>
                    <w:r>
                      <w:rPr>
                        <w:sz w:val="21"/>
                      </w:rPr>
                      <w:t>6、心包膜</w:t>
                    </w:r>
                    <w:r>
                      <w:rPr>
                        <w:spacing w:val="-5"/>
                        <w:sz w:val="21"/>
                      </w:rPr>
                      <w:t>切</w:t>
                    </w:r>
                    <w:r>
                      <w:rPr>
                        <w:sz w:val="21"/>
                      </w:rPr>
                      <w:t>除术</w:t>
                      <w:tab/>
                      <w:t>7、颈动脉</w:t>
                    </w:r>
                    <w:r>
                      <w:rPr>
                        <w:spacing w:val="-5"/>
                        <w:sz w:val="21"/>
                      </w:rPr>
                      <w:t>血</w:t>
                    </w:r>
                    <w:r>
                      <w:rPr>
                        <w:sz w:val="21"/>
                      </w:rPr>
                      <w:t>管成形</w:t>
                    </w:r>
                    <w:r>
                      <w:rPr>
                        <w:spacing w:val="-5"/>
                        <w:sz w:val="21"/>
                      </w:rPr>
                      <w:t>术</w:t>
                    </w:r>
                    <w:r>
                      <w:rPr>
                        <w:sz w:val="21"/>
                      </w:rPr>
                      <w:t>或内膜</w:t>
                    </w:r>
                    <w:r>
                      <w:rPr>
                        <w:spacing w:val="-5"/>
                        <w:sz w:val="21"/>
                      </w:rPr>
                      <w:t>切</w:t>
                    </w:r>
                    <w:r>
                      <w:rPr>
                        <w:sz w:val="21"/>
                      </w:rPr>
                      <w:t>除术</w:t>
                    </w:r>
                  </w:p>
                  <w:p>
                    <w:pPr>
                      <w:tabs>
                        <w:tab w:pos="2462" w:val="left" w:leader="none"/>
                      </w:tabs>
                      <w:spacing w:line="271" w:lineRule="exact" w:before="0"/>
                      <w:ind w:left="0" w:right="0" w:firstLine="0"/>
                      <w:jc w:val="left"/>
                      <w:rPr>
                        <w:sz w:val="21"/>
                      </w:rPr>
                    </w:pPr>
                    <w:r>
                      <w:rPr>
                        <w:sz w:val="21"/>
                      </w:rPr>
                      <w:t>8、早期原</w:t>
                    </w:r>
                    <w:r>
                      <w:rPr>
                        <w:spacing w:val="-5"/>
                        <w:sz w:val="21"/>
                      </w:rPr>
                      <w:t>发</w:t>
                    </w:r>
                    <w:r>
                      <w:rPr>
                        <w:sz w:val="21"/>
                      </w:rPr>
                      <w:t>性心肌病</w:t>
                      <w:tab/>
                      <w:t>9、心脏起</w:t>
                    </w:r>
                    <w:r>
                      <w:rPr>
                        <w:spacing w:val="-5"/>
                        <w:sz w:val="21"/>
                      </w:rPr>
                      <w:t>搏</w:t>
                    </w:r>
                    <w:r>
                      <w:rPr>
                        <w:sz w:val="21"/>
                      </w:rPr>
                      <w:t>器植入</w:t>
                    </w:r>
                  </w:p>
                  <w:p>
                    <w:pPr>
                      <w:tabs>
                        <w:tab w:pos="2462" w:val="left" w:leader="none"/>
                      </w:tabs>
                      <w:spacing w:line="247" w:lineRule="auto" w:before="0"/>
                      <w:ind w:left="0" w:right="1818" w:firstLine="0"/>
                      <w:jc w:val="left"/>
                      <w:rPr>
                        <w:b/>
                        <w:sz w:val="21"/>
                      </w:rPr>
                    </w:pPr>
                    <w:r>
                      <w:rPr>
                        <w:sz w:val="21"/>
                      </w:rPr>
                      <w:t>10、原发</w:t>
                    </w:r>
                    <w:r>
                      <w:rPr>
                        <w:spacing w:val="-5"/>
                        <w:sz w:val="21"/>
                      </w:rPr>
                      <w:t>性</w:t>
                    </w:r>
                    <w:r>
                      <w:rPr>
                        <w:sz w:val="21"/>
                      </w:rPr>
                      <w:t>肺动脉</w:t>
                    </w:r>
                    <w:r>
                      <w:rPr>
                        <w:spacing w:val="-5"/>
                        <w:sz w:val="21"/>
                      </w:rPr>
                      <w:t>高</w:t>
                    </w:r>
                    <w:r>
                      <w:rPr>
                        <w:sz w:val="21"/>
                      </w:rPr>
                      <w:t>压</w:t>
                      <w:tab/>
                      <w:t>11、腔静</w:t>
                    </w:r>
                    <w:r>
                      <w:rPr>
                        <w:spacing w:val="-5"/>
                        <w:sz w:val="21"/>
                      </w:rPr>
                      <w:t>脉</w:t>
                    </w:r>
                    <w:r>
                      <w:rPr>
                        <w:sz w:val="21"/>
                      </w:rPr>
                      <w:t>过滤器</w:t>
                    </w:r>
                    <w:r>
                      <w:rPr>
                        <w:spacing w:val="-5"/>
                        <w:sz w:val="21"/>
                      </w:rPr>
                      <w:t>植</w:t>
                    </w:r>
                    <w:r>
                      <w:rPr>
                        <w:sz w:val="21"/>
                      </w:rPr>
                      <w:t>入术 </w:t>
                    </w:r>
                    <w:r>
                      <w:rPr>
                        <w:b/>
                        <w:sz w:val="21"/>
                      </w:rPr>
                      <w:t>第</w:t>
                    </w:r>
                    <w:r>
                      <w:rPr>
                        <w:b/>
                        <w:spacing w:val="-51"/>
                        <w:sz w:val="21"/>
                      </w:rPr>
                      <w:t> </w:t>
                    </w:r>
                    <w:r>
                      <w:rPr>
                        <w:b/>
                        <w:sz w:val="21"/>
                      </w:rPr>
                      <w:t>3</w:t>
                    </w:r>
                    <w:r>
                      <w:rPr>
                        <w:b/>
                        <w:spacing w:val="-51"/>
                        <w:sz w:val="21"/>
                      </w:rPr>
                      <w:t> </w:t>
                    </w:r>
                    <w:r>
                      <w:rPr>
                        <w:b/>
                        <w:sz w:val="21"/>
                      </w:rPr>
                      <w:t>类：与器官功能严重受损相关的疾病</w:t>
                    </w:r>
                  </w:p>
                  <w:p>
                    <w:pPr>
                      <w:tabs>
                        <w:tab w:pos="2462" w:val="left" w:leader="none"/>
                      </w:tabs>
                      <w:spacing w:line="272" w:lineRule="exact" w:before="3"/>
                      <w:ind w:left="0" w:right="0" w:firstLine="0"/>
                      <w:jc w:val="left"/>
                      <w:rPr>
                        <w:sz w:val="21"/>
                      </w:rPr>
                    </w:pPr>
                    <w:r>
                      <w:rPr>
                        <w:sz w:val="21"/>
                      </w:rPr>
                      <w:t>12、听力</w:t>
                    </w:r>
                    <w:r>
                      <w:rPr>
                        <w:spacing w:val="-5"/>
                        <w:sz w:val="21"/>
                      </w:rPr>
                      <w:t>严</w:t>
                    </w:r>
                    <w:r>
                      <w:rPr>
                        <w:sz w:val="21"/>
                      </w:rPr>
                      <w:t>重受损</w:t>
                      <w:tab/>
                      <w:t>13、单个</w:t>
                    </w:r>
                    <w:r>
                      <w:rPr>
                        <w:spacing w:val="-5"/>
                        <w:sz w:val="21"/>
                      </w:rPr>
                      <w:t>肢</w:t>
                    </w:r>
                    <w:r>
                      <w:rPr>
                        <w:sz w:val="21"/>
                      </w:rPr>
                      <w:t>体缺失</w:t>
                    </w:r>
                  </w:p>
                  <w:p>
                    <w:pPr>
                      <w:tabs>
                        <w:tab w:pos="2462" w:val="left" w:leader="none"/>
                      </w:tabs>
                      <w:spacing w:line="271" w:lineRule="exact" w:before="0"/>
                      <w:ind w:left="0" w:right="0" w:firstLine="0"/>
                      <w:jc w:val="left"/>
                      <w:rPr>
                        <w:sz w:val="21"/>
                      </w:rPr>
                    </w:pPr>
                    <w:r>
                      <w:rPr>
                        <w:sz w:val="21"/>
                      </w:rPr>
                      <w:t>14、肝叶</w:t>
                    </w:r>
                    <w:r>
                      <w:rPr>
                        <w:spacing w:val="-5"/>
                        <w:sz w:val="21"/>
                      </w:rPr>
                      <w:t>切</w:t>
                    </w:r>
                    <w:r>
                      <w:rPr>
                        <w:sz w:val="21"/>
                      </w:rPr>
                      <w:t>除</w:t>
                      <w:tab/>
                      <w:t>15、非严</w:t>
                    </w:r>
                    <w:r>
                      <w:rPr>
                        <w:spacing w:val="-5"/>
                        <w:sz w:val="21"/>
                      </w:rPr>
                      <w:t>重</w:t>
                    </w:r>
                    <w:r>
                      <w:rPr>
                        <w:sz w:val="21"/>
                      </w:rPr>
                      <w:t>型再生</w:t>
                    </w:r>
                    <w:r>
                      <w:rPr>
                        <w:spacing w:val="-5"/>
                        <w:sz w:val="21"/>
                      </w:rPr>
                      <w:t>障</w:t>
                    </w:r>
                    <w:r>
                      <w:rPr>
                        <w:sz w:val="21"/>
                      </w:rPr>
                      <w:t>碍性贫血</w:t>
                    </w:r>
                  </w:p>
                  <w:p>
                    <w:pPr>
                      <w:tabs>
                        <w:tab w:pos="2462" w:val="left" w:leader="none"/>
                      </w:tabs>
                      <w:spacing w:line="274" w:lineRule="exact" w:before="0"/>
                      <w:ind w:left="0" w:right="0" w:firstLine="0"/>
                      <w:jc w:val="left"/>
                      <w:rPr>
                        <w:sz w:val="21"/>
                      </w:rPr>
                    </w:pPr>
                    <w:r>
                      <w:rPr>
                        <w:sz w:val="21"/>
                      </w:rPr>
                      <w:t>16、视力</w:t>
                    </w:r>
                    <w:r>
                      <w:rPr>
                        <w:spacing w:val="-5"/>
                        <w:sz w:val="21"/>
                      </w:rPr>
                      <w:t>严</w:t>
                    </w:r>
                    <w:r>
                      <w:rPr>
                        <w:sz w:val="21"/>
                      </w:rPr>
                      <w:t>重受损</w:t>
                      <w:tab/>
                      <w:t>17、较小</w:t>
                    </w:r>
                    <w:r>
                      <w:rPr>
                        <w:spacing w:val="-5"/>
                        <w:sz w:val="21"/>
                      </w:rPr>
                      <w:t>面</w:t>
                    </w:r>
                    <w:r>
                      <w:rPr>
                        <w:sz w:val="21"/>
                      </w:rPr>
                      <w:t>积</w:t>
                    </w:r>
                    <w:r>
                      <w:rPr>
                        <w:spacing w:val="-47"/>
                        <w:sz w:val="21"/>
                      </w:rPr>
                      <w:t> </w:t>
                    </w:r>
                    <w:r>
                      <w:rPr>
                        <w:sz w:val="21"/>
                      </w:rPr>
                      <w:t>III</w:t>
                    </w:r>
                    <w:r>
                      <w:rPr>
                        <w:spacing w:val="-47"/>
                        <w:sz w:val="21"/>
                      </w:rPr>
                      <w:t> </w:t>
                    </w:r>
                    <w:r>
                      <w:rPr>
                        <w:spacing w:val="-5"/>
                        <w:sz w:val="21"/>
                      </w:rPr>
                      <w:t>度</w:t>
                    </w:r>
                    <w:r>
                      <w:rPr>
                        <w:sz w:val="21"/>
                      </w:rPr>
                      <w:t>烧伤</w:t>
                    </w:r>
                  </w:p>
                  <w:p>
                    <w:pPr>
                      <w:tabs>
                        <w:tab w:pos="2462" w:val="left" w:leader="none"/>
                      </w:tabs>
                      <w:spacing w:line="274" w:lineRule="exact" w:before="0"/>
                      <w:ind w:left="0" w:right="0" w:firstLine="0"/>
                      <w:jc w:val="left"/>
                      <w:rPr>
                        <w:sz w:val="21"/>
                      </w:rPr>
                    </w:pPr>
                    <w:r>
                      <w:rPr>
                        <w:sz w:val="21"/>
                      </w:rPr>
                      <w:t>18、单侧</w:t>
                    </w:r>
                    <w:r>
                      <w:rPr>
                        <w:spacing w:val="-5"/>
                        <w:sz w:val="21"/>
                      </w:rPr>
                      <w:t>肺</w:t>
                    </w:r>
                    <w:r>
                      <w:rPr>
                        <w:sz w:val="21"/>
                      </w:rPr>
                      <w:t>脏切除</w:t>
                      <w:tab/>
                      <w:t>19、单侧</w:t>
                    </w:r>
                    <w:r>
                      <w:rPr>
                        <w:spacing w:val="-5"/>
                        <w:sz w:val="21"/>
                      </w:rPr>
                      <w:t>肾</w:t>
                    </w:r>
                    <w:r>
                      <w:rPr>
                        <w:sz w:val="21"/>
                      </w:rPr>
                      <w:t>脏切除</w:t>
                    </w:r>
                  </w:p>
                  <w:p>
                    <w:pPr>
                      <w:tabs>
                        <w:tab w:pos="2462" w:val="left" w:leader="none"/>
                      </w:tabs>
                      <w:spacing w:line="271" w:lineRule="exact" w:before="0"/>
                      <w:ind w:left="0" w:right="0" w:firstLine="0"/>
                      <w:jc w:val="left"/>
                      <w:rPr>
                        <w:sz w:val="21"/>
                      </w:rPr>
                    </w:pPr>
                    <w:r>
                      <w:rPr>
                        <w:sz w:val="21"/>
                      </w:rPr>
                      <w:t>20、早期</w:t>
                    </w:r>
                    <w:r>
                      <w:rPr>
                        <w:spacing w:val="-5"/>
                        <w:sz w:val="21"/>
                      </w:rPr>
                      <w:t>肝</w:t>
                    </w:r>
                    <w:r>
                      <w:rPr>
                        <w:sz w:val="21"/>
                      </w:rPr>
                      <w:t>硬化</w:t>
                      <w:tab/>
                      <w:t>21、系统</w:t>
                    </w:r>
                    <w:r>
                      <w:rPr>
                        <w:spacing w:val="-5"/>
                        <w:sz w:val="21"/>
                      </w:rPr>
                      <w:t>性</w:t>
                    </w:r>
                    <w:r>
                      <w:rPr>
                        <w:sz w:val="21"/>
                      </w:rPr>
                      <w:t>红斑狼疮</w:t>
                    </w:r>
                  </w:p>
                  <w:p>
                    <w:pPr>
                      <w:spacing w:line="272" w:lineRule="exact" w:before="0"/>
                      <w:ind w:left="0" w:right="0" w:firstLine="0"/>
                      <w:jc w:val="left"/>
                      <w:rPr>
                        <w:sz w:val="21"/>
                      </w:rPr>
                    </w:pPr>
                    <w:r>
                      <w:rPr>
                        <w:sz w:val="21"/>
                      </w:rPr>
                      <w:t>22、单目失明</w:t>
                    </w:r>
                  </w:p>
                  <w:p>
                    <w:pPr>
                      <w:spacing w:before="8"/>
                      <w:ind w:left="0" w:right="0" w:firstLine="0"/>
                      <w:jc w:val="left"/>
                      <w:rPr>
                        <w:b/>
                        <w:sz w:val="21"/>
                      </w:rPr>
                    </w:pPr>
                    <w:r>
                      <w:rPr>
                        <w:b/>
                        <w:sz w:val="21"/>
                      </w:rPr>
                      <w:t>第 4 类：与神经系统相关的疾病</w:t>
                    </w:r>
                  </w:p>
                  <w:p>
                    <w:pPr>
                      <w:tabs>
                        <w:tab w:pos="2462" w:val="left" w:leader="none"/>
                      </w:tabs>
                      <w:spacing w:line="274" w:lineRule="exact" w:before="7"/>
                      <w:ind w:left="0" w:right="0" w:firstLine="0"/>
                      <w:jc w:val="left"/>
                      <w:rPr>
                        <w:sz w:val="21"/>
                      </w:rPr>
                    </w:pPr>
                    <w:r>
                      <w:rPr>
                        <w:sz w:val="21"/>
                      </w:rPr>
                      <w:t>23、轻度</w:t>
                    </w:r>
                    <w:r>
                      <w:rPr>
                        <w:spacing w:val="-5"/>
                        <w:sz w:val="21"/>
                      </w:rPr>
                      <w:t>脑</w:t>
                    </w:r>
                    <w:r>
                      <w:rPr>
                        <w:sz w:val="21"/>
                      </w:rPr>
                      <w:t>损伤</w:t>
                      <w:tab/>
                      <w:t>24</w:t>
                    </w:r>
                    <w:r>
                      <w:rPr>
                        <w:spacing w:val="-29"/>
                        <w:sz w:val="21"/>
                      </w:rPr>
                      <w:t>、</w:t>
                    </w:r>
                    <w:r>
                      <w:rPr>
                        <w:sz w:val="21"/>
                      </w:rPr>
                      <w:t>脑</w:t>
                    </w:r>
                    <w:r>
                      <w:rPr>
                        <w:spacing w:val="-5"/>
                        <w:sz w:val="21"/>
                      </w:rPr>
                      <w:t>垂</w:t>
                    </w:r>
                    <w:r>
                      <w:rPr>
                        <w:sz w:val="21"/>
                      </w:rPr>
                      <w:t>体瘤</w:t>
                    </w:r>
                    <w:r>
                      <w:rPr>
                        <w:spacing w:val="-34"/>
                        <w:sz w:val="21"/>
                      </w:rPr>
                      <w:t>、</w:t>
                    </w:r>
                    <w:r>
                      <w:rPr>
                        <w:sz w:val="21"/>
                      </w:rPr>
                      <w:t>脑囊</w:t>
                    </w:r>
                    <w:r>
                      <w:rPr>
                        <w:spacing w:val="-5"/>
                        <w:sz w:val="21"/>
                      </w:rPr>
                      <w:t>肿</w:t>
                    </w:r>
                    <w:r>
                      <w:rPr>
                        <w:spacing w:val="-29"/>
                        <w:sz w:val="21"/>
                      </w:rPr>
                      <w:t>、</w:t>
                    </w:r>
                    <w:r>
                      <w:rPr>
                        <w:sz w:val="21"/>
                      </w:rPr>
                      <w:t>脑</w:t>
                    </w:r>
                    <w:r>
                      <w:rPr>
                        <w:spacing w:val="-5"/>
                        <w:sz w:val="21"/>
                      </w:rPr>
                      <w:t>动</w:t>
                    </w:r>
                    <w:r>
                      <w:rPr>
                        <w:sz w:val="21"/>
                      </w:rPr>
                      <w:t>脉瘤及</w:t>
                    </w:r>
                    <w:r>
                      <w:rPr>
                        <w:spacing w:val="-5"/>
                        <w:sz w:val="21"/>
                      </w:rPr>
                      <w:t>脑</w:t>
                    </w:r>
                    <w:r>
                      <w:rPr>
                        <w:sz w:val="21"/>
                      </w:rPr>
                      <w:t>血管瘤</w:t>
                    </w:r>
                  </w:p>
                  <w:p>
                    <w:pPr>
                      <w:tabs>
                        <w:tab w:pos="2462" w:val="left" w:leader="none"/>
                      </w:tabs>
                      <w:spacing w:line="274" w:lineRule="exact" w:before="0"/>
                      <w:ind w:left="0" w:right="0" w:firstLine="0"/>
                      <w:jc w:val="left"/>
                      <w:rPr>
                        <w:sz w:val="21"/>
                      </w:rPr>
                    </w:pPr>
                    <w:r>
                      <w:rPr>
                        <w:sz w:val="21"/>
                      </w:rPr>
                      <w:t>25、轻度</w:t>
                    </w:r>
                    <w:r>
                      <w:rPr>
                        <w:spacing w:val="-5"/>
                        <w:sz w:val="21"/>
                      </w:rPr>
                      <w:t>颅</w:t>
                    </w:r>
                    <w:r>
                      <w:rPr>
                        <w:sz w:val="21"/>
                      </w:rPr>
                      <w:t>脑手术</w:t>
                      <w:tab/>
                      <w:t>26、中度</w:t>
                    </w:r>
                    <w:r>
                      <w:rPr>
                        <w:spacing w:val="-5"/>
                        <w:sz w:val="21"/>
                      </w:rPr>
                      <w:t>瘫</w:t>
                    </w:r>
                    <w:r>
                      <w:rPr>
                        <w:sz w:val="21"/>
                      </w:rPr>
                      <w:t>痪</w:t>
                    </w:r>
                  </w:p>
                  <w:p>
                    <w:pPr>
                      <w:tabs>
                        <w:tab w:pos="2462" w:val="left" w:leader="none"/>
                      </w:tabs>
                      <w:spacing w:line="271" w:lineRule="exact" w:before="0"/>
                      <w:ind w:left="0" w:right="0" w:firstLine="0"/>
                      <w:jc w:val="left"/>
                      <w:rPr>
                        <w:sz w:val="21"/>
                      </w:rPr>
                    </w:pPr>
                    <w:r>
                      <w:rPr>
                        <w:sz w:val="21"/>
                      </w:rPr>
                      <w:t>27、早期</w:t>
                    </w:r>
                    <w:r>
                      <w:rPr>
                        <w:spacing w:val="-5"/>
                        <w:sz w:val="21"/>
                      </w:rPr>
                      <w:t>运</w:t>
                    </w:r>
                    <w:r>
                      <w:rPr>
                        <w:sz w:val="21"/>
                      </w:rPr>
                      <w:t>动神经</w:t>
                    </w:r>
                    <w:r>
                      <w:rPr>
                        <w:spacing w:val="-5"/>
                        <w:sz w:val="21"/>
                      </w:rPr>
                      <w:t>元</w:t>
                    </w:r>
                    <w:r>
                      <w:rPr>
                        <w:sz w:val="21"/>
                      </w:rPr>
                      <w:t>病</w:t>
                      <w:tab/>
                      <w:t>28、中度</w:t>
                    </w:r>
                    <w:r>
                      <w:rPr>
                        <w:spacing w:val="-5"/>
                        <w:sz w:val="21"/>
                      </w:rPr>
                      <w:t>昏</w:t>
                    </w:r>
                    <w:r>
                      <w:rPr>
                        <w:sz w:val="21"/>
                      </w:rPr>
                      <w:t>迷</w:t>
                    </w:r>
                  </w:p>
                  <w:p>
                    <w:pPr>
                      <w:tabs>
                        <w:tab w:pos="2462" w:val="left" w:leader="none"/>
                      </w:tabs>
                      <w:spacing w:line="272" w:lineRule="exact" w:before="0"/>
                      <w:ind w:left="0" w:right="0" w:firstLine="0"/>
                      <w:jc w:val="left"/>
                      <w:rPr>
                        <w:sz w:val="21"/>
                      </w:rPr>
                    </w:pPr>
                    <w:r>
                      <w:rPr>
                        <w:sz w:val="21"/>
                      </w:rPr>
                      <w:t>29</w:t>
                    </w:r>
                    <w:r>
                      <w:rPr>
                        <w:spacing w:val="-5"/>
                        <w:sz w:val="21"/>
                      </w:rPr>
                      <w:t>、</w:t>
                    </w:r>
                    <w:r>
                      <w:rPr>
                        <w:sz w:val="21"/>
                      </w:rPr>
                      <w:t>植入大脑</w:t>
                    </w:r>
                    <w:r>
                      <w:rPr>
                        <w:spacing w:val="-5"/>
                        <w:sz w:val="21"/>
                      </w:rPr>
                      <w:t>内</w:t>
                    </w:r>
                    <w:r>
                      <w:rPr>
                        <w:sz w:val="21"/>
                      </w:rPr>
                      <w:t>分流器</w:t>
                      <w:tab/>
                      <w:t>30、轻度</w:t>
                    </w:r>
                    <w:r>
                      <w:rPr>
                        <w:spacing w:val="-5"/>
                        <w:sz w:val="21"/>
                      </w:rPr>
                      <w:t>脑</w:t>
                    </w:r>
                    <w:r>
                      <w:rPr>
                        <w:sz w:val="21"/>
                      </w:rPr>
                      <w:t>炎后遗</w:t>
                    </w:r>
                    <w:r>
                      <w:rPr>
                        <w:spacing w:val="-5"/>
                        <w:sz w:val="21"/>
                      </w:rPr>
                      <w:t>症</w:t>
                    </w:r>
                    <w:r>
                      <w:rPr>
                        <w:sz w:val="21"/>
                      </w:rPr>
                      <w:t>或脑膜</w:t>
                    </w:r>
                    <w:r>
                      <w:rPr>
                        <w:spacing w:val="-5"/>
                        <w:sz w:val="21"/>
                      </w:rPr>
                      <w:t>炎</w:t>
                    </w:r>
                    <w:r>
                      <w:rPr>
                        <w:sz w:val="21"/>
                      </w:rPr>
                      <w:t>后遗症</w:t>
                    </w:r>
                  </w:p>
                </w:txbxContent>
              </v:textbox>
              <w10:wrap type="none"/>
            </v:shape>
          </v:group>
        </w:pict>
      </w:r>
      <w:r>
        <w:rPr>
          <w:sz w:val="20"/>
        </w:rPr>
      </w:r>
    </w:p>
    <w:p>
      <w:pPr>
        <w:pStyle w:val="BodyText"/>
        <w:spacing w:before="7"/>
        <w:rPr>
          <w:sz w:val="13"/>
        </w:rPr>
      </w:pPr>
    </w:p>
    <w:p>
      <w:pPr>
        <w:spacing w:after="0"/>
        <w:rPr>
          <w:sz w:val="13"/>
        </w:rPr>
        <w:sectPr>
          <w:type w:val="continuous"/>
          <w:pgSz w:w="11910" w:h="16840"/>
          <w:pgMar w:top="520" w:bottom="280" w:left="920" w:right="900"/>
        </w:sectPr>
      </w:pPr>
    </w:p>
    <w:p>
      <w:pPr>
        <w:pStyle w:val="Heading2"/>
        <w:spacing w:line="232" w:lineRule="auto"/>
        <w:ind w:left="856" w:firstLine="0"/>
      </w:pPr>
      <w:r>
        <w:rPr/>
        <w:t>我们所保障的重大疾病</w:t>
      </w:r>
    </w:p>
    <w:p>
      <w:pPr>
        <w:pStyle w:val="BodyText"/>
        <w:spacing w:line="273" w:lineRule="auto" w:before="56"/>
        <w:ind w:left="152" w:right="115"/>
      </w:pPr>
      <w:r>
        <w:rPr/>
        <w:br w:type="column"/>
      </w:r>
      <w:r>
        <w:rPr>
          <w:spacing w:val="-5"/>
        </w:rPr>
        <w:t>我们提供保障的重大疾病共有 </w:t>
      </w:r>
      <w:r>
        <w:rPr/>
        <w:t>80</w:t>
      </w:r>
      <w:r>
        <w:rPr>
          <w:spacing w:val="-7"/>
        </w:rPr>
        <w:t> 种，名称如下，具体释义见</w:t>
      </w:r>
      <w:r>
        <w:rPr/>
        <w:t>“8</w:t>
      </w:r>
      <w:r>
        <w:rPr>
          <w:spacing w:val="-10"/>
        </w:rPr>
        <w:t> 重大疾病</w:t>
      </w:r>
      <w:r>
        <w:rPr>
          <w:spacing w:val="-32"/>
        </w:rPr>
        <w:t>释义”。</w:t>
      </w:r>
    </w:p>
    <w:p>
      <w:pPr>
        <w:spacing w:after="0" w:line="273" w:lineRule="auto"/>
        <w:sectPr>
          <w:type w:val="continuous"/>
          <w:pgSz w:w="11910" w:h="16840"/>
          <w:pgMar w:top="520" w:bottom="280" w:left="920" w:right="900"/>
          <w:cols w:num="2" w:equalWidth="0">
            <w:col w:w="2978" w:space="40"/>
            <w:col w:w="7072"/>
          </w:cols>
        </w:sectPr>
      </w:pPr>
    </w:p>
    <w:p>
      <w:pPr>
        <w:pStyle w:val="BodyText"/>
        <w:ind w:left="3169"/>
        <w:rPr>
          <w:sz w:val="20"/>
        </w:rPr>
      </w:pPr>
      <w:r>
        <w:rPr>
          <w:sz w:val="20"/>
        </w:rPr>
        <w:pict>
          <v:group style="width:336.75pt;height:74.2pt;mso-position-horizontal-relative:char;mso-position-vertical-relative:line" coordorigin="0,0" coordsize="6735,1484">
            <v:line style="position:absolute" from="10,5" to="6725,5" stroked="true" strokeweight=".481pt" strokecolor="#000000">
              <v:stroke dashstyle="solid"/>
            </v:line>
            <v:line style="position:absolute" from="10,346" to="2880,346" stroked="true" strokeweight=".48pt" strokecolor="#000000">
              <v:stroke dashstyle="solid"/>
            </v:line>
            <v:rect style="position:absolute;left:2880;top:340;width:10;height:10" filled="true" fillcolor="#000000" stroked="false">
              <v:fill type="solid"/>
            </v:rect>
            <v:line style="position:absolute" from="2890,346" to="6725,346" stroked="true" strokeweight=".48pt" strokecolor="#000000">
              <v:stroke dashstyle="solid"/>
            </v:line>
            <v:line style="position:absolute" from="10,826" to="2880,826" stroked="true" strokeweight=".481pt" strokecolor="#000000">
              <v:stroke dashstyle="solid"/>
            </v:line>
            <v:rect style="position:absolute;left:2880;top:820;width:10;height:10" filled="true" fillcolor="#000000" stroked="false">
              <v:fill type="solid"/>
            </v:rect>
            <v:line style="position:absolute" from="2890,826" to="6725,826" stroked="true" strokeweight=".481pt" strokecolor="#000000">
              <v:stroke dashstyle="solid"/>
            </v:line>
            <v:line style="position:absolute" from="10,1166" to="2880,1166" stroked="true" strokeweight=".48pt" strokecolor="#000000">
              <v:stroke dashstyle="solid"/>
            </v:line>
            <v:rect style="position:absolute;left:2880;top:1161;width:10;height:10" filled="true" fillcolor="#000000" stroked="false">
              <v:fill type="solid"/>
            </v:rect>
            <v:line style="position:absolute" from="2890,1166" to="6725,1166" stroked="true" strokeweight=".48pt" strokecolor="#000000">
              <v:stroke dashstyle="solid"/>
            </v:line>
            <v:line style="position:absolute" from="5,0" to="5,1483" stroked="true" strokeweight=".48pt" strokecolor="#000000">
              <v:stroke dashstyle="solid"/>
            </v:line>
            <v:line style="position:absolute" from="10,1478" to="2880,1478" stroked="true" strokeweight=".48pt" strokecolor="#000000">
              <v:stroke dashstyle="solid"/>
            </v:line>
            <v:rect style="position:absolute;left:2865;top:1473;width:10;height:10" filled="true" fillcolor="#000000" stroked="false">
              <v:fill type="solid"/>
            </v:rect>
            <v:line style="position:absolute" from="2875,1478" to="6725,1478" stroked="true" strokeweight=".48pt" strokecolor="#000000">
              <v:stroke dashstyle="solid"/>
            </v:line>
            <v:line style="position:absolute" from="6730,0" to="6730,1483" stroked="true" strokeweight=".48pt" strokecolor="#000000">
              <v:stroke dashstyle="solid"/>
            </v:line>
            <v:shape style="position:absolute;left:115;top:68;width:2977;height:212" type="#_x0000_t202" filled="false" stroked="false">
              <v:textbox inset="0,0,0,0">
                <w:txbxContent>
                  <w:p>
                    <w:pPr>
                      <w:spacing w:line="211" w:lineRule="exact" w:before="0"/>
                      <w:ind w:left="0" w:right="0" w:firstLine="0"/>
                      <w:jc w:val="left"/>
                      <w:rPr>
                        <w:b/>
                        <w:sz w:val="21"/>
                      </w:rPr>
                    </w:pPr>
                    <w:r>
                      <w:rPr>
                        <w:b/>
                        <w:spacing w:val="-26"/>
                        <w:sz w:val="21"/>
                      </w:rPr>
                      <w:t>第 </w:t>
                    </w:r>
                    <w:r>
                      <w:rPr>
                        <w:b/>
                        <w:sz w:val="21"/>
                      </w:rPr>
                      <w:t>1</w:t>
                    </w:r>
                    <w:r>
                      <w:rPr>
                        <w:b/>
                        <w:spacing w:val="-8"/>
                        <w:sz w:val="21"/>
                      </w:rPr>
                      <w:t> 类：与恶性肿瘤相关的疾病</w:t>
                    </w:r>
                  </w:p>
                </w:txbxContent>
              </v:textbox>
              <w10:wrap type="none"/>
            </v:shape>
            <v:shape style="position:absolute;left:115;top:480;width:1182;height:212" type="#_x0000_t202" filled="false" stroked="false">
              <v:textbox inset="0,0,0,0">
                <w:txbxContent>
                  <w:p>
                    <w:pPr>
                      <w:spacing w:line="211" w:lineRule="exact" w:before="0"/>
                      <w:ind w:left="0" w:right="0" w:firstLine="0"/>
                      <w:jc w:val="left"/>
                      <w:rPr>
                        <w:sz w:val="21"/>
                      </w:rPr>
                    </w:pPr>
                    <w:r>
                      <w:rPr>
                        <w:sz w:val="21"/>
                      </w:rPr>
                      <w:t>1、恶性肿瘤</w:t>
                    </w:r>
                  </w:p>
                </w:txbxContent>
              </v:textbox>
              <w10:wrap type="none"/>
            </v:shape>
            <v:shape style="position:absolute;left:2990;top:480;width:3491;height:212" type="#_x0000_t202" filled="false" stroked="false">
              <v:textbox inset="0,0,0,0">
                <w:txbxContent>
                  <w:p>
                    <w:pPr>
                      <w:spacing w:line="211" w:lineRule="exact" w:before="0"/>
                      <w:ind w:left="0" w:right="0" w:firstLine="0"/>
                      <w:jc w:val="left"/>
                      <w:rPr>
                        <w:sz w:val="21"/>
                      </w:rPr>
                    </w:pPr>
                    <w:r>
                      <w:rPr>
                        <w:sz w:val="21"/>
                      </w:rPr>
                      <w:t>2、侵蚀性葡萄胎（或称恶性葡萄胎）</w:t>
                    </w:r>
                  </w:p>
                </w:txbxContent>
              </v:textbox>
              <w10:wrap type="none"/>
            </v:shape>
            <v:shape style="position:absolute;left:115;top:879;width:5315;height:552" type="#_x0000_t202" filled="false" stroked="false">
              <v:textbox inset="0,0,0,0">
                <w:txbxContent>
                  <w:p>
                    <w:pPr>
                      <w:spacing w:line="211" w:lineRule="exact" w:before="0"/>
                      <w:ind w:left="0" w:right="0" w:firstLine="0"/>
                      <w:jc w:val="left"/>
                      <w:rPr>
                        <w:b/>
                        <w:sz w:val="21"/>
                      </w:rPr>
                    </w:pPr>
                    <w:r>
                      <w:rPr>
                        <w:b/>
                        <w:sz w:val="21"/>
                      </w:rPr>
                      <w:t>第 2 类：与心脏或脑血管相关的疾病</w:t>
                    </w:r>
                  </w:p>
                  <w:p>
                    <w:pPr>
                      <w:tabs>
                        <w:tab w:pos="2875" w:val="left" w:leader="none"/>
                      </w:tabs>
                      <w:spacing w:before="66"/>
                      <w:ind w:left="0" w:right="0" w:firstLine="0"/>
                      <w:jc w:val="left"/>
                      <w:rPr>
                        <w:sz w:val="21"/>
                      </w:rPr>
                    </w:pPr>
                    <w:r>
                      <w:rPr>
                        <w:sz w:val="21"/>
                      </w:rPr>
                      <w:t>3、急性心</w:t>
                    </w:r>
                    <w:r>
                      <w:rPr>
                        <w:spacing w:val="-5"/>
                        <w:sz w:val="21"/>
                      </w:rPr>
                      <w:t>肌</w:t>
                    </w:r>
                    <w:r>
                      <w:rPr>
                        <w:sz w:val="21"/>
                      </w:rPr>
                      <w:t>梗塞</w:t>
                      <w:tab/>
                      <w:t>4、严重原</w:t>
                    </w:r>
                    <w:r>
                      <w:rPr>
                        <w:spacing w:val="-5"/>
                        <w:sz w:val="21"/>
                      </w:rPr>
                      <w:t>发</w:t>
                    </w:r>
                    <w:r>
                      <w:rPr>
                        <w:sz w:val="21"/>
                      </w:rPr>
                      <w:t>性肺动</w:t>
                    </w:r>
                    <w:r>
                      <w:rPr>
                        <w:spacing w:val="-5"/>
                        <w:sz w:val="21"/>
                      </w:rPr>
                      <w:t>脉</w:t>
                    </w:r>
                    <w:r>
                      <w:rPr>
                        <w:sz w:val="21"/>
                      </w:rPr>
                      <w:t>高压</w:t>
                    </w:r>
                  </w:p>
                </w:txbxContent>
              </v:textbox>
              <w10:wrap type="none"/>
            </v:shape>
          </v:group>
        </w:pict>
      </w:r>
      <w:r>
        <w:rPr>
          <w:sz w:val="20"/>
        </w:rPr>
      </w:r>
    </w:p>
    <w:p>
      <w:pPr>
        <w:pStyle w:val="BodyText"/>
        <w:rPr>
          <w:sz w:val="12"/>
        </w:rPr>
      </w:pPr>
      <w:r>
        <w:rPr/>
        <w:pict>
          <v:line style="position:absolute;mso-position-horizontal-relative:page;mso-position-vertical-relative:paragraph;z-index:1528;mso-wrap-distance-left:0;mso-wrap-distance-right:0" from="51.119999pt,10.054944pt" to="195.119999pt,10.054944pt" stroked="true" strokeweight=".481pt" strokecolor="#000000">
            <v:stroke dashstyle="solid"/>
            <w10:wrap type="topAndBottom"/>
          </v:line>
        </w:pict>
      </w:r>
    </w:p>
    <w:p>
      <w:pPr>
        <w:spacing w:line="290" w:lineRule="exact" w:before="0"/>
        <w:ind w:left="102" w:right="0" w:firstLine="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自然月</w:t>
      </w:r>
      <w:r>
        <w:rPr>
          <w:sz w:val="18"/>
        </w:rPr>
        <w:t>指从每月的 1 号开始到该月的最后一天为止的期间为一个自然月。</w:t>
      </w:r>
    </w:p>
    <w:p>
      <w:pPr>
        <w:spacing w:after="0" w:line="290" w:lineRule="exact"/>
        <w:jc w:val="left"/>
        <w:rPr>
          <w:sz w:val="18"/>
        </w:rPr>
        <w:sectPr>
          <w:type w:val="continuous"/>
          <w:pgSz w:w="11910" w:h="16840"/>
          <w:pgMar w:top="520" w:bottom="280" w:left="920" w:right="900"/>
        </w:sectPr>
      </w:pPr>
    </w:p>
    <w:tbl>
      <w:tblPr>
        <w:tblW w:w="0" w:type="auto"/>
        <w:jc w:val="left"/>
        <w:tblInd w:w="2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0"/>
        <w:gridCol w:w="3845"/>
      </w:tblGrid>
      <w:tr>
        <w:trPr>
          <w:trHeight w:val="310" w:hRule="atLeast"/>
        </w:trPr>
        <w:tc>
          <w:tcPr>
            <w:tcW w:w="2880" w:type="dxa"/>
            <w:tcBorders>
              <w:top w:val="single" w:sz="4" w:space="0" w:color="000000"/>
              <w:left w:val="single" w:sz="4" w:space="0" w:color="000000"/>
            </w:tcBorders>
          </w:tcPr>
          <w:p>
            <w:pPr>
              <w:pStyle w:val="TableParagraph"/>
              <w:spacing w:line="254" w:lineRule="exact"/>
              <w:ind w:left="110"/>
              <w:rPr>
                <w:sz w:val="21"/>
              </w:rPr>
            </w:pPr>
            <w:r>
              <w:rPr>
                <w:sz w:val="21"/>
              </w:rPr>
              <w:t>5、心脏瓣膜手术</w:t>
            </w:r>
          </w:p>
        </w:tc>
        <w:tc>
          <w:tcPr>
            <w:tcW w:w="3845" w:type="dxa"/>
            <w:tcBorders>
              <w:top w:val="single" w:sz="4" w:space="0" w:color="000000"/>
              <w:right w:val="single" w:sz="4" w:space="0" w:color="000000"/>
            </w:tcBorders>
          </w:tcPr>
          <w:p>
            <w:pPr>
              <w:pStyle w:val="TableParagraph"/>
              <w:spacing w:line="254" w:lineRule="exact"/>
              <w:ind w:left="110"/>
              <w:rPr>
                <w:sz w:val="21"/>
              </w:rPr>
            </w:pPr>
            <w:r>
              <w:rPr>
                <w:sz w:val="21"/>
              </w:rPr>
              <w:t>6、严重的原发性心肌病</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7、脑中风后遗症</w:t>
            </w:r>
          </w:p>
        </w:tc>
        <w:tc>
          <w:tcPr>
            <w:tcW w:w="3845" w:type="dxa"/>
            <w:tcBorders>
              <w:right w:val="single" w:sz="4" w:space="0" w:color="000000"/>
            </w:tcBorders>
          </w:tcPr>
          <w:p>
            <w:pPr>
              <w:pStyle w:val="TableParagraph"/>
              <w:spacing w:line="256" w:lineRule="exact"/>
              <w:ind w:left="110"/>
              <w:rPr>
                <w:sz w:val="21"/>
              </w:rPr>
            </w:pPr>
            <w:r>
              <w:rPr>
                <w:sz w:val="21"/>
              </w:rPr>
              <w:t>8、冠状动脉搭桥术（或称冠状动脉旁路</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9、主动脉手术</w:t>
            </w:r>
          </w:p>
        </w:tc>
        <w:tc>
          <w:tcPr>
            <w:tcW w:w="3845" w:type="dxa"/>
            <w:tcBorders>
              <w:right w:val="single" w:sz="4" w:space="0" w:color="000000"/>
            </w:tcBorders>
          </w:tcPr>
          <w:p>
            <w:pPr>
              <w:pStyle w:val="TableParagraph"/>
              <w:spacing w:line="256" w:lineRule="exact"/>
              <w:ind w:left="427"/>
              <w:rPr>
                <w:sz w:val="21"/>
              </w:rPr>
            </w:pPr>
            <w:r>
              <w:rPr>
                <w:sz w:val="21"/>
              </w:rPr>
              <w:t>移植术）</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10、严重感染性心内膜炎</w:t>
            </w:r>
          </w:p>
        </w:tc>
        <w:tc>
          <w:tcPr>
            <w:tcW w:w="3845" w:type="dxa"/>
            <w:tcBorders>
              <w:right w:val="single" w:sz="4" w:space="0" w:color="000000"/>
            </w:tcBorders>
          </w:tcPr>
          <w:p>
            <w:pPr>
              <w:pStyle w:val="TableParagraph"/>
              <w:spacing w:line="256" w:lineRule="exact"/>
              <w:ind w:left="110"/>
              <w:rPr>
                <w:sz w:val="21"/>
              </w:rPr>
            </w:pPr>
            <w:r>
              <w:rPr>
                <w:sz w:val="21"/>
              </w:rPr>
              <w:t>11、严重肺源性心脏病</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12、艾森门格综合征</w:t>
            </w:r>
          </w:p>
        </w:tc>
        <w:tc>
          <w:tcPr>
            <w:tcW w:w="3845" w:type="dxa"/>
            <w:tcBorders>
              <w:right w:val="single" w:sz="4" w:space="0" w:color="000000"/>
            </w:tcBorders>
          </w:tcPr>
          <w:p>
            <w:pPr>
              <w:pStyle w:val="TableParagraph"/>
              <w:spacing w:line="256" w:lineRule="exact"/>
              <w:ind w:left="110"/>
              <w:rPr>
                <w:sz w:val="21"/>
              </w:rPr>
            </w:pPr>
            <w:r>
              <w:rPr>
                <w:sz w:val="21"/>
              </w:rPr>
              <w:t>13、严重的Ⅲ度房室传导阻滞</w:t>
            </w:r>
          </w:p>
        </w:tc>
      </w:tr>
      <w:tr>
        <w:trPr>
          <w:trHeight w:val="313" w:hRule="atLeast"/>
        </w:trPr>
        <w:tc>
          <w:tcPr>
            <w:tcW w:w="2880" w:type="dxa"/>
            <w:tcBorders>
              <w:left w:val="single" w:sz="4" w:space="0" w:color="000000"/>
              <w:bottom w:val="single" w:sz="4" w:space="0" w:color="000000"/>
            </w:tcBorders>
          </w:tcPr>
          <w:p>
            <w:pPr>
              <w:pStyle w:val="TableParagraph"/>
              <w:spacing w:line="256" w:lineRule="exact"/>
              <w:ind w:left="110"/>
              <w:rPr>
                <w:sz w:val="21"/>
              </w:rPr>
            </w:pPr>
            <w:r>
              <w:rPr>
                <w:sz w:val="21"/>
              </w:rPr>
              <w:t>14、严重冠心病</w:t>
            </w:r>
          </w:p>
        </w:tc>
        <w:tc>
          <w:tcPr>
            <w:tcW w:w="3845" w:type="dxa"/>
            <w:tcBorders>
              <w:bottom w:val="single" w:sz="4" w:space="0" w:color="000000"/>
              <w:right w:val="single" w:sz="4" w:space="0" w:color="000000"/>
            </w:tcBorders>
          </w:tcPr>
          <w:p>
            <w:pPr>
              <w:pStyle w:val="TableParagraph"/>
              <w:spacing w:line="256" w:lineRule="exact"/>
              <w:ind w:left="110"/>
              <w:rPr>
                <w:sz w:val="21"/>
              </w:rPr>
            </w:pPr>
            <w:r>
              <w:rPr>
                <w:sz w:val="21"/>
              </w:rPr>
              <w:t>15、风湿热导致的心脏瓣膜疾病</w:t>
            </w:r>
          </w:p>
        </w:tc>
      </w:tr>
      <w:tr>
        <w:trPr>
          <w:trHeight w:val="311" w:hRule="atLeast"/>
        </w:trPr>
        <w:tc>
          <w:tcPr>
            <w:tcW w:w="67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10"/>
              <w:rPr>
                <w:b/>
                <w:sz w:val="21"/>
              </w:rPr>
            </w:pPr>
            <w:r>
              <w:rPr>
                <w:b/>
                <w:sz w:val="21"/>
              </w:rPr>
              <w:t>第 3 类：与器官功能严重受损相关的疾病</w:t>
            </w:r>
          </w:p>
        </w:tc>
      </w:tr>
      <w:tr>
        <w:trPr>
          <w:trHeight w:val="310" w:hRule="atLeast"/>
        </w:trPr>
        <w:tc>
          <w:tcPr>
            <w:tcW w:w="2880" w:type="dxa"/>
            <w:tcBorders>
              <w:top w:val="single" w:sz="4" w:space="0" w:color="000000"/>
              <w:left w:val="single" w:sz="4" w:space="0" w:color="000000"/>
            </w:tcBorders>
          </w:tcPr>
          <w:p>
            <w:pPr>
              <w:pStyle w:val="TableParagraph"/>
              <w:spacing w:line="254" w:lineRule="exact"/>
              <w:ind w:left="110"/>
              <w:rPr>
                <w:sz w:val="21"/>
              </w:rPr>
            </w:pPr>
            <w:r>
              <w:rPr>
                <w:sz w:val="21"/>
              </w:rPr>
              <w:t>16、重型再生障碍性贫血</w:t>
            </w:r>
          </w:p>
        </w:tc>
        <w:tc>
          <w:tcPr>
            <w:tcW w:w="3845" w:type="dxa"/>
            <w:tcBorders>
              <w:top w:val="single" w:sz="4" w:space="0" w:color="000000"/>
              <w:right w:val="single" w:sz="4" w:space="0" w:color="000000"/>
            </w:tcBorders>
          </w:tcPr>
          <w:p>
            <w:pPr>
              <w:pStyle w:val="TableParagraph"/>
              <w:spacing w:line="253" w:lineRule="exact"/>
              <w:ind w:left="110"/>
              <w:rPr>
                <w:sz w:val="21"/>
              </w:rPr>
            </w:pPr>
            <w:r>
              <w:rPr>
                <w:sz w:val="21"/>
              </w:rPr>
              <w:t>17</w:t>
            </w:r>
            <w:r>
              <w:rPr>
                <w:spacing w:val="-12"/>
                <w:sz w:val="21"/>
              </w:rPr>
              <w:t>、重大器官移植术或造血干细胞移植术</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18、双耳失聪</w:t>
            </w:r>
          </w:p>
        </w:tc>
        <w:tc>
          <w:tcPr>
            <w:tcW w:w="3845" w:type="dxa"/>
            <w:tcBorders>
              <w:right w:val="single" w:sz="4" w:space="0" w:color="000000"/>
            </w:tcBorders>
          </w:tcPr>
          <w:p>
            <w:pPr>
              <w:pStyle w:val="TableParagraph"/>
              <w:spacing w:line="256" w:lineRule="exact"/>
              <w:ind w:left="110"/>
              <w:rPr>
                <w:sz w:val="21"/>
              </w:rPr>
            </w:pPr>
            <w:r>
              <w:rPr>
                <w:sz w:val="21"/>
              </w:rPr>
              <w:t>19、慢性肝功能衰竭失代偿期</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20、双目失明</w:t>
            </w:r>
          </w:p>
        </w:tc>
        <w:tc>
          <w:tcPr>
            <w:tcW w:w="3845" w:type="dxa"/>
            <w:tcBorders>
              <w:right w:val="single" w:sz="4" w:space="0" w:color="000000"/>
            </w:tcBorders>
          </w:tcPr>
          <w:p>
            <w:pPr>
              <w:pStyle w:val="TableParagraph"/>
              <w:spacing w:line="256" w:lineRule="exact"/>
              <w:ind w:left="110"/>
              <w:rPr>
                <w:sz w:val="21"/>
              </w:rPr>
            </w:pPr>
            <w:r>
              <w:rPr>
                <w:sz w:val="21"/>
              </w:rPr>
              <w:t>21、系统性红斑狼疮并发肾功能损害</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22、语言能力丧失</w:t>
            </w:r>
          </w:p>
        </w:tc>
        <w:tc>
          <w:tcPr>
            <w:tcW w:w="3845" w:type="dxa"/>
            <w:tcBorders>
              <w:right w:val="single" w:sz="4" w:space="0" w:color="000000"/>
            </w:tcBorders>
          </w:tcPr>
          <w:p>
            <w:pPr>
              <w:pStyle w:val="TableParagraph"/>
              <w:spacing w:line="256" w:lineRule="exact"/>
              <w:ind w:left="110"/>
              <w:rPr>
                <w:sz w:val="21"/>
              </w:rPr>
            </w:pPr>
            <w:r>
              <w:rPr>
                <w:sz w:val="21"/>
              </w:rPr>
              <w:t>23、急性或亚急性重症肝炎</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24、严重溃疡性结肠炎</w:t>
            </w:r>
          </w:p>
        </w:tc>
        <w:tc>
          <w:tcPr>
            <w:tcW w:w="3845" w:type="dxa"/>
            <w:tcBorders>
              <w:right w:val="single" w:sz="4" w:space="0" w:color="000000"/>
            </w:tcBorders>
          </w:tcPr>
          <w:p>
            <w:pPr>
              <w:pStyle w:val="TableParagraph"/>
              <w:spacing w:line="256" w:lineRule="exact"/>
              <w:ind w:left="110"/>
              <w:rPr>
                <w:sz w:val="21"/>
              </w:rPr>
            </w:pPr>
            <w:r>
              <w:rPr>
                <w:sz w:val="21"/>
              </w:rPr>
              <w:t>25、终末期肾病（或称慢性肾功能衰竭</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26、终末期肺病</w:t>
            </w:r>
          </w:p>
        </w:tc>
        <w:tc>
          <w:tcPr>
            <w:tcW w:w="3845" w:type="dxa"/>
            <w:tcBorders>
              <w:right w:val="single" w:sz="4" w:space="0" w:color="000000"/>
            </w:tcBorders>
          </w:tcPr>
          <w:p>
            <w:pPr>
              <w:pStyle w:val="TableParagraph"/>
              <w:spacing w:line="256" w:lineRule="exact"/>
              <w:ind w:left="533"/>
              <w:rPr>
                <w:sz w:val="21"/>
              </w:rPr>
            </w:pPr>
            <w:r>
              <w:rPr>
                <w:sz w:val="21"/>
              </w:rPr>
              <w:t>尿毒症期）</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27、胰腺移植</w:t>
            </w:r>
          </w:p>
        </w:tc>
        <w:tc>
          <w:tcPr>
            <w:tcW w:w="3845" w:type="dxa"/>
            <w:tcBorders>
              <w:right w:val="single" w:sz="4" w:space="0" w:color="000000"/>
            </w:tcBorders>
          </w:tcPr>
          <w:p>
            <w:pPr>
              <w:pStyle w:val="TableParagraph"/>
              <w:spacing w:line="256" w:lineRule="exact"/>
              <w:ind w:left="110"/>
              <w:rPr>
                <w:sz w:val="21"/>
              </w:rPr>
            </w:pPr>
            <w:r>
              <w:rPr>
                <w:sz w:val="21"/>
              </w:rPr>
              <w:t>28、急性坏死性胰腺炎开腹手术</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29、严重肾髓质囊性病</w:t>
            </w:r>
          </w:p>
        </w:tc>
        <w:tc>
          <w:tcPr>
            <w:tcW w:w="3845" w:type="dxa"/>
            <w:tcBorders>
              <w:right w:val="single" w:sz="4" w:space="0" w:color="000000"/>
            </w:tcBorders>
          </w:tcPr>
          <w:p>
            <w:pPr>
              <w:pStyle w:val="TableParagraph"/>
              <w:spacing w:line="256" w:lineRule="exact"/>
              <w:ind w:left="110"/>
              <w:rPr>
                <w:sz w:val="21"/>
              </w:rPr>
            </w:pPr>
            <w:r>
              <w:rPr>
                <w:sz w:val="21"/>
              </w:rPr>
              <w:t>30、严重肝豆状核变性（Wilson 病）</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31、严重自身免疫性肝炎</w:t>
            </w:r>
          </w:p>
        </w:tc>
        <w:tc>
          <w:tcPr>
            <w:tcW w:w="3845" w:type="dxa"/>
            <w:tcBorders>
              <w:right w:val="single" w:sz="4" w:space="0" w:color="000000"/>
            </w:tcBorders>
          </w:tcPr>
          <w:p>
            <w:pPr>
              <w:pStyle w:val="TableParagraph"/>
              <w:spacing w:line="256" w:lineRule="exact"/>
              <w:ind w:left="110"/>
              <w:rPr>
                <w:sz w:val="21"/>
              </w:rPr>
            </w:pPr>
            <w:r>
              <w:rPr>
                <w:sz w:val="21"/>
              </w:rPr>
              <w:t>32、严重弥漫性系统性硬皮病</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33、肺淋巴管肌瘤病</w:t>
            </w:r>
          </w:p>
        </w:tc>
        <w:tc>
          <w:tcPr>
            <w:tcW w:w="3845" w:type="dxa"/>
            <w:tcBorders>
              <w:right w:val="single" w:sz="4" w:space="0" w:color="000000"/>
            </w:tcBorders>
          </w:tcPr>
          <w:p>
            <w:pPr>
              <w:pStyle w:val="TableParagraph"/>
              <w:spacing w:line="256" w:lineRule="exact"/>
              <w:ind w:left="110"/>
              <w:rPr>
                <w:sz w:val="21"/>
              </w:rPr>
            </w:pPr>
            <w:r>
              <w:rPr>
                <w:sz w:val="21"/>
              </w:rPr>
              <w:t>34、肺泡蛋白质沉积症</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35、慢性复发性胰腺炎</w:t>
            </w:r>
          </w:p>
        </w:tc>
        <w:tc>
          <w:tcPr>
            <w:tcW w:w="3845" w:type="dxa"/>
            <w:tcBorders>
              <w:right w:val="single" w:sz="4" w:space="0" w:color="000000"/>
            </w:tcBorders>
          </w:tcPr>
          <w:p>
            <w:pPr>
              <w:pStyle w:val="TableParagraph"/>
              <w:spacing w:line="256" w:lineRule="exact"/>
              <w:ind w:left="110"/>
              <w:rPr>
                <w:sz w:val="21"/>
              </w:rPr>
            </w:pPr>
            <w:r>
              <w:rPr>
                <w:sz w:val="21"/>
              </w:rPr>
              <w:t>36、特发性慢性肾上腺皮质功能减退</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37、严重小肠疾病并发症</w:t>
            </w:r>
          </w:p>
        </w:tc>
        <w:tc>
          <w:tcPr>
            <w:tcW w:w="3845" w:type="dxa"/>
            <w:tcBorders>
              <w:right w:val="single" w:sz="4" w:space="0" w:color="000000"/>
            </w:tcBorders>
          </w:tcPr>
          <w:p>
            <w:pPr>
              <w:pStyle w:val="TableParagraph"/>
              <w:spacing w:line="256" w:lineRule="exact"/>
              <w:ind w:left="110"/>
              <w:rPr>
                <w:sz w:val="21"/>
              </w:rPr>
            </w:pPr>
            <w:r>
              <w:rPr>
                <w:sz w:val="21"/>
              </w:rPr>
              <w:t>38、严重的骨髓增生异常综合征</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39、严重克隆病</w:t>
            </w:r>
          </w:p>
        </w:tc>
        <w:tc>
          <w:tcPr>
            <w:tcW w:w="3845" w:type="dxa"/>
            <w:tcBorders>
              <w:right w:val="single" w:sz="4" w:space="0" w:color="000000"/>
            </w:tcBorders>
          </w:tcPr>
          <w:p>
            <w:pPr>
              <w:pStyle w:val="TableParagraph"/>
              <w:spacing w:line="256" w:lineRule="exact"/>
              <w:ind w:left="110"/>
              <w:rPr>
                <w:sz w:val="21"/>
              </w:rPr>
            </w:pPr>
            <w:r>
              <w:rPr>
                <w:sz w:val="21"/>
              </w:rPr>
              <w:t>40、骨髓纤维化</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41、严重哮喘</w:t>
            </w:r>
          </w:p>
        </w:tc>
        <w:tc>
          <w:tcPr>
            <w:tcW w:w="3845" w:type="dxa"/>
            <w:tcBorders>
              <w:right w:val="single" w:sz="4" w:space="0" w:color="000000"/>
            </w:tcBorders>
          </w:tcPr>
          <w:p>
            <w:pPr>
              <w:pStyle w:val="TableParagraph"/>
              <w:spacing w:line="256" w:lineRule="exact"/>
              <w:ind w:left="110"/>
              <w:rPr>
                <w:sz w:val="21"/>
              </w:rPr>
            </w:pPr>
            <w:r>
              <w:rPr>
                <w:sz w:val="21"/>
              </w:rPr>
              <w:t>42、小肠移植</w:t>
            </w:r>
          </w:p>
        </w:tc>
      </w:tr>
      <w:tr>
        <w:trPr>
          <w:trHeight w:val="314" w:hRule="atLeast"/>
        </w:trPr>
        <w:tc>
          <w:tcPr>
            <w:tcW w:w="2880" w:type="dxa"/>
            <w:tcBorders>
              <w:left w:val="single" w:sz="4" w:space="0" w:color="000000"/>
              <w:bottom w:val="single" w:sz="4" w:space="0" w:color="000000"/>
            </w:tcBorders>
          </w:tcPr>
          <w:p>
            <w:pPr>
              <w:pStyle w:val="TableParagraph"/>
              <w:spacing w:line="256" w:lineRule="exact"/>
              <w:ind w:left="110"/>
              <w:rPr>
                <w:sz w:val="21"/>
              </w:rPr>
            </w:pPr>
            <w:r>
              <w:rPr>
                <w:sz w:val="21"/>
              </w:rPr>
              <w:t>43、胆道重建手术</w:t>
            </w:r>
          </w:p>
        </w:tc>
        <w:tc>
          <w:tcPr>
            <w:tcW w:w="3845" w:type="dxa"/>
            <w:tcBorders>
              <w:bottom w:val="single" w:sz="4" w:space="0" w:color="000000"/>
              <w:right w:val="single" w:sz="4" w:space="0" w:color="000000"/>
            </w:tcBorders>
          </w:tcPr>
          <w:p>
            <w:pPr>
              <w:pStyle w:val="TableParagraph"/>
              <w:rPr>
                <w:rFonts w:ascii="Times New Roman"/>
                <w:sz w:val="20"/>
              </w:rPr>
            </w:pPr>
          </w:p>
        </w:tc>
      </w:tr>
      <w:tr>
        <w:trPr>
          <w:trHeight w:val="316" w:hRule="atLeast"/>
        </w:trPr>
        <w:tc>
          <w:tcPr>
            <w:tcW w:w="67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10"/>
              <w:rPr>
                <w:b/>
                <w:sz w:val="21"/>
              </w:rPr>
            </w:pPr>
            <w:r>
              <w:rPr>
                <w:b/>
                <w:sz w:val="21"/>
              </w:rPr>
              <w:t>第 4 类：与神经系统相关的疾病</w:t>
            </w:r>
          </w:p>
        </w:tc>
      </w:tr>
      <w:tr>
        <w:trPr>
          <w:trHeight w:val="310" w:hRule="atLeast"/>
        </w:trPr>
        <w:tc>
          <w:tcPr>
            <w:tcW w:w="2880" w:type="dxa"/>
            <w:tcBorders>
              <w:top w:val="single" w:sz="4" w:space="0" w:color="000000"/>
              <w:left w:val="single" w:sz="4" w:space="0" w:color="000000"/>
            </w:tcBorders>
          </w:tcPr>
          <w:p>
            <w:pPr>
              <w:pStyle w:val="TableParagraph"/>
              <w:spacing w:line="254" w:lineRule="exact"/>
              <w:ind w:left="110"/>
              <w:rPr>
                <w:sz w:val="21"/>
              </w:rPr>
            </w:pPr>
            <w:r>
              <w:rPr>
                <w:sz w:val="21"/>
              </w:rPr>
              <w:t>44、良性脑肿瘤</w:t>
            </w:r>
          </w:p>
        </w:tc>
        <w:tc>
          <w:tcPr>
            <w:tcW w:w="3845" w:type="dxa"/>
            <w:tcBorders>
              <w:top w:val="single" w:sz="4" w:space="0" w:color="000000"/>
              <w:right w:val="single" w:sz="4" w:space="0" w:color="000000"/>
            </w:tcBorders>
          </w:tcPr>
          <w:p>
            <w:pPr>
              <w:pStyle w:val="TableParagraph"/>
              <w:spacing w:line="254" w:lineRule="exact"/>
              <w:ind w:left="110"/>
              <w:rPr>
                <w:sz w:val="21"/>
              </w:rPr>
            </w:pPr>
            <w:r>
              <w:rPr>
                <w:sz w:val="21"/>
              </w:rPr>
              <w:t>45、脑炎后遗症或脑膜炎后遗症</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46、深度昏迷</w:t>
            </w:r>
          </w:p>
        </w:tc>
        <w:tc>
          <w:tcPr>
            <w:tcW w:w="3845" w:type="dxa"/>
            <w:tcBorders>
              <w:right w:val="single" w:sz="4" w:space="0" w:color="000000"/>
            </w:tcBorders>
          </w:tcPr>
          <w:p>
            <w:pPr>
              <w:pStyle w:val="TableParagraph"/>
              <w:spacing w:line="256" w:lineRule="exact"/>
              <w:ind w:left="110"/>
              <w:rPr>
                <w:sz w:val="21"/>
              </w:rPr>
            </w:pPr>
            <w:r>
              <w:rPr>
                <w:sz w:val="21"/>
              </w:rPr>
              <w:t>47、严重阿尔茨海默病</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48、瘫痪</w:t>
            </w:r>
          </w:p>
        </w:tc>
        <w:tc>
          <w:tcPr>
            <w:tcW w:w="3845" w:type="dxa"/>
            <w:tcBorders>
              <w:right w:val="single" w:sz="4" w:space="0" w:color="000000"/>
            </w:tcBorders>
          </w:tcPr>
          <w:p>
            <w:pPr>
              <w:pStyle w:val="TableParagraph"/>
              <w:spacing w:line="256" w:lineRule="exact"/>
              <w:ind w:left="110"/>
              <w:rPr>
                <w:sz w:val="21"/>
              </w:rPr>
            </w:pPr>
            <w:r>
              <w:rPr>
                <w:sz w:val="21"/>
              </w:rPr>
              <w:t>49、严重的多发性硬化</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50、严重帕金森病</w:t>
            </w:r>
          </w:p>
        </w:tc>
        <w:tc>
          <w:tcPr>
            <w:tcW w:w="3845" w:type="dxa"/>
            <w:tcBorders>
              <w:right w:val="single" w:sz="4" w:space="0" w:color="000000"/>
            </w:tcBorders>
          </w:tcPr>
          <w:p>
            <w:pPr>
              <w:pStyle w:val="TableParagraph"/>
              <w:spacing w:line="256" w:lineRule="exact"/>
              <w:ind w:left="110"/>
              <w:rPr>
                <w:sz w:val="21"/>
              </w:rPr>
            </w:pPr>
            <w:r>
              <w:rPr>
                <w:sz w:val="21"/>
              </w:rPr>
              <w:t>51、严重运动神经元病</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52、严重脑损伤</w:t>
            </w:r>
          </w:p>
        </w:tc>
        <w:tc>
          <w:tcPr>
            <w:tcW w:w="3845" w:type="dxa"/>
            <w:tcBorders>
              <w:right w:val="single" w:sz="4" w:space="0" w:color="000000"/>
            </w:tcBorders>
          </w:tcPr>
          <w:p>
            <w:pPr>
              <w:pStyle w:val="TableParagraph"/>
              <w:spacing w:line="256" w:lineRule="exact"/>
              <w:ind w:left="110"/>
              <w:rPr>
                <w:sz w:val="21"/>
              </w:rPr>
            </w:pPr>
            <w:r>
              <w:rPr>
                <w:sz w:val="21"/>
              </w:rPr>
              <w:t>53、非阿尔茨海默病所致严重痴呆</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54、植物人状态</w:t>
            </w:r>
          </w:p>
        </w:tc>
        <w:tc>
          <w:tcPr>
            <w:tcW w:w="3845" w:type="dxa"/>
            <w:tcBorders>
              <w:right w:val="single" w:sz="4" w:space="0" w:color="000000"/>
            </w:tcBorders>
          </w:tcPr>
          <w:p>
            <w:pPr>
              <w:pStyle w:val="TableParagraph"/>
              <w:spacing w:line="256" w:lineRule="exact"/>
              <w:ind w:left="110"/>
              <w:rPr>
                <w:sz w:val="21"/>
              </w:rPr>
            </w:pPr>
            <w:r>
              <w:rPr>
                <w:sz w:val="21"/>
              </w:rPr>
              <w:t>55、进行性核上性麻痹</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56、开颅手术</w:t>
            </w:r>
          </w:p>
        </w:tc>
        <w:tc>
          <w:tcPr>
            <w:tcW w:w="3845" w:type="dxa"/>
            <w:tcBorders>
              <w:right w:val="single" w:sz="4" w:space="0" w:color="000000"/>
            </w:tcBorders>
          </w:tcPr>
          <w:p>
            <w:pPr>
              <w:pStyle w:val="TableParagraph"/>
              <w:spacing w:line="256" w:lineRule="exact"/>
              <w:ind w:left="110"/>
              <w:rPr>
                <w:sz w:val="21"/>
              </w:rPr>
            </w:pPr>
            <w:r>
              <w:rPr>
                <w:sz w:val="21"/>
              </w:rPr>
              <w:t>57、亚急性硬化性全脑炎</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58、克雅氏病</w:t>
            </w:r>
          </w:p>
        </w:tc>
        <w:tc>
          <w:tcPr>
            <w:tcW w:w="3845" w:type="dxa"/>
            <w:tcBorders>
              <w:right w:val="single" w:sz="4" w:space="0" w:color="000000"/>
            </w:tcBorders>
          </w:tcPr>
          <w:p>
            <w:pPr>
              <w:pStyle w:val="TableParagraph"/>
              <w:spacing w:line="256" w:lineRule="exact"/>
              <w:ind w:left="110"/>
              <w:rPr>
                <w:sz w:val="21"/>
              </w:rPr>
            </w:pPr>
            <w:r>
              <w:rPr>
                <w:sz w:val="21"/>
              </w:rPr>
              <w:t>59、丧失一眼及一肢</w:t>
            </w:r>
          </w:p>
        </w:tc>
      </w:tr>
      <w:tr>
        <w:trPr>
          <w:trHeight w:val="312" w:hRule="atLeast"/>
        </w:trPr>
        <w:tc>
          <w:tcPr>
            <w:tcW w:w="2880" w:type="dxa"/>
            <w:tcBorders>
              <w:left w:val="single" w:sz="4" w:space="0" w:color="000000"/>
            </w:tcBorders>
          </w:tcPr>
          <w:p>
            <w:pPr>
              <w:pStyle w:val="TableParagraph"/>
              <w:spacing w:line="256" w:lineRule="exact"/>
              <w:ind w:left="110"/>
              <w:rPr>
                <w:sz w:val="21"/>
              </w:rPr>
            </w:pPr>
            <w:r>
              <w:rPr>
                <w:sz w:val="21"/>
              </w:rPr>
              <w:t>60、进行性多灶性白质脑病</w:t>
            </w:r>
          </w:p>
        </w:tc>
        <w:tc>
          <w:tcPr>
            <w:tcW w:w="3845" w:type="dxa"/>
            <w:tcBorders>
              <w:right w:val="single" w:sz="4" w:space="0" w:color="000000"/>
            </w:tcBorders>
          </w:tcPr>
          <w:p>
            <w:pPr>
              <w:pStyle w:val="TableParagraph"/>
              <w:spacing w:line="256" w:lineRule="exact"/>
              <w:ind w:left="110"/>
              <w:rPr>
                <w:sz w:val="21"/>
              </w:rPr>
            </w:pPr>
            <w:r>
              <w:rPr>
                <w:sz w:val="21"/>
              </w:rPr>
              <w:t>61、破裂脑动脉瘤夹闭手术</w:t>
            </w:r>
          </w:p>
        </w:tc>
      </w:tr>
      <w:tr>
        <w:trPr>
          <w:trHeight w:val="313" w:hRule="atLeast"/>
        </w:trPr>
        <w:tc>
          <w:tcPr>
            <w:tcW w:w="2880" w:type="dxa"/>
            <w:tcBorders>
              <w:left w:val="single" w:sz="4" w:space="0" w:color="000000"/>
              <w:bottom w:val="single" w:sz="4" w:space="0" w:color="000000"/>
            </w:tcBorders>
          </w:tcPr>
          <w:p>
            <w:pPr>
              <w:pStyle w:val="TableParagraph"/>
              <w:spacing w:line="256" w:lineRule="exact"/>
              <w:ind w:left="110"/>
              <w:rPr>
                <w:sz w:val="21"/>
              </w:rPr>
            </w:pPr>
            <w:r>
              <w:rPr>
                <w:sz w:val="21"/>
              </w:rPr>
              <w:t>62、脊髓小脑变性症</w:t>
            </w:r>
          </w:p>
        </w:tc>
        <w:tc>
          <w:tcPr>
            <w:tcW w:w="3845" w:type="dxa"/>
            <w:tcBorders>
              <w:bottom w:val="single" w:sz="4" w:space="0" w:color="000000"/>
              <w:right w:val="single" w:sz="4" w:space="0" w:color="000000"/>
            </w:tcBorders>
          </w:tcPr>
          <w:p>
            <w:pPr>
              <w:pStyle w:val="TableParagraph"/>
              <w:rPr>
                <w:rFonts w:ascii="Times New Roman"/>
                <w:sz w:val="20"/>
              </w:rPr>
            </w:pPr>
          </w:p>
        </w:tc>
      </w:tr>
      <w:tr>
        <w:trPr>
          <w:trHeight w:val="311" w:hRule="atLeast"/>
        </w:trPr>
        <w:tc>
          <w:tcPr>
            <w:tcW w:w="67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10"/>
              <w:rPr>
                <w:b/>
                <w:sz w:val="21"/>
              </w:rPr>
            </w:pPr>
            <w:r>
              <w:rPr>
                <w:b/>
                <w:sz w:val="21"/>
              </w:rPr>
              <w:t>第 5 类：其他重大疾病</w:t>
            </w:r>
          </w:p>
        </w:tc>
      </w:tr>
      <w:tr>
        <w:trPr>
          <w:trHeight w:val="310" w:hRule="atLeast"/>
        </w:trPr>
        <w:tc>
          <w:tcPr>
            <w:tcW w:w="2880" w:type="dxa"/>
            <w:tcBorders>
              <w:top w:val="single" w:sz="4" w:space="0" w:color="000000"/>
              <w:left w:val="single" w:sz="4" w:space="0" w:color="000000"/>
            </w:tcBorders>
          </w:tcPr>
          <w:p>
            <w:pPr>
              <w:pStyle w:val="TableParagraph"/>
              <w:spacing w:line="254" w:lineRule="exact"/>
              <w:ind w:left="110"/>
              <w:rPr>
                <w:sz w:val="21"/>
              </w:rPr>
            </w:pPr>
            <w:r>
              <w:rPr>
                <w:sz w:val="21"/>
              </w:rPr>
              <w:t>63、多个肢体缺失</w:t>
            </w:r>
          </w:p>
        </w:tc>
        <w:tc>
          <w:tcPr>
            <w:tcW w:w="3845" w:type="dxa"/>
            <w:tcBorders>
              <w:top w:val="single" w:sz="4" w:space="0" w:color="000000"/>
              <w:right w:val="single" w:sz="4" w:space="0" w:color="000000"/>
            </w:tcBorders>
          </w:tcPr>
          <w:p>
            <w:pPr>
              <w:pStyle w:val="TableParagraph"/>
              <w:spacing w:line="254" w:lineRule="exact"/>
              <w:ind w:left="110"/>
              <w:rPr>
                <w:sz w:val="21"/>
              </w:rPr>
            </w:pPr>
            <w:r>
              <w:rPr>
                <w:sz w:val="21"/>
              </w:rPr>
              <w:t>64、严重的 1 型糖尿病</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65、严重Ⅲ度烧伤</w:t>
            </w:r>
          </w:p>
        </w:tc>
        <w:tc>
          <w:tcPr>
            <w:tcW w:w="3845" w:type="dxa"/>
            <w:tcBorders>
              <w:right w:val="single" w:sz="4" w:space="0" w:color="000000"/>
            </w:tcBorders>
          </w:tcPr>
          <w:p>
            <w:pPr>
              <w:pStyle w:val="TableParagraph"/>
              <w:spacing w:line="256" w:lineRule="exact"/>
              <w:ind w:left="110"/>
              <w:rPr>
                <w:sz w:val="21"/>
              </w:rPr>
            </w:pPr>
            <w:r>
              <w:rPr>
                <w:sz w:val="21"/>
              </w:rPr>
              <w:t>66、严重类风湿性关节炎</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67、象皮病</w:t>
            </w:r>
          </w:p>
        </w:tc>
        <w:tc>
          <w:tcPr>
            <w:tcW w:w="3845" w:type="dxa"/>
            <w:tcBorders>
              <w:right w:val="single" w:sz="4" w:space="0" w:color="000000"/>
            </w:tcBorders>
          </w:tcPr>
          <w:p>
            <w:pPr>
              <w:pStyle w:val="TableParagraph"/>
              <w:spacing w:line="256" w:lineRule="exact"/>
              <w:ind w:left="110"/>
              <w:rPr>
                <w:sz w:val="21"/>
              </w:rPr>
            </w:pPr>
            <w:r>
              <w:rPr>
                <w:sz w:val="21"/>
              </w:rPr>
              <w:t>68、经输血导致的艾滋病病毒感染或患</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69、严重肌营养不良症</w:t>
            </w:r>
          </w:p>
        </w:tc>
        <w:tc>
          <w:tcPr>
            <w:tcW w:w="3845" w:type="dxa"/>
            <w:tcBorders>
              <w:right w:val="single" w:sz="4" w:space="0" w:color="000000"/>
            </w:tcBorders>
          </w:tcPr>
          <w:p>
            <w:pPr>
              <w:pStyle w:val="TableParagraph"/>
              <w:spacing w:line="256" w:lineRule="exact"/>
              <w:ind w:left="532"/>
              <w:rPr>
                <w:sz w:val="21"/>
              </w:rPr>
            </w:pPr>
            <w:r>
              <w:rPr>
                <w:sz w:val="21"/>
              </w:rPr>
              <w:t>艾滋病</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70、弥漫性血管内凝血</w:t>
            </w:r>
          </w:p>
        </w:tc>
        <w:tc>
          <w:tcPr>
            <w:tcW w:w="3845" w:type="dxa"/>
            <w:tcBorders>
              <w:right w:val="single" w:sz="4" w:space="0" w:color="000000"/>
            </w:tcBorders>
          </w:tcPr>
          <w:p>
            <w:pPr>
              <w:pStyle w:val="TableParagraph"/>
              <w:spacing w:line="256" w:lineRule="exact"/>
              <w:ind w:left="110"/>
              <w:rPr>
                <w:sz w:val="21"/>
              </w:rPr>
            </w:pPr>
            <w:r>
              <w:rPr>
                <w:sz w:val="21"/>
              </w:rPr>
              <w:t>71、因职业关系导致的艾滋病病毒感染</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72、嗜铬细胞瘤</w:t>
            </w:r>
          </w:p>
        </w:tc>
        <w:tc>
          <w:tcPr>
            <w:tcW w:w="3845" w:type="dxa"/>
            <w:tcBorders>
              <w:right w:val="single" w:sz="4" w:space="0" w:color="000000"/>
            </w:tcBorders>
          </w:tcPr>
          <w:p>
            <w:pPr>
              <w:pStyle w:val="TableParagraph"/>
              <w:spacing w:line="256" w:lineRule="exact"/>
              <w:ind w:left="533"/>
              <w:rPr>
                <w:sz w:val="21"/>
              </w:rPr>
            </w:pPr>
            <w:r>
              <w:rPr>
                <w:sz w:val="21"/>
              </w:rPr>
              <w:t>或患艾滋病</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73、严重的原发性硬化性胆管</w:t>
            </w:r>
          </w:p>
        </w:tc>
        <w:tc>
          <w:tcPr>
            <w:tcW w:w="3845" w:type="dxa"/>
            <w:tcBorders>
              <w:right w:val="single" w:sz="4" w:space="0" w:color="000000"/>
            </w:tcBorders>
          </w:tcPr>
          <w:p>
            <w:pPr>
              <w:pStyle w:val="TableParagraph"/>
              <w:spacing w:line="256" w:lineRule="exact"/>
              <w:ind w:left="110"/>
              <w:rPr>
                <w:sz w:val="21"/>
              </w:rPr>
            </w:pPr>
            <w:r>
              <w:rPr>
                <w:sz w:val="21"/>
              </w:rPr>
              <w:t>74、因器官移植导致的艾滋病病毒感染</w:t>
            </w:r>
          </w:p>
        </w:tc>
      </w:tr>
      <w:tr>
        <w:trPr>
          <w:trHeight w:val="312" w:hRule="atLeast"/>
        </w:trPr>
        <w:tc>
          <w:tcPr>
            <w:tcW w:w="2880" w:type="dxa"/>
            <w:tcBorders>
              <w:left w:val="single" w:sz="4" w:space="0" w:color="000000"/>
            </w:tcBorders>
          </w:tcPr>
          <w:p>
            <w:pPr>
              <w:pStyle w:val="TableParagraph"/>
              <w:spacing w:line="256" w:lineRule="exact"/>
              <w:ind w:left="518"/>
              <w:rPr>
                <w:sz w:val="21"/>
              </w:rPr>
            </w:pPr>
            <w:r>
              <w:rPr>
                <w:w w:val="100"/>
                <w:sz w:val="21"/>
              </w:rPr>
              <w:t>炎</w:t>
            </w:r>
          </w:p>
        </w:tc>
        <w:tc>
          <w:tcPr>
            <w:tcW w:w="3845" w:type="dxa"/>
            <w:tcBorders>
              <w:right w:val="single" w:sz="4" w:space="0" w:color="000000"/>
            </w:tcBorders>
          </w:tcPr>
          <w:p>
            <w:pPr>
              <w:pStyle w:val="TableParagraph"/>
              <w:spacing w:line="256" w:lineRule="exact"/>
              <w:ind w:left="533"/>
              <w:rPr>
                <w:sz w:val="21"/>
              </w:rPr>
            </w:pPr>
            <w:r>
              <w:rPr>
                <w:sz w:val="21"/>
              </w:rPr>
              <w:t>或患艾滋病</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75、严重面部烧伤</w:t>
            </w:r>
          </w:p>
        </w:tc>
        <w:tc>
          <w:tcPr>
            <w:tcW w:w="3845" w:type="dxa"/>
            <w:tcBorders>
              <w:right w:val="single" w:sz="4" w:space="0" w:color="000000"/>
            </w:tcBorders>
          </w:tcPr>
          <w:p>
            <w:pPr>
              <w:pStyle w:val="TableParagraph"/>
              <w:spacing w:line="256" w:lineRule="exact"/>
              <w:ind w:left="110"/>
              <w:rPr>
                <w:sz w:val="21"/>
              </w:rPr>
            </w:pPr>
            <w:r>
              <w:rPr>
                <w:sz w:val="21"/>
              </w:rPr>
              <w:t>76、严重瑞氏综合症（Reye 综合征，也</w:t>
            </w:r>
          </w:p>
        </w:tc>
      </w:tr>
      <w:tr>
        <w:trPr>
          <w:trHeight w:val="311" w:hRule="atLeast"/>
        </w:trPr>
        <w:tc>
          <w:tcPr>
            <w:tcW w:w="2880" w:type="dxa"/>
            <w:tcBorders>
              <w:left w:val="single" w:sz="4" w:space="0" w:color="000000"/>
            </w:tcBorders>
          </w:tcPr>
          <w:p>
            <w:pPr>
              <w:pStyle w:val="TableParagraph"/>
              <w:spacing w:line="256" w:lineRule="exact"/>
              <w:ind w:left="110"/>
              <w:rPr>
                <w:sz w:val="21"/>
              </w:rPr>
            </w:pPr>
            <w:r>
              <w:rPr>
                <w:sz w:val="21"/>
              </w:rPr>
              <w:t>77、成骨不全症第三型</w:t>
            </w:r>
          </w:p>
        </w:tc>
        <w:tc>
          <w:tcPr>
            <w:tcW w:w="3845" w:type="dxa"/>
            <w:tcBorders>
              <w:right w:val="single" w:sz="4" w:space="0" w:color="000000"/>
            </w:tcBorders>
          </w:tcPr>
          <w:p>
            <w:pPr>
              <w:pStyle w:val="TableParagraph"/>
              <w:spacing w:line="256" w:lineRule="exact"/>
              <w:ind w:left="533"/>
              <w:rPr>
                <w:sz w:val="21"/>
              </w:rPr>
            </w:pPr>
            <w:r>
              <w:rPr>
                <w:sz w:val="21"/>
              </w:rPr>
              <w:t>称赖氏综合征、雷氏综合征）</w:t>
            </w:r>
          </w:p>
        </w:tc>
      </w:tr>
      <w:tr>
        <w:trPr>
          <w:trHeight w:val="312" w:hRule="atLeast"/>
        </w:trPr>
        <w:tc>
          <w:tcPr>
            <w:tcW w:w="2880" w:type="dxa"/>
            <w:tcBorders>
              <w:left w:val="single" w:sz="4" w:space="0" w:color="000000"/>
            </w:tcBorders>
          </w:tcPr>
          <w:p>
            <w:pPr>
              <w:pStyle w:val="TableParagraph"/>
              <w:spacing w:line="256" w:lineRule="exact"/>
              <w:ind w:left="110"/>
              <w:rPr>
                <w:sz w:val="21"/>
              </w:rPr>
            </w:pPr>
            <w:r>
              <w:rPr>
                <w:sz w:val="21"/>
              </w:rPr>
              <w:t>78、多处臂丛神经根性撕脱</w:t>
            </w:r>
          </w:p>
        </w:tc>
        <w:tc>
          <w:tcPr>
            <w:tcW w:w="3845" w:type="dxa"/>
            <w:tcBorders>
              <w:right w:val="single" w:sz="4" w:space="0" w:color="000000"/>
            </w:tcBorders>
          </w:tcPr>
          <w:p>
            <w:pPr>
              <w:pStyle w:val="TableParagraph"/>
              <w:spacing w:line="256" w:lineRule="exact"/>
              <w:ind w:left="110"/>
              <w:rPr>
                <w:sz w:val="21"/>
              </w:rPr>
            </w:pPr>
            <w:r>
              <w:rPr>
                <w:sz w:val="21"/>
              </w:rPr>
              <w:t>79、原发性脊柱侧弯的矫正手术</w:t>
            </w:r>
          </w:p>
        </w:tc>
      </w:tr>
      <w:tr>
        <w:trPr>
          <w:trHeight w:val="313" w:hRule="atLeast"/>
        </w:trPr>
        <w:tc>
          <w:tcPr>
            <w:tcW w:w="2880" w:type="dxa"/>
            <w:tcBorders>
              <w:left w:val="single" w:sz="4" w:space="0" w:color="000000"/>
              <w:bottom w:val="single" w:sz="4" w:space="0" w:color="000000"/>
            </w:tcBorders>
          </w:tcPr>
          <w:p>
            <w:pPr>
              <w:pStyle w:val="TableParagraph"/>
              <w:spacing w:line="256" w:lineRule="exact"/>
              <w:ind w:left="110"/>
              <w:rPr>
                <w:sz w:val="21"/>
              </w:rPr>
            </w:pPr>
            <w:r>
              <w:rPr>
                <w:sz w:val="21"/>
              </w:rPr>
              <w:t>80、溶血性链球菌引起的坏疽</w:t>
            </w:r>
          </w:p>
        </w:tc>
        <w:tc>
          <w:tcPr>
            <w:tcW w:w="3845" w:type="dxa"/>
            <w:tcBorders>
              <w:bottom w:val="single" w:sz="4" w:space="0" w:color="000000"/>
              <w:right w:val="single" w:sz="4" w:space="0" w:color="000000"/>
            </w:tcBorders>
          </w:tcPr>
          <w:p>
            <w:pPr>
              <w:pStyle w:val="TableParagraph"/>
              <w:rPr>
                <w:rFonts w:ascii="Times New Roman"/>
                <w:sz w:val="20"/>
              </w:rPr>
            </w:pPr>
          </w:p>
        </w:tc>
      </w:tr>
    </w:tbl>
    <w:p>
      <w:pPr>
        <w:spacing w:after="0"/>
        <w:rPr>
          <w:rFonts w:ascii="Times New Roman"/>
          <w:sz w:val="20"/>
        </w:rPr>
        <w:sectPr>
          <w:pgSz w:w="11910" w:h="16840"/>
          <w:pgMar w:top="1120" w:bottom="280" w:left="1680" w:right="960"/>
        </w:sectPr>
      </w:pPr>
    </w:p>
    <w:p>
      <w:pPr>
        <w:tabs>
          <w:tab w:pos="975" w:val="left" w:leader="none"/>
          <w:tab w:pos="3289" w:val="left" w:leader="none"/>
        </w:tabs>
        <w:spacing w:before="22"/>
        <w:ind w:left="332" w:right="0" w:firstLine="0"/>
        <w:jc w:val="left"/>
        <w:rPr>
          <w:sz w:val="21"/>
        </w:rPr>
      </w:pPr>
      <w:r>
        <w:rPr>
          <w:b/>
          <w:sz w:val="21"/>
        </w:rPr>
        <w:t>1.2</w:t>
        <w:tab/>
        <w:t>保险期间</w:t>
        <w:tab/>
      </w:r>
      <w:r>
        <w:rPr>
          <w:sz w:val="21"/>
        </w:rPr>
        <w:t>本</w:t>
      </w:r>
      <w:r>
        <w:rPr>
          <w:spacing w:val="2"/>
          <w:sz w:val="21"/>
        </w:rPr>
        <w:t>主</w:t>
      </w:r>
      <w:r>
        <w:rPr>
          <w:sz w:val="21"/>
        </w:rPr>
        <w:t>险合同</w:t>
      </w:r>
      <w:r>
        <w:rPr>
          <w:spacing w:val="2"/>
          <w:sz w:val="21"/>
        </w:rPr>
        <w:t>的</w:t>
      </w:r>
      <w:r>
        <w:rPr>
          <w:sz w:val="21"/>
        </w:rPr>
        <w:t>保险期</w:t>
      </w:r>
      <w:r>
        <w:rPr>
          <w:spacing w:val="2"/>
          <w:sz w:val="21"/>
        </w:rPr>
        <w:t>间</w:t>
      </w:r>
      <w:r>
        <w:rPr>
          <w:sz w:val="21"/>
        </w:rPr>
        <w:t>为终身</w:t>
      </w:r>
      <w:r>
        <w:rPr>
          <w:spacing w:val="2"/>
          <w:sz w:val="21"/>
        </w:rPr>
        <w:t>，</w:t>
      </w:r>
      <w:r>
        <w:rPr>
          <w:sz w:val="21"/>
        </w:rPr>
        <w:t>自本主</w:t>
      </w:r>
      <w:r>
        <w:rPr>
          <w:spacing w:val="2"/>
          <w:sz w:val="21"/>
        </w:rPr>
        <w:t>险</w:t>
      </w:r>
      <w:r>
        <w:rPr>
          <w:sz w:val="21"/>
        </w:rPr>
        <w:t>合同生</w:t>
      </w:r>
      <w:r>
        <w:rPr>
          <w:spacing w:val="2"/>
          <w:sz w:val="21"/>
        </w:rPr>
        <w:t>效</w:t>
      </w:r>
      <w:r>
        <w:rPr>
          <w:sz w:val="21"/>
        </w:rPr>
        <w:t>时起</w:t>
      </w:r>
      <w:r>
        <w:rPr>
          <w:spacing w:val="2"/>
          <w:sz w:val="21"/>
        </w:rPr>
        <w:t>至</w:t>
      </w:r>
      <w:r>
        <w:rPr>
          <w:sz w:val="21"/>
        </w:rPr>
        <w:t>本主险</w:t>
      </w:r>
      <w:r>
        <w:rPr>
          <w:spacing w:val="2"/>
          <w:sz w:val="21"/>
        </w:rPr>
        <w:t>合</w:t>
      </w:r>
      <w:r>
        <w:rPr>
          <w:sz w:val="21"/>
        </w:rPr>
        <w:t>同</w:t>
      </w:r>
      <w:r>
        <w:rPr>
          <w:spacing w:val="2"/>
          <w:sz w:val="21"/>
        </w:rPr>
        <w:t>约</w:t>
      </w:r>
      <w:r>
        <w:rPr>
          <w:sz w:val="21"/>
        </w:rPr>
        <w:t>定</w:t>
      </w:r>
    </w:p>
    <w:p>
      <w:pPr>
        <w:pStyle w:val="BodyText"/>
        <w:spacing w:before="36"/>
        <w:ind w:left="3289"/>
      </w:pPr>
      <w:r>
        <w:rPr/>
        <w:t>终止时止。</w:t>
      </w:r>
    </w:p>
    <w:p>
      <w:pPr>
        <w:pStyle w:val="BodyText"/>
        <w:spacing w:before="12"/>
      </w:pPr>
    </w:p>
    <w:p>
      <w:pPr>
        <w:tabs>
          <w:tab w:pos="975" w:val="left" w:leader="none"/>
        </w:tabs>
        <w:spacing w:line="381" w:lineRule="exact" w:before="60"/>
        <w:ind w:left="313" w:right="0" w:firstLine="0"/>
        <w:jc w:val="left"/>
        <w:rPr>
          <w:b/>
          <w:sz w:val="24"/>
        </w:rPr>
      </w:pPr>
      <w:r>
        <w:rPr>
          <w:rFonts w:ascii="Arial" w:hAnsi="Arial" w:eastAsia="Arial"/>
          <w:b/>
          <w:position w:val="-9"/>
          <w:sz w:val="40"/>
        </w:rPr>
        <w:t></w:t>
        <w:tab/>
      </w:r>
      <w:r>
        <w:rPr>
          <w:b/>
          <w:w w:val="95"/>
          <w:sz w:val="24"/>
        </w:rPr>
        <w:t>我们不保什么</w:t>
      </w:r>
    </w:p>
    <w:p>
      <w:pPr>
        <w:pStyle w:val="Heading3"/>
        <w:spacing w:line="230" w:lineRule="exact"/>
      </w:pPr>
      <w:r>
        <w:rPr/>
        <w:pict>
          <v:group style="position:absolute;margin-left:45.599998pt;margin-top:14.628665pt;width:504.25pt;height:1pt;mso-position-horizontal-relative:page;mso-position-vertical-relative:paragraph;z-index:1552;mso-wrap-distance-left:0;mso-wrap-distance-right:0" coordorigin="912,293" coordsize="10085,20">
            <v:line style="position:absolute" from="912,302" to="1670,302" stroked="true" strokeweight=".96pt" strokecolor="#000000">
              <v:stroke dashstyle="solid"/>
            </v:line>
            <v:rect style="position:absolute;left:1670;top:292;width:20;height:20" filled="true" fillcolor="#000000" stroked="false">
              <v:fill type="solid"/>
            </v:rect>
            <v:line style="position:absolute" from="1690,302" to="3984,302" stroked="true" strokeweight=".96pt" strokecolor="#000000">
              <v:stroke dashstyle="solid"/>
            </v:line>
            <v:rect style="position:absolute;left:3984;top:292;width:20;height:20" filled="true" fillcolor="#000000" stroked="false">
              <v:fill type="solid"/>
            </v:rect>
            <v:line style="position:absolute" from="4003,302" to="10997,302" stroked="true" strokeweight=".96pt" strokecolor="#000000">
              <v:stroke dashstyle="solid"/>
            </v:line>
            <w10:wrap type="topAndBottom"/>
          </v:group>
        </w:pict>
      </w:r>
      <w:r>
        <w:rPr/>
        <w:t>这部分讲的是我们不承担保险责任的情况。</w:t>
      </w:r>
    </w:p>
    <w:p>
      <w:pPr>
        <w:pStyle w:val="BodyText"/>
        <w:rPr>
          <w:sz w:val="14"/>
        </w:rPr>
      </w:pPr>
    </w:p>
    <w:p>
      <w:pPr>
        <w:tabs>
          <w:tab w:pos="975" w:val="left" w:leader="none"/>
          <w:tab w:pos="3289" w:val="left" w:leader="none"/>
        </w:tabs>
        <w:spacing w:before="36"/>
        <w:ind w:left="332" w:right="0" w:firstLine="0"/>
        <w:jc w:val="left"/>
        <w:rPr>
          <w:sz w:val="21"/>
        </w:rPr>
      </w:pPr>
      <w:r>
        <w:rPr>
          <w:b/>
          <w:sz w:val="21"/>
        </w:rPr>
        <w:t>2.1</w:t>
        <w:tab/>
        <w:t>责任免除</w:t>
        <w:tab/>
      </w:r>
      <w:r>
        <w:rPr>
          <w:sz w:val="21"/>
          <w:shd w:fill="DADADA" w:color="auto" w:val="clear"/>
        </w:rPr>
        <w:t>因</w:t>
      </w:r>
      <w:r>
        <w:rPr>
          <w:spacing w:val="2"/>
          <w:sz w:val="21"/>
          <w:shd w:fill="DADADA" w:color="auto" w:val="clear"/>
        </w:rPr>
        <w:t>下</w:t>
      </w:r>
      <w:r>
        <w:rPr>
          <w:sz w:val="21"/>
          <w:shd w:fill="DADADA" w:color="auto" w:val="clear"/>
        </w:rPr>
        <w:t>列情形</w:t>
      </w:r>
      <w:r>
        <w:rPr>
          <w:spacing w:val="2"/>
          <w:sz w:val="21"/>
          <w:shd w:fill="DADADA" w:color="auto" w:val="clear"/>
        </w:rPr>
        <w:t>之</w:t>
      </w:r>
      <w:r>
        <w:rPr>
          <w:sz w:val="21"/>
          <w:shd w:fill="DADADA" w:color="auto" w:val="clear"/>
        </w:rPr>
        <w:t>一导致</w:t>
      </w:r>
      <w:r>
        <w:rPr>
          <w:spacing w:val="2"/>
          <w:sz w:val="21"/>
          <w:shd w:fill="DADADA" w:color="auto" w:val="clear"/>
        </w:rPr>
        <w:t>被</w:t>
      </w:r>
      <w:r>
        <w:rPr>
          <w:sz w:val="21"/>
          <w:shd w:fill="DADADA" w:color="auto" w:val="clear"/>
        </w:rPr>
        <w:t>保险人</w:t>
      </w:r>
      <w:r>
        <w:rPr>
          <w:spacing w:val="2"/>
          <w:sz w:val="21"/>
          <w:shd w:fill="DADADA" w:color="auto" w:val="clear"/>
        </w:rPr>
        <w:t>发</w:t>
      </w:r>
      <w:r>
        <w:rPr>
          <w:sz w:val="21"/>
          <w:shd w:fill="DADADA" w:color="auto" w:val="clear"/>
        </w:rPr>
        <w:t>生“特</w:t>
      </w:r>
      <w:r>
        <w:rPr>
          <w:spacing w:val="2"/>
          <w:sz w:val="21"/>
          <w:shd w:fill="DADADA" w:color="auto" w:val="clear"/>
        </w:rPr>
        <w:t>定</w:t>
      </w:r>
      <w:r>
        <w:rPr>
          <w:sz w:val="21"/>
          <w:shd w:fill="DADADA" w:color="auto" w:val="clear"/>
        </w:rPr>
        <w:t>轻度重</w:t>
      </w:r>
      <w:r>
        <w:rPr>
          <w:spacing w:val="2"/>
          <w:sz w:val="21"/>
          <w:shd w:fill="DADADA" w:color="auto" w:val="clear"/>
        </w:rPr>
        <w:t>疾</w:t>
      </w:r>
      <w:r>
        <w:rPr>
          <w:sz w:val="21"/>
          <w:shd w:fill="DADADA" w:color="auto" w:val="clear"/>
        </w:rPr>
        <w:t>”或</w:t>
      </w:r>
      <w:r>
        <w:rPr>
          <w:spacing w:val="2"/>
          <w:sz w:val="21"/>
          <w:shd w:fill="DADADA" w:color="auto" w:val="clear"/>
        </w:rPr>
        <w:t>初</w:t>
      </w:r>
      <w:r>
        <w:rPr>
          <w:sz w:val="21"/>
          <w:shd w:fill="DADADA" w:color="auto" w:val="clear"/>
        </w:rPr>
        <w:t>次发生</w:t>
      </w:r>
      <w:r>
        <w:rPr>
          <w:spacing w:val="2"/>
          <w:sz w:val="21"/>
          <w:shd w:fill="DADADA" w:color="auto" w:val="clear"/>
        </w:rPr>
        <w:t>“</w:t>
      </w:r>
      <w:r>
        <w:rPr>
          <w:sz w:val="21"/>
          <w:shd w:fill="DADADA" w:color="auto" w:val="clear"/>
        </w:rPr>
        <w:t>重</w:t>
      </w:r>
      <w:r>
        <w:rPr>
          <w:spacing w:val="2"/>
          <w:sz w:val="21"/>
          <w:shd w:fill="DADADA" w:color="auto" w:val="clear"/>
        </w:rPr>
        <w:t>大</w:t>
      </w:r>
      <w:r>
        <w:rPr>
          <w:sz w:val="21"/>
          <w:shd w:fill="DADADA" w:color="auto" w:val="clear"/>
        </w:rPr>
        <w:t>疾</w:t>
      </w:r>
    </w:p>
    <w:p>
      <w:pPr>
        <w:pStyle w:val="BodyText"/>
        <w:spacing w:before="36"/>
        <w:ind w:left="3289"/>
      </w:pPr>
      <w:r>
        <w:rPr>
          <w:shd w:fill="DADADA" w:color="auto" w:val="clear"/>
        </w:rPr>
        <w:t>病”的，我们不承担给付特定轻度重疾保险金、重大疾病保险金的责任：</w:t>
      </w:r>
    </w:p>
    <w:p>
      <w:pPr>
        <w:pStyle w:val="BodyText"/>
        <w:spacing w:before="36"/>
        <w:ind w:left="3289"/>
      </w:pPr>
      <w:r>
        <w:rPr>
          <w:shd w:fill="DADADA" w:color="auto" w:val="clear"/>
        </w:rPr>
        <w:t>（1）投保人对被保险人的故意杀害、故意伤害；</w:t>
      </w:r>
    </w:p>
    <w:p>
      <w:pPr>
        <w:pStyle w:val="BodyText"/>
        <w:spacing w:before="36"/>
        <w:ind w:left="3289"/>
      </w:pPr>
      <w:r>
        <w:rPr/>
        <w:pict>
          <v:shape style="position:absolute;margin-left:203.639999pt;margin-top:17.183693pt;width:203.2pt;height:46.8pt;mso-position-horizontal-relative:page;mso-position-vertical-relative:paragraph;z-index:16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2"/>
                    <w:gridCol w:w="158"/>
                    <w:gridCol w:w="456"/>
                  </w:tblGrid>
                  <w:tr>
                    <w:trPr>
                      <w:trHeight w:val="267" w:hRule="atLeast"/>
                    </w:trPr>
                    <w:tc>
                      <w:tcPr>
                        <w:tcW w:w="3590" w:type="dxa"/>
                        <w:gridSpan w:val="2"/>
                        <w:tcBorders>
                          <w:top w:val="single" w:sz="18" w:space="0" w:color="FFFFFF"/>
                          <w:bottom w:val="single" w:sz="18" w:space="0" w:color="FFFFFF"/>
                        </w:tcBorders>
                        <w:shd w:val="clear" w:color="auto" w:fill="DADADA"/>
                      </w:tcPr>
                      <w:p>
                        <w:pPr>
                          <w:pStyle w:val="TableParagraph"/>
                          <w:spacing w:line="240" w:lineRule="exact"/>
                          <w:ind w:left="16" w:right="-29"/>
                          <w:rPr>
                            <w:sz w:val="21"/>
                          </w:rPr>
                        </w:pPr>
                        <w:r>
                          <w:rPr>
                            <w:sz w:val="21"/>
                          </w:rPr>
                          <w:t>（3）</w:t>
                        </w:r>
                        <w:r>
                          <w:rPr>
                            <w:spacing w:val="-4"/>
                            <w:sz w:val="21"/>
                          </w:rPr>
                          <w:t>被保险人主动吸食或注射</w:t>
                        </w:r>
                        <w:r>
                          <w:rPr>
                            <w:rFonts w:ascii="黑体" w:eastAsia="黑体" w:hint="eastAsia"/>
                            <w:b/>
                            <w:spacing w:val="-10"/>
                            <w:sz w:val="21"/>
                          </w:rPr>
                          <w:t>毒品 </w:t>
                        </w:r>
                        <w:hyperlink w:history="true" w:anchor="_bookmark8">
                          <w:r>
                            <w:rPr>
                              <w:rFonts w:ascii="黑体" w:eastAsia="黑体" w:hint="eastAsia"/>
                              <w:b/>
                              <w:position w:val="11"/>
                              <w:sz w:val="11"/>
                            </w:rPr>
                            <w:t>9</w:t>
                          </w:r>
                        </w:hyperlink>
                        <w:r>
                          <w:rPr>
                            <w:sz w:val="21"/>
                          </w:rPr>
                          <w:t>；</w:t>
                        </w:r>
                      </w:p>
                    </w:tc>
                    <w:tc>
                      <w:tcPr>
                        <w:tcW w:w="456" w:type="dxa"/>
                        <w:tcBorders>
                          <w:top w:val="single" w:sz="18" w:space="0" w:color="FFFFFF"/>
                          <w:bottom w:val="single" w:sz="18" w:space="0" w:color="FFFFFF"/>
                        </w:tcBorders>
                      </w:tcPr>
                      <w:p>
                        <w:pPr>
                          <w:pStyle w:val="TableParagraph"/>
                          <w:rPr>
                            <w:rFonts w:ascii="Times New Roman"/>
                            <w:sz w:val="18"/>
                          </w:rPr>
                        </w:pPr>
                      </w:p>
                    </w:tc>
                  </w:tr>
                  <w:tr>
                    <w:trPr>
                      <w:trHeight w:val="267" w:hRule="atLeast"/>
                    </w:trPr>
                    <w:tc>
                      <w:tcPr>
                        <w:tcW w:w="3432" w:type="dxa"/>
                        <w:tcBorders>
                          <w:top w:val="single" w:sz="18" w:space="0" w:color="FFFFFF"/>
                          <w:bottom w:val="single" w:sz="18" w:space="0" w:color="FFFFFF"/>
                        </w:tcBorders>
                        <w:shd w:val="clear" w:color="auto" w:fill="DADADA"/>
                      </w:tcPr>
                      <w:p>
                        <w:pPr>
                          <w:pStyle w:val="TableParagraph"/>
                          <w:spacing w:line="240" w:lineRule="exact"/>
                          <w:ind w:left="16" w:right="-29"/>
                          <w:rPr>
                            <w:sz w:val="21"/>
                          </w:rPr>
                        </w:pPr>
                        <w:r>
                          <w:rPr>
                            <w:sz w:val="21"/>
                          </w:rPr>
                          <w:t>（4）</w:t>
                        </w:r>
                        <w:r>
                          <w:rPr>
                            <w:spacing w:val="-3"/>
                            <w:sz w:val="21"/>
                          </w:rPr>
                          <w:t>被保险人</w:t>
                        </w:r>
                        <w:r>
                          <w:rPr>
                            <w:rFonts w:ascii="黑体" w:eastAsia="黑体" w:hint="eastAsia"/>
                            <w:b/>
                            <w:spacing w:val="-8"/>
                            <w:sz w:val="21"/>
                          </w:rPr>
                          <w:t>酒后驾驶 </w:t>
                        </w:r>
                        <w:hyperlink w:history="true" w:anchor="_bookmark9">
                          <w:r>
                            <w:rPr>
                              <w:rFonts w:ascii="黑体" w:eastAsia="黑体" w:hint="eastAsia"/>
                              <w:b/>
                              <w:spacing w:val="6"/>
                              <w:position w:val="11"/>
                              <w:sz w:val="11"/>
                            </w:rPr>
                            <w:t>10</w:t>
                          </w:r>
                        </w:hyperlink>
                        <w:r>
                          <w:rPr>
                            <w:rFonts w:ascii="黑体" w:eastAsia="黑体" w:hint="eastAsia"/>
                            <w:b/>
                            <w:spacing w:val="-10"/>
                            <w:sz w:val="21"/>
                          </w:rPr>
                          <w:t>机动车 </w:t>
                        </w:r>
                        <w:hyperlink w:history="true" w:anchor="_bookmark10">
                          <w:r>
                            <w:rPr>
                              <w:rFonts w:ascii="黑体" w:eastAsia="黑体" w:hint="eastAsia"/>
                              <w:b/>
                              <w:spacing w:val="3"/>
                              <w:position w:val="11"/>
                              <w:sz w:val="11"/>
                            </w:rPr>
                            <w:t>11</w:t>
                          </w:r>
                        </w:hyperlink>
                        <w:r>
                          <w:rPr>
                            <w:spacing w:val="3"/>
                            <w:sz w:val="21"/>
                          </w:rPr>
                          <w:t>；</w:t>
                        </w:r>
                      </w:p>
                    </w:tc>
                    <w:tc>
                      <w:tcPr>
                        <w:tcW w:w="614" w:type="dxa"/>
                        <w:gridSpan w:val="2"/>
                        <w:tcBorders>
                          <w:top w:val="single" w:sz="18" w:space="0" w:color="FFFFFF"/>
                          <w:bottom w:val="single" w:sz="18" w:space="0" w:color="FFFFFF"/>
                        </w:tcBorders>
                      </w:tcPr>
                      <w:p>
                        <w:pPr>
                          <w:pStyle w:val="TableParagraph"/>
                          <w:rPr>
                            <w:rFonts w:ascii="Times New Roman"/>
                            <w:sz w:val="18"/>
                          </w:rPr>
                        </w:pPr>
                      </w:p>
                    </w:tc>
                  </w:tr>
                  <w:tr>
                    <w:trPr>
                      <w:trHeight w:val="272" w:hRule="atLeast"/>
                    </w:trPr>
                    <w:tc>
                      <w:tcPr>
                        <w:tcW w:w="4046" w:type="dxa"/>
                        <w:gridSpan w:val="3"/>
                        <w:tcBorders>
                          <w:top w:val="single" w:sz="18" w:space="0" w:color="FFFFFF"/>
                        </w:tcBorders>
                        <w:shd w:val="clear" w:color="auto" w:fill="DADADA"/>
                      </w:tcPr>
                      <w:p>
                        <w:pPr>
                          <w:pStyle w:val="TableParagraph"/>
                          <w:spacing w:line="240" w:lineRule="exact"/>
                          <w:ind w:left="16"/>
                          <w:rPr>
                            <w:rFonts w:ascii="黑体" w:eastAsia="黑体" w:hint="eastAsia"/>
                            <w:b/>
                            <w:sz w:val="11"/>
                          </w:rPr>
                        </w:pPr>
                        <w:r>
                          <w:rPr>
                            <w:spacing w:val="-13"/>
                            <w:sz w:val="21"/>
                          </w:rPr>
                          <w:t>（5）</w:t>
                        </w:r>
                        <w:r>
                          <w:rPr>
                            <w:spacing w:val="-2"/>
                            <w:sz w:val="21"/>
                          </w:rPr>
                          <w:t>被保险人</w:t>
                        </w:r>
                        <w:r>
                          <w:rPr>
                            <w:rFonts w:ascii="黑体" w:eastAsia="黑体" w:hint="eastAsia"/>
                            <w:b/>
                            <w:spacing w:val="-3"/>
                            <w:sz w:val="21"/>
                          </w:rPr>
                          <w:t>感染艾滋病病毒或患艾滋病 </w:t>
                        </w:r>
                        <w:hyperlink w:history="true" w:anchor="_bookmark11">
                          <w:r>
                            <w:rPr>
                              <w:rFonts w:ascii="黑体" w:eastAsia="黑体" w:hint="eastAsia"/>
                              <w:b/>
                              <w:spacing w:val="-13"/>
                              <w:position w:val="11"/>
                              <w:sz w:val="11"/>
                            </w:rPr>
                            <w:t>12</w:t>
                          </w:r>
                        </w:hyperlink>
                      </w:p>
                    </w:tc>
                  </w:tr>
                </w:tbl>
                <w:p>
                  <w:pPr>
                    <w:pStyle w:val="BodyText"/>
                  </w:pPr>
                </w:p>
              </w:txbxContent>
            </v:textbox>
            <w10:wrap type="none"/>
          </v:shape>
        </w:pict>
      </w:r>
      <w:r>
        <w:rPr>
          <w:shd w:fill="DADADA" w:color="auto" w:val="clear"/>
        </w:rPr>
        <w:t>（2）被保险人故意自伤、故意犯罪或者抗拒依法采取的刑事强制措施；</w:t>
      </w:r>
    </w:p>
    <w:p>
      <w:pPr>
        <w:pStyle w:val="BodyText"/>
        <w:rPr>
          <w:sz w:val="20"/>
        </w:rPr>
      </w:pPr>
    </w:p>
    <w:p>
      <w:pPr>
        <w:pStyle w:val="BodyText"/>
        <w:rPr>
          <w:sz w:val="20"/>
        </w:rPr>
      </w:pPr>
    </w:p>
    <w:p>
      <w:pPr>
        <w:pStyle w:val="BodyText"/>
        <w:spacing w:line="273" w:lineRule="auto" w:before="137"/>
        <w:ind w:left="3793" w:right="100" w:firstLine="3504"/>
      </w:pPr>
      <w:r>
        <w:rPr/>
        <w:t>（</w:t>
      </w:r>
      <w:r>
        <w:rPr>
          <w:spacing w:val="-7"/>
        </w:rPr>
        <w:t>不包括经输血、因职业关系、</w:t>
      </w:r>
      <w:r>
        <w:rPr>
          <w:spacing w:val="-6"/>
          <w:w w:val="100"/>
        </w:rPr>
        <w:t>器官移植导致的艾滋病病毒感染或患艾滋病</w:t>
      </w:r>
      <w:r>
        <w:rPr>
          <w:spacing w:val="-106"/>
          <w:w w:val="100"/>
        </w:rPr>
        <w:t>）</w:t>
      </w:r>
      <w:r>
        <w:rPr>
          <w:w w:val="100"/>
        </w:rPr>
        <w:t>；</w:t>
      </w:r>
    </w:p>
    <w:p>
      <w:pPr>
        <w:pStyle w:val="BodyText"/>
        <w:spacing w:before="7"/>
        <w:ind w:left="3289"/>
      </w:pPr>
      <w:r>
        <w:rPr>
          <w:shd w:fill="DADADA" w:color="auto" w:val="clear"/>
        </w:rPr>
        <w:t>（6）战争、军事冲突、暴乱或武装叛乱；</w:t>
      </w:r>
    </w:p>
    <w:p>
      <w:pPr>
        <w:pStyle w:val="BodyText"/>
        <w:spacing w:before="36"/>
        <w:ind w:left="3289"/>
      </w:pPr>
      <w:r>
        <w:rPr>
          <w:shd w:fill="DADADA" w:color="auto" w:val="clear"/>
        </w:rPr>
        <w:t>（7）核爆炸、核辐射或核污染；</w:t>
      </w:r>
    </w:p>
    <w:p>
      <w:pPr>
        <w:spacing w:before="36"/>
        <w:ind w:left="3289" w:right="0" w:firstLine="0"/>
        <w:jc w:val="left"/>
        <w:rPr>
          <w:sz w:val="21"/>
        </w:rPr>
      </w:pPr>
      <w:r>
        <w:rPr/>
        <w:pict>
          <v:rect style="position:absolute;margin-left:204.479996pt;margin-top:3.263682pt;width:85.68pt;height:13.92pt;mso-position-horizontal-relative:page;mso-position-vertical-relative:paragraph;z-index:-80632" filled="true" fillcolor="#dadada" stroked="false">
            <v:fill type="solid"/>
            <w10:wrap type="none"/>
          </v:rect>
        </w:pict>
      </w:r>
      <w:r>
        <w:rPr>
          <w:w w:val="100"/>
          <w:sz w:val="21"/>
        </w:rPr>
        <w:t>（8</w:t>
      </w:r>
      <w:r>
        <w:rPr>
          <w:spacing w:val="-58"/>
          <w:w w:val="100"/>
          <w:sz w:val="21"/>
        </w:rPr>
        <w:t>）</w:t>
      </w:r>
      <w:r>
        <w:rPr>
          <w:rFonts w:ascii="黑体" w:eastAsia="黑体" w:hint="eastAsia"/>
          <w:b/>
          <w:w w:val="100"/>
          <w:sz w:val="21"/>
        </w:rPr>
        <w:t>遗传性疾病</w:t>
      </w:r>
      <w:r>
        <w:rPr>
          <w:rFonts w:ascii="黑体" w:eastAsia="黑体" w:hint="eastAsia"/>
          <w:b/>
          <w:spacing w:val="-44"/>
          <w:sz w:val="21"/>
        </w:rPr>
        <w:t> </w:t>
      </w:r>
      <w:hyperlink w:history="true" w:anchor="_bookmark12">
        <w:r>
          <w:rPr>
            <w:rFonts w:ascii="黑体" w:eastAsia="黑体" w:hint="eastAsia"/>
            <w:b/>
            <w:spacing w:val="6"/>
            <w:w w:val="99"/>
            <w:position w:val="11"/>
            <w:sz w:val="11"/>
          </w:rPr>
          <w:t>1</w:t>
        </w:r>
        <w:r>
          <w:rPr>
            <w:rFonts w:ascii="黑体" w:eastAsia="黑体" w:hint="eastAsia"/>
            <w:b/>
            <w:spacing w:val="-46"/>
            <w:w w:val="99"/>
            <w:position w:val="11"/>
            <w:sz w:val="11"/>
          </w:rPr>
          <w:t>3</w:t>
        </w:r>
      </w:hyperlink>
      <w:r>
        <w:rPr>
          <w:w w:val="100"/>
          <w:sz w:val="21"/>
        </w:rPr>
        <w:t>（</w:t>
      </w:r>
      <w:r>
        <w:rPr>
          <w:spacing w:val="-10"/>
          <w:w w:val="100"/>
          <w:sz w:val="21"/>
        </w:rPr>
        <w:t>不包括严重肾髓质囊性病、严重肝豆状核变性</w:t>
      </w:r>
      <w:r>
        <w:rPr>
          <w:spacing w:val="-1"/>
          <w:w w:val="100"/>
          <w:sz w:val="21"/>
        </w:rPr>
        <w:t>（</w:t>
      </w:r>
      <w:r>
        <w:rPr>
          <w:spacing w:val="-5"/>
          <w:w w:val="100"/>
          <w:sz w:val="21"/>
        </w:rPr>
        <w:t>W</w:t>
      </w:r>
      <w:r>
        <w:rPr>
          <w:w w:val="100"/>
          <w:sz w:val="21"/>
        </w:rPr>
        <w:t>ils</w:t>
      </w:r>
      <w:r>
        <w:rPr>
          <w:spacing w:val="-5"/>
          <w:w w:val="100"/>
          <w:sz w:val="21"/>
        </w:rPr>
        <w:t>o</w:t>
      </w:r>
      <w:r>
        <w:rPr>
          <w:w w:val="100"/>
          <w:sz w:val="21"/>
        </w:rPr>
        <w:t>n</w:t>
      </w:r>
    </w:p>
    <w:p>
      <w:pPr>
        <w:spacing w:before="36"/>
        <w:ind w:left="3755" w:right="0" w:firstLine="0"/>
        <w:jc w:val="left"/>
        <w:rPr>
          <w:rFonts w:ascii="黑体" w:eastAsia="黑体" w:hint="eastAsia"/>
          <w:b/>
          <w:sz w:val="21"/>
        </w:rPr>
      </w:pPr>
      <w:r>
        <w:rPr/>
        <w:pict>
          <v:shape style="position:absolute;margin-left:227.759995pt;margin-top:18.863676pt;width:62.2pt;height:13.95pt;mso-position-horizontal-relative:page;mso-position-vertical-relative:paragraph;z-index:1576;mso-wrap-distance-left:0;mso-wrap-distance-right:0" type="#_x0000_t202" filled="true" fillcolor="#dadada" stroked="false">
            <v:textbox inset="0,0,0,0">
              <w:txbxContent>
                <w:p>
                  <w:pPr>
                    <w:spacing w:line="246" w:lineRule="exact" w:before="0"/>
                    <w:ind w:left="0" w:right="-15" w:firstLine="0"/>
                    <w:jc w:val="left"/>
                    <w:rPr>
                      <w:sz w:val="21"/>
                    </w:rPr>
                  </w:pPr>
                  <w:r>
                    <w:rPr>
                      <w:rFonts w:ascii="黑体" w:eastAsia="黑体" w:hint="eastAsia"/>
                      <w:b/>
                      <w:spacing w:val="-8"/>
                      <w:sz w:val="21"/>
                    </w:rPr>
                    <w:t>色体异常 </w:t>
                  </w:r>
                  <w:hyperlink w:history="true" w:anchor="_bookmark13">
                    <w:r>
                      <w:rPr>
                        <w:rFonts w:ascii="黑体" w:eastAsia="黑体" w:hint="eastAsia"/>
                        <w:b/>
                        <w:spacing w:val="5"/>
                        <w:position w:val="11"/>
                        <w:sz w:val="11"/>
                      </w:rPr>
                      <w:t>14</w:t>
                    </w:r>
                  </w:hyperlink>
                  <w:r>
                    <w:rPr>
                      <w:sz w:val="21"/>
                    </w:rPr>
                    <w:t>。</w:t>
                  </w:r>
                </w:p>
              </w:txbxContent>
            </v:textbox>
            <v:fill type="solid"/>
            <w10:wrap type="topAndBottom"/>
          </v:shape>
        </w:pict>
      </w:r>
      <w:r>
        <w:rPr>
          <w:w w:val="100"/>
          <w:sz w:val="21"/>
        </w:rPr>
        <w:t>病</w:t>
      </w:r>
      <w:r>
        <w:rPr>
          <w:spacing w:val="-106"/>
          <w:w w:val="100"/>
          <w:sz w:val="21"/>
        </w:rPr>
        <w:t>）</w:t>
      </w:r>
      <w:r>
        <w:rPr>
          <w:spacing w:val="-1"/>
          <w:w w:val="100"/>
          <w:sz w:val="21"/>
        </w:rPr>
        <w:t>、艾森门格综合征及成骨不全症第三型</w:t>
      </w:r>
      <w:r>
        <w:rPr>
          <w:spacing w:val="-106"/>
          <w:w w:val="100"/>
          <w:sz w:val="21"/>
        </w:rPr>
        <w:t>）</w:t>
      </w:r>
      <w:r>
        <w:rPr>
          <w:spacing w:val="-5"/>
          <w:w w:val="100"/>
          <w:sz w:val="21"/>
        </w:rPr>
        <w:t>，</w:t>
      </w:r>
      <w:r>
        <w:rPr>
          <w:rFonts w:ascii="黑体" w:eastAsia="黑体" w:hint="eastAsia"/>
          <w:b/>
          <w:w w:val="100"/>
          <w:sz w:val="21"/>
          <w:shd w:fill="DADADA" w:color="auto" w:val="clear"/>
        </w:rPr>
        <w:t>先天性畸形、变形或染</w:t>
      </w:r>
    </w:p>
    <w:p>
      <w:pPr>
        <w:pStyle w:val="BodyText"/>
        <w:spacing w:line="273" w:lineRule="auto"/>
        <w:ind w:left="3289" w:right="178"/>
      </w:pPr>
      <w:r>
        <w:rPr>
          <w:shd w:fill="DADADA" w:color="auto" w:val="clear"/>
        </w:rPr>
        <w:t>发生上述第（1）项情形导致被保险人初次发生“重大疾病”的，本主险合同终止，我们向被保险人退还本主险合同的现金价值。</w:t>
      </w:r>
    </w:p>
    <w:p>
      <w:pPr>
        <w:pStyle w:val="BodyText"/>
        <w:spacing w:line="273" w:lineRule="auto" w:before="18"/>
        <w:ind w:left="3289" w:right="210"/>
      </w:pPr>
      <w:r>
        <w:rPr>
          <w:shd w:fill="DADADA" w:color="auto" w:val="clear"/>
        </w:rPr>
        <w:t>发生上述其他情形导致被保险人初次发生“重大疾病”的，本主险合同终止，我们向您退还本主险合同的现金价值。</w:t>
      </w:r>
    </w:p>
    <w:p>
      <w:pPr>
        <w:pStyle w:val="BodyText"/>
        <w:spacing w:before="8"/>
      </w:pPr>
    </w:p>
    <w:p>
      <w:pPr>
        <w:pStyle w:val="BodyText"/>
        <w:spacing w:before="36"/>
        <w:ind w:left="3289"/>
      </w:pPr>
      <w:r>
        <w:rPr>
          <w:shd w:fill="DADADA" w:color="auto" w:val="clear"/>
        </w:rPr>
        <w:t>因下列情形之一导致被保险人身故的，我们不承担给付身故保险金的责任：</w:t>
      </w:r>
    </w:p>
    <w:p>
      <w:pPr>
        <w:pStyle w:val="BodyText"/>
        <w:spacing w:before="36"/>
        <w:ind w:left="3289"/>
      </w:pPr>
      <w:r>
        <w:rPr>
          <w:shd w:fill="DADADA" w:color="auto" w:val="clear"/>
        </w:rPr>
        <w:t>（1）投保人对被保险人的故意杀害、故意伤害；</w:t>
      </w:r>
    </w:p>
    <w:p>
      <w:pPr>
        <w:pStyle w:val="BodyText"/>
        <w:spacing w:before="36"/>
        <w:ind w:left="3289"/>
      </w:pPr>
      <w:r>
        <w:rPr>
          <w:shd w:fill="DADADA" w:color="auto" w:val="clear"/>
        </w:rPr>
        <w:t>（2）被保险人故意犯罪或者抗拒依法采取的刑事强制措施；</w:t>
      </w:r>
    </w:p>
    <w:p>
      <w:pPr>
        <w:pStyle w:val="BodyText"/>
        <w:spacing w:line="273" w:lineRule="auto" w:before="36"/>
        <w:ind w:left="3793" w:right="234" w:hanging="504"/>
      </w:pPr>
      <w:r>
        <w:rPr>
          <w:spacing w:val="-5"/>
          <w:shd w:fill="DADADA" w:color="auto" w:val="clear"/>
        </w:rPr>
        <w:t>（3）</w:t>
      </w:r>
      <w:r>
        <w:rPr>
          <w:spacing w:val="-7"/>
          <w:shd w:fill="DADADA" w:color="auto" w:val="clear"/>
        </w:rPr>
        <w:t>被保险人自本主险合同成立或者合同效力恢复之日起 </w:t>
      </w:r>
      <w:r>
        <w:rPr>
          <w:shd w:fill="DADADA" w:color="auto" w:val="clear"/>
        </w:rPr>
        <w:t>2</w:t>
      </w:r>
      <w:r>
        <w:rPr>
          <w:spacing w:val="-9"/>
          <w:shd w:fill="DADADA" w:color="auto" w:val="clear"/>
        </w:rPr>
        <w:t> 年内自杀</w:t>
      </w:r>
      <w:r>
        <w:rPr>
          <w:spacing w:val="-20"/>
        </w:rPr>
        <w:t>，但</w:t>
      </w:r>
      <w:r>
        <w:rPr>
          <w:spacing w:val="-4"/>
        </w:rPr>
        <w:t>被保险人自杀时为无民事行为能力人的除外；</w:t>
      </w:r>
    </w:p>
    <w:p>
      <w:pPr>
        <w:pStyle w:val="BodyText"/>
        <w:spacing w:before="7"/>
        <w:ind w:left="3289"/>
      </w:pPr>
      <w:r>
        <w:rPr>
          <w:shd w:fill="DADADA" w:color="auto" w:val="clear"/>
        </w:rPr>
        <w:t>（4）被保险人主动吸食或注射毒品；</w:t>
      </w:r>
    </w:p>
    <w:p>
      <w:pPr>
        <w:pStyle w:val="BodyText"/>
        <w:spacing w:before="37"/>
        <w:ind w:left="3289"/>
      </w:pPr>
      <w:r>
        <w:rPr>
          <w:shd w:fill="DADADA" w:color="auto" w:val="clear"/>
        </w:rPr>
        <w:t>（5）被保险人酒后驾驶机动车；</w:t>
      </w:r>
    </w:p>
    <w:p>
      <w:pPr>
        <w:pStyle w:val="BodyText"/>
        <w:spacing w:before="37"/>
        <w:ind w:left="3289"/>
      </w:pPr>
      <w:r>
        <w:rPr>
          <w:shd w:fill="DADADA" w:color="auto" w:val="clear"/>
        </w:rPr>
        <w:t>（6）战争、军事冲突、暴乱或武装叛乱；</w:t>
      </w:r>
    </w:p>
    <w:p>
      <w:pPr>
        <w:pStyle w:val="BodyText"/>
        <w:spacing w:before="37"/>
        <w:ind w:left="3289"/>
      </w:pPr>
      <w:r>
        <w:rPr>
          <w:shd w:fill="DADADA" w:color="auto" w:val="clear"/>
        </w:rPr>
        <w:t>（7）核爆炸、核辐射或核污染。</w:t>
      </w:r>
    </w:p>
    <w:p>
      <w:pPr>
        <w:pStyle w:val="BodyText"/>
        <w:spacing w:before="4"/>
        <w:rPr>
          <w:sz w:val="19"/>
        </w:rPr>
      </w:pPr>
      <w:r>
        <w:rPr/>
        <w:pict>
          <v:line style="position:absolute;mso-position-horizontal-relative:page;mso-position-vertical-relative:paragraph;z-index:1600;mso-wrap-distance-left:0;mso-wrap-distance-right:0" from="51.119999pt,14.842616pt" to="195.119999pt,14.842616pt" stroked="true" strokeweight=".48pt" strokecolor="#000000">
            <v:stroke dashstyle="solid"/>
            <w10:wrap type="topAndBottom"/>
          </v:line>
        </w:pict>
      </w:r>
    </w:p>
    <w:p>
      <w:pPr>
        <w:spacing w:line="261" w:lineRule="auto" w:before="25"/>
        <w:ind w:left="404" w:right="209" w:hanging="183"/>
        <w:jc w:val="left"/>
        <w:rPr>
          <w:sz w:val="18"/>
        </w:rPr>
      </w:pPr>
      <w:bookmarkStart w:name="_bookmark8" w:id="9"/>
      <w:bookmarkEnd w:id="9"/>
      <w:r>
        <w:rPr/>
      </w:r>
      <w:r>
        <w:rPr>
          <w:rFonts w:ascii="Microsoft JhengHei" w:eastAsia="Microsoft JhengHei" w:hint="eastAsia"/>
          <w:b/>
          <w:position w:val="9"/>
          <w:sz w:val="9"/>
        </w:rPr>
        <w:t>9</w:t>
      </w:r>
      <w:r>
        <w:rPr>
          <w:rFonts w:ascii="Microsoft JhengHei" w:eastAsia="Microsoft JhengHei" w:hint="eastAsia"/>
          <w:b/>
          <w:spacing w:val="2"/>
          <w:position w:val="9"/>
          <w:sz w:val="9"/>
        </w:rPr>
        <w:t>   </w:t>
      </w:r>
      <w:r>
        <w:rPr>
          <w:rFonts w:ascii="Microsoft JhengHei" w:eastAsia="Microsoft JhengHei" w:hint="eastAsia"/>
          <w:b/>
          <w:sz w:val="18"/>
        </w:rPr>
        <w:t>毒品</w:t>
      </w:r>
      <w:r>
        <w:rPr>
          <w:spacing w:val="-10"/>
          <w:sz w:val="18"/>
        </w:rPr>
        <w:t>指《中华人民共和国刑法》规定的鸦片、海洛因、甲基苯丙胺</w:t>
      </w:r>
      <w:r>
        <w:rPr>
          <w:sz w:val="18"/>
        </w:rPr>
        <w:t>（</w:t>
      </w:r>
      <w:r>
        <w:rPr>
          <w:spacing w:val="-3"/>
          <w:sz w:val="18"/>
        </w:rPr>
        <w:t>冰毒</w:t>
      </w:r>
      <w:r>
        <w:rPr>
          <w:spacing w:val="-96"/>
          <w:sz w:val="18"/>
        </w:rPr>
        <w:t>）</w:t>
      </w:r>
      <w:r>
        <w:rPr>
          <w:spacing w:val="-8"/>
          <w:sz w:val="18"/>
        </w:rPr>
        <w:t>、吗啡、大麻、可卡因以及国家规定管制的其他能</w:t>
      </w:r>
      <w:r>
        <w:rPr>
          <w:spacing w:val="-5"/>
          <w:sz w:val="18"/>
        </w:rPr>
        <w:t>够使人形成瘾癖的麻醉药品和精神药品，但不包括由医生开具并遵医嘱使用的用于治疗疾病但含有毒品成分的处方药品。</w:t>
      </w:r>
    </w:p>
    <w:p>
      <w:pPr>
        <w:spacing w:line="278" w:lineRule="exact" w:before="14"/>
        <w:ind w:left="404" w:right="209" w:hanging="183"/>
        <w:jc w:val="left"/>
        <w:rPr>
          <w:sz w:val="18"/>
        </w:rPr>
      </w:pPr>
      <w:bookmarkStart w:name="_bookmark9" w:id="10"/>
      <w:bookmarkEnd w:id="10"/>
      <w:r>
        <w:rPr/>
      </w:r>
      <w:r>
        <w:rPr>
          <w:rFonts w:ascii="Microsoft JhengHei" w:eastAsia="Microsoft JhengHei" w:hint="eastAsia"/>
          <w:b/>
          <w:spacing w:val="2"/>
          <w:position w:val="9"/>
          <w:sz w:val="9"/>
        </w:rPr>
        <w:t>10   </w:t>
      </w:r>
      <w:r>
        <w:rPr>
          <w:rFonts w:ascii="Microsoft JhengHei" w:eastAsia="Microsoft JhengHei" w:hint="eastAsia"/>
          <w:b/>
          <w:spacing w:val="-2"/>
          <w:sz w:val="18"/>
        </w:rPr>
        <w:t>酒后驾驶</w:t>
      </w:r>
      <w:r>
        <w:rPr>
          <w:spacing w:val="-8"/>
          <w:sz w:val="18"/>
        </w:rPr>
        <w:t>指经检测或鉴定，发生事故时车辆驾驶人员每百毫升血液中的酒精含量达到或超过一定的标准，公安机关交通管理</w:t>
      </w:r>
      <w:r>
        <w:rPr>
          <w:spacing w:val="-5"/>
          <w:sz w:val="18"/>
        </w:rPr>
        <w:t>部门依据《中华人民共和国道路交通安全法》的规定认定为饮酒后驾驶或醉酒后驾驶。</w:t>
      </w:r>
    </w:p>
    <w:p>
      <w:pPr>
        <w:spacing w:line="256" w:lineRule="exact" w:before="0"/>
        <w:ind w:left="222" w:right="0" w:firstLine="0"/>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78" w:lineRule="exact" w:before="28"/>
        <w:ind w:left="404" w:right="210" w:hanging="183"/>
        <w:jc w:val="left"/>
        <w:rPr>
          <w:sz w:val="18"/>
        </w:rPr>
      </w:pPr>
      <w:bookmarkStart w:name="_bookmark11" w:id="12"/>
      <w:bookmarkEnd w:id="12"/>
      <w:r>
        <w:rPr/>
      </w:r>
      <w:r>
        <w:rPr>
          <w:rFonts w:ascii="Microsoft JhengHei" w:eastAsia="Microsoft JhengHei" w:hint="eastAsia"/>
          <w:b/>
          <w:spacing w:val="2"/>
          <w:position w:val="9"/>
          <w:sz w:val="9"/>
        </w:rPr>
        <w:t>12</w:t>
      </w:r>
      <w:r>
        <w:rPr>
          <w:rFonts w:ascii="Microsoft JhengHei" w:eastAsia="Microsoft JhengHei" w:hint="eastAsia"/>
          <w:b/>
          <w:spacing w:val="1"/>
          <w:position w:val="9"/>
          <w:sz w:val="9"/>
        </w:rPr>
        <w:t> </w:t>
      </w:r>
      <w:r>
        <w:rPr>
          <w:rFonts w:ascii="Microsoft JhengHei" w:eastAsia="Microsoft JhengHei" w:hint="eastAsia"/>
          <w:b/>
          <w:spacing w:val="-5"/>
          <w:sz w:val="18"/>
        </w:rPr>
        <w:t>感染艾滋病病毒或患艾滋病：</w:t>
      </w:r>
      <w:r>
        <w:rPr>
          <w:spacing w:val="-6"/>
          <w:sz w:val="18"/>
        </w:rPr>
        <w:t>艾滋病病毒指人类免疫缺陷病毒，英文缩写为 </w:t>
      </w:r>
      <w:r>
        <w:rPr>
          <w:spacing w:val="-4"/>
          <w:sz w:val="18"/>
        </w:rPr>
        <w:t>HIV</w:t>
      </w:r>
      <w:r>
        <w:rPr>
          <w:spacing w:val="-5"/>
          <w:sz w:val="18"/>
        </w:rPr>
        <w:t>。艾滋病指人类免疫缺陷病毒引起的获得性</w:t>
      </w:r>
      <w:r>
        <w:rPr>
          <w:spacing w:val="-2"/>
          <w:sz w:val="18"/>
        </w:rPr>
        <w:t>免疫缺陷综合征，英文缩写为</w:t>
      </w:r>
      <w:r>
        <w:rPr>
          <w:spacing w:val="-3"/>
          <w:sz w:val="18"/>
        </w:rPr>
        <w:t>AIDS</w:t>
      </w:r>
      <w:r>
        <w:rPr>
          <w:sz w:val="18"/>
        </w:rPr>
        <w:t>。</w:t>
      </w:r>
    </w:p>
    <w:p>
      <w:pPr>
        <w:spacing w:line="283" w:lineRule="auto" w:before="17"/>
        <w:ind w:left="433" w:right="210" w:firstLine="0"/>
        <w:jc w:val="left"/>
        <w:rPr>
          <w:sz w:val="18"/>
        </w:rPr>
      </w:pPr>
      <w:r>
        <w:rPr>
          <w:spacing w:val="-8"/>
          <w:sz w:val="18"/>
        </w:rPr>
        <w:t>在人体血液或其它样本中检测到艾滋病病毒或其抗体呈阳性，没有出现临床症状或体征的，为感染艾滋病病毒；如果同时出</w:t>
      </w:r>
      <w:r>
        <w:rPr>
          <w:spacing w:val="-5"/>
          <w:sz w:val="18"/>
        </w:rPr>
        <w:t>现了明显临床症状或体征的，为患艾滋病。</w:t>
      </w:r>
    </w:p>
    <w:p>
      <w:pPr>
        <w:spacing w:line="267" w:lineRule="exact" w:before="0"/>
        <w:ind w:left="222" w:right="0" w:firstLine="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28" w:lineRule="exact" w:before="27"/>
        <w:ind w:left="404" w:right="0" w:firstLine="0"/>
        <w:jc w:val="left"/>
        <w:rPr>
          <w:sz w:val="18"/>
        </w:rPr>
      </w:pPr>
      <w:r>
        <w:rPr>
          <w:sz w:val="18"/>
        </w:rPr>
        <w:t>直传递的特征。</w:t>
      </w:r>
    </w:p>
    <w:p>
      <w:pPr>
        <w:spacing w:line="278" w:lineRule="exact" w:before="37"/>
        <w:ind w:left="404" w:right="209" w:hanging="183"/>
        <w:jc w:val="left"/>
        <w:rPr>
          <w:sz w:val="18"/>
        </w:rPr>
      </w:pPr>
      <w:bookmarkStart w:name="_bookmark13" w:id="14"/>
      <w:bookmarkEnd w:id="14"/>
      <w:r>
        <w:rPr/>
      </w:r>
      <w:r>
        <w:rPr>
          <w:rFonts w:ascii="Microsoft JhengHei" w:eastAsia="Microsoft JhengHei" w:hint="eastAsia"/>
          <w:b/>
          <w:spacing w:val="2"/>
          <w:position w:val="9"/>
          <w:sz w:val="9"/>
        </w:rPr>
        <w:t>14</w:t>
      </w:r>
      <w:r>
        <w:rPr>
          <w:rFonts w:ascii="Microsoft JhengHei" w:eastAsia="Microsoft JhengHei" w:hint="eastAsia"/>
          <w:b/>
          <w:spacing w:val="13"/>
          <w:position w:val="9"/>
          <w:sz w:val="9"/>
        </w:rPr>
        <w:t>  </w:t>
      </w:r>
      <w:r>
        <w:rPr>
          <w:rFonts w:ascii="Microsoft JhengHei" w:eastAsia="Microsoft JhengHei" w:hint="eastAsia"/>
          <w:b/>
          <w:spacing w:val="-5"/>
          <w:sz w:val="18"/>
        </w:rPr>
        <w:t>先天性畸形、变形或染色体异常</w:t>
      </w:r>
      <w:r>
        <w:rPr>
          <w:spacing w:val="-8"/>
          <w:sz w:val="18"/>
        </w:rPr>
        <w:t>指被保险人出生时就具有的畸形、变形或染色体异常。先天性畸形、变形和染色体异常依照</w:t>
      </w:r>
      <w:r>
        <w:rPr>
          <w:spacing w:val="-9"/>
          <w:sz w:val="18"/>
        </w:rPr>
        <w:t>世界卫生组织《疾病和有关健康问题的国际统计分类》</w:t>
      </w:r>
      <w:r>
        <w:rPr>
          <w:spacing w:val="-1"/>
          <w:sz w:val="18"/>
        </w:rPr>
        <w:t>（ICD-10）</w:t>
      </w:r>
      <w:r>
        <w:rPr>
          <w:spacing w:val="-2"/>
          <w:sz w:val="18"/>
        </w:rPr>
        <w:t>确定。</w:t>
      </w:r>
    </w:p>
    <w:p>
      <w:pPr>
        <w:spacing w:after="0" w:line="278" w:lineRule="exact"/>
        <w:jc w:val="left"/>
        <w:rPr>
          <w:sz w:val="18"/>
        </w:rPr>
        <w:sectPr>
          <w:pgSz w:w="11910" w:h="16840"/>
          <w:pgMar w:top="13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946"/>
        <w:gridCol w:w="7430"/>
      </w:tblGrid>
      <w:tr>
        <w:trPr>
          <w:trHeight w:val="1339" w:hRule="atLeast"/>
        </w:trPr>
        <w:tc>
          <w:tcPr>
            <w:tcW w:w="708" w:type="dxa"/>
          </w:tcPr>
          <w:p>
            <w:pPr>
              <w:pStyle w:val="TableParagraph"/>
              <w:rPr>
                <w:rFonts w:ascii="Times New Roman"/>
                <w:sz w:val="20"/>
              </w:rPr>
            </w:pPr>
          </w:p>
        </w:tc>
        <w:tc>
          <w:tcPr>
            <w:tcW w:w="1946" w:type="dxa"/>
          </w:tcPr>
          <w:p>
            <w:pPr>
              <w:pStyle w:val="TableParagraph"/>
              <w:rPr>
                <w:rFonts w:ascii="Times New Roman"/>
                <w:sz w:val="20"/>
              </w:rPr>
            </w:pPr>
          </w:p>
        </w:tc>
        <w:tc>
          <w:tcPr>
            <w:tcW w:w="7430" w:type="dxa"/>
          </w:tcPr>
          <w:p>
            <w:pPr>
              <w:pStyle w:val="TableParagraph"/>
              <w:spacing w:line="211" w:lineRule="exact"/>
              <w:ind w:left="523"/>
              <w:rPr>
                <w:sz w:val="21"/>
              </w:rPr>
            </w:pPr>
            <w:r>
              <w:rPr>
                <w:sz w:val="21"/>
                <w:shd w:fill="DADADA" w:color="auto" w:val="clear"/>
              </w:rPr>
              <w:t>发生上述第（1）项情形导致被保险人身故的，本主险合同终止，我们向被</w:t>
            </w:r>
          </w:p>
          <w:p>
            <w:pPr>
              <w:pStyle w:val="TableParagraph"/>
              <w:spacing w:before="37"/>
              <w:ind w:left="523"/>
              <w:rPr>
                <w:sz w:val="21"/>
              </w:rPr>
            </w:pPr>
            <w:r>
              <w:rPr>
                <w:sz w:val="21"/>
                <w:shd w:fill="DADADA" w:color="auto" w:val="clear"/>
              </w:rPr>
              <w:t>保险人的继承人退还本主险合同的现金价值。</w:t>
            </w:r>
          </w:p>
          <w:p>
            <w:pPr>
              <w:pStyle w:val="TableParagraph"/>
              <w:spacing w:line="273" w:lineRule="auto" w:before="37"/>
              <w:ind w:left="523" w:right="102"/>
              <w:rPr>
                <w:sz w:val="21"/>
              </w:rPr>
            </w:pPr>
            <w:r>
              <w:rPr>
                <w:sz w:val="21"/>
                <w:shd w:fill="DADADA" w:color="auto" w:val="clear"/>
              </w:rPr>
              <w:t>发生上述其他情形导致被保险人身故的，本主险合同终止，我们向您退还本主险合同的现金价值。</w:t>
            </w:r>
          </w:p>
        </w:tc>
      </w:tr>
      <w:tr>
        <w:trPr>
          <w:trHeight w:val="1533" w:hRule="atLeast"/>
        </w:trPr>
        <w:tc>
          <w:tcPr>
            <w:tcW w:w="708" w:type="dxa"/>
          </w:tcPr>
          <w:p>
            <w:pPr>
              <w:pStyle w:val="TableParagraph"/>
              <w:spacing w:before="128"/>
              <w:ind w:right="168"/>
              <w:jc w:val="right"/>
              <w:rPr>
                <w:b/>
                <w:sz w:val="21"/>
              </w:rPr>
            </w:pPr>
            <w:r>
              <w:rPr>
                <w:b/>
                <w:sz w:val="21"/>
              </w:rPr>
              <w:t>2.2</w:t>
            </w:r>
          </w:p>
        </w:tc>
        <w:tc>
          <w:tcPr>
            <w:tcW w:w="1946" w:type="dxa"/>
          </w:tcPr>
          <w:p>
            <w:pPr>
              <w:pStyle w:val="TableParagraph"/>
              <w:spacing w:before="128"/>
              <w:ind w:left="155"/>
              <w:rPr>
                <w:b/>
                <w:sz w:val="21"/>
              </w:rPr>
            </w:pPr>
            <w:r>
              <w:rPr>
                <w:b/>
                <w:sz w:val="21"/>
              </w:rPr>
              <w:t>其他免责条款</w:t>
            </w:r>
          </w:p>
        </w:tc>
        <w:tc>
          <w:tcPr>
            <w:tcW w:w="7430" w:type="dxa"/>
          </w:tcPr>
          <w:p>
            <w:pPr>
              <w:pStyle w:val="TableParagraph"/>
              <w:spacing w:line="273" w:lineRule="auto" w:before="128"/>
              <w:ind w:left="523" w:right="1"/>
              <w:rPr>
                <w:sz w:val="21"/>
              </w:rPr>
            </w:pPr>
            <w:r>
              <w:rPr>
                <w:spacing w:val="-20"/>
                <w:sz w:val="21"/>
              </w:rPr>
              <w:t>除</w:t>
            </w:r>
            <w:r>
              <w:rPr>
                <w:sz w:val="21"/>
              </w:rPr>
              <w:t>“2.1</w:t>
            </w:r>
            <w:r>
              <w:rPr>
                <w:spacing w:val="-12"/>
                <w:sz w:val="21"/>
              </w:rPr>
              <w:t> 责任免除”外，本主险合同中还有一些免除保险人责任的条款，详</w:t>
            </w:r>
            <w:r>
              <w:rPr>
                <w:spacing w:val="-34"/>
                <w:sz w:val="21"/>
              </w:rPr>
              <w:t>见</w:t>
            </w:r>
            <w:r>
              <w:rPr>
                <w:sz w:val="21"/>
              </w:rPr>
              <w:t>“1.1</w:t>
            </w:r>
            <w:r>
              <w:rPr>
                <w:spacing w:val="-44"/>
                <w:sz w:val="21"/>
              </w:rPr>
              <w:t> 保险责任”、</w:t>
            </w:r>
            <w:r>
              <w:rPr>
                <w:sz w:val="21"/>
              </w:rPr>
              <w:t>“4.2</w:t>
            </w:r>
            <w:r>
              <w:rPr>
                <w:spacing w:val="-36"/>
                <w:sz w:val="21"/>
              </w:rPr>
              <w:t> 保险事故通知”、</w:t>
            </w:r>
            <w:r>
              <w:rPr>
                <w:sz w:val="21"/>
              </w:rPr>
              <w:t>“5.1</w:t>
            </w:r>
            <w:r>
              <w:rPr>
                <w:spacing w:val="-50"/>
                <w:sz w:val="21"/>
              </w:rPr>
              <w:t> 犹豫期”、</w:t>
            </w:r>
            <w:r>
              <w:rPr>
                <w:sz w:val="21"/>
              </w:rPr>
              <w:t>“9.4</w:t>
            </w:r>
            <w:r>
              <w:rPr>
                <w:spacing w:val="-24"/>
                <w:sz w:val="21"/>
              </w:rPr>
              <w:t> 年龄错误”、</w:t>
            </w:r>
          </w:p>
          <w:p>
            <w:pPr>
              <w:pStyle w:val="TableParagraph"/>
              <w:spacing w:line="273" w:lineRule="auto" w:before="7"/>
              <w:ind w:left="523" w:right="107"/>
              <w:rPr>
                <w:sz w:val="21"/>
              </w:rPr>
            </w:pPr>
            <w:r>
              <w:rPr>
                <w:sz w:val="21"/>
              </w:rPr>
              <w:t>“7</w:t>
            </w:r>
            <w:r>
              <w:rPr>
                <w:spacing w:val="-27"/>
                <w:sz w:val="21"/>
              </w:rPr>
              <w:t> 特定轻度重疾释义”、</w:t>
            </w:r>
            <w:r>
              <w:rPr>
                <w:sz w:val="21"/>
              </w:rPr>
              <w:t>“8</w:t>
            </w:r>
            <w:r>
              <w:rPr>
                <w:spacing w:val="-29"/>
                <w:sz w:val="21"/>
              </w:rPr>
              <w:t> 重大疾病释义”、“脚注 </w:t>
            </w:r>
            <w:r>
              <w:rPr>
                <w:sz w:val="21"/>
              </w:rPr>
              <w:t>3</w:t>
            </w:r>
            <w:r>
              <w:rPr>
                <w:spacing w:val="-9"/>
                <w:sz w:val="21"/>
              </w:rPr>
              <w:t> 医院”中背景突出显示的内容。</w:t>
            </w:r>
          </w:p>
        </w:tc>
      </w:tr>
      <w:tr>
        <w:trPr>
          <w:trHeight w:val="951" w:hRule="atLeast"/>
        </w:trPr>
        <w:tc>
          <w:tcPr>
            <w:tcW w:w="708" w:type="dxa"/>
            <w:tcBorders>
              <w:bottom w:val="single" w:sz="8" w:space="0" w:color="000000"/>
            </w:tcBorders>
          </w:tcPr>
          <w:p>
            <w:pPr>
              <w:pStyle w:val="TableParagraph"/>
              <w:spacing w:before="154"/>
              <w:ind w:right="149"/>
              <w:jc w:val="right"/>
              <w:rPr>
                <w:rFonts w:ascii="Arial" w:hAnsi="Arial"/>
                <w:b/>
                <w:sz w:val="40"/>
              </w:rPr>
            </w:pPr>
            <w:r>
              <w:rPr>
                <w:rFonts w:ascii="Arial" w:hAnsi="Arial"/>
                <w:b/>
                <w:w w:val="118"/>
                <w:sz w:val="40"/>
              </w:rPr>
              <w:t></w:t>
            </w:r>
          </w:p>
        </w:tc>
        <w:tc>
          <w:tcPr>
            <w:tcW w:w="9376" w:type="dxa"/>
            <w:gridSpan w:val="2"/>
            <w:tcBorders>
              <w:bottom w:val="single" w:sz="8" w:space="0" w:color="000000"/>
            </w:tcBorders>
          </w:tcPr>
          <w:p>
            <w:pPr>
              <w:pStyle w:val="TableParagraph"/>
              <w:spacing w:before="158"/>
              <w:ind w:left="155"/>
              <w:rPr>
                <w:b/>
                <w:sz w:val="24"/>
              </w:rPr>
            </w:pPr>
            <w:r>
              <w:rPr>
                <w:b/>
                <w:w w:val="95"/>
                <w:sz w:val="24"/>
              </w:rPr>
              <w:t>如何支付保险费</w:t>
            </w:r>
          </w:p>
          <w:p>
            <w:pPr>
              <w:pStyle w:val="TableParagraph"/>
              <w:spacing w:before="103"/>
              <w:ind w:left="155"/>
              <w:rPr>
                <w:sz w:val="24"/>
              </w:rPr>
            </w:pPr>
            <w:r>
              <w:rPr>
                <w:sz w:val="24"/>
              </w:rPr>
              <w:t>这部分讲的是您应当按时交纳保险费，如果不及时交费可能会导致合同效力中止。</w:t>
            </w:r>
          </w:p>
        </w:tc>
      </w:tr>
      <w:tr>
        <w:trPr>
          <w:trHeight w:val="1342" w:hRule="atLeast"/>
        </w:trPr>
        <w:tc>
          <w:tcPr>
            <w:tcW w:w="708" w:type="dxa"/>
            <w:tcBorders>
              <w:top w:val="single" w:sz="8" w:space="0" w:color="000000"/>
            </w:tcBorders>
          </w:tcPr>
          <w:p>
            <w:pPr>
              <w:pStyle w:val="TableParagraph"/>
              <w:rPr>
                <w:sz w:val="19"/>
              </w:rPr>
            </w:pPr>
          </w:p>
          <w:p>
            <w:pPr>
              <w:pStyle w:val="TableParagraph"/>
              <w:ind w:right="168"/>
              <w:jc w:val="right"/>
              <w:rPr>
                <w:b/>
                <w:sz w:val="21"/>
              </w:rPr>
            </w:pPr>
            <w:r>
              <w:rPr>
                <w:b/>
                <w:sz w:val="21"/>
              </w:rPr>
              <w:t>3.1</w:t>
            </w:r>
          </w:p>
        </w:tc>
        <w:tc>
          <w:tcPr>
            <w:tcW w:w="1946" w:type="dxa"/>
            <w:tcBorders>
              <w:top w:val="single" w:sz="8" w:space="0" w:color="000000"/>
            </w:tcBorders>
          </w:tcPr>
          <w:p>
            <w:pPr>
              <w:pStyle w:val="TableParagraph"/>
              <w:rPr>
                <w:sz w:val="19"/>
              </w:rPr>
            </w:pPr>
          </w:p>
          <w:p>
            <w:pPr>
              <w:pStyle w:val="TableParagraph"/>
              <w:ind w:left="155"/>
              <w:rPr>
                <w:b/>
                <w:sz w:val="21"/>
              </w:rPr>
            </w:pPr>
            <w:r>
              <w:rPr>
                <w:b/>
                <w:sz w:val="21"/>
              </w:rPr>
              <w:t>保险费的支付</w:t>
            </w:r>
          </w:p>
        </w:tc>
        <w:tc>
          <w:tcPr>
            <w:tcW w:w="7430" w:type="dxa"/>
            <w:tcBorders>
              <w:top w:val="single" w:sz="8" w:space="0" w:color="000000"/>
            </w:tcBorders>
          </w:tcPr>
          <w:p>
            <w:pPr>
              <w:pStyle w:val="TableParagraph"/>
              <w:rPr>
                <w:sz w:val="19"/>
              </w:rPr>
            </w:pPr>
          </w:p>
          <w:p>
            <w:pPr>
              <w:pStyle w:val="TableParagraph"/>
              <w:spacing w:line="273" w:lineRule="auto"/>
              <w:ind w:left="523" w:right="107"/>
              <w:rPr>
                <w:sz w:val="21"/>
              </w:rPr>
            </w:pPr>
            <w:r>
              <w:rPr>
                <w:spacing w:val="-5"/>
                <w:sz w:val="21"/>
              </w:rPr>
              <w:t>本主险合同的交费方式和交费期间由您和我们约定并在保险单上载明。  分期支付保险费的，在支付首期保险费后，您应当在</w:t>
            </w:r>
            <w:r>
              <w:rPr>
                <w:rFonts w:ascii="黑体" w:eastAsia="黑体" w:hint="eastAsia"/>
                <w:b/>
                <w:spacing w:val="3"/>
                <w:sz w:val="21"/>
              </w:rPr>
              <w:t>保险费约定支付日 </w:t>
            </w:r>
            <w:hyperlink w:history="true" w:anchor="_bookmark14">
              <w:r>
                <w:rPr>
                  <w:rFonts w:ascii="黑体" w:eastAsia="黑体" w:hint="eastAsia"/>
                  <w:b/>
                  <w:spacing w:val="5"/>
                  <w:position w:val="11"/>
                  <w:sz w:val="11"/>
                </w:rPr>
                <w:t>15 </w:t>
              </w:r>
            </w:hyperlink>
            <w:r>
              <w:rPr>
                <w:spacing w:val="-2"/>
                <w:sz w:val="21"/>
              </w:rPr>
              <w:t>支付其余各期的保险费。</w:t>
            </w:r>
          </w:p>
        </w:tc>
      </w:tr>
      <w:tr>
        <w:trPr>
          <w:trHeight w:val="2171" w:hRule="atLeast"/>
        </w:trPr>
        <w:tc>
          <w:tcPr>
            <w:tcW w:w="708" w:type="dxa"/>
          </w:tcPr>
          <w:p>
            <w:pPr>
              <w:pStyle w:val="TableParagraph"/>
              <w:spacing w:before="130"/>
              <w:ind w:right="168"/>
              <w:jc w:val="right"/>
              <w:rPr>
                <w:b/>
                <w:sz w:val="21"/>
              </w:rPr>
            </w:pPr>
            <w:r>
              <w:rPr>
                <w:b/>
                <w:sz w:val="21"/>
              </w:rPr>
              <w:t>3.2</w:t>
            </w:r>
          </w:p>
        </w:tc>
        <w:tc>
          <w:tcPr>
            <w:tcW w:w="1946" w:type="dxa"/>
          </w:tcPr>
          <w:p>
            <w:pPr>
              <w:pStyle w:val="TableParagraph"/>
              <w:spacing w:before="130"/>
              <w:ind w:left="155"/>
              <w:rPr>
                <w:b/>
                <w:sz w:val="21"/>
              </w:rPr>
            </w:pPr>
            <w:r>
              <w:rPr>
                <w:b/>
                <w:sz w:val="21"/>
              </w:rPr>
              <w:t>宽限期</w:t>
            </w:r>
          </w:p>
        </w:tc>
        <w:tc>
          <w:tcPr>
            <w:tcW w:w="7430" w:type="dxa"/>
          </w:tcPr>
          <w:p>
            <w:pPr>
              <w:pStyle w:val="TableParagraph"/>
              <w:spacing w:line="273" w:lineRule="auto" w:before="130"/>
              <w:ind w:left="523" w:right="3"/>
              <w:rPr>
                <w:sz w:val="21"/>
              </w:rPr>
            </w:pPr>
            <w:r>
              <w:rPr>
                <w:sz w:val="21"/>
              </w:rPr>
              <w:t>分期支付保险费的，在支付首期保险费后，除本主险合同另有约定外，如</w:t>
            </w:r>
            <w:r>
              <w:rPr>
                <w:spacing w:val="-13"/>
                <w:sz w:val="21"/>
              </w:rPr>
              <w:t>果您到期未支付保险费，自保险费约定支付日的次日零时起 </w:t>
            </w:r>
            <w:r>
              <w:rPr>
                <w:sz w:val="21"/>
              </w:rPr>
              <w:t>60</w:t>
            </w:r>
            <w:r>
              <w:rPr>
                <w:spacing w:val="-10"/>
                <w:sz w:val="21"/>
              </w:rPr>
              <w:t> 日为宽限期。</w:t>
            </w:r>
            <w:r>
              <w:rPr>
                <w:spacing w:val="-2"/>
                <w:sz w:val="21"/>
              </w:rPr>
              <w:t>宽限期内发生的保险事故，我们仍会承担保险责任，但在给付保险金时会</w:t>
            </w:r>
            <w:r>
              <w:rPr>
                <w:spacing w:val="-4"/>
                <w:sz w:val="21"/>
              </w:rPr>
              <w:t>扣减您欠交的保险费。</w:t>
            </w:r>
          </w:p>
          <w:p>
            <w:pPr>
              <w:pStyle w:val="TableParagraph"/>
              <w:spacing w:line="273" w:lineRule="auto" w:before="7"/>
              <w:ind w:left="523" w:right="102"/>
              <w:rPr>
                <w:sz w:val="21"/>
              </w:rPr>
            </w:pPr>
            <w:r>
              <w:rPr>
                <w:sz w:val="21"/>
              </w:rPr>
              <w:t>如果您宽限期结束之后仍未支付保险费，则本主险合同自宽限期满的次日零时起效力中止。</w:t>
            </w:r>
          </w:p>
        </w:tc>
      </w:tr>
      <w:tr>
        <w:trPr>
          <w:trHeight w:val="609" w:hRule="atLeast"/>
        </w:trPr>
        <w:tc>
          <w:tcPr>
            <w:tcW w:w="708" w:type="dxa"/>
          </w:tcPr>
          <w:p>
            <w:pPr>
              <w:pStyle w:val="TableParagraph"/>
              <w:spacing w:before="142"/>
              <w:ind w:right="173"/>
              <w:jc w:val="right"/>
              <w:rPr>
                <w:b/>
                <w:sz w:val="21"/>
              </w:rPr>
            </w:pPr>
            <w:r>
              <w:rPr>
                <w:b/>
                <w:sz w:val="21"/>
              </w:rPr>
              <w:t>3.3</w:t>
            </w:r>
          </w:p>
        </w:tc>
        <w:tc>
          <w:tcPr>
            <w:tcW w:w="1946" w:type="dxa"/>
          </w:tcPr>
          <w:p>
            <w:pPr>
              <w:pStyle w:val="TableParagraph"/>
              <w:spacing w:before="142"/>
              <w:ind w:left="151"/>
              <w:rPr>
                <w:b/>
                <w:sz w:val="21"/>
              </w:rPr>
            </w:pPr>
            <w:r>
              <w:rPr>
                <w:b/>
                <w:sz w:val="21"/>
              </w:rPr>
              <w:t>效力中止</w:t>
            </w:r>
          </w:p>
        </w:tc>
        <w:tc>
          <w:tcPr>
            <w:tcW w:w="7430" w:type="dxa"/>
          </w:tcPr>
          <w:p>
            <w:pPr>
              <w:pStyle w:val="TableParagraph"/>
              <w:spacing w:before="142"/>
              <w:ind w:left="537"/>
              <w:rPr>
                <w:sz w:val="21"/>
              </w:rPr>
            </w:pPr>
            <w:r>
              <w:rPr>
                <w:sz w:val="21"/>
              </w:rPr>
              <w:t>在本主险合同效力中止期间，我们不承担保险责任。</w:t>
            </w:r>
          </w:p>
        </w:tc>
      </w:tr>
      <w:tr>
        <w:trPr>
          <w:trHeight w:val="1871" w:hRule="atLeast"/>
        </w:trPr>
        <w:tc>
          <w:tcPr>
            <w:tcW w:w="708" w:type="dxa"/>
          </w:tcPr>
          <w:p>
            <w:pPr>
              <w:pStyle w:val="TableParagraph"/>
              <w:spacing w:before="128"/>
              <w:ind w:right="173"/>
              <w:jc w:val="right"/>
              <w:rPr>
                <w:b/>
                <w:sz w:val="21"/>
              </w:rPr>
            </w:pPr>
            <w:r>
              <w:rPr>
                <w:b/>
                <w:sz w:val="21"/>
              </w:rPr>
              <w:t>3.4</w:t>
            </w:r>
          </w:p>
        </w:tc>
        <w:tc>
          <w:tcPr>
            <w:tcW w:w="1946" w:type="dxa"/>
          </w:tcPr>
          <w:p>
            <w:pPr>
              <w:pStyle w:val="TableParagraph"/>
              <w:spacing w:before="128"/>
              <w:ind w:left="151"/>
              <w:rPr>
                <w:b/>
                <w:sz w:val="21"/>
              </w:rPr>
            </w:pPr>
            <w:r>
              <w:rPr>
                <w:b/>
                <w:sz w:val="21"/>
              </w:rPr>
              <w:t>效力恢复</w:t>
            </w:r>
          </w:p>
        </w:tc>
        <w:tc>
          <w:tcPr>
            <w:tcW w:w="7430" w:type="dxa"/>
          </w:tcPr>
          <w:p>
            <w:pPr>
              <w:pStyle w:val="TableParagraph"/>
              <w:spacing w:line="273" w:lineRule="auto" w:before="128"/>
              <w:ind w:left="537" w:right="102"/>
              <w:jc w:val="both"/>
              <w:rPr>
                <w:sz w:val="21"/>
              </w:rPr>
            </w:pPr>
            <w:r>
              <w:rPr>
                <w:spacing w:val="-2"/>
                <w:sz w:val="21"/>
              </w:rPr>
              <w:t>本主险合同效力中止后 </w:t>
            </w:r>
            <w:r>
              <w:rPr>
                <w:sz w:val="21"/>
              </w:rPr>
              <w:t>2</w:t>
            </w:r>
            <w:r>
              <w:rPr>
                <w:spacing w:val="-5"/>
                <w:sz w:val="21"/>
              </w:rPr>
              <w:t> 年内，您可以申请恢复合同效力。经您与我们协商并达成协议，自您补交保险费之日起，合同效力恢复。</w:t>
            </w:r>
          </w:p>
          <w:p>
            <w:pPr>
              <w:pStyle w:val="TableParagraph"/>
              <w:spacing w:line="273" w:lineRule="auto" w:before="7"/>
              <w:ind w:left="537" w:right="102"/>
              <w:jc w:val="both"/>
              <w:rPr>
                <w:sz w:val="21"/>
              </w:rPr>
            </w:pPr>
            <w:r>
              <w:rPr>
                <w:spacing w:val="-3"/>
                <w:sz w:val="21"/>
              </w:rPr>
              <w:t>自本主险合同效力中止之日起满 </w:t>
            </w:r>
            <w:r>
              <w:rPr>
                <w:sz w:val="21"/>
              </w:rPr>
              <w:t>2</w:t>
            </w:r>
            <w:r>
              <w:rPr>
                <w:spacing w:val="-5"/>
                <w:sz w:val="21"/>
              </w:rPr>
              <w:t> 年您和我们未达成协议的，我们有权解除合同。我们解除合同的，向您退还合同效力中止时本主险合同的现金价值。</w:t>
            </w:r>
          </w:p>
        </w:tc>
      </w:tr>
      <w:tr>
        <w:trPr>
          <w:trHeight w:val="1160" w:hRule="atLeast"/>
        </w:trPr>
        <w:tc>
          <w:tcPr>
            <w:tcW w:w="708" w:type="dxa"/>
            <w:tcBorders>
              <w:bottom w:val="single" w:sz="8" w:space="0" w:color="000000"/>
            </w:tcBorders>
          </w:tcPr>
          <w:p>
            <w:pPr>
              <w:pStyle w:val="TableParagraph"/>
              <w:spacing w:before="181"/>
              <w:ind w:right="149"/>
              <w:jc w:val="right"/>
              <w:rPr>
                <w:rFonts w:ascii="Arial" w:hAnsi="Arial"/>
                <w:b/>
                <w:sz w:val="40"/>
              </w:rPr>
            </w:pPr>
            <w:r>
              <w:rPr>
                <w:rFonts w:ascii="Arial" w:hAnsi="Arial"/>
                <w:b/>
                <w:w w:val="118"/>
                <w:sz w:val="40"/>
              </w:rPr>
              <w:t></w:t>
            </w:r>
          </w:p>
        </w:tc>
        <w:tc>
          <w:tcPr>
            <w:tcW w:w="9376" w:type="dxa"/>
            <w:gridSpan w:val="2"/>
            <w:tcBorders>
              <w:bottom w:val="single" w:sz="8" w:space="0" w:color="000000"/>
            </w:tcBorders>
          </w:tcPr>
          <w:p>
            <w:pPr>
              <w:pStyle w:val="TableParagraph"/>
              <w:spacing w:before="185"/>
              <w:ind w:left="155"/>
              <w:rPr>
                <w:b/>
                <w:sz w:val="24"/>
              </w:rPr>
            </w:pPr>
            <w:r>
              <w:rPr>
                <w:b/>
                <w:w w:val="95"/>
                <w:sz w:val="24"/>
              </w:rPr>
              <w:t>如何领取保险金</w:t>
            </w:r>
          </w:p>
          <w:p>
            <w:pPr>
              <w:pStyle w:val="TableParagraph"/>
              <w:spacing w:before="132"/>
              <w:ind w:left="155"/>
              <w:rPr>
                <w:sz w:val="24"/>
              </w:rPr>
            </w:pPr>
            <w:r>
              <w:rPr>
                <w:sz w:val="24"/>
              </w:rPr>
              <w:t>这部分讲的是发生保险事故后受益人如何领取保险金。</w:t>
            </w:r>
          </w:p>
        </w:tc>
      </w:tr>
      <w:tr>
        <w:trPr>
          <w:trHeight w:val="2088" w:hRule="atLeast"/>
        </w:trPr>
        <w:tc>
          <w:tcPr>
            <w:tcW w:w="708" w:type="dxa"/>
            <w:tcBorders>
              <w:top w:val="single" w:sz="8" w:space="0" w:color="000000"/>
            </w:tcBorders>
          </w:tcPr>
          <w:p>
            <w:pPr>
              <w:pStyle w:val="TableParagraph"/>
              <w:spacing w:before="4"/>
              <w:rPr>
                <w:sz w:val="19"/>
              </w:rPr>
            </w:pPr>
          </w:p>
          <w:p>
            <w:pPr>
              <w:pStyle w:val="TableParagraph"/>
              <w:spacing w:before="1"/>
              <w:ind w:right="168"/>
              <w:jc w:val="right"/>
              <w:rPr>
                <w:b/>
                <w:sz w:val="21"/>
              </w:rPr>
            </w:pPr>
            <w:r>
              <w:rPr>
                <w:b/>
                <w:sz w:val="21"/>
              </w:rPr>
              <w:t>4.1</w:t>
            </w:r>
          </w:p>
        </w:tc>
        <w:tc>
          <w:tcPr>
            <w:tcW w:w="1946" w:type="dxa"/>
            <w:tcBorders>
              <w:top w:val="single" w:sz="8" w:space="0" w:color="000000"/>
            </w:tcBorders>
          </w:tcPr>
          <w:p>
            <w:pPr>
              <w:pStyle w:val="TableParagraph"/>
              <w:spacing w:before="4"/>
              <w:rPr>
                <w:sz w:val="19"/>
              </w:rPr>
            </w:pPr>
          </w:p>
          <w:p>
            <w:pPr>
              <w:pStyle w:val="TableParagraph"/>
              <w:spacing w:before="1"/>
              <w:ind w:left="155"/>
              <w:rPr>
                <w:b/>
                <w:sz w:val="21"/>
              </w:rPr>
            </w:pPr>
            <w:r>
              <w:rPr>
                <w:b/>
                <w:sz w:val="21"/>
              </w:rPr>
              <w:t>受益人</w:t>
            </w:r>
          </w:p>
          <w:p>
            <w:pPr>
              <w:pStyle w:val="TableParagraph"/>
              <w:spacing w:before="5"/>
              <w:rPr>
                <w:sz w:val="7"/>
              </w:rPr>
            </w:pPr>
          </w:p>
          <w:p>
            <w:pPr>
              <w:pStyle w:val="TableParagraph"/>
              <w:ind w:left="160"/>
              <w:rPr>
                <w:sz w:val="20"/>
              </w:rPr>
            </w:pPr>
            <w:r>
              <w:rPr>
                <w:sz w:val="20"/>
              </w:rPr>
              <w:drawing>
                <wp:inline distT="0" distB="0" distL="0" distR="0">
                  <wp:extent cx="543306" cy="543306"/>
                  <wp:effectExtent l="0" t="0" r="0" b="0"/>
                  <wp:docPr id="5" name="image8.png" descr="D:\Users\sangying875\工作\工作\产品类\受益人.jpg"/>
                  <wp:cNvGraphicFramePr>
                    <a:graphicFrameLocks noChangeAspect="1"/>
                  </wp:cNvGraphicFramePr>
                  <a:graphic>
                    <a:graphicData uri="http://schemas.openxmlformats.org/drawingml/2006/picture">
                      <pic:pic>
                        <pic:nvPicPr>
                          <pic:cNvPr id="6" name="image8.png"/>
                          <pic:cNvPicPr/>
                        </pic:nvPicPr>
                        <pic:blipFill>
                          <a:blip r:embed="rId12" cstate="print"/>
                          <a:stretch>
                            <a:fillRect/>
                          </a:stretch>
                        </pic:blipFill>
                        <pic:spPr>
                          <a:xfrm>
                            <a:off x="0" y="0"/>
                            <a:ext cx="543306" cy="543306"/>
                          </a:xfrm>
                          <a:prstGeom prst="rect">
                            <a:avLst/>
                          </a:prstGeom>
                        </pic:spPr>
                      </pic:pic>
                    </a:graphicData>
                  </a:graphic>
                </wp:inline>
              </w:drawing>
            </w:r>
            <w:r>
              <w:rPr>
                <w:sz w:val="20"/>
              </w:rPr>
            </w:r>
          </w:p>
          <w:p>
            <w:pPr>
              <w:pStyle w:val="TableParagraph"/>
              <w:rPr>
                <w:sz w:val="20"/>
              </w:rPr>
            </w:pPr>
          </w:p>
          <w:p>
            <w:pPr>
              <w:pStyle w:val="TableParagraph"/>
              <w:spacing w:before="5"/>
              <w:rPr>
                <w:sz w:val="26"/>
              </w:rPr>
            </w:pPr>
          </w:p>
        </w:tc>
        <w:tc>
          <w:tcPr>
            <w:tcW w:w="7430" w:type="dxa"/>
            <w:tcBorders>
              <w:top w:val="single" w:sz="8" w:space="0" w:color="000000"/>
            </w:tcBorders>
          </w:tcPr>
          <w:p>
            <w:pPr>
              <w:pStyle w:val="TableParagraph"/>
              <w:spacing w:before="4"/>
              <w:rPr>
                <w:sz w:val="19"/>
              </w:rPr>
            </w:pPr>
          </w:p>
          <w:p>
            <w:pPr>
              <w:pStyle w:val="TableParagraph"/>
              <w:spacing w:line="273" w:lineRule="auto" w:before="1"/>
              <w:ind w:left="523" w:right="102"/>
              <w:rPr>
                <w:sz w:val="21"/>
              </w:rPr>
            </w:pPr>
            <w:r>
              <w:rPr>
                <w:sz w:val="21"/>
              </w:rPr>
              <w:t>明确指定受益人很重要，请您或者被保险人慎重选择指定身故保险金受益人。</w:t>
            </w:r>
          </w:p>
          <w:p>
            <w:pPr>
              <w:pStyle w:val="TableParagraph"/>
              <w:spacing w:line="273" w:lineRule="auto" w:before="8"/>
              <w:ind w:left="523" w:right="102"/>
              <w:rPr>
                <w:sz w:val="21"/>
              </w:rPr>
            </w:pPr>
            <w:r>
              <w:rPr>
                <w:sz w:val="21"/>
              </w:rPr>
              <w:t>除另有指定外，重大疾病保险金及特定轻度重疾保险金受益人为被保险人本人。</w:t>
            </w:r>
          </w:p>
          <w:p>
            <w:pPr>
              <w:pStyle w:val="TableParagraph"/>
              <w:spacing w:line="312" w:lineRule="exact" w:before="3"/>
              <w:ind w:left="523" w:right="107"/>
              <w:rPr>
                <w:sz w:val="21"/>
              </w:rPr>
            </w:pPr>
            <w:r>
              <w:rPr>
                <w:spacing w:val="-5"/>
                <w:sz w:val="21"/>
              </w:rPr>
              <w:t>关于受益人的其他规定详见《中华人民共和国保险法</w:t>
            </w:r>
            <w:r>
              <w:rPr>
                <w:spacing w:val="-120"/>
                <w:sz w:val="21"/>
              </w:rPr>
              <w:t>》</w:t>
            </w:r>
            <w:r>
              <w:rPr>
                <w:sz w:val="21"/>
              </w:rPr>
              <w:t>（</w:t>
            </w:r>
            <w:r>
              <w:rPr>
                <w:spacing w:val="-3"/>
                <w:sz w:val="21"/>
              </w:rPr>
              <w:t>请扫描二维码查看相关内容</w:t>
            </w:r>
            <w:r>
              <w:rPr>
                <w:spacing w:val="-106"/>
                <w:sz w:val="21"/>
              </w:rPr>
              <w:t>）</w:t>
            </w:r>
            <w:r>
              <w:rPr>
                <w:sz w:val="21"/>
              </w:rPr>
              <w:t>。</w:t>
            </w:r>
          </w:p>
        </w:tc>
      </w:tr>
    </w:tbl>
    <w:p>
      <w:pPr>
        <w:pStyle w:val="BodyText"/>
        <w:rPr>
          <w:sz w:val="20"/>
        </w:rPr>
      </w:pPr>
    </w:p>
    <w:p>
      <w:pPr>
        <w:pStyle w:val="BodyText"/>
        <w:rPr>
          <w:sz w:val="20"/>
        </w:rPr>
      </w:pPr>
    </w:p>
    <w:p>
      <w:pPr>
        <w:pStyle w:val="BodyText"/>
        <w:spacing w:before="5"/>
        <w:rPr>
          <w:sz w:val="14"/>
        </w:rPr>
      </w:pPr>
      <w:r>
        <w:rPr/>
        <w:pict>
          <v:line style="position:absolute;mso-position-horizontal-relative:page;mso-position-vertical-relative:paragraph;z-index:1672;mso-wrap-distance-left:0;mso-wrap-distance-right:0" from="51.119999pt,11.628124pt" to="195.119999pt,11.628124pt" stroked="true" strokeweight=".48pt" strokecolor="#000000">
            <v:stroke dashstyle="solid"/>
            <w10:wrap type="topAndBottom"/>
          </v:line>
        </w:pict>
      </w:r>
    </w:p>
    <w:p>
      <w:pPr>
        <w:spacing w:line="256" w:lineRule="auto" w:before="25"/>
        <w:ind w:left="404" w:right="209" w:hanging="183"/>
        <w:jc w:val="left"/>
        <w:rPr>
          <w:sz w:val="18"/>
        </w:rPr>
      </w:pPr>
      <w:bookmarkStart w:name="_bookmark14" w:id="15"/>
      <w:bookmarkEnd w:id="15"/>
      <w:r>
        <w:rPr/>
      </w:r>
      <w:r>
        <w:rPr>
          <w:rFonts w:ascii="Microsoft JhengHei" w:eastAsia="Microsoft JhengHei" w:hint="eastAsia"/>
          <w:b/>
          <w:spacing w:val="2"/>
          <w:position w:val="9"/>
          <w:sz w:val="9"/>
        </w:rPr>
        <w:t>15</w:t>
      </w:r>
      <w:r>
        <w:rPr>
          <w:rFonts w:ascii="Microsoft JhengHei" w:eastAsia="Microsoft JhengHei" w:hint="eastAsia"/>
          <w:b/>
          <w:spacing w:val="15"/>
          <w:position w:val="9"/>
          <w:sz w:val="9"/>
        </w:rPr>
        <w:t>  </w:t>
      </w:r>
      <w:r>
        <w:rPr>
          <w:rFonts w:ascii="Microsoft JhengHei" w:eastAsia="Microsoft JhengHei" w:hint="eastAsia"/>
          <w:b/>
          <w:spacing w:val="-3"/>
          <w:sz w:val="18"/>
        </w:rPr>
        <w:t>保险费约定支付日</w:t>
      </w:r>
      <w:r>
        <w:rPr>
          <w:spacing w:val="-8"/>
          <w:sz w:val="18"/>
        </w:rPr>
        <w:t>指保险合同生效日在每月、每季、每半年或每年</w:t>
      </w:r>
      <w:r>
        <w:rPr>
          <w:sz w:val="18"/>
        </w:rPr>
        <w:t>（</w:t>
      </w:r>
      <w:r>
        <w:rPr>
          <w:spacing w:val="-5"/>
          <w:sz w:val="18"/>
        </w:rPr>
        <w:t>根据交费方式确定</w:t>
      </w:r>
      <w:r>
        <w:rPr>
          <w:spacing w:val="-15"/>
          <w:sz w:val="18"/>
        </w:rPr>
        <w:t>）</w:t>
      </w:r>
      <w:r>
        <w:rPr>
          <w:spacing w:val="-5"/>
          <w:sz w:val="18"/>
        </w:rPr>
        <w:t>的对应日。如果当月无对应的同一日，则以该月最后一日为对应日。</w:t>
      </w:r>
    </w:p>
    <w:p>
      <w:pPr>
        <w:spacing w:after="0" w:line="256" w:lineRule="auto"/>
        <w:jc w:val="left"/>
        <w:rPr>
          <w:sz w:val="18"/>
        </w:rPr>
        <w:sectPr>
          <w:pgSz w:w="11910" w:h="16840"/>
          <w:pgMar w:top="1160" w:bottom="280" w:left="800" w:right="800"/>
        </w:sectPr>
      </w:pP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2"/>
        <w:gridCol w:w="2383"/>
        <w:gridCol w:w="6947"/>
      </w:tblGrid>
      <w:tr>
        <w:trPr>
          <w:trHeight w:val="261" w:hRule="atLeast"/>
        </w:trPr>
        <w:tc>
          <w:tcPr>
            <w:tcW w:w="532" w:type="dxa"/>
          </w:tcPr>
          <w:p>
            <w:pPr>
              <w:pStyle w:val="TableParagraph"/>
              <w:spacing w:line="211" w:lineRule="exact"/>
              <w:ind w:left="50"/>
              <w:rPr>
                <w:b/>
                <w:sz w:val="21"/>
              </w:rPr>
            </w:pPr>
            <w:r>
              <w:rPr>
                <w:b/>
                <w:sz w:val="21"/>
              </w:rPr>
              <w:t>4.2</w:t>
            </w:r>
          </w:p>
        </w:tc>
        <w:tc>
          <w:tcPr>
            <w:tcW w:w="2383" w:type="dxa"/>
          </w:tcPr>
          <w:p>
            <w:pPr>
              <w:pStyle w:val="TableParagraph"/>
              <w:spacing w:line="211" w:lineRule="exact"/>
              <w:ind w:left="161"/>
              <w:rPr>
                <w:b/>
                <w:sz w:val="21"/>
              </w:rPr>
            </w:pPr>
            <w:r>
              <w:rPr>
                <w:b/>
                <w:sz w:val="21"/>
              </w:rPr>
              <w:t>保险事故通知</w:t>
            </w:r>
          </w:p>
        </w:tc>
        <w:tc>
          <w:tcPr>
            <w:tcW w:w="6947" w:type="dxa"/>
          </w:tcPr>
          <w:p>
            <w:pPr>
              <w:pStyle w:val="TableParagraph"/>
              <w:spacing w:line="211" w:lineRule="exact"/>
              <w:ind w:left="110"/>
              <w:rPr>
                <w:sz w:val="21"/>
              </w:rPr>
            </w:pPr>
            <w:r>
              <w:rPr>
                <w:sz w:val="21"/>
              </w:rPr>
              <w:t>请您或受益人在知道保险事故发生后 10 日内通知我们。</w:t>
            </w:r>
          </w:p>
        </w:tc>
      </w:tr>
      <w:tr>
        <w:trPr>
          <w:trHeight w:val="312" w:hRule="atLeast"/>
        </w:trPr>
        <w:tc>
          <w:tcPr>
            <w:tcW w:w="532" w:type="dxa"/>
          </w:tcPr>
          <w:p>
            <w:pPr>
              <w:pStyle w:val="TableParagraph"/>
              <w:rPr>
                <w:rFonts w:ascii="Times New Roman"/>
                <w:sz w:val="20"/>
              </w:rPr>
            </w:pPr>
          </w:p>
        </w:tc>
        <w:tc>
          <w:tcPr>
            <w:tcW w:w="2383" w:type="dxa"/>
          </w:tcPr>
          <w:p>
            <w:pPr>
              <w:pStyle w:val="TableParagraph"/>
              <w:rPr>
                <w:rFonts w:ascii="Times New Roman"/>
                <w:sz w:val="20"/>
              </w:rPr>
            </w:pPr>
          </w:p>
        </w:tc>
        <w:tc>
          <w:tcPr>
            <w:tcW w:w="6947" w:type="dxa"/>
          </w:tcPr>
          <w:p>
            <w:pPr>
              <w:pStyle w:val="TableParagraph"/>
              <w:spacing w:line="261" w:lineRule="exact"/>
              <w:ind w:left="110"/>
              <w:rPr>
                <w:sz w:val="21"/>
              </w:rPr>
            </w:pPr>
            <w:r>
              <w:rPr>
                <w:sz w:val="21"/>
                <w:shd w:fill="DADADA" w:color="auto" w:val="clear"/>
              </w:rPr>
              <w:t>如果您或受益人故意或者因重大过失未及时通知，致使保险事故的性质、</w:t>
            </w:r>
          </w:p>
        </w:tc>
      </w:tr>
      <w:tr>
        <w:trPr>
          <w:trHeight w:val="311" w:hRule="atLeast"/>
        </w:trPr>
        <w:tc>
          <w:tcPr>
            <w:tcW w:w="532" w:type="dxa"/>
          </w:tcPr>
          <w:p>
            <w:pPr>
              <w:pStyle w:val="TableParagraph"/>
              <w:rPr>
                <w:rFonts w:ascii="Times New Roman"/>
                <w:sz w:val="20"/>
              </w:rPr>
            </w:pPr>
          </w:p>
        </w:tc>
        <w:tc>
          <w:tcPr>
            <w:tcW w:w="2383" w:type="dxa"/>
          </w:tcPr>
          <w:p>
            <w:pPr>
              <w:pStyle w:val="TableParagraph"/>
              <w:rPr>
                <w:rFonts w:ascii="Times New Roman"/>
                <w:sz w:val="20"/>
              </w:rPr>
            </w:pPr>
          </w:p>
        </w:tc>
        <w:tc>
          <w:tcPr>
            <w:tcW w:w="6947" w:type="dxa"/>
          </w:tcPr>
          <w:p>
            <w:pPr>
              <w:pStyle w:val="TableParagraph"/>
              <w:spacing w:line="261" w:lineRule="exact"/>
              <w:ind w:left="110"/>
              <w:rPr>
                <w:sz w:val="21"/>
              </w:rPr>
            </w:pPr>
            <w:r>
              <w:rPr>
                <w:sz w:val="21"/>
                <w:shd w:fill="DADADA" w:color="auto" w:val="clear"/>
              </w:rPr>
              <w:t>原因、损失程度等难以确定的，我们对无法确定的部分，不承担给付保险</w:t>
            </w:r>
          </w:p>
        </w:tc>
      </w:tr>
      <w:tr>
        <w:trPr>
          <w:trHeight w:val="311" w:hRule="atLeast"/>
        </w:trPr>
        <w:tc>
          <w:tcPr>
            <w:tcW w:w="532" w:type="dxa"/>
          </w:tcPr>
          <w:p>
            <w:pPr>
              <w:pStyle w:val="TableParagraph"/>
              <w:rPr>
                <w:rFonts w:ascii="Times New Roman"/>
                <w:sz w:val="20"/>
              </w:rPr>
            </w:pPr>
          </w:p>
        </w:tc>
        <w:tc>
          <w:tcPr>
            <w:tcW w:w="2383" w:type="dxa"/>
          </w:tcPr>
          <w:p>
            <w:pPr>
              <w:pStyle w:val="TableParagraph"/>
              <w:rPr>
                <w:rFonts w:ascii="Times New Roman"/>
                <w:sz w:val="20"/>
              </w:rPr>
            </w:pPr>
          </w:p>
        </w:tc>
        <w:tc>
          <w:tcPr>
            <w:tcW w:w="6947" w:type="dxa"/>
          </w:tcPr>
          <w:p>
            <w:pPr>
              <w:pStyle w:val="TableParagraph"/>
              <w:spacing w:line="261" w:lineRule="exact"/>
              <w:ind w:left="110"/>
              <w:rPr>
                <w:sz w:val="21"/>
              </w:rPr>
            </w:pPr>
            <w:r>
              <w:rPr>
                <w:sz w:val="21"/>
                <w:shd w:fill="DADADA" w:color="auto" w:val="clear"/>
              </w:rPr>
              <w:t>金的责任</w:t>
            </w:r>
            <w:r>
              <w:rPr>
                <w:sz w:val="21"/>
              </w:rPr>
              <w:t>，但我们通过其他途径已经及时知道或者应当及时知道保险事故</w:t>
            </w:r>
          </w:p>
        </w:tc>
      </w:tr>
      <w:tr>
        <w:trPr>
          <w:trHeight w:val="311" w:hRule="atLeast"/>
        </w:trPr>
        <w:tc>
          <w:tcPr>
            <w:tcW w:w="532" w:type="dxa"/>
          </w:tcPr>
          <w:p>
            <w:pPr>
              <w:pStyle w:val="TableParagraph"/>
              <w:rPr>
                <w:rFonts w:ascii="Times New Roman"/>
                <w:sz w:val="20"/>
              </w:rPr>
            </w:pPr>
          </w:p>
        </w:tc>
        <w:tc>
          <w:tcPr>
            <w:tcW w:w="2383" w:type="dxa"/>
          </w:tcPr>
          <w:p>
            <w:pPr>
              <w:pStyle w:val="TableParagraph"/>
              <w:rPr>
                <w:rFonts w:ascii="Times New Roman"/>
                <w:sz w:val="20"/>
              </w:rPr>
            </w:pPr>
          </w:p>
        </w:tc>
        <w:tc>
          <w:tcPr>
            <w:tcW w:w="6947" w:type="dxa"/>
          </w:tcPr>
          <w:p>
            <w:pPr>
              <w:pStyle w:val="TableParagraph"/>
              <w:spacing w:line="261" w:lineRule="exact"/>
              <w:ind w:left="110"/>
              <w:rPr>
                <w:sz w:val="21"/>
              </w:rPr>
            </w:pPr>
            <w:r>
              <w:rPr>
                <w:sz w:val="21"/>
              </w:rPr>
              <w:t>发生或者虽未及时通知但不影响我们确定保险事故的性质、原因、损失程</w:t>
            </w:r>
          </w:p>
        </w:tc>
      </w:tr>
      <w:tr>
        <w:trPr>
          <w:trHeight w:val="453" w:hRule="atLeast"/>
        </w:trPr>
        <w:tc>
          <w:tcPr>
            <w:tcW w:w="532" w:type="dxa"/>
          </w:tcPr>
          <w:p>
            <w:pPr>
              <w:pStyle w:val="TableParagraph"/>
              <w:rPr>
                <w:rFonts w:ascii="Times New Roman"/>
                <w:sz w:val="20"/>
              </w:rPr>
            </w:pPr>
          </w:p>
        </w:tc>
        <w:tc>
          <w:tcPr>
            <w:tcW w:w="2383" w:type="dxa"/>
          </w:tcPr>
          <w:p>
            <w:pPr>
              <w:pStyle w:val="TableParagraph"/>
              <w:rPr>
                <w:rFonts w:ascii="Times New Roman"/>
                <w:sz w:val="20"/>
              </w:rPr>
            </w:pPr>
          </w:p>
        </w:tc>
        <w:tc>
          <w:tcPr>
            <w:tcW w:w="6947" w:type="dxa"/>
          </w:tcPr>
          <w:p>
            <w:pPr>
              <w:pStyle w:val="TableParagraph"/>
              <w:spacing w:line="261" w:lineRule="exact"/>
              <w:ind w:left="110"/>
              <w:rPr>
                <w:sz w:val="21"/>
              </w:rPr>
            </w:pPr>
            <w:r>
              <w:rPr>
                <w:sz w:val="21"/>
              </w:rPr>
              <w:t>度的除外。</w:t>
            </w:r>
          </w:p>
        </w:tc>
      </w:tr>
      <w:tr>
        <w:trPr>
          <w:trHeight w:val="587" w:hRule="atLeast"/>
        </w:trPr>
        <w:tc>
          <w:tcPr>
            <w:tcW w:w="532" w:type="dxa"/>
          </w:tcPr>
          <w:p>
            <w:pPr>
              <w:pStyle w:val="TableParagraph"/>
              <w:spacing w:before="128"/>
              <w:ind w:left="54"/>
              <w:rPr>
                <w:b/>
                <w:sz w:val="21"/>
              </w:rPr>
            </w:pPr>
            <w:r>
              <w:rPr>
                <w:b/>
                <w:sz w:val="21"/>
              </w:rPr>
              <w:t>4.3</w:t>
            </w:r>
          </w:p>
        </w:tc>
        <w:tc>
          <w:tcPr>
            <w:tcW w:w="2383" w:type="dxa"/>
          </w:tcPr>
          <w:p>
            <w:pPr>
              <w:pStyle w:val="TableParagraph"/>
              <w:spacing w:before="128"/>
              <w:ind w:left="165"/>
              <w:rPr>
                <w:b/>
                <w:sz w:val="21"/>
              </w:rPr>
            </w:pPr>
            <w:r>
              <w:rPr>
                <w:b/>
                <w:sz w:val="21"/>
              </w:rPr>
              <w:t>保险金申请</w:t>
            </w:r>
          </w:p>
        </w:tc>
        <w:tc>
          <w:tcPr>
            <w:tcW w:w="6947" w:type="dxa"/>
          </w:tcPr>
          <w:p>
            <w:pPr>
              <w:pStyle w:val="TableParagraph"/>
              <w:spacing w:before="128"/>
              <w:ind w:left="96"/>
              <w:rPr>
                <w:sz w:val="21"/>
              </w:rPr>
            </w:pPr>
            <w:r>
              <w:rPr>
                <w:sz w:val="21"/>
              </w:rPr>
              <w:t>在申请保险金时，请按照下列方式办理：</w:t>
            </w:r>
          </w:p>
        </w:tc>
      </w:tr>
      <w:tr>
        <w:trPr>
          <w:trHeight w:val="467" w:hRule="atLeast"/>
        </w:trPr>
        <w:tc>
          <w:tcPr>
            <w:tcW w:w="532" w:type="dxa"/>
          </w:tcPr>
          <w:p>
            <w:pPr>
              <w:pStyle w:val="TableParagraph"/>
              <w:rPr>
                <w:rFonts w:ascii="Times New Roman"/>
                <w:sz w:val="20"/>
              </w:rPr>
            </w:pPr>
          </w:p>
        </w:tc>
        <w:tc>
          <w:tcPr>
            <w:tcW w:w="2383" w:type="dxa"/>
          </w:tcPr>
          <w:p>
            <w:pPr>
              <w:pStyle w:val="TableParagraph"/>
              <w:spacing w:before="104"/>
              <w:ind w:left="165"/>
              <w:rPr>
                <w:rFonts w:ascii="等线" w:eastAsia="等线" w:hint="eastAsia"/>
                <w:b/>
                <w:sz w:val="24"/>
              </w:rPr>
            </w:pPr>
            <w:r>
              <w:rPr>
                <w:rFonts w:ascii="等线" w:eastAsia="等线" w:hint="eastAsia"/>
                <w:b/>
                <w:sz w:val="24"/>
              </w:rPr>
              <w:t>特定轻度重疾保险</w:t>
            </w:r>
          </w:p>
        </w:tc>
        <w:tc>
          <w:tcPr>
            <w:tcW w:w="6947" w:type="dxa"/>
          </w:tcPr>
          <w:p>
            <w:pPr>
              <w:pStyle w:val="TableParagraph"/>
              <w:spacing w:before="140"/>
              <w:ind w:left="96"/>
              <w:rPr>
                <w:sz w:val="21"/>
              </w:rPr>
            </w:pPr>
            <w:r>
              <w:rPr>
                <w:sz w:val="21"/>
              </w:rPr>
              <w:t>由受益人填写保险金给付申请书，并提供下列证明和资料：</w:t>
            </w:r>
          </w:p>
        </w:tc>
      </w:tr>
      <w:tr>
        <w:trPr>
          <w:trHeight w:val="636" w:hRule="atLeast"/>
        </w:trPr>
        <w:tc>
          <w:tcPr>
            <w:tcW w:w="532" w:type="dxa"/>
          </w:tcPr>
          <w:p>
            <w:pPr>
              <w:pStyle w:val="TableParagraph"/>
              <w:rPr>
                <w:rFonts w:ascii="Times New Roman"/>
                <w:sz w:val="20"/>
              </w:rPr>
            </w:pPr>
          </w:p>
        </w:tc>
        <w:tc>
          <w:tcPr>
            <w:tcW w:w="2383" w:type="dxa"/>
          </w:tcPr>
          <w:p>
            <w:pPr>
              <w:pStyle w:val="TableParagraph"/>
              <w:spacing w:line="277" w:lineRule="exact"/>
              <w:ind w:left="165"/>
              <w:rPr>
                <w:rFonts w:ascii="等线" w:eastAsia="等线" w:hint="eastAsia"/>
                <w:b/>
                <w:sz w:val="24"/>
              </w:rPr>
            </w:pPr>
            <w:r>
              <w:rPr>
                <w:rFonts w:ascii="等线" w:eastAsia="等线" w:hint="eastAsia"/>
                <w:b/>
                <w:sz w:val="24"/>
              </w:rPr>
              <w:t>金和重大疾病保险</w:t>
            </w:r>
          </w:p>
          <w:p>
            <w:pPr>
              <w:pStyle w:val="TableParagraph"/>
              <w:spacing w:line="322" w:lineRule="exact"/>
              <w:ind w:left="165"/>
              <w:rPr>
                <w:rFonts w:ascii="等线" w:eastAsia="等线" w:hint="eastAsia"/>
                <w:b/>
                <w:sz w:val="24"/>
              </w:rPr>
            </w:pPr>
            <w:r>
              <w:rPr>
                <w:rFonts w:ascii="等线" w:eastAsia="等线" w:hint="eastAsia"/>
                <w:b/>
                <w:sz w:val="24"/>
              </w:rPr>
              <w:t>金申请</w:t>
            </w:r>
          </w:p>
        </w:tc>
        <w:tc>
          <w:tcPr>
            <w:tcW w:w="6947" w:type="dxa"/>
          </w:tcPr>
          <w:p>
            <w:pPr>
              <w:pStyle w:val="TableParagraph"/>
              <w:spacing w:line="260" w:lineRule="exact"/>
              <w:ind w:left="96"/>
              <w:rPr>
                <w:sz w:val="21"/>
              </w:rPr>
            </w:pPr>
            <w:r>
              <w:rPr>
                <w:sz w:val="21"/>
              </w:rPr>
              <w:t>（1）保险合同；</w:t>
            </w:r>
          </w:p>
          <w:p>
            <w:pPr>
              <w:pStyle w:val="TableParagraph"/>
              <w:spacing w:before="37"/>
              <w:ind w:left="96"/>
              <w:rPr>
                <w:sz w:val="21"/>
              </w:rPr>
            </w:pPr>
            <w:r>
              <w:rPr>
                <w:sz w:val="21"/>
              </w:rPr>
              <w:t>（2）受益人的</w:t>
            </w:r>
            <w:r>
              <w:rPr>
                <w:rFonts w:ascii="黑体" w:eastAsia="黑体" w:hint="eastAsia"/>
                <w:b/>
                <w:sz w:val="21"/>
              </w:rPr>
              <w:t>有效身份证件 </w:t>
            </w:r>
            <w:hyperlink w:history="true" w:anchor="_bookmark15">
              <w:r>
                <w:rPr>
                  <w:rFonts w:ascii="黑体" w:eastAsia="黑体" w:hint="eastAsia"/>
                  <w:b/>
                  <w:position w:val="11"/>
                  <w:sz w:val="11"/>
                </w:rPr>
                <w:t>16</w:t>
              </w:r>
            </w:hyperlink>
            <w:r>
              <w:rPr>
                <w:sz w:val="21"/>
              </w:rPr>
              <w:t>；</w:t>
            </w:r>
          </w:p>
        </w:tc>
      </w:tr>
      <w:tr>
        <w:trPr>
          <w:trHeight w:val="248" w:hRule="atLeast"/>
        </w:trPr>
        <w:tc>
          <w:tcPr>
            <w:tcW w:w="532" w:type="dxa"/>
          </w:tcPr>
          <w:p>
            <w:pPr>
              <w:pStyle w:val="TableParagraph"/>
              <w:rPr>
                <w:rFonts w:ascii="Times New Roman"/>
                <w:sz w:val="18"/>
              </w:rPr>
            </w:pPr>
          </w:p>
        </w:tc>
        <w:tc>
          <w:tcPr>
            <w:tcW w:w="2383" w:type="dxa"/>
          </w:tcPr>
          <w:p>
            <w:pPr>
              <w:pStyle w:val="TableParagraph"/>
              <w:rPr>
                <w:rFonts w:ascii="Times New Roman"/>
                <w:sz w:val="18"/>
              </w:rPr>
            </w:pPr>
          </w:p>
        </w:tc>
        <w:tc>
          <w:tcPr>
            <w:tcW w:w="6947" w:type="dxa"/>
          </w:tcPr>
          <w:p>
            <w:pPr>
              <w:pStyle w:val="TableParagraph"/>
              <w:spacing w:line="228" w:lineRule="exact"/>
              <w:ind w:left="115"/>
              <w:rPr>
                <w:sz w:val="21"/>
              </w:rPr>
            </w:pPr>
            <w:r>
              <w:rPr>
                <w:sz w:val="21"/>
              </w:rPr>
              <w:t>（3）医院出具的附有病理显微镜检查、血液检验及其他科学方法检验报告</w:t>
            </w:r>
          </w:p>
        </w:tc>
      </w:tr>
    </w:tbl>
    <w:p>
      <w:pPr>
        <w:pStyle w:val="BodyText"/>
        <w:spacing w:before="40"/>
        <w:ind w:right="742"/>
        <w:jc w:val="center"/>
      </w:pPr>
      <w:r>
        <w:rPr/>
        <w:t>的疾病诊断证明书；</w:t>
      </w:r>
    </w:p>
    <w:p>
      <w:pPr>
        <w:pStyle w:val="BodyText"/>
        <w:spacing w:before="37"/>
        <w:ind w:left="3289"/>
      </w:pPr>
      <w:r>
        <w:rPr/>
        <w:t>（4）与确认保险事故的性质、原因等有关的其他证明和资料。</w:t>
      </w:r>
    </w:p>
    <w:p>
      <w:pPr>
        <w:pStyle w:val="BodyText"/>
        <w:spacing w:before="9"/>
      </w:pPr>
    </w:p>
    <w:p>
      <w:pPr>
        <w:tabs>
          <w:tab w:pos="2332" w:val="left" w:leader="none"/>
        </w:tabs>
        <w:spacing w:before="0"/>
        <w:ind w:left="0" w:right="564" w:firstLine="0"/>
        <w:jc w:val="center"/>
        <w:rPr>
          <w:sz w:val="21"/>
        </w:rPr>
      </w:pPr>
      <w:r>
        <w:rPr>
          <w:rFonts w:ascii="等线" w:eastAsia="等线" w:hint="eastAsia"/>
          <w:b/>
          <w:position w:val="1"/>
          <w:sz w:val="24"/>
        </w:rPr>
        <w:t>身故保险金申请</w:t>
        <w:tab/>
      </w:r>
      <w:r>
        <w:rPr>
          <w:sz w:val="21"/>
        </w:rPr>
        <w:t>由受益人</w:t>
      </w:r>
      <w:r>
        <w:rPr>
          <w:spacing w:val="-5"/>
          <w:sz w:val="21"/>
        </w:rPr>
        <w:t>填</w:t>
      </w:r>
      <w:r>
        <w:rPr>
          <w:sz w:val="21"/>
        </w:rPr>
        <w:t>写保险</w:t>
      </w:r>
      <w:r>
        <w:rPr>
          <w:spacing w:val="-5"/>
          <w:sz w:val="21"/>
        </w:rPr>
        <w:t>金</w:t>
      </w:r>
      <w:r>
        <w:rPr>
          <w:sz w:val="21"/>
        </w:rPr>
        <w:t>给付申</w:t>
      </w:r>
      <w:r>
        <w:rPr>
          <w:spacing w:val="-5"/>
          <w:sz w:val="21"/>
        </w:rPr>
        <w:t>请</w:t>
      </w:r>
      <w:r>
        <w:rPr>
          <w:sz w:val="21"/>
        </w:rPr>
        <w:t>书，并</w:t>
      </w:r>
      <w:r>
        <w:rPr>
          <w:spacing w:val="-5"/>
          <w:sz w:val="21"/>
        </w:rPr>
        <w:t>提</w:t>
      </w:r>
      <w:r>
        <w:rPr>
          <w:sz w:val="21"/>
        </w:rPr>
        <w:t>供下列</w:t>
      </w:r>
      <w:r>
        <w:rPr>
          <w:spacing w:val="-5"/>
          <w:sz w:val="21"/>
        </w:rPr>
        <w:t>证</w:t>
      </w:r>
      <w:r>
        <w:rPr>
          <w:sz w:val="21"/>
        </w:rPr>
        <w:t>明</w:t>
      </w:r>
      <w:r>
        <w:rPr>
          <w:spacing w:val="-5"/>
          <w:sz w:val="21"/>
        </w:rPr>
        <w:t>和</w:t>
      </w:r>
      <w:r>
        <w:rPr>
          <w:sz w:val="21"/>
        </w:rPr>
        <w:t>资料：</w:t>
      </w:r>
    </w:p>
    <w:p>
      <w:pPr>
        <w:pStyle w:val="BodyText"/>
        <w:spacing w:before="20"/>
        <w:ind w:left="3304"/>
      </w:pPr>
      <w:r>
        <w:rPr/>
        <w:t>（1）保险合同；</w:t>
      </w:r>
    </w:p>
    <w:p>
      <w:pPr>
        <w:pStyle w:val="BodyText"/>
        <w:spacing w:before="36"/>
        <w:ind w:left="3304"/>
      </w:pPr>
      <w:r>
        <w:rPr/>
        <w:t>（2）受益人的有效身份证件；</w:t>
      </w:r>
    </w:p>
    <w:p>
      <w:pPr>
        <w:pStyle w:val="BodyText"/>
        <w:spacing w:line="273" w:lineRule="auto" w:before="36"/>
        <w:ind w:left="3807" w:right="179" w:hanging="504"/>
      </w:pPr>
      <w:r>
        <w:rPr/>
        <w:t>（3）国家卫生行政部门认定的医疗机构、公安部门或其他相关机构出具的被保险人的死亡证明；</w:t>
      </w:r>
    </w:p>
    <w:p>
      <w:pPr>
        <w:pStyle w:val="BodyText"/>
        <w:spacing w:before="7"/>
        <w:ind w:left="3304"/>
      </w:pPr>
      <w:r>
        <w:rPr/>
        <w:t>（4）与确认保险事故的性质、原因等有关的其他证明和资料。</w:t>
      </w:r>
    </w:p>
    <w:p>
      <w:pPr>
        <w:pStyle w:val="BodyText"/>
        <w:spacing w:before="37"/>
        <w:ind w:left="3304"/>
      </w:pPr>
      <w:r>
        <w:rPr/>
        <w:t>保险金作为被保险人遗产时，必须提供可证明合法继承权的相关权利文件。</w:t>
      </w:r>
    </w:p>
    <w:p>
      <w:pPr>
        <w:pStyle w:val="BodyText"/>
        <w:spacing w:before="5"/>
        <w:rPr>
          <w:sz w:val="24"/>
        </w:rPr>
      </w:pPr>
    </w:p>
    <w:p>
      <w:pPr>
        <w:pStyle w:val="BodyText"/>
        <w:spacing w:line="273" w:lineRule="auto" w:before="1"/>
        <w:ind w:left="3289" w:right="210"/>
      </w:pPr>
      <w:r>
        <w:rPr/>
        <w:t>以上证明和资料不完整的，我们将一次性通知受益人补充提供有关证明和资料。</w:t>
      </w:r>
    </w:p>
    <w:p>
      <w:pPr>
        <w:pStyle w:val="BodyText"/>
        <w:spacing w:before="3"/>
        <w:rPr>
          <w:sz w:val="22"/>
        </w:rPr>
      </w:pPr>
    </w:p>
    <w:p>
      <w:pPr>
        <w:pStyle w:val="BodyText"/>
        <w:tabs>
          <w:tab w:pos="975" w:val="left" w:leader="none"/>
          <w:tab w:pos="3289" w:val="left" w:leader="none"/>
        </w:tabs>
        <w:spacing w:line="273" w:lineRule="auto"/>
        <w:ind w:left="3289" w:right="215" w:hanging="2957"/>
      </w:pPr>
      <w:r>
        <w:rPr>
          <w:b/>
        </w:rPr>
        <w:t>4.4</w:t>
        <w:tab/>
        <w:t>保险金的给付</w:t>
        <w:tab/>
      </w:r>
      <w:r>
        <w:rPr/>
        <w:t>我们在收</w:t>
      </w:r>
      <w:r>
        <w:rPr>
          <w:spacing w:val="-5"/>
        </w:rPr>
        <w:t>到</w:t>
      </w:r>
      <w:r>
        <w:rPr/>
        <w:t>保险金</w:t>
      </w:r>
      <w:r>
        <w:rPr>
          <w:spacing w:val="-5"/>
        </w:rPr>
        <w:t>给</w:t>
      </w:r>
      <w:r>
        <w:rPr/>
        <w:t>付申请</w:t>
      </w:r>
      <w:r>
        <w:rPr>
          <w:spacing w:val="-5"/>
        </w:rPr>
        <w:t>书</w:t>
      </w:r>
      <w:r>
        <w:rPr/>
        <w:t>及上述</w:t>
      </w:r>
      <w:r>
        <w:rPr>
          <w:spacing w:val="-5"/>
        </w:rPr>
        <w:t>有</w:t>
      </w:r>
      <w:r>
        <w:rPr/>
        <w:t>关证明</w:t>
      </w:r>
      <w:r>
        <w:rPr>
          <w:spacing w:val="-5"/>
        </w:rPr>
        <w:t>和</w:t>
      </w:r>
      <w:r>
        <w:rPr/>
        <w:t>资</w:t>
      </w:r>
      <w:r>
        <w:rPr>
          <w:spacing w:val="-5"/>
        </w:rPr>
        <w:t>料</w:t>
      </w:r>
      <w:r>
        <w:rPr/>
        <w:t>后，将在</w:t>
      </w:r>
      <w:r>
        <w:rPr>
          <w:spacing w:val="-1"/>
        </w:rPr>
        <w:t> </w:t>
      </w:r>
      <w:r>
        <w:rPr/>
        <w:t>5</w:t>
      </w:r>
      <w:r>
        <w:rPr>
          <w:spacing w:val="5"/>
        </w:rPr>
        <w:t> </w:t>
      </w:r>
      <w:r>
        <w:rPr/>
        <w:t>日内</w:t>
      </w:r>
      <w:r>
        <w:rPr>
          <w:spacing w:val="-5"/>
        </w:rPr>
        <w:t>作</w:t>
      </w:r>
      <w:r>
        <w:rPr/>
        <w:t>出核定；情</w:t>
      </w:r>
      <w:r>
        <w:rPr>
          <w:spacing w:val="-5"/>
        </w:rPr>
        <w:t>形</w:t>
      </w:r>
      <w:r>
        <w:rPr/>
        <w:t>复杂的</w:t>
      </w:r>
      <w:r>
        <w:rPr>
          <w:spacing w:val="-5"/>
        </w:rPr>
        <w:t>，</w:t>
      </w:r>
      <w:r>
        <w:rPr/>
        <w:t>在</w:t>
      </w:r>
      <w:r>
        <w:rPr>
          <w:spacing w:val="-43"/>
        </w:rPr>
        <w:t> </w:t>
      </w:r>
      <w:r>
        <w:rPr/>
        <w:t>30</w:t>
      </w:r>
      <w:r>
        <w:rPr>
          <w:spacing w:val="-43"/>
        </w:rPr>
        <w:t> </w:t>
      </w:r>
      <w:r>
        <w:rPr/>
        <w:t>日</w:t>
      </w:r>
      <w:r>
        <w:rPr>
          <w:spacing w:val="-5"/>
        </w:rPr>
        <w:t>内</w:t>
      </w:r>
      <w:r>
        <w:rPr/>
        <w:t>作出核</w:t>
      </w:r>
      <w:r>
        <w:rPr>
          <w:spacing w:val="-5"/>
        </w:rPr>
        <w:t>定</w:t>
      </w:r>
      <w:r>
        <w:rPr/>
        <w:t>。</w:t>
      </w:r>
    </w:p>
    <w:p>
      <w:pPr>
        <w:pStyle w:val="BodyText"/>
        <w:spacing w:line="273" w:lineRule="auto" w:before="7"/>
        <w:ind w:left="3289" w:right="210"/>
        <w:jc w:val="both"/>
      </w:pPr>
      <w:r>
        <w:rPr>
          <w:spacing w:val="-7"/>
        </w:rPr>
        <w:t>对属于保险责任的，我们在与受益人达成给付保险金的协议后 </w:t>
      </w:r>
      <w:r>
        <w:rPr/>
        <w:t>10</w:t>
      </w:r>
      <w:r>
        <w:rPr>
          <w:spacing w:val="-14"/>
        </w:rPr>
        <w:t> 日内，履</w:t>
      </w:r>
      <w:r>
        <w:rPr>
          <w:spacing w:val="-2"/>
        </w:rPr>
        <w:t>行给付保险金义务；若我们在收到保险金给付申请书及上述有关证明和资</w:t>
      </w:r>
      <w:r>
        <w:rPr>
          <w:spacing w:val="-8"/>
        </w:rPr>
        <w:t>料后第 </w:t>
      </w:r>
      <w:r>
        <w:rPr/>
        <w:t>30</w:t>
      </w:r>
      <w:r>
        <w:rPr>
          <w:spacing w:val="-7"/>
        </w:rPr>
        <w:t> 日仍未作出核定，除支付保险金外，我们将从第 </w:t>
      </w:r>
      <w:r>
        <w:rPr/>
        <w:t>31</w:t>
      </w:r>
      <w:r>
        <w:rPr>
          <w:spacing w:val="-7"/>
        </w:rPr>
        <w:t> 日起按超过</w:t>
      </w:r>
      <w:r>
        <w:rPr>
          <w:spacing w:val="-2"/>
        </w:rPr>
        <w:t>天数赔偿受益人因此受到的利息损失。利息按照我们公示的利率按单利计</w:t>
      </w:r>
      <w:r>
        <w:rPr/>
        <w:t>算，且保证该利率不低于中国人民银行公布的同期金融机构人民币活期存款基准利率。若我们要求投保人、被保险人或者受益人补充提供有关证明</w:t>
      </w:r>
      <w:r>
        <w:rPr>
          <w:spacing w:val="-5"/>
        </w:rPr>
        <w:t>和资料的，则上述的 </w:t>
      </w:r>
      <w:r>
        <w:rPr/>
        <w:t>30</w:t>
      </w:r>
      <w:r>
        <w:rPr>
          <w:spacing w:val="-7"/>
        </w:rPr>
        <w:t> 日不包括补充提供有关证明和资料的期间。</w:t>
      </w:r>
    </w:p>
    <w:p>
      <w:pPr>
        <w:pStyle w:val="BodyText"/>
        <w:spacing w:line="273" w:lineRule="auto" w:before="7"/>
        <w:ind w:left="3289" w:right="162"/>
      </w:pPr>
      <w:r>
        <w:rPr/>
        <w:t>对不属于保险责任的，我们自作出核定之日起 3 日内向受益人发出拒绝给付保险金通知书并说明理由。</w:t>
      </w:r>
    </w:p>
    <w:p>
      <w:pPr>
        <w:pStyle w:val="BodyText"/>
        <w:spacing w:before="9"/>
        <w:rPr>
          <w:sz w:val="19"/>
        </w:rPr>
      </w:pPr>
    </w:p>
    <w:p>
      <w:pPr>
        <w:tabs>
          <w:tab w:pos="975" w:val="left" w:leader="none"/>
        </w:tabs>
        <w:spacing w:line="456" w:lineRule="exact" w:before="60"/>
        <w:ind w:left="313" w:right="0" w:firstLine="0"/>
        <w:jc w:val="left"/>
        <w:rPr>
          <w:b/>
          <w:sz w:val="24"/>
        </w:rPr>
      </w:pPr>
      <w:r>
        <w:rPr>
          <w:rFonts w:ascii="Arial" w:hAnsi="Arial" w:eastAsia="Arial"/>
          <w:b/>
          <w:w w:val="105"/>
          <w:position w:val="-8"/>
          <w:sz w:val="40"/>
        </w:rPr>
        <w:t></w:t>
        <w:tab/>
      </w:r>
      <w:r>
        <w:rPr>
          <w:b/>
          <w:w w:val="95"/>
          <w:sz w:val="24"/>
        </w:rPr>
        <w:t>如何退保</w:t>
      </w:r>
    </w:p>
    <w:p>
      <w:pPr>
        <w:pStyle w:val="Heading3"/>
        <w:spacing w:line="310" w:lineRule="exact"/>
      </w:pPr>
      <w:r>
        <w:rPr>
          <w:spacing w:val="-8"/>
        </w:rPr>
        <w:t>这部分讲的是您可以随时申请退保，在犹豫期内退保没有损失，犹豫期后退保会有损失。</w:t>
      </w:r>
    </w:p>
    <w:p>
      <w:pPr>
        <w:pStyle w:val="BodyText"/>
        <w:spacing w:before="6"/>
        <w:rPr>
          <w:sz w:val="13"/>
        </w:rPr>
      </w:pPr>
      <w:r>
        <w:rPr/>
        <w:pict>
          <v:group style="position:absolute;margin-left:45.599998pt;margin-top:10.793956pt;width:504.25pt;height:1pt;mso-position-horizontal-relative:page;mso-position-vertical-relative:paragraph;z-index:1696;mso-wrap-distance-left:0;mso-wrap-distance-right:0" coordorigin="912,216" coordsize="10085,20">
            <v:line style="position:absolute" from="912,225" to="1670,225" stroked="true" strokeweight=".96pt" strokecolor="#000000">
              <v:stroke dashstyle="solid"/>
            </v:line>
            <v:rect style="position:absolute;left:1670;top:215;width:20;height:20" filled="true" fillcolor="#000000" stroked="false">
              <v:fill type="solid"/>
            </v:rect>
            <v:line style="position:absolute" from="1690,225" to="3984,225" stroked="true" strokeweight=".96pt" strokecolor="#000000">
              <v:stroke dashstyle="solid"/>
            </v:line>
            <v:rect style="position:absolute;left:3984;top:215;width:20;height:20" filled="true" fillcolor="#000000" stroked="false">
              <v:fill type="solid"/>
            </v:rect>
            <v:line style="position:absolute" from="4003,225" to="10997,225" stroked="true" strokeweight=".96pt" strokecolor="#000000">
              <v:stroke dashstyle="solid"/>
            </v:line>
            <w10:wrap type="topAndBottom"/>
          </v:group>
        </w:pict>
      </w:r>
    </w:p>
    <w:p>
      <w:pPr>
        <w:pStyle w:val="BodyText"/>
        <w:rPr>
          <w:sz w:val="14"/>
        </w:rPr>
      </w:pPr>
    </w:p>
    <w:p>
      <w:pPr>
        <w:pStyle w:val="BodyText"/>
        <w:tabs>
          <w:tab w:pos="975" w:val="left" w:leader="none"/>
          <w:tab w:pos="3289" w:val="left" w:leader="none"/>
        </w:tabs>
        <w:spacing w:before="36"/>
        <w:ind w:left="332"/>
      </w:pPr>
      <w:r>
        <w:rPr>
          <w:b/>
        </w:rPr>
        <w:t>5.1</w:t>
        <w:tab/>
        <w:t>犹豫期</w:t>
        <w:tab/>
      </w:r>
      <w:r>
        <w:rPr/>
        <w:t>自您签收</w:t>
      </w:r>
      <w:r>
        <w:rPr>
          <w:spacing w:val="-5"/>
        </w:rPr>
        <w:t>本</w:t>
      </w:r>
      <w:r>
        <w:rPr/>
        <w:t>主险合</w:t>
      </w:r>
      <w:r>
        <w:rPr>
          <w:spacing w:val="-5"/>
        </w:rPr>
        <w:t>同</w:t>
      </w:r>
      <w:r>
        <w:rPr/>
        <w:t>次日起</w:t>
      </w:r>
      <w:r>
        <w:rPr>
          <w:spacing w:val="-20"/>
        </w:rPr>
        <w:t>，</w:t>
      </w:r>
      <w:r>
        <w:rPr/>
        <w:t>有</w:t>
      </w:r>
      <w:r>
        <w:rPr>
          <w:spacing w:val="-34"/>
        </w:rPr>
        <w:t> </w:t>
      </w:r>
      <w:r>
        <w:rPr/>
        <w:t>20</w:t>
      </w:r>
      <w:r>
        <w:rPr>
          <w:spacing w:val="-34"/>
        </w:rPr>
        <w:t> </w:t>
      </w:r>
      <w:r>
        <w:rPr>
          <w:spacing w:val="-5"/>
        </w:rPr>
        <w:t>日</w:t>
      </w:r>
      <w:r>
        <w:rPr/>
        <w:t>的犹豫</w:t>
      </w:r>
      <w:r>
        <w:rPr>
          <w:spacing w:val="-5"/>
        </w:rPr>
        <w:t>期</w:t>
      </w:r>
      <w:r>
        <w:rPr>
          <w:spacing w:val="-15"/>
        </w:rPr>
        <w:t>。</w:t>
      </w:r>
      <w:r>
        <w:rPr/>
        <w:t>在</w:t>
      </w:r>
      <w:r>
        <w:rPr>
          <w:spacing w:val="-5"/>
        </w:rPr>
        <w:t>此</w:t>
      </w:r>
      <w:r>
        <w:rPr/>
        <w:t>期间请您</w:t>
      </w:r>
      <w:r>
        <w:rPr>
          <w:spacing w:val="-5"/>
        </w:rPr>
        <w:t>认</w:t>
      </w:r>
      <w:r>
        <w:rPr/>
        <w:t>真审视本</w:t>
      </w:r>
    </w:p>
    <w:p>
      <w:pPr>
        <w:pStyle w:val="BodyText"/>
        <w:spacing w:before="1"/>
        <w:rPr>
          <w:sz w:val="25"/>
        </w:rPr>
      </w:pPr>
      <w:r>
        <w:rPr/>
        <w:pict>
          <v:line style="position:absolute;mso-position-horizontal-relative:page;mso-position-vertical-relative:paragraph;z-index:1720;mso-wrap-distance-left:0;mso-wrap-distance-right:0" from="51.119999pt,18.657263pt" to="195.119999pt,18.657263pt" stroked="true" strokeweight=".48pt" strokecolor="#000000">
            <v:stroke dashstyle="solid"/>
            <w10:wrap type="topAndBottom"/>
          </v:line>
        </w:pict>
      </w:r>
    </w:p>
    <w:p>
      <w:pPr>
        <w:spacing w:line="256" w:lineRule="auto" w:before="25"/>
        <w:ind w:left="404" w:right="129" w:hanging="183"/>
        <w:jc w:val="left"/>
        <w:rPr>
          <w:sz w:val="18"/>
        </w:rPr>
      </w:pPr>
      <w:bookmarkStart w:name="_bookmark15" w:id="16"/>
      <w:bookmarkEnd w:id="16"/>
      <w:r>
        <w:rPr/>
      </w:r>
      <w:r>
        <w:rPr>
          <w:rFonts w:ascii="Microsoft JhengHei" w:eastAsia="Microsoft JhengHei" w:hint="eastAsia"/>
          <w:b/>
          <w:spacing w:val="2"/>
          <w:position w:val="9"/>
          <w:sz w:val="9"/>
        </w:rPr>
        <w:t>16  </w:t>
      </w:r>
      <w:r>
        <w:rPr>
          <w:rFonts w:ascii="Microsoft JhengHei" w:eastAsia="Microsoft JhengHei" w:hint="eastAsia"/>
          <w:b/>
          <w:spacing w:val="-2"/>
          <w:sz w:val="18"/>
        </w:rPr>
        <w:t>有效身份证件</w:t>
      </w:r>
      <w:r>
        <w:rPr>
          <w:spacing w:val="-5"/>
          <w:sz w:val="18"/>
        </w:rPr>
        <w:t>指政府有权机关颁发的能够证明其合法真实身份的证件或文件等，如居民身份证、按规定可使用的有效护照、</w:t>
      </w:r>
      <w:r>
        <w:rPr>
          <w:spacing w:val="-3"/>
          <w:sz w:val="18"/>
        </w:rPr>
        <w:t>营业执照等。</w:t>
      </w:r>
    </w:p>
    <w:p>
      <w:pPr>
        <w:spacing w:after="0" w:line="256" w:lineRule="auto"/>
        <w:jc w:val="left"/>
        <w:rPr>
          <w:sz w:val="18"/>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2374"/>
        <w:gridCol w:w="7003"/>
      </w:tblGrid>
      <w:tr>
        <w:trPr>
          <w:trHeight w:val="1680" w:hRule="atLeast"/>
        </w:trPr>
        <w:tc>
          <w:tcPr>
            <w:tcW w:w="708" w:type="dxa"/>
          </w:tcPr>
          <w:p>
            <w:pPr>
              <w:pStyle w:val="TableParagraph"/>
              <w:rPr>
                <w:rFonts w:ascii="Times New Roman"/>
                <w:sz w:val="20"/>
              </w:rPr>
            </w:pPr>
          </w:p>
        </w:tc>
        <w:tc>
          <w:tcPr>
            <w:tcW w:w="2374" w:type="dxa"/>
          </w:tcPr>
          <w:p>
            <w:pPr>
              <w:pStyle w:val="TableParagraph"/>
              <w:rPr>
                <w:rFonts w:ascii="Times New Roman"/>
                <w:sz w:val="20"/>
              </w:rPr>
            </w:pPr>
          </w:p>
        </w:tc>
        <w:tc>
          <w:tcPr>
            <w:tcW w:w="7003" w:type="dxa"/>
          </w:tcPr>
          <w:p>
            <w:pPr>
              <w:pStyle w:val="TableParagraph"/>
              <w:spacing w:line="211" w:lineRule="exact"/>
              <w:ind w:left="95"/>
              <w:rPr>
                <w:sz w:val="21"/>
              </w:rPr>
            </w:pPr>
            <w:r>
              <w:rPr>
                <w:sz w:val="21"/>
              </w:rPr>
              <w:t>主险合同，如果您认为本主险合同与您的需求不相符，您可以在此期间提</w:t>
            </w:r>
          </w:p>
          <w:p>
            <w:pPr>
              <w:pStyle w:val="TableParagraph"/>
              <w:spacing w:before="37"/>
              <w:ind w:left="95"/>
              <w:rPr>
                <w:sz w:val="21"/>
              </w:rPr>
            </w:pPr>
            <w:r>
              <w:rPr>
                <w:sz w:val="21"/>
              </w:rPr>
              <w:t>出解除本主险合同，我们将无息退还您所支付的全部保险费。</w:t>
            </w:r>
          </w:p>
          <w:p>
            <w:pPr>
              <w:pStyle w:val="TableParagraph"/>
              <w:spacing w:line="273" w:lineRule="auto" w:before="37"/>
              <w:ind w:left="95" w:right="180"/>
              <w:jc w:val="both"/>
              <w:rPr>
                <w:sz w:val="21"/>
              </w:rPr>
            </w:pPr>
            <w:r>
              <w:rPr>
                <w:sz w:val="21"/>
              </w:rPr>
              <w:t>解除本主险合同时，您需要填写申请书，并提供您的保险合同及有效身份证件。自我们收到您解除合同的书面申请时起，本主险合同即被解除，</w:t>
            </w:r>
            <w:r>
              <w:rPr>
                <w:sz w:val="21"/>
                <w:shd w:fill="DADADA" w:color="auto" w:val="clear"/>
              </w:rPr>
              <w:t>合同解除前发生的保险事故我们不承担保险责任。</w:t>
            </w:r>
          </w:p>
        </w:tc>
      </w:tr>
      <w:tr>
        <w:trPr>
          <w:trHeight w:val="2838" w:hRule="atLeast"/>
        </w:trPr>
        <w:tc>
          <w:tcPr>
            <w:tcW w:w="708" w:type="dxa"/>
          </w:tcPr>
          <w:p>
            <w:pPr>
              <w:pStyle w:val="TableParagraph"/>
              <w:spacing w:before="157"/>
              <w:ind w:right="168"/>
              <w:jc w:val="right"/>
              <w:rPr>
                <w:b/>
                <w:sz w:val="21"/>
              </w:rPr>
            </w:pPr>
            <w:r>
              <w:rPr>
                <w:b/>
                <w:w w:val="95"/>
                <w:sz w:val="21"/>
              </w:rPr>
              <w:t>5.2</w:t>
            </w:r>
          </w:p>
        </w:tc>
        <w:tc>
          <w:tcPr>
            <w:tcW w:w="2374" w:type="dxa"/>
          </w:tcPr>
          <w:p>
            <w:pPr>
              <w:pStyle w:val="TableParagraph"/>
              <w:spacing w:line="273" w:lineRule="auto" w:before="157"/>
              <w:ind w:left="155" w:right="93"/>
              <w:rPr>
                <w:b/>
                <w:sz w:val="21"/>
              </w:rPr>
            </w:pPr>
            <w:r>
              <w:rPr>
                <w:b/>
                <w:sz w:val="21"/>
              </w:rPr>
              <w:t>您解除合同的手续及风险</w:t>
            </w:r>
          </w:p>
        </w:tc>
        <w:tc>
          <w:tcPr>
            <w:tcW w:w="7003" w:type="dxa"/>
          </w:tcPr>
          <w:p>
            <w:pPr>
              <w:pStyle w:val="TableParagraph"/>
              <w:spacing w:line="273" w:lineRule="auto" w:before="157"/>
              <w:ind w:left="95" w:right="103"/>
              <w:rPr>
                <w:sz w:val="21"/>
              </w:rPr>
            </w:pPr>
            <w:r>
              <w:rPr>
                <w:sz w:val="21"/>
              </w:rPr>
              <w:t>您在犹豫期后可以申请解除本主险合同，请填写解除合同申请书并向我们提供下列资料：</w:t>
            </w:r>
          </w:p>
          <w:p>
            <w:pPr>
              <w:pStyle w:val="TableParagraph"/>
              <w:spacing w:before="7"/>
              <w:ind w:left="95"/>
              <w:rPr>
                <w:sz w:val="21"/>
              </w:rPr>
            </w:pPr>
            <w:r>
              <w:rPr>
                <w:sz w:val="21"/>
              </w:rPr>
              <w:t>（1）保险合同；</w:t>
            </w:r>
          </w:p>
          <w:p>
            <w:pPr>
              <w:pStyle w:val="TableParagraph"/>
              <w:spacing w:before="36"/>
              <w:ind w:left="95"/>
              <w:rPr>
                <w:sz w:val="21"/>
              </w:rPr>
            </w:pPr>
            <w:r>
              <w:rPr>
                <w:sz w:val="21"/>
              </w:rPr>
              <w:t>（2）您的有效身份证件。</w:t>
            </w:r>
          </w:p>
          <w:p>
            <w:pPr>
              <w:pStyle w:val="TableParagraph"/>
              <w:spacing w:line="273" w:lineRule="auto" w:before="36"/>
              <w:ind w:left="95" w:right="98"/>
              <w:rPr>
                <w:sz w:val="21"/>
              </w:rPr>
            </w:pPr>
            <w:r>
              <w:rPr>
                <w:sz w:val="21"/>
              </w:rPr>
              <w:t>自我们收到解除合同申请书时起，本主险合同终止。我们自收到解除合同申请书之日起 30 日内向您退还本主险合同的现金价值。</w:t>
            </w:r>
          </w:p>
          <w:p>
            <w:pPr>
              <w:pStyle w:val="TableParagraph"/>
              <w:spacing w:line="273" w:lineRule="auto" w:before="7"/>
              <w:ind w:left="95" w:right="3122"/>
              <w:rPr>
                <w:sz w:val="21"/>
              </w:rPr>
            </w:pPr>
            <w:r>
              <w:rPr>
                <w:sz w:val="21"/>
              </w:rPr>
              <w:t>您在犹豫期后解除合同会遭受一定损失。解除合同后，您会失去原有的保障。</w:t>
            </w:r>
          </w:p>
        </w:tc>
      </w:tr>
      <w:tr>
        <w:trPr>
          <w:trHeight w:val="1163" w:hRule="atLeast"/>
        </w:trPr>
        <w:tc>
          <w:tcPr>
            <w:tcW w:w="708" w:type="dxa"/>
            <w:tcBorders>
              <w:bottom w:val="single" w:sz="8" w:space="0" w:color="000000"/>
            </w:tcBorders>
          </w:tcPr>
          <w:p>
            <w:pPr>
              <w:pStyle w:val="TableParagraph"/>
              <w:spacing w:before="183"/>
              <w:ind w:right="149"/>
              <w:jc w:val="right"/>
              <w:rPr>
                <w:rFonts w:ascii="Arial" w:hAnsi="Arial"/>
                <w:b/>
                <w:sz w:val="40"/>
              </w:rPr>
            </w:pPr>
            <w:r>
              <w:rPr>
                <w:rFonts w:ascii="Arial" w:hAnsi="Arial"/>
                <w:b/>
                <w:w w:val="118"/>
                <w:sz w:val="40"/>
              </w:rPr>
              <w:t></w:t>
            </w:r>
          </w:p>
        </w:tc>
        <w:tc>
          <w:tcPr>
            <w:tcW w:w="9377" w:type="dxa"/>
            <w:gridSpan w:val="2"/>
            <w:tcBorders>
              <w:bottom w:val="single" w:sz="8" w:space="0" w:color="000000"/>
            </w:tcBorders>
          </w:tcPr>
          <w:p>
            <w:pPr>
              <w:pStyle w:val="TableParagraph"/>
              <w:spacing w:before="187"/>
              <w:ind w:left="155"/>
              <w:rPr>
                <w:b/>
                <w:sz w:val="24"/>
              </w:rPr>
            </w:pPr>
            <w:r>
              <w:rPr>
                <w:b/>
                <w:w w:val="95"/>
                <w:sz w:val="24"/>
              </w:rPr>
              <w:t>其他权益</w:t>
            </w:r>
          </w:p>
          <w:p>
            <w:pPr>
              <w:pStyle w:val="TableParagraph"/>
              <w:spacing w:before="132"/>
              <w:ind w:left="155"/>
              <w:rPr>
                <w:sz w:val="24"/>
              </w:rPr>
            </w:pPr>
            <w:r>
              <w:rPr>
                <w:sz w:val="24"/>
              </w:rPr>
              <w:t>这部分讲的是您所拥有的其他相关权益。</w:t>
            </w:r>
          </w:p>
        </w:tc>
      </w:tr>
      <w:tr>
        <w:trPr>
          <w:trHeight w:val="1735" w:hRule="atLeast"/>
        </w:trPr>
        <w:tc>
          <w:tcPr>
            <w:tcW w:w="708" w:type="dxa"/>
            <w:tcBorders>
              <w:top w:val="single" w:sz="8" w:space="0" w:color="000000"/>
            </w:tcBorders>
          </w:tcPr>
          <w:p>
            <w:pPr>
              <w:pStyle w:val="TableParagraph"/>
              <w:spacing w:before="5"/>
              <w:rPr>
                <w:sz w:val="23"/>
              </w:rPr>
            </w:pPr>
          </w:p>
          <w:p>
            <w:pPr>
              <w:pStyle w:val="TableParagraph"/>
              <w:ind w:right="168"/>
              <w:jc w:val="right"/>
              <w:rPr>
                <w:b/>
                <w:sz w:val="21"/>
              </w:rPr>
            </w:pPr>
            <w:r>
              <w:rPr>
                <w:b/>
                <w:sz w:val="21"/>
              </w:rPr>
              <w:t>6.1</w:t>
            </w:r>
          </w:p>
        </w:tc>
        <w:tc>
          <w:tcPr>
            <w:tcW w:w="2374" w:type="dxa"/>
            <w:tcBorders>
              <w:top w:val="single" w:sz="8" w:space="0" w:color="000000"/>
            </w:tcBorders>
          </w:tcPr>
          <w:p>
            <w:pPr>
              <w:pStyle w:val="TableParagraph"/>
              <w:spacing w:before="5"/>
              <w:rPr>
                <w:sz w:val="23"/>
              </w:rPr>
            </w:pPr>
          </w:p>
          <w:p>
            <w:pPr>
              <w:pStyle w:val="TableParagraph"/>
              <w:ind w:left="155"/>
              <w:rPr>
                <w:b/>
                <w:sz w:val="21"/>
              </w:rPr>
            </w:pPr>
            <w:r>
              <w:rPr>
                <w:b/>
                <w:sz w:val="21"/>
              </w:rPr>
              <w:t>现金价值</w:t>
            </w:r>
          </w:p>
        </w:tc>
        <w:tc>
          <w:tcPr>
            <w:tcW w:w="7003" w:type="dxa"/>
            <w:tcBorders>
              <w:top w:val="single" w:sz="8" w:space="0" w:color="000000"/>
            </w:tcBorders>
          </w:tcPr>
          <w:p>
            <w:pPr>
              <w:pStyle w:val="TableParagraph"/>
              <w:spacing w:before="5"/>
              <w:rPr>
                <w:sz w:val="23"/>
              </w:rPr>
            </w:pPr>
          </w:p>
          <w:p>
            <w:pPr>
              <w:pStyle w:val="TableParagraph"/>
              <w:spacing w:line="273" w:lineRule="auto"/>
              <w:ind w:left="95" w:right="103"/>
              <w:rPr>
                <w:sz w:val="21"/>
              </w:rPr>
            </w:pPr>
            <w:r>
              <w:rPr>
                <w:sz w:val="21"/>
              </w:rPr>
              <w:t>指保险单所具有的价值。通常体现为解除合同时，由本公司退还的那部分金额。</w:t>
            </w:r>
          </w:p>
          <w:p>
            <w:pPr>
              <w:pStyle w:val="TableParagraph"/>
              <w:spacing w:line="273" w:lineRule="auto" w:before="7"/>
              <w:ind w:left="95" w:right="103"/>
              <w:rPr>
                <w:sz w:val="21"/>
              </w:rPr>
            </w:pPr>
            <w:r>
              <w:rPr>
                <w:sz w:val="21"/>
              </w:rPr>
              <w:t>本主险合同保单年度末的现金价值会在保险单上载明。保单年度内的现金价值，您可以向我们咨询。</w:t>
            </w:r>
          </w:p>
        </w:tc>
      </w:tr>
      <w:tr>
        <w:trPr>
          <w:trHeight w:val="2522" w:hRule="atLeast"/>
        </w:trPr>
        <w:tc>
          <w:tcPr>
            <w:tcW w:w="708" w:type="dxa"/>
          </w:tcPr>
          <w:p>
            <w:pPr>
              <w:pStyle w:val="TableParagraph"/>
              <w:spacing w:before="154"/>
              <w:ind w:right="173"/>
              <w:jc w:val="right"/>
              <w:rPr>
                <w:b/>
                <w:sz w:val="21"/>
              </w:rPr>
            </w:pPr>
            <w:r>
              <w:rPr>
                <w:b/>
                <w:sz w:val="21"/>
              </w:rPr>
              <w:t>6.2</w:t>
            </w:r>
          </w:p>
        </w:tc>
        <w:tc>
          <w:tcPr>
            <w:tcW w:w="2374" w:type="dxa"/>
          </w:tcPr>
          <w:p>
            <w:pPr>
              <w:pStyle w:val="TableParagraph"/>
              <w:spacing w:before="154"/>
              <w:ind w:left="151"/>
              <w:rPr>
                <w:b/>
                <w:sz w:val="21"/>
              </w:rPr>
            </w:pPr>
            <w:r>
              <w:rPr>
                <w:b/>
                <w:sz w:val="21"/>
              </w:rPr>
              <w:t>保单贷款</w:t>
            </w:r>
          </w:p>
        </w:tc>
        <w:tc>
          <w:tcPr>
            <w:tcW w:w="7003" w:type="dxa"/>
          </w:tcPr>
          <w:p>
            <w:pPr>
              <w:pStyle w:val="TableParagraph"/>
              <w:spacing w:line="273" w:lineRule="auto" w:before="154"/>
              <w:ind w:left="110"/>
              <w:rPr>
                <w:sz w:val="21"/>
              </w:rPr>
            </w:pPr>
            <w:r>
              <w:rPr>
                <w:sz w:val="21"/>
              </w:rPr>
              <w:t>在本主险合同保险期间内，经我们审核同意后您可办理保单贷款。贷款金</w:t>
            </w:r>
            <w:r>
              <w:rPr>
                <w:spacing w:val="-5"/>
                <w:w w:val="100"/>
                <w:sz w:val="21"/>
              </w:rPr>
              <w:t>额不得超过保险合同现金价值扣除各项欠款后余额的</w:t>
            </w:r>
            <w:r>
              <w:rPr>
                <w:spacing w:val="-57"/>
                <w:sz w:val="21"/>
              </w:rPr>
              <w:t> </w:t>
            </w:r>
            <w:r>
              <w:rPr>
                <w:w w:val="100"/>
                <w:sz w:val="21"/>
              </w:rPr>
              <w:t>80</w:t>
            </w:r>
            <w:r>
              <w:rPr>
                <w:spacing w:val="-13"/>
                <w:w w:val="100"/>
                <w:sz w:val="21"/>
              </w:rPr>
              <w:t>%，每次贷款期限最</w:t>
            </w:r>
            <w:r>
              <w:rPr>
                <w:spacing w:val="-18"/>
                <w:sz w:val="21"/>
              </w:rPr>
              <w:t>长不超过 </w:t>
            </w:r>
            <w:r>
              <w:rPr>
                <w:sz w:val="21"/>
              </w:rPr>
              <w:t>6</w:t>
            </w:r>
            <w:r>
              <w:rPr>
                <w:spacing w:val="-11"/>
                <w:sz w:val="21"/>
              </w:rPr>
              <w:t> 个月，贷款利率按您与我们签订的贷款协议中约定的利率执行。</w:t>
            </w:r>
            <w:r>
              <w:rPr>
                <w:spacing w:val="-9"/>
                <w:sz w:val="21"/>
              </w:rPr>
              <w:t>贷款本息在贷款到期时一并归还。若您到期未能足额偿还贷款本息，则您</w:t>
            </w:r>
            <w:r>
              <w:rPr>
                <w:spacing w:val="-7"/>
                <w:sz w:val="21"/>
              </w:rPr>
              <w:t>所欠的贷款本金及利息将作为新的贷款本金计息。</w:t>
            </w:r>
          </w:p>
          <w:p>
            <w:pPr>
              <w:pStyle w:val="TableParagraph"/>
              <w:spacing w:line="273" w:lineRule="auto" w:before="7"/>
              <w:ind w:left="109" w:right="113"/>
              <w:rPr>
                <w:sz w:val="21"/>
              </w:rPr>
            </w:pPr>
            <w:r>
              <w:rPr>
                <w:sz w:val="21"/>
              </w:rPr>
              <w:t>当未还贷款本金及利息加上其他各项欠款达到保险合同现金价值时，保险合同的效力中止。</w:t>
            </w:r>
          </w:p>
        </w:tc>
      </w:tr>
      <w:tr>
        <w:trPr>
          <w:trHeight w:val="3148" w:hRule="atLeast"/>
        </w:trPr>
        <w:tc>
          <w:tcPr>
            <w:tcW w:w="708" w:type="dxa"/>
          </w:tcPr>
          <w:p>
            <w:pPr>
              <w:pStyle w:val="TableParagraph"/>
              <w:spacing w:before="157"/>
              <w:ind w:right="173"/>
              <w:jc w:val="right"/>
              <w:rPr>
                <w:b/>
                <w:sz w:val="21"/>
              </w:rPr>
            </w:pPr>
            <w:r>
              <w:rPr>
                <w:b/>
                <w:sz w:val="21"/>
              </w:rPr>
              <w:t>6.3</w:t>
            </w:r>
          </w:p>
        </w:tc>
        <w:tc>
          <w:tcPr>
            <w:tcW w:w="2374" w:type="dxa"/>
          </w:tcPr>
          <w:p>
            <w:pPr>
              <w:pStyle w:val="TableParagraph"/>
              <w:spacing w:before="157"/>
              <w:ind w:left="151"/>
              <w:rPr>
                <w:b/>
                <w:sz w:val="21"/>
              </w:rPr>
            </w:pPr>
            <w:r>
              <w:rPr>
                <w:b/>
                <w:sz w:val="21"/>
              </w:rPr>
              <w:t>自动垫交</w:t>
            </w:r>
          </w:p>
        </w:tc>
        <w:tc>
          <w:tcPr>
            <w:tcW w:w="7003" w:type="dxa"/>
          </w:tcPr>
          <w:p>
            <w:pPr>
              <w:pStyle w:val="TableParagraph"/>
              <w:spacing w:line="273" w:lineRule="auto" w:before="157"/>
              <w:ind w:left="110" w:right="113"/>
              <w:jc w:val="both"/>
              <w:rPr>
                <w:sz w:val="21"/>
              </w:rPr>
            </w:pPr>
            <w:r>
              <w:rPr>
                <w:sz w:val="21"/>
              </w:rPr>
              <w:t>当您无法继续交费时，可用现金价值垫交您欠交的保险费，基本保险金额不会改变，当现金价值用完时，保险合同的效力中止。</w:t>
            </w:r>
          </w:p>
          <w:p>
            <w:pPr>
              <w:pStyle w:val="TableParagraph"/>
              <w:spacing w:line="273" w:lineRule="auto" w:before="7"/>
              <w:ind w:left="110" w:right="113"/>
              <w:jc w:val="both"/>
              <w:rPr>
                <w:sz w:val="21"/>
              </w:rPr>
            </w:pPr>
            <w:r>
              <w:rPr>
                <w:sz w:val="21"/>
              </w:rPr>
              <w:t>即如果您在宽限期结束时仍未支付保险费，我们将以保险合同的现金价值扣除您尚未偿还的各项欠款之后的余额自动垫交到期应付的保险费，保险</w:t>
            </w:r>
            <w:r>
              <w:rPr>
                <w:spacing w:val="-5"/>
                <w:sz w:val="21"/>
              </w:rPr>
              <w:t>合同继续有效。所垫交的保险费视同贷款，按照保单贷款利率计算利息。当现金价值扣除各项欠款后的余额不足以垫交到期应付的保险费时，我们将根据现金价值的余额计算保险合同可以继续有效的天数，保险合同在此期间继续有效。当现金价值余额为零时，保险合同的效力中止。</w:t>
            </w:r>
          </w:p>
          <w:p>
            <w:pPr>
              <w:pStyle w:val="TableParagraph"/>
              <w:spacing w:before="7"/>
              <w:ind w:left="110"/>
              <w:jc w:val="both"/>
              <w:rPr>
                <w:sz w:val="21"/>
              </w:rPr>
            </w:pPr>
            <w:r>
              <w:rPr>
                <w:sz w:val="21"/>
              </w:rPr>
              <w:t>6.2 及 6.3 中所称的“保险合同”包括本主险合同及其附加险合同。</w:t>
            </w:r>
          </w:p>
        </w:tc>
      </w:tr>
      <w:tr>
        <w:trPr>
          <w:trHeight w:val="1056" w:hRule="atLeast"/>
        </w:trPr>
        <w:tc>
          <w:tcPr>
            <w:tcW w:w="708" w:type="dxa"/>
          </w:tcPr>
          <w:p>
            <w:pPr>
              <w:pStyle w:val="TableParagraph"/>
              <w:spacing w:before="157"/>
              <w:ind w:right="168"/>
              <w:jc w:val="right"/>
              <w:rPr>
                <w:b/>
                <w:sz w:val="21"/>
              </w:rPr>
            </w:pPr>
            <w:r>
              <w:rPr>
                <w:b/>
                <w:sz w:val="21"/>
              </w:rPr>
              <w:t>6.4</w:t>
            </w:r>
          </w:p>
        </w:tc>
        <w:tc>
          <w:tcPr>
            <w:tcW w:w="2374" w:type="dxa"/>
          </w:tcPr>
          <w:p>
            <w:pPr>
              <w:pStyle w:val="TableParagraph"/>
              <w:spacing w:before="157"/>
              <w:ind w:left="155"/>
              <w:rPr>
                <w:b/>
                <w:sz w:val="21"/>
              </w:rPr>
            </w:pPr>
            <w:r>
              <w:rPr>
                <w:b/>
                <w:sz w:val="21"/>
              </w:rPr>
              <w:t>减额交清</w:t>
            </w:r>
          </w:p>
        </w:tc>
        <w:tc>
          <w:tcPr>
            <w:tcW w:w="7003" w:type="dxa"/>
          </w:tcPr>
          <w:p>
            <w:pPr>
              <w:pStyle w:val="TableParagraph"/>
              <w:spacing w:line="273" w:lineRule="auto" w:before="157"/>
              <w:ind w:left="95" w:right="103"/>
              <w:rPr>
                <w:sz w:val="21"/>
              </w:rPr>
            </w:pPr>
            <w:r>
              <w:rPr>
                <w:sz w:val="21"/>
              </w:rPr>
              <w:t>当您无法继续交费时，可用现金价值作为一次交清的保险费，基本保险金额将减少，合同继续有效。</w:t>
            </w:r>
          </w:p>
          <w:p>
            <w:pPr>
              <w:pStyle w:val="TableParagraph"/>
              <w:spacing w:line="255" w:lineRule="exact" w:before="7"/>
              <w:ind w:left="95"/>
              <w:rPr>
                <w:sz w:val="21"/>
              </w:rPr>
            </w:pPr>
            <w:r>
              <w:rPr>
                <w:sz w:val="21"/>
              </w:rPr>
              <w:t>即如果您决定不再支付续期保险费，我们将以本主险合同宽限期开始前一</w:t>
            </w:r>
          </w:p>
        </w:tc>
      </w:tr>
    </w:tbl>
    <w:p>
      <w:pPr>
        <w:spacing w:after="0" w:line="255" w:lineRule="exact"/>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2371"/>
        <w:gridCol w:w="7003"/>
      </w:tblGrid>
      <w:tr>
        <w:trPr>
          <w:trHeight w:val="1950" w:hRule="atLeast"/>
        </w:trPr>
        <w:tc>
          <w:tcPr>
            <w:tcW w:w="710" w:type="dxa"/>
          </w:tcPr>
          <w:p>
            <w:pPr>
              <w:pStyle w:val="TableParagraph"/>
              <w:rPr>
                <w:rFonts w:ascii="Times New Roman"/>
                <w:sz w:val="20"/>
              </w:rPr>
            </w:pPr>
          </w:p>
        </w:tc>
        <w:tc>
          <w:tcPr>
            <w:tcW w:w="2371" w:type="dxa"/>
          </w:tcPr>
          <w:p>
            <w:pPr>
              <w:pStyle w:val="TableParagraph"/>
              <w:rPr>
                <w:rFonts w:ascii="Times New Roman"/>
                <w:sz w:val="20"/>
              </w:rPr>
            </w:pPr>
          </w:p>
        </w:tc>
        <w:tc>
          <w:tcPr>
            <w:tcW w:w="7003" w:type="dxa"/>
          </w:tcPr>
          <w:p>
            <w:pPr>
              <w:pStyle w:val="TableParagraph"/>
              <w:spacing w:line="211" w:lineRule="exact"/>
              <w:ind w:left="96"/>
              <w:rPr>
                <w:rFonts w:ascii="黑体" w:eastAsia="黑体" w:hint="eastAsia"/>
                <w:b/>
                <w:sz w:val="21"/>
              </w:rPr>
            </w:pPr>
            <w:r>
              <w:rPr>
                <w:sz w:val="21"/>
              </w:rPr>
              <w:t>日的现金价值扣除您尚未偿还的各项欠款之后的余额作为一次交清的</w:t>
            </w:r>
            <w:r>
              <w:rPr>
                <w:rFonts w:ascii="黑体" w:eastAsia="黑体" w:hint="eastAsia"/>
                <w:b/>
                <w:sz w:val="21"/>
              </w:rPr>
              <w:t>净保</w:t>
            </w:r>
          </w:p>
          <w:p>
            <w:pPr>
              <w:pStyle w:val="TableParagraph"/>
              <w:spacing w:before="37"/>
              <w:ind w:left="96"/>
              <w:rPr>
                <w:sz w:val="21"/>
              </w:rPr>
            </w:pPr>
            <w:r>
              <w:rPr>
                <w:rFonts w:ascii="黑体" w:eastAsia="黑体" w:hint="eastAsia"/>
                <w:b/>
                <w:sz w:val="21"/>
              </w:rPr>
              <w:t>险费 </w:t>
            </w:r>
            <w:hyperlink w:history="true" w:anchor="_bookmark16">
              <w:r>
                <w:rPr>
                  <w:rFonts w:ascii="黑体" w:eastAsia="黑体" w:hint="eastAsia"/>
                  <w:b/>
                  <w:position w:val="11"/>
                  <w:sz w:val="11"/>
                </w:rPr>
                <w:t>17</w:t>
              </w:r>
            </w:hyperlink>
            <w:r>
              <w:rPr>
                <w:sz w:val="21"/>
              </w:rPr>
              <w:t>，重新计算本主险合同的基本保险金额。</w:t>
            </w:r>
          </w:p>
          <w:p>
            <w:pPr>
              <w:pStyle w:val="TableParagraph"/>
              <w:spacing w:line="273" w:lineRule="auto" w:before="37"/>
              <w:ind w:left="96" w:right="102"/>
              <w:rPr>
                <w:sz w:val="21"/>
              </w:rPr>
            </w:pPr>
            <w:r>
              <w:rPr>
                <w:sz w:val="21"/>
              </w:rPr>
              <w:t>如果您和我们签订的本主险合同附有可以减额交清的附加险合同，则附加险合同必须与本主险合同一起办理减额交清。</w:t>
            </w:r>
          </w:p>
          <w:p>
            <w:pPr>
              <w:pStyle w:val="TableParagraph"/>
              <w:spacing w:line="273" w:lineRule="auto" w:before="7"/>
              <w:ind w:left="96" w:right="102"/>
              <w:rPr>
                <w:sz w:val="21"/>
              </w:rPr>
            </w:pPr>
            <w:r>
              <w:rPr>
                <w:sz w:val="21"/>
              </w:rPr>
              <w:t>减额交清后，本主险合同的基本保险金额会相应减少，您不需要再支付保险费，本主险合同继续有效。</w:t>
            </w:r>
          </w:p>
        </w:tc>
      </w:tr>
      <w:tr>
        <w:trPr>
          <w:trHeight w:val="1288" w:hRule="atLeast"/>
        </w:trPr>
        <w:tc>
          <w:tcPr>
            <w:tcW w:w="710" w:type="dxa"/>
            <w:tcBorders>
              <w:bottom w:val="single" w:sz="8" w:space="0" w:color="000000"/>
            </w:tcBorders>
          </w:tcPr>
          <w:p>
            <w:pPr>
              <w:pStyle w:val="TableParagraph"/>
              <w:spacing w:before="140"/>
              <w:ind w:left="48"/>
              <w:jc w:val="center"/>
              <w:rPr>
                <w:rFonts w:ascii="Arial" w:hAnsi="Arial"/>
                <w:b/>
                <w:sz w:val="40"/>
              </w:rPr>
            </w:pPr>
            <w:r>
              <w:rPr>
                <w:rFonts w:ascii="Arial" w:hAnsi="Arial"/>
                <w:b/>
                <w:w w:val="118"/>
                <w:sz w:val="40"/>
              </w:rPr>
              <w:t></w:t>
            </w:r>
          </w:p>
        </w:tc>
        <w:tc>
          <w:tcPr>
            <w:tcW w:w="9374" w:type="dxa"/>
            <w:gridSpan w:val="2"/>
            <w:tcBorders>
              <w:bottom w:val="single" w:sz="8" w:space="0" w:color="000000"/>
            </w:tcBorders>
          </w:tcPr>
          <w:p>
            <w:pPr>
              <w:pStyle w:val="TableParagraph"/>
              <w:spacing w:before="144"/>
              <w:ind w:left="154"/>
              <w:rPr>
                <w:b/>
                <w:sz w:val="24"/>
              </w:rPr>
            </w:pPr>
            <w:r>
              <w:rPr>
                <w:b/>
                <w:w w:val="95"/>
                <w:sz w:val="24"/>
              </w:rPr>
              <w:t>特定轻度重疾释义</w:t>
            </w:r>
          </w:p>
          <w:p>
            <w:pPr>
              <w:pStyle w:val="TableParagraph"/>
              <w:spacing w:line="242" w:lineRule="auto" w:before="137"/>
              <w:ind w:left="154" w:right="63"/>
              <w:rPr>
                <w:sz w:val="24"/>
              </w:rPr>
            </w:pPr>
            <w:r>
              <w:rPr>
                <w:sz w:val="24"/>
              </w:rPr>
              <w:t>这部分讲的是我们提供保障的 30 种特定轻度重疾的定义，其中包含一些免责条款，请您特别留意。</w:t>
            </w:r>
          </w:p>
        </w:tc>
      </w:tr>
      <w:tr>
        <w:trPr>
          <w:trHeight w:val="643" w:hRule="atLeast"/>
        </w:trPr>
        <w:tc>
          <w:tcPr>
            <w:tcW w:w="710" w:type="dxa"/>
            <w:tcBorders>
              <w:top w:val="single" w:sz="8" w:space="0" w:color="000000"/>
            </w:tcBorders>
          </w:tcPr>
          <w:p>
            <w:pPr>
              <w:pStyle w:val="TableParagraph"/>
              <w:rPr>
                <w:rFonts w:ascii="Times New Roman"/>
                <w:sz w:val="20"/>
              </w:rPr>
            </w:pPr>
          </w:p>
        </w:tc>
        <w:tc>
          <w:tcPr>
            <w:tcW w:w="2371" w:type="dxa"/>
            <w:tcBorders>
              <w:top w:val="single" w:sz="8" w:space="0" w:color="000000"/>
            </w:tcBorders>
          </w:tcPr>
          <w:p>
            <w:pPr>
              <w:pStyle w:val="TableParagraph"/>
              <w:spacing w:before="7"/>
              <w:rPr>
                <w:sz w:val="14"/>
              </w:rPr>
            </w:pPr>
          </w:p>
          <w:p>
            <w:pPr>
              <w:pStyle w:val="TableParagraph"/>
              <w:spacing w:before="1"/>
              <w:ind w:left="154"/>
              <w:rPr>
                <w:b/>
                <w:sz w:val="21"/>
              </w:rPr>
            </w:pPr>
            <w:r>
              <w:rPr>
                <w:b/>
                <w:sz w:val="21"/>
              </w:rPr>
              <w:t>第 1 类：</w:t>
            </w:r>
          </w:p>
        </w:tc>
        <w:tc>
          <w:tcPr>
            <w:tcW w:w="7003" w:type="dxa"/>
            <w:tcBorders>
              <w:top w:val="single" w:sz="8" w:space="0" w:color="000000"/>
            </w:tcBorders>
          </w:tcPr>
          <w:p>
            <w:pPr>
              <w:pStyle w:val="TableParagraph"/>
              <w:spacing w:before="7"/>
              <w:rPr>
                <w:sz w:val="14"/>
              </w:rPr>
            </w:pPr>
          </w:p>
          <w:p>
            <w:pPr>
              <w:pStyle w:val="TableParagraph"/>
              <w:spacing w:before="1"/>
              <w:ind w:left="96"/>
              <w:rPr>
                <w:b/>
                <w:sz w:val="21"/>
              </w:rPr>
            </w:pPr>
            <w:r>
              <w:rPr>
                <w:b/>
                <w:sz w:val="21"/>
              </w:rPr>
              <w:t>与恶性肿瘤相关的疾病</w:t>
            </w:r>
          </w:p>
        </w:tc>
      </w:tr>
      <w:tr>
        <w:trPr>
          <w:trHeight w:val="1519" w:hRule="atLeast"/>
        </w:trPr>
        <w:tc>
          <w:tcPr>
            <w:tcW w:w="710" w:type="dxa"/>
          </w:tcPr>
          <w:p>
            <w:pPr>
              <w:pStyle w:val="TableParagraph"/>
              <w:spacing w:before="114"/>
              <w:ind w:left="48"/>
              <w:jc w:val="center"/>
              <w:rPr>
                <w:b/>
                <w:sz w:val="21"/>
              </w:rPr>
            </w:pPr>
            <w:r>
              <w:rPr>
                <w:b/>
                <w:w w:val="99"/>
                <w:sz w:val="21"/>
              </w:rPr>
              <w:t>1</w:t>
            </w:r>
          </w:p>
        </w:tc>
        <w:tc>
          <w:tcPr>
            <w:tcW w:w="2371" w:type="dxa"/>
          </w:tcPr>
          <w:p>
            <w:pPr>
              <w:pStyle w:val="TableParagraph"/>
              <w:spacing w:before="111"/>
              <w:ind w:left="154"/>
              <w:rPr>
                <w:rFonts w:ascii="等线" w:eastAsia="等线" w:hint="eastAsia"/>
                <w:b/>
                <w:sz w:val="24"/>
              </w:rPr>
            </w:pPr>
            <w:r>
              <w:rPr>
                <w:rFonts w:ascii="等线" w:eastAsia="等线" w:hint="eastAsia"/>
                <w:b/>
                <w:sz w:val="24"/>
              </w:rPr>
              <w:t>早期恶性病变</w:t>
            </w:r>
          </w:p>
        </w:tc>
        <w:tc>
          <w:tcPr>
            <w:tcW w:w="7003" w:type="dxa"/>
          </w:tcPr>
          <w:p>
            <w:pPr>
              <w:pStyle w:val="TableParagraph"/>
              <w:spacing w:before="114"/>
              <w:ind w:left="96" w:right="-15"/>
              <w:rPr>
                <w:sz w:val="21"/>
              </w:rPr>
            </w:pPr>
            <w:r>
              <w:rPr>
                <w:spacing w:val="-7"/>
                <w:sz w:val="21"/>
              </w:rPr>
              <w:t>指经组织病理学检查被明确诊断为下列恶性病变，并且接受了相应的治疗。</w:t>
            </w:r>
          </w:p>
          <w:p>
            <w:pPr>
              <w:pStyle w:val="TableParagraph"/>
              <w:spacing w:before="37"/>
              <w:ind w:left="96"/>
              <w:rPr>
                <w:sz w:val="21"/>
              </w:rPr>
            </w:pPr>
            <w:r>
              <w:rPr>
                <w:sz w:val="21"/>
              </w:rPr>
              <w:t>（1）相当于 Binet 分期方案 A 期程度的慢性淋巴细胞白血病；</w:t>
            </w:r>
          </w:p>
          <w:p>
            <w:pPr>
              <w:pStyle w:val="TableParagraph"/>
              <w:spacing w:before="36"/>
              <w:ind w:left="96"/>
              <w:rPr>
                <w:sz w:val="21"/>
              </w:rPr>
            </w:pPr>
            <w:r>
              <w:rPr>
                <w:sz w:val="21"/>
              </w:rPr>
              <w:t>（2）相当于 Ann Arbor 分期方案 I 期程度的何杰金氏病；</w:t>
            </w:r>
          </w:p>
          <w:p>
            <w:pPr>
              <w:pStyle w:val="TableParagraph"/>
              <w:spacing w:before="36"/>
              <w:ind w:left="96"/>
              <w:rPr>
                <w:sz w:val="21"/>
              </w:rPr>
            </w:pPr>
            <w:r>
              <w:rPr>
                <w:position w:val="1"/>
                <w:sz w:val="21"/>
              </w:rPr>
              <w:t>（3）TNM 分期为 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tc>
      </w:tr>
      <w:tr>
        <w:trPr>
          <w:trHeight w:val="1221" w:hRule="atLeast"/>
        </w:trPr>
        <w:tc>
          <w:tcPr>
            <w:tcW w:w="710" w:type="dxa"/>
          </w:tcPr>
          <w:p>
            <w:pPr>
              <w:pStyle w:val="TableParagraph"/>
              <w:spacing w:before="130"/>
              <w:ind w:left="48"/>
              <w:jc w:val="center"/>
              <w:rPr>
                <w:b/>
                <w:sz w:val="21"/>
              </w:rPr>
            </w:pPr>
            <w:r>
              <w:rPr>
                <w:b/>
                <w:w w:val="99"/>
                <w:sz w:val="21"/>
              </w:rPr>
              <w:t>2</w:t>
            </w:r>
          </w:p>
        </w:tc>
        <w:tc>
          <w:tcPr>
            <w:tcW w:w="2371" w:type="dxa"/>
          </w:tcPr>
          <w:p>
            <w:pPr>
              <w:pStyle w:val="TableParagraph"/>
              <w:spacing w:before="128"/>
              <w:ind w:left="154"/>
              <w:rPr>
                <w:rFonts w:ascii="等线" w:eastAsia="等线" w:hint="eastAsia"/>
                <w:b/>
                <w:sz w:val="24"/>
              </w:rPr>
            </w:pPr>
            <w:r>
              <w:rPr>
                <w:rFonts w:ascii="等线" w:eastAsia="等线" w:hint="eastAsia"/>
                <w:b/>
                <w:sz w:val="24"/>
              </w:rPr>
              <w:t>原位癌</w:t>
            </w:r>
          </w:p>
        </w:tc>
        <w:tc>
          <w:tcPr>
            <w:tcW w:w="7003" w:type="dxa"/>
          </w:tcPr>
          <w:p>
            <w:pPr>
              <w:pStyle w:val="TableParagraph"/>
              <w:spacing w:before="130"/>
              <w:ind w:left="96"/>
              <w:rPr>
                <w:sz w:val="21"/>
              </w:rPr>
            </w:pPr>
            <w:r>
              <w:rPr>
                <w:sz w:val="21"/>
              </w:rPr>
              <w:t>指恶性肿瘤细胞未穿透基底膜的原位无浸润的恶性肿瘤。</w:t>
            </w:r>
          </w:p>
          <w:p>
            <w:pPr>
              <w:pStyle w:val="TableParagraph"/>
              <w:spacing w:line="273" w:lineRule="auto" w:before="36"/>
              <w:ind w:left="96" w:right="102"/>
              <w:rPr>
                <w:sz w:val="21"/>
              </w:rPr>
            </w:pPr>
            <w:r>
              <w:rPr>
                <w:sz w:val="21"/>
                <w:shd w:fill="DADADA" w:color="auto" w:val="clear"/>
              </w:rPr>
              <w:t>诊断需以固定组织标本的病理组织学检查结果为依据，任何组织涂片和穿</w:t>
            </w:r>
            <w:r>
              <w:rPr>
                <w:spacing w:val="-211"/>
                <w:sz w:val="21"/>
                <w:shd w:fill="DADADA" w:color="auto" w:val="clear"/>
              </w:rPr>
              <w:t>刺</w:t>
            </w:r>
            <w:r>
              <w:rPr>
                <w:spacing w:val="-4"/>
                <w:sz w:val="21"/>
                <w:shd w:fill="DADADA" w:color="auto" w:val="clear"/>
              </w:rPr>
              <w:t>活检结果均不能作为诊断依据。</w:t>
            </w:r>
          </w:p>
        </w:tc>
      </w:tr>
      <w:tr>
        <w:trPr>
          <w:trHeight w:val="1219" w:hRule="atLeast"/>
        </w:trPr>
        <w:tc>
          <w:tcPr>
            <w:tcW w:w="710" w:type="dxa"/>
          </w:tcPr>
          <w:p>
            <w:pPr>
              <w:pStyle w:val="TableParagraph"/>
              <w:spacing w:before="128"/>
              <w:ind w:left="48"/>
              <w:jc w:val="center"/>
              <w:rPr>
                <w:b/>
                <w:sz w:val="21"/>
              </w:rPr>
            </w:pPr>
            <w:r>
              <w:rPr>
                <w:b/>
                <w:w w:val="99"/>
                <w:sz w:val="21"/>
              </w:rPr>
              <w:t>3</w:t>
            </w:r>
          </w:p>
        </w:tc>
        <w:tc>
          <w:tcPr>
            <w:tcW w:w="2371" w:type="dxa"/>
          </w:tcPr>
          <w:p>
            <w:pPr>
              <w:pStyle w:val="TableParagraph"/>
              <w:spacing w:before="126"/>
              <w:ind w:left="154"/>
              <w:rPr>
                <w:rFonts w:ascii="等线" w:eastAsia="等线" w:hint="eastAsia"/>
                <w:b/>
                <w:sz w:val="24"/>
              </w:rPr>
            </w:pPr>
            <w:r>
              <w:rPr>
                <w:rFonts w:ascii="等线" w:eastAsia="等线" w:hint="eastAsia"/>
                <w:b/>
                <w:sz w:val="24"/>
              </w:rPr>
              <w:t>皮肤癌</w:t>
            </w:r>
          </w:p>
        </w:tc>
        <w:tc>
          <w:tcPr>
            <w:tcW w:w="7003" w:type="dxa"/>
          </w:tcPr>
          <w:p>
            <w:pPr>
              <w:pStyle w:val="TableParagraph"/>
              <w:spacing w:line="273" w:lineRule="auto" w:before="128"/>
              <w:ind w:left="96" w:right="102"/>
              <w:rPr>
                <w:sz w:val="21"/>
              </w:rPr>
            </w:pPr>
            <w:r>
              <w:rPr>
                <w:sz w:val="21"/>
              </w:rPr>
              <w:t>指皮肤表皮发生的恶性肿瘤。皮肤癌的诊断必须由专科医生诊断并且经病理学检查结果确诊。</w:t>
            </w:r>
          </w:p>
          <w:p>
            <w:pPr>
              <w:pStyle w:val="TableParagraph"/>
              <w:spacing w:before="7"/>
              <w:ind w:left="96"/>
              <w:rPr>
                <w:sz w:val="21"/>
              </w:rPr>
            </w:pPr>
            <w:r>
              <w:rPr>
                <w:sz w:val="21"/>
                <w:shd w:fill="DADADA" w:color="auto" w:val="clear"/>
              </w:rPr>
              <w:t>恶性黑色素瘤及已发生转移的皮肤癌不在保障范围内。</w:t>
            </w:r>
          </w:p>
        </w:tc>
      </w:tr>
      <w:tr>
        <w:trPr>
          <w:trHeight w:val="638" w:hRule="atLeast"/>
        </w:trPr>
        <w:tc>
          <w:tcPr>
            <w:tcW w:w="710" w:type="dxa"/>
          </w:tcPr>
          <w:p>
            <w:pPr>
              <w:pStyle w:val="TableParagraph"/>
              <w:rPr>
                <w:rFonts w:ascii="Times New Roman"/>
                <w:sz w:val="20"/>
              </w:rPr>
            </w:pPr>
          </w:p>
        </w:tc>
        <w:tc>
          <w:tcPr>
            <w:tcW w:w="2371" w:type="dxa"/>
          </w:tcPr>
          <w:p>
            <w:pPr>
              <w:pStyle w:val="TableParagraph"/>
              <w:spacing w:before="152"/>
              <w:ind w:left="154"/>
              <w:rPr>
                <w:b/>
                <w:sz w:val="21"/>
              </w:rPr>
            </w:pPr>
            <w:r>
              <w:rPr>
                <w:b/>
                <w:sz w:val="21"/>
              </w:rPr>
              <w:t>第 2 类：</w:t>
            </w:r>
          </w:p>
        </w:tc>
        <w:tc>
          <w:tcPr>
            <w:tcW w:w="7003" w:type="dxa"/>
          </w:tcPr>
          <w:p>
            <w:pPr>
              <w:pStyle w:val="TableParagraph"/>
              <w:spacing w:before="128"/>
              <w:ind w:left="96"/>
              <w:rPr>
                <w:b/>
                <w:sz w:val="21"/>
              </w:rPr>
            </w:pPr>
            <w:r>
              <w:rPr>
                <w:b/>
                <w:sz w:val="21"/>
              </w:rPr>
              <w:t>与心脏或脑血管相关的疾病</w:t>
            </w:r>
          </w:p>
        </w:tc>
      </w:tr>
      <w:tr>
        <w:trPr>
          <w:trHeight w:val="899" w:hRule="atLeast"/>
        </w:trPr>
        <w:tc>
          <w:tcPr>
            <w:tcW w:w="710" w:type="dxa"/>
          </w:tcPr>
          <w:p>
            <w:pPr>
              <w:pStyle w:val="TableParagraph"/>
              <w:spacing w:before="147"/>
              <w:ind w:left="48"/>
              <w:jc w:val="center"/>
              <w:rPr>
                <w:b/>
                <w:sz w:val="21"/>
              </w:rPr>
            </w:pPr>
            <w:r>
              <w:rPr>
                <w:b/>
                <w:w w:val="99"/>
                <w:sz w:val="21"/>
              </w:rPr>
              <w:t>4</w:t>
            </w:r>
          </w:p>
        </w:tc>
        <w:tc>
          <w:tcPr>
            <w:tcW w:w="2371" w:type="dxa"/>
          </w:tcPr>
          <w:p>
            <w:pPr>
              <w:pStyle w:val="TableParagraph"/>
              <w:spacing w:before="145"/>
              <w:ind w:left="154"/>
              <w:rPr>
                <w:rFonts w:ascii="等线" w:eastAsia="等线" w:hint="eastAsia"/>
                <w:b/>
                <w:sz w:val="24"/>
              </w:rPr>
            </w:pPr>
            <w:r>
              <w:rPr>
                <w:rFonts w:ascii="等线" w:eastAsia="等线" w:hint="eastAsia"/>
                <w:b/>
                <w:sz w:val="24"/>
              </w:rPr>
              <w:t>心脏瓣膜介入手术</w:t>
            </w:r>
          </w:p>
        </w:tc>
        <w:tc>
          <w:tcPr>
            <w:tcW w:w="7003" w:type="dxa"/>
          </w:tcPr>
          <w:p>
            <w:pPr>
              <w:pStyle w:val="TableParagraph"/>
              <w:spacing w:line="273" w:lineRule="auto" w:before="147"/>
              <w:ind w:left="96" w:right="102"/>
              <w:rPr>
                <w:sz w:val="21"/>
              </w:rPr>
            </w:pPr>
            <w:r>
              <w:rPr>
                <w:sz w:val="21"/>
              </w:rPr>
              <w:t>为了治疗心脏瓣膜疾病，实际实施了经皮经导管介入手术进行的心脏瓣膜置换或修复手术。</w:t>
            </w:r>
          </w:p>
        </w:tc>
      </w:tr>
      <w:tr>
        <w:trPr>
          <w:trHeight w:val="852" w:hRule="atLeast"/>
        </w:trPr>
        <w:tc>
          <w:tcPr>
            <w:tcW w:w="710" w:type="dxa"/>
          </w:tcPr>
          <w:p>
            <w:pPr>
              <w:pStyle w:val="TableParagraph"/>
              <w:spacing w:before="102"/>
              <w:ind w:left="48"/>
              <w:jc w:val="center"/>
              <w:rPr>
                <w:b/>
                <w:sz w:val="21"/>
              </w:rPr>
            </w:pPr>
            <w:r>
              <w:rPr>
                <w:b/>
                <w:w w:val="99"/>
                <w:sz w:val="21"/>
              </w:rPr>
              <w:t>5</w:t>
            </w:r>
          </w:p>
        </w:tc>
        <w:tc>
          <w:tcPr>
            <w:tcW w:w="2371" w:type="dxa"/>
          </w:tcPr>
          <w:p>
            <w:pPr>
              <w:pStyle w:val="TableParagraph"/>
              <w:spacing w:before="99"/>
              <w:ind w:left="154"/>
              <w:rPr>
                <w:rFonts w:ascii="等线" w:eastAsia="等线" w:hint="eastAsia"/>
                <w:b/>
                <w:sz w:val="24"/>
              </w:rPr>
            </w:pPr>
            <w:r>
              <w:rPr>
                <w:rFonts w:ascii="等线" w:eastAsia="等线" w:hint="eastAsia"/>
                <w:b/>
                <w:sz w:val="24"/>
              </w:rPr>
              <w:t>主动脉内手术</w:t>
            </w:r>
          </w:p>
        </w:tc>
        <w:tc>
          <w:tcPr>
            <w:tcW w:w="7003" w:type="dxa"/>
          </w:tcPr>
          <w:p>
            <w:pPr>
              <w:pStyle w:val="TableParagraph"/>
              <w:spacing w:before="102"/>
              <w:ind w:left="96"/>
              <w:rPr>
                <w:sz w:val="21"/>
              </w:rPr>
            </w:pPr>
            <w:r>
              <w:rPr>
                <w:sz w:val="21"/>
              </w:rPr>
              <w:t>为了治疗主动脉疾病实际实施了经皮经导管进行的动脉内手术。</w:t>
            </w:r>
          </w:p>
          <w:p>
            <w:pPr>
              <w:pStyle w:val="TableParagraph"/>
              <w:spacing w:before="37"/>
              <w:ind w:left="96"/>
              <w:rPr>
                <w:sz w:val="21"/>
              </w:rPr>
            </w:pPr>
            <w:r>
              <w:rPr>
                <w:sz w:val="21"/>
              </w:rPr>
              <w:t>主动脉指胸主动脉和腹主动脉，</w:t>
            </w:r>
            <w:r>
              <w:rPr>
                <w:sz w:val="21"/>
                <w:shd w:fill="DADADA" w:color="auto" w:val="clear"/>
              </w:rPr>
              <w:t>不包括胸主动脉和腹主动脉的分支血管。</w:t>
            </w:r>
          </w:p>
        </w:tc>
      </w:tr>
      <w:tr>
        <w:trPr>
          <w:trHeight w:val="849" w:hRule="atLeast"/>
        </w:trPr>
        <w:tc>
          <w:tcPr>
            <w:tcW w:w="710" w:type="dxa"/>
          </w:tcPr>
          <w:p>
            <w:pPr>
              <w:pStyle w:val="TableParagraph"/>
              <w:spacing w:before="99"/>
              <w:ind w:left="48"/>
              <w:jc w:val="center"/>
              <w:rPr>
                <w:b/>
                <w:sz w:val="21"/>
              </w:rPr>
            </w:pPr>
            <w:r>
              <w:rPr>
                <w:b/>
                <w:w w:val="99"/>
                <w:sz w:val="21"/>
              </w:rPr>
              <w:t>6</w:t>
            </w:r>
          </w:p>
        </w:tc>
        <w:tc>
          <w:tcPr>
            <w:tcW w:w="2371" w:type="dxa"/>
          </w:tcPr>
          <w:p>
            <w:pPr>
              <w:pStyle w:val="TableParagraph"/>
              <w:spacing w:before="97"/>
              <w:ind w:left="154"/>
              <w:rPr>
                <w:rFonts w:ascii="等线" w:eastAsia="等线" w:hint="eastAsia"/>
                <w:b/>
                <w:sz w:val="24"/>
              </w:rPr>
            </w:pPr>
            <w:r>
              <w:rPr>
                <w:rFonts w:ascii="等线" w:eastAsia="等线" w:hint="eastAsia"/>
                <w:b/>
                <w:sz w:val="24"/>
              </w:rPr>
              <w:t>心包膜切除术</w:t>
            </w:r>
          </w:p>
        </w:tc>
        <w:tc>
          <w:tcPr>
            <w:tcW w:w="7003" w:type="dxa"/>
          </w:tcPr>
          <w:p>
            <w:pPr>
              <w:pStyle w:val="TableParagraph"/>
              <w:spacing w:line="273" w:lineRule="auto" w:before="99"/>
              <w:ind w:left="96" w:right="102"/>
              <w:rPr>
                <w:sz w:val="21"/>
              </w:rPr>
            </w:pPr>
            <w:r>
              <w:rPr>
                <w:sz w:val="21"/>
              </w:rPr>
              <w:t>因心包膜疾病导致已经接受心包膜切除术。手术必须由专科医生认为是医学上必须的情况下进行。</w:t>
            </w:r>
          </w:p>
        </w:tc>
      </w:tr>
      <w:tr>
        <w:trPr>
          <w:trHeight w:val="2126" w:hRule="atLeast"/>
        </w:trPr>
        <w:tc>
          <w:tcPr>
            <w:tcW w:w="710" w:type="dxa"/>
          </w:tcPr>
          <w:p>
            <w:pPr>
              <w:pStyle w:val="TableParagraph"/>
              <w:spacing w:before="99"/>
              <w:ind w:left="48"/>
              <w:jc w:val="center"/>
              <w:rPr>
                <w:b/>
                <w:sz w:val="21"/>
              </w:rPr>
            </w:pPr>
            <w:r>
              <w:rPr>
                <w:b/>
                <w:w w:val="99"/>
                <w:sz w:val="21"/>
              </w:rPr>
              <w:t>7</w:t>
            </w:r>
          </w:p>
        </w:tc>
        <w:tc>
          <w:tcPr>
            <w:tcW w:w="2371" w:type="dxa"/>
          </w:tcPr>
          <w:p>
            <w:pPr>
              <w:pStyle w:val="TableParagraph"/>
              <w:spacing w:line="235" w:lineRule="auto" w:before="103"/>
              <w:ind w:left="154" w:right="93"/>
              <w:rPr>
                <w:rFonts w:ascii="等线" w:eastAsia="等线" w:hint="eastAsia"/>
                <w:b/>
                <w:sz w:val="24"/>
              </w:rPr>
            </w:pPr>
            <w:r>
              <w:rPr>
                <w:rFonts w:ascii="等线" w:eastAsia="等线" w:hint="eastAsia"/>
                <w:b/>
                <w:sz w:val="24"/>
              </w:rPr>
              <w:t>颈动脉血管成形术或内膜切除术</w:t>
            </w:r>
          </w:p>
        </w:tc>
        <w:tc>
          <w:tcPr>
            <w:tcW w:w="7003" w:type="dxa"/>
          </w:tcPr>
          <w:p>
            <w:pPr>
              <w:pStyle w:val="TableParagraph"/>
              <w:spacing w:line="273" w:lineRule="auto" w:before="99"/>
              <w:ind w:left="96" w:right="-15"/>
              <w:rPr>
                <w:sz w:val="21"/>
              </w:rPr>
            </w:pPr>
            <w:r>
              <w:rPr>
                <w:spacing w:val="-5"/>
                <w:sz w:val="21"/>
              </w:rPr>
              <w:t>指为治疗颈动脉狭窄性疾病，已经实施了颈动脉血管成形术或内膜切除术。</w:t>
            </w:r>
            <w:r>
              <w:rPr>
                <w:spacing w:val="-7"/>
                <w:sz w:val="21"/>
              </w:rPr>
              <w:t>须由颈动脉造影检查证实一条或以上颈动脉超过管径 </w:t>
            </w:r>
            <w:r>
              <w:rPr>
                <w:sz w:val="21"/>
              </w:rPr>
              <w:t>50%</w:t>
            </w:r>
            <w:r>
              <w:rPr>
                <w:spacing w:val="-14"/>
                <w:sz w:val="21"/>
              </w:rPr>
              <w:t>或以上的狭窄。此</w:t>
            </w:r>
            <w:r>
              <w:rPr>
                <w:spacing w:val="-9"/>
                <w:sz w:val="21"/>
              </w:rPr>
              <w:t>病症须由专科医生明确诊断，同时必须已经实施了以下手术之一：</w:t>
            </w:r>
          </w:p>
          <w:p>
            <w:pPr>
              <w:pStyle w:val="TableParagraph"/>
              <w:spacing w:before="7"/>
              <w:ind w:left="96"/>
              <w:rPr>
                <w:sz w:val="21"/>
              </w:rPr>
            </w:pPr>
            <w:r>
              <w:rPr>
                <w:sz w:val="21"/>
              </w:rPr>
              <w:t>（1）颈动脉内膜切除术；</w:t>
            </w:r>
          </w:p>
          <w:p>
            <w:pPr>
              <w:pStyle w:val="TableParagraph"/>
              <w:spacing w:line="273" w:lineRule="auto" w:before="37"/>
              <w:ind w:left="619" w:right="63" w:hanging="524"/>
              <w:rPr>
                <w:sz w:val="21"/>
              </w:rPr>
            </w:pPr>
            <w:r>
              <w:rPr>
                <w:sz w:val="21"/>
              </w:rPr>
              <w:t>（2）血管介入手术，例如血管成形术及／或进行植入支架或动脉粥样瘤清除手术。</w:t>
            </w:r>
          </w:p>
        </w:tc>
      </w:tr>
      <w:tr>
        <w:trPr>
          <w:trHeight w:val="916" w:hRule="atLeast"/>
        </w:trPr>
        <w:tc>
          <w:tcPr>
            <w:tcW w:w="710" w:type="dxa"/>
          </w:tcPr>
          <w:p>
            <w:pPr>
              <w:pStyle w:val="TableParagraph"/>
              <w:spacing w:before="128"/>
              <w:ind w:left="48"/>
              <w:jc w:val="center"/>
              <w:rPr>
                <w:b/>
                <w:sz w:val="21"/>
              </w:rPr>
            </w:pPr>
            <w:r>
              <w:rPr>
                <w:b/>
                <w:w w:val="99"/>
                <w:sz w:val="21"/>
              </w:rPr>
              <w:t>8</w:t>
            </w:r>
          </w:p>
        </w:tc>
        <w:tc>
          <w:tcPr>
            <w:tcW w:w="2371" w:type="dxa"/>
          </w:tcPr>
          <w:p>
            <w:pPr>
              <w:pStyle w:val="TableParagraph"/>
              <w:spacing w:before="126"/>
              <w:ind w:left="154"/>
              <w:rPr>
                <w:rFonts w:ascii="等线" w:eastAsia="等线" w:hint="eastAsia"/>
                <w:b/>
                <w:sz w:val="24"/>
              </w:rPr>
            </w:pPr>
            <w:r>
              <w:rPr>
                <w:rFonts w:ascii="等线" w:eastAsia="等线" w:hint="eastAsia"/>
                <w:b/>
                <w:sz w:val="24"/>
              </w:rPr>
              <w:t>早期原发性心ft病</w:t>
            </w:r>
          </w:p>
        </w:tc>
        <w:tc>
          <w:tcPr>
            <w:tcW w:w="7003" w:type="dxa"/>
          </w:tcPr>
          <w:p>
            <w:pPr>
              <w:pStyle w:val="TableParagraph"/>
              <w:spacing w:line="273" w:lineRule="auto" w:before="128"/>
              <w:ind w:left="96" w:right="97"/>
              <w:rPr>
                <w:sz w:val="21"/>
              </w:rPr>
            </w:pPr>
            <w:r>
              <w:rPr>
                <w:sz w:val="21"/>
              </w:rPr>
              <w:t>被诊断为原发性心肌病，并符合下列所有条件，但未达到本主险合同所指重大疾病“严重原发性心肌病”的标准：</w:t>
            </w:r>
          </w:p>
        </w:tc>
      </w:tr>
    </w:tbl>
    <w:p>
      <w:pPr>
        <w:pStyle w:val="BodyText"/>
        <w:spacing w:line="20" w:lineRule="exact"/>
        <w:ind w:left="217"/>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pt" strokecolor="#000000">
              <v:stroke dashstyle="solid"/>
            </v:line>
          </v:group>
        </w:pict>
      </w:r>
      <w:r>
        <w:rPr>
          <w:spacing w:val="5"/>
          <w:sz w:val="2"/>
        </w:rPr>
      </w:r>
    </w:p>
    <w:p>
      <w:pPr>
        <w:spacing w:before="37"/>
        <w:ind w:left="222" w:right="0" w:firstLine="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净保险费</w:t>
      </w:r>
      <w:r>
        <w:rPr>
          <w:sz w:val="18"/>
        </w:rPr>
        <w:t>指不包含公司营业费用、佣金等其他费用的保险费。</w:t>
      </w:r>
    </w:p>
    <w:p>
      <w:pPr>
        <w:spacing w:after="0"/>
        <w:jc w:val="left"/>
        <w:rPr>
          <w:sz w:val="18"/>
        </w:rPr>
        <w:sectPr>
          <w:pgSz w:w="11910" w:h="16840"/>
          <w:pgMar w:top="1160" w:bottom="280" w:left="80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21"/>
        <w:gridCol w:w="7186"/>
      </w:tblGrid>
      <w:tr>
        <w:trPr>
          <w:trHeight w:val="2587" w:hRule="atLeast"/>
        </w:trPr>
        <w:tc>
          <w:tcPr>
            <w:tcW w:w="603" w:type="dxa"/>
          </w:tcPr>
          <w:p>
            <w:pPr>
              <w:pStyle w:val="TableParagraph"/>
              <w:rPr>
                <w:rFonts w:ascii="Times New Roman"/>
                <w:sz w:val="20"/>
              </w:rPr>
            </w:pPr>
          </w:p>
        </w:tc>
        <w:tc>
          <w:tcPr>
            <w:tcW w:w="2421" w:type="dxa"/>
          </w:tcPr>
          <w:p>
            <w:pPr>
              <w:pStyle w:val="TableParagraph"/>
              <w:rPr>
                <w:rFonts w:ascii="Times New Roman"/>
                <w:sz w:val="20"/>
              </w:rPr>
            </w:pPr>
          </w:p>
        </w:tc>
        <w:tc>
          <w:tcPr>
            <w:tcW w:w="7186" w:type="dxa"/>
          </w:tcPr>
          <w:p>
            <w:pPr>
              <w:pStyle w:val="TableParagraph"/>
              <w:spacing w:line="211" w:lineRule="exact"/>
              <w:ind w:left="84"/>
              <w:rPr>
                <w:sz w:val="21"/>
              </w:rPr>
            </w:pPr>
            <w:r>
              <w:rPr>
                <w:sz w:val="21"/>
              </w:rPr>
              <w:t>（1）导致心室功能受损，其受损程度达到美国纽约心脏病学会心功能状态</w:t>
            </w:r>
          </w:p>
          <w:p>
            <w:pPr>
              <w:pStyle w:val="TableParagraph"/>
              <w:spacing w:before="37"/>
              <w:ind w:left="607"/>
              <w:rPr>
                <w:sz w:val="21"/>
              </w:rPr>
            </w:pPr>
            <w:r>
              <w:rPr>
                <w:sz w:val="21"/>
              </w:rPr>
              <w:t>分级Ⅲ级，或其同等级别；</w:t>
            </w:r>
          </w:p>
          <w:p>
            <w:pPr>
              <w:pStyle w:val="TableParagraph"/>
              <w:spacing w:before="37"/>
              <w:ind w:left="84"/>
              <w:rPr>
                <w:sz w:val="21"/>
              </w:rPr>
            </w:pPr>
            <w:r>
              <w:rPr>
                <w:sz w:val="21"/>
              </w:rPr>
              <w:t>（2）左室射血分数 LVEF &lt;35%；</w:t>
            </w:r>
          </w:p>
          <w:p>
            <w:pPr>
              <w:pStyle w:val="TableParagraph"/>
              <w:spacing w:line="273" w:lineRule="auto" w:before="37"/>
              <w:ind w:left="607" w:right="272" w:hanging="524"/>
              <w:rPr>
                <w:sz w:val="21"/>
              </w:rPr>
            </w:pPr>
            <w:r>
              <w:rPr>
                <w:sz w:val="21"/>
              </w:rPr>
              <w:t>（3）原发性心肌病的诊断必须由医院专科医生确认，并提供心脏超声检查结果报告。</w:t>
            </w:r>
          </w:p>
          <w:p>
            <w:pPr>
              <w:pStyle w:val="TableParagraph"/>
              <w:spacing w:line="273" w:lineRule="auto" w:before="7"/>
              <w:ind w:left="84" w:right="297"/>
              <w:rPr>
                <w:sz w:val="21"/>
              </w:rPr>
            </w:pPr>
            <w:r>
              <w:rPr>
                <w:sz w:val="21"/>
              </w:rPr>
              <w:t>本保障范围内的心肌病仅包括扩张型心肌病、肥厚型心肌病及限制型心肌病。</w:t>
            </w:r>
          </w:p>
          <w:p>
            <w:pPr>
              <w:pStyle w:val="TableParagraph"/>
              <w:spacing w:before="7"/>
              <w:ind w:left="84"/>
              <w:rPr>
                <w:sz w:val="21"/>
              </w:rPr>
            </w:pPr>
            <w:r>
              <w:rPr>
                <w:sz w:val="21"/>
                <w:shd w:fill="DADADA" w:color="auto" w:val="clear"/>
              </w:rPr>
              <w:t>继发于全身性疾病或其他器官系统疾病造成的心肌病变不在保障范围内。</w:t>
            </w:r>
          </w:p>
        </w:tc>
      </w:tr>
      <w:tr>
        <w:trPr>
          <w:trHeight w:val="1523" w:hRule="atLeast"/>
        </w:trPr>
        <w:tc>
          <w:tcPr>
            <w:tcW w:w="603" w:type="dxa"/>
          </w:tcPr>
          <w:p>
            <w:pPr>
              <w:pStyle w:val="TableParagraph"/>
              <w:spacing w:before="128"/>
              <w:ind w:left="17"/>
              <w:jc w:val="center"/>
              <w:rPr>
                <w:b/>
                <w:sz w:val="21"/>
              </w:rPr>
            </w:pPr>
            <w:r>
              <w:rPr>
                <w:b/>
                <w:w w:val="99"/>
                <w:sz w:val="21"/>
              </w:rPr>
              <w:t>9</w:t>
            </w:r>
          </w:p>
        </w:tc>
        <w:tc>
          <w:tcPr>
            <w:tcW w:w="2421" w:type="dxa"/>
          </w:tcPr>
          <w:p>
            <w:pPr>
              <w:pStyle w:val="TableParagraph"/>
              <w:spacing w:before="126"/>
              <w:ind w:left="192"/>
              <w:rPr>
                <w:rFonts w:ascii="等线" w:eastAsia="等线" w:hint="eastAsia"/>
                <w:b/>
                <w:sz w:val="24"/>
              </w:rPr>
            </w:pPr>
            <w:r>
              <w:rPr>
                <w:rFonts w:ascii="等线" w:eastAsia="等线" w:hint="eastAsia"/>
                <w:b/>
                <w:sz w:val="24"/>
              </w:rPr>
              <w:t>心脏起搏器植入</w:t>
            </w:r>
          </w:p>
        </w:tc>
        <w:tc>
          <w:tcPr>
            <w:tcW w:w="7186" w:type="dxa"/>
          </w:tcPr>
          <w:p>
            <w:pPr>
              <w:pStyle w:val="TableParagraph"/>
              <w:spacing w:line="273" w:lineRule="auto" w:before="128"/>
              <w:ind w:left="84" w:right="297"/>
              <w:jc w:val="both"/>
              <w:rPr>
                <w:sz w:val="21"/>
              </w:rPr>
            </w:pPr>
            <w:r>
              <w:rPr>
                <w:sz w:val="21"/>
              </w:rPr>
              <w:t>指因严重心律失常而确实已经实施植入永久性心脏起搏器的手术。理赔时须提供完整病历资料及手术记录，诊断及治疗均须专科医生认为是医疗必须的情况下进行。由于心脏再同步化治疗而实施的植入心脏起博器包括在本项保障范围内。</w:t>
            </w:r>
          </w:p>
        </w:tc>
      </w:tr>
      <w:tr>
        <w:trPr>
          <w:trHeight w:val="1533" w:hRule="atLeast"/>
        </w:trPr>
        <w:tc>
          <w:tcPr>
            <w:tcW w:w="603" w:type="dxa"/>
          </w:tcPr>
          <w:p>
            <w:pPr>
              <w:pStyle w:val="TableParagraph"/>
              <w:spacing w:before="140"/>
              <w:ind w:left="175" w:right="167"/>
              <w:jc w:val="center"/>
              <w:rPr>
                <w:b/>
                <w:sz w:val="21"/>
              </w:rPr>
            </w:pPr>
            <w:r>
              <w:rPr>
                <w:b/>
                <w:sz w:val="21"/>
              </w:rPr>
              <w:t>10</w:t>
            </w:r>
          </w:p>
        </w:tc>
        <w:tc>
          <w:tcPr>
            <w:tcW w:w="2421" w:type="dxa"/>
          </w:tcPr>
          <w:p>
            <w:pPr>
              <w:pStyle w:val="TableParagraph"/>
              <w:spacing w:before="105"/>
              <w:ind w:left="187"/>
              <w:rPr>
                <w:rFonts w:ascii="等线" w:eastAsia="等线" w:hint="eastAsia"/>
                <w:b/>
                <w:sz w:val="24"/>
              </w:rPr>
            </w:pPr>
            <w:r>
              <w:rPr>
                <w:rFonts w:ascii="等线" w:eastAsia="等线" w:hint="eastAsia"/>
                <w:b/>
                <w:sz w:val="24"/>
              </w:rPr>
              <w:t>原发性肺动脉高压</w:t>
            </w:r>
          </w:p>
        </w:tc>
        <w:tc>
          <w:tcPr>
            <w:tcW w:w="7186" w:type="dxa"/>
          </w:tcPr>
          <w:p>
            <w:pPr>
              <w:pStyle w:val="TableParagraph"/>
              <w:spacing w:line="273" w:lineRule="auto" w:before="140"/>
              <w:ind w:left="99" w:right="307"/>
              <w:jc w:val="both"/>
              <w:rPr>
                <w:sz w:val="21"/>
              </w:rPr>
            </w:pPr>
            <w:r>
              <w:rPr>
                <w:sz w:val="21"/>
              </w:rPr>
              <w:t>指由于原发性肺动脉高压进行性发展，已经造成永久不可逆性的体力活动能力受限，达到美国纽约心脏病学会心功能状态分级Ⅲ级及以上，但尚未达到IV级，且静息状态下肺动脉平均压超过25mmHg，但尚未超过30mmHg。</w:t>
            </w:r>
            <w:r>
              <w:rPr>
                <w:sz w:val="21"/>
                <w:shd w:fill="DADADA" w:color="auto" w:val="clear"/>
              </w:rPr>
              <w:t>继发性肺动脉高压不在本保障范围内。</w:t>
            </w:r>
          </w:p>
        </w:tc>
      </w:tr>
      <w:tr>
        <w:trPr>
          <w:trHeight w:val="1229" w:hRule="atLeast"/>
        </w:trPr>
        <w:tc>
          <w:tcPr>
            <w:tcW w:w="603" w:type="dxa"/>
          </w:tcPr>
          <w:p>
            <w:pPr>
              <w:pStyle w:val="TableParagraph"/>
              <w:spacing w:before="138"/>
              <w:ind w:left="179" w:right="162"/>
              <w:jc w:val="center"/>
              <w:rPr>
                <w:b/>
                <w:sz w:val="21"/>
              </w:rPr>
            </w:pPr>
            <w:r>
              <w:rPr>
                <w:b/>
                <w:sz w:val="21"/>
              </w:rPr>
              <w:t>11</w:t>
            </w:r>
          </w:p>
        </w:tc>
        <w:tc>
          <w:tcPr>
            <w:tcW w:w="2421" w:type="dxa"/>
          </w:tcPr>
          <w:p>
            <w:pPr>
              <w:pStyle w:val="TableParagraph"/>
              <w:spacing w:line="232" w:lineRule="auto" w:before="112"/>
              <w:ind w:left="192" w:right="81"/>
              <w:rPr>
                <w:rFonts w:ascii="等线" w:eastAsia="等线" w:hint="eastAsia"/>
                <w:b/>
                <w:sz w:val="24"/>
              </w:rPr>
            </w:pPr>
            <w:r>
              <w:rPr>
                <w:rFonts w:ascii="等线" w:eastAsia="等线" w:hint="eastAsia"/>
                <w:b/>
                <w:sz w:val="24"/>
              </w:rPr>
              <w:t>腔静脉过滤器植入术</w:t>
            </w:r>
          </w:p>
        </w:tc>
        <w:tc>
          <w:tcPr>
            <w:tcW w:w="7186" w:type="dxa"/>
          </w:tcPr>
          <w:p>
            <w:pPr>
              <w:pStyle w:val="TableParagraph"/>
              <w:spacing w:line="273" w:lineRule="auto" w:before="138"/>
              <w:ind w:left="99" w:right="307"/>
              <w:jc w:val="both"/>
              <w:rPr>
                <w:sz w:val="21"/>
              </w:rPr>
            </w:pPr>
            <w:r>
              <w:rPr>
                <w:sz w:val="21"/>
              </w:rPr>
              <w:t>指经本公司认可医院的专科医生证明有反复肺栓塞发作及抗凝治疗无效而必须接受手术植入腔静脉过滤器。理赔时需提供完整病历及手术记录以证明植入腔静脉过滤器有必要性及已确实施行了手术。</w:t>
            </w:r>
          </w:p>
        </w:tc>
      </w:tr>
      <w:tr>
        <w:trPr>
          <w:trHeight w:val="595" w:hRule="atLeast"/>
        </w:trPr>
        <w:tc>
          <w:tcPr>
            <w:tcW w:w="603" w:type="dxa"/>
          </w:tcPr>
          <w:p>
            <w:pPr>
              <w:pStyle w:val="TableParagraph"/>
              <w:rPr>
                <w:rFonts w:ascii="Times New Roman"/>
                <w:sz w:val="20"/>
              </w:rPr>
            </w:pPr>
          </w:p>
        </w:tc>
        <w:tc>
          <w:tcPr>
            <w:tcW w:w="2421" w:type="dxa"/>
          </w:tcPr>
          <w:p>
            <w:pPr>
              <w:pStyle w:val="TableParagraph"/>
              <w:spacing w:before="128"/>
              <w:ind w:left="192"/>
              <w:rPr>
                <w:b/>
                <w:sz w:val="21"/>
              </w:rPr>
            </w:pPr>
            <w:r>
              <w:rPr>
                <w:b/>
                <w:sz w:val="21"/>
              </w:rPr>
              <w:t>第 3 类：</w:t>
            </w:r>
          </w:p>
        </w:tc>
        <w:tc>
          <w:tcPr>
            <w:tcW w:w="7186" w:type="dxa"/>
          </w:tcPr>
          <w:p>
            <w:pPr>
              <w:pStyle w:val="TableParagraph"/>
              <w:spacing w:before="128"/>
              <w:ind w:left="84"/>
              <w:rPr>
                <w:b/>
                <w:sz w:val="21"/>
              </w:rPr>
            </w:pPr>
            <w:r>
              <w:rPr>
                <w:b/>
                <w:sz w:val="21"/>
              </w:rPr>
              <w:t>与器官功能严重受损相关的疾病</w:t>
            </w:r>
          </w:p>
        </w:tc>
      </w:tr>
      <w:tr>
        <w:trPr>
          <w:trHeight w:val="1531" w:hRule="atLeast"/>
        </w:trPr>
        <w:tc>
          <w:tcPr>
            <w:tcW w:w="603" w:type="dxa"/>
          </w:tcPr>
          <w:p>
            <w:pPr>
              <w:pStyle w:val="TableParagraph"/>
              <w:spacing w:before="128"/>
              <w:ind w:left="179" w:right="162"/>
              <w:jc w:val="center"/>
              <w:rPr>
                <w:b/>
                <w:sz w:val="21"/>
              </w:rPr>
            </w:pPr>
            <w:r>
              <w:rPr>
                <w:b/>
                <w:sz w:val="21"/>
              </w:rPr>
              <w:t>12</w:t>
            </w:r>
          </w:p>
        </w:tc>
        <w:tc>
          <w:tcPr>
            <w:tcW w:w="2421" w:type="dxa"/>
          </w:tcPr>
          <w:p>
            <w:pPr>
              <w:pStyle w:val="TableParagraph"/>
              <w:spacing w:before="126"/>
              <w:ind w:left="192"/>
              <w:rPr>
                <w:rFonts w:ascii="等线" w:eastAsia="等线" w:hint="eastAsia"/>
                <w:b/>
                <w:sz w:val="24"/>
              </w:rPr>
            </w:pPr>
            <w:r>
              <w:rPr>
                <w:rFonts w:ascii="等线" w:eastAsia="等线" w:hint="eastAsia"/>
                <w:b/>
                <w:sz w:val="24"/>
              </w:rPr>
              <w:t>听力严重受损</w:t>
            </w:r>
          </w:p>
        </w:tc>
        <w:tc>
          <w:tcPr>
            <w:tcW w:w="7186" w:type="dxa"/>
          </w:tcPr>
          <w:p>
            <w:pPr>
              <w:pStyle w:val="TableParagraph"/>
              <w:spacing w:before="128"/>
              <w:ind w:left="84"/>
              <w:rPr>
                <w:sz w:val="21"/>
              </w:rPr>
            </w:pPr>
            <w:r>
              <w:rPr>
                <w:sz w:val="21"/>
              </w:rPr>
              <w:t>指因疾病或意外伤害导致双耳听力永久不可逆性丧失，在 500 赫兹、1000</w:t>
            </w:r>
          </w:p>
          <w:p>
            <w:pPr>
              <w:pStyle w:val="TableParagraph"/>
              <w:spacing w:line="273" w:lineRule="auto" w:before="37"/>
              <w:ind w:left="84" w:right="196" w:hanging="1"/>
              <w:rPr>
                <w:sz w:val="21"/>
              </w:rPr>
            </w:pPr>
            <w:r>
              <w:rPr>
                <w:spacing w:val="-11"/>
                <w:sz w:val="21"/>
              </w:rPr>
              <w:t>赫兹和 </w:t>
            </w:r>
            <w:r>
              <w:rPr>
                <w:sz w:val="21"/>
              </w:rPr>
              <w:t>2000</w:t>
            </w:r>
            <w:r>
              <w:rPr>
                <w:spacing w:val="-12"/>
                <w:sz w:val="21"/>
              </w:rPr>
              <w:t> 赫兹语音频率下，平均听阈大于 </w:t>
            </w:r>
            <w:r>
              <w:rPr>
                <w:spacing w:val="-3"/>
                <w:sz w:val="21"/>
              </w:rPr>
              <w:t>70</w:t>
            </w:r>
            <w:r>
              <w:rPr>
                <w:spacing w:val="-9"/>
                <w:sz w:val="21"/>
              </w:rPr>
              <w:t> 分贝，且经纯音听力测试、</w:t>
            </w:r>
            <w:r>
              <w:rPr>
                <w:spacing w:val="-2"/>
                <w:sz w:val="21"/>
              </w:rPr>
              <w:t>声导抗检测或听觉诱发电位检测等证实。但未达到本主险合同所指重大疾</w:t>
            </w:r>
            <w:r>
              <w:rPr>
                <w:spacing w:val="-4"/>
                <w:sz w:val="21"/>
              </w:rPr>
              <w:t>病“双耳失聪”的标准。</w:t>
            </w:r>
          </w:p>
        </w:tc>
      </w:tr>
      <w:tr>
        <w:trPr>
          <w:trHeight w:val="907" w:hRule="atLeast"/>
        </w:trPr>
        <w:tc>
          <w:tcPr>
            <w:tcW w:w="603" w:type="dxa"/>
          </w:tcPr>
          <w:p>
            <w:pPr>
              <w:pStyle w:val="TableParagraph"/>
              <w:spacing w:before="128"/>
              <w:ind w:left="179" w:right="162"/>
              <w:jc w:val="center"/>
              <w:rPr>
                <w:b/>
                <w:sz w:val="21"/>
              </w:rPr>
            </w:pPr>
            <w:r>
              <w:rPr>
                <w:b/>
                <w:sz w:val="21"/>
              </w:rPr>
              <w:t>13</w:t>
            </w:r>
          </w:p>
        </w:tc>
        <w:tc>
          <w:tcPr>
            <w:tcW w:w="2421" w:type="dxa"/>
          </w:tcPr>
          <w:p>
            <w:pPr>
              <w:pStyle w:val="TableParagraph"/>
              <w:spacing w:before="126"/>
              <w:ind w:left="192"/>
              <w:rPr>
                <w:rFonts w:ascii="等线" w:eastAsia="等线" w:hint="eastAsia"/>
                <w:b/>
                <w:sz w:val="24"/>
              </w:rPr>
            </w:pPr>
            <w:r>
              <w:rPr>
                <w:rFonts w:ascii="等线" w:eastAsia="等线" w:hint="eastAsia"/>
                <w:b/>
                <w:sz w:val="24"/>
              </w:rPr>
              <w:t>单个肢体缺失</w:t>
            </w:r>
          </w:p>
        </w:tc>
        <w:tc>
          <w:tcPr>
            <w:tcW w:w="7186" w:type="dxa"/>
          </w:tcPr>
          <w:p>
            <w:pPr>
              <w:pStyle w:val="TableParagraph"/>
              <w:spacing w:line="273" w:lineRule="auto" w:before="128"/>
              <w:ind w:left="84" w:right="152"/>
              <w:rPr>
                <w:sz w:val="21"/>
              </w:rPr>
            </w:pPr>
            <w:r>
              <w:rPr>
                <w:sz w:val="21"/>
              </w:rPr>
              <w:t>指因疾病或意外伤害导致仅一个肢体自腕关节或踝关节近端（靠近躯干端） 以上完全性断离。</w:t>
            </w:r>
          </w:p>
        </w:tc>
      </w:tr>
      <w:tr>
        <w:trPr>
          <w:trHeight w:val="1221" w:hRule="atLeast"/>
        </w:trPr>
        <w:tc>
          <w:tcPr>
            <w:tcW w:w="603" w:type="dxa"/>
          </w:tcPr>
          <w:p>
            <w:pPr>
              <w:pStyle w:val="TableParagraph"/>
              <w:spacing w:before="128"/>
              <w:ind w:left="179" w:right="162"/>
              <w:jc w:val="center"/>
              <w:rPr>
                <w:b/>
                <w:sz w:val="21"/>
              </w:rPr>
            </w:pPr>
            <w:r>
              <w:rPr>
                <w:b/>
                <w:sz w:val="21"/>
              </w:rPr>
              <w:t>14</w:t>
            </w:r>
          </w:p>
        </w:tc>
        <w:tc>
          <w:tcPr>
            <w:tcW w:w="2421" w:type="dxa"/>
          </w:tcPr>
          <w:p>
            <w:pPr>
              <w:pStyle w:val="TableParagraph"/>
              <w:spacing w:before="126"/>
              <w:ind w:left="192"/>
              <w:rPr>
                <w:rFonts w:ascii="等线" w:eastAsia="等线" w:hint="eastAsia"/>
                <w:b/>
                <w:sz w:val="24"/>
              </w:rPr>
            </w:pPr>
            <w:r>
              <w:rPr>
                <w:rFonts w:ascii="等线" w:eastAsia="等线" w:hint="eastAsia"/>
                <w:b/>
                <w:sz w:val="24"/>
              </w:rPr>
              <w:t>肝叶切除</w:t>
            </w:r>
          </w:p>
        </w:tc>
        <w:tc>
          <w:tcPr>
            <w:tcW w:w="7186" w:type="dxa"/>
          </w:tcPr>
          <w:p>
            <w:pPr>
              <w:pStyle w:val="TableParagraph"/>
              <w:spacing w:line="273" w:lineRule="auto" w:before="128"/>
              <w:ind w:left="84" w:right="297"/>
              <w:rPr>
                <w:sz w:val="21"/>
              </w:rPr>
            </w:pPr>
            <w:r>
              <w:rPr>
                <w:sz w:val="21"/>
              </w:rPr>
              <w:t>指因疾病或意外导致肝脏左叶或肝脏右叶的整叶切除。诊断及治疗均须医院专科医生认为是医疗必须的情况下进行。</w:t>
            </w:r>
          </w:p>
          <w:p>
            <w:pPr>
              <w:pStyle w:val="TableParagraph"/>
              <w:spacing w:before="7"/>
              <w:ind w:left="84"/>
              <w:rPr>
                <w:sz w:val="21"/>
              </w:rPr>
            </w:pPr>
            <w:r>
              <w:rPr>
                <w:sz w:val="21"/>
                <w:shd w:fill="DADADA" w:color="auto" w:val="clear"/>
              </w:rPr>
              <w:t>因酗酒、药物滥用、捐赠肝脏而实施的肝叶切除均不在保障范围内。</w:t>
            </w:r>
          </w:p>
        </w:tc>
      </w:tr>
      <w:tr>
        <w:trPr>
          <w:trHeight w:val="2469" w:hRule="atLeast"/>
        </w:trPr>
        <w:tc>
          <w:tcPr>
            <w:tcW w:w="603" w:type="dxa"/>
          </w:tcPr>
          <w:p>
            <w:pPr>
              <w:pStyle w:val="TableParagraph"/>
              <w:spacing w:before="130"/>
              <w:ind w:left="179" w:right="162"/>
              <w:jc w:val="center"/>
              <w:rPr>
                <w:b/>
                <w:sz w:val="21"/>
              </w:rPr>
            </w:pPr>
            <w:r>
              <w:rPr>
                <w:b/>
                <w:sz w:val="21"/>
              </w:rPr>
              <w:t>15</w:t>
            </w:r>
          </w:p>
        </w:tc>
        <w:tc>
          <w:tcPr>
            <w:tcW w:w="2421" w:type="dxa"/>
          </w:tcPr>
          <w:p>
            <w:pPr>
              <w:pStyle w:val="TableParagraph"/>
              <w:spacing w:line="232" w:lineRule="auto" w:before="138"/>
              <w:ind w:left="192" w:right="105"/>
              <w:rPr>
                <w:rFonts w:ascii="等线" w:eastAsia="等线" w:hint="eastAsia"/>
                <w:b/>
                <w:sz w:val="24"/>
              </w:rPr>
            </w:pPr>
            <w:r>
              <w:rPr>
                <w:rFonts w:ascii="等线" w:eastAsia="等线" w:hint="eastAsia"/>
                <w:b/>
                <w:sz w:val="24"/>
              </w:rPr>
              <w:t>非严重型再生障碍性贫血</w:t>
            </w:r>
          </w:p>
        </w:tc>
        <w:tc>
          <w:tcPr>
            <w:tcW w:w="7186" w:type="dxa"/>
          </w:tcPr>
          <w:p>
            <w:pPr>
              <w:pStyle w:val="TableParagraph"/>
              <w:spacing w:line="273" w:lineRule="auto" w:before="130"/>
              <w:ind w:left="84" w:right="297"/>
              <w:jc w:val="both"/>
              <w:rPr>
                <w:sz w:val="21"/>
              </w:rPr>
            </w:pPr>
            <w:r>
              <w:rPr>
                <w:sz w:val="21"/>
              </w:rPr>
              <w:t>指因急性可逆性的骨髓造血功能衰竭而导致贫血、中性粒细胞减少和血小板减少，但未达到本主险合同所指重大疾病“重型再生障碍性贫血”的标准，须骨髓穿刺检查或骨髓活检结果支持诊断且病历资料显示接受了下列任一治疗：</w:t>
            </w:r>
          </w:p>
          <w:p>
            <w:pPr>
              <w:pStyle w:val="TableParagraph"/>
              <w:spacing w:before="7"/>
              <w:ind w:left="84"/>
              <w:jc w:val="both"/>
              <w:rPr>
                <w:sz w:val="21"/>
              </w:rPr>
            </w:pPr>
            <w:r>
              <w:rPr>
                <w:sz w:val="21"/>
              </w:rPr>
              <w:t>（1）骨髓刺激疗法至少 1 个月；</w:t>
            </w:r>
          </w:p>
          <w:p>
            <w:pPr>
              <w:pStyle w:val="TableParagraph"/>
              <w:spacing w:before="37"/>
              <w:ind w:left="84"/>
              <w:jc w:val="both"/>
              <w:rPr>
                <w:sz w:val="21"/>
              </w:rPr>
            </w:pPr>
            <w:r>
              <w:rPr>
                <w:sz w:val="21"/>
              </w:rPr>
              <w:t>（2）免疫抑制剂治疗至少 1 个月；</w:t>
            </w:r>
          </w:p>
          <w:p>
            <w:pPr>
              <w:pStyle w:val="TableParagraph"/>
              <w:spacing w:before="37"/>
              <w:ind w:left="84"/>
              <w:jc w:val="both"/>
              <w:rPr>
                <w:sz w:val="21"/>
              </w:rPr>
            </w:pPr>
            <w:r>
              <w:rPr>
                <w:sz w:val="21"/>
              </w:rPr>
              <w:t>（3）接受了骨髓移植。</w:t>
            </w:r>
          </w:p>
        </w:tc>
      </w:tr>
      <w:tr>
        <w:trPr>
          <w:trHeight w:val="715" w:hRule="atLeast"/>
        </w:trPr>
        <w:tc>
          <w:tcPr>
            <w:tcW w:w="603" w:type="dxa"/>
          </w:tcPr>
          <w:p>
            <w:pPr>
              <w:pStyle w:val="TableParagraph"/>
              <w:spacing w:before="128"/>
              <w:ind w:left="179" w:right="162"/>
              <w:jc w:val="center"/>
              <w:rPr>
                <w:b/>
                <w:sz w:val="21"/>
              </w:rPr>
            </w:pPr>
            <w:r>
              <w:rPr>
                <w:b/>
                <w:sz w:val="21"/>
              </w:rPr>
              <w:t>16</w:t>
            </w:r>
          </w:p>
        </w:tc>
        <w:tc>
          <w:tcPr>
            <w:tcW w:w="2421" w:type="dxa"/>
          </w:tcPr>
          <w:p>
            <w:pPr>
              <w:pStyle w:val="TableParagraph"/>
              <w:spacing w:before="126"/>
              <w:ind w:left="192"/>
              <w:rPr>
                <w:rFonts w:ascii="等线" w:eastAsia="等线" w:hint="eastAsia"/>
                <w:b/>
                <w:sz w:val="24"/>
              </w:rPr>
            </w:pPr>
            <w:r>
              <w:rPr>
                <w:rFonts w:ascii="等线" w:eastAsia="等线" w:hint="eastAsia"/>
                <w:b/>
                <w:sz w:val="24"/>
              </w:rPr>
              <w:t>视力严重受损</w:t>
            </w:r>
          </w:p>
        </w:tc>
        <w:tc>
          <w:tcPr>
            <w:tcW w:w="7186" w:type="dxa"/>
          </w:tcPr>
          <w:p>
            <w:pPr>
              <w:pStyle w:val="TableParagraph"/>
              <w:spacing w:line="310" w:lineRule="atLeast" w:before="93"/>
              <w:ind w:left="84" w:right="297"/>
              <w:rPr>
                <w:sz w:val="21"/>
              </w:rPr>
            </w:pPr>
            <w:r>
              <w:rPr>
                <w:sz w:val="21"/>
              </w:rPr>
              <w:t>指被保险人因疾病或意外伤害导致双目视力永久不可逆性丧失，但未达到本主险合同所指重大疾病“双目失明”的标准，但须满足下列全部条件：</w:t>
            </w:r>
          </w:p>
        </w:tc>
      </w:tr>
    </w:tbl>
    <w:p>
      <w:pPr>
        <w:spacing w:after="0" w:line="310" w:lineRule="atLeast"/>
        <w:rPr>
          <w:sz w:val="21"/>
        </w:rPr>
        <w:sectPr>
          <w:pgSz w:w="11910" w:h="16840"/>
          <w:pgMar w:top="1160" w:bottom="280" w:left="880" w:right="600"/>
        </w:sectPr>
      </w:pPr>
    </w:p>
    <w:p>
      <w:pPr>
        <w:pStyle w:val="BodyText"/>
        <w:spacing w:line="273" w:lineRule="auto" w:before="19"/>
        <w:ind w:left="3532" w:right="210" w:hanging="524"/>
      </w:pPr>
      <w:r>
        <w:rPr/>
        <w:t>（1）</w:t>
      </w:r>
      <w:r>
        <w:rPr>
          <w:spacing w:val="-4"/>
        </w:rPr>
        <w:t>双眼中较好眼矫正视力低于 </w:t>
      </w:r>
      <w:r>
        <w:rPr/>
        <w:t>0.1（</w:t>
      </w:r>
      <w:r>
        <w:rPr>
          <w:spacing w:val="-4"/>
        </w:rPr>
        <w:t>采用国际标准视力表，如果使用其</w:t>
      </w:r>
      <w:r>
        <w:rPr>
          <w:spacing w:val="-5"/>
          <w:w w:val="100"/>
        </w:rPr>
        <w:t>它视力表应进行换算</w:t>
      </w:r>
      <w:r>
        <w:rPr>
          <w:spacing w:val="-111"/>
          <w:w w:val="100"/>
        </w:rPr>
        <w:t>）</w:t>
      </w:r>
      <w:r>
        <w:rPr>
          <w:w w:val="100"/>
        </w:rPr>
        <w:t>；</w:t>
      </w:r>
    </w:p>
    <w:p>
      <w:pPr>
        <w:pStyle w:val="BodyText"/>
        <w:spacing w:before="7"/>
        <w:ind w:left="3009"/>
      </w:pPr>
      <w:r>
        <w:rPr/>
        <w:t>（2）双眼中较好眼视野半径小于 20 度。</w:t>
      </w:r>
    </w:p>
    <w:p>
      <w:pPr>
        <w:pStyle w:val="BodyText"/>
        <w:spacing w:line="273" w:lineRule="auto" w:before="37"/>
        <w:ind w:left="3009" w:right="210"/>
      </w:pPr>
      <w:r>
        <w:rPr/>
        <w:t>此病症须由专科医生明确诊断。申请理赔时须提供理赔当时的视力丧失诊断及检查证据。</w:t>
      </w:r>
    </w:p>
    <w:p>
      <w:pPr>
        <w:pStyle w:val="BodyText"/>
        <w:spacing w:before="6"/>
        <w:rPr>
          <w:sz w:val="19"/>
        </w:rPr>
      </w:pPr>
    </w:p>
    <w:p>
      <w:pPr>
        <w:pStyle w:val="ListParagraph"/>
        <w:numPr>
          <w:ilvl w:val="0"/>
          <w:numId w:val="9"/>
        </w:numPr>
        <w:tabs>
          <w:tab w:pos="692" w:val="left" w:leader="none"/>
        </w:tabs>
        <w:spacing w:line="254" w:lineRule="auto" w:before="0" w:after="0"/>
        <w:ind w:left="3009" w:right="210" w:hanging="2909"/>
        <w:jc w:val="both"/>
        <w:rPr>
          <w:sz w:val="21"/>
        </w:rPr>
      </w:pPr>
      <w:r>
        <w:rPr>
          <w:rFonts w:ascii="等线" w:hAnsi="等线" w:eastAsia="等线" w:hint="eastAsia"/>
          <w:b/>
          <w:position w:val="1"/>
          <w:sz w:val="24"/>
        </w:rPr>
        <w:t>较小面积 III</w:t>
      </w:r>
      <w:r>
        <w:rPr>
          <w:rFonts w:ascii="等线" w:hAnsi="等线" w:eastAsia="等线" w:hint="eastAsia"/>
          <w:b/>
          <w:spacing w:val="10"/>
          <w:position w:val="1"/>
          <w:sz w:val="24"/>
        </w:rPr>
        <w:t> 度烧伤  </w:t>
      </w:r>
      <w:r>
        <w:rPr>
          <w:spacing w:val="-5"/>
          <w:sz w:val="21"/>
        </w:rPr>
        <w:t>指被保险人的烧伤程度为Ⅲ度，且Ⅲ度烧伤的面积大于全身体表面积的</w:t>
      </w:r>
      <w:r>
        <w:rPr>
          <w:sz w:val="21"/>
        </w:rPr>
        <w:t>10% 但小于20%</w:t>
      </w:r>
      <w:r>
        <w:rPr>
          <w:spacing w:val="-3"/>
          <w:sz w:val="21"/>
        </w:rPr>
        <w:t>。体表面积根据 《中国新九分法》计算。</w:t>
      </w:r>
    </w:p>
    <w:p>
      <w:pPr>
        <w:pStyle w:val="BodyText"/>
        <w:spacing w:before="4"/>
        <w:rPr>
          <w:sz w:val="27"/>
        </w:rPr>
      </w:pPr>
    </w:p>
    <w:p>
      <w:pPr>
        <w:pStyle w:val="ListParagraph"/>
        <w:numPr>
          <w:ilvl w:val="0"/>
          <w:numId w:val="9"/>
        </w:numPr>
        <w:tabs>
          <w:tab w:pos="691" w:val="left" w:leader="none"/>
          <w:tab w:pos="692" w:val="left" w:leader="none"/>
          <w:tab w:pos="3009" w:val="left" w:leader="none"/>
        </w:tabs>
        <w:spacing w:line="240" w:lineRule="auto" w:before="0" w:after="0"/>
        <w:ind w:left="3009" w:right="0" w:hanging="2909"/>
        <w:jc w:val="left"/>
        <w:rPr>
          <w:sz w:val="21"/>
        </w:rPr>
      </w:pPr>
      <w:r>
        <w:rPr>
          <w:rFonts w:ascii="等线" w:eastAsia="等线" w:hint="eastAsia"/>
          <w:b/>
          <w:position w:val="1"/>
          <w:sz w:val="24"/>
        </w:rPr>
        <w:t>单侧肺脏切除</w:t>
        <w:tab/>
      </w:r>
      <w:r>
        <w:rPr>
          <w:sz w:val="21"/>
        </w:rPr>
        <w:t>指因疾病</w:t>
      </w:r>
      <w:r>
        <w:rPr>
          <w:spacing w:val="-5"/>
          <w:sz w:val="21"/>
        </w:rPr>
        <w:t>或</w:t>
      </w:r>
      <w:r>
        <w:rPr>
          <w:sz w:val="21"/>
        </w:rPr>
        <w:t>意外事</w:t>
      </w:r>
      <w:r>
        <w:rPr>
          <w:spacing w:val="-5"/>
          <w:sz w:val="21"/>
        </w:rPr>
        <w:t>故</w:t>
      </w:r>
      <w:r>
        <w:rPr>
          <w:sz w:val="21"/>
        </w:rPr>
        <w:t>实际实</w:t>
      </w:r>
      <w:r>
        <w:rPr>
          <w:spacing w:val="-5"/>
          <w:sz w:val="21"/>
        </w:rPr>
        <w:t>施</w:t>
      </w:r>
      <w:r>
        <w:rPr>
          <w:sz w:val="21"/>
        </w:rPr>
        <w:t>的肺脏</w:t>
      </w:r>
      <w:r>
        <w:rPr>
          <w:spacing w:val="-5"/>
          <w:sz w:val="21"/>
        </w:rPr>
        <w:t>左</w:t>
      </w:r>
      <w:r>
        <w:rPr>
          <w:sz w:val="21"/>
        </w:rPr>
        <w:t>叶或右</w:t>
      </w:r>
      <w:r>
        <w:rPr>
          <w:spacing w:val="-5"/>
          <w:sz w:val="21"/>
        </w:rPr>
        <w:t>叶</w:t>
      </w:r>
      <w:r>
        <w:rPr>
          <w:sz w:val="21"/>
        </w:rPr>
        <w:t>全</w:t>
      </w:r>
      <w:r>
        <w:rPr>
          <w:spacing w:val="-5"/>
          <w:sz w:val="21"/>
        </w:rPr>
        <w:t>部</w:t>
      </w:r>
      <w:r>
        <w:rPr>
          <w:sz w:val="21"/>
        </w:rPr>
        <w:t>切除。</w:t>
      </w:r>
    </w:p>
    <w:p>
      <w:pPr>
        <w:pStyle w:val="BodyText"/>
        <w:spacing w:before="20"/>
        <w:ind w:left="3009"/>
      </w:pPr>
      <w:r>
        <w:rPr>
          <w:shd w:fill="DADADA" w:color="auto" w:val="clear"/>
        </w:rPr>
        <w:t>以下的肺脏切除不在保障范围内：</w:t>
      </w:r>
    </w:p>
    <w:p>
      <w:pPr>
        <w:pStyle w:val="BodyText"/>
        <w:spacing w:before="36"/>
        <w:ind w:left="3009"/>
      </w:pPr>
      <w:r>
        <w:rPr>
          <w:shd w:fill="DADADA" w:color="auto" w:val="clear"/>
        </w:rPr>
        <w:t>（1）肺脏左叶或右叶部分切除；</w:t>
      </w:r>
    </w:p>
    <w:p>
      <w:pPr>
        <w:pStyle w:val="BodyText"/>
        <w:spacing w:before="36"/>
        <w:ind w:left="3009"/>
      </w:pPr>
      <w:r>
        <w:rPr>
          <w:shd w:fill="DADADA" w:color="auto" w:val="clear"/>
        </w:rPr>
        <w:t>（2）因捐献肺脏引起的肺脏左叶或右叶全部切除。</w:t>
      </w:r>
    </w:p>
    <w:p>
      <w:pPr>
        <w:pStyle w:val="BodyText"/>
        <w:spacing w:line="273" w:lineRule="auto" w:before="36"/>
        <w:ind w:left="3009" w:right="210"/>
      </w:pPr>
      <w:r>
        <w:rPr>
          <w:shd w:fill="DADADA" w:color="auto" w:val="clear"/>
        </w:rPr>
        <w:t>若被保险人因同一原因导致其同时满足单侧肺脏切除和重大疾病“恶性肿瘤”的，仅按重大疾病“恶性肿瘤”一项给付。</w:t>
      </w:r>
    </w:p>
    <w:p>
      <w:pPr>
        <w:pStyle w:val="BodyText"/>
        <w:spacing w:before="5"/>
        <w:rPr>
          <w:sz w:val="19"/>
        </w:rPr>
      </w:pPr>
    </w:p>
    <w:p>
      <w:pPr>
        <w:pStyle w:val="ListParagraph"/>
        <w:numPr>
          <w:ilvl w:val="0"/>
          <w:numId w:val="9"/>
        </w:numPr>
        <w:tabs>
          <w:tab w:pos="692" w:val="left" w:leader="none"/>
          <w:tab w:pos="3009" w:val="left" w:leader="none"/>
        </w:tabs>
        <w:spacing w:line="254" w:lineRule="auto" w:before="0" w:after="0"/>
        <w:ind w:left="3009" w:right="210" w:hanging="2909"/>
        <w:jc w:val="both"/>
        <w:rPr>
          <w:sz w:val="21"/>
        </w:rPr>
      </w:pPr>
      <w:r>
        <w:rPr>
          <w:rFonts w:ascii="等线" w:eastAsia="等线" w:hint="eastAsia"/>
          <w:b/>
          <w:position w:val="1"/>
          <w:sz w:val="24"/>
        </w:rPr>
        <w:t>单侧肾脏切除</w:t>
        <w:tab/>
      </w:r>
      <w:r>
        <w:rPr>
          <w:sz w:val="21"/>
        </w:rPr>
        <w:t>指</w:t>
      </w:r>
      <w:r>
        <w:rPr>
          <w:spacing w:val="2"/>
          <w:sz w:val="21"/>
        </w:rPr>
        <w:t>因</w:t>
      </w:r>
      <w:r>
        <w:rPr>
          <w:sz w:val="21"/>
        </w:rPr>
        <w:t>疾病或</w:t>
      </w:r>
      <w:r>
        <w:rPr>
          <w:spacing w:val="2"/>
          <w:sz w:val="21"/>
        </w:rPr>
        <w:t>意</w:t>
      </w:r>
      <w:r>
        <w:rPr>
          <w:sz w:val="21"/>
        </w:rPr>
        <w:t>外伤害</w:t>
      </w:r>
      <w:r>
        <w:rPr>
          <w:spacing w:val="2"/>
          <w:sz w:val="21"/>
        </w:rPr>
        <w:t>导</w:t>
      </w:r>
      <w:r>
        <w:rPr>
          <w:sz w:val="21"/>
        </w:rPr>
        <w:t>致肾脏</w:t>
      </w:r>
      <w:r>
        <w:rPr>
          <w:spacing w:val="2"/>
          <w:sz w:val="21"/>
        </w:rPr>
        <w:t>严</w:t>
      </w:r>
      <w:r>
        <w:rPr>
          <w:sz w:val="21"/>
        </w:rPr>
        <w:t>重损害</w:t>
      </w:r>
      <w:r>
        <w:rPr>
          <w:spacing w:val="2"/>
          <w:sz w:val="21"/>
        </w:rPr>
        <w:t>，</w:t>
      </w:r>
      <w:r>
        <w:rPr>
          <w:sz w:val="21"/>
        </w:rPr>
        <w:t>已经实</w:t>
      </w:r>
      <w:r>
        <w:rPr>
          <w:spacing w:val="2"/>
          <w:sz w:val="21"/>
        </w:rPr>
        <w:t>际</w:t>
      </w:r>
      <w:r>
        <w:rPr>
          <w:sz w:val="21"/>
        </w:rPr>
        <w:t>接受</w:t>
      </w:r>
      <w:r>
        <w:rPr>
          <w:spacing w:val="2"/>
          <w:sz w:val="21"/>
        </w:rPr>
        <w:t>了</w:t>
      </w:r>
      <w:r>
        <w:rPr>
          <w:sz w:val="21"/>
        </w:rPr>
        <w:t>左侧全</w:t>
      </w:r>
      <w:r>
        <w:rPr>
          <w:spacing w:val="2"/>
          <w:sz w:val="21"/>
        </w:rPr>
        <w:t>肾</w:t>
      </w:r>
      <w:r>
        <w:rPr>
          <w:sz w:val="21"/>
        </w:rPr>
        <w:t>切</w:t>
      </w:r>
      <w:r>
        <w:rPr>
          <w:spacing w:val="2"/>
          <w:sz w:val="21"/>
        </w:rPr>
        <w:t>除</w:t>
      </w:r>
      <w:r>
        <w:rPr>
          <w:sz w:val="21"/>
        </w:rPr>
        <w:t>手 术或右侧</w:t>
      </w:r>
      <w:r>
        <w:rPr>
          <w:spacing w:val="-5"/>
          <w:sz w:val="21"/>
        </w:rPr>
        <w:t>全</w:t>
      </w:r>
      <w:r>
        <w:rPr>
          <w:sz w:val="21"/>
        </w:rPr>
        <w:t>肾切除</w:t>
      </w:r>
      <w:r>
        <w:rPr>
          <w:spacing w:val="-5"/>
          <w:sz w:val="21"/>
        </w:rPr>
        <w:t>手</w:t>
      </w:r>
      <w:r>
        <w:rPr>
          <w:sz w:val="21"/>
        </w:rPr>
        <w:t>术。</w:t>
      </w:r>
    </w:p>
    <w:p>
      <w:pPr>
        <w:pStyle w:val="BodyText"/>
        <w:spacing w:before="24"/>
        <w:ind w:left="3009"/>
      </w:pPr>
      <w:r>
        <w:rPr>
          <w:shd w:fill="DADADA" w:color="auto" w:val="clear"/>
        </w:rPr>
        <w:t>下列情况不在本保障范围内：</w:t>
      </w:r>
    </w:p>
    <w:p>
      <w:pPr>
        <w:pStyle w:val="BodyText"/>
        <w:spacing w:before="37"/>
        <w:ind w:left="3009"/>
      </w:pPr>
      <w:r>
        <w:rPr>
          <w:shd w:fill="DADADA" w:color="auto" w:val="clear"/>
        </w:rPr>
        <w:t>（1）部分肾切除手术；</w:t>
      </w:r>
    </w:p>
    <w:p>
      <w:pPr>
        <w:pStyle w:val="BodyText"/>
        <w:spacing w:before="37"/>
        <w:ind w:left="3009"/>
      </w:pPr>
      <w:r>
        <w:rPr>
          <w:shd w:fill="DADADA" w:color="auto" w:val="clear"/>
        </w:rPr>
        <w:t>（2）因恶性肿瘤进行的肾切除手术；</w:t>
      </w:r>
    </w:p>
    <w:p>
      <w:pPr>
        <w:pStyle w:val="BodyText"/>
        <w:spacing w:before="37"/>
        <w:ind w:left="3009"/>
      </w:pPr>
      <w:r>
        <w:rPr>
          <w:shd w:fill="DADADA" w:color="auto" w:val="clear"/>
        </w:rPr>
        <w:t>（3）肾移植接受者肾切除；</w:t>
      </w:r>
    </w:p>
    <w:p>
      <w:pPr>
        <w:pStyle w:val="BodyText"/>
        <w:spacing w:before="37"/>
        <w:ind w:left="3009"/>
      </w:pPr>
      <w:r>
        <w:rPr>
          <w:shd w:fill="DADADA" w:color="auto" w:val="clear"/>
        </w:rPr>
        <w:t>（4）作为器官捐献者而实施的肾切除手术。</w:t>
      </w:r>
    </w:p>
    <w:p>
      <w:pPr>
        <w:pStyle w:val="BodyText"/>
        <w:spacing w:before="7"/>
        <w:rPr>
          <w:sz w:val="23"/>
        </w:rPr>
      </w:pPr>
    </w:p>
    <w:p>
      <w:pPr>
        <w:pStyle w:val="ListParagraph"/>
        <w:numPr>
          <w:ilvl w:val="0"/>
          <w:numId w:val="9"/>
        </w:numPr>
        <w:tabs>
          <w:tab w:pos="692" w:val="left" w:leader="none"/>
          <w:tab w:pos="3009" w:val="left" w:leader="none"/>
        </w:tabs>
        <w:spacing w:line="254" w:lineRule="auto" w:before="0" w:after="0"/>
        <w:ind w:left="3009" w:right="210" w:hanging="2909"/>
        <w:jc w:val="both"/>
        <w:rPr>
          <w:sz w:val="21"/>
        </w:rPr>
      </w:pPr>
      <w:r>
        <w:rPr>
          <w:rFonts w:ascii="等线" w:eastAsia="等线" w:hint="eastAsia"/>
          <w:b/>
          <w:position w:val="1"/>
          <w:sz w:val="24"/>
        </w:rPr>
        <w:t>早期肝硬化</w:t>
        <w:tab/>
      </w:r>
      <w:r>
        <w:rPr>
          <w:sz w:val="21"/>
        </w:rPr>
        <w:t>肝</w:t>
      </w:r>
      <w:r>
        <w:rPr>
          <w:spacing w:val="2"/>
          <w:sz w:val="21"/>
        </w:rPr>
        <w:t>硬</w:t>
      </w:r>
      <w:r>
        <w:rPr>
          <w:sz w:val="21"/>
        </w:rPr>
        <w:t>化须由</w:t>
      </w:r>
      <w:r>
        <w:rPr>
          <w:spacing w:val="2"/>
          <w:sz w:val="21"/>
        </w:rPr>
        <w:t>专</w:t>
      </w:r>
      <w:r>
        <w:rPr>
          <w:sz w:val="21"/>
        </w:rPr>
        <w:t>科医生</w:t>
      </w:r>
      <w:r>
        <w:rPr>
          <w:spacing w:val="2"/>
          <w:sz w:val="21"/>
        </w:rPr>
        <w:t>明</w:t>
      </w:r>
      <w:r>
        <w:rPr>
          <w:sz w:val="21"/>
        </w:rPr>
        <w:t>确诊断</w:t>
      </w:r>
      <w:r>
        <w:rPr>
          <w:spacing w:val="2"/>
          <w:sz w:val="21"/>
        </w:rPr>
        <w:t>。</w:t>
      </w:r>
      <w:r>
        <w:rPr>
          <w:sz w:val="21"/>
        </w:rPr>
        <w:t>必须由</w:t>
      </w:r>
      <w:r>
        <w:rPr>
          <w:spacing w:val="2"/>
          <w:sz w:val="21"/>
        </w:rPr>
        <w:t>活</w:t>
      </w:r>
      <w:r>
        <w:rPr>
          <w:sz w:val="21"/>
        </w:rPr>
        <w:t>检证实</w:t>
      </w:r>
      <w:r>
        <w:rPr>
          <w:spacing w:val="2"/>
          <w:sz w:val="21"/>
        </w:rPr>
        <w:t>有</w:t>
      </w:r>
      <w:r>
        <w:rPr>
          <w:sz w:val="21"/>
        </w:rPr>
        <w:t>再生</w:t>
      </w:r>
      <w:r>
        <w:rPr>
          <w:spacing w:val="2"/>
          <w:sz w:val="21"/>
        </w:rPr>
        <w:t>的</w:t>
      </w:r>
      <w:r>
        <w:rPr>
          <w:sz w:val="21"/>
        </w:rPr>
        <w:t>肝细胞</w:t>
      </w:r>
      <w:r>
        <w:rPr>
          <w:spacing w:val="2"/>
          <w:sz w:val="21"/>
        </w:rPr>
        <w:t>结</w:t>
      </w:r>
      <w:r>
        <w:rPr>
          <w:sz w:val="21"/>
        </w:rPr>
        <w:t>节</w:t>
      </w:r>
      <w:r>
        <w:rPr>
          <w:spacing w:val="2"/>
          <w:sz w:val="21"/>
        </w:rPr>
        <w:t>和</w:t>
      </w:r>
      <w:r>
        <w:rPr>
          <w:sz w:val="21"/>
        </w:rPr>
        <w:t>典 型的肝组</w:t>
      </w:r>
      <w:r>
        <w:rPr>
          <w:spacing w:val="-5"/>
          <w:sz w:val="21"/>
        </w:rPr>
        <w:t>织</w:t>
      </w:r>
      <w:r>
        <w:rPr>
          <w:sz w:val="21"/>
        </w:rPr>
        <w:t>纤维化</w:t>
      </w:r>
      <w:r>
        <w:rPr>
          <w:spacing w:val="-5"/>
          <w:sz w:val="21"/>
        </w:rPr>
        <w:t>。</w:t>
      </w:r>
      <w:r>
        <w:rPr>
          <w:sz w:val="21"/>
        </w:rPr>
        <w:t>下列条</w:t>
      </w:r>
      <w:r>
        <w:rPr>
          <w:spacing w:val="-5"/>
          <w:sz w:val="21"/>
        </w:rPr>
        <w:t>件</w:t>
      </w:r>
      <w:r>
        <w:rPr>
          <w:sz w:val="21"/>
        </w:rPr>
        <w:t>必须全</w:t>
      </w:r>
      <w:r>
        <w:rPr>
          <w:spacing w:val="-5"/>
          <w:sz w:val="21"/>
        </w:rPr>
        <w:t>部</w:t>
      </w:r>
      <w:r>
        <w:rPr>
          <w:sz w:val="21"/>
        </w:rPr>
        <w:t>满足并</w:t>
      </w:r>
      <w:r>
        <w:rPr>
          <w:spacing w:val="-5"/>
          <w:sz w:val="21"/>
        </w:rPr>
        <w:t>至</w:t>
      </w:r>
      <w:r>
        <w:rPr>
          <w:sz w:val="21"/>
        </w:rPr>
        <w:t>少</w:t>
      </w:r>
      <w:r>
        <w:rPr>
          <w:spacing w:val="-5"/>
          <w:sz w:val="21"/>
        </w:rPr>
        <w:t>持</w:t>
      </w:r>
      <w:r>
        <w:rPr>
          <w:sz w:val="21"/>
        </w:rPr>
        <w:t>续一年：</w:t>
      </w:r>
    </w:p>
    <w:p>
      <w:pPr>
        <w:pStyle w:val="BodyText"/>
        <w:spacing w:before="24"/>
        <w:ind w:left="3009"/>
      </w:pPr>
      <w:r>
        <w:rPr/>
        <w:t>（1）持续性黄疸，血清总胆红素水平超过50μmol/L；</w:t>
      </w:r>
    </w:p>
    <w:p>
      <w:pPr>
        <w:pStyle w:val="BodyText"/>
        <w:spacing w:before="36"/>
        <w:ind w:left="3009"/>
      </w:pPr>
      <w:r>
        <w:rPr/>
        <w:t>（2）蛋白质合成异常，白蛋白水平低于27g/L；</w:t>
      </w:r>
    </w:p>
    <w:p>
      <w:pPr>
        <w:pStyle w:val="BodyText"/>
        <w:spacing w:before="36"/>
        <w:ind w:left="3009"/>
      </w:pPr>
      <w:r>
        <w:rPr/>
        <w:t>（3）异常凝血功能，凝血酶原时间超过正常上限的 2 倍或以上，或者国际</w:t>
      </w:r>
    </w:p>
    <w:p>
      <w:pPr>
        <w:pStyle w:val="BodyText"/>
        <w:spacing w:before="36"/>
        <w:ind w:left="3462" w:right="3377"/>
        <w:jc w:val="center"/>
      </w:pPr>
      <w:r>
        <w:rPr/>
        <w:t>正常化比率（INR）在 2.0 以上。</w:t>
      </w:r>
    </w:p>
    <w:p>
      <w:pPr>
        <w:pStyle w:val="BodyText"/>
        <w:spacing w:before="5"/>
      </w:pPr>
    </w:p>
    <w:p>
      <w:pPr>
        <w:pStyle w:val="ListParagraph"/>
        <w:numPr>
          <w:ilvl w:val="0"/>
          <w:numId w:val="9"/>
        </w:numPr>
        <w:tabs>
          <w:tab w:pos="692" w:val="left" w:leader="none"/>
        </w:tabs>
        <w:spacing w:line="252" w:lineRule="auto" w:before="0" w:after="0"/>
        <w:ind w:left="3009" w:right="210" w:hanging="2861"/>
        <w:jc w:val="both"/>
        <w:rPr>
          <w:sz w:val="21"/>
        </w:rPr>
      </w:pPr>
      <w:r>
        <w:rPr>
          <w:rFonts w:ascii="等线" w:eastAsia="等线" w:hint="eastAsia"/>
          <w:b/>
          <w:spacing w:val="0"/>
          <w:position w:val="-1"/>
          <w:sz w:val="24"/>
        </w:rPr>
        <w:t>系统性红斑狼疮        </w:t>
      </w:r>
      <w:r>
        <w:rPr>
          <w:sz w:val="21"/>
        </w:rPr>
        <w:t>系统性红斑狼疮是由多种因素引起，累及多系统的自身免疫性疾病。其特点是生成自身抗体对抗多种自身抗原。多见于育龄妇女。其诊断须满足下</w:t>
      </w:r>
      <w:r>
        <w:rPr>
          <w:spacing w:val="-1"/>
          <w:sz w:val="21"/>
        </w:rPr>
        <w:t>列全部条件：</w:t>
      </w:r>
    </w:p>
    <w:p>
      <w:pPr>
        <w:pStyle w:val="BodyText"/>
        <w:spacing w:before="26"/>
        <w:ind w:left="3009"/>
      </w:pPr>
      <w:r>
        <w:rPr/>
        <w:t>（1）经临床证实，最少有其中以下3项由美国类风湿病理学院建议的情况：</w:t>
      </w:r>
    </w:p>
    <w:p>
      <w:pPr>
        <w:pStyle w:val="BodyText"/>
        <w:spacing w:before="37"/>
        <w:ind w:left="3220"/>
      </w:pPr>
      <w:r>
        <w:rPr/>
        <w:t>① 颊皮疹、蝶形红斑或盘形红斑；</w:t>
      </w:r>
    </w:p>
    <w:p>
      <w:pPr>
        <w:pStyle w:val="BodyText"/>
        <w:spacing w:before="37"/>
        <w:ind w:left="3220"/>
      </w:pPr>
      <w:r>
        <w:rPr/>
        <w:t>② 盘状疹；</w:t>
      </w:r>
    </w:p>
    <w:p>
      <w:pPr>
        <w:pStyle w:val="BodyText"/>
        <w:spacing w:before="37"/>
        <w:ind w:left="3220"/>
      </w:pPr>
      <w:r>
        <w:rPr/>
        <w:t>③ 光线敏感；</w:t>
      </w:r>
    </w:p>
    <w:p>
      <w:pPr>
        <w:pStyle w:val="BodyText"/>
        <w:spacing w:before="37"/>
        <w:ind w:left="3220"/>
      </w:pPr>
      <w:r>
        <w:rPr/>
        <w:t>④ 口腔溃疡；</w:t>
      </w:r>
    </w:p>
    <w:p>
      <w:pPr>
        <w:pStyle w:val="BodyText"/>
        <w:spacing w:before="37"/>
        <w:ind w:left="3220"/>
      </w:pPr>
      <w:r>
        <w:rPr/>
        <w:t>⑤ 关节炎；</w:t>
      </w:r>
    </w:p>
    <w:p>
      <w:pPr>
        <w:pStyle w:val="BodyText"/>
        <w:spacing w:before="37"/>
        <w:ind w:left="3220"/>
      </w:pPr>
      <w:r>
        <w:rPr/>
        <w:t>⑥ 浆膜炎；</w:t>
      </w:r>
    </w:p>
    <w:p>
      <w:pPr>
        <w:pStyle w:val="BodyText"/>
        <w:spacing w:before="37"/>
        <w:ind w:left="3220"/>
      </w:pPr>
      <w:r>
        <w:rPr/>
        <w:t>⑦ 肾病；</w:t>
      </w:r>
    </w:p>
    <w:p>
      <w:pPr>
        <w:pStyle w:val="BodyText"/>
        <w:spacing w:line="273" w:lineRule="auto" w:before="37"/>
        <w:ind w:left="3465" w:right="220" w:hanging="270"/>
      </w:pPr>
      <w:r>
        <w:rPr>
          <w:spacing w:val="-2"/>
        </w:rPr>
        <w:t>⑧ 白细胞减少</w:t>
      </w:r>
      <w:r>
        <w:rPr/>
        <w:t>（</w:t>
      </w:r>
      <w:r>
        <w:rPr>
          <w:spacing w:val="-17"/>
        </w:rPr>
        <w:t>小于 </w:t>
      </w:r>
      <w:r>
        <w:rPr/>
        <w:t>4×10</w:t>
      </w:r>
      <w:r>
        <w:rPr>
          <w:position w:val="11"/>
          <w:sz w:val="11"/>
        </w:rPr>
        <w:t>9</w:t>
      </w:r>
      <w:r>
        <w:rPr/>
        <w:t>/L）</w:t>
      </w:r>
      <w:r>
        <w:rPr>
          <w:spacing w:val="-3"/>
        </w:rPr>
        <w:t>或淋巴细胞减少</w:t>
      </w:r>
      <w:r>
        <w:rPr>
          <w:spacing w:val="-5"/>
        </w:rPr>
        <w:t>（</w:t>
      </w:r>
      <w:r>
        <w:rPr>
          <w:spacing w:val="-17"/>
        </w:rPr>
        <w:t>小于 </w:t>
      </w:r>
      <w:r>
        <w:rPr/>
        <w:t>1.5×10</w:t>
      </w:r>
      <w:r>
        <w:rPr>
          <w:position w:val="11"/>
          <w:sz w:val="11"/>
        </w:rPr>
        <w:t>9</w:t>
      </w:r>
      <w:r>
        <w:rPr/>
        <w:t>/L）</w:t>
      </w:r>
      <w:r>
        <w:rPr>
          <w:spacing w:val="-5"/>
        </w:rPr>
        <w:t>或</w:t>
      </w:r>
      <w:r>
        <w:rPr>
          <w:spacing w:val="-1"/>
        </w:rPr>
        <w:t>血小板减少</w:t>
      </w:r>
      <w:r>
        <w:rPr/>
        <w:t>（</w:t>
      </w:r>
      <w:r>
        <w:rPr>
          <w:spacing w:val="-14"/>
        </w:rPr>
        <w:t>小于 </w:t>
      </w:r>
      <w:r>
        <w:rPr/>
        <w:t>100×10</w:t>
      </w:r>
      <w:r>
        <w:rPr>
          <w:position w:val="11"/>
          <w:sz w:val="11"/>
        </w:rPr>
        <w:t>9</w:t>
      </w:r>
      <w:r>
        <w:rPr/>
        <w:t>/L）</w:t>
      </w:r>
      <w:r>
        <w:rPr>
          <w:spacing w:val="-1"/>
        </w:rPr>
        <w:t>或溶血性贫血；</w:t>
      </w:r>
    </w:p>
    <w:p>
      <w:pPr>
        <w:pStyle w:val="BodyText"/>
        <w:spacing w:before="4"/>
        <w:ind w:left="3196"/>
      </w:pPr>
      <w:r>
        <w:rPr/>
        <w:t>⑨ 神经系统疾病。</w:t>
      </w:r>
    </w:p>
    <w:p>
      <w:pPr>
        <w:pStyle w:val="BodyText"/>
        <w:spacing w:before="37"/>
        <w:ind w:left="3009"/>
      </w:pPr>
      <w:r>
        <w:rPr/>
        <w:t>（2）下列一项或以上的检测呈阳性结果：</w:t>
      </w:r>
    </w:p>
    <w:p>
      <w:pPr>
        <w:spacing w:after="0"/>
        <w:sectPr>
          <w:pgSz w:w="11910" w:h="16840"/>
          <w:pgMar w:top="1080" w:bottom="280" w:left="108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28"/>
        <w:gridCol w:w="7155"/>
      </w:tblGrid>
      <w:tr>
        <w:trPr>
          <w:trHeight w:val="1953" w:hRule="atLeast"/>
        </w:trPr>
        <w:tc>
          <w:tcPr>
            <w:tcW w:w="603" w:type="dxa"/>
          </w:tcPr>
          <w:p>
            <w:pPr>
              <w:pStyle w:val="TableParagraph"/>
              <w:rPr>
                <w:rFonts w:ascii="Times New Roman"/>
                <w:sz w:val="20"/>
              </w:rPr>
            </w:pPr>
          </w:p>
        </w:tc>
        <w:tc>
          <w:tcPr>
            <w:tcW w:w="2428" w:type="dxa"/>
          </w:tcPr>
          <w:p>
            <w:pPr>
              <w:pStyle w:val="TableParagraph"/>
              <w:rPr>
                <w:rFonts w:ascii="Times New Roman"/>
                <w:sz w:val="20"/>
              </w:rPr>
            </w:pPr>
          </w:p>
        </w:tc>
        <w:tc>
          <w:tcPr>
            <w:tcW w:w="7155" w:type="dxa"/>
          </w:tcPr>
          <w:p>
            <w:pPr>
              <w:pStyle w:val="TableParagraph"/>
              <w:spacing w:line="211" w:lineRule="exact"/>
              <w:ind w:left="265"/>
              <w:rPr>
                <w:sz w:val="21"/>
              </w:rPr>
            </w:pPr>
            <w:r>
              <w:rPr>
                <w:sz w:val="21"/>
              </w:rPr>
              <w:t>① 抗细胞核抗体检测；</w:t>
            </w:r>
          </w:p>
          <w:p>
            <w:pPr>
              <w:pStyle w:val="TableParagraph"/>
              <w:spacing w:before="37"/>
              <w:ind w:left="265"/>
              <w:rPr>
                <w:sz w:val="21"/>
              </w:rPr>
            </w:pPr>
            <w:r>
              <w:rPr>
                <w:sz w:val="21"/>
              </w:rPr>
              <w:t>② 狼疮细胞检测；</w:t>
            </w:r>
          </w:p>
          <w:p>
            <w:pPr>
              <w:pStyle w:val="TableParagraph"/>
              <w:spacing w:before="37"/>
              <w:ind w:left="265"/>
              <w:rPr>
                <w:sz w:val="21"/>
              </w:rPr>
            </w:pPr>
            <w:r>
              <w:rPr>
                <w:sz w:val="21"/>
              </w:rPr>
              <w:t>③ 抗脱氧核糖核酸检测；</w:t>
            </w:r>
          </w:p>
          <w:p>
            <w:pPr>
              <w:pStyle w:val="TableParagraph"/>
              <w:spacing w:before="37"/>
              <w:ind w:left="265"/>
              <w:rPr>
                <w:sz w:val="21"/>
              </w:rPr>
            </w:pPr>
            <w:r>
              <w:rPr>
                <w:sz w:val="21"/>
              </w:rPr>
              <w:t>④ 抗 SM（史密夫 IgG 自体抗体）检测。</w:t>
            </w:r>
          </w:p>
          <w:p>
            <w:pPr>
              <w:pStyle w:val="TableParagraph"/>
              <w:spacing w:line="273" w:lineRule="auto" w:before="37"/>
              <w:ind w:left="538" w:right="244" w:hanging="461"/>
              <w:rPr>
                <w:sz w:val="21"/>
              </w:rPr>
            </w:pPr>
            <w:r>
              <w:rPr>
                <w:sz w:val="21"/>
              </w:rPr>
              <w:t>（3）系统性红斑狼疮的诊断必须由风湿科或免疫系统专科医生确诊并证明持续最少 3 个月。</w:t>
            </w:r>
          </w:p>
        </w:tc>
      </w:tr>
      <w:tr>
        <w:trPr>
          <w:trHeight w:val="3103" w:hRule="atLeast"/>
        </w:trPr>
        <w:tc>
          <w:tcPr>
            <w:tcW w:w="603" w:type="dxa"/>
          </w:tcPr>
          <w:p>
            <w:pPr>
              <w:pStyle w:val="TableParagraph"/>
              <w:spacing w:before="138"/>
              <w:ind w:left="175" w:right="167"/>
              <w:jc w:val="center"/>
              <w:rPr>
                <w:b/>
                <w:sz w:val="21"/>
              </w:rPr>
            </w:pPr>
            <w:r>
              <w:rPr>
                <w:b/>
                <w:sz w:val="21"/>
              </w:rPr>
              <w:t>22</w:t>
            </w:r>
          </w:p>
        </w:tc>
        <w:tc>
          <w:tcPr>
            <w:tcW w:w="2428" w:type="dxa"/>
          </w:tcPr>
          <w:p>
            <w:pPr>
              <w:pStyle w:val="TableParagraph"/>
              <w:spacing w:before="102"/>
              <w:ind w:left="187"/>
              <w:rPr>
                <w:rFonts w:ascii="等线" w:eastAsia="等线" w:hint="eastAsia"/>
                <w:b/>
                <w:sz w:val="24"/>
              </w:rPr>
            </w:pPr>
            <w:r>
              <w:rPr>
                <w:rFonts w:ascii="等线" w:eastAsia="等线" w:hint="eastAsia"/>
                <w:b/>
                <w:sz w:val="24"/>
              </w:rPr>
              <w:t>单目失明</w:t>
            </w:r>
          </w:p>
        </w:tc>
        <w:tc>
          <w:tcPr>
            <w:tcW w:w="7155" w:type="dxa"/>
          </w:tcPr>
          <w:p>
            <w:pPr>
              <w:pStyle w:val="TableParagraph"/>
              <w:spacing w:line="273" w:lineRule="auto" w:before="138"/>
              <w:ind w:left="77" w:right="273"/>
              <w:jc w:val="both"/>
              <w:rPr>
                <w:sz w:val="21"/>
              </w:rPr>
            </w:pPr>
            <w:r>
              <w:rPr>
                <w:sz w:val="21"/>
              </w:rPr>
              <w:t>指因疾病或意外伤害导致单眼视力永久不可逆性丧失，但未达到本主险合同所指重大疾病“双目失明”的给付标准，但患眼须满足下列至少一项条件：</w:t>
            </w:r>
          </w:p>
          <w:p>
            <w:pPr>
              <w:pStyle w:val="TableParagraph"/>
              <w:spacing w:before="7"/>
              <w:ind w:left="77"/>
              <w:rPr>
                <w:sz w:val="21"/>
              </w:rPr>
            </w:pPr>
            <w:r>
              <w:rPr>
                <w:sz w:val="21"/>
              </w:rPr>
              <w:t>（1）眼球缺失或摘除；</w:t>
            </w:r>
          </w:p>
          <w:p>
            <w:pPr>
              <w:pStyle w:val="TableParagraph"/>
              <w:spacing w:line="273" w:lineRule="auto" w:before="37"/>
              <w:ind w:left="538" w:right="273" w:hanging="461"/>
              <w:rPr>
                <w:sz w:val="21"/>
              </w:rPr>
            </w:pPr>
            <w:r>
              <w:rPr>
                <w:spacing w:val="-10"/>
                <w:sz w:val="21"/>
              </w:rPr>
              <w:t>（2）</w:t>
            </w:r>
            <w:r>
              <w:rPr>
                <w:spacing w:val="-5"/>
                <w:sz w:val="21"/>
              </w:rPr>
              <w:t>矫正视力低于 </w:t>
            </w:r>
            <w:r>
              <w:rPr>
                <w:spacing w:val="-7"/>
                <w:sz w:val="21"/>
              </w:rPr>
              <w:t>0.02（</w:t>
            </w:r>
            <w:r>
              <w:rPr>
                <w:spacing w:val="-6"/>
                <w:sz w:val="21"/>
              </w:rPr>
              <w:t>采用国际标准视力表，如果使用其它视力表应进</w:t>
            </w:r>
            <w:r>
              <w:rPr>
                <w:spacing w:val="-6"/>
                <w:w w:val="100"/>
                <w:sz w:val="21"/>
              </w:rPr>
              <w:t>行换算</w:t>
            </w:r>
            <w:r>
              <w:rPr>
                <w:spacing w:val="-106"/>
                <w:w w:val="100"/>
                <w:sz w:val="21"/>
              </w:rPr>
              <w:t>）</w:t>
            </w:r>
            <w:r>
              <w:rPr>
                <w:w w:val="100"/>
                <w:sz w:val="21"/>
              </w:rPr>
              <w:t>；</w:t>
            </w:r>
          </w:p>
          <w:p>
            <w:pPr>
              <w:pStyle w:val="TableParagraph"/>
              <w:spacing w:before="8"/>
              <w:ind w:left="77"/>
              <w:rPr>
                <w:sz w:val="21"/>
              </w:rPr>
            </w:pPr>
            <w:r>
              <w:rPr>
                <w:sz w:val="21"/>
              </w:rPr>
              <w:t>（3）视野半径小于5度。</w:t>
            </w:r>
          </w:p>
          <w:p>
            <w:pPr>
              <w:pStyle w:val="TableParagraph"/>
              <w:spacing w:line="273" w:lineRule="auto" w:before="37"/>
              <w:ind w:left="77" w:right="273"/>
              <w:rPr>
                <w:sz w:val="21"/>
              </w:rPr>
            </w:pPr>
            <w:r>
              <w:rPr>
                <w:sz w:val="21"/>
              </w:rPr>
              <w:t>诊断须在本公司认可的医院内由眼科专科医生确认，并且提供理赔当时的视力丧失诊断及检查证据。</w:t>
            </w:r>
          </w:p>
        </w:tc>
      </w:tr>
      <w:tr>
        <w:trPr>
          <w:trHeight w:val="614" w:hRule="atLeast"/>
        </w:trPr>
        <w:tc>
          <w:tcPr>
            <w:tcW w:w="603" w:type="dxa"/>
          </w:tcPr>
          <w:p>
            <w:pPr>
              <w:pStyle w:val="TableParagraph"/>
              <w:rPr>
                <w:rFonts w:ascii="Times New Roman"/>
                <w:sz w:val="20"/>
              </w:rPr>
            </w:pPr>
          </w:p>
        </w:tc>
        <w:tc>
          <w:tcPr>
            <w:tcW w:w="2428" w:type="dxa"/>
          </w:tcPr>
          <w:p>
            <w:pPr>
              <w:pStyle w:val="TableParagraph"/>
              <w:spacing w:before="120"/>
              <w:ind w:left="192"/>
              <w:rPr>
                <w:b/>
                <w:sz w:val="24"/>
              </w:rPr>
            </w:pPr>
            <w:r>
              <w:rPr>
                <w:b/>
                <w:sz w:val="24"/>
              </w:rPr>
              <w:t>第 4 类：</w:t>
            </w:r>
          </w:p>
        </w:tc>
        <w:tc>
          <w:tcPr>
            <w:tcW w:w="7155" w:type="dxa"/>
          </w:tcPr>
          <w:p>
            <w:pPr>
              <w:pStyle w:val="TableParagraph"/>
              <w:spacing w:before="131"/>
              <w:ind w:left="77"/>
              <w:rPr>
                <w:b/>
                <w:sz w:val="21"/>
              </w:rPr>
            </w:pPr>
            <w:r>
              <w:rPr>
                <w:b/>
                <w:sz w:val="21"/>
              </w:rPr>
              <w:t>与神经系统相关的疾病</w:t>
            </w:r>
          </w:p>
        </w:tc>
      </w:tr>
      <w:tr>
        <w:trPr>
          <w:trHeight w:val="2457" w:hRule="atLeast"/>
        </w:trPr>
        <w:tc>
          <w:tcPr>
            <w:tcW w:w="603" w:type="dxa"/>
          </w:tcPr>
          <w:p>
            <w:pPr>
              <w:pStyle w:val="TableParagraph"/>
              <w:spacing w:before="116"/>
              <w:ind w:left="179" w:right="162"/>
              <w:jc w:val="center"/>
              <w:rPr>
                <w:b/>
                <w:sz w:val="21"/>
              </w:rPr>
            </w:pPr>
            <w:r>
              <w:rPr>
                <w:b/>
                <w:sz w:val="21"/>
              </w:rPr>
              <w:t>23</w:t>
            </w:r>
          </w:p>
        </w:tc>
        <w:tc>
          <w:tcPr>
            <w:tcW w:w="2428" w:type="dxa"/>
          </w:tcPr>
          <w:p>
            <w:pPr>
              <w:pStyle w:val="TableParagraph"/>
              <w:spacing w:before="114"/>
              <w:ind w:left="192"/>
              <w:rPr>
                <w:rFonts w:ascii="等线" w:eastAsia="等线" w:hint="eastAsia"/>
                <w:b/>
                <w:sz w:val="24"/>
              </w:rPr>
            </w:pPr>
            <w:r>
              <w:rPr>
                <w:rFonts w:ascii="等线" w:eastAsia="等线" w:hint="eastAsia"/>
                <w:b/>
                <w:sz w:val="24"/>
              </w:rPr>
              <w:t>轻度脑损伤</w:t>
            </w:r>
          </w:p>
        </w:tc>
        <w:tc>
          <w:tcPr>
            <w:tcW w:w="7155" w:type="dxa"/>
          </w:tcPr>
          <w:p>
            <w:pPr>
              <w:pStyle w:val="TableParagraph"/>
              <w:spacing w:line="273" w:lineRule="auto" w:before="116"/>
              <w:ind w:left="77" w:right="273"/>
              <w:jc w:val="both"/>
              <w:rPr>
                <w:sz w:val="21"/>
              </w:rPr>
            </w:pPr>
            <w:r>
              <w:rPr>
                <w:sz w:val="21"/>
              </w:rPr>
              <w:t>指因头部遭受机械性外力伤害，引起脑重要部位损伤，并且由头颅断层扫</w:t>
            </w:r>
            <w:r>
              <w:rPr>
                <w:spacing w:val="-5"/>
                <w:w w:val="100"/>
                <w:sz w:val="21"/>
              </w:rPr>
              <w:t>描</w:t>
            </w:r>
            <w:r>
              <w:rPr>
                <w:w w:val="100"/>
                <w:sz w:val="21"/>
              </w:rPr>
              <w:t>（CT</w:t>
            </w:r>
            <w:r>
              <w:rPr>
                <w:spacing w:val="-106"/>
                <w:w w:val="100"/>
                <w:sz w:val="21"/>
              </w:rPr>
              <w:t>）</w:t>
            </w:r>
            <w:r>
              <w:rPr>
                <w:spacing w:val="-5"/>
                <w:w w:val="100"/>
                <w:sz w:val="21"/>
              </w:rPr>
              <w:t>、核磁共振检查</w:t>
            </w:r>
            <w:r>
              <w:rPr>
                <w:w w:val="100"/>
                <w:sz w:val="21"/>
              </w:rPr>
              <w:t>（MR</w:t>
            </w:r>
            <w:r>
              <w:rPr>
                <w:spacing w:val="-5"/>
                <w:w w:val="100"/>
                <w:sz w:val="21"/>
              </w:rPr>
              <w:t>I）或正电子发射断层扫描</w:t>
            </w:r>
            <w:r>
              <w:rPr>
                <w:w w:val="100"/>
                <w:sz w:val="21"/>
              </w:rPr>
              <w:t>（PET</w:t>
            </w:r>
            <w:r>
              <w:rPr>
                <w:spacing w:val="-5"/>
                <w:w w:val="100"/>
                <w:sz w:val="21"/>
              </w:rPr>
              <w:t>）</w:t>
            </w:r>
            <w:r>
              <w:rPr>
                <w:spacing w:val="-4"/>
                <w:w w:val="100"/>
                <w:sz w:val="21"/>
              </w:rPr>
              <w:t>等影像学检</w:t>
            </w:r>
            <w:r>
              <w:rPr>
                <w:sz w:val="21"/>
              </w:rPr>
              <w:t>查证实。头部外伤导致神经系统功能障碍，虽然未达到本主险合同所指重</w:t>
            </w:r>
            <w:r>
              <w:rPr>
                <w:spacing w:val="-5"/>
                <w:sz w:val="21"/>
              </w:rPr>
              <w:t>大疾病“严重脑损伤”的给付标准，但须满足下列条件之一：</w:t>
            </w:r>
          </w:p>
          <w:p>
            <w:pPr>
              <w:pStyle w:val="TableParagraph"/>
              <w:spacing w:before="7"/>
              <w:ind w:left="77"/>
              <w:rPr>
                <w:sz w:val="21"/>
              </w:rPr>
            </w:pPr>
            <w:r>
              <w:rPr>
                <w:w w:val="100"/>
                <w:sz w:val="21"/>
              </w:rPr>
              <w:t>（1）</w:t>
            </w:r>
            <w:r>
              <w:rPr>
                <w:spacing w:val="-5"/>
                <w:w w:val="100"/>
                <w:sz w:val="21"/>
              </w:rPr>
              <w:t>已接受全麻下颅骨切开颅内血肿清除术（</w:t>
            </w:r>
            <w:r>
              <w:rPr>
                <w:spacing w:val="-2"/>
                <w:w w:val="100"/>
                <w:sz w:val="21"/>
              </w:rPr>
              <w:t>颅骨钻孔术除外</w:t>
            </w:r>
            <w:r>
              <w:rPr>
                <w:spacing w:val="-111"/>
                <w:w w:val="100"/>
                <w:sz w:val="21"/>
              </w:rPr>
              <w:t>）</w:t>
            </w:r>
            <w:r>
              <w:rPr>
                <w:w w:val="100"/>
                <w:sz w:val="21"/>
              </w:rPr>
              <w:t>；</w:t>
            </w:r>
          </w:p>
          <w:p>
            <w:pPr>
              <w:pStyle w:val="TableParagraph"/>
              <w:spacing w:line="273" w:lineRule="auto" w:before="37"/>
              <w:ind w:left="600" w:right="132" w:hanging="524"/>
              <w:rPr>
                <w:sz w:val="21"/>
              </w:rPr>
            </w:pPr>
            <w:r>
              <w:rPr>
                <w:sz w:val="21"/>
              </w:rPr>
              <w:t>（2）在遭受头外伤 180 日后，仍遗留一肢或一肢以上肢体机能部分丧失， 其肢体肌力为Ⅲ级或Ⅲ级以下的。</w:t>
            </w:r>
          </w:p>
        </w:tc>
      </w:tr>
      <w:tr>
        <w:trPr>
          <w:trHeight w:val="1833" w:hRule="atLeast"/>
        </w:trPr>
        <w:tc>
          <w:tcPr>
            <w:tcW w:w="603" w:type="dxa"/>
          </w:tcPr>
          <w:p>
            <w:pPr>
              <w:pStyle w:val="TableParagraph"/>
              <w:spacing w:before="130"/>
              <w:ind w:left="179" w:right="162"/>
              <w:jc w:val="center"/>
              <w:rPr>
                <w:b/>
                <w:sz w:val="21"/>
              </w:rPr>
            </w:pPr>
            <w:r>
              <w:rPr>
                <w:b/>
                <w:sz w:val="21"/>
              </w:rPr>
              <w:t>24</w:t>
            </w:r>
          </w:p>
        </w:tc>
        <w:tc>
          <w:tcPr>
            <w:tcW w:w="2428" w:type="dxa"/>
          </w:tcPr>
          <w:p>
            <w:pPr>
              <w:pStyle w:val="TableParagraph"/>
              <w:spacing w:line="235" w:lineRule="auto" w:before="135"/>
              <w:ind w:left="192" w:right="73"/>
              <w:jc w:val="both"/>
              <w:rPr>
                <w:rFonts w:ascii="等线" w:eastAsia="等线" w:hint="eastAsia"/>
                <w:b/>
                <w:sz w:val="24"/>
              </w:rPr>
            </w:pPr>
            <w:r>
              <w:rPr>
                <w:rFonts w:ascii="等线" w:eastAsia="等线" w:hint="eastAsia"/>
                <w:b/>
                <w:sz w:val="24"/>
              </w:rPr>
              <w:t>脑垂体瘤、脑囊肿、脑动脉瘤及脑血管瘤</w:t>
            </w:r>
          </w:p>
        </w:tc>
        <w:tc>
          <w:tcPr>
            <w:tcW w:w="7155" w:type="dxa"/>
          </w:tcPr>
          <w:p>
            <w:pPr>
              <w:pStyle w:val="TableParagraph"/>
              <w:spacing w:line="273" w:lineRule="auto" w:before="130"/>
              <w:ind w:left="77" w:right="273"/>
              <w:rPr>
                <w:sz w:val="21"/>
              </w:rPr>
            </w:pPr>
            <w:r>
              <w:rPr>
                <w:w w:val="100"/>
                <w:sz w:val="21"/>
              </w:rPr>
              <w:t>指经头颅断层扫描</w:t>
            </w:r>
            <w:r>
              <w:rPr>
                <w:spacing w:val="3"/>
                <w:w w:val="100"/>
                <w:sz w:val="21"/>
              </w:rPr>
              <w:t>（</w:t>
            </w:r>
            <w:r>
              <w:rPr>
                <w:spacing w:val="-5"/>
                <w:w w:val="100"/>
                <w:sz w:val="21"/>
              </w:rPr>
              <w:t>C</w:t>
            </w:r>
            <w:r>
              <w:rPr>
                <w:spacing w:val="3"/>
                <w:w w:val="100"/>
                <w:sz w:val="21"/>
              </w:rPr>
              <w:t>T</w:t>
            </w:r>
            <w:r>
              <w:rPr>
                <w:spacing w:val="-106"/>
                <w:w w:val="100"/>
                <w:sz w:val="21"/>
              </w:rPr>
              <w:t>）</w:t>
            </w:r>
            <w:r>
              <w:rPr>
                <w:w w:val="100"/>
                <w:sz w:val="21"/>
              </w:rPr>
              <w:t>、核磁共振检查</w:t>
            </w:r>
            <w:r>
              <w:rPr>
                <w:spacing w:val="3"/>
                <w:w w:val="100"/>
                <w:sz w:val="21"/>
              </w:rPr>
              <w:t>（</w:t>
            </w:r>
            <w:r>
              <w:rPr>
                <w:w w:val="100"/>
                <w:sz w:val="21"/>
              </w:rPr>
              <w:t>M</w:t>
            </w:r>
            <w:r>
              <w:rPr>
                <w:spacing w:val="-5"/>
                <w:w w:val="100"/>
                <w:sz w:val="21"/>
              </w:rPr>
              <w:t>R</w:t>
            </w:r>
            <w:r>
              <w:rPr>
                <w:w w:val="100"/>
                <w:sz w:val="21"/>
              </w:rPr>
              <w:t>I）或其他影像学检查被确诊</w:t>
            </w:r>
            <w:r>
              <w:rPr>
                <w:spacing w:val="-5"/>
                <w:sz w:val="21"/>
              </w:rPr>
              <w:t>为下列病变，并实际接受了开颅手术或放射治疗。</w:t>
            </w:r>
          </w:p>
          <w:p>
            <w:pPr>
              <w:pStyle w:val="TableParagraph"/>
              <w:spacing w:before="7"/>
              <w:ind w:left="77"/>
              <w:rPr>
                <w:sz w:val="21"/>
              </w:rPr>
            </w:pPr>
            <w:r>
              <w:rPr>
                <w:sz w:val="21"/>
              </w:rPr>
              <w:t>（1）脑垂体瘤；</w:t>
            </w:r>
          </w:p>
          <w:p>
            <w:pPr>
              <w:pStyle w:val="TableParagraph"/>
              <w:spacing w:before="37"/>
              <w:ind w:left="77"/>
              <w:rPr>
                <w:sz w:val="21"/>
              </w:rPr>
            </w:pPr>
            <w:r>
              <w:rPr>
                <w:sz w:val="21"/>
              </w:rPr>
              <w:t>（2）脑囊肿；</w:t>
            </w:r>
          </w:p>
          <w:p>
            <w:pPr>
              <w:pStyle w:val="TableParagraph"/>
              <w:spacing w:before="37"/>
              <w:ind w:left="77"/>
              <w:rPr>
                <w:sz w:val="21"/>
              </w:rPr>
            </w:pPr>
            <w:r>
              <w:rPr>
                <w:sz w:val="21"/>
              </w:rPr>
              <w:t>（3）脑动脉瘤、脑血管瘤。</w:t>
            </w:r>
          </w:p>
        </w:tc>
      </w:tr>
      <w:tr>
        <w:trPr>
          <w:trHeight w:val="936" w:hRule="atLeast"/>
        </w:trPr>
        <w:tc>
          <w:tcPr>
            <w:tcW w:w="603" w:type="dxa"/>
          </w:tcPr>
          <w:p>
            <w:pPr>
              <w:pStyle w:val="TableParagraph"/>
              <w:spacing w:before="116"/>
              <w:ind w:left="179" w:right="162"/>
              <w:jc w:val="center"/>
              <w:rPr>
                <w:b/>
                <w:sz w:val="21"/>
              </w:rPr>
            </w:pPr>
            <w:r>
              <w:rPr>
                <w:b/>
                <w:sz w:val="21"/>
              </w:rPr>
              <w:t>25</w:t>
            </w:r>
          </w:p>
        </w:tc>
        <w:tc>
          <w:tcPr>
            <w:tcW w:w="2428" w:type="dxa"/>
          </w:tcPr>
          <w:p>
            <w:pPr>
              <w:pStyle w:val="TableParagraph"/>
              <w:spacing w:before="104"/>
              <w:ind w:left="192"/>
              <w:rPr>
                <w:rFonts w:ascii="等线" w:eastAsia="等线" w:hint="eastAsia"/>
                <w:b/>
                <w:sz w:val="24"/>
              </w:rPr>
            </w:pPr>
            <w:r>
              <w:rPr>
                <w:rFonts w:ascii="等线" w:eastAsia="等线" w:hint="eastAsia"/>
                <w:b/>
                <w:sz w:val="24"/>
              </w:rPr>
              <w:t>轻度颅脑手术</w:t>
            </w:r>
          </w:p>
        </w:tc>
        <w:tc>
          <w:tcPr>
            <w:tcW w:w="7155" w:type="dxa"/>
          </w:tcPr>
          <w:p>
            <w:pPr>
              <w:pStyle w:val="TableParagraph"/>
              <w:spacing w:line="273" w:lineRule="auto" w:before="140"/>
              <w:ind w:left="77" w:right="772"/>
              <w:rPr>
                <w:sz w:val="21"/>
              </w:rPr>
            </w:pPr>
            <w:r>
              <w:rPr>
                <w:sz w:val="21"/>
              </w:rPr>
              <w:t>指因疾病或意外已实施全麻下的颅骨钻孔手术或经鼻蝶窦入颅手术。理赔时必须提供由专科医生出具的诊断书及手术证明。</w:t>
            </w:r>
          </w:p>
        </w:tc>
      </w:tr>
      <w:tr>
        <w:trPr>
          <w:trHeight w:val="1588" w:hRule="atLeast"/>
        </w:trPr>
        <w:tc>
          <w:tcPr>
            <w:tcW w:w="603" w:type="dxa"/>
          </w:tcPr>
          <w:p>
            <w:pPr>
              <w:pStyle w:val="TableParagraph"/>
              <w:spacing w:before="145"/>
              <w:ind w:left="179" w:right="162"/>
              <w:jc w:val="center"/>
              <w:rPr>
                <w:b/>
                <w:sz w:val="21"/>
              </w:rPr>
            </w:pPr>
            <w:r>
              <w:rPr>
                <w:b/>
                <w:sz w:val="21"/>
              </w:rPr>
              <w:t>26</w:t>
            </w:r>
          </w:p>
        </w:tc>
        <w:tc>
          <w:tcPr>
            <w:tcW w:w="2428" w:type="dxa"/>
          </w:tcPr>
          <w:p>
            <w:pPr>
              <w:pStyle w:val="TableParagraph"/>
              <w:spacing w:before="133"/>
              <w:ind w:left="192"/>
              <w:rPr>
                <w:rFonts w:ascii="等线" w:eastAsia="等线" w:hint="eastAsia"/>
                <w:b/>
                <w:sz w:val="24"/>
              </w:rPr>
            </w:pPr>
            <w:r>
              <w:rPr>
                <w:rFonts w:ascii="等线" w:eastAsia="等线" w:hint="eastAsia"/>
                <w:b/>
                <w:sz w:val="24"/>
              </w:rPr>
              <w:t>中度瘫痪</w:t>
            </w:r>
          </w:p>
        </w:tc>
        <w:tc>
          <w:tcPr>
            <w:tcW w:w="7155" w:type="dxa"/>
          </w:tcPr>
          <w:p>
            <w:pPr>
              <w:pStyle w:val="TableParagraph"/>
              <w:spacing w:line="273" w:lineRule="auto" w:before="169"/>
              <w:ind w:left="77" w:right="249"/>
              <w:jc w:val="both"/>
              <w:rPr>
                <w:sz w:val="21"/>
              </w:rPr>
            </w:pPr>
            <w:r>
              <w:rPr>
                <w:sz w:val="21"/>
              </w:rPr>
              <w:t>指因疾病或意外伤害导致一肢肢体机能永久完全丧失，但未达到本主险合</w:t>
            </w:r>
            <w:r>
              <w:rPr>
                <w:spacing w:val="-7"/>
                <w:sz w:val="21"/>
              </w:rPr>
              <w:t>同所指重大疾病“瘫痪”的标准。肢体机能永久完全丧失，指疾病确诊</w:t>
            </w:r>
            <w:r>
              <w:rPr>
                <w:sz w:val="21"/>
              </w:rPr>
              <w:t>180 </w:t>
            </w:r>
            <w:r>
              <w:rPr>
                <w:spacing w:val="-2"/>
                <w:sz w:val="21"/>
              </w:rPr>
              <w:t>天后或意外伤害发生</w:t>
            </w:r>
            <w:r>
              <w:rPr>
                <w:sz w:val="21"/>
              </w:rPr>
              <w:t>180</w:t>
            </w:r>
            <w:r>
              <w:rPr>
                <w:spacing w:val="-5"/>
                <w:sz w:val="21"/>
              </w:rPr>
              <w:t>天后，每肢三大关节中的两大关节仍然完全僵硬， 或不能随意识活动。</w:t>
            </w:r>
          </w:p>
        </w:tc>
      </w:tr>
      <w:tr>
        <w:trPr>
          <w:trHeight w:val="1375" w:hRule="atLeast"/>
        </w:trPr>
        <w:tc>
          <w:tcPr>
            <w:tcW w:w="603" w:type="dxa"/>
          </w:tcPr>
          <w:p>
            <w:pPr>
              <w:pStyle w:val="TableParagraph"/>
              <w:spacing w:before="164"/>
              <w:ind w:left="179" w:right="162"/>
              <w:jc w:val="center"/>
              <w:rPr>
                <w:b/>
                <w:sz w:val="21"/>
              </w:rPr>
            </w:pPr>
            <w:r>
              <w:rPr>
                <w:b/>
                <w:sz w:val="21"/>
              </w:rPr>
              <w:t>27</w:t>
            </w:r>
          </w:p>
        </w:tc>
        <w:tc>
          <w:tcPr>
            <w:tcW w:w="2428" w:type="dxa"/>
          </w:tcPr>
          <w:p>
            <w:pPr>
              <w:pStyle w:val="TableParagraph"/>
              <w:spacing w:before="129"/>
              <w:ind w:left="192"/>
              <w:rPr>
                <w:rFonts w:ascii="等线" w:eastAsia="等线" w:hint="eastAsia"/>
                <w:b/>
                <w:sz w:val="24"/>
              </w:rPr>
            </w:pPr>
            <w:r>
              <w:rPr>
                <w:rFonts w:ascii="等线" w:eastAsia="等线" w:hint="eastAsia"/>
                <w:b/>
                <w:sz w:val="24"/>
              </w:rPr>
              <w:t>早期运动神经元病</w:t>
            </w:r>
          </w:p>
        </w:tc>
        <w:tc>
          <w:tcPr>
            <w:tcW w:w="7155" w:type="dxa"/>
          </w:tcPr>
          <w:p>
            <w:pPr>
              <w:pStyle w:val="TableParagraph"/>
              <w:spacing w:line="310" w:lineRule="atLeast" w:before="129"/>
              <w:ind w:left="77" w:right="273"/>
              <w:jc w:val="both"/>
              <w:rPr>
                <w:sz w:val="21"/>
              </w:rPr>
            </w:pPr>
            <w:r>
              <w:rPr>
                <w:sz w:val="21"/>
              </w:rPr>
              <w:t>是一组中枢神经系统运动神经元的进行性变性疾病，包括进行性脊肌萎缩症、进行性延髓麻痹症、原发性侧索硬化症、肌萎缩性侧索硬化症，但未达到本主险合同所指重大疾病“严重运动神经元病”的标准，须满足自主生活能力完全丧失，无法独立完成六项基本日常生活活动中的两项。</w:t>
            </w:r>
          </w:p>
        </w:tc>
      </w:tr>
    </w:tbl>
    <w:p>
      <w:pPr>
        <w:spacing w:after="0" w:line="310" w:lineRule="atLeast"/>
        <w:jc w:val="both"/>
        <w:rPr>
          <w:sz w:val="21"/>
        </w:rPr>
        <w:sectPr>
          <w:pgSz w:w="11910" w:h="16840"/>
          <w:pgMar w:top="1160" w:bottom="280" w:left="880" w:right="620"/>
        </w:sectPr>
      </w:pPr>
    </w:p>
    <w:p>
      <w:pPr>
        <w:pStyle w:val="ListParagraph"/>
        <w:numPr>
          <w:ilvl w:val="1"/>
          <w:numId w:val="9"/>
        </w:numPr>
        <w:tabs>
          <w:tab w:pos="975" w:val="left" w:leader="none"/>
          <w:tab w:pos="976" w:val="left" w:leader="none"/>
          <w:tab w:pos="3289" w:val="left" w:leader="none"/>
        </w:tabs>
        <w:spacing w:line="266" w:lineRule="auto" w:before="3" w:after="0"/>
        <w:ind w:left="3289" w:right="105" w:hanging="2904"/>
        <w:jc w:val="left"/>
        <w:rPr>
          <w:sz w:val="21"/>
        </w:rPr>
      </w:pPr>
      <w:r>
        <w:rPr>
          <w:rFonts w:ascii="等线" w:hAnsi="等线" w:eastAsia="等线" w:hint="eastAsia"/>
          <w:b/>
          <w:position w:val="1"/>
          <w:sz w:val="24"/>
        </w:rPr>
        <w:t>中度昏迷</w:t>
        <w:tab/>
      </w:r>
      <w:r>
        <w:rPr>
          <w:sz w:val="21"/>
        </w:rPr>
        <w:t>指因疾病或</w:t>
      </w:r>
      <w:r>
        <w:rPr>
          <w:spacing w:val="2"/>
          <w:sz w:val="21"/>
        </w:rPr>
        <w:t>意</w:t>
      </w:r>
      <w:r>
        <w:rPr>
          <w:sz w:val="21"/>
        </w:rPr>
        <w:t>外伤害</w:t>
      </w:r>
      <w:r>
        <w:rPr>
          <w:spacing w:val="2"/>
          <w:sz w:val="21"/>
        </w:rPr>
        <w:t>导</w:t>
      </w:r>
      <w:r>
        <w:rPr>
          <w:sz w:val="21"/>
        </w:rPr>
        <w:t>致意识丧</w:t>
      </w:r>
      <w:r>
        <w:rPr>
          <w:spacing w:val="2"/>
          <w:sz w:val="21"/>
        </w:rPr>
        <w:t>失</w:t>
      </w:r>
      <w:r>
        <w:rPr>
          <w:sz w:val="21"/>
        </w:rPr>
        <w:t>,对</w:t>
      </w:r>
      <w:r>
        <w:rPr>
          <w:spacing w:val="2"/>
          <w:sz w:val="21"/>
        </w:rPr>
        <w:t>外</w:t>
      </w:r>
      <w:r>
        <w:rPr>
          <w:sz w:val="21"/>
        </w:rPr>
        <w:t>界刺激和</w:t>
      </w:r>
      <w:r>
        <w:rPr>
          <w:spacing w:val="2"/>
          <w:sz w:val="21"/>
        </w:rPr>
        <w:t>体</w:t>
      </w:r>
      <w:r>
        <w:rPr>
          <w:sz w:val="21"/>
        </w:rPr>
        <w:t>内需求均无</w:t>
      </w:r>
      <w:r>
        <w:rPr>
          <w:spacing w:val="2"/>
          <w:sz w:val="21"/>
        </w:rPr>
        <w:t>反</w:t>
      </w:r>
      <w:r>
        <w:rPr>
          <w:sz w:val="21"/>
        </w:rPr>
        <w:t>应,昏迷 程度按照</w:t>
      </w:r>
      <w:r>
        <w:rPr>
          <w:spacing w:val="-5"/>
          <w:sz w:val="21"/>
        </w:rPr>
        <w:t>格</w:t>
      </w:r>
      <w:r>
        <w:rPr>
          <w:sz w:val="21"/>
        </w:rPr>
        <w:t>拉斯哥</w:t>
      </w:r>
      <w:r>
        <w:rPr>
          <w:spacing w:val="-5"/>
          <w:sz w:val="21"/>
        </w:rPr>
        <w:t>昏</w:t>
      </w:r>
      <w:r>
        <w:rPr>
          <w:sz w:val="21"/>
        </w:rPr>
        <w:t>迷分级（Glasgow</w:t>
      </w:r>
      <w:r>
        <w:rPr>
          <w:spacing w:val="-9"/>
          <w:sz w:val="21"/>
        </w:rPr>
        <w:t> </w:t>
      </w:r>
      <w:r>
        <w:rPr>
          <w:sz w:val="21"/>
        </w:rPr>
        <w:t>coma</w:t>
      </w:r>
      <w:r>
        <w:rPr>
          <w:spacing w:val="-4"/>
          <w:sz w:val="21"/>
        </w:rPr>
        <w:t> </w:t>
      </w:r>
      <w:r>
        <w:rPr>
          <w:sz w:val="21"/>
        </w:rPr>
        <w:t>scale）结果为5分</w:t>
      </w:r>
      <w:r>
        <w:rPr>
          <w:spacing w:val="-5"/>
          <w:sz w:val="21"/>
        </w:rPr>
        <w:t>或</w:t>
      </w:r>
      <w:r>
        <w:rPr>
          <w:sz w:val="21"/>
        </w:rPr>
        <w:t>5分以下， 且</w:t>
      </w:r>
      <w:r>
        <w:rPr>
          <w:spacing w:val="2"/>
          <w:sz w:val="21"/>
        </w:rPr>
        <w:t>已</w:t>
      </w:r>
      <w:r>
        <w:rPr>
          <w:sz w:val="21"/>
        </w:rPr>
        <w:t>经持续</w:t>
      </w:r>
      <w:r>
        <w:rPr>
          <w:spacing w:val="2"/>
          <w:sz w:val="21"/>
        </w:rPr>
        <w:t>使</w:t>
      </w:r>
      <w:r>
        <w:rPr>
          <w:sz w:val="21"/>
        </w:rPr>
        <w:t>用呼吸</w:t>
      </w:r>
      <w:r>
        <w:rPr>
          <w:spacing w:val="2"/>
          <w:sz w:val="21"/>
        </w:rPr>
        <w:t>机</w:t>
      </w:r>
      <w:r>
        <w:rPr>
          <w:sz w:val="21"/>
        </w:rPr>
        <w:t>及其他</w:t>
      </w:r>
      <w:r>
        <w:rPr>
          <w:spacing w:val="2"/>
          <w:sz w:val="21"/>
        </w:rPr>
        <w:t>生</w:t>
      </w:r>
      <w:r>
        <w:rPr>
          <w:sz w:val="21"/>
        </w:rPr>
        <w:t>命维持</w:t>
      </w:r>
      <w:r>
        <w:rPr>
          <w:spacing w:val="2"/>
          <w:sz w:val="21"/>
        </w:rPr>
        <w:t>系统</w:t>
      </w:r>
      <w:r>
        <w:rPr>
          <w:spacing w:val="-3"/>
          <w:sz w:val="21"/>
        </w:rPr>
        <w:t>48</w:t>
      </w:r>
      <w:r>
        <w:rPr>
          <w:sz w:val="21"/>
        </w:rPr>
        <w:t>小</w:t>
      </w:r>
      <w:r>
        <w:rPr>
          <w:spacing w:val="2"/>
          <w:sz w:val="21"/>
        </w:rPr>
        <w:t>时</w:t>
      </w:r>
      <w:r>
        <w:rPr>
          <w:sz w:val="21"/>
        </w:rPr>
        <w:t>以上</w:t>
      </w:r>
      <w:r>
        <w:rPr>
          <w:spacing w:val="2"/>
          <w:sz w:val="21"/>
        </w:rPr>
        <w:t>。</w:t>
      </w:r>
      <w:r>
        <w:rPr>
          <w:sz w:val="21"/>
        </w:rPr>
        <w:t>但未达</w:t>
      </w:r>
      <w:r>
        <w:rPr>
          <w:spacing w:val="2"/>
          <w:sz w:val="21"/>
        </w:rPr>
        <w:t>到</w:t>
      </w:r>
      <w:r>
        <w:rPr>
          <w:sz w:val="21"/>
        </w:rPr>
        <w:t>本</w:t>
      </w:r>
      <w:r>
        <w:rPr>
          <w:spacing w:val="2"/>
          <w:sz w:val="21"/>
        </w:rPr>
        <w:t>主</w:t>
      </w:r>
      <w:r>
        <w:rPr>
          <w:sz w:val="21"/>
        </w:rPr>
        <w:t>险合同所指</w:t>
      </w:r>
      <w:r>
        <w:rPr>
          <w:spacing w:val="-5"/>
          <w:sz w:val="21"/>
        </w:rPr>
        <w:t>重</w:t>
      </w:r>
      <w:r>
        <w:rPr>
          <w:sz w:val="21"/>
        </w:rPr>
        <w:t>大疾病</w:t>
      </w:r>
      <w:r>
        <w:rPr>
          <w:spacing w:val="-5"/>
          <w:sz w:val="21"/>
        </w:rPr>
        <w:t>“</w:t>
      </w:r>
      <w:r>
        <w:rPr>
          <w:sz w:val="21"/>
        </w:rPr>
        <w:t>深度昏</w:t>
      </w:r>
      <w:r>
        <w:rPr>
          <w:spacing w:val="-5"/>
          <w:sz w:val="21"/>
        </w:rPr>
        <w:t>迷</w:t>
      </w:r>
      <w:r>
        <w:rPr>
          <w:sz w:val="21"/>
        </w:rPr>
        <w:t>”的标</w:t>
      </w:r>
      <w:r>
        <w:rPr>
          <w:spacing w:val="-5"/>
          <w:sz w:val="21"/>
        </w:rPr>
        <w:t>准</w:t>
      </w:r>
      <w:r>
        <w:rPr>
          <w:sz w:val="21"/>
        </w:rPr>
        <w:t>。</w:t>
      </w:r>
    </w:p>
    <w:p>
      <w:pPr>
        <w:pStyle w:val="BodyText"/>
        <w:spacing w:before="14"/>
        <w:ind w:left="3289"/>
      </w:pPr>
      <w:r>
        <w:rPr>
          <w:shd w:fill="DADADA" w:color="auto" w:val="clear"/>
        </w:rPr>
        <w:t>因酗酒或药物滥用导致的中度昏迷不在保障范围内。</w:t>
      </w:r>
    </w:p>
    <w:p>
      <w:pPr>
        <w:pStyle w:val="BodyText"/>
        <w:spacing w:before="3"/>
        <w:rPr>
          <w:sz w:val="24"/>
        </w:rPr>
      </w:pPr>
    </w:p>
    <w:p>
      <w:pPr>
        <w:pStyle w:val="ListParagraph"/>
        <w:numPr>
          <w:ilvl w:val="1"/>
          <w:numId w:val="9"/>
        </w:numPr>
        <w:tabs>
          <w:tab w:pos="975" w:val="left" w:leader="none"/>
          <w:tab w:pos="976" w:val="left" w:leader="none"/>
          <w:tab w:pos="3289" w:val="left" w:leader="none"/>
        </w:tabs>
        <w:spacing w:line="254" w:lineRule="auto" w:before="0" w:after="0"/>
        <w:ind w:left="3289" w:right="210" w:hanging="2904"/>
        <w:jc w:val="left"/>
        <w:rPr>
          <w:sz w:val="21"/>
        </w:rPr>
      </w:pPr>
      <w:r>
        <w:rPr>
          <w:rFonts w:ascii="等线" w:eastAsia="等线" w:hint="eastAsia"/>
          <w:b/>
          <w:position w:val="1"/>
          <w:sz w:val="24"/>
        </w:rPr>
        <w:t>植入大脑内分流器</w:t>
        <w:tab/>
      </w:r>
      <w:r>
        <w:rPr>
          <w:sz w:val="21"/>
        </w:rPr>
        <w:t>指</w:t>
      </w:r>
      <w:r>
        <w:rPr>
          <w:spacing w:val="2"/>
          <w:sz w:val="21"/>
        </w:rPr>
        <w:t>确</w:t>
      </w:r>
      <w:r>
        <w:rPr>
          <w:sz w:val="21"/>
        </w:rPr>
        <w:t>实在脑</w:t>
      </w:r>
      <w:r>
        <w:rPr>
          <w:spacing w:val="2"/>
          <w:sz w:val="21"/>
        </w:rPr>
        <w:t>室</w:t>
      </w:r>
      <w:r>
        <w:rPr>
          <w:sz w:val="21"/>
        </w:rPr>
        <w:t>进行分</w:t>
      </w:r>
      <w:r>
        <w:rPr>
          <w:spacing w:val="2"/>
          <w:sz w:val="21"/>
        </w:rPr>
        <w:t>流</w:t>
      </w:r>
      <w:r>
        <w:rPr>
          <w:sz w:val="21"/>
        </w:rPr>
        <w:t>器植入</w:t>
      </w:r>
      <w:r>
        <w:rPr>
          <w:spacing w:val="2"/>
          <w:sz w:val="21"/>
        </w:rPr>
        <w:t>手</w:t>
      </w:r>
      <w:r>
        <w:rPr>
          <w:sz w:val="21"/>
        </w:rPr>
        <w:t>术，以</w:t>
      </w:r>
      <w:r>
        <w:rPr>
          <w:spacing w:val="2"/>
          <w:sz w:val="21"/>
        </w:rPr>
        <w:t>缓</w:t>
      </w:r>
      <w:r>
        <w:rPr>
          <w:sz w:val="21"/>
        </w:rPr>
        <w:t>解升高</w:t>
      </w:r>
      <w:r>
        <w:rPr>
          <w:spacing w:val="2"/>
          <w:sz w:val="21"/>
        </w:rPr>
        <w:t>的</w:t>
      </w:r>
      <w:r>
        <w:rPr>
          <w:sz w:val="21"/>
        </w:rPr>
        <w:t>脑脊</w:t>
      </w:r>
      <w:r>
        <w:rPr>
          <w:spacing w:val="2"/>
          <w:sz w:val="21"/>
        </w:rPr>
        <w:t>液</w:t>
      </w:r>
      <w:r>
        <w:rPr>
          <w:sz w:val="21"/>
        </w:rPr>
        <w:t>压力。</w:t>
      </w:r>
      <w:r>
        <w:rPr>
          <w:spacing w:val="2"/>
          <w:sz w:val="21"/>
        </w:rPr>
        <w:t>必</w:t>
      </w:r>
      <w:r>
        <w:rPr>
          <w:sz w:val="21"/>
        </w:rPr>
        <w:t>须</w:t>
      </w:r>
      <w:r>
        <w:rPr>
          <w:spacing w:val="2"/>
          <w:sz w:val="21"/>
        </w:rPr>
        <w:t>由</w:t>
      </w:r>
      <w:r>
        <w:rPr>
          <w:sz w:val="21"/>
        </w:rPr>
        <w:t>脑 神经专科</w:t>
      </w:r>
      <w:r>
        <w:rPr>
          <w:spacing w:val="-5"/>
          <w:sz w:val="21"/>
        </w:rPr>
        <w:t>医</w:t>
      </w:r>
      <w:r>
        <w:rPr>
          <w:sz w:val="21"/>
        </w:rPr>
        <w:t>生证实</w:t>
      </w:r>
      <w:r>
        <w:rPr>
          <w:spacing w:val="-5"/>
          <w:sz w:val="21"/>
        </w:rPr>
        <w:t>植</w:t>
      </w:r>
      <w:r>
        <w:rPr>
          <w:sz w:val="21"/>
        </w:rPr>
        <w:t>入分流</w:t>
      </w:r>
      <w:r>
        <w:rPr>
          <w:spacing w:val="-5"/>
          <w:sz w:val="21"/>
        </w:rPr>
        <w:t>器</w:t>
      </w:r>
      <w:r>
        <w:rPr>
          <w:sz w:val="21"/>
        </w:rPr>
        <w:t>为医疗</w:t>
      </w:r>
      <w:r>
        <w:rPr>
          <w:spacing w:val="-5"/>
          <w:sz w:val="21"/>
        </w:rPr>
        <w:t>所</w:t>
      </w:r>
      <w:r>
        <w:rPr>
          <w:sz w:val="21"/>
        </w:rPr>
        <w:t>需。</w:t>
      </w:r>
    </w:p>
    <w:p>
      <w:pPr>
        <w:pStyle w:val="BodyText"/>
        <w:spacing w:before="7"/>
        <w:rPr>
          <w:sz w:val="19"/>
        </w:rPr>
      </w:pPr>
    </w:p>
    <w:p>
      <w:pPr>
        <w:spacing w:after="0"/>
        <w:rPr>
          <w:sz w:val="19"/>
        </w:rPr>
        <w:sectPr>
          <w:pgSz w:w="11910" w:h="16840"/>
          <w:pgMar w:top="1060" w:bottom="280" w:left="800" w:right="800"/>
        </w:sectPr>
      </w:pPr>
    </w:p>
    <w:p>
      <w:pPr>
        <w:pStyle w:val="Heading2"/>
        <w:numPr>
          <w:ilvl w:val="1"/>
          <w:numId w:val="9"/>
        </w:numPr>
        <w:tabs>
          <w:tab w:pos="971" w:val="left" w:leader="none"/>
          <w:tab w:pos="972" w:val="left" w:leader="none"/>
        </w:tabs>
        <w:spacing w:line="232" w:lineRule="auto" w:before="30" w:after="0"/>
        <w:ind w:left="971" w:right="0" w:hanging="591"/>
        <w:jc w:val="left"/>
      </w:pPr>
      <w:r>
        <w:rPr>
          <w:spacing w:val="23"/>
          <w:position w:val="1"/>
        </w:rPr>
        <w:t>轻度脑炎后遗症或</w:t>
      </w:r>
      <w:r>
        <w:rPr/>
        <w:t>脑膜炎后遗症</w:t>
      </w:r>
    </w:p>
    <w:p>
      <w:pPr>
        <w:pStyle w:val="BodyText"/>
        <w:rPr>
          <w:rFonts w:ascii="等线"/>
          <w:b/>
          <w:sz w:val="24"/>
        </w:rPr>
      </w:pPr>
    </w:p>
    <w:p>
      <w:pPr>
        <w:pStyle w:val="BodyText"/>
        <w:spacing w:before="7"/>
        <w:rPr>
          <w:rFonts w:ascii="等线"/>
          <w:b/>
          <w:sz w:val="23"/>
        </w:rPr>
      </w:pPr>
    </w:p>
    <w:p>
      <w:pPr>
        <w:tabs>
          <w:tab w:pos="975" w:val="left" w:leader="none"/>
        </w:tabs>
        <w:spacing w:before="0"/>
        <w:ind w:left="313" w:right="0" w:firstLine="0"/>
        <w:jc w:val="left"/>
        <w:rPr>
          <w:b/>
          <w:sz w:val="24"/>
        </w:rPr>
      </w:pPr>
      <w:r>
        <w:rPr>
          <w:rFonts w:ascii="Arial" w:hAnsi="Arial" w:eastAsia="Arial"/>
          <w:b/>
          <w:position w:val="-9"/>
          <w:sz w:val="40"/>
        </w:rPr>
        <w:t></w:t>
        <w:tab/>
      </w:r>
      <w:r>
        <w:rPr>
          <w:b/>
          <w:w w:val="95"/>
          <w:sz w:val="24"/>
        </w:rPr>
        <w:t>重大疾病释义</w:t>
      </w:r>
    </w:p>
    <w:p>
      <w:pPr>
        <w:pStyle w:val="BodyText"/>
        <w:spacing w:line="273" w:lineRule="auto" w:before="56"/>
        <w:ind w:left="137" w:right="210"/>
        <w:jc w:val="both"/>
      </w:pPr>
      <w:r>
        <w:rPr/>
        <w:br w:type="column"/>
      </w:r>
      <w:r>
        <w:rPr/>
        <w:t>指因患脑炎或脑膜炎导致的神经系统永久性的功能障碍。神经系统永久性</w:t>
      </w:r>
      <w:r>
        <w:rPr>
          <w:spacing w:val="-4"/>
        </w:rPr>
        <w:t>的功能障碍，指疾病确诊</w:t>
      </w:r>
      <w:r>
        <w:rPr/>
        <w:t>180</w:t>
      </w:r>
      <w:r>
        <w:rPr>
          <w:spacing w:val="-6"/>
        </w:rPr>
        <w:t>天后，仍存在自主活动能力完全丧失，无法独</w:t>
      </w:r>
      <w:r>
        <w:rPr>
          <w:spacing w:val="-2"/>
        </w:rPr>
        <w:t>立完成</w:t>
      </w:r>
      <w:r>
        <w:rPr>
          <w:rFonts w:ascii="黑体" w:eastAsia="黑体" w:hint="eastAsia"/>
          <w:b/>
        </w:rPr>
        <w:t>六项基本日常Th活活动</w:t>
      </w:r>
      <w:hyperlink w:history="true" w:anchor="_bookmark17">
        <w:r>
          <w:rPr>
            <w:rFonts w:ascii="黑体" w:eastAsia="黑体" w:hint="eastAsia"/>
            <w:b/>
            <w:spacing w:val="5"/>
            <w:position w:val="11"/>
            <w:sz w:val="11"/>
          </w:rPr>
          <w:t>18</w:t>
        </w:r>
      </w:hyperlink>
      <w:r>
        <w:rPr/>
        <w:t>中的两项。</w:t>
      </w:r>
    </w:p>
    <w:p>
      <w:pPr>
        <w:spacing w:after="0" w:line="273" w:lineRule="auto"/>
        <w:jc w:val="both"/>
        <w:sectPr>
          <w:type w:val="continuous"/>
          <w:pgSz w:w="11910" w:h="16840"/>
          <w:pgMar w:top="520" w:bottom="280" w:left="800" w:right="800"/>
          <w:cols w:num="2" w:equalWidth="0">
            <w:col w:w="3113" w:space="40"/>
            <w:col w:w="7157"/>
          </w:cols>
        </w:sectPr>
      </w:pPr>
    </w:p>
    <w:p>
      <w:pPr>
        <w:pStyle w:val="Heading3"/>
        <w:spacing w:line="242" w:lineRule="auto"/>
        <w:ind w:right="174"/>
      </w:pPr>
      <w:r>
        <w:rPr/>
        <w:pict>
          <v:group style="position:absolute;margin-left:45.599998pt;margin-top:34.655636pt;width:504.25pt;height:1pt;mso-position-horizontal-relative:page;mso-position-vertical-relative:paragraph;z-index:1768;mso-wrap-distance-left:0;mso-wrap-distance-right:0" coordorigin="912,693" coordsize="10085,20">
            <v:line style="position:absolute" from="912,703" to="1670,703" stroked="true" strokeweight=".96pt" strokecolor="#000000">
              <v:stroke dashstyle="solid"/>
            </v:line>
            <v:rect style="position:absolute;left:1670;top:693;width:20;height:20" filled="true" fillcolor="#000000" stroked="false">
              <v:fill type="solid"/>
            </v:rect>
            <v:line style="position:absolute" from="1690,703" to="3984,703" stroked="true" strokeweight=".96pt" strokecolor="#000000">
              <v:stroke dashstyle="solid"/>
            </v:line>
            <v:rect style="position:absolute;left:3984;top:693;width:20;height:20" filled="true" fillcolor="#000000" stroked="false">
              <v:fill type="solid"/>
            </v:rect>
            <v:line style="position:absolute" from="4003,703" to="10997,703" stroked="true" strokeweight=".96pt" strokecolor="#000000">
              <v:stroke dashstyle="solid"/>
            </v:line>
            <w10:wrap type="topAndBottom"/>
          </v:group>
        </w:pict>
      </w:r>
      <w:r>
        <w:rPr/>
        <w:t>这部分讲的是我们提供保障的 80 种重大疾病的定义，其中包含一些免责条款，请您特别留意。</w:t>
      </w:r>
    </w:p>
    <w:p>
      <w:pPr>
        <w:pStyle w:val="BodyText"/>
        <w:spacing w:before="2"/>
        <w:rPr>
          <w:sz w:val="12"/>
        </w:rPr>
      </w:pPr>
    </w:p>
    <w:p>
      <w:pPr>
        <w:pStyle w:val="Heading4"/>
        <w:tabs>
          <w:tab w:pos="3289" w:val="left" w:leader="none"/>
        </w:tabs>
        <w:spacing w:before="40"/>
        <w:ind w:left="976"/>
        <w:rPr>
          <w:rFonts w:ascii="宋体" w:eastAsia="宋体" w:hint="eastAsia"/>
        </w:rPr>
      </w:pPr>
      <w:r>
        <w:rPr>
          <w:rFonts w:ascii="宋体" w:eastAsia="宋体" w:hint="eastAsia"/>
          <w:position w:val="2"/>
        </w:rPr>
        <w:t>第</w:t>
      </w:r>
      <w:r>
        <w:rPr>
          <w:rFonts w:ascii="宋体" w:eastAsia="宋体" w:hint="eastAsia"/>
          <w:spacing w:val="-54"/>
          <w:position w:val="2"/>
        </w:rPr>
        <w:t> </w:t>
      </w:r>
      <w:r>
        <w:rPr>
          <w:rFonts w:ascii="宋体" w:eastAsia="宋体" w:hint="eastAsia"/>
          <w:position w:val="2"/>
        </w:rPr>
        <w:t>1</w:t>
      </w:r>
      <w:r>
        <w:rPr>
          <w:rFonts w:ascii="宋体" w:eastAsia="宋体" w:hint="eastAsia"/>
          <w:spacing w:val="-54"/>
          <w:position w:val="2"/>
        </w:rPr>
        <w:t> </w:t>
      </w:r>
      <w:r>
        <w:rPr>
          <w:rFonts w:ascii="宋体" w:eastAsia="宋体" w:hint="eastAsia"/>
          <w:position w:val="2"/>
        </w:rPr>
        <w:t>类：</w:t>
        <w:tab/>
      </w:r>
      <w:r>
        <w:rPr>
          <w:rFonts w:ascii="宋体" w:eastAsia="宋体" w:hint="eastAsia"/>
        </w:rPr>
        <w:t>与恶性肿瘤相关的疾病</w:t>
      </w:r>
    </w:p>
    <w:p>
      <w:pPr>
        <w:pStyle w:val="BodyText"/>
        <w:rPr>
          <w:b/>
          <w:sz w:val="22"/>
        </w:rPr>
      </w:pPr>
    </w:p>
    <w:p>
      <w:pPr>
        <w:pStyle w:val="BodyText"/>
        <w:tabs>
          <w:tab w:pos="3289" w:val="left" w:leader="none"/>
        </w:tabs>
        <w:spacing w:line="266" w:lineRule="auto"/>
        <w:ind w:left="3289" w:right="210" w:hanging="2852"/>
        <w:jc w:val="both"/>
      </w:pPr>
      <w:r>
        <w:rPr>
          <w:b/>
        </w:rPr>
        <w:t>1 </w:t>
      </w:r>
      <w:r>
        <w:rPr>
          <w:b/>
          <w:spacing w:val="35"/>
        </w:rPr>
        <w:t> </w:t>
      </w:r>
      <w:r>
        <w:rPr>
          <w:rFonts w:ascii="等线" w:eastAsia="等线" w:hint="eastAsia"/>
          <w:b/>
          <w:position w:val="1"/>
          <w:sz w:val="24"/>
        </w:rPr>
        <w:t>恶 性 肿瘤</w:t>
        <w:tab/>
      </w:r>
      <w:r>
        <w:rPr/>
        <w:t>指</w:t>
      </w:r>
      <w:r>
        <w:rPr>
          <w:spacing w:val="2"/>
        </w:rPr>
        <w:t>恶</w:t>
      </w:r>
      <w:r>
        <w:rPr/>
        <w:t>性细胞</w:t>
      </w:r>
      <w:r>
        <w:rPr>
          <w:spacing w:val="2"/>
        </w:rPr>
        <w:t>不</w:t>
      </w:r>
      <w:r>
        <w:rPr/>
        <w:t>受控制</w:t>
      </w:r>
      <w:r>
        <w:rPr>
          <w:spacing w:val="2"/>
        </w:rPr>
        <w:t>的</w:t>
      </w:r>
      <w:r>
        <w:rPr/>
        <w:t>进行性</w:t>
      </w:r>
      <w:r>
        <w:rPr>
          <w:spacing w:val="2"/>
        </w:rPr>
        <w:t>增</w:t>
      </w:r>
      <w:r>
        <w:rPr/>
        <w:t>长和扩</w:t>
      </w:r>
      <w:r>
        <w:rPr>
          <w:spacing w:val="2"/>
        </w:rPr>
        <w:t>散</w:t>
      </w:r>
      <w:r>
        <w:rPr/>
        <w:t>，浸润</w:t>
      </w:r>
      <w:r>
        <w:rPr>
          <w:spacing w:val="2"/>
        </w:rPr>
        <w:t>和</w:t>
      </w:r>
      <w:r>
        <w:rPr/>
        <w:t>破坏</w:t>
      </w:r>
      <w:r>
        <w:rPr>
          <w:spacing w:val="2"/>
        </w:rPr>
        <w:t>周</w:t>
      </w:r>
      <w:r>
        <w:rPr/>
        <w:t>围正常</w:t>
      </w:r>
      <w:r>
        <w:rPr>
          <w:spacing w:val="2"/>
        </w:rPr>
        <w:t>组</w:t>
      </w:r>
      <w:r>
        <w:rPr/>
        <w:t>织</w:t>
      </w:r>
      <w:r>
        <w:rPr>
          <w:spacing w:val="2"/>
        </w:rPr>
        <w:t>，</w:t>
      </w:r>
      <w:r>
        <w:rPr/>
        <w:t>可 以</w:t>
      </w:r>
      <w:r>
        <w:rPr>
          <w:spacing w:val="2"/>
        </w:rPr>
        <w:t>经</w:t>
      </w:r>
      <w:r>
        <w:rPr/>
        <w:t>血管、</w:t>
      </w:r>
      <w:r>
        <w:rPr>
          <w:spacing w:val="2"/>
        </w:rPr>
        <w:t>淋</w:t>
      </w:r>
      <w:r>
        <w:rPr/>
        <w:t>巴管和</w:t>
      </w:r>
      <w:r>
        <w:rPr>
          <w:spacing w:val="2"/>
        </w:rPr>
        <w:t>体</w:t>
      </w:r>
      <w:r>
        <w:rPr/>
        <w:t>腔扩散</w:t>
      </w:r>
      <w:r>
        <w:rPr>
          <w:spacing w:val="2"/>
        </w:rPr>
        <w:t>转</w:t>
      </w:r>
      <w:r>
        <w:rPr/>
        <w:t>移到身</w:t>
      </w:r>
      <w:r>
        <w:rPr>
          <w:spacing w:val="2"/>
        </w:rPr>
        <w:t>体</w:t>
      </w:r>
      <w:r>
        <w:rPr/>
        <w:t>其它部</w:t>
      </w:r>
      <w:r>
        <w:rPr>
          <w:spacing w:val="2"/>
        </w:rPr>
        <w:t>位</w:t>
      </w:r>
      <w:r>
        <w:rPr/>
        <w:t>的疾</w:t>
      </w:r>
      <w:r>
        <w:rPr>
          <w:spacing w:val="2"/>
        </w:rPr>
        <w:t>病</w:t>
      </w:r>
      <w:r>
        <w:rPr/>
        <w:t>。经病</w:t>
      </w:r>
      <w:r>
        <w:rPr>
          <w:spacing w:val="2"/>
        </w:rPr>
        <w:t>理</w:t>
      </w:r>
      <w:r>
        <w:rPr/>
        <w:t>学</w:t>
      </w:r>
      <w:r>
        <w:rPr>
          <w:spacing w:val="2"/>
        </w:rPr>
        <w:t>检</w:t>
      </w:r>
      <w:r>
        <w:rPr/>
        <w:t>查结</w:t>
      </w:r>
      <w:r>
        <w:rPr>
          <w:spacing w:val="2"/>
        </w:rPr>
        <w:t>果</w:t>
      </w:r>
      <w:r>
        <w:rPr/>
        <w:t>明确诊</w:t>
      </w:r>
      <w:r>
        <w:rPr>
          <w:spacing w:val="2"/>
        </w:rPr>
        <w:t>断</w:t>
      </w:r>
      <w:r>
        <w:rPr/>
        <w:t>，临床</w:t>
      </w:r>
      <w:r>
        <w:rPr>
          <w:spacing w:val="2"/>
        </w:rPr>
        <w:t>诊</w:t>
      </w:r>
      <w:r>
        <w:rPr/>
        <w:t>断属于</w:t>
      </w:r>
      <w:r>
        <w:rPr>
          <w:spacing w:val="2"/>
        </w:rPr>
        <w:t>世</w:t>
      </w:r>
      <w:r>
        <w:rPr/>
        <w:t>界卫生</w:t>
      </w:r>
      <w:r>
        <w:rPr>
          <w:spacing w:val="2"/>
        </w:rPr>
        <w:t>组</w:t>
      </w:r>
      <w:r>
        <w:rPr/>
        <w:t>织《疾</w:t>
      </w:r>
      <w:r>
        <w:rPr>
          <w:spacing w:val="2"/>
        </w:rPr>
        <w:t>病</w:t>
      </w:r>
      <w:r>
        <w:rPr/>
        <w:t>和有</w:t>
      </w:r>
      <w:r>
        <w:rPr>
          <w:spacing w:val="2"/>
        </w:rPr>
        <w:t>关</w:t>
      </w:r>
      <w:r>
        <w:rPr/>
        <w:t>健康问</w:t>
      </w:r>
      <w:r>
        <w:rPr>
          <w:spacing w:val="2"/>
        </w:rPr>
        <w:t>题</w:t>
      </w:r>
      <w:r>
        <w:rPr/>
        <w:t>的</w:t>
      </w:r>
      <w:r>
        <w:rPr>
          <w:spacing w:val="2"/>
        </w:rPr>
        <w:t>国</w:t>
      </w:r>
      <w:r>
        <w:rPr/>
        <w:t>际</w:t>
      </w:r>
      <w:r>
        <w:rPr>
          <w:spacing w:val="-1"/>
        </w:rPr>
        <w:t>统计分类</w:t>
      </w:r>
      <w:r>
        <w:rPr>
          <w:spacing w:val="-106"/>
        </w:rPr>
        <w:t>》</w:t>
      </w:r>
      <w:r>
        <w:rPr>
          <w:spacing w:val="-1"/>
        </w:rPr>
        <w:t>（ICD-10）</w:t>
      </w:r>
      <w:r>
        <w:rPr/>
        <w:t>的恶性</w:t>
      </w:r>
      <w:r>
        <w:rPr>
          <w:spacing w:val="-5"/>
        </w:rPr>
        <w:t>肿</w:t>
      </w:r>
      <w:r>
        <w:rPr/>
        <w:t>瘤范畴</w:t>
      </w:r>
      <w:r>
        <w:rPr>
          <w:spacing w:val="-5"/>
        </w:rPr>
        <w:t>。</w:t>
      </w:r>
      <w:r>
        <w:rPr>
          <w:shd w:fill="DADADA" w:color="auto" w:val="clear"/>
        </w:rPr>
        <w:t>下列</w:t>
      </w:r>
      <w:r>
        <w:rPr>
          <w:spacing w:val="-5"/>
          <w:shd w:fill="DADADA" w:color="auto" w:val="clear"/>
        </w:rPr>
        <w:t>疾</w:t>
      </w:r>
      <w:r>
        <w:rPr>
          <w:shd w:fill="DADADA" w:color="auto" w:val="clear"/>
        </w:rPr>
        <w:t>病</w:t>
      </w:r>
      <w:r>
        <w:rPr>
          <w:spacing w:val="-5"/>
          <w:shd w:fill="DADADA" w:color="auto" w:val="clear"/>
        </w:rPr>
        <w:t>不</w:t>
      </w:r>
      <w:r>
        <w:rPr>
          <w:shd w:fill="DADADA" w:color="auto" w:val="clear"/>
        </w:rPr>
        <w:t>在保障范</w:t>
      </w:r>
      <w:r>
        <w:rPr>
          <w:spacing w:val="-5"/>
          <w:shd w:fill="DADADA" w:color="auto" w:val="clear"/>
        </w:rPr>
        <w:t>围</w:t>
      </w:r>
      <w:r>
        <w:rPr>
          <w:shd w:fill="DADADA" w:color="auto" w:val="clear"/>
        </w:rPr>
        <w:t>内：</w:t>
      </w:r>
    </w:p>
    <w:p>
      <w:pPr>
        <w:pStyle w:val="BodyText"/>
        <w:spacing w:before="13"/>
        <w:ind w:left="3289"/>
      </w:pPr>
      <w:r>
        <w:rPr>
          <w:shd w:fill="DADADA" w:color="auto" w:val="clear"/>
        </w:rPr>
        <w:t>（1）原位癌；</w:t>
      </w:r>
    </w:p>
    <w:p>
      <w:pPr>
        <w:pStyle w:val="BodyText"/>
        <w:spacing w:before="36"/>
        <w:ind w:left="3289"/>
      </w:pPr>
      <w:r>
        <w:rPr>
          <w:shd w:fill="DADADA" w:color="auto" w:val="clear"/>
        </w:rPr>
        <w:t>（2）相当于 Binet 分期方案 A 期程度的慢性淋巴细胞白血病；</w:t>
      </w:r>
    </w:p>
    <w:p>
      <w:pPr>
        <w:pStyle w:val="BodyText"/>
        <w:spacing w:before="36"/>
        <w:ind w:left="3289"/>
      </w:pPr>
      <w:r>
        <w:rPr>
          <w:shd w:fill="DADADA" w:color="auto" w:val="clear"/>
        </w:rPr>
        <w:t>（3）相当于 Ann Arbor 分期方案 I 期程度的何杰金氏病；</w:t>
      </w:r>
    </w:p>
    <w:p>
      <w:pPr>
        <w:pStyle w:val="BodyText"/>
        <w:spacing w:before="36"/>
        <w:ind w:left="3289"/>
      </w:pPr>
      <w:r>
        <w:rPr>
          <w:w w:val="100"/>
          <w:shd w:fill="DADADA" w:color="auto" w:val="clear"/>
        </w:rPr>
        <w:t>（4）</w:t>
      </w:r>
      <w:r>
        <w:rPr>
          <w:spacing w:val="-2"/>
          <w:w w:val="100"/>
          <w:shd w:fill="DADADA" w:color="auto" w:val="clear"/>
        </w:rPr>
        <w:t>皮肤癌</w:t>
      </w:r>
      <w:r>
        <w:rPr>
          <w:w w:val="100"/>
        </w:rPr>
        <w:t>（</w:t>
      </w:r>
      <w:r>
        <w:rPr>
          <w:spacing w:val="-5"/>
          <w:w w:val="100"/>
        </w:rPr>
        <w:t>不包括恶性黑色素瘤及已发生转移的皮肤癌</w:t>
      </w:r>
      <w:r>
        <w:rPr>
          <w:spacing w:val="-106"/>
          <w:w w:val="100"/>
        </w:rPr>
        <w:t>）</w:t>
      </w:r>
      <w:r>
        <w:rPr>
          <w:w w:val="100"/>
        </w:rPr>
        <w:t>；</w:t>
      </w:r>
    </w:p>
    <w:p>
      <w:pPr>
        <w:pStyle w:val="BodyText"/>
        <w:spacing w:before="36"/>
        <w:ind w:left="3289"/>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hd w:fill="DADADA" w:color="auto" w:val="clear"/>
        </w:rPr>
        <w:t>期或更轻分期的前列腺癌；</w:t>
      </w:r>
    </w:p>
    <w:p>
      <w:pPr>
        <w:pStyle w:val="BodyText"/>
        <w:spacing w:line="273" w:lineRule="auto" w:before="37"/>
        <w:ind w:left="3812" w:right="168" w:hanging="524"/>
      </w:pPr>
      <w:r>
        <w:rPr>
          <w:shd w:fill="DADADA" w:color="auto" w:val="clear"/>
        </w:rPr>
        <w:t>（6）感染艾滋病病毒或患艾滋病</w:t>
      </w:r>
      <w:r>
        <w:rPr/>
        <w:t>（不包括经输血、因职业关系、器官移植导致的艾滋病病毒感染或患艾滋病）</w:t>
      </w:r>
      <w:r>
        <w:rPr>
          <w:shd w:fill="DADADA" w:color="auto" w:val="clear"/>
        </w:rPr>
        <w:t>期间所患恶性肿瘤</w:t>
      </w:r>
      <w:r>
        <w:rPr/>
        <w:t>。</w:t>
      </w:r>
    </w:p>
    <w:p>
      <w:pPr>
        <w:pStyle w:val="BodyText"/>
        <w:spacing w:before="7"/>
        <w:rPr>
          <w:sz w:val="25"/>
        </w:rPr>
      </w:pPr>
    </w:p>
    <w:tbl>
      <w:tblPr>
        <w:tblW w:w="0" w:type="auto"/>
        <w:jc w:val="left"/>
        <w:tblInd w:w="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2"/>
        <w:gridCol w:w="2422"/>
        <w:gridCol w:w="6960"/>
      </w:tblGrid>
      <w:tr>
        <w:trPr>
          <w:trHeight w:val="282" w:hRule="atLeast"/>
        </w:trPr>
        <w:tc>
          <w:tcPr>
            <w:tcW w:w="372" w:type="dxa"/>
          </w:tcPr>
          <w:p>
            <w:pPr>
              <w:pStyle w:val="TableParagraph"/>
              <w:spacing w:line="231" w:lineRule="exact"/>
              <w:ind w:left="50"/>
              <w:rPr>
                <w:b/>
                <w:sz w:val="21"/>
              </w:rPr>
            </w:pPr>
            <w:r>
              <w:rPr>
                <w:b/>
                <w:w w:val="99"/>
                <w:sz w:val="21"/>
              </w:rPr>
              <w:t>2</w:t>
            </w:r>
          </w:p>
        </w:tc>
        <w:tc>
          <w:tcPr>
            <w:tcW w:w="2422" w:type="dxa"/>
          </w:tcPr>
          <w:p>
            <w:pPr>
              <w:pStyle w:val="TableParagraph"/>
              <w:spacing w:line="248" w:lineRule="exact"/>
              <w:ind w:left="215"/>
              <w:rPr>
                <w:rFonts w:ascii="等线" w:eastAsia="等线" w:hint="eastAsia"/>
                <w:b/>
                <w:sz w:val="24"/>
              </w:rPr>
            </w:pPr>
            <w:r>
              <w:rPr>
                <w:rFonts w:ascii="等线" w:eastAsia="等线" w:hint="eastAsia"/>
                <w:b/>
                <w:sz w:val="24"/>
              </w:rPr>
              <w:t>侵蚀性葡萄胎（或称</w:t>
            </w:r>
          </w:p>
        </w:tc>
        <w:tc>
          <w:tcPr>
            <w:tcW w:w="6960" w:type="dxa"/>
          </w:tcPr>
          <w:p>
            <w:pPr>
              <w:pStyle w:val="TableParagraph"/>
              <w:spacing w:line="231" w:lineRule="exact"/>
              <w:ind w:left="107"/>
              <w:rPr>
                <w:sz w:val="21"/>
              </w:rPr>
            </w:pPr>
            <w:r>
              <w:rPr>
                <w:sz w:val="21"/>
              </w:rPr>
              <w:t>指异常增生的绒毛组织浸润性生长浸入子宫肌层或转移至其他器官或组织</w:t>
            </w:r>
          </w:p>
        </w:tc>
      </w:tr>
      <w:tr>
        <w:trPr>
          <w:trHeight w:val="468" w:hRule="atLeast"/>
        </w:trPr>
        <w:tc>
          <w:tcPr>
            <w:tcW w:w="372" w:type="dxa"/>
          </w:tcPr>
          <w:p>
            <w:pPr>
              <w:pStyle w:val="TableParagraph"/>
              <w:rPr>
                <w:rFonts w:ascii="Times New Roman"/>
                <w:sz w:val="20"/>
              </w:rPr>
            </w:pPr>
          </w:p>
        </w:tc>
        <w:tc>
          <w:tcPr>
            <w:tcW w:w="2422" w:type="dxa"/>
          </w:tcPr>
          <w:p>
            <w:pPr>
              <w:pStyle w:val="TableParagraph"/>
              <w:spacing w:line="282" w:lineRule="exact"/>
              <w:ind w:left="215"/>
              <w:rPr>
                <w:rFonts w:ascii="等线" w:eastAsia="等线" w:hint="eastAsia"/>
                <w:b/>
                <w:sz w:val="24"/>
              </w:rPr>
            </w:pPr>
            <w:r>
              <w:rPr>
                <w:rFonts w:ascii="等线" w:eastAsia="等线" w:hint="eastAsia"/>
                <w:b/>
                <w:sz w:val="24"/>
              </w:rPr>
              <w:t>恶性葡萄胎）</w:t>
            </w:r>
          </w:p>
        </w:tc>
        <w:tc>
          <w:tcPr>
            <w:tcW w:w="6960" w:type="dxa"/>
          </w:tcPr>
          <w:p>
            <w:pPr>
              <w:pStyle w:val="TableParagraph"/>
              <w:spacing w:line="260" w:lineRule="exact"/>
              <w:ind w:left="107"/>
              <w:rPr>
                <w:sz w:val="21"/>
              </w:rPr>
            </w:pPr>
            <w:r>
              <w:rPr>
                <w:sz w:val="21"/>
              </w:rPr>
              <w:t>的葡萄胎，并已经进行化疗或手术治疗的。</w:t>
            </w:r>
          </w:p>
        </w:tc>
      </w:tr>
      <w:tr>
        <w:trPr>
          <w:trHeight w:val="578" w:hRule="atLeast"/>
        </w:trPr>
        <w:tc>
          <w:tcPr>
            <w:tcW w:w="372" w:type="dxa"/>
          </w:tcPr>
          <w:p>
            <w:pPr>
              <w:pStyle w:val="TableParagraph"/>
              <w:rPr>
                <w:rFonts w:ascii="Times New Roman"/>
                <w:sz w:val="20"/>
              </w:rPr>
            </w:pPr>
          </w:p>
        </w:tc>
        <w:tc>
          <w:tcPr>
            <w:tcW w:w="2422" w:type="dxa"/>
          </w:tcPr>
          <w:p>
            <w:pPr>
              <w:pStyle w:val="TableParagraph"/>
              <w:spacing w:before="122"/>
              <w:ind w:left="215"/>
              <w:rPr>
                <w:b/>
                <w:sz w:val="21"/>
              </w:rPr>
            </w:pPr>
            <w:r>
              <w:rPr>
                <w:b/>
                <w:sz w:val="21"/>
              </w:rPr>
              <w:t>第 2 类：</w:t>
            </w:r>
          </w:p>
        </w:tc>
        <w:tc>
          <w:tcPr>
            <w:tcW w:w="6960" w:type="dxa"/>
          </w:tcPr>
          <w:p>
            <w:pPr>
              <w:pStyle w:val="TableParagraph"/>
              <w:spacing w:before="122"/>
              <w:ind w:left="107"/>
              <w:rPr>
                <w:b/>
                <w:sz w:val="21"/>
              </w:rPr>
            </w:pPr>
            <w:r>
              <w:rPr>
                <w:b/>
                <w:sz w:val="21"/>
              </w:rPr>
              <w:t>与心脏或脑血管相关的疾病</w:t>
            </w:r>
          </w:p>
        </w:tc>
      </w:tr>
      <w:tr>
        <w:trPr>
          <w:trHeight w:val="775" w:hRule="atLeast"/>
        </w:trPr>
        <w:tc>
          <w:tcPr>
            <w:tcW w:w="372" w:type="dxa"/>
          </w:tcPr>
          <w:p>
            <w:pPr>
              <w:pStyle w:val="TableParagraph"/>
              <w:spacing w:before="138"/>
              <w:ind w:left="50"/>
              <w:rPr>
                <w:b/>
                <w:sz w:val="21"/>
              </w:rPr>
            </w:pPr>
            <w:r>
              <w:rPr>
                <w:b/>
                <w:w w:val="99"/>
                <w:sz w:val="21"/>
              </w:rPr>
              <w:t>3</w:t>
            </w:r>
          </w:p>
        </w:tc>
        <w:tc>
          <w:tcPr>
            <w:tcW w:w="2422" w:type="dxa"/>
          </w:tcPr>
          <w:p>
            <w:pPr>
              <w:pStyle w:val="TableParagraph"/>
              <w:spacing w:before="102"/>
              <w:ind w:left="215"/>
              <w:rPr>
                <w:rFonts w:ascii="等线" w:eastAsia="等线" w:hint="eastAsia"/>
                <w:b/>
                <w:sz w:val="24"/>
              </w:rPr>
            </w:pPr>
            <w:r>
              <w:rPr>
                <w:rFonts w:ascii="等线" w:eastAsia="等线" w:hint="eastAsia"/>
                <w:b/>
                <w:w w:val="105"/>
                <w:sz w:val="24"/>
              </w:rPr>
              <w:t>急性心ft梗塞</w:t>
            </w:r>
          </w:p>
        </w:tc>
        <w:tc>
          <w:tcPr>
            <w:tcW w:w="6960" w:type="dxa"/>
          </w:tcPr>
          <w:p>
            <w:pPr>
              <w:pStyle w:val="TableParagraph"/>
              <w:spacing w:line="273" w:lineRule="auto" w:before="138"/>
              <w:ind w:left="107" w:right="49"/>
              <w:rPr>
                <w:sz w:val="21"/>
              </w:rPr>
            </w:pPr>
            <w:r>
              <w:rPr>
                <w:sz w:val="21"/>
              </w:rPr>
              <w:t>指因冠状动脉阻塞导致的相应区域供血不足造成部分心肌坏死。须满足下列至少三项条件：</w:t>
            </w:r>
          </w:p>
        </w:tc>
      </w:tr>
      <w:tr>
        <w:trPr>
          <w:trHeight w:val="261" w:hRule="atLeast"/>
        </w:trPr>
        <w:tc>
          <w:tcPr>
            <w:tcW w:w="372" w:type="dxa"/>
          </w:tcPr>
          <w:p>
            <w:pPr>
              <w:pStyle w:val="TableParagraph"/>
              <w:rPr>
                <w:rFonts w:ascii="Times New Roman"/>
                <w:sz w:val="18"/>
              </w:rPr>
            </w:pPr>
          </w:p>
        </w:tc>
        <w:tc>
          <w:tcPr>
            <w:tcW w:w="2422" w:type="dxa"/>
          </w:tcPr>
          <w:p>
            <w:pPr>
              <w:pStyle w:val="TableParagraph"/>
              <w:rPr>
                <w:rFonts w:ascii="Times New Roman"/>
                <w:sz w:val="18"/>
              </w:rPr>
            </w:pPr>
          </w:p>
        </w:tc>
        <w:tc>
          <w:tcPr>
            <w:tcW w:w="6960" w:type="dxa"/>
          </w:tcPr>
          <w:p>
            <w:pPr>
              <w:pStyle w:val="TableParagraph"/>
              <w:spacing w:line="242" w:lineRule="exact"/>
              <w:ind w:left="107"/>
              <w:rPr>
                <w:sz w:val="21"/>
              </w:rPr>
            </w:pPr>
            <w:r>
              <w:rPr>
                <w:sz w:val="21"/>
              </w:rPr>
              <w:t>（1）典型临床表现，例如急性胸痛等；</w:t>
            </w:r>
          </w:p>
        </w:tc>
      </w:tr>
    </w:tbl>
    <w:p>
      <w:pPr>
        <w:pStyle w:val="BodyText"/>
        <w:spacing w:before="8"/>
        <w:rPr>
          <w:sz w:val="22"/>
        </w:rPr>
      </w:pPr>
      <w:r>
        <w:rPr/>
        <w:pict>
          <v:line style="position:absolute;mso-position-horizontal-relative:page;mso-position-vertical-relative:paragraph;z-index:1792;mso-wrap-distance-left:0;mso-wrap-distance-right:0" from="51.119999pt,17.000259pt" to="195.119999pt,17.000259pt" stroked="true" strokeweight=".481pt" strokecolor="#000000">
            <v:stroke dashstyle="solid"/>
            <w10:wrap type="topAndBottom"/>
          </v:line>
        </w:pict>
      </w:r>
    </w:p>
    <w:p>
      <w:pPr>
        <w:spacing w:before="25"/>
        <w:ind w:left="222" w:right="0"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六项基本日常生活活动：</w:t>
      </w:r>
      <w:r>
        <w:rPr>
          <w:sz w:val="18"/>
        </w:rPr>
        <w:t>六项基本日常生活活动是指：</w:t>
      </w:r>
    </w:p>
    <w:p>
      <w:pPr>
        <w:spacing w:before="27"/>
        <w:ind w:left="404" w:right="0" w:firstLine="0"/>
        <w:jc w:val="left"/>
        <w:rPr>
          <w:sz w:val="18"/>
        </w:rPr>
      </w:pPr>
      <w:r>
        <w:rPr>
          <w:sz w:val="18"/>
        </w:rPr>
        <w:t>（1）穿衣：自己能够穿衣及脱衣；</w:t>
      </w:r>
    </w:p>
    <w:p>
      <w:pPr>
        <w:spacing w:before="42"/>
        <w:ind w:left="404" w:right="0" w:firstLine="0"/>
        <w:jc w:val="left"/>
        <w:rPr>
          <w:sz w:val="18"/>
        </w:rPr>
      </w:pPr>
      <w:r>
        <w:rPr>
          <w:sz w:val="18"/>
        </w:rPr>
        <w:t>（2）移动：自己从一个房间到另一个房间；</w:t>
      </w:r>
    </w:p>
    <w:p>
      <w:pPr>
        <w:spacing w:before="42"/>
        <w:ind w:left="404" w:right="0" w:firstLine="0"/>
        <w:jc w:val="left"/>
        <w:rPr>
          <w:sz w:val="18"/>
        </w:rPr>
      </w:pPr>
      <w:r>
        <w:rPr>
          <w:sz w:val="18"/>
        </w:rPr>
        <w:t>（3）行动：自己上下床或上下轮椅；</w:t>
      </w:r>
    </w:p>
    <w:p>
      <w:pPr>
        <w:spacing w:before="47"/>
        <w:ind w:left="404" w:right="0" w:firstLine="0"/>
        <w:jc w:val="left"/>
        <w:rPr>
          <w:sz w:val="18"/>
        </w:rPr>
      </w:pPr>
      <w:r>
        <w:rPr>
          <w:sz w:val="18"/>
        </w:rPr>
        <w:t>（4）如厕：自己控制进行大小便；</w:t>
      </w:r>
    </w:p>
    <w:p>
      <w:pPr>
        <w:spacing w:before="42"/>
        <w:ind w:left="404" w:right="0" w:firstLine="0"/>
        <w:jc w:val="left"/>
        <w:rPr>
          <w:sz w:val="18"/>
        </w:rPr>
      </w:pPr>
      <w:r>
        <w:rPr>
          <w:sz w:val="18"/>
        </w:rPr>
        <w:t>（5）进食：自己从已准备好的碗或碟中取食物放入口中；</w:t>
      </w:r>
    </w:p>
    <w:p>
      <w:pPr>
        <w:spacing w:before="42"/>
        <w:ind w:left="404" w:right="0" w:firstLine="0"/>
        <w:jc w:val="left"/>
        <w:rPr>
          <w:sz w:val="18"/>
        </w:rPr>
      </w:pPr>
      <w:r>
        <w:rPr>
          <w:sz w:val="18"/>
        </w:rPr>
        <w:t>（6）洗澡：自己进行淋浴或盆浴。</w:t>
      </w:r>
    </w:p>
    <w:p>
      <w:pPr>
        <w:spacing w:after="0"/>
        <w:jc w:val="left"/>
        <w:rPr>
          <w:sz w:val="18"/>
        </w:rPr>
        <w:sectPr>
          <w:type w:val="continuous"/>
          <w:pgSz w:w="11910" w:h="16840"/>
          <w:pgMar w:top="520" w:bottom="280" w:left="800" w:right="8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2"/>
        <w:gridCol w:w="2434"/>
        <w:gridCol w:w="7098"/>
      </w:tblGrid>
      <w:tr>
        <w:trPr>
          <w:trHeight w:val="1669" w:hRule="atLeast"/>
        </w:trPr>
        <w:tc>
          <w:tcPr>
            <w:tcW w:w="522" w:type="dxa"/>
          </w:tcPr>
          <w:p>
            <w:pPr>
              <w:pStyle w:val="TableParagraph"/>
              <w:rPr>
                <w:rFonts w:ascii="Times New Roman"/>
                <w:sz w:val="20"/>
              </w:rPr>
            </w:pPr>
          </w:p>
        </w:tc>
        <w:tc>
          <w:tcPr>
            <w:tcW w:w="2434" w:type="dxa"/>
          </w:tcPr>
          <w:p>
            <w:pPr>
              <w:pStyle w:val="TableParagraph"/>
              <w:rPr>
                <w:rFonts w:ascii="Times New Roman"/>
                <w:sz w:val="20"/>
              </w:rPr>
            </w:pPr>
          </w:p>
        </w:tc>
        <w:tc>
          <w:tcPr>
            <w:tcW w:w="7098" w:type="dxa"/>
          </w:tcPr>
          <w:p>
            <w:pPr>
              <w:pStyle w:val="TableParagraph"/>
              <w:spacing w:line="211" w:lineRule="exact"/>
              <w:ind w:left="95"/>
              <w:rPr>
                <w:sz w:val="21"/>
              </w:rPr>
            </w:pPr>
            <w:r>
              <w:rPr>
                <w:sz w:val="21"/>
              </w:rPr>
              <w:t>（2）新近的心电图改变提示急性心肌梗塞；</w:t>
            </w:r>
          </w:p>
          <w:p>
            <w:pPr>
              <w:pStyle w:val="TableParagraph"/>
              <w:spacing w:line="273" w:lineRule="auto" w:before="37"/>
              <w:ind w:left="618" w:right="173" w:hanging="524"/>
              <w:rPr>
                <w:sz w:val="21"/>
              </w:rPr>
            </w:pPr>
            <w:r>
              <w:rPr>
                <w:sz w:val="21"/>
              </w:rPr>
              <w:t>（3）心肌酶或肌钙蛋白有诊断意义的升高，或呈符合急性心肌梗塞的动态性变化；</w:t>
            </w:r>
          </w:p>
          <w:p>
            <w:pPr>
              <w:pStyle w:val="TableParagraph"/>
              <w:spacing w:before="7"/>
              <w:ind w:left="94"/>
              <w:rPr>
                <w:sz w:val="21"/>
              </w:rPr>
            </w:pPr>
            <w:r>
              <w:rPr>
                <w:sz w:val="21"/>
              </w:rPr>
              <w:t>（4）发病 90 日后，经检查证实左心室功能降低，如左心室射血分数低于</w:t>
            </w:r>
          </w:p>
          <w:p>
            <w:pPr>
              <w:pStyle w:val="TableParagraph"/>
              <w:spacing w:before="36"/>
              <w:ind w:left="618"/>
              <w:rPr>
                <w:sz w:val="21"/>
              </w:rPr>
            </w:pPr>
            <w:r>
              <w:rPr>
                <w:sz w:val="21"/>
              </w:rPr>
              <w:t>50%。</w:t>
            </w:r>
          </w:p>
        </w:tc>
      </w:tr>
      <w:tr>
        <w:trPr>
          <w:trHeight w:val="1248" w:hRule="atLeast"/>
        </w:trPr>
        <w:tc>
          <w:tcPr>
            <w:tcW w:w="522" w:type="dxa"/>
          </w:tcPr>
          <w:p>
            <w:pPr>
              <w:pStyle w:val="TableParagraph"/>
              <w:spacing w:before="167"/>
              <w:ind w:left="200"/>
              <w:rPr>
                <w:b/>
                <w:sz w:val="21"/>
              </w:rPr>
            </w:pPr>
            <w:r>
              <w:rPr>
                <w:b/>
                <w:w w:val="99"/>
                <w:sz w:val="21"/>
              </w:rPr>
              <w:t>4</w:t>
            </w:r>
          </w:p>
        </w:tc>
        <w:tc>
          <w:tcPr>
            <w:tcW w:w="2434" w:type="dxa"/>
          </w:tcPr>
          <w:p>
            <w:pPr>
              <w:pStyle w:val="TableParagraph"/>
              <w:spacing w:line="232" w:lineRule="auto" w:before="141"/>
              <w:ind w:left="215" w:right="94"/>
              <w:rPr>
                <w:rFonts w:ascii="等线" w:eastAsia="等线" w:hint="eastAsia"/>
                <w:b/>
                <w:sz w:val="24"/>
              </w:rPr>
            </w:pPr>
            <w:r>
              <w:rPr>
                <w:rFonts w:ascii="等线" w:eastAsia="等线" w:hint="eastAsia"/>
                <w:b/>
                <w:sz w:val="24"/>
              </w:rPr>
              <w:t>严重原发性肺动脉高压</w:t>
            </w:r>
          </w:p>
        </w:tc>
        <w:tc>
          <w:tcPr>
            <w:tcW w:w="7098" w:type="dxa"/>
          </w:tcPr>
          <w:p>
            <w:pPr>
              <w:pStyle w:val="TableParagraph"/>
              <w:spacing w:line="273" w:lineRule="auto" w:before="167"/>
              <w:ind w:left="95" w:right="199"/>
              <w:jc w:val="both"/>
              <w:rPr>
                <w:sz w:val="21"/>
              </w:rPr>
            </w:pPr>
            <w:r>
              <w:rPr>
                <w:sz w:val="21"/>
              </w:rPr>
              <w:t>指不明原因的肺动脉压力持续性增高，进行性发展而导致的慢性疾病，已经造成</w:t>
            </w:r>
            <w:r>
              <w:rPr>
                <w:rFonts w:ascii="黑体" w:eastAsia="黑体" w:hint="eastAsia"/>
                <w:b/>
                <w:sz w:val="21"/>
              </w:rPr>
              <w:t>永久不可逆 </w:t>
            </w:r>
            <w:hyperlink w:history="true" w:anchor="_bookmark18">
              <w:r>
                <w:rPr>
                  <w:rFonts w:ascii="黑体" w:eastAsia="黑体" w:hint="eastAsia"/>
                  <w:b/>
                  <w:position w:val="11"/>
                  <w:sz w:val="11"/>
                </w:rPr>
                <w:t>19 </w:t>
              </w:r>
            </w:hyperlink>
            <w:r>
              <w:rPr>
                <w:sz w:val="21"/>
              </w:rPr>
              <w:t>性的体力活动能力受限，达到美国纽约心脏病学会</w:t>
            </w:r>
            <w:r>
              <w:rPr>
                <w:rFonts w:ascii="黑体" w:eastAsia="黑体" w:hint="eastAsia"/>
                <w:b/>
                <w:sz w:val="21"/>
              </w:rPr>
              <w:t>心功能状态分级 </w:t>
            </w:r>
            <w:hyperlink w:history="true" w:anchor="_bookmark19">
              <w:r>
                <w:rPr>
                  <w:rFonts w:ascii="黑体" w:eastAsia="黑体" w:hint="eastAsia"/>
                  <w:b/>
                  <w:position w:val="11"/>
                  <w:sz w:val="11"/>
                </w:rPr>
                <w:t>20</w:t>
              </w:r>
            </w:hyperlink>
            <w:r>
              <w:rPr>
                <w:sz w:val="21"/>
              </w:rPr>
              <w:t>IV 级，且静息状态下肺动脉平均压超过 30mmHg。</w:t>
            </w:r>
          </w:p>
        </w:tc>
      </w:tr>
      <w:tr>
        <w:trPr>
          <w:trHeight w:val="907" w:hRule="atLeast"/>
        </w:trPr>
        <w:tc>
          <w:tcPr>
            <w:tcW w:w="522" w:type="dxa"/>
          </w:tcPr>
          <w:p>
            <w:pPr>
              <w:pStyle w:val="TableParagraph"/>
              <w:spacing w:before="138"/>
              <w:ind w:left="200"/>
              <w:rPr>
                <w:b/>
                <w:sz w:val="21"/>
              </w:rPr>
            </w:pPr>
            <w:r>
              <w:rPr>
                <w:b/>
                <w:w w:val="99"/>
                <w:sz w:val="21"/>
              </w:rPr>
              <w:t>5</w:t>
            </w:r>
          </w:p>
        </w:tc>
        <w:tc>
          <w:tcPr>
            <w:tcW w:w="2434" w:type="dxa"/>
          </w:tcPr>
          <w:p>
            <w:pPr>
              <w:pStyle w:val="TableParagraph"/>
              <w:spacing w:before="102"/>
              <w:ind w:left="215"/>
              <w:rPr>
                <w:rFonts w:ascii="等线" w:eastAsia="等线" w:hint="eastAsia"/>
                <w:b/>
                <w:sz w:val="24"/>
              </w:rPr>
            </w:pPr>
            <w:r>
              <w:rPr>
                <w:rFonts w:ascii="等线" w:eastAsia="等线" w:hint="eastAsia"/>
                <w:b/>
                <w:sz w:val="24"/>
              </w:rPr>
              <w:t>心脏瓣膜手术</w:t>
            </w:r>
          </w:p>
        </w:tc>
        <w:tc>
          <w:tcPr>
            <w:tcW w:w="7098" w:type="dxa"/>
          </w:tcPr>
          <w:p>
            <w:pPr>
              <w:pStyle w:val="TableParagraph"/>
              <w:spacing w:line="273" w:lineRule="auto" w:before="138"/>
              <w:ind w:left="95" w:right="199"/>
              <w:rPr>
                <w:sz w:val="21"/>
              </w:rPr>
            </w:pPr>
            <w:r>
              <w:rPr>
                <w:sz w:val="21"/>
              </w:rPr>
              <w:t>指为治疗心脏瓣膜疾病，实际实施了开胸进行的心脏瓣膜置换或修复的手术。</w:t>
            </w:r>
          </w:p>
        </w:tc>
      </w:tr>
      <w:tr>
        <w:trPr>
          <w:trHeight w:val="2157" w:hRule="atLeast"/>
        </w:trPr>
        <w:tc>
          <w:tcPr>
            <w:tcW w:w="522" w:type="dxa"/>
          </w:tcPr>
          <w:p>
            <w:pPr>
              <w:pStyle w:val="TableParagraph"/>
              <w:spacing w:before="138"/>
              <w:ind w:left="200"/>
              <w:rPr>
                <w:b/>
                <w:sz w:val="21"/>
              </w:rPr>
            </w:pPr>
            <w:r>
              <w:rPr>
                <w:b/>
                <w:w w:val="99"/>
                <w:sz w:val="21"/>
              </w:rPr>
              <w:t>6</w:t>
            </w:r>
          </w:p>
        </w:tc>
        <w:tc>
          <w:tcPr>
            <w:tcW w:w="2434" w:type="dxa"/>
          </w:tcPr>
          <w:p>
            <w:pPr>
              <w:pStyle w:val="TableParagraph"/>
              <w:spacing w:line="235" w:lineRule="auto" w:before="109"/>
              <w:ind w:left="215" w:right="94"/>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098" w:type="dxa"/>
          </w:tcPr>
          <w:p>
            <w:pPr>
              <w:pStyle w:val="TableParagraph"/>
              <w:spacing w:line="273" w:lineRule="auto" w:before="138"/>
              <w:ind w:left="95" w:right="199"/>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5"/>
                <w:w w:val="100"/>
                <w:sz w:val="21"/>
              </w:rPr>
              <w:t>态分级的标准判定，心功能状态已达Ⅳ级</w:t>
            </w:r>
            <w:r>
              <w:rPr>
                <w:spacing w:val="-106"/>
                <w:w w:val="100"/>
                <w:sz w:val="21"/>
              </w:rPr>
              <w:t>）</w:t>
            </w:r>
            <w:r>
              <w:rPr>
                <w:spacing w:val="-5"/>
                <w:w w:val="100"/>
                <w:sz w:val="21"/>
              </w:rPr>
              <w:t>，且有相关住院医疗记录显示Ⅳ</w:t>
            </w:r>
            <w:r>
              <w:rPr>
                <w:spacing w:val="-8"/>
                <w:sz w:val="21"/>
              </w:rPr>
              <w:t>级心功能衰竭状态已持续至少 </w:t>
            </w:r>
            <w:r>
              <w:rPr>
                <w:sz w:val="21"/>
              </w:rPr>
              <w:t>180</w:t>
            </w:r>
            <w:r>
              <w:rPr>
                <w:spacing w:val="-7"/>
                <w:sz w:val="21"/>
              </w:rPr>
              <w:t> 日。本病须经专科医生明确诊断。</w:t>
            </w:r>
          </w:p>
          <w:p>
            <w:pPr>
              <w:pStyle w:val="TableParagraph"/>
              <w:spacing w:before="7"/>
              <w:ind w:left="95"/>
              <w:jc w:val="both"/>
              <w:rPr>
                <w:sz w:val="21"/>
              </w:rPr>
            </w:pPr>
            <w:r>
              <w:rPr>
                <w:sz w:val="21"/>
                <w:shd w:fill="DADADA" w:color="auto" w:val="clear"/>
              </w:rPr>
              <w:t>继发于全身性疾病或其它器官系统疾病造成的心肌病变不在保障范围内。</w:t>
            </w:r>
          </w:p>
        </w:tc>
      </w:tr>
      <w:tr>
        <w:trPr>
          <w:trHeight w:val="2469" w:hRule="atLeast"/>
        </w:trPr>
        <w:tc>
          <w:tcPr>
            <w:tcW w:w="522" w:type="dxa"/>
          </w:tcPr>
          <w:p>
            <w:pPr>
              <w:pStyle w:val="TableParagraph"/>
              <w:spacing w:before="140"/>
              <w:ind w:left="200"/>
              <w:rPr>
                <w:b/>
                <w:sz w:val="21"/>
              </w:rPr>
            </w:pPr>
            <w:r>
              <w:rPr>
                <w:b/>
                <w:w w:val="99"/>
                <w:sz w:val="21"/>
              </w:rPr>
              <w:t>7</w:t>
            </w:r>
          </w:p>
        </w:tc>
        <w:tc>
          <w:tcPr>
            <w:tcW w:w="2434" w:type="dxa"/>
          </w:tcPr>
          <w:p>
            <w:pPr>
              <w:pStyle w:val="TableParagraph"/>
              <w:spacing w:before="104"/>
              <w:ind w:left="215"/>
              <w:rPr>
                <w:rFonts w:ascii="等线" w:eastAsia="等线" w:hint="eastAsia"/>
                <w:b/>
                <w:sz w:val="24"/>
              </w:rPr>
            </w:pPr>
            <w:r>
              <w:rPr>
                <w:rFonts w:ascii="等线" w:eastAsia="等线" w:hint="eastAsia"/>
                <w:b/>
                <w:sz w:val="24"/>
              </w:rPr>
              <w:t>脑中风后遗症</w:t>
            </w:r>
          </w:p>
        </w:tc>
        <w:tc>
          <w:tcPr>
            <w:tcW w:w="7098" w:type="dxa"/>
          </w:tcPr>
          <w:p>
            <w:pPr>
              <w:pStyle w:val="TableParagraph"/>
              <w:spacing w:line="273" w:lineRule="auto" w:before="140"/>
              <w:ind w:left="94" w:right="199"/>
              <w:jc w:val="both"/>
              <w:rPr>
                <w:sz w:val="21"/>
              </w:rPr>
            </w:pPr>
            <w:r>
              <w:rPr>
                <w:sz w:val="21"/>
              </w:rPr>
              <w:t>指因脑血管的突发病变引起脑血管出血、栓塞或梗塞，并导致神经系统永</w:t>
            </w:r>
            <w:r>
              <w:rPr>
                <w:spacing w:val="-5"/>
                <w:sz w:val="21"/>
              </w:rPr>
              <w:t>久性的功能障碍。神经系统永久性的功能障碍，指疾病确诊 </w:t>
            </w:r>
            <w:r>
              <w:rPr>
                <w:sz w:val="21"/>
              </w:rPr>
              <w:t>180</w:t>
            </w:r>
            <w:r>
              <w:rPr>
                <w:spacing w:val="-2"/>
                <w:sz w:val="21"/>
              </w:rPr>
              <w:t> 日后，仍</w:t>
            </w:r>
            <w:r>
              <w:rPr>
                <w:spacing w:val="-5"/>
                <w:sz w:val="21"/>
              </w:rPr>
              <w:t>遗留下列一种或一种以上障碍：</w:t>
            </w:r>
          </w:p>
          <w:p>
            <w:pPr>
              <w:pStyle w:val="TableParagraph"/>
              <w:spacing w:before="7"/>
              <w:ind w:left="94"/>
              <w:rPr>
                <w:sz w:val="21"/>
              </w:rPr>
            </w:pPr>
            <w:r>
              <w:rPr>
                <w:sz w:val="21"/>
              </w:rPr>
              <w:t>（1）一肢或一肢以上</w:t>
            </w:r>
            <w:r>
              <w:rPr>
                <w:rFonts w:ascii="黑体" w:eastAsia="黑体" w:hint="eastAsia"/>
                <w:b/>
                <w:sz w:val="21"/>
              </w:rPr>
              <w:t>肢体机能完全丧失 </w:t>
            </w:r>
            <w:hyperlink w:history="true" w:anchor="_bookmark20">
              <w:r>
                <w:rPr>
                  <w:rFonts w:ascii="黑体" w:eastAsia="黑体" w:hint="eastAsia"/>
                  <w:b/>
                  <w:position w:val="11"/>
                  <w:sz w:val="11"/>
                </w:rPr>
                <w:t>21</w:t>
              </w:r>
            </w:hyperlink>
            <w:r>
              <w:rPr>
                <w:sz w:val="21"/>
              </w:rPr>
              <w:t>；</w:t>
            </w:r>
          </w:p>
          <w:p>
            <w:pPr>
              <w:pStyle w:val="TableParagraph"/>
              <w:spacing w:before="37"/>
              <w:ind w:left="95"/>
              <w:rPr>
                <w:sz w:val="21"/>
              </w:rPr>
            </w:pPr>
            <w:r>
              <w:rPr>
                <w:sz w:val="21"/>
              </w:rPr>
              <w:t>（2）</w:t>
            </w:r>
            <w:r>
              <w:rPr>
                <w:rFonts w:ascii="黑体" w:eastAsia="黑体" w:hint="eastAsia"/>
                <w:b/>
                <w:sz w:val="21"/>
              </w:rPr>
              <w:t>语言能力或咀嚼吞咽能力完全丧失 </w:t>
            </w:r>
            <w:hyperlink w:history="true" w:anchor="_bookmark21">
              <w:r>
                <w:rPr>
                  <w:rFonts w:ascii="黑体" w:eastAsia="黑体" w:hint="eastAsia"/>
                  <w:b/>
                  <w:position w:val="11"/>
                  <w:sz w:val="11"/>
                </w:rPr>
                <w:t>22</w:t>
              </w:r>
            </w:hyperlink>
            <w:r>
              <w:rPr>
                <w:sz w:val="21"/>
              </w:rPr>
              <w:t>；</w:t>
            </w:r>
          </w:p>
          <w:p>
            <w:pPr>
              <w:pStyle w:val="TableParagraph"/>
              <w:spacing w:line="273" w:lineRule="auto" w:before="37"/>
              <w:ind w:left="618" w:right="159" w:hanging="524"/>
              <w:rPr>
                <w:sz w:val="21"/>
              </w:rPr>
            </w:pPr>
            <w:r>
              <w:rPr>
                <w:sz w:val="21"/>
              </w:rPr>
              <w:t>（3）自主生活能力完全丧失，无法独立完成六项基本日常生活活动中的三项或三项以上。</w:t>
            </w:r>
          </w:p>
        </w:tc>
      </w:tr>
      <w:tr>
        <w:trPr>
          <w:trHeight w:val="1531" w:hRule="atLeast"/>
        </w:trPr>
        <w:tc>
          <w:tcPr>
            <w:tcW w:w="522" w:type="dxa"/>
          </w:tcPr>
          <w:p>
            <w:pPr>
              <w:pStyle w:val="TableParagraph"/>
              <w:spacing w:before="138"/>
              <w:ind w:left="200"/>
              <w:rPr>
                <w:b/>
                <w:sz w:val="21"/>
              </w:rPr>
            </w:pPr>
            <w:r>
              <w:rPr>
                <w:b/>
                <w:w w:val="99"/>
                <w:sz w:val="21"/>
              </w:rPr>
              <w:t>8</w:t>
            </w:r>
          </w:p>
        </w:tc>
        <w:tc>
          <w:tcPr>
            <w:tcW w:w="2434" w:type="dxa"/>
          </w:tcPr>
          <w:p>
            <w:pPr>
              <w:pStyle w:val="TableParagraph"/>
              <w:spacing w:line="232" w:lineRule="auto" w:before="112"/>
              <w:ind w:left="215" w:right="94"/>
              <w:jc w:val="both"/>
              <w:rPr>
                <w:rFonts w:ascii="等线" w:eastAsia="等线" w:hint="eastAsia"/>
                <w:b/>
                <w:sz w:val="24"/>
              </w:rPr>
            </w:pPr>
            <w:r>
              <w:rPr>
                <w:rFonts w:ascii="等线" w:eastAsia="等线" w:hint="eastAsia"/>
                <w:b/>
                <w:spacing w:val="-9"/>
                <w:sz w:val="24"/>
              </w:rPr>
              <w:t>冠状动脉搭桥术</w:t>
            </w:r>
            <w:r>
              <w:rPr>
                <w:rFonts w:ascii="等线" w:eastAsia="等线" w:hint="eastAsia"/>
                <w:b/>
                <w:sz w:val="24"/>
              </w:rPr>
              <w:t>（或</w:t>
            </w:r>
            <w:r>
              <w:rPr>
                <w:rFonts w:ascii="等线" w:eastAsia="等线" w:hint="eastAsia"/>
                <w:b/>
                <w:spacing w:val="22"/>
                <w:sz w:val="24"/>
              </w:rPr>
              <w:t>称冠状动脉旁路移</w:t>
            </w:r>
            <w:r>
              <w:rPr>
                <w:rFonts w:ascii="等线" w:eastAsia="等线" w:hint="eastAsia"/>
                <w:b/>
                <w:sz w:val="24"/>
              </w:rPr>
              <w:t>植术）</w:t>
            </w:r>
          </w:p>
        </w:tc>
        <w:tc>
          <w:tcPr>
            <w:tcW w:w="7098" w:type="dxa"/>
          </w:tcPr>
          <w:p>
            <w:pPr>
              <w:pStyle w:val="TableParagraph"/>
              <w:spacing w:line="273" w:lineRule="auto" w:before="138"/>
              <w:ind w:left="95" w:right="199"/>
              <w:rPr>
                <w:sz w:val="21"/>
              </w:rPr>
            </w:pPr>
            <w:r>
              <w:rPr>
                <w:sz w:val="21"/>
              </w:rPr>
              <w:t>指为治疗严重的冠心病，实际实施了开胸进行的冠状动脉血管旁路移植的手术。</w:t>
            </w:r>
          </w:p>
          <w:p>
            <w:pPr>
              <w:pStyle w:val="TableParagraph"/>
              <w:spacing w:line="273" w:lineRule="auto" w:before="7"/>
              <w:ind w:left="95" w:right="199"/>
              <w:rPr>
                <w:sz w:val="21"/>
              </w:rPr>
            </w:pPr>
            <w:r>
              <w:rPr>
                <w:sz w:val="21"/>
                <w:shd w:fill="DADADA" w:color="auto" w:val="clear"/>
              </w:rPr>
              <w:t>冠状动脉支架植入术、心导管球囊扩张术、激光射频技术及其它非开胸的</w:t>
            </w:r>
            <w:r>
              <w:rPr>
                <w:spacing w:val="-212"/>
                <w:sz w:val="21"/>
                <w:shd w:fill="DADADA" w:color="auto" w:val="clear"/>
              </w:rPr>
              <w:t>介</w:t>
            </w:r>
            <w:r>
              <w:rPr>
                <w:spacing w:val="-4"/>
                <w:sz w:val="21"/>
                <w:shd w:fill="DADADA" w:color="auto" w:val="clear"/>
              </w:rPr>
              <w:t>入手术、腔镜手术不在保障范围内。</w:t>
            </w:r>
          </w:p>
        </w:tc>
      </w:tr>
      <w:tr>
        <w:trPr>
          <w:trHeight w:val="725" w:hRule="atLeast"/>
        </w:trPr>
        <w:tc>
          <w:tcPr>
            <w:tcW w:w="522" w:type="dxa"/>
          </w:tcPr>
          <w:p>
            <w:pPr>
              <w:pStyle w:val="TableParagraph"/>
              <w:spacing w:before="138"/>
              <w:ind w:left="200"/>
              <w:rPr>
                <w:b/>
                <w:sz w:val="21"/>
              </w:rPr>
            </w:pPr>
            <w:r>
              <w:rPr>
                <w:b/>
                <w:w w:val="99"/>
                <w:sz w:val="21"/>
              </w:rPr>
              <w:t>9</w:t>
            </w:r>
          </w:p>
        </w:tc>
        <w:tc>
          <w:tcPr>
            <w:tcW w:w="2434" w:type="dxa"/>
          </w:tcPr>
          <w:p>
            <w:pPr>
              <w:pStyle w:val="TableParagraph"/>
              <w:spacing w:before="102"/>
              <w:ind w:left="215"/>
              <w:rPr>
                <w:rFonts w:ascii="等线" w:eastAsia="等线" w:hint="eastAsia"/>
                <w:b/>
                <w:sz w:val="24"/>
              </w:rPr>
            </w:pPr>
            <w:r>
              <w:rPr>
                <w:rFonts w:ascii="等线" w:eastAsia="等线" w:hint="eastAsia"/>
                <w:b/>
                <w:sz w:val="24"/>
              </w:rPr>
              <w:t>主动脉手术</w:t>
            </w:r>
          </w:p>
        </w:tc>
        <w:tc>
          <w:tcPr>
            <w:tcW w:w="7098" w:type="dxa"/>
          </w:tcPr>
          <w:p>
            <w:pPr>
              <w:pStyle w:val="TableParagraph"/>
              <w:spacing w:line="310" w:lineRule="atLeast" w:before="103"/>
              <w:ind w:left="95" w:right="199"/>
              <w:rPr>
                <w:sz w:val="21"/>
              </w:rPr>
            </w:pPr>
            <w:r>
              <w:rPr>
                <w:sz w:val="21"/>
              </w:rPr>
              <w:t>指为治疗主动脉疾病，实际实施了开胸或开腹进行的切除、置换、修补病损主动脉血管的手术。</w:t>
            </w:r>
          </w:p>
        </w:tc>
      </w:tr>
    </w:tbl>
    <w:p>
      <w:pPr>
        <w:pStyle w:val="BodyText"/>
        <w:spacing w:before="7"/>
        <w:rPr>
          <w:sz w:val="23"/>
        </w:rPr>
      </w:pPr>
      <w:r>
        <w:rPr/>
        <w:pict>
          <v:line style="position:absolute;mso-position-horizontal-relative:page;mso-position-vertical-relative:paragraph;z-index:1816;mso-wrap-distance-left:0;mso-wrap-distance-right:0" from="51.119999pt,17.642879pt" to="195.119999pt,17.642879pt" stroked="true" strokeweight=".48pt" strokecolor="#000000">
            <v:stroke dashstyle="solid"/>
            <w10:wrap type="topAndBottom"/>
          </v:line>
        </w:pict>
      </w:r>
    </w:p>
    <w:p>
      <w:pPr>
        <w:spacing w:line="296" w:lineRule="exact" w:before="29"/>
        <w:ind w:left="102" w:right="0" w:firstLine="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6" w:lineRule="exact" w:before="0"/>
        <w:ind w:left="102" w:right="0" w:firstLine="0"/>
        <w:jc w:val="left"/>
        <w:rPr>
          <w:sz w:val="18"/>
        </w:rPr>
      </w:pPr>
      <w:bookmarkStart w:name="_bookmark19" w:id="20"/>
      <w:bookmarkEnd w:id="20"/>
      <w:r>
        <w:rPr/>
      </w:r>
      <w:r>
        <w:rPr>
          <w:rFonts w:ascii="Microsoft JhengHei" w:eastAsia="Microsoft JhengHei" w:hint="eastAsia"/>
          <w:b/>
          <w:position w:val="9"/>
          <w:sz w:val="9"/>
        </w:rPr>
        <w:t>20    </w:t>
      </w:r>
      <w:r>
        <w:rPr>
          <w:rFonts w:ascii="Microsoft JhengHei" w:eastAsia="Microsoft JhengHei" w:hint="eastAsia"/>
          <w:b/>
          <w:sz w:val="18"/>
        </w:rPr>
        <w:t>心功能状态分级</w:t>
      </w:r>
      <w:r>
        <w:rPr>
          <w:sz w:val="18"/>
        </w:rPr>
        <w:t>指美国纽约心脏病学会心功能状态的分级标准：</w:t>
      </w:r>
    </w:p>
    <w:p>
      <w:pPr>
        <w:spacing w:before="23"/>
        <w:ind w:left="284" w:right="0" w:firstLine="0"/>
        <w:jc w:val="left"/>
        <w:rPr>
          <w:sz w:val="18"/>
        </w:rPr>
      </w:pPr>
      <w:r>
        <w:rPr>
          <w:sz w:val="18"/>
        </w:rPr>
        <w:t>Ⅰ级：体力活动不受限制，日常活动不引起乏力、心悸、呼吸困难或心绞痛等症状；</w:t>
      </w:r>
    </w:p>
    <w:p>
      <w:pPr>
        <w:spacing w:before="47"/>
        <w:ind w:left="284" w:right="0" w:firstLine="0"/>
        <w:jc w:val="left"/>
        <w:rPr>
          <w:sz w:val="18"/>
        </w:rPr>
      </w:pPr>
      <w:r>
        <w:rPr>
          <w:sz w:val="18"/>
        </w:rPr>
        <w:t>Ⅱ级：体力活动轻度受限，休息时无症状，日常活动即可引起乏力、心悸、呼吸困难或心绞痛等症状；</w:t>
      </w:r>
    </w:p>
    <w:p>
      <w:pPr>
        <w:spacing w:before="42"/>
        <w:ind w:left="284" w:right="0" w:firstLine="0"/>
        <w:jc w:val="left"/>
        <w:rPr>
          <w:sz w:val="18"/>
        </w:rPr>
      </w:pPr>
      <w:r>
        <w:rPr>
          <w:sz w:val="18"/>
        </w:rPr>
        <w:t>Ⅲ级：体力活动明显受限，休息时无症状，轻于日常的活动即可引起上述症状；</w:t>
      </w:r>
    </w:p>
    <w:p>
      <w:pPr>
        <w:spacing w:line="231" w:lineRule="exact" w:before="42"/>
        <w:ind w:left="284" w:right="0" w:firstLine="0"/>
        <w:jc w:val="left"/>
        <w:rPr>
          <w:sz w:val="18"/>
        </w:rPr>
      </w:pPr>
      <w:r>
        <w:rPr>
          <w:sz w:val="18"/>
        </w:rPr>
        <w:t>Ⅳ级：不能从事任何体力活动，休息时亦有症状，体力活动后加重。</w:t>
      </w:r>
    </w:p>
    <w:p>
      <w:pPr>
        <w:spacing w:line="256" w:lineRule="auto" w:before="0"/>
        <w:ind w:left="284" w:right="309" w:hanging="183"/>
        <w:jc w:val="left"/>
        <w:rPr>
          <w:sz w:val="18"/>
        </w:rPr>
      </w:pPr>
      <w:bookmarkStart w:name="_bookmark20" w:id="21"/>
      <w:bookmarkEnd w:id="21"/>
      <w:r>
        <w:rPr/>
      </w:r>
      <w:r>
        <w:rPr>
          <w:rFonts w:ascii="Microsoft JhengHei" w:eastAsia="Microsoft JhengHei" w:hint="eastAsia"/>
          <w:b/>
          <w:spacing w:val="2"/>
          <w:position w:val="9"/>
          <w:sz w:val="9"/>
        </w:rPr>
        <w:t>21  </w:t>
      </w:r>
      <w:r>
        <w:rPr>
          <w:rFonts w:ascii="Microsoft JhengHei" w:eastAsia="Microsoft JhengHei" w:hint="eastAsia"/>
          <w:b/>
          <w:spacing w:val="-3"/>
          <w:sz w:val="18"/>
        </w:rPr>
        <w:t>肢体机能完全丧失</w:t>
      </w:r>
      <w:r>
        <w:rPr>
          <w:spacing w:val="-8"/>
          <w:sz w:val="18"/>
        </w:rPr>
        <w:t>指肢体的三大关节中的两大关节僵硬，或不能随意识活动。肢体是指包括肩关节的整个上肢或包括髋关节</w:t>
      </w:r>
      <w:r>
        <w:rPr>
          <w:spacing w:val="-3"/>
          <w:sz w:val="18"/>
        </w:rPr>
        <w:t>的整个下肢。</w:t>
      </w:r>
    </w:p>
    <w:p>
      <w:pPr>
        <w:spacing w:line="284" w:lineRule="exact" w:before="19"/>
        <w:ind w:left="284" w:right="304" w:hanging="183"/>
        <w:jc w:val="left"/>
        <w:rPr>
          <w:sz w:val="18"/>
        </w:rPr>
      </w:pPr>
      <w:bookmarkStart w:name="_bookmark21" w:id="22"/>
      <w:bookmarkEnd w:id="22"/>
      <w:r>
        <w:rPr/>
      </w:r>
      <w:r>
        <w:rPr>
          <w:rFonts w:ascii="Microsoft JhengHei" w:eastAsia="Microsoft JhengHei" w:hint="eastAsia"/>
          <w:b/>
          <w:spacing w:val="2"/>
          <w:position w:val="9"/>
          <w:sz w:val="9"/>
        </w:rPr>
        <w:t>22   </w:t>
      </w:r>
      <w:r>
        <w:rPr>
          <w:rFonts w:ascii="Microsoft JhengHei" w:eastAsia="Microsoft JhengHei" w:hint="eastAsia"/>
          <w:b/>
          <w:spacing w:val="-6"/>
          <w:sz w:val="18"/>
        </w:rPr>
        <w:t>语言能力或咀嚼吞咽能力完全丧失：</w:t>
      </w:r>
      <w:r>
        <w:rPr>
          <w:spacing w:val="-7"/>
          <w:sz w:val="18"/>
        </w:rPr>
        <w:t>语言能力完全丧失，指无法发出四种语音</w:t>
      </w:r>
      <w:r>
        <w:rPr>
          <w:spacing w:val="-5"/>
          <w:sz w:val="18"/>
        </w:rPr>
        <w:t>（</w:t>
      </w:r>
      <w:r>
        <w:rPr>
          <w:spacing w:val="-6"/>
          <w:sz w:val="18"/>
        </w:rPr>
        <w:t>包括口唇音、齿舌音、口盖音和喉头音</w:t>
      </w:r>
      <w:r>
        <w:rPr>
          <w:spacing w:val="-15"/>
          <w:sz w:val="18"/>
        </w:rPr>
        <w:t>）</w:t>
      </w:r>
      <w:r>
        <w:rPr>
          <w:sz w:val="18"/>
        </w:rPr>
        <w:t>中</w:t>
      </w:r>
      <w:r>
        <w:rPr>
          <w:spacing w:val="-5"/>
          <w:sz w:val="18"/>
        </w:rPr>
        <w:t>的任何三种、或声带全部切除，或因大脑语言中枢受伤害而患失语症。</w:t>
      </w:r>
    </w:p>
    <w:p>
      <w:pPr>
        <w:spacing w:line="283" w:lineRule="auto" w:before="11"/>
        <w:ind w:left="313" w:right="310" w:firstLine="0"/>
        <w:jc w:val="left"/>
        <w:rPr>
          <w:sz w:val="18"/>
        </w:rPr>
      </w:pPr>
      <w:r>
        <w:rPr>
          <w:spacing w:val="-10"/>
          <w:sz w:val="18"/>
        </w:rPr>
        <w:t>咀嚼吞咽能力完全丧失，指因牙齿以外的原因导致器质障碍或机能障碍，以致不能作咀嚼吞咽运动，除流质食物外不能摄取</w:t>
      </w:r>
      <w:r>
        <w:rPr>
          <w:spacing w:val="-5"/>
          <w:sz w:val="18"/>
        </w:rPr>
        <w:t>或吞咽的状态。</w:t>
      </w:r>
    </w:p>
    <w:p>
      <w:pPr>
        <w:spacing w:after="0" w:line="283" w:lineRule="auto"/>
        <w:jc w:val="left"/>
        <w:rPr>
          <w:sz w:val="18"/>
        </w:rPr>
        <w:sectPr>
          <w:pgSz w:w="11910" w:h="16840"/>
          <w:pgMar w:top="1160" w:bottom="280" w:left="920" w:right="7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1"/>
        <w:gridCol w:w="2407"/>
        <w:gridCol w:w="6947"/>
      </w:tblGrid>
      <w:tr>
        <w:trPr>
          <w:trHeight w:val="261" w:hRule="atLeast"/>
        </w:trPr>
        <w:tc>
          <w:tcPr>
            <w:tcW w:w="451" w:type="dxa"/>
          </w:tcPr>
          <w:p>
            <w:pPr>
              <w:pStyle w:val="TableParagraph"/>
              <w:rPr>
                <w:rFonts w:ascii="Times New Roman"/>
                <w:sz w:val="18"/>
              </w:rPr>
            </w:pPr>
          </w:p>
        </w:tc>
        <w:tc>
          <w:tcPr>
            <w:tcW w:w="2407" w:type="dxa"/>
          </w:tcPr>
          <w:p>
            <w:pPr>
              <w:pStyle w:val="TableParagraph"/>
              <w:rPr>
                <w:rFonts w:ascii="Times New Roman"/>
                <w:sz w:val="18"/>
              </w:rPr>
            </w:pPr>
          </w:p>
        </w:tc>
        <w:tc>
          <w:tcPr>
            <w:tcW w:w="6947" w:type="dxa"/>
          </w:tcPr>
          <w:p>
            <w:pPr>
              <w:pStyle w:val="TableParagraph"/>
              <w:spacing w:line="211" w:lineRule="exact"/>
              <w:ind w:left="95"/>
              <w:rPr>
                <w:sz w:val="21"/>
              </w:rPr>
            </w:pPr>
            <w:r>
              <w:rPr>
                <w:sz w:val="21"/>
              </w:rPr>
              <w:t>主动脉指胸主动脉和腹主动脉，</w:t>
            </w:r>
            <w:r>
              <w:rPr>
                <w:sz w:val="21"/>
                <w:shd w:fill="DADADA" w:color="auto" w:val="clear"/>
              </w:rPr>
              <w:t>不包括胸主动脉和腹主动脉的分支血管。</w:t>
            </w:r>
          </w:p>
        </w:tc>
      </w:tr>
      <w:tr>
        <w:trPr>
          <w:trHeight w:val="443" w:hRule="atLeast"/>
        </w:trPr>
        <w:tc>
          <w:tcPr>
            <w:tcW w:w="451" w:type="dxa"/>
          </w:tcPr>
          <w:p>
            <w:pPr>
              <w:pStyle w:val="TableParagraph"/>
              <w:rPr>
                <w:rFonts w:ascii="Times New Roman"/>
                <w:sz w:val="20"/>
              </w:rPr>
            </w:pPr>
          </w:p>
        </w:tc>
        <w:tc>
          <w:tcPr>
            <w:tcW w:w="2407" w:type="dxa"/>
          </w:tcPr>
          <w:p>
            <w:pPr>
              <w:pStyle w:val="TableParagraph"/>
              <w:rPr>
                <w:rFonts w:ascii="Times New Roman"/>
                <w:sz w:val="20"/>
              </w:rPr>
            </w:pPr>
          </w:p>
        </w:tc>
        <w:tc>
          <w:tcPr>
            <w:tcW w:w="6947" w:type="dxa"/>
          </w:tcPr>
          <w:p>
            <w:pPr>
              <w:pStyle w:val="TableParagraph"/>
              <w:spacing w:line="261" w:lineRule="exact"/>
              <w:ind w:left="95"/>
              <w:rPr>
                <w:sz w:val="21"/>
              </w:rPr>
            </w:pPr>
            <w:r>
              <w:rPr>
                <w:sz w:val="21"/>
                <w:shd w:fill="DADADA" w:color="auto" w:val="clear"/>
              </w:rPr>
              <w:t>动脉内血管成形术不在保障范围内。</w:t>
            </w:r>
          </w:p>
        </w:tc>
      </w:tr>
      <w:tr>
        <w:trPr>
          <w:trHeight w:val="1037" w:hRule="atLeast"/>
        </w:trPr>
        <w:tc>
          <w:tcPr>
            <w:tcW w:w="451" w:type="dxa"/>
          </w:tcPr>
          <w:p>
            <w:pPr>
              <w:pStyle w:val="TableParagraph"/>
              <w:spacing w:before="138"/>
              <w:ind w:left="50"/>
              <w:rPr>
                <w:b/>
                <w:sz w:val="21"/>
              </w:rPr>
            </w:pPr>
            <w:r>
              <w:rPr>
                <w:b/>
                <w:sz w:val="21"/>
              </w:rPr>
              <w:t>10</w:t>
            </w:r>
          </w:p>
        </w:tc>
        <w:tc>
          <w:tcPr>
            <w:tcW w:w="2407" w:type="dxa"/>
          </w:tcPr>
          <w:p>
            <w:pPr>
              <w:pStyle w:val="TableParagraph"/>
              <w:spacing w:line="235" w:lineRule="auto" w:before="109"/>
              <w:ind w:left="189" w:right="95"/>
              <w:rPr>
                <w:rFonts w:ascii="等线" w:eastAsia="等线" w:hint="eastAsia"/>
                <w:b/>
                <w:sz w:val="24"/>
              </w:rPr>
            </w:pPr>
            <w:r>
              <w:rPr>
                <w:rFonts w:ascii="等线" w:eastAsia="等线" w:hint="eastAsia"/>
                <w:b/>
                <w:sz w:val="24"/>
              </w:rPr>
              <w:t>严重感染性心内膜炎</w:t>
            </w:r>
          </w:p>
        </w:tc>
        <w:tc>
          <w:tcPr>
            <w:tcW w:w="6947" w:type="dxa"/>
          </w:tcPr>
          <w:p>
            <w:pPr>
              <w:pStyle w:val="TableParagraph"/>
              <w:spacing w:line="256" w:lineRule="auto" w:before="138"/>
              <w:ind w:left="95" w:right="47"/>
              <w:rPr>
                <w:sz w:val="21"/>
              </w:rPr>
            </w:pPr>
            <w:r>
              <w:rPr>
                <w:sz w:val="21"/>
              </w:rPr>
              <w:t>指因感染性微生物造成心脏内膜发炎，经由专科医生确诊，并符合下</w:t>
            </w:r>
            <w:r>
              <w:rPr>
                <w:rFonts w:ascii="Times New Roman" w:eastAsia="Times New Roman"/>
                <w:spacing w:val="2"/>
                <w:w w:val="110"/>
                <w:sz w:val="21"/>
              </w:rPr>
              <w:t>列</w:t>
            </w:r>
            <w:r>
              <w:rPr>
                <w:spacing w:val="-60"/>
                <w:sz w:val="21"/>
              </w:rPr>
              <w:t>所</w:t>
            </w:r>
            <w:r>
              <w:rPr>
                <w:sz w:val="21"/>
              </w:rPr>
              <w:t>有条件:</w:t>
            </w:r>
          </w:p>
          <w:p>
            <w:pPr>
              <w:pStyle w:val="TableParagraph"/>
              <w:spacing w:line="255" w:lineRule="exact" w:before="22"/>
              <w:ind w:left="95"/>
              <w:rPr>
                <w:sz w:val="21"/>
              </w:rPr>
            </w:pPr>
            <w:r>
              <w:rPr>
                <w:sz w:val="21"/>
              </w:rPr>
              <w:t>（1）以下方法之一血液培养测试结果为阳性，证实存在感染性微生物：</w:t>
            </w:r>
          </w:p>
        </w:tc>
      </w:tr>
    </w:tbl>
    <w:p>
      <w:pPr>
        <w:pStyle w:val="BodyText"/>
        <w:tabs>
          <w:tab w:pos="3597" w:val="left" w:leader="none"/>
        </w:tabs>
        <w:spacing w:before="40"/>
        <w:ind w:left="3175"/>
      </w:pPr>
      <w:r>
        <w:rPr/>
        <w:t>①</w:t>
        <w:tab/>
      </w:r>
      <w:r>
        <w:rPr>
          <w:spacing w:val="-5"/>
        </w:rPr>
        <w:t>微生物：在赘生物或心脏内脓疡经培养或组织检查证实有微生物；</w:t>
      </w:r>
    </w:p>
    <w:p>
      <w:pPr>
        <w:pStyle w:val="BodyText"/>
        <w:tabs>
          <w:tab w:pos="3597" w:val="left" w:leader="none"/>
        </w:tabs>
        <w:spacing w:before="37"/>
        <w:ind w:left="3175"/>
      </w:pPr>
      <w:r>
        <w:rPr/>
        <w:t>②</w:t>
        <w:tab/>
        <w:t>病</w:t>
      </w:r>
      <w:r>
        <w:rPr>
          <w:rFonts w:ascii="Times New Roman" w:hAnsi="Times New Roman" w:eastAsia="Times New Roman"/>
          <w:w w:val="110"/>
        </w:rPr>
        <w:t>理</w:t>
      </w:r>
      <w:r>
        <w:rPr>
          <w:spacing w:val="-5"/>
        </w:rPr>
        <w:t>性病灶：组织检查证实赘生物或心脏内脓疡有活动性心内膜炎；</w:t>
      </w:r>
    </w:p>
    <w:p>
      <w:pPr>
        <w:pStyle w:val="BodyText"/>
        <w:tabs>
          <w:tab w:pos="3597" w:val="left" w:leader="none"/>
        </w:tabs>
        <w:spacing w:before="21"/>
        <w:ind w:left="3175"/>
      </w:pPr>
      <w:r>
        <w:rPr/>
        <w:t>③</w:t>
        <w:tab/>
      </w:r>
      <w:r>
        <w:rPr>
          <w:spacing w:val="-5"/>
        </w:rPr>
        <w:t>分别两次血液培养证实有微生物，且与心内膜炎符合。</w:t>
      </w:r>
    </w:p>
    <w:p>
      <w:pPr>
        <w:pStyle w:val="BodyText"/>
        <w:spacing w:line="273" w:lineRule="auto" w:before="36"/>
        <w:ind w:left="3592" w:right="210" w:hanging="524"/>
      </w:pPr>
      <w:r>
        <w:rPr>
          <w:spacing w:val="-5"/>
        </w:rPr>
        <w:t>（2）出现明显的心功能衰竭</w:t>
      </w:r>
      <w:r>
        <w:rPr/>
        <w:t>（</w:t>
      </w:r>
      <w:r>
        <w:rPr>
          <w:spacing w:val="-5"/>
        </w:rPr>
        <w:t>指按照美国纽约心脏病学会提出的心功能状态分级的标准判定，心功能状态已达Ⅳ级</w:t>
      </w:r>
      <w:r>
        <w:rPr>
          <w:spacing w:val="-106"/>
        </w:rPr>
        <w:t>）</w:t>
      </w:r>
      <w:r>
        <w:rPr/>
        <w:t>。</w:t>
      </w:r>
    </w:p>
    <w:p>
      <w:pPr>
        <w:pStyle w:val="BodyText"/>
        <w:spacing w:before="10"/>
        <w:rPr>
          <w:sz w:val="19"/>
        </w:rPr>
      </w:pPr>
    </w:p>
    <w:p>
      <w:pPr>
        <w:pStyle w:val="ListParagraph"/>
        <w:numPr>
          <w:ilvl w:val="0"/>
          <w:numId w:val="10"/>
        </w:numPr>
        <w:tabs>
          <w:tab w:pos="756" w:val="left" w:leader="none"/>
        </w:tabs>
        <w:spacing w:line="264" w:lineRule="auto" w:before="0" w:after="0"/>
        <w:ind w:left="3069" w:right="205" w:hanging="2904"/>
        <w:jc w:val="both"/>
        <w:rPr>
          <w:sz w:val="21"/>
        </w:rPr>
      </w:pPr>
      <w:r>
        <w:rPr>
          <w:rFonts w:ascii="等线" w:hAnsi="等线" w:eastAsia="等线" w:hint="eastAsia"/>
          <w:b/>
          <w:spacing w:val="2"/>
          <w:position w:val="1"/>
          <w:sz w:val="24"/>
        </w:rPr>
        <w:t>严重肺源性心脏病    </w:t>
      </w:r>
      <w:r>
        <w:rPr>
          <w:sz w:val="21"/>
        </w:rPr>
        <w:t>指因慢性肺部疾病导致慢性心功能损害造成永久不可逆性的心功能衰竭。心功能衰竭程度至少达到美国纽约心脏病学会心功能状态分级Ⅳ级。永久</w:t>
      </w:r>
      <w:r>
        <w:rPr>
          <w:spacing w:val="-5"/>
          <w:sz w:val="21"/>
        </w:rPr>
        <w:t>不可逆性的体力活动能力受限，不能从事任何体力活动。</w:t>
      </w:r>
    </w:p>
    <w:p>
      <w:pPr>
        <w:pStyle w:val="BodyText"/>
        <w:rPr>
          <w:sz w:val="20"/>
        </w:rPr>
      </w:pPr>
    </w:p>
    <w:p>
      <w:pPr>
        <w:pStyle w:val="ListParagraph"/>
        <w:numPr>
          <w:ilvl w:val="0"/>
          <w:numId w:val="10"/>
        </w:numPr>
        <w:tabs>
          <w:tab w:pos="756" w:val="left" w:leader="none"/>
        </w:tabs>
        <w:spacing w:line="254" w:lineRule="auto" w:before="1" w:after="0"/>
        <w:ind w:left="3069" w:right="205" w:hanging="2904"/>
        <w:jc w:val="both"/>
        <w:rPr>
          <w:sz w:val="21"/>
        </w:rPr>
      </w:pPr>
      <w:r>
        <w:rPr>
          <w:rFonts w:ascii="等线" w:eastAsia="等线" w:hint="eastAsia"/>
          <w:b/>
          <w:spacing w:val="0"/>
          <w:position w:val="1"/>
          <w:sz w:val="24"/>
        </w:rPr>
        <w:t>艾森门格综合征        </w:t>
      </w:r>
      <w:r>
        <w:rPr>
          <w:sz w:val="21"/>
        </w:rPr>
        <w:t>指因心脏病导致的严重肺动脉高血压及右向左分流。诊断必须由专科医生</w:t>
      </w:r>
      <w:r>
        <w:rPr>
          <w:spacing w:val="-5"/>
          <w:sz w:val="21"/>
        </w:rPr>
        <w:t>经超声心动图和心导管检查证实及需符合以下所有标准:</w:t>
      </w:r>
    </w:p>
    <w:p>
      <w:pPr>
        <w:pStyle w:val="BodyText"/>
        <w:spacing w:before="24"/>
        <w:ind w:left="3069"/>
      </w:pPr>
      <w:r>
        <w:rPr/>
        <w:t>（1）平均肺动脉压高于 40mmHg；</w:t>
      </w:r>
    </w:p>
    <w:p>
      <w:pPr>
        <w:pStyle w:val="BodyText"/>
        <w:spacing w:before="36"/>
        <w:ind w:left="3069"/>
      </w:pPr>
      <w:r>
        <w:rPr>
          <w:w w:val="100"/>
        </w:rPr>
        <w:t>（2）</w:t>
      </w:r>
      <w:r>
        <w:rPr>
          <w:spacing w:val="-3"/>
          <w:w w:val="100"/>
        </w:rPr>
        <w:t>肺血管阻力高于</w:t>
      </w:r>
      <w:r>
        <w:rPr>
          <w:spacing w:val="-53"/>
        </w:rPr>
        <w:t> </w:t>
      </w:r>
      <w:r>
        <w:rPr>
          <w:w w:val="100"/>
        </w:rPr>
        <w:t>3mm/L/</w:t>
      </w:r>
      <w:r>
        <w:rPr>
          <w:spacing w:val="-5"/>
          <w:w w:val="100"/>
        </w:rPr>
        <w:t>m</w:t>
      </w:r>
      <w:r>
        <w:rPr>
          <w:w w:val="100"/>
        </w:rPr>
        <w:t>in（Wood</w:t>
      </w:r>
      <w:r>
        <w:rPr>
          <w:spacing w:val="-57"/>
        </w:rPr>
        <w:t> </w:t>
      </w:r>
      <w:r>
        <w:rPr>
          <w:w w:val="100"/>
        </w:rPr>
        <w:t>单位</w:t>
      </w:r>
      <w:r>
        <w:rPr>
          <w:spacing w:val="-106"/>
          <w:w w:val="100"/>
        </w:rPr>
        <w:t>）</w:t>
      </w:r>
      <w:r>
        <w:rPr>
          <w:w w:val="100"/>
        </w:rPr>
        <w:t>；</w:t>
      </w:r>
    </w:p>
    <w:p>
      <w:pPr>
        <w:pStyle w:val="BodyText"/>
        <w:spacing w:before="36"/>
        <w:ind w:left="3070"/>
      </w:pPr>
      <w:r>
        <w:rPr/>
        <w:t>（3）正常肺微血管楔压低于 15mmHg。</w:t>
      </w:r>
    </w:p>
    <w:p>
      <w:pPr>
        <w:pStyle w:val="BodyText"/>
        <w:spacing w:before="2"/>
        <w:rPr>
          <w:sz w:val="20"/>
        </w:rPr>
      </w:pPr>
    </w:p>
    <w:p>
      <w:pPr>
        <w:spacing w:after="0"/>
        <w:rPr>
          <w:sz w:val="20"/>
        </w:rPr>
        <w:sectPr>
          <w:pgSz w:w="11910" w:h="16840"/>
          <w:pgMar w:top="1160" w:bottom="280" w:left="1020" w:right="800"/>
        </w:sectPr>
      </w:pPr>
    </w:p>
    <w:p>
      <w:pPr>
        <w:pStyle w:val="Heading2"/>
        <w:numPr>
          <w:ilvl w:val="0"/>
          <w:numId w:val="10"/>
        </w:numPr>
        <w:tabs>
          <w:tab w:pos="755" w:val="left" w:leader="none"/>
          <w:tab w:pos="756" w:val="left" w:leader="none"/>
        </w:tabs>
        <w:spacing w:line="232" w:lineRule="auto" w:before="30" w:after="0"/>
        <w:ind w:left="756" w:right="0" w:hanging="591"/>
        <w:jc w:val="left"/>
      </w:pPr>
      <w:r>
        <w:rPr>
          <w:spacing w:val="22"/>
          <w:position w:val="1"/>
        </w:rPr>
        <w:t>严重的Ⅲ度房室传</w:t>
      </w:r>
      <w:r>
        <w:rPr/>
        <w:t>导阻滞</w:t>
      </w:r>
    </w:p>
    <w:p>
      <w:pPr>
        <w:pStyle w:val="BodyText"/>
        <w:spacing w:line="273" w:lineRule="auto" w:before="56"/>
        <w:ind w:left="151" w:right="210"/>
      </w:pPr>
      <w:r>
        <w:rPr/>
        <w:br w:type="column"/>
      </w:r>
      <w:r>
        <w:rPr/>
        <w:t>指心房激动在房室交界区、房室束及其分支内发生阻滞，不能正常地传到心室的心脏传导性疾病须满足下列所有条件：</w:t>
      </w:r>
    </w:p>
    <w:p>
      <w:pPr>
        <w:pStyle w:val="BodyText"/>
        <w:spacing w:before="7"/>
        <w:ind w:left="151"/>
      </w:pPr>
      <w:r>
        <w:rPr/>
        <w:t>（1）心电图显示房室搏动彼此独立，心室率&lt;50 次/分钟；</w:t>
      </w:r>
    </w:p>
    <w:p>
      <w:pPr>
        <w:pStyle w:val="BodyText"/>
        <w:spacing w:before="36"/>
        <w:ind w:left="151"/>
      </w:pPr>
      <w:r>
        <w:rPr/>
        <w:t>（2）出现阿-斯综合征或心力衰竭的表现；</w:t>
      </w:r>
    </w:p>
    <w:p>
      <w:pPr>
        <w:pStyle w:val="BodyText"/>
        <w:spacing w:line="273" w:lineRule="auto" w:before="36"/>
        <w:ind w:left="674" w:right="191" w:hanging="524"/>
      </w:pPr>
      <w:r>
        <w:rPr/>
        <w:t>（3）必须持续性依赖心脏起搏器维持心脏正常功能，且已经放置心脏起搏器。</w:t>
      </w:r>
    </w:p>
    <w:p>
      <w:pPr>
        <w:spacing w:after="0" w:line="273" w:lineRule="auto"/>
        <w:sectPr>
          <w:type w:val="continuous"/>
          <w:pgSz w:w="11910" w:h="16840"/>
          <w:pgMar w:top="520" w:bottom="280" w:left="1020" w:right="800"/>
          <w:cols w:num="2" w:equalWidth="0">
            <w:col w:w="2878" w:space="40"/>
            <w:col w:w="7172"/>
          </w:cols>
        </w:sectPr>
      </w:pPr>
    </w:p>
    <w:p>
      <w:pPr>
        <w:pStyle w:val="BodyText"/>
        <w:spacing w:before="12"/>
        <w:rPr>
          <w:sz w:val="17"/>
        </w:rPr>
      </w:pPr>
    </w:p>
    <w:p>
      <w:pPr>
        <w:pStyle w:val="ListParagraph"/>
        <w:numPr>
          <w:ilvl w:val="0"/>
          <w:numId w:val="10"/>
        </w:numPr>
        <w:tabs>
          <w:tab w:pos="755" w:val="left" w:leader="none"/>
          <w:tab w:pos="756" w:val="left" w:leader="none"/>
          <w:tab w:pos="3069" w:val="left" w:leader="none"/>
        </w:tabs>
        <w:spacing w:line="254" w:lineRule="auto" w:before="20" w:after="0"/>
        <w:ind w:left="3069" w:right="210" w:hanging="2904"/>
        <w:jc w:val="left"/>
        <w:rPr>
          <w:sz w:val="21"/>
        </w:rPr>
      </w:pPr>
      <w:r>
        <w:rPr>
          <w:rFonts w:ascii="等线" w:eastAsia="等线" w:hint="eastAsia"/>
          <w:b/>
          <w:position w:val="1"/>
          <w:sz w:val="24"/>
        </w:rPr>
        <w:t>严重冠心病</w:t>
        <w:tab/>
      </w:r>
      <w:r>
        <w:rPr>
          <w:sz w:val="21"/>
        </w:rPr>
        <w:t>指</w:t>
      </w:r>
      <w:r>
        <w:rPr>
          <w:spacing w:val="2"/>
          <w:sz w:val="21"/>
        </w:rPr>
        <w:t>经</w:t>
      </w:r>
      <w:r>
        <w:rPr>
          <w:sz w:val="21"/>
        </w:rPr>
        <w:t>冠状动</w:t>
      </w:r>
      <w:r>
        <w:rPr>
          <w:spacing w:val="2"/>
          <w:sz w:val="21"/>
        </w:rPr>
        <w:t>脉</w:t>
      </w:r>
      <w:r>
        <w:rPr>
          <w:sz w:val="21"/>
        </w:rPr>
        <w:t>造影检</w:t>
      </w:r>
      <w:r>
        <w:rPr>
          <w:spacing w:val="2"/>
          <w:sz w:val="21"/>
        </w:rPr>
        <w:t>查</w:t>
      </w:r>
      <w:r>
        <w:rPr>
          <w:sz w:val="21"/>
        </w:rPr>
        <w:t>明确诊</w:t>
      </w:r>
      <w:r>
        <w:rPr>
          <w:spacing w:val="2"/>
          <w:sz w:val="21"/>
        </w:rPr>
        <w:t>断</w:t>
      </w:r>
      <w:r>
        <w:rPr>
          <w:sz w:val="21"/>
        </w:rPr>
        <w:t>为主要</w:t>
      </w:r>
      <w:r>
        <w:rPr>
          <w:spacing w:val="2"/>
          <w:sz w:val="21"/>
        </w:rPr>
        <w:t>血</w:t>
      </w:r>
      <w:r>
        <w:rPr>
          <w:sz w:val="21"/>
        </w:rPr>
        <w:t>管严重</w:t>
      </w:r>
      <w:r>
        <w:rPr>
          <w:spacing w:val="2"/>
          <w:sz w:val="21"/>
        </w:rPr>
        <w:t>狭</w:t>
      </w:r>
      <w:r>
        <w:rPr>
          <w:sz w:val="21"/>
        </w:rPr>
        <w:t>窄性</w:t>
      </w:r>
      <w:r>
        <w:rPr>
          <w:spacing w:val="2"/>
          <w:sz w:val="21"/>
        </w:rPr>
        <w:t>病</w:t>
      </w:r>
      <w:r>
        <w:rPr>
          <w:sz w:val="21"/>
        </w:rPr>
        <w:t>变，须</w:t>
      </w:r>
      <w:r>
        <w:rPr>
          <w:spacing w:val="2"/>
          <w:sz w:val="21"/>
        </w:rPr>
        <w:t>满</w:t>
      </w:r>
      <w:r>
        <w:rPr>
          <w:sz w:val="21"/>
        </w:rPr>
        <w:t>足</w:t>
      </w:r>
      <w:r>
        <w:rPr>
          <w:spacing w:val="2"/>
          <w:sz w:val="21"/>
        </w:rPr>
        <w:t>下</w:t>
      </w:r>
      <w:r>
        <w:rPr>
          <w:sz w:val="21"/>
        </w:rPr>
        <w:t>列 至少一项</w:t>
      </w:r>
      <w:r>
        <w:rPr>
          <w:spacing w:val="-5"/>
          <w:sz w:val="21"/>
        </w:rPr>
        <w:t>条</w:t>
      </w:r>
      <w:r>
        <w:rPr>
          <w:sz w:val="21"/>
        </w:rPr>
        <w:t>件：</w:t>
      </w:r>
    </w:p>
    <w:p>
      <w:pPr>
        <w:pStyle w:val="BodyText"/>
        <w:spacing w:line="273" w:lineRule="auto" w:before="24"/>
        <w:ind w:left="3592" w:right="165" w:hanging="524"/>
      </w:pPr>
      <w:r>
        <w:rPr/>
        <w:t>（1）左冠状动脉主干和右冠状动脉中，一支血管管腔堵塞 75%以上，另一支血管管腔堵塞 60%以上；</w:t>
      </w:r>
    </w:p>
    <w:p>
      <w:pPr>
        <w:pStyle w:val="BodyText"/>
        <w:spacing w:line="273" w:lineRule="auto" w:before="7"/>
        <w:ind w:left="3592" w:right="105" w:hanging="524"/>
      </w:pPr>
      <w:r>
        <w:rPr>
          <w:spacing w:val="-10"/>
        </w:rPr>
        <w:t>（2）</w:t>
      </w:r>
      <w:r>
        <w:rPr>
          <w:spacing w:val="-9"/>
        </w:rPr>
        <w:t>左前降支、左旋支和右冠状动脉中，至少一支血管管腔堵塞 </w:t>
      </w:r>
      <w:r>
        <w:rPr/>
        <w:t>75%以上， </w:t>
      </w:r>
      <w:r>
        <w:rPr>
          <w:spacing w:val="-6"/>
        </w:rPr>
        <w:t>其他两支血管管腔堵塞 </w:t>
      </w:r>
      <w:r>
        <w:rPr/>
        <w:t>60%</w:t>
      </w:r>
      <w:r>
        <w:rPr>
          <w:spacing w:val="-2"/>
        </w:rPr>
        <w:t>以上。</w:t>
      </w:r>
    </w:p>
    <w:p>
      <w:pPr>
        <w:pStyle w:val="BodyText"/>
        <w:spacing w:line="273" w:lineRule="auto" w:before="7"/>
        <w:ind w:left="3069" w:right="210"/>
      </w:pPr>
      <w:r>
        <w:rPr>
          <w:shd w:fill="DADADA" w:color="auto" w:val="clear"/>
        </w:rPr>
        <w:t>左前降支的分支血管、左旋支的分支血管及右冠状动脉的分支血管的狭窄</w:t>
      </w:r>
      <w:r>
        <w:rPr>
          <w:spacing w:val="-211"/>
          <w:shd w:fill="DADADA" w:color="auto" w:val="clear"/>
        </w:rPr>
        <w:t>不</w:t>
      </w:r>
      <w:r>
        <w:rPr>
          <w:spacing w:val="-3"/>
          <w:shd w:fill="DADADA" w:color="auto" w:val="clear"/>
        </w:rPr>
        <w:t>作为本保障的衡量指标。</w:t>
      </w:r>
    </w:p>
    <w:p>
      <w:pPr>
        <w:pStyle w:val="BodyText"/>
        <w:spacing w:before="11"/>
        <w:rPr>
          <w:sz w:val="17"/>
        </w:rPr>
      </w:pPr>
    </w:p>
    <w:p>
      <w:pPr>
        <w:spacing w:after="0"/>
        <w:rPr>
          <w:sz w:val="17"/>
        </w:rPr>
        <w:sectPr>
          <w:type w:val="continuous"/>
          <w:pgSz w:w="11910" w:h="16840"/>
          <w:pgMar w:top="520" w:bottom="280" w:left="1020" w:right="800"/>
        </w:sectPr>
      </w:pPr>
    </w:p>
    <w:p>
      <w:pPr>
        <w:pStyle w:val="Heading2"/>
        <w:numPr>
          <w:ilvl w:val="0"/>
          <w:numId w:val="10"/>
        </w:numPr>
        <w:tabs>
          <w:tab w:pos="755" w:val="left" w:leader="none"/>
          <w:tab w:pos="756" w:val="left" w:leader="none"/>
        </w:tabs>
        <w:spacing w:line="232" w:lineRule="auto" w:before="31" w:after="0"/>
        <w:ind w:left="756" w:right="0" w:hanging="591"/>
        <w:jc w:val="left"/>
      </w:pPr>
      <w:r>
        <w:rPr>
          <w:spacing w:val="22"/>
          <w:position w:val="1"/>
        </w:rPr>
        <w:t>风湿热导致的心脏</w:t>
      </w:r>
      <w:r>
        <w:rPr/>
        <w:t>瓣膜疾病</w:t>
      </w:r>
    </w:p>
    <w:p>
      <w:pPr>
        <w:pStyle w:val="BodyText"/>
        <w:spacing w:line="273" w:lineRule="auto" w:before="57"/>
        <w:ind w:left="151" w:right="210"/>
        <w:jc w:val="both"/>
      </w:pPr>
      <w:r>
        <w:rPr/>
        <w:br w:type="column"/>
      </w:r>
      <w:r>
        <w:rPr>
          <w:spacing w:val="-3"/>
        </w:rPr>
        <w:t>指经由专科医生根据已修订的 </w:t>
      </w:r>
      <w:r>
        <w:rPr/>
        <w:t>Jones</w:t>
      </w:r>
      <w:r>
        <w:rPr>
          <w:spacing w:val="-4"/>
        </w:rPr>
        <w:t> 标准诊断证实罹患急性风湿热。且因</w:t>
      </w:r>
      <w:r>
        <w:rPr/>
        <w:t>风湿热所导致一个或以上最少轻度心脏瓣膜关闭不全</w:t>
      </w:r>
      <w:r>
        <w:rPr>
          <w:spacing w:val="2"/>
        </w:rPr>
        <w:t>（</w:t>
      </w:r>
      <w:r>
        <w:rPr>
          <w:spacing w:val="3"/>
        </w:rPr>
        <w:t>即返流部份达 </w:t>
      </w:r>
      <w:r>
        <w:rPr/>
        <w:t>20% 或以上）</w:t>
      </w:r>
      <w:r>
        <w:rPr>
          <w:spacing w:val="-3"/>
        </w:rPr>
        <w:t>或狭窄的心瓣损伤</w:t>
      </w:r>
      <w:r>
        <w:rPr>
          <w:spacing w:val="-5"/>
        </w:rPr>
        <w:t>（</w:t>
      </w:r>
      <w:r>
        <w:rPr>
          <w:spacing w:val="-4"/>
        </w:rPr>
        <w:t>即心脏瓣面积为正常值的 </w:t>
      </w:r>
      <w:r>
        <w:rPr/>
        <w:t>30%</w:t>
      </w:r>
      <w:r>
        <w:rPr>
          <w:spacing w:val="-2"/>
        </w:rPr>
        <w:t>或以下</w:t>
      </w:r>
      <w:r>
        <w:rPr>
          <w:spacing w:val="-106"/>
        </w:rPr>
        <w:t>）</w:t>
      </w:r>
      <w:r>
        <w:rPr>
          <w:spacing w:val="-2"/>
        </w:rPr>
        <w:t>。有关</w:t>
      </w:r>
      <w:r>
        <w:rPr>
          <w:spacing w:val="-5"/>
        </w:rPr>
        <w:t>诊断须由专科医生根据心瓣功能的定量检查证实。</w:t>
      </w:r>
    </w:p>
    <w:p>
      <w:pPr>
        <w:spacing w:after="0" w:line="273" w:lineRule="auto"/>
        <w:jc w:val="both"/>
        <w:sectPr>
          <w:type w:val="continuous"/>
          <w:pgSz w:w="11910" w:h="16840"/>
          <w:pgMar w:top="520" w:bottom="280" w:left="1020" w:right="800"/>
          <w:cols w:num="2" w:equalWidth="0">
            <w:col w:w="2878" w:space="40"/>
            <w:col w:w="7172"/>
          </w:cols>
        </w:sectPr>
      </w:pPr>
    </w:p>
    <w:p>
      <w:pPr>
        <w:pStyle w:val="BodyText"/>
        <w:spacing w:before="5"/>
        <w:rPr>
          <w:sz w:val="19"/>
        </w:rPr>
      </w:pPr>
    </w:p>
    <w:p>
      <w:pPr>
        <w:pStyle w:val="Heading4"/>
        <w:tabs>
          <w:tab w:pos="3069" w:val="left" w:leader="none"/>
        </w:tabs>
        <w:spacing w:before="37"/>
        <w:ind w:left="756"/>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3</w:t>
      </w:r>
      <w:r>
        <w:rPr>
          <w:rFonts w:ascii="宋体" w:eastAsia="宋体" w:hint="eastAsia"/>
          <w:spacing w:val="-54"/>
        </w:rPr>
        <w:t> </w:t>
      </w:r>
      <w:r>
        <w:rPr>
          <w:rFonts w:ascii="宋体" w:eastAsia="宋体" w:hint="eastAsia"/>
        </w:rPr>
        <w:t>类：</w:t>
        <w:tab/>
        <w:t>与器官功能严重受损相关的疾病</w:t>
      </w:r>
    </w:p>
    <w:p>
      <w:pPr>
        <w:pStyle w:val="BodyText"/>
        <w:spacing w:before="4"/>
        <w:rPr>
          <w:b/>
          <w:sz w:val="18"/>
        </w:rPr>
      </w:pPr>
    </w:p>
    <w:p>
      <w:pPr>
        <w:spacing w:after="0"/>
        <w:rPr>
          <w:sz w:val="18"/>
        </w:rPr>
        <w:sectPr>
          <w:type w:val="continuous"/>
          <w:pgSz w:w="11910" w:h="16840"/>
          <w:pgMar w:top="520" w:bottom="280" w:left="1020" w:right="800"/>
        </w:sectPr>
      </w:pPr>
    </w:p>
    <w:p>
      <w:pPr>
        <w:pStyle w:val="ListParagraph"/>
        <w:numPr>
          <w:ilvl w:val="0"/>
          <w:numId w:val="10"/>
        </w:numPr>
        <w:tabs>
          <w:tab w:pos="755" w:val="left" w:leader="none"/>
          <w:tab w:pos="756" w:val="left" w:leader="none"/>
        </w:tabs>
        <w:spacing w:line="232" w:lineRule="auto" w:before="30" w:after="0"/>
        <w:ind w:left="756" w:right="0" w:hanging="591"/>
        <w:jc w:val="left"/>
        <w:rPr>
          <w:rFonts w:ascii="等线" w:eastAsia="等线" w:hint="eastAsia"/>
          <w:b/>
          <w:sz w:val="24"/>
        </w:rPr>
      </w:pPr>
      <w:r>
        <w:rPr>
          <w:rFonts w:ascii="等线" w:eastAsia="等线" w:hint="eastAsia"/>
          <w:b/>
          <w:spacing w:val="22"/>
          <w:position w:val="1"/>
          <w:sz w:val="24"/>
        </w:rPr>
        <w:t>重型再生障碍性贫</w:t>
      </w:r>
      <w:r>
        <w:rPr>
          <w:rFonts w:ascii="等线" w:eastAsia="等线" w:hint="eastAsia"/>
          <w:b/>
          <w:sz w:val="24"/>
        </w:rPr>
        <w:t>血</w:t>
      </w:r>
    </w:p>
    <w:p>
      <w:pPr>
        <w:pStyle w:val="BodyText"/>
        <w:spacing w:line="273" w:lineRule="auto" w:before="56"/>
        <w:ind w:left="151" w:right="210"/>
      </w:pPr>
      <w:r>
        <w:rPr/>
        <w:br w:type="column"/>
      </w:r>
      <w:r>
        <w:rPr/>
        <w:t>指因骨髓造血功能慢性持续性衰竭导致的贫血、中性粒细胞减少及血小板减少。须满足下列全部条件：</w:t>
      </w:r>
    </w:p>
    <w:p>
      <w:pPr>
        <w:spacing w:after="0" w:line="273" w:lineRule="auto"/>
        <w:sectPr>
          <w:type w:val="continuous"/>
          <w:pgSz w:w="11910" w:h="16840"/>
          <w:pgMar w:top="520" w:bottom="280" w:left="1020" w:right="800"/>
          <w:cols w:num="2" w:equalWidth="0">
            <w:col w:w="2878" w:space="40"/>
            <w:col w:w="7172"/>
          </w:cols>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1"/>
        <w:gridCol w:w="2407"/>
        <w:gridCol w:w="7203"/>
      </w:tblGrid>
      <w:tr>
        <w:trPr>
          <w:trHeight w:val="1641" w:hRule="atLeast"/>
        </w:trPr>
        <w:tc>
          <w:tcPr>
            <w:tcW w:w="601" w:type="dxa"/>
          </w:tcPr>
          <w:p>
            <w:pPr>
              <w:pStyle w:val="TableParagraph"/>
              <w:rPr>
                <w:rFonts w:ascii="Times New Roman"/>
                <w:sz w:val="20"/>
              </w:rPr>
            </w:pPr>
          </w:p>
        </w:tc>
        <w:tc>
          <w:tcPr>
            <w:tcW w:w="2407" w:type="dxa"/>
          </w:tcPr>
          <w:p>
            <w:pPr>
              <w:pStyle w:val="TableParagraph"/>
              <w:rPr>
                <w:rFonts w:ascii="Times New Roman"/>
                <w:sz w:val="20"/>
              </w:rPr>
            </w:pPr>
          </w:p>
        </w:tc>
        <w:tc>
          <w:tcPr>
            <w:tcW w:w="7203" w:type="dxa"/>
          </w:tcPr>
          <w:p>
            <w:pPr>
              <w:pStyle w:val="TableParagraph"/>
              <w:spacing w:line="211" w:lineRule="exact"/>
              <w:ind w:left="95"/>
              <w:rPr>
                <w:sz w:val="21"/>
              </w:rPr>
            </w:pPr>
            <w:r>
              <w:rPr>
                <w:sz w:val="21"/>
              </w:rPr>
              <w:t>（1）骨髓穿刺检查或骨髓活检结果支持诊断；</w:t>
            </w:r>
          </w:p>
          <w:p>
            <w:pPr>
              <w:pStyle w:val="TableParagraph"/>
              <w:spacing w:before="37"/>
              <w:ind w:left="95"/>
              <w:rPr>
                <w:sz w:val="21"/>
              </w:rPr>
            </w:pPr>
            <w:r>
              <w:rPr>
                <w:sz w:val="21"/>
              </w:rPr>
              <w:t>（2）外周血象须具备以下三项条件：</w:t>
            </w:r>
          </w:p>
          <w:p>
            <w:pPr>
              <w:pStyle w:val="TableParagraph"/>
              <w:tabs>
                <w:tab w:pos="623" w:val="left" w:leader="none"/>
              </w:tabs>
              <w:spacing w:before="37"/>
              <w:ind w:left="201"/>
              <w:rPr>
                <w:sz w:val="21"/>
              </w:rPr>
            </w:pPr>
            <w:r>
              <w:rPr>
                <w:sz w:val="21"/>
              </w:rPr>
              <w:t>①</w:t>
              <w:tab/>
            </w:r>
            <w:r>
              <w:rPr>
                <w:spacing w:val="-4"/>
                <w:sz w:val="21"/>
              </w:rPr>
              <w:t>中性粒细胞绝对值</w:t>
            </w:r>
            <w:r>
              <w:rPr>
                <w:spacing w:val="-1"/>
                <w:sz w:val="21"/>
              </w:rPr>
              <w:t>≤0.5×10</w:t>
            </w:r>
            <w:r>
              <w:rPr>
                <w:spacing w:val="-1"/>
                <w:position w:val="11"/>
                <w:sz w:val="11"/>
              </w:rPr>
              <w:t>9</w:t>
            </w:r>
            <w:r>
              <w:rPr>
                <w:spacing w:val="-1"/>
                <w:sz w:val="21"/>
              </w:rPr>
              <w:t>/L；</w:t>
            </w:r>
          </w:p>
          <w:p>
            <w:pPr>
              <w:pStyle w:val="TableParagraph"/>
              <w:tabs>
                <w:tab w:pos="623" w:val="left" w:leader="none"/>
              </w:tabs>
              <w:spacing w:before="37"/>
              <w:ind w:left="201"/>
              <w:rPr>
                <w:sz w:val="21"/>
              </w:rPr>
            </w:pPr>
            <w:r>
              <w:rPr>
                <w:sz w:val="21"/>
              </w:rPr>
              <w:t>②</w:t>
              <w:tab/>
            </w:r>
            <w:r>
              <w:rPr>
                <w:spacing w:val="-3"/>
                <w:sz w:val="21"/>
              </w:rPr>
              <w:t>网织红细胞</w:t>
            </w:r>
            <w:r>
              <w:rPr>
                <w:spacing w:val="-1"/>
                <w:sz w:val="21"/>
              </w:rPr>
              <w:t>＜1%；</w:t>
            </w:r>
          </w:p>
          <w:p>
            <w:pPr>
              <w:pStyle w:val="TableParagraph"/>
              <w:tabs>
                <w:tab w:pos="623" w:val="left" w:leader="none"/>
              </w:tabs>
              <w:spacing w:before="37"/>
              <w:ind w:left="201"/>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845" w:hRule="atLeast"/>
        </w:trPr>
        <w:tc>
          <w:tcPr>
            <w:tcW w:w="601" w:type="dxa"/>
          </w:tcPr>
          <w:p>
            <w:pPr>
              <w:pStyle w:val="TableParagraph"/>
              <w:spacing w:before="138"/>
              <w:ind w:left="179" w:right="169"/>
              <w:jc w:val="center"/>
              <w:rPr>
                <w:b/>
                <w:sz w:val="21"/>
              </w:rPr>
            </w:pPr>
            <w:r>
              <w:rPr>
                <w:b/>
                <w:sz w:val="21"/>
              </w:rPr>
              <w:t>17</w:t>
            </w:r>
          </w:p>
        </w:tc>
        <w:tc>
          <w:tcPr>
            <w:tcW w:w="2407" w:type="dxa"/>
          </w:tcPr>
          <w:p>
            <w:pPr>
              <w:pStyle w:val="TableParagraph"/>
              <w:spacing w:line="235" w:lineRule="auto" w:before="109"/>
              <w:ind w:left="189" w:right="95"/>
              <w:rPr>
                <w:rFonts w:ascii="等线" w:eastAsia="等线" w:hint="eastAsia"/>
                <w:b/>
                <w:sz w:val="24"/>
              </w:rPr>
            </w:pPr>
            <w:r>
              <w:rPr>
                <w:rFonts w:ascii="等线" w:eastAsia="等线" w:hint="eastAsia"/>
                <w:b/>
                <w:sz w:val="24"/>
              </w:rPr>
              <w:t>重大器官移植术或造血干细胞移植术</w:t>
            </w:r>
          </w:p>
        </w:tc>
        <w:tc>
          <w:tcPr>
            <w:tcW w:w="7203" w:type="dxa"/>
          </w:tcPr>
          <w:p>
            <w:pPr>
              <w:pStyle w:val="TableParagraph"/>
              <w:spacing w:line="273" w:lineRule="auto" w:before="138"/>
              <w:ind w:left="95" w:right="303"/>
              <w:rPr>
                <w:sz w:val="21"/>
              </w:rPr>
            </w:pPr>
            <w:r>
              <w:rPr>
                <w:sz w:val="21"/>
              </w:rPr>
              <w:t>重大器官移植术，指因相应器官功能衰竭，已经实施了肾脏、肝脏、心脏或肺脏的异体移植手术。</w:t>
            </w:r>
          </w:p>
          <w:p>
            <w:pPr>
              <w:pStyle w:val="TableParagraph"/>
              <w:spacing w:line="273" w:lineRule="auto" w:before="7"/>
              <w:ind w:left="95" w:right="197"/>
              <w:rPr>
                <w:sz w:val="21"/>
              </w:rPr>
            </w:pPr>
            <w:r>
              <w:rPr>
                <w:sz w:val="21"/>
              </w:rPr>
              <w:t>造血干细胞移植术，指因造血功能损害或造血系统恶性肿瘤，已经实施了</w:t>
            </w:r>
            <w:r>
              <w:rPr>
                <w:spacing w:val="-4"/>
                <w:sz w:val="21"/>
              </w:rPr>
              <w:t>造血干细胞</w:t>
            </w:r>
            <w:r>
              <w:rPr>
                <w:sz w:val="21"/>
              </w:rPr>
              <w:t>（</w:t>
            </w:r>
            <w:r>
              <w:rPr>
                <w:spacing w:val="-5"/>
                <w:sz w:val="21"/>
              </w:rPr>
              <w:t>包括骨髓造血干细胞、外周血造血干细胞和脐血造血干细胞</w:t>
            </w:r>
            <w:r>
              <w:rPr>
                <w:sz w:val="21"/>
              </w:rPr>
              <w:t>） </w:t>
            </w:r>
            <w:r>
              <w:rPr>
                <w:spacing w:val="-1"/>
                <w:sz w:val="21"/>
              </w:rPr>
              <w:t>的异体移植手术。</w:t>
            </w:r>
          </w:p>
        </w:tc>
      </w:tr>
      <w:tr>
        <w:trPr>
          <w:trHeight w:val="1221" w:hRule="atLeast"/>
        </w:trPr>
        <w:tc>
          <w:tcPr>
            <w:tcW w:w="601" w:type="dxa"/>
          </w:tcPr>
          <w:p>
            <w:pPr>
              <w:pStyle w:val="TableParagraph"/>
              <w:spacing w:before="140"/>
              <w:ind w:left="179" w:right="169"/>
              <w:jc w:val="center"/>
              <w:rPr>
                <w:b/>
                <w:sz w:val="21"/>
              </w:rPr>
            </w:pPr>
            <w:r>
              <w:rPr>
                <w:b/>
                <w:sz w:val="21"/>
              </w:rPr>
              <w:t>18</w:t>
            </w:r>
          </w:p>
        </w:tc>
        <w:tc>
          <w:tcPr>
            <w:tcW w:w="2407" w:type="dxa"/>
          </w:tcPr>
          <w:p>
            <w:pPr>
              <w:pStyle w:val="TableParagraph"/>
              <w:spacing w:before="104"/>
              <w:ind w:left="189"/>
              <w:rPr>
                <w:rFonts w:ascii="等线" w:eastAsia="等线" w:hint="eastAsia"/>
                <w:b/>
                <w:sz w:val="24"/>
              </w:rPr>
            </w:pPr>
            <w:r>
              <w:rPr>
                <w:rFonts w:ascii="等线" w:eastAsia="等线" w:hint="eastAsia"/>
                <w:b/>
                <w:sz w:val="24"/>
              </w:rPr>
              <w:t>双耳失聪</w:t>
            </w:r>
          </w:p>
        </w:tc>
        <w:tc>
          <w:tcPr>
            <w:tcW w:w="7203" w:type="dxa"/>
          </w:tcPr>
          <w:p>
            <w:pPr>
              <w:pStyle w:val="TableParagraph"/>
              <w:spacing w:before="140"/>
              <w:ind w:left="95"/>
              <w:rPr>
                <w:sz w:val="21"/>
              </w:rPr>
            </w:pPr>
            <w:r>
              <w:rPr>
                <w:sz w:val="21"/>
              </w:rPr>
              <w:t>指因疾病或意外伤害导致双耳听力永久不可逆性丧失，在 500 赫兹、1000</w:t>
            </w:r>
          </w:p>
          <w:p>
            <w:pPr>
              <w:pStyle w:val="TableParagraph"/>
              <w:spacing w:line="273" w:lineRule="auto" w:before="36"/>
              <w:ind w:left="95" w:right="202" w:hanging="1"/>
              <w:rPr>
                <w:sz w:val="21"/>
              </w:rPr>
            </w:pPr>
            <w:r>
              <w:rPr>
                <w:spacing w:val="-11"/>
                <w:sz w:val="21"/>
              </w:rPr>
              <w:t>赫兹和 </w:t>
            </w:r>
            <w:r>
              <w:rPr>
                <w:sz w:val="21"/>
              </w:rPr>
              <w:t>2000</w:t>
            </w:r>
            <w:r>
              <w:rPr>
                <w:spacing w:val="-12"/>
                <w:sz w:val="21"/>
              </w:rPr>
              <w:t> 赫兹语音频率下，平均听阈大于 </w:t>
            </w:r>
            <w:r>
              <w:rPr>
                <w:spacing w:val="-3"/>
                <w:sz w:val="21"/>
              </w:rPr>
              <w:t>90</w:t>
            </w:r>
            <w:r>
              <w:rPr>
                <w:spacing w:val="-9"/>
                <w:sz w:val="21"/>
              </w:rPr>
              <w:t> 分贝，且经纯音听力测试、</w:t>
            </w:r>
            <w:r>
              <w:rPr>
                <w:spacing w:val="-7"/>
                <w:sz w:val="21"/>
              </w:rPr>
              <w:t>声导抗检测或听觉诱发电位检测等证实。</w:t>
            </w:r>
          </w:p>
        </w:tc>
      </w:tr>
      <w:tr>
        <w:trPr>
          <w:trHeight w:val="2155" w:hRule="atLeast"/>
        </w:trPr>
        <w:tc>
          <w:tcPr>
            <w:tcW w:w="601" w:type="dxa"/>
          </w:tcPr>
          <w:p>
            <w:pPr>
              <w:pStyle w:val="TableParagraph"/>
              <w:spacing w:before="138"/>
              <w:ind w:left="179" w:right="169"/>
              <w:jc w:val="center"/>
              <w:rPr>
                <w:b/>
                <w:sz w:val="21"/>
              </w:rPr>
            </w:pPr>
            <w:r>
              <w:rPr>
                <w:b/>
                <w:sz w:val="21"/>
              </w:rPr>
              <w:t>19</w:t>
            </w:r>
          </w:p>
        </w:tc>
        <w:tc>
          <w:tcPr>
            <w:tcW w:w="2407" w:type="dxa"/>
          </w:tcPr>
          <w:p>
            <w:pPr>
              <w:pStyle w:val="TableParagraph"/>
              <w:spacing w:line="232" w:lineRule="auto" w:before="112"/>
              <w:ind w:left="189" w:right="95"/>
              <w:rPr>
                <w:rFonts w:ascii="等线" w:eastAsia="等线" w:hint="eastAsia"/>
                <w:b/>
                <w:sz w:val="24"/>
              </w:rPr>
            </w:pPr>
            <w:r>
              <w:rPr>
                <w:rFonts w:ascii="等线" w:eastAsia="等线" w:hint="eastAsia"/>
                <w:b/>
                <w:sz w:val="24"/>
              </w:rPr>
              <w:t>慢性肝功能衰竭失代偿期</w:t>
            </w:r>
          </w:p>
        </w:tc>
        <w:tc>
          <w:tcPr>
            <w:tcW w:w="7203" w:type="dxa"/>
          </w:tcPr>
          <w:p>
            <w:pPr>
              <w:pStyle w:val="TableParagraph"/>
              <w:spacing w:before="138"/>
              <w:ind w:left="95"/>
              <w:rPr>
                <w:sz w:val="21"/>
              </w:rPr>
            </w:pPr>
            <w:r>
              <w:rPr>
                <w:sz w:val="21"/>
              </w:rPr>
              <w:t>指因慢性肝脏疾病导致肝功能衰竭。须满足下列全部条件：</w:t>
            </w:r>
          </w:p>
          <w:p>
            <w:pPr>
              <w:pStyle w:val="TableParagraph"/>
              <w:spacing w:before="37"/>
              <w:ind w:left="96"/>
              <w:rPr>
                <w:sz w:val="21"/>
              </w:rPr>
            </w:pPr>
            <w:r>
              <w:rPr>
                <w:sz w:val="21"/>
              </w:rPr>
              <w:t>（1）持续性黄疸；</w:t>
            </w:r>
          </w:p>
          <w:p>
            <w:pPr>
              <w:pStyle w:val="TableParagraph"/>
              <w:spacing w:before="37"/>
              <w:ind w:left="96"/>
              <w:rPr>
                <w:sz w:val="21"/>
              </w:rPr>
            </w:pPr>
            <w:r>
              <w:rPr>
                <w:sz w:val="21"/>
              </w:rPr>
              <w:t>（2）腹水；</w:t>
            </w:r>
          </w:p>
          <w:p>
            <w:pPr>
              <w:pStyle w:val="TableParagraph"/>
              <w:spacing w:before="37"/>
              <w:ind w:left="95"/>
              <w:rPr>
                <w:sz w:val="21"/>
              </w:rPr>
            </w:pPr>
            <w:r>
              <w:rPr>
                <w:sz w:val="21"/>
              </w:rPr>
              <w:t>（3）肝性脑病；</w:t>
            </w:r>
          </w:p>
          <w:p>
            <w:pPr>
              <w:pStyle w:val="TableParagraph"/>
              <w:spacing w:line="273" w:lineRule="auto" w:before="37"/>
              <w:ind w:left="95" w:right="1959" w:hanging="1"/>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5" w:hRule="atLeast"/>
        </w:trPr>
        <w:tc>
          <w:tcPr>
            <w:tcW w:w="601" w:type="dxa"/>
          </w:tcPr>
          <w:p>
            <w:pPr>
              <w:pStyle w:val="TableParagraph"/>
              <w:spacing w:before="138"/>
              <w:ind w:left="179" w:right="169"/>
              <w:jc w:val="center"/>
              <w:rPr>
                <w:b/>
                <w:sz w:val="21"/>
              </w:rPr>
            </w:pPr>
            <w:r>
              <w:rPr>
                <w:b/>
                <w:sz w:val="21"/>
              </w:rPr>
              <w:t>20</w:t>
            </w:r>
          </w:p>
        </w:tc>
        <w:tc>
          <w:tcPr>
            <w:tcW w:w="2407" w:type="dxa"/>
          </w:tcPr>
          <w:p>
            <w:pPr>
              <w:pStyle w:val="TableParagraph"/>
              <w:spacing w:before="102"/>
              <w:ind w:left="189"/>
              <w:rPr>
                <w:rFonts w:ascii="等线" w:eastAsia="等线" w:hint="eastAsia"/>
                <w:b/>
                <w:sz w:val="24"/>
              </w:rPr>
            </w:pPr>
            <w:r>
              <w:rPr>
                <w:rFonts w:ascii="等线" w:eastAsia="等线" w:hint="eastAsia"/>
                <w:b/>
                <w:sz w:val="24"/>
              </w:rPr>
              <w:t>双目失明</w:t>
            </w:r>
          </w:p>
        </w:tc>
        <w:tc>
          <w:tcPr>
            <w:tcW w:w="7203" w:type="dxa"/>
          </w:tcPr>
          <w:p>
            <w:pPr>
              <w:pStyle w:val="TableParagraph"/>
              <w:spacing w:line="273" w:lineRule="auto" w:before="138"/>
              <w:ind w:left="95" w:right="303"/>
              <w:rPr>
                <w:sz w:val="21"/>
              </w:rPr>
            </w:pPr>
            <w:r>
              <w:rPr>
                <w:sz w:val="21"/>
              </w:rPr>
              <w:t>指因疾病或意外伤害导致双眼视力永久不可逆性丧失，双眼中较好眼须满足下列至少一项条件：</w:t>
            </w:r>
          </w:p>
          <w:p>
            <w:pPr>
              <w:pStyle w:val="TableParagraph"/>
              <w:spacing w:before="7"/>
              <w:ind w:left="95"/>
              <w:rPr>
                <w:sz w:val="21"/>
              </w:rPr>
            </w:pPr>
            <w:r>
              <w:rPr>
                <w:sz w:val="21"/>
              </w:rPr>
              <w:t>（1）眼球缺失或摘除；</w:t>
            </w:r>
          </w:p>
          <w:p>
            <w:pPr>
              <w:pStyle w:val="TableParagraph"/>
              <w:spacing w:line="273" w:lineRule="auto" w:before="36"/>
              <w:ind w:left="619" w:right="303" w:hanging="524"/>
              <w:rPr>
                <w:sz w:val="21"/>
              </w:rPr>
            </w:pPr>
            <w:r>
              <w:rPr>
                <w:spacing w:val="-10"/>
                <w:sz w:val="21"/>
              </w:rPr>
              <w:t>（2）</w:t>
            </w:r>
            <w:r>
              <w:rPr>
                <w:spacing w:val="-5"/>
                <w:sz w:val="21"/>
              </w:rPr>
              <w:t>矫正视力低于 </w:t>
            </w:r>
            <w:r>
              <w:rPr>
                <w:spacing w:val="-7"/>
                <w:sz w:val="21"/>
              </w:rPr>
              <w:t>0.02（</w:t>
            </w:r>
            <w:r>
              <w:rPr>
                <w:spacing w:val="-6"/>
                <w:sz w:val="21"/>
              </w:rPr>
              <w:t>采用国际标准视力表，如果使用其它视力表应进</w:t>
            </w:r>
            <w:r>
              <w:rPr>
                <w:spacing w:val="-6"/>
                <w:w w:val="100"/>
                <w:sz w:val="21"/>
              </w:rPr>
              <w:t>行换算</w:t>
            </w:r>
            <w:r>
              <w:rPr>
                <w:spacing w:val="-106"/>
                <w:w w:val="100"/>
                <w:sz w:val="21"/>
              </w:rPr>
              <w:t>）</w:t>
            </w:r>
            <w:r>
              <w:rPr>
                <w:w w:val="100"/>
                <w:sz w:val="21"/>
              </w:rPr>
              <w:t>；</w:t>
            </w:r>
          </w:p>
          <w:p>
            <w:pPr>
              <w:pStyle w:val="TableParagraph"/>
              <w:spacing w:before="7"/>
              <w:ind w:left="95"/>
              <w:rPr>
                <w:sz w:val="21"/>
              </w:rPr>
            </w:pPr>
            <w:r>
              <w:rPr>
                <w:sz w:val="21"/>
              </w:rPr>
              <w:t>（3）视野半径小于 5 度。</w:t>
            </w:r>
          </w:p>
        </w:tc>
      </w:tr>
      <w:tr>
        <w:trPr>
          <w:trHeight w:val="5404" w:hRule="atLeast"/>
        </w:trPr>
        <w:tc>
          <w:tcPr>
            <w:tcW w:w="601" w:type="dxa"/>
          </w:tcPr>
          <w:p>
            <w:pPr>
              <w:pStyle w:val="TableParagraph"/>
              <w:spacing w:before="138"/>
              <w:ind w:left="179" w:right="169"/>
              <w:jc w:val="center"/>
              <w:rPr>
                <w:b/>
                <w:sz w:val="21"/>
              </w:rPr>
            </w:pPr>
            <w:r>
              <w:rPr>
                <w:b/>
                <w:sz w:val="21"/>
              </w:rPr>
              <w:t>21</w:t>
            </w:r>
          </w:p>
        </w:tc>
        <w:tc>
          <w:tcPr>
            <w:tcW w:w="2407" w:type="dxa"/>
          </w:tcPr>
          <w:p>
            <w:pPr>
              <w:pStyle w:val="TableParagraph"/>
              <w:spacing w:line="232" w:lineRule="auto" w:before="112"/>
              <w:ind w:left="189" w:right="95"/>
              <w:rPr>
                <w:rFonts w:ascii="等线" w:eastAsia="等线" w:hint="eastAsia"/>
                <w:b/>
                <w:sz w:val="24"/>
              </w:rPr>
            </w:pPr>
            <w:r>
              <w:rPr>
                <w:rFonts w:ascii="等线" w:eastAsia="等线" w:hint="eastAsia"/>
                <w:b/>
                <w:sz w:val="24"/>
              </w:rPr>
              <w:t>系统性红斑狼疮并发肾功能损害</w:t>
            </w:r>
          </w:p>
        </w:tc>
        <w:tc>
          <w:tcPr>
            <w:tcW w:w="7203" w:type="dxa"/>
          </w:tcPr>
          <w:p>
            <w:pPr>
              <w:pStyle w:val="TableParagraph"/>
              <w:spacing w:line="273" w:lineRule="auto" w:before="138"/>
              <w:ind w:left="95" w:right="303"/>
              <w:jc w:val="both"/>
              <w:rPr>
                <w:sz w:val="21"/>
              </w:rPr>
            </w:pPr>
            <w:r>
              <w:rPr>
                <w:sz w:val="21"/>
              </w:rPr>
              <w:t>指一种自身免疫性结缔组织病，于体内有大量致病性自身抗体和免疫复合物，造成组织损伤。系统性红斑狼疮的诊断必须经专科医生明确诊断，并须同时满足下列条件：</w:t>
            </w:r>
          </w:p>
          <w:p>
            <w:pPr>
              <w:pStyle w:val="TableParagraph"/>
              <w:spacing w:before="7"/>
              <w:ind w:left="95"/>
              <w:jc w:val="both"/>
              <w:rPr>
                <w:sz w:val="21"/>
              </w:rPr>
            </w:pPr>
            <w:r>
              <w:rPr>
                <w:sz w:val="21"/>
              </w:rPr>
              <w:t>（1）临床表现至少具备下列条件中的 4 个：</w:t>
            </w:r>
          </w:p>
          <w:p>
            <w:pPr>
              <w:pStyle w:val="TableParagraph"/>
              <w:tabs>
                <w:tab w:pos="623" w:val="left" w:leader="none"/>
              </w:tabs>
              <w:spacing w:before="37"/>
              <w:ind w:left="201"/>
              <w:rPr>
                <w:sz w:val="21"/>
              </w:rPr>
            </w:pPr>
            <w:r>
              <w:rPr>
                <w:sz w:val="21"/>
              </w:rPr>
              <w:t>①</w:t>
              <w:tab/>
            </w:r>
            <w:r>
              <w:rPr>
                <w:spacing w:val="-3"/>
                <w:sz w:val="21"/>
              </w:rPr>
              <w:t>蝶形红斑或盘形红斑；</w:t>
            </w:r>
          </w:p>
          <w:p>
            <w:pPr>
              <w:pStyle w:val="TableParagraph"/>
              <w:tabs>
                <w:tab w:pos="623" w:val="left" w:leader="none"/>
              </w:tabs>
              <w:spacing w:before="37"/>
              <w:ind w:left="201"/>
              <w:rPr>
                <w:sz w:val="21"/>
              </w:rPr>
            </w:pPr>
            <w:r>
              <w:rPr>
                <w:sz w:val="21"/>
              </w:rPr>
              <w:t>②</w:t>
              <w:tab/>
            </w:r>
            <w:r>
              <w:rPr>
                <w:spacing w:val="-2"/>
                <w:sz w:val="21"/>
              </w:rPr>
              <w:t>光敏感；</w:t>
            </w:r>
          </w:p>
          <w:p>
            <w:pPr>
              <w:pStyle w:val="TableParagraph"/>
              <w:tabs>
                <w:tab w:pos="623" w:val="left" w:leader="none"/>
              </w:tabs>
              <w:spacing w:before="37"/>
              <w:ind w:left="201"/>
              <w:rPr>
                <w:sz w:val="21"/>
              </w:rPr>
            </w:pPr>
            <w:r>
              <w:rPr>
                <w:sz w:val="21"/>
              </w:rPr>
              <w:t>③</w:t>
              <w:tab/>
            </w:r>
            <w:r>
              <w:rPr>
                <w:spacing w:val="-3"/>
                <w:sz w:val="21"/>
              </w:rPr>
              <w:t>口鼻腔黏膜溃疡；</w:t>
            </w:r>
          </w:p>
          <w:p>
            <w:pPr>
              <w:pStyle w:val="TableParagraph"/>
              <w:tabs>
                <w:tab w:pos="623" w:val="left" w:leader="none"/>
              </w:tabs>
              <w:spacing w:before="37"/>
              <w:ind w:left="201"/>
              <w:rPr>
                <w:sz w:val="21"/>
              </w:rPr>
            </w:pPr>
            <w:r>
              <w:rPr>
                <w:sz w:val="21"/>
              </w:rPr>
              <w:t>④</w:t>
              <w:tab/>
            </w:r>
            <w:r>
              <w:rPr>
                <w:spacing w:val="-4"/>
                <w:sz w:val="21"/>
              </w:rPr>
              <w:t>非畸形性关节炎或多关节痛；</w:t>
            </w:r>
          </w:p>
          <w:p>
            <w:pPr>
              <w:pStyle w:val="TableParagraph"/>
              <w:tabs>
                <w:tab w:pos="623" w:val="left" w:leader="none"/>
              </w:tabs>
              <w:spacing w:before="37"/>
              <w:ind w:left="201"/>
              <w:rPr>
                <w:sz w:val="21"/>
              </w:rPr>
            </w:pPr>
            <w:r>
              <w:rPr>
                <w:sz w:val="21"/>
              </w:rPr>
              <w:t>⑤</w:t>
              <w:tab/>
            </w:r>
            <w:r>
              <w:rPr>
                <w:spacing w:val="-3"/>
                <w:sz w:val="21"/>
              </w:rPr>
              <w:t>胸膜炎或心包炎；</w:t>
            </w:r>
          </w:p>
          <w:p>
            <w:pPr>
              <w:pStyle w:val="TableParagraph"/>
              <w:tabs>
                <w:tab w:pos="623" w:val="left" w:leader="none"/>
              </w:tabs>
              <w:spacing w:before="37"/>
              <w:ind w:left="201"/>
              <w:rPr>
                <w:sz w:val="21"/>
              </w:rPr>
            </w:pPr>
            <w:r>
              <w:rPr>
                <w:w w:val="100"/>
                <w:sz w:val="21"/>
              </w:rPr>
              <w:t>⑥</w:t>
            </w:r>
            <w:r>
              <w:rPr>
                <w:sz w:val="21"/>
              </w:rPr>
              <w:tab/>
            </w:r>
            <w:r>
              <w:rPr>
                <w:spacing w:val="-2"/>
                <w:w w:val="100"/>
                <w:sz w:val="21"/>
              </w:rPr>
              <w:t>神经系统损伤</w:t>
            </w:r>
            <w:r>
              <w:rPr>
                <w:spacing w:val="-5"/>
                <w:w w:val="100"/>
                <w:sz w:val="21"/>
              </w:rPr>
              <w:t>（</w:t>
            </w:r>
            <w:r>
              <w:rPr>
                <w:spacing w:val="-2"/>
                <w:w w:val="100"/>
                <w:sz w:val="21"/>
              </w:rPr>
              <w:t>癫痫或精神症状</w:t>
            </w:r>
            <w:r>
              <w:rPr>
                <w:spacing w:val="-106"/>
                <w:w w:val="100"/>
                <w:sz w:val="21"/>
              </w:rPr>
              <w:t>）</w:t>
            </w:r>
            <w:r>
              <w:rPr>
                <w:w w:val="100"/>
                <w:sz w:val="21"/>
              </w:rPr>
              <w:t>；</w:t>
            </w:r>
          </w:p>
          <w:p>
            <w:pPr>
              <w:pStyle w:val="TableParagraph"/>
              <w:tabs>
                <w:tab w:pos="623" w:val="left" w:leader="none"/>
              </w:tabs>
              <w:spacing w:line="273" w:lineRule="auto" w:before="37"/>
              <w:ind w:left="618" w:right="303" w:hanging="418"/>
              <w:rPr>
                <w:sz w:val="21"/>
              </w:rPr>
            </w:pPr>
            <w:r>
              <w:rPr>
                <w:sz w:val="21"/>
              </w:rPr>
              <w:t>⑦</w:t>
              <w:tab/>
              <w:tab/>
            </w:r>
            <w:r>
              <w:rPr>
                <w:spacing w:val="-9"/>
                <w:sz w:val="21"/>
              </w:rPr>
              <w:t>血象异常</w:t>
            </w:r>
            <w:r>
              <w:rPr>
                <w:sz w:val="21"/>
              </w:rPr>
              <w:t>（</w:t>
            </w:r>
            <w:r>
              <w:rPr>
                <w:spacing w:val="-11"/>
                <w:sz w:val="21"/>
              </w:rPr>
              <w:t>白细胞小于 </w:t>
            </w:r>
            <w:r>
              <w:rPr>
                <w:sz w:val="21"/>
              </w:rPr>
              <w:t>4000/μl</w:t>
            </w:r>
            <w:r>
              <w:rPr>
                <w:spacing w:val="-14"/>
                <w:sz w:val="21"/>
              </w:rPr>
              <w:t> 或血小板小于 </w:t>
            </w:r>
            <w:r>
              <w:rPr>
                <w:sz w:val="21"/>
              </w:rPr>
              <w:t>100000/μl</w:t>
            </w:r>
            <w:r>
              <w:rPr>
                <w:spacing w:val="-12"/>
                <w:sz w:val="21"/>
              </w:rPr>
              <w:t> 或溶血性贫血</w:t>
            </w:r>
            <w:r>
              <w:rPr>
                <w:spacing w:val="-106"/>
                <w:sz w:val="21"/>
              </w:rPr>
              <w:t>）</w:t>
            </w:r>
            <w:r>
              <w:rPr>
                <w:sz w:val="21"/>
              </w:rPr>
              <w:t>。</w:t>
            </w:r>
          </w:p>
          <w:p>
            <w:pPr>
              <w:pStyle w:val="TableParagraph"/>
              <w:spacing w:before="8"/>
              <w:ind w:left="95"/>
              <w:jc w:val="both"/>
              <w:rPr>
                <w:sz w:val="21"/>
              </w:rPr>
            </w:pPr>
            <w:r>
              <w:rPr>
                <w:sz w:val="21"/>
              </w:rPr>
              <w:t>（2）检测结果至少具备下列条件中的 2 个：</w:t>
            </w:r>
          </w:p>
          <w:p>
            <w:pPr>
              <w:pStyle w:val="TableParagraph"/>
              <w:tabs>
                <w:tab w:pos="623" w:val="left" w:leader="none"/>
              </w:tabs>
              <w:spacing w:before="37"/>
              <w:ind w:left="201"/>
              <w:rPr>
                <w:sz w:val="21"/>
              </w:rPr>
            </w:pPr>
            <w:r>
              <w:rPr>
                <w:sz w:val="21"/>
              </w:rPr>
              <w:t>①</w:t>
              <w:tab/>
            </w:r>
            <w:r>
              <w:rPr>
                <w:spacing w:val="-26"/>
                <w:sz w:val="21"/>
              </w:rPr>
              <w:t>抗 </w:t>
            </w:r>
            <w:r>
              <w:rPr>
                <w:sz w:val="21"/>
              </w:rPr>
              <w:t>dsDNA</w:t>
            </w:r>
            <w:r>
              <w:rPr>
                <w:spacing w:val="-10"/>
                <w:sz w:val="21"/>
              </w:rPr>
              <w:t> 抗体阳性；</w:t>
            </w:r>
          </w:p>
          <w:p>
            <w:pPr>
              <w:pStyle w:val="TableParagraph"/>
              <w:tabs>
                <w:tab w:pos="623" w:val="left" w:leader="none"/>
              </w:tabs>
              <w:spacing w:before="37"/>
              <w:ind w:left="201"/>
              <w:rPr>
                <w:sz w:val="21"/>
              </w:rPr>
            </w:pPr>
            <w:r>
              <w:rPr>
                <w:sz w:val="21"/>
              </w:rPr>
              <w:t>②</w:t>
              <w:tab/>
            </w:r>
            <w:r>
              <w:rPr>
                <w:spacing w:val="-25"/>
                <w:sz w:val="21"/>
              </w:rPr>
              <w:t>抗 </w:t>
            </w:r>
            <w:r>
              <w:rPr>
                <w:sz w:val="21"/>
              </w:rPr>
              <w:t>Sm</w:t>
            </w:r>
            <w:r>
              <w:rPr>
                <w:spacing w:val="-10"/>
                <w:sz w:val="21"/>
              </w:rPr>
              <w:t> 抗体阳性；</w:t>
            </w:r>
          </w:p>
          <w:p>
            <w:pPr>
              <w:pStyle w:val="TableParagraph"/>
              <w:tabs>
                <w:tab w:pos="623" w:val="left" w:leader="none"/>
              </w:tabs>
              <w:spacing w:before="37"/>
              <w:ind w:left="201"/>
              <w:rPr>
                <w:sz w:val="21"/>
              </w:rPr>
            </w:pPr>
            <w:r>
              <w:rPr>
                <w:sz w:val="21"/>
              </w:rPr>
              <w:t>③</w:t>
              <w:tab/>
            </w:r>
            <w:r>
              <w:rPr>
                <w:spacing w:val="-2"/>
                <w:sz w:val="21"/>
              </w:rPr>
              <w:t>抗核抗体阳性；</w:t>
            </w:r>
          </w:p>
          <w:p>
            <w:pPr>
              <w:pStyle w:val="TableParagraph"/>
              <w:tabs>
                <w:tab w:pos="623" w:val="left" w:leader="none"/>
              </w:tabs>
              <w:spacing w:line="255" w:lineRule="exact" w:before="37"/>
              <w:ind w:left="201"/>
              <w:rPr>
                <w:sz w:val="21"/>
              </w:rPr>
            </w:pPr>
            <w:r>
              <w:rPr>
                <w:sz w:val="21"/>
              </w:rPr>
              <w:t>④</w:t>
              <w:tab/>
            </w:r>
            <w:r>
              <w:rPr>
                <w:spacing w:val="-3"/>
                <w:sz w:val="21"/>
              </w:rPr>
              <w:t>皮肤狼疮带试验</w:t>
            </w:r>
            <w:r>
              <w:rPr>
                <w:sz w:val="21"/>
              </w:rPr>
              <w:t>（</w:t>
            </w:r>
            <w:r>
              <w:rPr>
                <w:spacing w:val="-2"/>
                <w:sz w:val="21"/>
              </w:rPr>
              <w:t>非病损部位</w:t>
            </w:r>
            <w:r>
              <w:rPr>
                <w:sz w:val="21"/>
              </w:rPr>
              <w:t>）</w:t>
            </w:r>
            <w:r>
              <w:rPr>
                <w:spacing w:val="-3"/>
                <w:sz w:val="21"/>
              </w:rPr>
              <w:t>或肾活检阳性；</w:t>
            </w:r>
          </w:p>
        </w:tc>
      </w:tr>
    </w:tbl>
    <w:p>
      <w:pPr>
        <w:spacing w:after="0" w:line="255" w:lineRule="exact"/>
        <w:rPr>
          <w:sz w:val="21"/>
        </w:rPr>
        <w:sectPr>
          <w:pgSz w:w="11910" w:h="16840"/>
          <w:pgMar w:top="1160" w:bottom="280" w:left="880" w:right="6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1"/>
        <w:gridCol w:w="2407"/>
        <w:gridCol w:w="7098"/>
      </w:tblGrid>
      <w:tr>
        <w:trPr>
          <w:trHeight w:val="3512" w:hRule="atLeast"/>
        </w:trPr>
        <w:tc>
          <w:tcPr>
            <w:tcW w:w="601" w:type="dxa"/>
          </w:tcPr>
          <w:p>
            <w:pPr>
              <w:pStyle w:val="TableParagraph"/>
              <w:rPr>
                <w:rFonts w:ascii="Times New Roman"/>
                <w:sz w:val="20"/>
              </w:rPr>
            </w:pPr>
          </w:p>
        </w:tc>
        <w:tc>
          <w:tcPr>
            <w:tcW w:w="2407" w:type="dxa"/>
          </w:tcPr>
          <w:p>
            <w:pPr>
              <w:pStyle w:val="TableParagraph"/>
              <w:rPr>
                <w:rFonts w:ascii="Times New Roman"/>
                <w:sz w:val="20"/>
              </w:rPr>
            </w:pPr>
          </w:p>
        </w:tc>
        <w:tc>
          <w:tcPr>
            <w:tcW w:w="7098" w:type="dxa"/>
          </w:tcPr>
          <w:p>
            <w:pPr>
              <w:pStyle w:val="TableParagraph"/>
              <w:tabs>
                <w:tab w:pos="623" w:val="left" w:leader="none"/>
              </w:tabs>
              <w:spacing w:line="211" w:lineRule="exact"/>
              <w:ind w:left="201"/>
              <w:rPr>
                <w:sz w:val="21"/>
              </w:rPr>
            </w:pPr>
            <w:r>
              <w:rPr>
                <w:sz w:val="21"/>
              </w:rPr>
              <w:t>⑤</w:t>
              <w:tab/>
              <w:t>C3</w:t>
            </w:r>
            <w:r>
              <w:rPr>
                <w:spacing w:val="-9"/>
                <w:sz w:val="21"/>
              </w:rPr>
              <w:t> 低于正常值。</w:t>
            </w:r>
          </w:p>
          <w:p>
            <w:pPr>
              <w:pStyle w:val="TableParagraph"/>
              <w:spacing w:before="37"/>
              <w:ind w:left="95"/>
              <w:rPr>
                <w:sz w:val="21"/>
              </w:rPr>
            </w:pPr>
            <w:r>
              <w:rPr>
                <w:w w:val="100"/>
                <w:sz w:val="21"/>
              </w:rPr>
              <w:t>（3）</w:t>
            </w:r>
            <w:r>
              <w:rPr>
                <w:spacing w:val="-4"/>
                <w:w w:val="100"/>
                <w:sz w:val="21"/>
              </w:rPr>
              <w:t>狼疮肾炎致使肾功能减退</w:t>
            </w:r>
            <w:r>
              <w:rPr>
                <w:w w:val="100"/>
                <w:sz w:val="21"/>
              </w:rPr>
              <w:t>（</w:t>
            </w:r>
            <w:r>
              <w:rPr>
                <w:spacing w:val="-2"/>
                <w:w w:val="100"/>
                <w:sz w:val="21"/>
              </w:rPr>
              <w:t>或损害</w:t>
            </w:r>
            <w:r>
              <w:rPr>
                <w:spacing w:val="-106"/>
                <w:w w:val="100"/>
                <w:sz w:val="21"/>
              </w:rPr>
              <w:t>）</w:t>
            </w:r>
            <w:r>
              <w:rPr>
                <w:spacing w:val="-4"/>
                <w:w w:val="100"/>
                <w:sz w:val="21"/>
              </w:rPr>
              <w:t>，且符合以下条件之一：</w:t>
            </w:r>
          </w:p>
          <w:p>
            <w:pPr>
              <w:pStyle w:val="TableParagraph"/>
              <w:tabs>
                <w:tab w:pos="623" w:val="left" w:leader="none"/>
              </w:tabs>
              <w:spacing w:line="273" w:lineRule="auto" w:before="37"/>
              <w:ind w:left="619" w:right="203" w:hanging="418"/>
              <w:rPr>
                <w:sz w:val="21"/>
              </w:rPr>
            </w:pPr>
            <w:r>
              <w:rPr>
                <w:sz w:val="21"/>
              </w:rPr>
              <w:t>①</w:t>
              <w:tab/>
              <w:tab/>
            </w:r>
            <w:r>
              <w:rPr>
                <w:spacing w:val="-5"/>
                <w:sz w:val="21"/>
              </w:rPr>
              <w:t>系统性红斑狼疮造成肾脏功能损害，尿蛋白</w:t>
            </w:r>
            <w:r>
              <w:rPr>
                <w:sz w:val="21"/>
              </w:rPr>
              <w:t>＞2g/24</w:t>
            </w:r>
            <w:r>
              <w:rPr>
                <w:spacing w:val="-3"/>
                <w:sz w:val="21"/>
              </w:rPr>
              <w:t> 小时且持续性蛋白尿＞+++；</w:t>
            </w:r>
          </w:p>
          <w:p>
            <w:pPr>
              <w:pStyle w:val="TableParagraph"/>
              <w:tabs>
                <w:tab w:pos="623" w:val="left" w:leader="none"/>
              </w:tabs>
              <w:spacing w:line="273" w:lineRule="auto" w:before="7"/>
              <w:ind w:left="95" w:right="1432" w:firstLine="105"/>
              <w:rPr>
                <w:sz w:val="21"/>
              </w:rPr>
            </w:pPr>
            <w:r>
              <w:rPr>
                <w:sz w:val="21"/>
              </w:rPr>
              <w:t>②</w:t>
              <w:tab/>
            </w:r>
            <w:r>
              <w:rPr>
                <w:spacing w:val="-10"/>
                <w:sz w:val="21"/>
              </w:rPr>
              <w:t>符合下列 </w:t>
            </w:r>
            <w:r>
              <w:rPr>
                <w:sz w:val="21"/>
              </w:rPr>
              <w:t>WHO</w:t>
            </w:r>
            <w:r>
              <w:rPr>
                <w:spacing w:val="-8"/>
                <w:sz w:val="21"/>
              </w:rPr>
              <w:t> 诊断标准定义的Ⅲ型至Ⅴ型狼疮性肾炎。</w:t>
            </w:r>
            <w:r>
              <w:rPr>
                <w:spacing w:val="-2"/>
                <w:sz w:val="21"/>
              </w:rPr>
              <w:t>世界卫生组织</w:t>
            </w:r>
            <w:r>
              <w:rPr>
                <w:sz w:val="21"/>
              </w:rPr>
              <w:t>（WHO）</w:t>
            </w:r>
            <w:r>
              <w:rPr>
                <w:spacing w:val="-2"/>
                <w:sz w:val="21"/>
              </w:rPr>
              <w:t>狼疮性肾炎分型：</w:t>
            </w:r>
          </w:p>
          <w:p>
            <w:pPr>
              <w:pStyle w:val="TableParagraph"/>
              <w:tabs>
                <w:tab w:pos="2198" w:val="left" w:leader="none"/>
              </w:tabs>
              <w:spacing w:before="7"/>
              <w:ind w:left="95"/>
              <w:rPr>
                <w:sz w:val="21"/>
              </w:rPr>
            </w:pPr>
            <w:r>
              <w:rPr>
                <w:sz w:val="21"/>
              </w:rPr>
              <w:t>Ⅰ型（微</w:t>
            </w:r>
            <w:r>
              <w:rPr>
                <w:spacing w:val="-5"/>
                <w:sz w:val="21"/>
              </w:rPr>
              <w:t>小</w:t>
            </w:r>
            <w:r>
              <w:rPr>
                <w:sz w:val="21"/>
              </w:rPr>
              <w:t>病变型）</w:t>
              <w:tab/>
              <w:t>镜下</w:t>
            </w:r>
            <w:r>
              <w:rPr>
                <w:spacing w:val="-5"/>
                <w:sz w:val="21"/>
              </w:rPr>
              <w:t>阴</w:t>
            </w:r>
            <w:r>
              <w:rPr>
                <w:sz w:val="21"/>
              </w:rPr>
              <w:t>性，尿</w:t>
            </w:r>
            <w:r>
              <w:rPr>
                <w:spacing w:val="-5"/>
                <w:sz w:val="21"/>
              </w:rPr>
              <w:t>液</w:t>
            </w:r>
            <w:r>
              <w:rPr>
                <w:sz w:val="21"/>
              </w:rPr>
              <w:t>正常；</w:t>
            </w:r>
          </w:p>
          <w:p>
            <w:pPr>
              <w:pStyle w:val="TableParagraph"/>
              <w:tabs>
                <w:tab w:pos="2198" w:val="left" w:leader="none"/>
              </w:tabs>
              <w:spacing w:before="37"/>
              <w:ind w:left="95"/>
              <w:rPr>
                <w:sz w:val="21"/>
              </w:rPr>
            </w:pPr>
            <w:r>
              <w:rPr>
                <w:sz w:val="21"/>
              </w:rPr>
              <w:t>Ⅱ型（系</w:t>
            </w:r>
            <w:r>
              <w:rPr>
                <w:spacing w:val="-5"/>
                <w:sz w:val="21"/>
              </w:rPr>
              <w:t>膜</w:t>
            </w:r>
            <w:r>
              <w:rPr>
                <w:sz w:val="21"/>
              </w:rPr>
              <w:t>病变型）</w:t>
              <w:tab/>
              <w:t>中度</w:t>
            </w:r>
            <w:r>
              <w:rPr>
                <w:spacing w:val="-5"/>
                <w:sz w:val="21"/>
              </w:rPr>
              <w:t>蛋</w:t>
            </w:r>
            <w:r>
              <w:rPr>
                <w:sz w:val="21"/>
              </w:rPr>
              <w:t>白尿，</w:t>
            </w:r>
            <w:r>
              <w:rPr>
                <w:spacing w:val="-5"/>
                <w:sz w:val="21"/>
              </w:rPr>
              <w:t>偶</w:t>
            </w:r>
            <w:r>
              <w:rPr>
                <w:sz w:val="21"/>
              </w:rPr>
              <w:t>有尿沉</w:t>
            </w:r>
            <w:r>
              <w:rPr>
                <w:spacing w:val="-5"/>
                <w:sz w:val="21"/>
              </w:rPr>
              <w:t>渣</w:t>
            </w:r>
            <w:r>
              <w:rPr>
                <w:sz w:val="21"/>
              </w:rPr>
              <w:t>改</w:t>
            </w:r>
            <w:r>
              <w:rPr>
                <w:spacing w:val="-5"/>
                <w:sz w:val="21"/>
              </w:rPr>
              <w:t>变</w:t>
            </w:r>
            <w:r>
              <w:rPr>
                <w:sz w:val="21"/>
              </w:rPr>
              <w:t>；</w:t>
            </w:r>
          </w:p>
          <w:p>
            <w:pPr>
              <w:pStyle w:val="TableParagraph"/>
              <w:tabs>
                <w:tab w:pos="2827" w:val="left" w:leader="none"/>
              </w:tabs>
              <w:spacing w:before="37"/>
              <w:ind w:left="95"/>
              <w:rPr>
                <w:sz w:val="21"/>
              </w:rPr>
            </w:pPr>
            <w:r>
              <w:rPr>
                <w:sz w:val="21"/>
              </w:rPr>
              <w:t>Ⅲ型（局</w:t>
            </w:r>
            <w:r>
              <w:rPr>
                <w:spacing w:val="-5"/>
                <w:sz w:val="21"/>
              </w:rPr>
              <w:t>灶</w:t>
            </w:r>
            <w:r>
              <w:rPr>
                <w:sz w:val="21"/>
              </w:rPr>
              <w:t>及节段</w:t>
            </w:r>
            <w:r>
              <w:rPr>
                <w:spacing w:val="-5"/>
                <w:sz w:val="21"/>
              </w:rPr>
              <w:t>增</w:t>
            </w:r>
            <w:r>
              <w:rPr>
                <w:sz w:val="21"/>
              </w:rPr>
              <w:t>生型）</w:t>
              <w:tab/>
              <w:t>蛋白尿</w:t>
            </w:r>
            <w:r>
              <w:rPr>
                <w:spacing w:val="-5"/>
                <w:sz w:val="21"/>
              </w:rPr>
              <w:t>，</w:t>
            </w:r>
            <w:r>
              <w:rPr>
                <w:sz w:val="21"/>
              </w:rPr>
              <w:t>尿沉渣</w:t>
            </w:r>
            <w:r>
              <w:rPr>
                <w:spacing w:val="-5"/>
                <w:sz w:val="21"/>
              </w:rPr>
              <w:t>改</w:t>
            </w:r>
            <w:r>
              <w:rPr>
                <w:sz w:val="21"/>
              </w:rPr>
              <w:t>变；</w:t>
            </w:r>
          </w:p>
          <w:p>
            <w:pPr>
              <w:pStyle w:val="TableParagraph"/>
              <w:tabs>
                <w:tab w:pos="2198" w:val="left" w:leader="none"/>
              </w:tabs>
              <w:spacing w:before="37"/>
              <w:ind w:left="96"/>
              <w:rPr>
                <w:sz w:val="21"/>
              </w:rPr>
            </w:pPr>
            <w:r>
              <w:rPr>
                <w:sz w:val="21"/>
              </w:rPr>
              <w:t>Ⅳ型（弥</w:t>
            </w:r>
            <w:r>
              <w:rPr>
                <w:spacing w:val="-5"/>
                <w:sz w:val="21"/>
              </w:rPr>
              <w:t>漫</w:t>
            </w:r>
            <w:r>
              <w:rPr>
                <w:sz w:val="21"/>
              </w:rPr>
              <w:t>增生型）</w:t>
              <w:tab/>
              <w:t>急性</w:t>
            </w:r>
            <w:r>
              <w:rPr>
                <w:spacing w:val="-5"/>
                <w:sz w:val="21"/>
              </w:rPr>
              <w:t>肾</w:t>
            </w:r>
            <w:r>
              <w:rPr>
                <w:sz w:val="21"/>
              </w:rPr>
              <w:t>炎伴有</w:t>
            </w:r>
            <w:r>
              <w:rPr>
                <w:spacing w:val="-5"/>
                <w:sz w:val="21"/>
              </w:rPr>
              <w:t>尿</w:t>
            </w:r>
            <w:r>
              <w:rPr>
                <w:sz w:val="21"/>
              </w:rPr>
              <w:t>沉渣改</w:t>
            </w:r>
            <w:r>
              <w:rPr>
                <w:spacing w:val="-5"/>
                <w:sz w:val="21"/>
              </w:rPr>
              <w:t>变</w:t>
            </w:r>
            <w:r>
              <w:rPr>
                <w:sz w:val="21"/>
              </w:rPr>
              <w:t>及</w:t>
            </w:r>
            <w:r>
              <w:rPr>
                <w:spacing w:val="-5"/>
                <w:sz w:val="21"/>
              </w:rPr>
              <w:t>/</w:t>
            </w:r>
            <w:r>
              <w:rPr>
                <w:sz w:val="21"/>
              </w:rPr>
              <w:t>或肾病综</w:t>
            </w:r>
            <w:r>
              <w:rPr>
                <w:spacing w:val="-5"/>
                <w:sz w:val="21"/>
              </w:rPr>
              <w:t>合</w:t>
            </w:r>
            <w:r>
              <w:rPr>
                <w:sz w:val="21"/>
              </w:rPr>
              <w:t>征；</w:t>
            </w:r>
          </w:p>
          <w:p>
            <w:pPr>
              <w:pStyle w:val="TableParagraph"/>
              <w:tabs>
                <w:tab w:pos="1569" w:val="left" w:leader="none"/>
              </w:tabs>
              <w:spacing w:before="37"/>
              <w:ind w:left="96"/>
              <w:rPr>
                <w:sz w:val="21"/>
              </w:rPr>
            </w:pPr>
            <w:r>
              <w:rPr>
                <w:sz w:val="21"/>
              </w:rPr>
              <w:t>Ⅴ型（膜</w:t>
            </w:r>
            <w:r>
              <w:rPr>
                <w:spacing w:val="-5"/>
                <w:sz w:val="21"/>
              </w:rPr>
              <w:t>型</w:t>
            </w:r>
            <w:r>
              <w:rPr>
                <w:sz w:val="21"/>
              </w:rPr>
              <w:t>）</w:t>
              <w:tab/>
              <w:t>肾</w:t>
            </w:r>
            <w:r>
              <w:rPr>
                <w:spacing w:val="-5"/>
                <w:sz w:val="21"/>
              </w:rPr>
              <w:t>病</w:t>
            </w:r>
            <w:r>
              <w:rPr>
                <w:sz w:val="21"/>
              </w:rPr>
              <w:t>综合征</w:t>
            </w:r>
            <w:r>
              <w:rPr>
                <w:spacing w:val="-5"/>
                <w:sz w:val="21"/>
              </w:rPr>
              <w:t>或</w:t>
            </w:r>
            <w:r>
              <w:rPr>
                <w:sz w:val="21"/>
              </w:rPr>
              <w:t>重度蛋</w:t>
            </w:r>
            <w:r>
              <w:rPr>
                <w:spacing w:val="-5"/>
                <w:sz w:val="21"/>
              </w:rPr>
              <w:t>白</w:t>
            </w:r>
            <w:r>
              <w:rPr>
                <w:sz w:val="21"/>
              </w:rPr>
              <w:t>尿。</w:t>
            </w:r>
          </w:p>
        </w:tc>
      </w:tr>
      <w:tr>
        <w:trPr>
          <w:trHeight w:val="1193" w:hRule="atLeast"/>
        </w:trPr>
        <w:tc>
          <w:tcPr>
            <w:tcW w:w="601" w:type="dxa"/>
          </w:tcPr>
          <w:p>
            <w:pPr>
              <w:pStyle w:val="TableParagraph"/>
              <w:spacing w:before="138"/>
              <w:ind w:left="179" w:right="169"/>
              <w:jc w:val="center"/>
              <w:rPr>
                <w:b/>
                <w:sz w:val="21"/>
              </w:rPr>
            </w:pPr>
            <w:r>
              <w:rPr>
                <w:b/>
                <w:sz w:val="21"/>
              </w:rPr>
              <w:t>22</w:t>
            </w:r>
          </w:p>
        </w:tc>
        <w:tc>
          <w:tcPr>
            <w:tcW w:w="2407" w:type="dxa"/>
          </w:tcPr>
          <w:p>
            <w:pPr>
              <w:pStyle w:val="TableParagraph"/>
              <w:spacing w:before="102"/>
              <w:ind w:left="189"/>
              <w:rPr>
                <w:rFonts w:ascii="等线" w:eastAsia="等线" w:hint="eastAsia"/>
                <w:b/>
                <w:sz w:val="24"/>
              </w:rPr>
            </w:pPr>
            <w:r>
              <w:rPr>
                <w:rFonts w:ascii="等线" w:eastAsia="等线" w:hint="eastAsia"/>
                <w:b/>
                <w:sz w:val="24"/>
              </w:rPr>
              <w:t>语言能力丧失</w:t>
            </w:r>
          </w:p>
        </w:tc>
        <w:tc>
          <w:tcPr>
            <w:tcW w:w="7098" w:type="dxa"/>
          </w:tcPr>
          <w:p>
            <w:pPr>
              <w:pStyle w:val="TableParagraph"/>
              <w:spacing w:line="273" w:lineRule="auto" w:before="138"/>
              <w:ind w:left="95" w:right="203"/>
              <w:rPr>
                <w:sz w:val="21"/>
              </w:rPr>
            </w:pPr>
            <w:r>
              <w:rPr>
                <w:spacing w:val="-9"/>
                <w:sz w:val="21"/>
              </w:rPr>
              <w:t>指因疾病或意外伤害导致完全丧失语言能力，经过积极治疗至少</w:t>
            </w:r>
            <w:r>
              <w:rPr>
                <w:sz w:val="21"/>
              </w:rPr>
              <w:t>12</w:t>
            </w:r>
            <w:r>
              <w:rPr>
                <w:spacing w:val="-49"/>
                <w:sz w:val="21"/>
              </w:rPr>
              <w:t> 个月</w:t>
            </w:r>
            <w:r>
              <w:rPr>
                <w:sz w:val="21"/>
              </w:rPr>
              <w:t>（声</w:t>
            </w:r>
            <w:r>
              <w:rPr>
                <w:spacing w:val="-2"/>
                <w:w w:val="100"/>
                <w:sz w:val="21"/>
              </w:rPr>
              <w:t>带完全切除不受此时间限制</w:t>
            </w:r>
            <w:r>
              <w:rPr>
                <w:spacing w:val="-106"/>
                <w:w w:val="100"/>
                <w:sz w:val="21"/>
              </w:rPr>
              <w:t>）</w:t>
            </w:r>
            <w:r>
              <w:rPr>
                <w:spacing w:val="-5"/>
                <w:w w:val="100"/>
                <w:sz w:val="21"/>
              </w:rPr>
              <w:t>，仍无法通过现有医疗手段恢复。</w:t>
            </w:r>
          </w:p>
          <w:p>
            <w:pPr>
              <w:pStyle w:val="TableParagraph"/>
              <w:spacing w:before="7"/>
              <w:ind w:left="95"/>
              <w:rPr>
                <w:sz w:val="21"/>
              </w:rPr>
            </w:pPr>
            <w:r>
              <w:rPr>
                <w:sz w:val="21"/>
                <w:shd w:fill="DADADA" w:color="auto" w:val="clear"/>
              </w:rPr>
              <w:t>精神心理因素所致的语言能力丧失不在保障范围内。</w:t>
            </w:r>
          </w:p>
        </w:tc>
      </w:tr>
      <w:tr>
        <w:trPr>
          <w:trHeight w:val="2128" w:hRule="atLeast"/>
        </w:trPr>
        <w:tc>
          <w:tcPr>
            <w:tcW w:w="601" w:type="dxa"/>
          </w:tcPr>
          <w:p>
            <w:pPr>
              <w:pStyle w:val="TableParagraph"/>
              <w:spacing w:before="112"/>
              <w:ind w:left="179" w:right="169"/>
              <w:jc w:val="center"/>
              <w:rPr>
                <w:b/>
                <w:sz w:val="21"/>
              </w:rPr>
            </w:pPr>
            <w:r>
              <w:rPr>
                <w:b/>
                <w:sz w:val="21"/>
              </w:rPr>
              <w:t>23</w:t>
            </w:r>
          </w:p>
        </w:tc>
        <w:tc>
          <w:tcPr>
            <w:tcW w:w="2407" w:type="dxa"/>
          </w:tcPr>
          <w:p>
            <w:pPr>
              <w:pStyle w:val="TableParagraph"/>
              <w:spacing w:line="232" w:lineRule="auto" w:before="85"/>
              <w:ind w:left="189" w:right="95"/>
              <w:rPr>
                <w:rFonts w:ascii="等线" w:eastAsia="等线" w:hint="eastAsia"/>
                <w:b/>
                <w:sz w:val="24"/>
              </w:rPr>
            </w:pPr>
            <w:r>
              <w:rPr>
                <w:rFonts w:ascii="等线" w:eastAsia="等线" w:hint="eastAsia"/>
                <w:b/>
                <w:sz w:val="24"/>
              </w:rPr>
              <w:t>急性或亚急性重症肝炎</w:t>
            </w:r>
          </w:p>
        </w:tc>
        <w:tc>
          <w:tcPr>
            <w:tcW w:w="7098" w:type="dxa"/>
          </w:tcPr>
          <w:p>
            <w:pPr>
              <w:pStyle w:val="TableParagraph"/>
              <w:spacing w:line="273" w:lineRule="auto" w:before="112"/>
              <w:ind w:left="95" w:right="198"/>
              <w:rPr>
                <w:sz w:val="21"/>
              </w:rPr>
            </w:pPr>
            <w:r>
              <w:rPr>
                <w:sz w:val="21"/>
              </w:rPr>
              <w:t>指因肝炎病毒感染引起肝脏组织弥漫性坏死，导致急性肝功能衰竭，且经血清学或病毒学检查证实，并须满足下列全部条件：</w:t>
            </w:r>
          </w:p>
          <w:p>
            <w:pPr>
              <w:pStyle w:val="TableParagraph"/>
              <w:spacing w:before="8"/>
              <w:ind w:left="96"/>
              <w:rPr>
                <w:sz w:val="21"/>
              </w:rPr>
            </w:pPr>
            <w:r>
              <w:rPr>
                <w:sz w:val="21"/>
              </w:rPr>
              <w:t>（1）重度黄疸或黄疸迅速加重；</w:t>
            </w:r>
          </w:p>
          <w:p>
            <w:pPr>
              <w:pStyle w:val="TableParagraph"/>
              <w:spacing w:before="37"/>
              <w:ind w:left="95"/>
              <w:rPr>
                <w:sz w:val="21"/>
              </w:rPr>
            </w:pPr>
            <w:r>
              <w:rPr>
                <w:sz w:val="21"/>
              </w:rPr>
              <w:t>（2）肝性脑病；</w:t>
            </w:r>
          </w:p>
          <w:p>
            <w:pPr>
              <w:pStyle w:val="TableParagraph"/>
              <w:spacing w:before="37"/>
              <w:ind w:left="96"/>
              <w:rPr>
                <w:sz w:val="21"/>
              </w:rPr>
            </w:pPr>
            <w:r>
              <w:rPr>
                <w:sz w:val="21"/>
              </w:rPr>
              <w:t>（3）B 超或其它影像学检查显示肝脏体积急速萎缩；</w:t>
            </w:r>
          </w:p>
          <w:p>
            <w:pPr>
              <w:pStyle w:val="TableParagraph"/>
              <w:spacing w:before="37"/>
              <w:ind w:left="96"/>
              <w:rPr>
                <w:sz w:val="21"/>
              </w:rPr>
            </w:pPr>
            <w:r>
              <w:rPr>
                <w:sz w:val="21"/>
              </w:rPr>
              <w:t>（4）肝功能指标进行性恶化。</w:t>
            </w:r>
          </w:p>
        </w:tc>
      </w:tr>
      <w:tr>
        <w:trPr>
          <w:trHeight w:val="1502" w:hRule="atLeast"/>
        </w:trPr>
        <w:tc>
          <w:tcPr>
            <w:tcW w:w="601" w:type="dxa"/>
          </w:tcPr>
          <w:p>
            <w:pPr>
              <w:pStyle w:val="TableParagraph"/>
              <w:spacing w:before="138"/>
              <w:ind w:left="179" w:right="169"/>
              <w:jc w:val="center"/>
              <w:rPr>
                <w:b/>
                <w:sz w:val="21"/>
              </w:rPr>
            </w:pPr>
            <w:r>
              <w:rPr>
                <w:b/>
                <w:sz w:val="21"/>
              </w:rPr>
              <w:t>24</w:t>
            </w:r>
          </w:p>
        </w:tc>
        <w:tc>
          <w:tcPr>
            <w:tcW w:w="2407" w:type="dxa"/>
          </w:tcPr>
          <w:p>
            <w:pPr>
              <w:pStyle w:val="TableParagraph"/>
              <w:spacing w:before="102"/>
              <w:ind w:left="189"/>
              <w:rPr>
                <w:rFonts w:ascii="等线" w:eastAsia="等线" w:hint="eastAsia"/>
                <w:b/>
                <w:sz w:val="24"/>
              </w:rPr>
            </w:pPr>
            <w:r>
              <w:rPr>
                <w:rFonts w:ascii="等线" w:eastAsia="等线" w:hint="eastAsia"/>
                <w:b/>
                <w:sz w:val="24"/>
              </w:rPr>
              <w:t>严重溃疡性结肠炎</w:t>
            </w:r>
          </w:p>
        </w:tc>
        <w:tc>
          <w:tcPr>
            <w:tcW w:w="7098" w:type="dxa"/>
          </w:tcPr>
          <w:p>
            <w:pPr>
              <w:pStyle w:val="TableParagraph"/>
              <w:spacing w:line="273" w:lineRule="auto" w:before="138"/>
              <w:ind w:left="95" w:right="198"/>
              <w:jc w:val="both"/>
              <w:rPr>
                <w:sz w:val="21"/>
              </w:rPr>
            </w:pPr>
            <w:r>
              <w:rPr>
                <w:sz w:val="21"/>
              </w:rPr>
              <w:t>指伴有致命性电解质紊乱的急性暴发性溃疡性结肠炎，病变累及全结肠， 表现为严重的血便和系统性症状体征，已经造成瘘管并伴有肠梗阻或肠穿孔，治疗通常采取全结肠切除和回肠造瘘术。溃疡性结肠炎必须根据组织病理学特点诊断，并且被保险人已经接受了结肠切除和回肠造瘘术。</w:t>
            </w:r>
          </w:p>
        </w:tc>
      </w:tr>
      <w:tr>
        <w:trPr>
          <w:trHeight w:val="1213" w:hRule="atLeast"/>
        </w:trPr>
        <w:tc>
          <w:tcPr>
            <w:tcW w:w="601" w:type="dxa"/>
          </w:tcPr>
          <w:p>
            <w:pPr>
              <w:pStyle w:val="TableParagraph"/>
              <w:spacing w:before="109"/>
              <w:ind w:left="179" w:right="169"/>
              <w:jc w:val="center"/>
              <w:rPr>
                <w:b/>
                <w:sz w:val="21"/>
              </w:rPr>
            </w:pPr>
            <w:r>
              <w:rPr>
                <w:b/>
                <w:sz w:val="21"/>
              </w:rPr>
              <w:t>25</w:t>
            </w:r>
          </w:p>
        </w:tc>
        <w:tc>
          <w:tcPr>
            <w:tcW w:w="2407" w:type="dxa"/>
          </w:tcPr>
          <w:p>
            <w:pPr>
              <w:pStyle w:val="TableParagraph"/>
              <w:spacing w:line="232" w:lineRule="auto" w:before="83"/>
              <w:ind w:left="189" w:right="95"/>
              <w:jc w:val="both"/>
              <w:rPr>
                <w:rFonts w:ascii="等线" w:eastAsia="等线" w:hint="eastAsia"/>
                <w:b/>
                <w:sz w:val="24"/>
              </w:rPr>
            </w:pPr>
            <w:r>
              <w:rPr>
                <w:rFonts w:ascii="等线" w:eastAsia="等线" w:hint="eastAsia"/>
                <w:b/>
                <w:spacing w:val="-13"/>
                <w:sz w:val="24"/>
              </w:rPr>
              <w:t>终末期肾病</w:t>
            </w:r>
            <w:r>
              <w:rPr>
                <w:rFonts w:ascii="等线" w:eastAsia="等线" w:hint="eastAsia"/>
                <w:b/>
                <w:sz w:val="24"/>
              </w:rPr>
              <w:t>（或称慢</w:t>
            </w:r>
            <w:r>
              <w:rPr>
                <w:rFonts w:ascii="等线" w:eastAsia="等线" w:hint="eastAsia"/>
                <w:b/>
                <w:spacing w:val="22"/>
                <w:sz w:val="24"/>
              </w:rPr>
              <w:t>性肾功能衰竭尿毒</w:t>
            </w:r>
            <w:r>
              <w:rPr>
                <w:rFonts w:ascii="等线" w:eastAsia="等线" w:hint="eastAsia"/>
                <w:b/>
                <w:sz w:val="24"/>
              </w:rPr>
              <w:t>症期）</w:t>
            </w:r>
          </w:p>
        </w:tc>
        <w:tc>
          <w:tcPr>
            <w:tcW w:w="7098" w:type="dxa"/>
          </w:tcPr>
          <w:p>
            <w:pPr>
              <w:pStyle w:val="TableParagraph"/>
              <w:spacing w:before="109"/>
              <w:ind w:left="95"/>
              <w:rPr>
                <w:sz w:val="21"/>
              </w:rPr>
            </w:pPr>
            <w:r>
              <w:rPr>
                <w:sz w:val="21"/>
              </w:rPr>
              <w:t>指双肾功能慢性不可逆性衰竭，达到尿毒症期，经诊断后已经进行了至少</w:t>
            </w:r>
          </w:p>
          <w:p>
            <w:pPr>
              <w:pStyle w:val="TableParagraph"/>
              <w:spacing w:before="36"/>
              <w:ind w:left="95"/>
              <w:rPr>
                <w:sz w:val="21"/>
              </w:rPr>
            </w:pPr>
            <w:r>
              <w:rPr>
                <w:sz w:val="21"/>
              </w:rPr>
              <w:t>90 日的规律性透析治疗或实施了肾脏移植手术。</w:t>
            </w:r>
          </w:p>
        </w:tc>
      </w:tr>
      <w:tr>
        <w:trPr>
          <w:trHeight w:val="1839" w:hRule="atLeast"/>
        </w:trPr>
        <w:tc>
          <w:tcPr>
            <w:tcW w:w="601" w:type="dxa"/>
          </w:tcPr>
          <w:p>
            <w:pPr>
              <w:pStyle w:val="TableParagraph"/>
              <w:spacing w:before="134"/>
              <w:ind w:left="179" w:right="169"/>
              <w:jc w:val="center"/>
              <w:rPr>
                <w:b/>
                <w:sz w:val="21"/>
              </w:rPr>
            </w:pPr>
            <w:r>
              <w:rPr>
                <w:b/>
                <w:sz w:val="21"/>
              </w:rPr>
              <w:t>26</w:t>
            </w:r>
          </w:p>
        </w:tc>
        <w:tc>
          <w:tcPr>
            <w:tcW w:w="2407" w:type="dxa"/>
          </w:tcPr>
          <w:p>
            <w:pPr>
              <w:pStyle w:val="TableParagraph"/>
              <w:spacing w:before="98"/>
              <w:ind w:left="189"/>
              <w:rPr>
                <w:rFonts w:ascii="等线" w:eastAsia="等线" w:hint="eastAsia"/>
                <w:b/>
                <w:sz w:val="24"/>
              </w:rPr>
            </w:pPr>
            <w:r>
              <w:rPr>
                <w:rFonts w:ascii="等线" w:eastAsia="等线" w:hint="eastAsia"/>
                <w:b/>
                <w:sz w:val="24"/>
              </w:rPr>
              <w:t>终末期肺病</w:t>
            </w:r>
          </w:p>
        </w:tc>
        <w:tc>
          <w:tcPr>
            <w:tcW w:w="7098" w:type="dxa"/>
          </w:tcPr>
          <w:p>
            <w:pPr>
              <w:pStyle w:val="TableParagraph"/>
              <w:spacing w:line="273" w:lineRule="auto" w:before="134"/>
              <w:ind w:left="95" w:right="275"/>
              <w:rPr>
                <w:sz w:val="21"/>
              </w:rPr>
            </w:pPr>
            <w:r>
              <w:rPr>
                <w:sz w:val="21"/>
              </w:rPr>
              <w:t>指经专科医生明确诊断，且被保险人已出现慢性呼吸功能衰竭，其诊断标准必须满足下列所有条件：</w:t>
            </w:r>
          </w:p>
          <w:p>
            <w:pPr>
              <w:pStyle w:val="TableParagraph"/>
              <w:spacing w:before="7"/>
              <w:ind w:left="95"/>
              <w:rPr>
                <w:sz w:val="21"/>
              </w:rPr>
            </w:pPr>
            <w:r>
              <w:rPr>
                <w:sz w:val="21"/>
              </w:rPr>
              <w:t>（1）肺功能测试其 FEV1 持续低于 1 升；</w:t>
            </w:r>
          </w:p>
          <w:p>
            <w:pPr>
              <w:pStyle w:val="TableParagraph"/>
              <w:spacing w:before="37"/>
              <w:ind w:left="95"/>
              <w:rPr>
                <w:sz w:val="21"/>
              </w:rPr>
            </w:pPr>
            <w:r>
              <w:rPr>
                <w:sz w:val="21"/>
              </w:rPr>
              <w:t>（2）动脉血气分析氧分压低于 55mmHg；</w:t>
            </w:r>
          </w:p>
          <w:p>
            <w:pPr>
              <w:pStyle w:val="TableParagraph"/>
              <w:spacing w:before="37"/>
              <w:ind w:left="95"/>
              <w:rPr>
                <w:sz w:val="21"/>
              </w:rPr>
            </w:pPr>
            <w:r>
              <w:rPr>
                <w:sz w:val="21"/>
              </w:rPr>
              <w:t>（3）病人缺氧必须进行输氧治疗。</w:t>
            </w:r>
          </w:p>
        </w:tc>
      </w:tr>
      <w:tr>
        <w:trPr>
          <w:trHeight w:val="1219" w:hRule="atLeast"/>
        </w:trPr>
        <w:tc>
          <w:tcPr>
            <w:tcW w:w="601" w:type="dxa"/>
          </w:tcPr>
          <w:p>
            <w:pPr>
              <w:pStyle w:val="TableParagraph"/>
              <w:spacing w:before="138"/>
              <w:ind w:left="179" w:right="169"/>
              <w:jc w:val="center"/>
              <w:rPr>
                <w:b/>
                <w:sz w:val="21"/>
              </w:rPr>
            </w:pPr>
            <w:r>
              <w:rPr>
                <w:b/>
                <w:sz w:val="21"/>
              </w:rPr>
              <w:t>27</w:t>
            </w:r>
          </w:p>
        </w:tc>
        <w:tc>
          <w:tcPr>
            <w:tcW w:w="2407" w:type="dxa"/>
          </w:tcPr>
          <w:p>
            <w:pPr>
              <w:pStyle w:val="TableParagraph"/>
              <w:spacing w:before="102"/>
              <w:ind w:left="189"/>
              <w:rPr>
                <w:rFonts w:ascii="等线" w:eastAsia="等线" w:hint="eastAsia"/>
                <w:b/>
                <w:sz w:val="24"/>
              </w:rPr>
            </w:pPr>
            <w:r>
              <w:rPr>
                <w:rFonts w:ascii="等线" w:eastAsia="等线" w:hint="eastAsia"/>
                <w:b/>
                <w:sz w:val="24"/>
              </w:rPr>
              <w:t>胰腺移植</w:t>
            </w:r>
          </w:p>
        </w:tc>
        <w:tc>
          <w:tcPr>
            <w:tcW w:w="7098" w:type="dxa"/>
          </w:tcPr>
          <w:p>
            <w:pPr>
              <w:pStyle w:val="TableParagraph"/>
              <w:spacing w:line="273" w:lineRule="auto" w:before="138"/>
              <w:ind w:left="95" w:right="198"/>
              <w:rPr>
                <w:sz w:val="21"/>
              </w:rPr>
            </w:pPr>
            <w:r>
              <w:rPr>
                <w:sz w:val="21"/>
              </w:rPr>
              <w:t>指因胰腺功能衰竭，已经实施了在全身麻醉下进行的胰腺的异体器官移植手术。</w:t>
            </w:r>
          </w:p>
          <w:p>
            <w:pPr>
              <w:pStyle w:val="TableParagraph"/>
              <w:spacing w:before="7"/>
              <w:ind w:left="95"/>
              <w:rPr>
                <w:sz w:val="21"/>
              </w:rPr>
            </w:pPr>
            <w:r>
              <w:rPr>
                <w:sz w:val="21"/>
                <w:shd w:fill="DADADA" w:color="auto" w:val="clear"/>
              </w:rPr>
              <w:t>单纯胰岛移植、部分胰腺组织或细胞的移植不在保障范围内。</w:t>
            </w:r>
          </w:p>
        </w:tc>
      </w:tr>
      <w:tr>
        <w:trPr>
          <w:trHeight w:val="1349" w:hRule="atLeast"/>
        </w:trPr>
        <w:tc>
          <w:tcPr>
            <w:tcW w:w="601" w:type="dxa"/>
          </w:tcPr>
          <w:p>
            <w:pPr>
              <w:pStyle w:val="TableParagraph"/>
              <w:spacing w:before="138"/>
              <w:ind w:left="179" w:right="169"/>
              <w:jc w:val="center"/>
              <w:rPr>
                <w:b/>
                <w:sz w:val="21"/>
              </w:rPr>
            </w:pPr>
            <w:r>
              <w:rPr>
                <w:b/>
                <w:sz w:val="21"/>
              </w:rPr>
              <w:t>28</w:t>
            </w:r>
          </w:p>
        </w:tc>
        <w:tc>
          <w:tcPr>
            <w:tcW w:w="2407" w:type="dxa"/>
          </w:tcPr>
          <w:p>
            <w:pPr>
              <w:pStyle w:val="TableParagraph"/>
              <w:spacing w:line="232" w:lineRule="auto" w:before="112"/>
              <w:ind w:left="189" w:right="95"/>
              <w:rPr>
                <w:rFonts w:ascii="等线" w:eastAsia="等线" w:hint="eastAsia"/>
                <w:b/>
                <w:sz w:val="24"/>
              </w:rPr>
            </w:pPr>
            <w:r>
              <w:rPr>
                <w:rFonts w:ascii="等线" w:eastAsia="等线" w:hint="eastAsia"/>
                <w:b/>
                <w:sz w:val="24"/>
              </w:rPr>
              <w:t>急性坏死性胰腺炎开腹手术</w:t>
            </w:r>
          </w:p>
        </w:tc>
        <w:tc>
          <w:tcPr>
            <w:tcW w:w="7098" w:type="dxa"/>
          </w:tcPr>
          <w:p>
            <w:pPr>
              <w:pStyle w:val="TableParagraph"/>
              <w:spacing w:line="273" w:lineRule="auto" w:before="138"/>
              <w:ind w:left="95" w:right="198"/>
              <w:rPr>
                <w:sz w:val="21"/>
              </w:rPr>
            </w:pPr>
            <w:r>
              <w:rPr>
                <w:sz w:val="21"/>
              </w:rPr>
              <w:t>指由专科医生确诊为急性坏死性胰腺炎，并已经接受了开腹手术进行坏死组织清除、病灶切除或胰腺部分切除的治疗。</w:t>
            </w:r>
          </w:p>
          <w:p>
            <w:pPr>
              <w:pStyle w:val="TableParagraph"/>
              <w:spacing w:line="312" w:lineRule="exact" w:before="3"/>
              <w:ind w:left="95" w:right="198"/>
              <w:rPr>
                <w:sz w:val="21"/>
              </w:rPr>
            </w:pPr>
            <w:r>
              <w:rPr>
                <w:sz w:val="21"/>
                <w:shd w:fill="DADADA" w:color="auto" w:val="clear"/>
              </w:rPr>
              <w:t>因酗酒或饮酒过量所致的急性坏死性胰腺炎以及腹腔镜手术不在保障范围内。</w:t>
            </w:r>
          </w:p>
        </w:tc>
      </w:tr>
    </w:tbl>
    <w:p>
      <w:pPr>
        <w:spacing w:after="0" w:line="312" w:lineRule="exact"/>
        <w:rPr>
          <w:sz w:val="21"/>
        </w:rPr>
        <w:sectPr>
          <w:pgSz w:w="11910" w:h="16840"/>
          <w:pgMar w:top="1160" w:bottom="280" w:left="880" w:right="700"/>
        </w:sectPr>
      </w:pPr>
    </w:p>
    <w:p>
      <w:pPr>
        <w:pStyle w:val="ListParagraph"/>
        <w:numPr>
          <w:ilvl w:val="0"/>
          <w:numId w:val="11"/>
        </w:numPr>
        <w:tabs>
          <w:tab w:pos="695" w:val="left" w:leader="none"/>
          <w:tab w:pos="696" w:val="left" w:leader="none"/>
          <w:tab w:pos="3009" w:val="left" w:leader="none"/>
        </w:tabs>
        <w:spacing w:line="240" w:lineRule="auto" w:before="3" w:after="0"/>
        <w:ind w:left="696" w:right="0" w:hanging="591"/>
        <w:jc w:val="left"/>
        <w:rPr>
          <w:sz w:val="21"/>
        </w:rPr>
      </w:pPr>
      <w:r>
        <w:rPr>
          <w:rFonts w:ascii="等线" w:eastAsia="等线" w:hint="eastAsia"/>
          <w:b/>
          <w:position w:val="1"/>
          <w:sz w:val="24"/>
        </w:rPr>
        <w:t>严重肾髓质囊性病</w:t>
        <w:tab/>
      </w:r>
      <w:r>
        <w:rPr>
          <w:sz w:val="21"/>
        </w:rPr>
        <w:t>指经专科</w:t>
      </w:r>
      <w:r>
        <w:rPr>
          <w:spacing w:val="-5"/>
          <w:sz w:val="21"/>
        </w:rPr>
        <w:t>医</w:t>
      </w:r>
      <w:r>
        <w:rPr>
          <w:sz w:val="21"/>
        </w:rPr>
        <w:t>生明确</w:t>
      </w:r>
      <w:r>
        <w:rPr>
          <w:spacing w:val="-5"/>
          <w:sz w:val="21"/>
        </w:rPr>
        <w:t>诊</w:t>
      </w:r>
      <w:r>
        <w:rPr>
          <w:sz w:val="21"/>
        </w:rPr>
        <w:t>断为肾</w:t>
      </w:r>
      <w:r>
        <w:rPr>
          <w:spacing w:val="-5"/>
          <w:sz w:val="21"/>
        </w:rPr>
        <w:t>髓</w:t>
      </w:r>
      <w:r>
        <w:rPr>
          <w:sz w:val="21"/>
        </w:rPr>
        <w:t>质囊性</w:t>
      </w:r>
      <w:r>
        <w:rPr>
          <w:spacing w:val="-5"/>
          <w:sz w:val="21"/>
        </w:rPr>
        <w:t>病</w:t>
      </w:r>
      <w:r>
        <w:rPr>
          <w:sz w:val="21"/>
        </w:rPr>
        <w:t>，且须</w:t>
      </w:r>
      <w:r>
        <w:rPr>
          <w:spacing w:val="-5"/>
          <w:sz w:val="21"/>
        </w:rPr>
        <w:t>同</w:t>
      </w:r>
      <w:r>
        <w:rPr>
          <w:sz w:val="21"/>
        </w:rPr>
        <w:t>时</w:t>
      </w:r>
      <w:r>
        <w:rPr>
          <w:spacing w:val="-5"/>
          <w:sz w:val="21"/>
        </w:rPr>
        <w:t>满</w:t>
      </w:r>
      <w:r>
        <w:rPr>
          <w:sz w:val="21"/>
        </w:rPr>
        <w:t>足下列条</w:t>
      </w:r>
      <w:r>
        <w:rPr>
          <w:spacing w:val="-5"/>
          <w:sz w:val="21"/>
        </w:rPr>
        <w:t>件</w:t>
      </w:r>
      <w:r>
        <w:rPr>
          <w:sz w:val="21"/>
        </w:rPr>
        <w:t>：</w:t>
      </w:r>
    </w:p>
    <w:p>
      <w:pPr>
        <w:pStyle w:val="BodyText"/>
        <w:spacing w:before="20"/>
        <w:ind w:left="3009"/>
      </w:pPr>
      <w:r>
        <w:rPr/>
        <w:t>（1）肾髓质有囊肿、肾小管萎缩及间质纤维化等病理改变；</w:t>
      </w:r>
    </w:p>
    <w:p>
      <w:pPr>
        <w:pStyle w:val="BodyText"/>
        <w:spacing w:before="36"/>
        <w:ind w:left="3009"/>
      </w:pPr>
      <w:r>
        <w:rPr/>
        <w:t>（2）贫血、多尿及肾功能衰竭等临床表现；</w:t>
      </w:r>
    </w:p>
    <w:p>
      <w:pPr>
        <w:pStyle w:val="BodyText"/>
        <w:spacing w:before="36"/>
        <w:ind w:left="3009"/>
      </w:pPr>
      <w:r>
        <w:rPr/>
        <w:t>（3）诊断须由肾组织活检确定。</w:t>
      </w:r>
    </w:p>
    <w:p>
      <w:pPr>
        <w:pStyle w:val="BodyText"/>
        <w:spacing w:before="1"/>
        <w:rPr>
          <w:sz w:val="16"/>
        </w:rPr>
      </w:pPr>
    </w:p>
    <w:p>
      <w:pPr>
        <w:spacing w:after="0"/>
        <w:rPr>
          <w:sz w:val="16"/>
        </w:rPr>
        <w:sectPr>
          <w:pgSz w:w="11910" w:h="16840"/>
          <w:pgMar w:top="1060" w:bottom="280" w:left="1080" w:right="880"/>
        </w:sectPr>
      </w:pPr>
    </w:p>
    <w:p>
      <w:pPr>
        <w:pStyle w:val="Heading2"/>
        <w:numPr>
          <w:ilvl w:val="0"/>
          <w:numId w:val="11"/>
        </w:numPr>
        <w:tabs>
          <w:tab w:pos="695" w:val="left" w:leader="none"/>
          <w:tab w:pos="696" w:val="left" w:leader="none"/>
        </w:tabs>
        <w:spacing w:line="322" w:lineRule="exact" w:before="20" w:after="0"/>
        <w:ind w:left="696" w:right="0" w:hanging="591"/>
        <w:jc w:val="left"/>
      </w:pPr>
      <w:r>
        <w:rPr>
          <w:spacing w:val="22"/>
          <w:position w:val="1"/>
        </w:rPr>
        <w:t>严重肝豆状核变性</w:t>
      </w:r>
    </w:p>
    <w:p>
      <w:pPr>
        <w:spacing w:line="322" w:lineRule="exact" w:before="0"/>
        <w:ind w:left="696" w:right="0" w:firstLine="0"/>
        <w:jc w:val="left"/>
        <w:rPr>
          <w:rFonts w:ascii="等线" w:eastAsia="等线" w:hint="eastAsia"/>
          <w:b/>
          <w:sz w:val="24"/>
        </w:rPr>
      </w:pPr>
      <w:r>
        <w:rPr>
          <w:rFonts w:ascii="等线" w:eastAsia="等线" w:hint="eastAsia"/>
          <w:b/>
          <w:sz w:val="24"/>
        </w:rPr>
        <w:t>（Wilson 病）</w:t>
      </w:r>
    </w:p>
    <w:p>
      <w:pPr>
        <w:pStyle w:val="BodyText"/>
        <w:spacing w:line="273" w:lineRule="auto" w:before="56"/>
        <w:ind w:left="105" w:right="130"/>
      </w:pPr>
      <w:r>
        <w:rPr/>
        <w:br w:type="column"/>
      </w:r>
      <w:r>
        <w:rPr/>
        <w:t>指由于铜代谢障碍所引起的一种疾病，其特点为肝硬化与双侧脑基底神经节变性同时存在，且须经专科医生明确诊断，并同时必须具备下列情况：</w:t>
      </w:r>
    </w:p>
    <w:p>
      <w:pPr>
        <w:pStyle w:val="BodyText"/>
        <w:spacing w:line="273" w:lineRule="auto" w:before="7"/>
        <w:ind w:left="628" w:right="106" w:hanging="524"/>
      </w:pPr>
      <w:r>
        <w:rPr/>
        <w:t>（1）临床表现包括：进行性加剧的肢体震颤，肌强直，吞咽及发音困难， 精神异常；</w:t>
      </w:r>
    </w:p>
    <w:p>
      <w:pPr>
        <w:pStyle w:val="BodyText"/>
        <w:spacing w:before="7"/>
        <w:ind w:left="105"/>
      </w:pPr>
      <w:r>
        <w:rPr/>
        <w:t>（2）</w:t>
      </w:r>
      <w:r>
        <w:rPr>
          <w:spacing w:val="-2"/>
        </w:rPr>
        <w:t>角膜色素环</w:t>
      </w:r>
      <w:r>
        <w:rPr/>
        <w:t>（K-F</w:t>
      </w:r>
      <w:r>
        <w:rPr>
          <w:spacing w:val="-22"/>
        </w:rPr>
        <w:t> 环</w:t>
      </w:r>
      <w:r>
        <w:rPr>
          <w:spacing w:val="-106"/>
        </w:rPr>
        <w:t>）；</w:t>
      </w:r>
    </w:p>
    <w:p>
      <w:pPr>
        <w:pStyle w:val="BodyText"/>
        <w:spacing w:before="36"/>
        <w:ind w:left="105"/>
      </w:pPr>
      <w:r>
        <w:rPr/>
        <w:t>（3）血清铜和血清铜蓝蛋白降低，尿铜增加；</w:t>
      </w:r>
    </w:p>
    <w:p>
      <w:pPr>
        <w:pStyle w:val="BodyText"/>
        <w:spacing w:before="36"/>
        <w:ind w:left="105"/>
      </w:pPr>
      <w:r>
        <w:rPr/>
        <w:t>（4）食管静脉曲张；</w:t>
      </w:r>
    </w:p>
    <w:p>
      <w:pPr>
        <w:pStyle w:val="BodyText"/>
        <w:spacing w:before="36"/>
        <w:ind w:left="105"/>
      </w:pPr>
      <w:r>
        <w:rPr/>
        <w:t>（5）腹水。</w:t>
      </w:r>
    </w:p>
    <w:p>
      <w:pPr>
        <w:spacing w:after="0"/>
        <w:sectPr>
          <w:type w:val="continuous"/>
          <w:pgSz w:w="11910" w:h="16840"/>
          <w:pgMar w:top="520" w:bottom="280" w:left="1080" w:right="880"/>
          <w:cols w:num="2" w:equalWidth="0">
            <w:col w:w="2818" w:space="86"/>
            <w:col w:w="7046"/>
          </w:cols>
        </w:sectPr>
      </w:pPr>
    </w:p>
    <w:p>
      <w:pPr>
        <w:pStyle w:val="BodyText"/>
        <w:spacing w:before="12"/>
        <w:rPr>
          <w:sz w:val="17"/>
        </w:rPr>
      </w:pPr>
    </w:p>
    <w:p>
      <w:pPr>
        <w:spacing w:after="0"/>
        <w:rPr>
          <w:sz w:val="17"/>
        </w:rPr>
        <w:sectPr>
          <w:type w:val="continuous"/>
          <w:pgSz w:w="11910" w:h="16840"/>
          <w:pgMar w:top="520" w:bottom="280" w:left="1080" w:right="880"/>
        </w:sectPr>
      </w:pPr>
    </w:p>
    <w:p>
      <w:pPr>
        <w:pStyle w:val="Heading2"/>
        <w:numPr>
          <w:ilvl w:val="0"/>
          <w:numId w:val="11"/>
        </w:numPr>
        <w:tabs>
          <w:tab w:pos="695" w:val="left" w:leader="none"/>
          <w:tab w:pos="696" w:val="left" w:leader="none"/>
        </w:tabs>
        <w:spacing w:line="232" w:lineRule="auto" w:before="31" w:after="0"/>
        <w:ind w:left="696" w:right="0" w:hanging="591"/>
        <w:jc w:val="left"/>
      </w:pPr>
      <w:r>
        <w:rPr>
          <w:spacing w:val="22"/>
          <w:position w:val="1"/>
        </w:rPr>
        <w:t>严重自身免疫性肝</w:t>
      </w:r>
      <w:r>
        <w:rPr/>
        <w:t>炎</w:t>
      </w:r>
    </w:p>
    <w:p>
      <w:pPr>
        <w:pStyle w:val="BodyText"/>
        <w:spacing w:line="273" w:lineRule="auto" w:before="57"/>
        <w:ind w:left="105" w:right="130"/>
        <w:jc w:val="both"/>
      </w:pPr>
      <w:r>
        <w:rPr/>
        <w:br w:type="column"/>
      </w:r>
      <w:r>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7"/>
        <w:ind w:left="105"/>
      </w:pPr>
      <w:r>
        <w:rPr/>
        <w:t>（1）高γ球蛋白血症；</w:t>
      </w:r>
    </w:p>
    <w:p>
      <w:pPr>
        <w:pStyle w:val="BodyText"/>
        <w:spacing w:line="273" w:lineRule="auto" w:before="36"/>
        <w:ind w:left="629" w:right="130" w:hanging="524"/>
      </w:pPr>
      <w:r>
        <w:rPr/>
        <w:t>（2）</w:t>
      </w:r>
      <w:r>
        <w:rPr>
          <w:spacing w:val="-5"/>
        </w:rPr>
        <w:t>血液中存在高水平的自身免疫抗体，如 </w:t>
      </w:r>
      <w:r>
        <w:rPr/>
        <w:t>ANA（</w:t>
      </w:r>
      <w:r>
        <w:rPr>
          <w:spacing w:val="-2"/>
        </w:rPr>
        <w:t>抗核抗体</w:t>
      </w:r>
      <w:r>
        <w:rPr>
          <w:spacing w:val="-106"/>
        </w:rPr>
        <w:t>）</w:t>
      </w:r>
      <w:r>
        <w:rPr/>
        <w:t>、SMA（抗平滑肌抗体</w:t>
      </w:r>
      <w:r>
        <w:rPr>
          <w:spacing w:val="-106"/>
        </w:rPr>
        <w:t>）</w:t>
      </w:r>
      <w:r>
        <w:rPr>
          <w:spacing w:val="-18"/>
        </w:rPr>
        <w:t>、抗 </w:t>
      </w:r>
      <w:r>
        <w:rPr/>
        <w:t>LKM1</w:t>
      </w:r>
      <w:r>
        <w:rPr>
          <w:spacing w:val="-10"/>
        </w:rPr>
        <w:t> 抗体或抗-</w:t>
      </w:r>
      <w:r>
        <w:rPr/>
        <w:t>SLA/LP</w:t>
      </w:r>
      <w:r>
        <w:rPr>
          <w:spacing w:val="-14"/>
        </w:rPr>
        <w:t> 抗体；</w:t>
      </w:r>
    </w:p>
    <w:p>
      <w:pPr>
        <w:pStyle w:val="BodyText"/>
        <w:spacing w:before="7"/>
        <w:ind w:left="105"/>
        <w:jc w:val="both"/>
      </w:pPr>
      <w:r>
        <w:rPr/>
        <w:t>（3）肝脏活检证实免疫性肝炎；</w:t>
      </w:r>
    </w:p>
    <w:p>
      <w:pPr>
        <w:pStyle w:val="BodyText"/>
        <w:spacing w:before="37"/>
        <w:ind w:left="105"/>
        <w:jc w:val="both"/>
      </w:pPr>
      <w:r>
        <w:rPr/>
        <w:t>（4）临床已经出现腹水、食道静脉曲张和脾肿大等肝硬化表现。</w:t>
      </w:r>
    </w:p>
    <w:p>
      <w:pPr>
        <w:spacing w:after="0"/>
        <w:jc w:val="both"/>
        <w:sectPr>
          <w:type w:val="continuous"/>
          <w:pgSz w:w="11910" w:h="16840"/>
          <w:pgMar w:top="520" w:bottom="280" w:left="1080" w:right="880"/>
          <w:cols w:num="2" w:equalWidth="0">
            <w:col w:w="2818" w:space="86"/>
            <w:col w:w="7046"/>
          </w:cols>
        </w:sectPr>
      </w:pPr>
    </w:p>
    <w:p>
      <w:pPr>
        <w:pStyle w:val="BodyText"/>
        <w:rPr>
          <w:sz w:val="18"/>
        </w:rPr>
      </w:pPr>
    </w:p>
    <w:p>
      <w:pPr>
        <w:spacing w:after="0"/>
        <w:rPr>
          <w:sz w:val="18"/>
        </w:rPr>
        <w:sectPr>
          <w:type w:val="continuous"/>
          <w:pgSz w:w="11910" w:h="16840"/>
          <w:pgMar w:top="520" w:bottom="280" w:left="1080" w:right="880"/>
        </w:sectPr>
      </w:pPr>
    </w:p>
    <w:p>
      <w:pPr>
        <w:pStyle w:val="Heading2"/>
        <w:numPr>
          <w:ilvl w:val="0"/>
          <w:numId w:val="11"/>
        </w:numPr>
        <w:tabs>
          <w:tab w:pos="695" w:val="left" w:leader="none"/>
          <w:tab w:pos="696" w:val="left" w:leader="none"/>
        </w:tabs>
        <w:spacing w:line="232" w:lineRule="auto" w:before="30" w:after="0"/>
        <w:ind w:left="696" w:right="0" w:hanging="591"/>
        <w:jc w:val="left"/>
      </w:pPr>
      <w:r>
        <w:rPr>
          <w:spacing w:val="22"/>
          <w:position w:val="1"/>
        </w:rPr>
        <w:t>严重弥漫性系统性</w:t>
      </w:r>
      <w:r>
        <w:rPr/>
        <w:t>硬皮病</w:t>
      </w:r>
    </w:p>
    <w:p>
      <w:pPr>
        <w:pStyle w:val="BodyText"/>
        <w:spacing w:line="273" w:lineRule="auto" w:before="56"/>
        <w:ind w:left="105" w:right="130"/>
        <w:jc w:val="both"/>
      </w:pPr>
      <w:r>
        <w:rPr/>
        <w:br w:type="column"/>
      </w:r>
      <w:r>
        <w:rPr/>
        <w:t>指一种系统性胶原血管病引起进行性的皮肤/血管和内脏器官的弥漫性纤维化。本病症须经专科医生明确诊断，并由活检和血清学证据支持并且疾病已经影响到心脏、肺或肾脏等内脏器官并且达到下列标准之一：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BodyText"/>
        <w:spacing w:before="7"/>
        <w:ind w:left="105"/>
      </w:pPr>
      <w:r>
        <w:rPr/>
        <w:t>（1）肺纤维化，已经出现肺动脉高压、肺心病；</w:t>
      </w:r>
    </w:p>
    <w:p>
      <w:pPr>
        <w:pStyle w:val="BodyText"/>
        <w:spacing w:line="273" w:lineRule="auto" w:before="37"/>
        <w:ind w:left="628" w:right="100" w:hanging="524"/>
      </w:pPr>
      <w:r>
        <w:rPr/>
        <w:t>（2）心脏功能损害，心脏功能衰竭程度达到纽约心脏病学会的心功能分级标准之心功能 IV 级；</w:t>
      </w:r>
    </w:p>
    <w:p>
      <w:pPr>
        <w:pStyle w:val="BodyText"/>
        <w:spacing w:line="273" w:lineRule="auto" w:before="7"/>
        <w:ind w:left="105" w:right="2833" w:hanging="1"/>
      </w:pPr>
      <w:r>
        <w:rPr/>
        <w:t>（3）肾脏功能损害，已经出现肾功能衰竭。</w:t>
      </w:r>
      <w:r>
        <w:rPr>
          <w:shd w:fill="DADADA" w:color="auto" w:val="clear"/>
        </w:rPr>
        <w:t>下列疾病不在保障范围内：</w:t>
      </w:r>
    </w:p>
    <w:p>
      <w:pPr>
        <w:pStyle w:val="BodyText"/>
        <w:spacing w:before="7"/>
        <w:ind w:left="105"/>
        <w:jc w:val="both"/>
      </w:pPr>
      <w:r>
        <w:rPr>
          <w:shd w:fill="DADADA" w:color="auto" w:val="clear"/>
        </w:rPr>
        <w:t>（1）局限硬皮病；</w:t>
      </w:r>
    </w:p>
    <w:p>
      <w:pPr>
        <w:pStyle w:val="BodyText"/>
        <w:spacing w:before="37"/>
        <w:ind w:left="105"/>
        <w:jc w:val="both"/>
      </w:pPr>
      <w:r>
        <w:rPr>
          <w:shd w:fill="DADADA" w:color="auto" w:val="clear"/>
        </w:rPr>
        <w:t>（2）嗜酸细胞筋膜炎；</w:t>
      </w:r>
    </w:p>
    <w:p>
      <w:pPr>
        <w:pStyle w:val="BodyText"/>
        <w:spacing w:before="37"/>
        <w:ind w:left="105"/>
        <w:jc w:val="both"/>
      </w:pPr>
      <w:r>
        <w:rPr>
          <w:shd w:fill="DADADA" w:color="auto" w:val="clear"/>
        </w:rPr>
        <w:t>（3）CREST 综合征。</w:t>
      </w:r>
    </w:p>
    <w:p>
      <w:pPr>
        <w:spacing w:after="0"/>
        <w:jc w:val="both"/>
        <w:sectPr>
          <w:type w:val="continuous"/>
          <w:pgSz w:w="11910" w:h="16840"/>
          <w:pgMar w:top="520" w:bottom="280" w:left="1080" w:right="880"/>
          <w:cols w:num="2" w:equalWidth="0">
            <w:col w:w="2818" w:space="86"/>
            <w:col w:w="7046"/>
          </w:cols>
        </w:sectPr>
      </w:pPr>
    </w:p>
    <w:p>
      <w:pPr>
        <w:pStyle w:val="BodyText"/>
        <w:spacing w:before="12"/>
        <w:rPr>
          <w:sz w:val="17"/>
        </w:rPr>
      </w:pPr>
    </w:p>
    <w:p>
      <w:pPr>
        <w:pStyle w:val="ListParagraph"/>
        <w:numPr>
          <w:ilvl w:val="0"/>
          <w:numId w:val="11"/>
        </w:numPr>
        <w:tabs>
          <w:tab w:pos="696" w:val="left" w:leader="none"/>
        </w:tabs>
        <w:spacing w:line="254" w:lineRule="auto" w:before="20" w:after="0"/>
        <w:ind w:left="3009" w:right="130" w:hanging="2904"/>
        <w:jc w:val="both"/>
        <w:rPr>
          <w:sz w:val="21"/>
        </w:rPr>
      </w:pPr>
      <w:r>
        <w:rPr>
          <w:rFonts w:ascii="等线" w:eastAsia="等线" w:hint="eastAsia"/>
          <w:b/>
          <w:position w:val="1"/>
          <w:sz w:val="24"/>
        </w:rPr>
        <w:t>肺淋巴管ft</w:t>
      </w:r>
      <w:r>
        <w:rPr>
          <w:rFonts w:ascii="等线" w:eastAsia="等线" w:hint="eastAsia"/>
          <w:b/>
          <w:spacing w:val="0"/>
          <w:position w:val="1"/>
          <w:sz w:val="24"/>
        </w:rPr>
        <w:t>瘤病         </w:t>
      </w:r>
      <w:r>
        <w:rPr>
          <w:sz w:val="21"/>
        </w:rPr>
        <w:t>是一种弥漫性肺部疾病，主要病理改变为肺间质、支气管、血管和淋巴管</w:t>
      </w:r>
      <w:r>
        <w:rPr>
          <w:spacing w:val="-5"/>
          <w:sz w:val="21"/>
        </w:rPr>
        <w:t>内出现未成熟的平滑肌异常增生，并须同时满足下列全部条件：</w:t>
      </w:r>
    </w:p>
    <w:p>
      <w:pPr>
        <w:pStyle w:val="BodyText"/>
        <w:spacing w:before="24"/>
        <w:ind w:left="3009"/>
      </w:pPr>
      <w:r>
        <w:rPr/>
        <w:t>（1）经组织病理学诊断；</w:t>
      </w:r>
    </w:p>
    <w:p>
      <w:pPr>
        <w:pStyle w:val="BodyText"/>
        <w:spacing w:before="37"/>
        <w:ind w:left="3009"/>
      </w:pPr>
      <w:r>
        <w:rPr/>
        <w:t>（2）CT 显示双肺弥漫性囊性改变；</w:t>
      </w:r>
    </w:p>
    <w:p>
      <w:pPr>
        <w:pStyle w:val="BodyText"/>
        <w:spacing w:before="37"/>
        <w:ind w:left="3009"/>
      </w:pPr>
      <w:r>
        <w:rPr/>
        <w:t>（3）血气提示低氧血症。</w:t>
      </w:r>
    </w:p>
    <w:p>
      <w:pPr>
        <w:pStyle w:val="BodyText"/>
        <w:spacing w:before="7"/>
        <w:rPr>
          <w:sz w:val="19"/>
        </w:rPr>
      </w:pPr>
    </w:p>
    <w:p>
      <w:pPr>
        <w:pStyle w:val="ListParagraph"/>
        <w:numPr>
          <w:ilvl w:val="0"/>
          <w:numId w:val="11"/>
        </w:numPr>
        <w:tabs>
          <w:tab w:pos="696" w:val="left" w:leader="none"/>
        </w:tabs>
        <w:spacing w:line="264" w:lineRule="auto" w:before="0" w:after="0"/>
        <w:ind w:left="3009" w:right="135" w:hanging="2904"/>
        <w:jc w:val="both"/>
        <w:rPr>
          <w:sz w:val="21"/>
        </w:rPr>
      </w:pPr>
      <w:r>
        <w:rPr>
          <w:rFonts w:ascii="等线" w:eastAsia="等线" w:hint="eastAsia"/>
          <w:b/>
          <w:spacing w:val="0"/>
          <w:position w:val="1"/>
          <w:sz w:val="24"/>
        </w:rPr>
        <w:t>肺泡蛋白质沉积症    </w:t>
      </w:r>
      <w:r>
        <w:rPr>
          <w:spacing w:val="-6"/>
          <w:sz w:val="21"/>
        </w:rPr>
        <w:t>指肺泡和细支气管腔内充满不可溶性富磷脂蛋白的疾病，胸部 </w:t>
      </w:r>
      <w:r>
        <w:rPr>
          <w:sz w:val="21"/>
        </w:rPr>
        <w:t>X</w:t>
      </w:r>
      <w:r>
        <w:rPr>
          <w:spacing w:val="-4"/>
          <w:sz w:val="21"/>
        </w:rPr>
        <w:t> 线呈双肺</w:t>
      </w:r>
      <w:r>
        <w:rPr>
          <w:spacing w:val="-7"/>
          <w:sz w:val="21"/>
        </w:rPr>
        <w:t>弥漫性肺部磨玻璃影，病理学检查肺泡内充满有过碘酸雪夫</w:t>
      </w:r>
      <w:r>
        <w:rPr>
          <w:spacing w:val="-3"/>
          <w:sz w:val="21"/>
        </w:rPr>
        <w:t>（PAS）</w:t>
      </w:r>
      <w:r>
        <w:rPr>
          <w:spacing w:val="-2"/>
          <w:sz w:val="21"/>
        </w:rPr>
        <w:t>染色阳</w:t>
      </w:r>
      <w:r>
        <w:rPr>
          <w:spacing w:val="-5"/>
          <w:sz w:val="21"/>
        </w:rPr>
        <w:t>性的蛋白样物质，并且接受了肺灌洗治疗。</w:t>
      </w:r>
    </w:p>
    <w:p>
      <w:pPr>
        <w:pStyle w:val="BodyText"/>
        <w:spacing w:before="11"/>
        <w:rPr>
          <w:sz w:val="17"/>
        </w:rPr>
      </w:pPr>
    </w:p>
    <w:p>
      <w:pPr>
        <w:pStyle w:val="ListParagraph"/>
        <w:numPr>
          <w:ilvl w:val="0"/>
          <w:numId w:val="11"/>
        </w:numPr>
        <w:tabs>
          <w:tab w:pos="696" w:val="left" w:leader="none"/>
        </w:tabs>
        <w:spacing w:line="254" w:lineRule="auto" w:before="1" w:after="0"/>
        <w:ind w:left="3009" w:right="130" w:hanging="2904"/>
        <w:jc w:val="both"/>
        <w:rPr>
          <w:sz w:val="21"/>
        </w:rPr>
      </w:pPr>
      <w:r>
        <w:rPr>
          <w:rFonts w:ascii="等线" w:eastAsia="等线" w:hint="eastAsia"/>
          <w:b/>
          <w:spacing w:val="2"/>
          <w:position w:val="1"/>
          <w:sz w:val="24"/>
        </w:rPr>
        <w:t>慢性复发性胰腺炎    </w:t>
      </w:r>
      <w:r>
        <w:rPr>
          <w:sz w:val="21"/>
        </w:rPr>
        <w:t>有腹痛等典型症状的胰腺炎反复发作，导致胰腺进行性破坏、胰腺功能紊</w:t>
      </w:r>
      <w:r>
        <w:rPr>
          <w:spacing w:val="-2"/>
          <w:sz w:val="21"/>
        </w:rPr>
        <w:t>乱致糖尿病、营养不良。</w:t>
      </w:r>
      <w:r>
        <w:rPr>
          <w:sz w:val="21"/>
        </w:rPr>
        <w:t>CT</w:t>
      </w:r>
      <w:r>
        <w:rPr>
          <w:spacing w:val="-4"/>
          <w:sz w:val="21"/>
        </w:rPr>
        <w:t> 检查证实胰腺存在广泛钙化，且必须接受酶替</w:t>
      </w:r>
    </w:p>
    <w:p>
      <w:pPr>
        <w:spacing w:after="0" w:line="254" w:lineRule="auto"/>
        <w:jc w:val="both"/>
        <w:rPr>
          <w:sz w:val="21"/>
        </w:rPr>
        <w:sectPr>
          <w:type w:val="continuous"/>
          <w:pgSz w:w="11910" w:h="16840"/>
          <w:pgMar w:top="520" w:bottom="280" w:left="1080" w:right="880"/>
        </w:sectPr>
      </w:pPr>
    </w:p>
    <w:p>
      <w:pPr>
        <w:pStyle w:val="BodyText"/>
        <w:spacing w:line="273" w:lineRule="auto" w:before="19"/>
        <w:ind w:left="3009" w:right="162"/>
      </w:pPr>
      <w:r>
        <w:rPr/>
        <w:t>代以及胰岛素替代治疗 6 个月以上、手术或介入治疗。此病症须经专科医生明确诊断。</w:t>
      </w:r>
    </w:p>
    <w:p>
      <w:pPr>
        <w:pStyle w:val="BodyText"/>
        <w:spacing w:before="7"/>
        <w:ind w:left="3009"/>
      </w:pPr>
      <w:r>
        <w:rPr>
          <w:shd w:fill="DADADA" w:color="auto" w:val="clear"/>
        </w:rPr>
        <w:t>因酗酒或饮酒过量所致的慢性复发性胰腺炎不在保障范围内。</w:t>
      </w:r>
    </w:p>
    <w:p>
      <w:pPr>
        <w:pStyle w:val="BodyText"/>
        <w:spacing w:before="12"/>
        <w:rPr>
          <w:sz w:val="17"/>
        </w:rPr>
      </w:pPr>
    </w:p>
    <w:p>
      <w:pPr>
        <w:spacing w:after="0"/>
        <w:rPr>
          <w:sz w:val="17"/>
        </w:rPr>
        <w:sectPr>
          <w:pgSz w:w="11910" w:h="16840"/>
          <w:pgMar w:top="1080" w:bottom="280" w:left="1080" w:right="800"/>
        </w:sectPr>
      </w:pPr>
    </w:p>
    <w:p>
      <w:pPr>
        <w:pStyle w:val="Heading2"/>
        <w:numPr>
          <w:ilvl w:val="0"/>
          <w:numId w:val="11"/>
        </w:numPr>
        <w:tabs>
          <w:tab w:pos="695" w:val="left" w:leader="none"/>
          <w:tab w:pos="696" w:val="left" w:leader="none"/>
        </w:tabs>
        <w:spacing w:line="235" w:lineRule="auto" w:before="27" w:after="0"/>
        <w:ind w:left="696" w:right="0" w:hanging="591"/>
        <w:jc w:val="left"/>
      </w:pPr>
      <w:r>
        <w:rPr>
          <w:spacing w:val="22"/>
          <w:position w:val="1"/>
        </w:rPr>
        <w:t>特发性慢性肾上腺</w:t>
      </w:r>
      <w:r>
        <w:rPr/>
        <w:t>皮质功能减退</w:t>
      </w:r>
    </w:p>
    <w:p>
      <w:pPr>
        <w:pStyle w:val="BodyText"/>
        <w:spacing w:line="273" w:lineRule="auto" w:before="57"/>
        <w:ind w:left="105" w:right="210"/>
      </w:pPr>
      <w:r>
        <w:rPr/>
        <w:br w:type="column"/>
      </w:r>
      <w:r>
        <w:rPr/>
        <w:t>指原发性自身免疫性肾上腺炎，导致肾上腺萎缩和慢性肾上腺皮质功能减退。必须满足所有以下条件：</w:t>
      </w:r>
    </w:p>
    <w:p>
      <w:pPr>
        <w:pStyle w:val="BodyText"/>
        <w:spacing w:before="8"/>
        <w:ind w:left="105"/>
      </w:pPr>
      <w:r>
        <w:rPr/>
        <w:t>（1）明确诊断，符合所有以下诊断标准：</w:t>
      </w:r>
    </w:p>
    <w:p>
      <w:pPr>
        <w:pStyle w:val="BodyText"/>
        <w:spacing w:before="37"/>
        <w:ind w:left="316"/>
      </w:pPr>
      <w:r>
        <w:rPr/>
        <w:t>① 血浆促肾上腺皮质激素（ACTH）水平测定大于 100pg/ml；</w:t>
      </w:r>
    </w:p>
    <w:p>
      <w:pPr>
        <w:pStyle w:val="BodyText"/>
        <w:spacing w:line="273" w:lineRule="auto" w:before="37"/>
        <w:ind w:left="619" w:right="210" w:hanging="303"/>
        <w:jc w:val="both"/>
      </w:pPr>
      <w:r>
        <w:rPr>
          <w:spacing w:val="-4"/>
        </w:rPr>
        <w:t>② 血浆和尿游离皮质醇及尿 </w:t>
      </w:r>
      <w:r>
        <w:rPr/>
        <w:t>17</w:t>
      </w:r>
      <w:r>
        <w:rPr>
          <w:spacing w:val="-8"/>
        </w:rPr>
        <w:t> 羟皮质类固醇、</w:t>
      </w:r>
      <w:r>
        <w:rPr/>
        <w:t>17</w:t>
      </w:r>
      <w:r>
        <w:rPr>
          <w:spacing w:val="-7"/>
        </w:rPr>
        <w:t> 酮皮质类固醇测定、</w:t>
      </w:r>
      <w:r>
        <w:rPr>
          <w:spacing w:val="-8"/>
        </w:rPr>
        <w:t>血浆肾素活性、血管紧张素Ⅱ和醛固酮测定，显示为原发性肾上腺皮</w:t>
      </w:r>
      <w:r>
        <w:rPr>
          <w:spacing w:val="-6"/>
        </w:rPr>
        <w:t>质功能减退症；</w:t>
      </w:r>
    </w:p>
    <w:p>
      <w:pPr>
        <w:pStyle w:val="BodyText"/>
        <w:spacing w:line="273" w:lineRule="auto" w:before="8"/>
        <w:ind w:left="619" w:right="215" w:hanging="298"/>
        <w:jc w:val="both"/>
      </w:pPr>
      <w:r>
        <w:rPr>
          <w:spacing w:val="-2"/>
        </w:rPr>
        <w:t>③ 促肾上腺皮质激素</w:t>
      </w:r>
      <w:r>
        <w:rPr>
          <w:spacing w:val="-4"/>
        </w:rPr>
        <w:t>（ACTH）</w:t>
      </w:r>
      <w:r>
        <w:rPr>
          <w:spacing w:val="-5"/>
        </w:rPr>
        <w:t>刺激试验显示为原发性肾上腺皮质功能减退症。</w:t>
      </w:r>
    </w:p>
    <w:p>
      <w:pPr>
        <w:pStyle w:val="BodyText"/>
        <w:spacing w:before="8"/>
        <w:ind w:left="105"/>
      </w:pPr>
      <w:r>
        <w:rPr/>
        <w:t>（2）已经采用皮质类固醇替代治疗 180 天以上。</w:t>
      </w:r>
    </w:p>
    <w:p>
      <w:pPr>
        <w:pStyle w:val="BodyText"/>
        <w:spacing w:line="273" w:lineRule="auto" w:before="37"/>
        <w:ind w:left="105" w:right="210"/>
        <w:jc w:val="both"/>
      </w:pPr>
      <w:r>
        <w:rPr>
          <w:shd w:fill="DADADA" w:color="auto" w:val="clear"/>
        </w:rPr>
        <w:t>本保障仅包括由自身免疫功能紊乱所导致的慢性肾上腺功能不全，其他成</w:t>
      </w:r>
      <w:r>
        <w:rPr>
          <w:spacing w:val="-15"/>
          <w:shd w:fill="DADADA" w:color="auto" w:val="clear"/>
        </w:rPr>
        <w:t>因</w:t>
      </w:r>
      <w:r>
        <w:rPr>
          <w:shd w:fill="DADADA" w:color="auto" w:val="clear"/>
        </w:rPr>
        <w:t>（</w:t>
      </w:r>
      <w:r>
        <w:rPr>
          <w:spacing w:val="-7"/>
          <w:shd w:fill="DADADA" w:color="auto" w:val="clear"/>
        </w:rPr>
        <w:t>包括但不限于：肾上腺结核、</w:t>
      </w:r>
      <w:r>
        <w:rPr>
          <w:shd w:fill="DADADA" w:color="auto" w:val="clear"/>
        </w:rPr>
        <w:t>HIV</w:t>
      </w:r>
      <w:r>
        <w:rPr>
          <w:spacing w:val="-9"/>
          <w:shd w:fill="DADADA" w:color="auto" w:val="clear"/>
        </w:rPr>
        <w:t> 感染或艾滋病、感染、肿瘤</w:t>
      </w:r>
      <w:r>
        <w:rPr>
          <w:spacing w:val="-20"/>
          <w:shd w:fill="DADADA" w:color="auto" w:val="clear"/>
        </w:rPr>
        <w:t>）</w:t>
      </w:r>
      <w:r>
        <w:rPr>
          <w:shd w:fill="DADADA" w:color="auto" w:val="clear"/>
        </w:rPr>
        <w:t>所致的原</w:t>
      </w:r>
      <w:r>
        <w:rPr>
          <w:spacing w:val="-212"/>
          <w:shd w:fill="DADADA" w:color="auto" w:val="clear"/>
        </w:rPr>
        <w:t>发</w:t>
      </w:r>
      <w:r>
        <w:rPr>
          <w:shd w:fill="DADADA" w:color="auto" w:val="clear"/>
        </w:rPr>
        <w:t>性肾上腺皮质功能减退和继发性肾上腺皮质功能减退均不在保障范围内。</w:t>
      </w:r>
    </w:p>
    <w:p>
      <w:pPr>
        <w:spacing w:after="0" w:line="273" w:lineRule="auto"/>
        <w:jc w:val="both"/>
        <w:sectPr>
          <w:type w:val="continuous"/>
          <w:pgSz w:w="11910" w:h="16840"/>
          <w:pgMar w:top="520" w:bottom="280" w:left="1080" w:right="800"/>
          <w:cols w:num="2" w:equalWidth="0">
            <w:col w:w="2818" w:space="86"/>
            <w:col w:w="7126"/>
          </w:cols>
        </w:sectPr>
      </w:pPr>
    </w:p>
    <w:p>
      <w:pPr>
        <w:pStyle w:val="BodyText"/>
        <w:spacing w:before="3"/>
        <w:rPr>
          <w:sz w:val="18"/>
        </w:rPr>
      </w:pPr>
    </w:p>
    <w:p>
      <w:pPr>
        <w:spacing w:after="0"/>
        <w:rPr>
          <w:sz w:val="18"/>
        </w:rPr>
        <w:sectPr>
          <w:type w:val="continuous"/>
          <w:pgSz w:w="11910" w:h="16840"/>
          <w:pgMar w:top="520" w:bottom="280" w:left="1080" w:right="800"/>
        </w:sectPr>
      </w:pPr>
    </w:p>
    <w:p>
      <w:pPr>
        <w:pStyle w:val="Heading2"/>
        <w:numPr>
          <w:ilvl w:val="0"/>
          <w:numId w:val="11"/>
        </w:numPr>
        <w:tabs>
          <w:tab w:pos="695" w:val="left" w:leader="none"/>
          <w:tab w:pos="696" w:val="left" w:leader="none"/>
        </w:tabs>
        <w:spacing w:line="232" w:lineRule="auto" w:before="30" w:after="0"/>
        <w:ind w:left="696" w:right="0" w:hanging="591"/>
        <w:jc w:val="left"/>
      </w:pPr>
      <w:r>
        <w:rPr>
          <w:spacing w:val="22"/>
          <w:position w:val="1"/>
        </w:rPr>
        <w:t>严重小肠疾病并发</w:t>
      </w:r>
      <w:r>
        <w:rPr/>
        <w:t>症</w:t>
      </w:r>
    </w:p>
    <w:p>
      <w:pPr>
        <w:pStyle w:val="BodyText"/>
        <w:spacing w:before="56"/>
        <w:ind w:left="105"/>
      </w:pPr>
      <w:r>
        <w:rPr/>
        <w:br w:type="column"/>
      </w:r>
      <w:r>
        <w:rPr/>
        <w:t>指严重肠道疾病或外伤导致小肠损害并发症，满足以下所有条件：</w:t>
      </w:r>
    </w:p>
    <w:p>
      <w:pPr>
        <w:pStyle w:val="BodyText"/>
        <w:spacing w:before="36"/>
        <w:ind w:left="105"/>
      </w:pPr>
      <w:r>
        <w:rPr/>
        <w:t>（1）切除部分或全部小肠；</w:t>
      </w:r>
    </w:p>
    <w:p>
      <w:pPr>
        <w:pStyle w:val="BodyText"/>
        <w:spacing w:before="36"/>
        <w:ind w:left="105"/>
      </w:pPr>
      <w:r>
        <w:rPr/>
        <w:t>（2）完全肠外营养支持三个月以上。</w:t>
      </w:r>
    </w:p>
    <w:p>
      <w:pPr>
        <w:spacing w:after="0"/>
        <w:sectPr>
          <w:type w:val="continuous"/>
          <w:pgSz w:w="11910" w:h="16840"/>
          <w:pgMar w:top="520" w:bottom="280" w:left="1080" w:right="800"/>
          <w:cols w:num="2" w:equalWidth="0">
            <w:col w:w="2818" w:space="86"/>
            <w:col w:w="7126"/>
          </w:cols>
        </w:sectPr>
      </w:pPr>
    </w:p>
    <w:p>
      <w:pPr>
        <w:pStyle w:val="BodyText"/>
        <w:spacing w:before="2"/>
        <w:rPr>
          <w:sz w:val="20"/>
        </w:rPr>
      </w:pPr>
    </w:p>
    <w:p>
      <w:pPr>
        <w:spacing w:after="0"/>
        <w:rPr>
          <w:sz w:val="20"/>
        </w:rPr>
        <w:sectPr>
          <w:type w:val="continuous"/>
          <w:pgSz w:w="11910" w:h="16840"/>
          <w:pgMar w:top="520" w:bottom="280" w:left="1080" w:right="800"/>
        </w:sectPr>
      </w:pPr>
    </w:p>
    <w:p>
      <w:pPr>
        <w:pStyle w:val="Heading2"/>
        <w:numPr>
          <w:ilvl w:val="0"/>
          <w:numId w:val="11"/>
        </w:numPr>
        <w:tabs>
          <w:tab w:pos="695" w:val="left" w:leader="none"/>
          <w:tab w:pos="696" w:val="left" w:leader="none"/>
        </w:tabs>
        <w:spacing w:line="232" w:lineRule="auto" w:before="30" w:after="0"/>
        <w:ind w:left="696" w:right="0" w:hanging="591"/>
        <w:jc w:val="left"/>
      </w:pPr>
      <w:r>
        <w:rPr>
          <w:spacing w:val="22"/>
          <w:position w:val="1"/>
        </w:rPr>
        <w:t>严重的骨髓增生异</w:t>
      </w:r>
      <w:r>
        <w:rPr/>
        <w:t>常综合征</w:t>
      </w:r>
    </w:p>
    <w:p>
      <w:pPr>
        <w:pStyle w:val="BodyText"/>
        <w:spacing w:before="56"/>
        <w:ind w:left="105"/>
      </w:pPr>
      <w:r>
        <w:rPr/>
        <w:br w:type="column"/>
      </w:r>
      <w:r>
        <w:rPr/>
        <w:t>指起源于造血干细胞的一组骨髓克隆增生异常的疾病，符合世界卫生组织</w:t>
      </w:r>
    </w:p>
    <w:p>
      <w:pPr>
        <w:pStyle w:val="BodyText"/>
        <w:spacing w:line="273" w:lineRule="auto" w:before="37"/>
        <w:ind w:left="105" w:right="110"/>
      </w:pPr>
      <w:r>
        <w:rPr>
          <w:spacing w:val="3"/>
          <w:w w:val="100"/>
        </w:rPr>
        <w:t>（</w:t>
      </w:r>
      <w:r>
        <w:rPr>
          <w:w w:val="100"/>
        </w:rPr>
        <w:t>W</w:t>
      </w:r>
      <w:r>
        <w:rPr>
          <w:spacing w:val="-5"/>
          <w:w w:val="100"/>
        </w:rPr>
        <w:t>H</w:t>
      </w:r>
      <w:r>
        <w:rPr>
          <w:spacing w:val="3"/>
          <w:w w:val="100"/>
        </w:rPr>
        <w:t>O</w:t>
      </w:r>
      <w:r>
        <w:rPr>
          <w:w w:val="100"/>
        </w:rPr>
        <w:t>）</w:t>
      </w:r>
      <w:r>
        <w:rPr>
          <w:spacing w:val="-1"/>
          <w:w w:val="100"/>
        </w:rPr>
        <w:t>分型方案中的、难治性贫血伴原始细胞增多-</w:t>
      </w:r>
      <w:r>
        <w:rPr>
          <w:spacing w:val="3"/>
          <w:w w:val="100"/>
        </w:rPr>
        <w:t>1（</w:t>
      </w:r>
      <w:r>
        <w:rPr>
          <w:spacing w:val="-5"/>
          <w:w w:val="100"/>
        </w:rPr>
        <w:t>R</w:t>
      </w:r>
      <w:r>
        <w:rPr>
          <w:w w:val="100"/>
        </w:rPr>
        <w:t>AEB</w:t>
      </w:r>
      <w:r>
        <w:rPr>
          <w:spacing w:val="-5"/>
          <w:w w:val="100"/>
        </w:rPr>
        <w:t>-</w:t>
      </w:r>
      <w:r>
        <w:rPr>
          <w:spacing w:val="3"/>
          <w:w w:val="100"/>
        </w:rPr>
        <w:t>1</w:t>
      </w:r>
      <w:r>
        <w:rPr>
          <w:spacing w:val="-106"/>
          <w:w w:val="100"/>
        </w:rPr>
        <w:t>）</w:t>
      </w:r>
      <w:r>
        <w:rPr>
          <w:w w:val="100"/>
        </w:rPr>
        <w:t>、难治性</w:t>
      </w:r>
      <w:r>
        <w:rPr>
          <w:spacing w:val="-2"/>
          <w:w w:val="100"/>
        </w:rPr>
        <w:t>贫血伴原始细胞增多-</w:t>
      </w:r>
      <w:r>
        <w:rPr>
          <w:spacing w:val="-10"/>
          <w:w w:val="100"/>
        </w:rPr>
        <w:t>2</w:t>
      </w:r>
      <w:r>
        <w:rPr>
          <w:w w:val="100"/>
        </w:rPr>
        <w:t>（RAEB-2</w:t>
      </w:r>
      <w:r>
        <w:rPr>
          <w:spacing w:val="-106"/>
          <w:w w:val="100"/>
        </w:rPr>
        <w:t>）</w:t>
      </w:r>
      <w:r>
        <w:rPr>
          <w:spacing w:val="-10"/>
          <w:w w:val="100"/>
        </w:rPr>
        <w:t>、</w:t>
      </w:r>
      <w:r>
        <w:rPr>
          <w:w w:val="100"/>
        </w:rPr>
        <w:t>MD</w:t>
      </w:r>
      <w:r>
        <w:rPr>
          <w:spacing w:val="-5"/>
          <w:w w:val="100"/>
        </w:rPr>
        <w:t>S</w:t>
      </w:r>
      <w:r>
        <w:rPr>
          <w:spacing w:val="-3"/>
          <w:w w:val="100"/>
        </w:rPr>
        <w:t>-未分类</w:t>
      </w:r>
      <w:r>
        <w:rPr>
          <w:w w:val="100"/>
        </w:rPr>
        <w:t>（M</w:t>
      </w:r>
      <w:r>
        <w:rPr>
          <w:spacing w:val="-5"/>
          <w:w w:val="100"/>
        </w:rPr>
        <w:t>D</w:t>
      </w:r>
      <w:r>
        <w:rPr>
          <w:w w:val="100"/>
        </w:rPr>
        <w:t>S</w:t>
      </w:r>
      <w:r>
        <w:rPr>
          <w:spacing w:val="-5"/>
          <w:w w:val="100"/>
        </w:rPr>
        <w:t>-</w:t>
      </w:r>
      <w:r>
        <w:rPr>
          <w:w w:val="100"/>
        </w:rPr>
        <w:t>U</w:t>
      </w:r>
      <w:r>
        <w:rPr>
          <w:spacing w:val="-106"/>
          <w:w w:val="100"/>
        </w:rPr>
        <w:t>）</w:t>
      </w:r>
      <w:r>
        <w:rPr>
          <w:spacing w:val="-10"/>
          <w:w w:val="100"/>
        </w:rPr>
        <w:t>、</w:t>
      </w:r>
      <w:r>
        <w:rPr>
          <w:w w:val="100"/>
        </w:rPr>
        <w:t>MDS</w:t>
      </w:r>
      <w:r>
        <w:rPr>
          <w:spacing w:val="-53"/>
        </w:rPr>
        <w:t> </w:t>
      </w:r>
      <w:r>
        <w:rPr>
          <w:w w:val="100"/>
        </w:rPr>
        <w:t>伴单纯</w:t>
      </w:r>
      <w:r>
        <w:rPr>
          <w:spacing w:val="-53"/>
        </w:rPr>
        <w:t> </w:t>
      </w:r>
      <w:r>
        <w:rPr>
          <w:spacing w:val="-5"/>
          <w:w w:val="100"/>
        </w:rPr>
        <w:t>5</w:t>
      </w:r>
      <w:r>
        <w:rPr>
          <w:w w:val="100"/>
        </w:rPr>
        <w:t>q</w:t>
      </w:r>
      <w:r>
        <w:rPr>
          <w:spacing w:val="-1"/>
          <w:w w:val="100"/>
        </w:rPr>
        <w:t>-，</w:t>
      </w:r>
      <w:r>
        <w:rPr>
          <w:spacing w:val="-3"/>
        </w:rPr>
        <w:t>且需满足下列所有条件：</w:t>
      </w:r>
    </w:p>
    <w:p>
      <w:pPr>
        <w:pStyle w:val="BodyText"/>
        <w:spacing w:before="8"/>
        <w:ind w:left="105"/>
      </w:pPr>
      <w:r>
        <w:rPr/>
        <w:t>（1）骨髓穿刺或骨髓活检结果支持诊断；</w:t>
      </w:r>
    </w:p>
    <w:p>
      <w:pPr>
        <w:pStyle w:val="BodyText"/>
        <w:spacing w:line="273" w:lineRule="auto" w:before="37"/>
        <w:ind w:left="105" w:right="1444"/>
      </w:pPr>
      <w:r>
        <w:rPr/>
        <w:t>（2）已持续接受一个月以上的化疗或已接受骨髓移植治疗。此病症须经专科医生明确诊断。</w:t>
      </w:r>
    </w:p>
    <w:p>
      <w:pPr>
        <w:spacing w:after="0" w:line="273" w:lineRule="auto"/>
        <w:sectPr>
          <w:type w:val="continuous"/>
          <w:pgSz w:w="11910" w:h="16840"/>
          <w:pgMar w:top="520" w:bottom="280" w:left="1080" w:right="800"/>
          <w:cols w:num="2" w:equalWidth="0">
            <w:col w:w="2818" w:space="86"/>
            <w:col w:w="7126"/>
          </w:cols>
        </w:sectPr>
      </w:pPr>
    </w:p>
    <w:p>
      <w:pPr>
        <w:pStyle w:val="BodyText"/>
        <w:spacing w:before="12"/>
        <w:rPr>
          <w:sz w:val="17"/>
        </w:rPr>
      </w:pPr>
    </w:p>
    <w:p>
      <w:pPr>
        <w:pStyle w:val="ListParagraph"/>
        <w:numPr>
          <w:ilvl w:val="0"/>
          <w:numId w:val="11"/>
        </w:numPr>
        <w:tabs>
          <w:tab w:pos="696" w:val="left" w:leader="none"/>
          <w:tab w:pos="3009" w:val="left" w:leader="none"/>
        </w:tabs>
        <w:spacing w:line="264" w:lineRule="auto" w:before="20" w:after="0"/>
        <w:ind w:left="3009" w:right="210" w:hanging="2904"/>
        <w:jc w:val="both"/>
        <w:rPr>
          <w:sz w:val="21"/>
        </w:rPr>
      </w:pPr>
      <w:r>
        <w:rPr>
          <w:rFonts w:ascii="等线" w:eastAsia="等线" w:hint="eastAsia"/>
          <w:b/>
          <w:position w:val="1"/>
          <w:sz w:val="24"/>
        </w:rPr>
        <w:t>严重克隆病</w:t>
        <w:tab/>
      </w:r>
      <w:r>
        <w:rPr>
          <w:sz w:val="21"/>
        </w:rPr>
        <w:t>指</w:t>
      </w:r>
      <w:r>
        <w:rPr>
          <w:spacing w:val="2"/>
          <w:sz w:val="21"/>
        </w:rPr>
        <w:t>一</w:t>
      </w:r>
      <w:r>
        <w:rPr>
          <w:sz w:val="21"/>
        </w:rPr>
        <w:t>种慢性</w:t>
      </w:r>
      <w:r>
        <w:rPr>
          <w:spacing w:val="2"/>
          <w:sz w:val="21"/>
        </w:rPr>
        <w:t>肉</w:t>
      </w:r>
      <w:r>
        <w:rPr>
          <w:sz w:val="21"/>
        </w:rPr>
        <w:t>芽肿性</w:t>
      </w:r>
      <w:r>
        <w:rPr>
          <w:spacing w:val="2"/>
          <w:sz w:val="21"/>
        </w:rPr>
        <w:t>肠</w:t>
      </w:r>
      <w:r>
        <w:rPr>
          <w:sz w:val="21"/>
        </w:rPr>
        <w:t>炎，具</w:t>
      </w:r>
      <w:r>
        <w:rPr>
          <w:spacing w:val="2"/>
          <w:sz w:val="21"/>
        </w:rPr>
        <w:t>有</w:t>
      </w:r>
      <w:r>
        <w:rPr>
          <w:sz w:val="21"/>
        </w:rPr>
        <w:t>特征性</w:t>
      </w:r>
      <w:r>
        <w:rPr>
          <w:spacing w:val="2"/>
          <w:sz w:val="21"/>
        </w:rPr>
        <w:t>的</w:t>
      </w:r>
      <w:r>
        <w:rPr>
          <w:sz w:val="21"/>
        </w:rPr>
        <w:t>克隆病</w:t>
      </w:r>
      <w:r>
        <w:rPr>
          <w:spacing w:val="2"/>
          <w:sz w:val="21"/>
        </w:rPr>
        <w:t>病</w:t>
      </w:r>
      <w:r>
        <w:rPr>
          <w:sz w:val="21"/>
        </w:rPr>
        <w:t>理组</w:t>
      </w:r>
      <w:r>
        <w:rPr>
          <w:spacing w:val="2"/>
          <w:sz w:val="21"/>
        </w:rPr>
        <w:t>织</w:t>
      </w:r>
      <w:r>
        <w:rPr>
          <w:sz w:val="21"/>
        </w:rPr>
        <w:t>学变化</w:t>
      </w:r>
      <w:r>
        <w:rPr>
          <w:spacing w:val="2"/>
          <w:sz w:val="21"/>
        </w:rPr>
        <w:t>。</w:t>
      </w:r>
      <w:r>
        <w:rPr>
          <w:sz w:val="21"/>
        </w:rPr>
        <w:t>诊</w:t>
      </w:r>
      <w:r>
        <w:rPr>
          <w:spacing w:val="2"/>
          <w:sz w:val="21"/>
        </w:rPr>
        <w:t>断</w:t>
      </w:r>
      <w:r>
        <w:rPr>
          <w:sz w:val="21"/>
        </w:rPr>
        <w:t>必 须</w:t>
      </w:r>
      <w:r>
        <w:rPr>
          <w:spacing w:val="2"/>
          <w:sz w:val="21"/>
        </w:rPr>
        <w:t>由</w:t>
      </w:r>
      <w:r>
        <w:rPr>
          <w:sz w:val="21"/>
        </w:rPr>
        <w:t>病理检</w:t>
      </w:r>
      <w:r>
        <w:rPr>
          <w:spacing w:val="2"/>
          <w:sz w:val="21"/>
        </w:rPr>
        <w:t>查</w:t>
      </w:r>
      <w:r>
        <w:rPr>
          <w:sz w:val="21"/>
        </w:rPr>
        <w:t>结果证</w:t>
      </w:r>
      <w:r>
        <w:rPr>
          <w:spacing w:val="2"/>
          <w:sz w:val="21"/>
        </w:rPr>
        <w:t>实</w:t>
      </w:r>
      <w:r>
        <w:rPr>
          <w:sz w:val="21"/>
        </w:rPr>
        <w:t>。被保</w:t>
      </w:r>
      <w:r>
        <w:rPr>
          <w:spacing w:val="2"/>
          <w:sz w:val="21"/>
        </w:rPr>
        <w:t>险</w:t>
      </w:r>
      <w:r>
        <w:rPr>
          <w:sz w:val="21"/>
        </w:rPr>
        <w:t>人所患</w:t>
      </w:r>
      <w:r>
        <w:rPr>
          <w:spacing w:val="2"/>
          <w:sz w:val="21"/>
        </w:rPr>
        <w:t>的</w:t>
      </w:r>
      <w:r>
        <w:rPr>
          <w:sz w:val="21"/>
        </w:rPr>
        <w:t>克隆病</w:t>
      </w:r>
      <w:r>
        <w:rPr>
          <w:spacing w:val="2"/>
          <w:sz w:val="21"/>
        </w:rPr>
        <w:t>必</w:t>
      </w:r>
      <w:r>
        <w:rPr>
          <w:sz w:val="21"/>
        </w:rPr>
        <w:t>须已</w:t>
      </w:r>
      <w:r>
        <w:rPr>
          <w:spacing w:val="2"/>
          <w:sz w:val="21"/>
        </w:rPr>
        <w:t>经</w:t>
      </w:r>
      <w:r>
        <w:rPr>
          <w:sz w:val="21"/>
        </w:rPr>
        <w:t>造成瘘</w:t>
      </w:r>
      <w:r>
        <w:rPr>
          <w:spacing w:val="2"/>
          <w:sz w:val="21"/>
        </w:rPr>
        <w:t>管</w:t>
      </w:r>
      <w:r>
        <w:rPr>
          <w:sz w:val="21"/>
        </w:rPr>
        <w:t>形</w:t>
      </w:r>
      <w:r>
        <w:rPr>
          <w:spacing w:val="2"/>
          <w:sz w:val="21"/>
        </w:rPr>
        <w:t>成</w:t>
      </w:r>
      <w:r>
        <w:rPr>
          <w:sz w:val="21"/>
        </w:rPr>
        <w:t>并伴有肠梗</w:t>
      </w:r>
      <w:r>
        <w:rPr>
          <w:spacing w:val="-5"/>
          <w:sz w:val="21"/>
        </w:rPr>
        <w:t>阻</w:t>
      </w:r>
      <w:r>
        <w:rPr>
          <w:sz w:val="21"/>
        </w:rPr>
        <w:t>或肠穿</w:t>
      </w:r>
      <w:r>
        <w:rPr>
          <w:spacing w:val="-5"/>
          <w:sz w:val="21"/>
        </w:rPr>
        <w:t>孔</w:t>
      </w:r>
      <w:r>
        <w:rPr>
          <w:sz w:val="21"/>
        </w:rPr>
        <w:t>。</w:t>
      </w:r>
    </w:p>
    <w:p>
      <w:pPr>
        <w:pStyle w:val="BodyText"/>
        <w:spacing w:before="1"/>
        <w:rPr>
          <w:sz w:val="20"/>
        </w:rPr>
      </w:pPr>
    </w:p>
    <w:p>
      <w:pPr>
        <w:pStyle w:val="ListParagraph"/>
        <w:numPr>
          <w:ilvl w:val="0"/>
          <w:numId w:val="11"/>
        </w:numPr>
        <w:tabs>
          <w:tab w:pos="696" w:val="left" w:leader="none"/>
          <w:tab w:pos="3009" w:val="left" w:leader="none"/>
        </w:tabs>
        <w:spacing w:line="264" w:lineRule="auto" w:before="0" w:after="0"/>
        <w:ind w:left="3009" w:right="210" w:hanging="2904"/>
        <w:jc w:val="both"/>
        <w:rPr>
          <w:sz w:val="21"/>
        </w:rPr>
      </w:pPr>
      <w:r>
        <w:rPr>
          <w:rFonts w:ascii="等线" w:eastAsia="等线" w:hint="eastAsia"/>
          <w:b/>
          <w:position w:val="1"/>
          <w:sz w:val="24"/>
        </w:rPr>
        <w:t>骨髓纤维化</w:t>
        <w:tab/>
      </w:r>
      <w:r>
        <w:rPr>
          <w:sz w:val="21"/>
        </w:rPr>
        <w:t>指</w:t>
      </w:r>
      <w:r>
        <w:rPr>
          <w:spacing w:val="2"/>
          <w:sz w:val="21"/>
        </w:rPr>
        <w:t>一</w:t>
      </w:r>
      <w:r>
        <w:rPr>
          <w:sz w:val="21"/>
        </w:rPr>
        <w:t>种因纤</w:t>
      </w:r>
      <w:r>
        <w:rPr>
          <w:spacing w:val="2"/>
          <w:sz w:val="21"/>
        </w:rPr>
        <w:t>维</w:t>
      </w:r>
      <w:r>
        <w:rPr>
          <w:sz w:val="21"/>
        </w:rPr>
        <w:t>组织取</w:t>
      </w:r>
      <w:r>
        <w:rPr>
          <w:spacing w:val="2"/>
          <w:sz w:val="21"/>
        </w:rPr>
        <w:t>代</w:t>
      </w:r>
      <w:r>
        <w:rPr>
          <w:sz w:val="21"/>
        </w:rPr>
        <w:t>正常骨</w:t>
      </w:r>
      <w:r>
        <w:rPr>
          <w:spacing w:val="2"/>
          <w:sz w:val="21"/>
        </w:rPr>
        <w:t>髓</w:t>
      </w:r>
      <w:r>
        <w:rPr>
          <w:sz w:val="21"/>
        </w:rPr>
        <w:t>从而导</w:t>
      </w:r>
      <w:r>
        <w:rPr>
          <w:spacing w:val="2"/>
          <w:sz w:val="21"/>
        </w:rPr>
        <w:t>致</w:t>
      </w:r>
      <w:r>
        <w:rPr>
          <w:sz w:val="21"/>
        </w:rPr>
        <w:t>贫血、</w:t>
      </w:r>
      <w:r>
        <w:rPr>
          <w:spacing w:val="2"/>
          <w:sz w:val="21"/>
        </w:rPr>
        <w:t>白</w:t>
      </w:r>
      <w:r>
        <w:rPr>
          <w:sz w:val="21"/>
        </w:rPr>
        <w:t>血球</w:t>
      </w:r>
      <w:r>
        <w:rPr>
          <w:spacing w:val="2"/>
          <w:sz w:val="21"/>
        </w:rPr>
        <w:t>及</w:t>
      </w:r>
      <w:r>
        <w:rPr>
          <w:sz w:val="21"/>
        </w:rPr>
        <w:t>血小板</w:t>
      </w:r>
      <w:r>
        <w:rPr>
          <w:spacing w:val="2"/>
          <w:sz w:val="21"/>
        </w:rPr>
        <w:t>含</w:t>
      </w:r>
      <w:r>
        <w:rPr>
          <w:sz w:val="21"/>
        </w:rPr>
        <w:t>量</w:t>
      </w:r>
      <w:r>
        <w:rPr>
          <w:spacing w:val="2"/>
          <w:sz w:val="21"/>
        </w:rPr>
        <w:t>过</w:t>
      </w:r>
      <w:r>
        <w:rPr>
          <w:sz w:val="21"/>
        </w:rPr>
        <w:t>低 及</w:t>
      </w:r>
      <w:r>
        <w:rPr>
          <w:spacing w:val="2"/>
          <w:sz w:val="21"/>
        </w:rPr>
        <w:t>脾</w:t>
      </w:r>
      <w:r>
        <w:rPr>
          <w:sz w:val="21"/>
        </w:rPr>
        <w:t>脏肿大</w:t>
      </w:r>
      <w:r>
        <w:rPr>
          <w:spacing w:val="2"/>
          <w:sz w:val="21"/>
        </w:rPr>
        <w:t>的</w:t>
      </w:r>
      <w:r>
        <w:rPr>
          <w:sz w:val="21"/>
        </w:rPr>
        <w:t>疾病。</w:t>
      </w:r>
      <w:r>
        <w:rPr>
          <w:spacing w:val="2"/>
          <w:sz w:val="21"/>
        </w:rPr>
        <w:t>病</w:t>
      </w:r>
      <w:r>
        <w:rPr>
          <w:sz w:val="21"/>
        </w:rPr>
        <w:t>况必须</w:t>
      </w:r>
      <w:r>
        <w:rPr>
          <w:spacing w:val="2"/>
          <w:sz w:val="21"/>
        </w:rPr>
        <w:t>恶</w:t>
      </w:r>
      <w:r>
        <w:rPr>
          <w:sz w:val="21"/>
        </w:rPr>
        <w:t>化至永</w:t>
      </w:r>
      <w:r>
        <w:rPr>
          <w:spacing w:val="2"/>
          <w:sz w:val="21"/>
        </w:rPr>
        <w:t>久</w:t>
      </w:r>
      <w:r>
        <w:rPr>
          <w:sz w:val="21"/>
        </w:rPr>
        <w:t>性及严</w:t>
      </w:r>
      <w:r>
        <w:rPr>
          <w:spacing w:val="2"/>
          <w:sz w:val="21"/>
        </w:rPr>
        <w:t>重</w:t>
      </w:r>
      <w:r>
        <w:rPr>
          <w:sz w:val="21"/>
        </w:rPr>
        <w:t>程度</w:t>
      </w:r>
      <w:r>
        <w:rPr>
          <w:spacing w:val="2"/>
          <w:sz w:val="21"/>
        </w:rPr>
        <w:t>导</w:t>
      </w:r>
      <w:r>
        <w:rPr>
          <w:sz w:val="21"/>
        </w:rPr>
        <w:t>致被保</w:t>
      </w:r>
      <w:r>
        <w:rPr>
          <w:spacing w:val="2"/>
          <w:sz w:val="21"/>
        </w:rPr>
        <w:t>险</w:t>
      </w:r>
      <w:r>
        <w:rPr>
          <w:sz w:val="21"/>
        </w:rPr>
        <w:t>人</w:t>
      </w:r>
      <w:r>
        <w:rPr>
          <w:spacing w:val="2"/>
          <w:sz w:val="21"/>
        </w:rPr>
        <w:t>需</w:t>
      </w:r>
      <w:r>
        <w:rPr>
          <w:sz w:val="21"/>
        </w:rPr>
        <w:t>最少每月进</w:t>
      </w:r>
      <w:r>
        <w:rPr>
          <w:spacing w:val="-5"/>
          <w:sz w:val="21"/>
        </w:rPr>
        <w:t>行</w:t>
      </w:r>
      <w:r>
        <w:rPr>
          <w:sz w:val="21"/>
        </w:rPr>
        <w:t>输血。</w:t>
      </w:r>
    </w:p>
    <w:p>
      <w:pPr>
        <w:pStyle w:val="BodyText"/>
        <w:spacing w:before="16"/>
        <w:ind w:left="3009"/>
      </w:pPr>
      <w:r>
        <w:rPr/>
        <w:t>此病症须经专科医生明确诊断，并需提供骨髓穿刺检查诊断报告。</w:t>
      </w:r>
    </w:p>
    <w:p>
      <w:pPr>
        <w:pStyle w:val="BodyText"/>
        <w:spacing w:before="9"/>
      </w:pPr>
    </w:p>
    <w:p>
      <w:pPr>
        <w:pStyle w:val="ListParagraph"/>
        <w:numPr>
          <w:ilvl w:val="0"/>
          <w:numId w:val="11"/>
        </w:numPr>
        <w:tabs>
          <w:tab w:pos="696" w:val="left" w:leader="none"/>
          <w:tab w:pos="3009" w:val="left" w:leader="none"/>
        </w:tabs>
        <w:spacing w:line="254" w:lineRule="auto" w:before="0" w:after="0"/>
        <w:ind w:left="3009" w:right="210" w:hanging="2904"/>
        <w:jc w:val="both"/>
        <w:rPr>
          <w:sz w:val="21"/>
        </w:rPr>
      </w:pPr>
      <w:r>
        <w:rPr>
          <w:rFonts w:ascii="等线" w:eastAsia="等线" w:hint="eastAsia"/>
          <w:b/>
          <w:position w:val="1"/>
          <w:sz w:val="24"/>
        </w:rPr>
        <w:t>严重哮喘</w:t>
        <w:tab/>
      </w:r>
      <w:r>
        <w:rPr>
          <w:sz w:val="21"/>
        </w:rPr>
        <w:t>指</w:t>
      </w:r>
      <w:r>
        <w:rPr>
          <w:spacing w:val="2"/>
          <w:sz w:val="21"/>
        </w:rPr>
        <w:t>经</w:t>
      </w:r>
      <w:r>
        <w:rPr>
          <w:sz w:val="21"/>
        </w:rPr>
        <w:t>专科医</w:t>
      </w:r>
      <w:r>
        <w:rPr>
          <w:spacing w:val="2"/>
          <w:sz w:val="21"/>
        </w:rPr>
        <w:t>生</w:t>
      </w:r>
      <w:r>
        <w:rPr>
          <w:sz w:val="21"/>
        </w:rPr>
        <w:t>明确诊</w:t>
      </w:r>
      <w:r>
        <w:rPr>
          <w:spacing w:val="2"/>
          <w:sz w:val="21"/>
        </w:rPr>
        <w:t>断</w:t>
      </w:r>
      <w:r>
        <w:rPr>
          <w:sz w:val="21"/>
        </w:rPr>
        <w:t>为严重</w:t>
      </w:r>
      <w:r>
        <w:rPr>
          <w:spacing w:val="2"/>
          <w:sz w:val="21"/>
        </w:rPr>
        <w:t>哮</w:t>
      </w:r>
      <w:r>
        <w:rPr>
          <w:sz w:val="21"/>
        </w:rPr>
        <w:t>喘，并</w:t>
      </w:r>
      <w:r>
        <w:rPr>
          <w:spacing w:val="2"/>
          <w:sz w:val="21"/>
        </w:rPr>
        <w:t>且</w:t>
      </w:r>
      <w:r>
        <w:rPr>
          <w:sz w:val="21"/>
        </w:rPr>
        <w:t>满足下</w:t>
      </w:r>
      <w:r>
        <w:rPr>
          <w:spacing w:val="2"/>
          <w:sz w:val="21"/>
        </w:rPr>
        <w:t>列</w:t>
      </w:r>
      <w:r>
        <w:rPr>
          <w:sz w:val="21"/>
        </w:rPr>
        <w:t>标准</w:t>
      </w:r>
      <w:r>
        <w:rPr>
          <w:spacing w:val="2"/>
          <w:sz w:val="21"/>
        </w:rPr>
        <w:t>中</w:t>
      </w:r>
      <w:r>
        <w:rPr>
          <w:sz w:val="21"/>
        </w:rPr>
        <w:t>的三项</w:t>
      </w:r>
      <w:r>
        <w:rPr>
          <w:spacing w:val="2"/>
          <w:sz w:val="21"/>
        </w:rPr>
        <w:t>或</w:t>
      </w:r>
      <w:r>
        <w:rPr>
          <w:sz w:val="21"/>
        </w:rPr>
        <w:t>三</w:t>
      </w:r>
      <w:r>
        <w:rPr>
          <w:spacing w:val="2"/>
          <w:sz w:val="21"/>
        </w:rPr>
        <w:t>项</w:t>
      </w:r>
      <w:r>
        <w:rPr>
          <w:sz w:val="21"/>
        </w:rPr>
        <w:t>以 上：</w:t>
      </w:r>
    </w:p>
    <w:p>
      <w:pPr>
        <w:pStyle w:val="BodyText"/>
        <w:spacing w:before="24"/>
        <w:ind w:left="3009"/>
      </w:pPr>
      <w:r>
        <w:rPr/>
        <w:t>（1）过去两年中有哮喘持续状态病史；</w:t>
      </w:r>
    </w:p>
    <w:p>
      <w:pPr>
        <w:pStyle w:val="BodyText"/>
        <w:spacing w:line="273" w:lineRule="auto" w:before="37"/>
        <w:ind w:left="3532" w:right="190" w:hanging="524"/>
      </w:pPr>
      <w:r>
        <w:rPr/>
        <w:t>（2）身体活动耐受能力显著下降，轻微体力活动即有呼吸困难，且持续六个月以上；</w:t>
      </w:r>
    </w:p>
    <w:p>
      <w:pPr>
        <w:pStyle w:val="BodyText"/>
        <w:spacing w:before="7"/>
        <w:ind w:left="3009"/>
      </w:pPr>
      <w:r>
        <w:rPr/>
        <w:t>（3）慢性肺部过度膨涨充气导致的由影像学检查证实的胸廓畸形；</w:t>
      </w:r>
    </w:p>
    <w:p>
      <w:pPr>
        <w:pStyle w:val="BodyText"/>
        <w:spacing w:before="36"/>
        <w:ind w:left="3009"/>
      </w:pPr>
      <w:r>
        <w:rPr/>
        <w:t>（4）每日口服皮质类固醇激素，至少持续六个月以上。</w:t>
      </w:r>
    </w:p>
    <w:p>
      <w:pPr>
        <w:spacing w:after="0"/>
        <w:sectPr>
          <w:type w:val="continuous"/>
          <w:pgSz w:w="11910" w:h="16840"/>
          <w:pgMar w:top="520" w:bottom="280" w:left="1080" w:right="8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1"/>
        <w:gridCol w:w="2407"/>
        <w:gridCol w:w="7198"/>
      </w:tblGrid>
      <w:tr>
        <w:trPr>
          <w:trHeight w:val="727" w:hRule="atLeast"/>
        </w:trPr>
        <w:tc>
          <w:tcPr>
            <w:tcW w:w="601" w:type="dxa"/>
          </w:tcPr>
          <w:p>
            <w:pPr>
              <w:pStyle w:val="TableParagraph"/>
              <w:spacing w:line="231" w:lineRule="exact"/>
              <w:ind w:left="179" w:right="169"/>
              <w:jc w:val="center"/>
              <w:rPr>
                <w:b/>
                <w:sz w:val="21"/>
              </w:rPr>
            </w:pPr>
            <w:r>
              <w:rPr>
                <w:b/>
                <w:sz w:val="21"/>
              </w:rPr>
              <w:t>42</w:t>
            </w:r>
          </w:p>
        </w:tc>
        <w:tc>
          <w:tcPr>
            <w:tcW w:w="2407" w:type="dxa"/>
          </w:tcPr>
          <w:p>
            <w:pPr>
              <w:pStyle w:val="TableParagraph"/>
              <w:spacing w:line="248" w:lineRule="exact"/>
              <w:ind w:left="189"/>
              <w:rPr>
                <w:rFonts w:ascii="等线" w:eastAsia="等线" w:hint="eastAsia"/>
                <w:b/>
                <w:sz w:val="24"/>
              </w:rPr>
            </w:pPr>
            <w:r>
              <w:rPr>
                <w:rFonts w:ascii="等线" w:eastAsia="等线" w:hint="eastAsia"/>
                <w:b/>
                <w:sz w:val="24"/>
              </w:rPr>
              <w:t>小肠移植</w:t>
            </w:r>
          </w:p>
        </w:tc>
        <w:tc>
          <w:tcPr>
            <w:tcW w:w="7198" w:type="dxa"/>
          </w:tcPr>
          <w:p>
            <w:pPr>
              <w:pStyle w:val="TableParagraph"/>
              <w:spacing w:line="231" w:lineRule="exact"/>
              <w:ind w:left="95"/>
              <w:rPr>
                <w:sz w:val="21"/>
              </w:rPr>
            </w:pPr>
            <w:r>
              <w:rPr>
                <w:sz w:val="21"/>
              </w:rPr>
              <w:t>指因肠道疾病或外伤，已经实施了在全身麻醉下进行的小肠的异体器官移</w:t>
            </w:r>
          </w:p>
          <w:p>
            <w:pPr>
              <w:pStyle w:val="TableParagraph"/>
              <w:spacing w:before="37"/>
              <w:ind w:left="95"/>
              <w:rPr>
                <w:sz w:val="21"/>
              </w:rPr>
            </w:pPr>
            <w:r>
              <w:rPr>
                <w:sz w:val="21"/>
              </w:rPr>
              <w:t>植手术。此手术必须由专科医生认为是医学上必需的情况下进行。</w:t>
            </w:r>
          </w:p>
        </w:tc>
      </w:tr>
      <w:tr>
        <w:trPr>
          <w:trHeight w:val="1217" w:hRule="atLeast"/>
        </w:trPr>
        <w:tc>
          <w:tcPr>
            <w:tcW w:w="601" w:type="dxa"/>
          </w:tcPr>
          <w:p>
            <w:pPr>
              <w:pStyle w:val="TableParagraph"/>
              <w:spacing w:before="140"/>
              <w:ind w:left="179" w:right="169"/>
              <w:jc w:val="center"/>
              <w:rPr>
                <w:b/>
                <w:sz w:val="21"/>
              </w:rPr>
            </w:pPr>
            <w:r>
              <w:rPr>
                <w:b/>
                <w:sz w:val="21"/>
              </w:rPr>
              <w:t>43</w:t>
            </w:r>
          </w:p>
        </w:tc>
        <w:tc>
          <w:tcPr>
            <w:tcW w:w="2407" w:type="dxa"/>
          </w:tcPr>
          <w:p>
            <w:pPr>
              <w:pStyle w:val="TableParagraph"/>
              <w:spacing w:before="104"/>
              <w:ind w:left="189"/>
              <w:rPr>
                <w:rFonts w:ascii="等线" w:eastAsia="等线" w:hint="eastAsia"/>
                <w:b/>
                <w:sz w:val="24"/>
              </w:rPr>
            </w:pPr>
            <w:r>
              <w:rPr>
                <w:rFonts w:ascii="等线" w:eastAsia="等线" w:hint="eastAsia"/>
                <w:b/>
                <w:sz w:val="24"/>
              </w:rPr>
              <w:t>胆道重建手术</w:t>
            </w:r>
          </w:p>
        </w:tc>
        <w:tc>
          <w:tcPr>
            <w:tcW w:w="7198" w:type="dxa"/>
          </w:tcPr>
          <w:p>
            <w:pPr>
              <w:pStyle w:val="TableParagraph"/>
              <w:spacing w:line="273" w:lineRule="auto" w:before="140"/>
              <w:ind w:left="95" w:right="298"/>
              <w:rPr>
                <w:sz w:val="21"/>
              </w:rPr>
            </w:pPr>
            <w:r>
              <w:rPr>
                <w:sz w:val="21"/>
              </w:rPr>
              <w:t>指因疾病或胆道创伤导致接受涉及胆总管小肠吻合术的胆道重建手术。手术必须在专科医生认为是医疗所需的情况下进</w:t>
            </w:r>
            <w:r>
              <w:rPr>
                <w:rFonts w:ascii="Times New Roman" w:eastAsia="Times New Roman"/>
                <w:w w:val="110"/>
                <w:sz w:val="21"/>
              </w:rPr>
              <w:t>行</w:t>
            </w:r>
            <w:r>
              <w:rPr>
                <w:sz w:val="21"/>
              </w:rPr>
              <w:t>。</w:t>
            </w:r>
          </w:p>
          <w:p>
            <w:pPr>
              <w:pStyle w:val="TableParagraph"/>
              <w:spacing w:line="279" w:lineRule="exact"/>
              <w:ind w:left="95"/>
              <w:rPr>
                <w:sz w:val="21"/>
              </w:rPr>
            </w:pPr>
            <w:r>
              <w:rPr>
                <w:sz w:val="21"/>
                <w:shd w:fill="DADADA" w:color="auto" w:val="clear"/>
              </w:rPr>
              <w:t>胆道闭锁并</w:t>
            </w:r>
            <w:r>
              <w:rPr>
                <w:rFonts w:ascii="Times New Roman" w:eastAsia="Times New Roman"/>
                <w:w w:val="110"/>
                <w:sz w:val="21"/>
                <w:shd w:fill="DADADA" w:color="auto" w:val="clear"/>
              </w:rPr>
              <w:t>不</w:t>
            </w:r>
            <w:r>
              <w:rPr>
                <w:sz w:val="21"/>
                <w:shd w:fill="DADADA" w:color="auto" w:val="clear"/>
              </w:rPr>
              <w:t>在保障范围内。</w:t>
            </w:r>
          </w:p>
        </w:tc>
      </w:tr>
      <w:tr>
        <w:trPr>
          <w:trHeight w:val="570" w:hRule="atLeast"/>
        </w:trPr>
        <w:tc>
          <w:tcPr>
            <w:tcW w:w="601" w:type="dxa"/>
          </w:tcPr>
          <w:p>
            <w:pPr>
              <w:pStyle w:val="TableParagraph"/>
              <w:rPr>
                <w:rFonts w:ascii="Times New Roman"/>
                <w:sz w:val="20"/>
              </w:rPr>
            </w:pPr>
          </w:p>
        </w:tc>
        <w:tc>
          <w:tcPr>
            <w:tcW w:w="2407" w:type="dxa"/>
          </w:tcPr>
          <w:p>
            <w:pPr>
              <w:pStyle w:val="TableParagraph"/>
              <w:spacing w:before="113"/>
              <w:ind w:left="189"/>
              <w:rPr>
                <w:b/>
                <w:sz w:val="21"/>
              </w:rPr>
            </w:pPr>
            <w:r>
              <w:rPr>
                <w:b/>
                <w:sz w:val="21"/>
              </w:rPr>
              <w:t>第 4 类：</w:t>
            </w:r>
          </w:p>
        </w:tc>
        <w:tc>
          <w:tcPr>
            <w:tcW w:w="7198" w:type="dxa"/>
          </w:tcPr>
          <w:p>
            <w:pPr>
              <w:pStyle w:val="TableParagraph"/>
              <w:spacing w:before="113"/>
              <w:ind w:left="95"/>
              <w:rPr>
                <w:b/>
                <w:sz w:val="21"/>
              </w:rPr>
            </w:pPr>
            <w:r>
              <w:rPr>
                <w:b/>
                <w:sz w:val="21"/>
              </w:rPr>
              <w:t>与神经系统相关的疾病</w:t>
            </w:r>
          </w:p>
        </w:tc>
      </w:tr>
      <w:tr>
        <w:trPr>
          <w:trHeight w:val="2467" w:hRule="atLeast"/>
        </w:trPr>
        <w:tc>
          <w:tcPr>
            <w:tcW w:w="601" w:type="dxa"/>
          </w:tcPr>
          <w:p>
            <w:pPr>
              <w:pStyle w:val="TableParagraph"/>
              <w:spacing w:before="138"/>
              <w:ind w:left="179" w:right="169"/>
              <w:jc w:val="center"/>
              <w:rPr>
                <w:b/>
                <w:sz w:val="21"/>
              </w:rPr>
            </w:pPr>
            <w:r>
              <w:rPr>
                <w:b/>
                <w:sz w:val="21"/>
              </w:rPr>
              <w:t>44</w:t>
            </w:r>
          </w:p>
        </w:tc>
        <w:tc>
          <w:tcPr>
            <w:tcW w:w="2407" w:type="dxa"/>
          </w:tcPr>
          <w:p>
            <w:pPr>
              <w:pStyle w:val="TableParagraph"/>
              <w:spacing w:before="102"/>
              <w:ind w:left="189"/>
              <w:rPr>
                <w:rFonts w:ascii="等线" w:eastAsia="等线" w:hint="eastAsia"/>
                <w:b/>
                <w:sz w:val="24"/>
              </w:rPr>
            </w:pPr>
            <w:r>
              <w:rPr>
                <w:rFonts w:ascii="等线" w:eastAsia="等线" w:hint="eastAsia"/>
                <w:b/>
                <w:sz w:val="24"/>
              </w:rPr>
              <w:t>良性脑肿瘤</w:t>
            </w:r>
          </w:p>
        </w:tc>
        <w:tc>
          <w:tcPr>
            <w:tcW w:w="7198" w:type="dxa"/>
          </w:tcPr>
          <w:p>
            <w:pPr>
              <w:pStyle w:val="TableParagraph"/>
              <w:spacing w:line="273" w:lineRule="auto" w:before="138"/>
              <w:ind w:left="95" w:right="298"/>
              <w:rPr>
                <w:sz w:val="21"/>
              </w:rPr>
            </w:pPr>
            <w:r>
              <w:rPr>
                <w:sz w:val="21"/>
              </w:rPr>
              <w:t>指脑的良性肿瘤，已经引起颅内压增高，临床表现为视神经乳头水肿、精</w:t>
            </w:r>
            <w:r>
              <w:rPr>
                <w:spacing w:val="-5"/>
                <w:w w:val="100"/>
                <w:sz w:val="21"/>
              </w:rPr>
              <w:t>神症状、癫痫及运动感觉障碍等，并危及生命。须由头颅断层扫描</w:t>
            </w:r>
            <w:r>
              <w:rPr>
                <w:w w:val="100"/>
                <w:sz w:val="21"/>
              </w:rPr>
              <w:t>（CT</w:t>
            </w:r>
            <w:r>
              <w:rPr>
                <w:spacing w:val="-111"/>
                <w:w w:val="100"/>
                <w:sz w:val="21"/>
              </w:rPr>
              <w:t>）、</w:t>
            </w:r>
            <w:r>
              <w:rPr>
                <w:sz w:val="21"/>
              </w:rPr>
              <w:t>核磁共振检查（MRI）或正电子发射断层扫描（PET）等影像学检查证实， </w:t>
            </w:r>
            <w:r>
              <w:rPr>
                <w:spacing w:val="-2"/>
                <w:sz w:val="21"/>
              </w:rPr>
              <w:t>并须满足下列至少一项条件：</w:t>
            </w:r>
          </w:p>
          <w:p>
            <w:pPr>
              <w:pStyle w:val="TableParagraph"/>
              <w:spacing w:before="7"/>
              <w:ind w:left="95"/>
              <w:rPr>
                <w:sz w:val="21"/>
              </w:rPr>
            </w:pPr>
            <w:r>
              <w:rPr>
                <w:sz w:val="21"/>
              </w:rPr>
              <w:t>（1）实际实施了开颅进行的脑肿瘤完全切除或部分切除的手术；</w:t>
            </w:r>
          </w:p>
          <w:p>
            <w:pPr>
              <w:pStyle w:val="TableParagraph"/>
              <w:spacing w:before="36"/>
              <w:ind w:left="95"/>
              <w:rPr>
                <w:sz w:val="21"/>
              </w:rPr>
            </w:pPr>
            <w:r>
              <w:rPr>
                <w:sz w:val="21"/>
              </w:rPr>
              <w:t>（2）实际实施了对脑肿瘤进行的放射治疗。</w:t>
            </w:r>
          </w:p>
          <w:p>
            <w:pPr>
              <w:pStyle w:val="TableParagraph"/>
              <w:spacing w:before="37"/>
              <w:ind w:left="95"/>
              <w:rPr>
                <w:sz w:val="21"/>
              </w:rPr>
            </w:pPr>
            <w:r>
              <w:rPr>
                <w:sz w:val="21"/>
                <w:shd w:fill="DADADA" w:color="auto" w:val="clear"/>
              </w:rPr>
              <w:t>脑垂体瘤、脑囊肿、脑血管性疾病不在保障范围内。</w:t>
            </w:r>
          </w:p>
        </w:tc>
      </w:tr>
      <w:tr>
        <w:trPr>
          <w:trHeight w:val="2155" w:hRule="atLeast"/>
        </w:trPr>
        <w:tc>
          <w:tcPr>
            <w:tcW w:w="601" w:type="dxa"/>
          </w:tcPr>
          <w:p>
            <w:pPr>
              <w:pStyle w:val="TableParagraph"/>
              <w:spacing w:before="138"/>
              <w:ind w:left="179" w:right="169"/>
              <w:jc w:val="center"/>
              <w:rPr>
                <w:b/>
                <w:sz w:val="21"/>
              </w:rPr>
            </w:pPr>
            <w:r>
              <w:rPr>
                <w:b/>
                <w:sz w:val="21"/>
              </w:rPr>
              <w:t>45</w:t>
            </w:r>
          </w:p>
        </w:tc>
        <w:tc>
          <w:tcPr>
            <w:tcW w:w="2407" w:type="dxa"/>
          </w:tcPr>
          <w:p>
            <w:pPr>
              <w:pStyle w:val="TableParagraph"/>
              <w:spacing w:line="232" w:lineRule="auto" w:before="112"/>
              <w:ind w:left="189" w:right="95"/>
              <w:rPr>
                <w:rFonts w:ascii="等线" w:eastAsia="等线" w:hint="eastAsia"/>
                <w:b/>
                <w:sz w:val="24"/>
              </w:rPr>
            </w:pPr>
            <w:r>
              <w:rPr>
                <w:rFonts w:ascii="等线" w:eastAsia="等线" w:hint="eastAsia"/>
                <w:b/>
                <w:sz w:val="24"/>
              </w:rPr>
              <w:t>脑炎后遗症或脑膜炎后遗症</w:t>
            </w:r>
          </w:p>
        </w:tc>
        <w:tc>
          <w:tcPr>
            <w:tcW w:w="7198" w:type="dxa"/>
          </w:tcPr>
          <w:p>
            <w:pPr>
              <w:pStyle w:val="TableParagraph"/>
              <w:spacing w:line="273" w:lineRule="auto" w:before="138"/>
              <w:ind w:left="95" w:right="298"/>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95"/>
              <w:rPr>
                <w:sz w:val="21"/>
              </w:rPr>
            </w:pPr>
            <w:r>
              <w:rPr>
                <w:sz w:val="21"/>
              </w:rPr>
              <w:t>（1）一肢或一肢以上肢体机能完全丧失；</w:t>
            </w:r>
          </w:p>
          <w:p>
            <w:pPr>
              <w:pStyle w:val="TableParagraph"/>
              <w:spacing w:before="36"/>
              <w:ind w:left="95"/>
              <w:rPr>
                <w:sz w:val="21"/>
              </w:rPr>
            </w:pPr>
            <w:r>
              <w:rPr>
                <w:sz w:val="21"/>
              </w:rPr>
              <w:t>（2）语言能力或咀嚼吞咽能力完全丧失；</w:t>
            </w:r>
          </w:p>
          <w:p>
            <w:pPr>
              <w:pStyle w:val="TableParagraph"/>
              <w:spacing w:line="273" w:lineRule="auto" w:before="36"/>
              <w:ind w:left="619" w:right="258" w:hanging="524"/>
              <w:rPr>
                <w:sz w:val="21"/>
              </w:rPr>
            </w:pPr>
            <w:r>
              <w:rPr>
                <w:sz w:val="21"/>
              </w:rPr>
              <w:t>（3）自主生活能力完全丧失，无法独立完成六项基本日常生活活动中的三项或三项以上。</w:t>
            </w:r>
          </w:p>
        </w:tc>
      </w:tr>
      <w:tr>
        <w:trPr>
          <w:trHeight w:val="1531" w:hRule="atLeast"/>
        </w:trPr>
        <w:tc>
          <w:tcPr>
            <w:tcW w:w="601" w:type="dxa"/>
          </w:tcPr>
          <w:p>
            <w:pPr>
              <w:pStyle w:val="TableParagraph"/>
              <w:spacing w:before="138"/>
              <w:ind w:left="179" w:right="169"/>
              <w:jc w:val="center"/>
              <w:rPr>
                <w:b/>
                <w:sz w:val="21"/>
              </w:rPr>
            </w:pPr>
            <w:r>
              <w:rPr>
                <w:b/>
                <w:sz w:val="21"/>
              </w:rPr>
              <w:t>46</w:t>
            </w:r>
          </w:p>
        </w:tc>
        <w:tc>
          <w:tcPr>
            <w:tcW w:w="2407" w:type="dxa"/>
          </w:tcPr>
          <w:p>
            <w:pPr>
              <w:pStyle w:val="TableParagraph"/>
              <w:spacing w:before="102"/>
              <w:ind w:left="189"/>
              <w:rPr>
                <w:rFonts w:ascii="等线" w:eastAsia="等线" w:hint="eastAsia"/>
                <w:b/>
                <w:sz w:val="24"/>
              </w:rPr>
            </w:pPr>
            <w:r>
              <w:rPr>
                <w:rFonts w:ascii="等线" w:eastAsia="等线" w:hint="eastAsia"/>
                <w:b/>
                <w:sz w:val="24"/>
              </w:rPr>
              <w:t>深度昏迷</w:t>
            </w:r>
          </w:p>
        </w:tc>
        <w:tc>
          <w:tcPr>
            <w:tcW w:w="7198" w:type="dxa"/>
          </w:tcPr>
          <w:p>
            <w:pPr>
              <w:pStyle w:val="TableParagraph"/>
              <w:spacing w:line="273" w:lineRule="auto" w:before="138"/>
              <w:ind w:left="95" w:right="298"/>
              <w:jc w:val="both"/>
              <w:rPr>
                <w:sz w:val="21"/>
              </w:rPr>
            </w:pPr>
            <w:r>
              <w:rPr>
                <w:sz w:val="21"/>
              </w:rPr>
              <w:t>指因疾病或意外伤害导致意识丧失，对外界刺激和体内需求均无反应，昏</w:t>
            </w:r>
            <w:r>
              <w:rPr>
                <w:spacing w:val="-3"/>
                <w:sz w:val="21"/>
              </w:rPr>
              <w:t>迷程度按照格拉斯哥昏迷分级</w:t>
            </w:r>
            <w:r>
              <w:rPr>
                <w:sz w:val="21"/>
              </w:rPr>
              <w:t>（Glasgow coma scale）</w:t>
            </w:r>
            <w:r>
              <w:rPr>
                <w:spacing w:val="-8"/>
                <w:sz w:val="21"/>
              </w:rPr>
              <w:t>结果为 </w:t>
            </w:r>
            <w:r>
              <w:rPr>
                <w:sz w:val="21"/>
              </w:rPr>
              <w:t>5</w:t>
            </w:r>
            <w:r>
              <w:rPr>
                <w:spacing w:val="-17"/>
                <w:sz w:val="21"/>
              </w:rPr>
              <w:t> 分或 </w:t>
            </w:r>
            <w:r>
              <w:rPr>
                <w:sz w:val="21"/>
              </w:rPr>
              <w:t>5</w:t>
            </w:r>
            <w:r>
              <w:rPr>
                <w:spacing w:val="-18"/>
                <w:sz w:val="21"/>
              </w:rPr>
              <w:t> 分</w:t>
            </w:r>
            <w:r>
              <w:rPr>
                <w:spacing w:val="-12"/>
                <w:sz w:val="21"/>
              </w:rPr>
              <w:t>以下，且已经持续使用呼吸机及其它生命维持系统 </w:t>
            </w:r>
            <w:r>
              <w:rPr>
                <w:spacing w:val="-3"/>
                <w:sz w:val="21"/>
              </w:rPr>
              <w:t>96</w:t>
            </w:r>
            <w:r>
              <w:rPr>
                <w:spacing w:val="-7"/>
                <w:sz w:val="21"/>
              </w:rPr>
              <w:t> 小时以上。</w:t>
            </w:r>
          </w:p>
          <w:p>
            <w:pPr>
              <w:pStyle w:val="TableParagraph"/>
              <w:spacing w:before="7"/>
              <w:ind w:left="95"/>
              <w:jc w:val="both"/>
              <w:rPr>
                <w:sz w:val="21"/>
              </w:rPr>
            </w:pPr>
            <w:r>
              <w:rPr>
                <w:sz w:val="21"/>
                <w:shd w:fill="DADADA" w:color="auto" w:val="clear"/>
              </w:rPr>
              <w:t>因酗酒或药物滥用导致的深度昏迷不在保障范围内。</w:t>
            </w:r>
          </w:p>
        </w:tc>
      </w:tr>
      <w:tr>
        <w:trPr>
          <w:trHeight w:val="2157" w:hRule="atLeast"/>
        </w:trPr>
        <w:tc>
          <w:tcPr>
            <w:tcW w:w="601" w:type="dxa"/>
          </w:tcPr>
          <w:p>
            <w:pPr>
              <w:pStyle w:val="TableParagraph"/>
              <w:spacing w:before="138"/>
              <w:ind w:left="179" w:right="169"/>
              <w:jc w:val="center"/>
              <w:rPr>
                <w:b/>
                <w:sz w:val="21"/>
              </w:rPr>
            </w:pPr>
            <w:r>
              <w:rPr>
                <w:b/>
                <w:sz w:val="21"/>
              </w:rPr>
              <w:t>47</w:t>
            </w:r>
          </w:p>
        </w:tc>
        <w:tc>
          <w:tcPr>
            <w:tcW w:w="2407" w:type="dxa"/>
          </w:tcPr>
          <w:p>
            <w:pPr>
              <w:pStyle w:val="TableParagraph"/>
              <w:spacing w:before="102"/>
              <w:ind w:left="189"/>
              <w:rPr>
                <w:rFonts w:ascii="等线" w:eastAsia="等线" w:hint="eastAsia"/>
                <w:b/>
                <w:sz w:val="24"/>
              </w:rPr>
            </w:pPr>
            <w:r>
              <w:rPr>
                <w:rFonts w:ascii="等线" w:eastAsia="等线" w:hint="eastAsia"/>
                <w:b/>
                <w:sz w:val="24"/>
              </w:rPr>
              <w:t>严重阿尔茨海默病</w:t>
            </w:r>
          </w:p>
        </w:tc>
        <w:tc>
          <w:tcPr>
            <w:tcW w:w="7198" w:type="dxa"/>
          </w:tcPr>
          <w:p>
            <w:pPr>
              <w:pStyle w:val="TableParagraph"/>
              <w:spacing w:line="273" w:lineRule="auto" w:before="138"/>
              <w:ind w:left="95" w:right="298"/>
              <w:jc w:val="both"/>
              <w:rPr>
                <w:sz w:val="21"/>
              </w:rPr>
            </w:pPr>
            <w:r>
              <w:rPr>
                <w:sz w:val="21"/>
              </w:rPr>
              <w:t>指因大脑进行性、不可逆性改变导致智能严重衰退或丧失，临床表现为明显的认知能力障碍、行为异常和社交能力减退，其日常生活必须持续受到</w:t>
            </w:r>
            <w:r>
              <w:rPr>
                <w:w w:val="100"/>
                <w:sz w:val="21"/>
              </w:rPr>
              <w:t>他人监护。须由头颅断层扫描</w:t>
            </w:r>
            <w:r>
              <w:rPr>
                <w:spacing w:val="3"/>
                <w:w w:val="100"/>
                <w:sz w:val="21"/>
              </w:rPr>
              <w:t>（</w:t>
            </w:r>
            <w:r>
              <w:rPr>
                <w:w w:val="100"/>
                <w:sz w:val="21"/>
              </w:rPr>
              <w:t>CT</w:t>
            </w:r>
            <w:r>
              <w:rPr>
                <w:spacing w:val="-106"/>
                <w:w w:val="100"/>
                <w:sz w:val="21"/>
              </w:rPr>
              <w:t>）</w:t>
            </w:r>
            <w:r>
              <w:rPr>
                <w:w w:val="100"/>
                <w:sz w:val="21"/>
              </w:rPr>
              <w:t>、核磁共振检查</w:t>
            </w:r>
            <w:r>
              <w:rPr>
                <w:spacing w:val="3"/>
                <w:w w:val="100"/>
                <w:sz w:val="21"/>
              </w:rPr>
              <w:t>（</w:t>
            </w:r>
            <w:r>
              <w:rPr>
                <w:w w:val="100"/>
                <w:sz w:val="21"/>
              </w:rPr>
              <w:t>M</w:t>
            </w:r>
            <w:r>
              <w:rPr>
                <w:spacing w:val="-5"/>
                <w:w w:val="100"/>
                <w:sz w:val="21"/>
              </w:rPr>
              <w:t>R</w:t>
            </w:r>
            <w:r>
              <w:rPr>
                <w:spacing w:val="3"/>
                <w:w w:val="100"/>
                <w:sz w:val="21"/>
              </w:rPr>
              <w:t>I</w:t>
            </w:r>
            <w:r>
              <w:rPr>
                <w:w w:val="100"/>
                <w:sz w:val="21"/>
              </w:rPr>
              <w:t>）或正电子发射</w:t>
            </w:r>
            <w:r>
              <w:rPr>
                <w:spacing w:val="-4"/>
                <w:sz w:val="21"/>
              </w:rPr>
              <w:t>断层扫描</w:t>
            </w:r>
            <w:r>
              <w:rPr>
                <w:sz w:val="21"/>
              </w:rPr>
              <w:t>（PET）</w:t>
            </w:r>
            <w:r>
              <w:rPr>
                <w:spacing w:val="-6"/>
                <w:sz w:val="21"/>
              </w:rPr>
              <w:t>等影像学检查证实，且自主生活能力完全丧失，无法独立</w:t>
            </w:r>
            <w:r>
              <w:rPr>
                <w:spacing w:val="-5"/>
                <w:sz w:val="21"/>
              </w:rPr>
              <w:t>完成六项基本日常生活活动中的三项或三项以上。</w:t>
            </w:r>
          </w:p>
          <w:p>
            <w:pPr>
              <w:pStyle w:val="TableParagraph"/>
              <w:spacing w:before="7"/>
              <w:ind w:left="95"/>
              <w:jc w:val="both"/>
              <w:rPr>
                <w:sz w:val="21"/>
              </w:rPr>
            </w:pPr>
            <w:r>
              <w:rPr>
                <w:sz w:val="21"/>
                <w:shd w:fill="DADADA" w:color="auto" w:val="clear"/>
              </w:rPr>
              <w:t>神经官能症和精神疾病不在保障范围内。</w:t>
            </w:r>
          </w:p>
        </w:tc>
      </w:tr>
      <w:tr>
        <w:trPr>
          <w:trHeight w:val="1221" w:hRule="atLeast"/>
        </w:trPr>
        <w:tc>
          <w:tcPr>
            <w:tcW w:w="601" w:type="dxa"/>
          </w:tcPr>
          <w:p>
            <w:pPr>
              <w:pStyle w:val="TableParagraph"/>
              <w:spacing w:before="140"/>
              <w:ind w:left="179" w:right="169"/>
              <w:jc w:val="center"/>
              <w:rPr>
                <w:b/>
                <w:sz w:val="21"/>
              </w:rPr>
            </w:pPr>
            <w:r>
              <w:rPr>
                <w:b/>
                <w:sz w:val="21"/>
              </w:rPr>
              <w:t>48</w:t>
            </w:r>
          </w:p>
        </w:tc>
        <w:tc>
          <w:tcPr>
            <w:tcW w:w="2407" w:type="dxa"/>
          </w:tcPr>
          <w:p>
            <w:pPr>
              <w:pStyle w:val="TableParagraph"/>
              <w:spacing w:before="104"/>
              <w:ind w:left="189"/>
              <w:rPr>
                <w:rFonts w:ascii="等线" w:eastAsia="等线" w:hint="eastAsia"/>
                <w:b/>
                <w:sz w:val="24"/>
              </w:rPr>
            </w:pPr>
            <w:r>
              <w:rPr>
                <w:rFonts w:ascii="等线" w:eastAsia="等线" w:hint="eastAsia"/>
                <w:b/>
                <w:sz w:val="24"/>
              </w:rPr>
              <w:t>瘫痪</w:t>
            </w:r>
          </w:p>
        </w:tc>
        <w:tc>
          <w:tcPr>
            <w:tcW w:w="7198" w:type="dxa"/>
          </w:tcPr>
          <w:p>
            <w:pPr>
              <w:pStyle w:val="TableParagraph"/>
              <w:spacing w:line="273" w:lineRule="auto" w:before="140"/>
              <w:ind w:left="95" w:right="298"/>
              <w:jc w:val="both"/>
              <w:rPr>
                <w:sz w:val="21"/>
              </w:rPr>
            </w:pPr>
            <w:r>
              <w:rPr>
                <w:sz w:val="21"/>
              </w:rPr>
              <w:t>指因疾病或意外伤害导致两肢或两肢以上肢体机能永久完全丧失。肢体机</w:t>
            </w:r>
            <w:r>
              <w:rPr>
                <w:spacing w:val="-4"/>
                <w:sz w:val="21"/>
              </w:rPr>
              <w:t>能永久完全丧失，指疾病确诊 </w:t>
            </w:r>
            <w:r>
              <w:rPr>
                <w:sz w:val="21"/>
              </w:rPr>
              <w:t>180</w:t>
            </w:r>
            <w:r>
              <w:rPr>
                <w:spacing w:val="-8"/>
                <w:sz w:val="21"/>
              </w:rPr>
              <w:t> 日后或意外伤害发生 </w:t>
            </w:r>
            <w:r>
              <w:rPr>
                <w:sz w:val="21"/>
              </w:rPr>
              <w:t>180</w:t>
            </w:r>
            <w:r>
              <w:rPr>
                <w:spacing w:val="-6"/>
                <w:sz w:val="21"/>
              </w:rPr>
              <w:t> 日后，每肢三</w:t>
            </w:r>
            <w:r>
              <w:rPr>
                <w:spacing w:val="-5"/>
                <w:sz w:val="21"/>
              </w:rPr>
              <w:t>大关节中的两大关节仍然完全僵硬，或不能随意识活动。</w:t>
            </w:r>
          </w:p>
        </w:tc>
      </w:tr>
      <w:tr>
        <w:trPr>
          <w:trHeight w:val="1973" w:hRule="atLeast"/>
        </w:trPr>
        <w:tc>
          <w:tcPr>
            <w:tcW w:w="601" w:type="dxa"/>
          </w:tcPr>
          <w:p>
            <w:pPr>
              <w:pStyle w:val="TableParagraph"/>
              <w:spacing w:before="138"/>
              <w:ind w:left="179" w:right="169"/>
              <w:jc w:val="center"/>
              <w:rPr>
                <w:b/>
                <w:sz w:val="21"/>
              </w:rPr>
            </w:pPr>
            <w:r>
              <w:rPr>
                <w:b/>
                <w:sz w:val="21"/>
              </w:rPr>
              <w:t>49</w:t>
            </w:r>
          </w:p>
        </w:tc>
        <w:tc>
          <w:tcPr>
            <w:tcW w:w="2407" w:type="dxa"/>
          </w:tcPr>
          <w:p>
            <w:pPr>
              <w:pStyle w:val="TableParagraph"/>
              <w:spacing w:before="102"/>
              <w:ind w:left="189"/>
              <w:rPr>
                <w:rFonts w:ascii="等线" w:eastAsia="等线" w:hint="eastAsia"/>
                <w:b/>
                <w:sz w:val="24"/>
              </w:rPr>
            </w:pPr>
            <w:r>
              <w:rPr>
                <w:rFonts w:ascii="等线" w:eastAsia="等线" w:hint="eastAsia"/>
                <w:b/>
                <w:sz w:val="24"/>
              </w:rPr>
              <w:t>严重的多发性硬化</w:t>
            </w:r>
          </w:p>
        </w:tc>
        <w:tc>
          <w:tcPr>
            <w:tcW w:w="7198" w:type="dxa"/>
          </w:tcPr>
          <w:p>
            <w:pPr>
              <w:pStyle w:val="TableParagraph"/>
              <w:spacing w:line="273" w:lineRule="auto" w:before="138"/>
              <w:ind w:left="95" w:right="197"/>
              <w:rPr>
                <w:sz w:val="21"/>
              </w:rPr>
            </w:pPr>
            <w:r>
              <w:rPr>
                <w:sz w:val="21"/>
              </w:rPr>
              <w:t>指因中枢神经系统脱髓鞘而导致的不可逆的身体部位的功能障碍，需由神</w:t>
            </w:r>
            <w:r>
              <w:rPr>
                <w:spacing w:val="-13"/>
                <w:w w:val="100"/>
                <w:sz w:val="21"/>
              </w:rPr>
              <w:t>经科专科医生提供明确诊断，并有头颅断层扫描</w:t>
            </w:r>
            <w:r>
              <w:rPr>
                <w:w w:val="100"/>
                <w:sz w:val="21"/>
              </w:rPr>
              <w:t>（CT</w:t>
            </w:r>
            <w:r>
              <w:rPr>
                <w:spacing w:val="-92"/>
                <w:w w:val="100"/>
                <w:sz w:val="21"/>
              </w:rPr>
              <w:t>）</w:t>
            </w:r>
            <w:r>
              <w:rPr>
                <w:spacing w:val="-14"/>
                <w:w w:val="100"/>
                <w:sz w:val="21"/>
              </w:rPr>
              <w:t>或核磁共振检查</w:t>
            </w:r>
            <w:r>
              <w:rPr>
                <w:w w:val="100"/>
                <w:sz w:val="21"/>
              </w:rPr>
              <w:t>（MR</w:t>
            </w:r>
            <w:r>
              <w:rPr>
                <w:spacing w:val="-5"/>
                <w:w w:val="100"/>
                <w:sz w:val="21"/>
              </w:rPr>
              <w:t>I</w:t>
            </w:r>
            <w:r>
              <w:rPr>
                <w:w w:val="100"/>
                <w:sz w:val="21"/>
              </w:rPr>
              <w:t>）</w:t>
            </w:r>
            <w:r>
              <w:rPr>
                <w:sz w:val="21"/>
              </w:rPr>
              <w:t>结果诊断报告。不可逆的身体部位功能障碍指诊断为功能障碍后需已经持</w:t>
            </w:r>
            <w:r>
              <w:rPr>
                <w:spacing w:val="-25"/>
                <w:sz w:val="21"/>
              </w:rPr>
              <w:t>续 </w:t>
            </w:r>
            <w:r>
              <w:rPr>
                <w:sz w:val="21"/>
              </w:rPr>
              <w:t>180</w:t>
            </w:r>
            <w:r>
              <w:rPr>
                <w:spacing w:val="-12"/>
                <w:sz w:val="21"/>
              </w:rPr>
              <w:t> 日以上。</w:t>
            </w:r>
          </w:p>
          <w:p>
            <w:pPr>
              <w:pStyle w:val="TableParagraph"/>
              <w:spacing w:before="7"/>
              <w:ind w:left="96"/>
              <w:rPr>
                <w:sz w:val="21"/>
              </w:rPr>
            </w:pPr>
            <w:r>
              <w:rPr>
                <w:sz w:val="21"/>
              </w:rPr>
              <w:t>由神经科专科医生提供的明确诊断必须同时包含下列内容：</w:t>
            </w:r>
          </w:p>
          <w:p>
            <w:pPr>
              <w:pStyle w:val="TableParagraph"/>
              <w:spacing w:line="255" w:lineRule="exact" w:before="36"/>
              <w:ind w:left="96"/>
              <w:rPr>
                <w:sz w:val="21"/>
              </w:rPr>
            </w:pPr>
            <w:r>
              <w:rPr>
                <w:sz w:val="21"/>
              </w:rPr>
              <w:t>（1）明确出现因视神经、脑干和脊髓损伤而导致的临床表现；</w:t>
            </w:r>
          </w:p>
        </w:tc>
      </w:tr>
    </w:tbl>
    <w:p>
      <w:pPr>
        <w:spacing w:after="0" w:line="255" w:lineRule="exact"/>
        <w:rPr>
          <w:sz w:val="21"/>
        </w:rPr>
        <w:sectPr>
          <w:pgSz w:w="11910" w:h="16840"/>
          <w:pgMar w:top="1420" w:bottom="280" w:left="880" w:right="6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1"/>
        <w:gridCol w:w="2407"/>
        <w:gridCol w:w="7098"/>
      </w:tblGrid>
      <w:tr>
        <w:trPr>
          <w:trHeight w:val="705" w:hRule="atLeast"/>
        </w:trPr>
        <w:tc>
          <w:tcPr>
            <w:tcW w:w="601" w:type="dxa"/>
          </w:tcPr>
          <w:p>
            <w:pPr>
              <w:pStyle w:val="TableParagraph"/>
              <w:rPr>
                <w:rFonts w:ascii="Times New Roman"/>
                <w:sz w:val="20"/>
              </w:rPr>
            </w:pPr>
          </w:p>
        </w:tc>
        <w:tc>
          <w:tcPr>
            <w:tcW w:w="2407" w:type="dxa"/>
          </w:tcPr>
          <w:p>
            <w:pPr>
              <w:pStyle w:val="TableParagraph"/>
              <w:rPr>
                <w:rFonts w:ascii="Times New Roman"/>
                <w:sz w:val="20"/>
              </w:rPr>
            </w:pPr>
          </w:p>
        </w:tc>
        <w:tc>
          <w:tcPr>
            <w:tcW w:w="7098" w:type="dxa"/>
          </w:tcPr>
          <w:p>
            <w:pPr>
              <w:pStyle w:val="TableParagraph"/>
              <w:spacing w:line="211" w:lineRule="exact"/>
              <w:ind w:left="95"/>
              <w:rPr>
                <w:sz w:val="21"/>
              </w:rPr>
            </w:pPr>
            <w:r>
              <w:rPr>
                <w:sz w:val="21"/>
              </w:rPr>
              <w:t>（2）神经系统散在的多部位病变；</w:t>
            </w:r>
          </w:p>
          <w:p>
            <w:pPr>
              <w:pStyle w:val="TableParagraph"/>
              <w:spacing w:before="37"/>
              <w:ind w:left="95"/>
              <w:rPr>
                <w:sz w:val="21"/>
              </w:rPr>
            </w:pPr>
            <w:r>
              <w:rPr>
                <w:sz w:val="21"/>
              </w:rPr>
              <w:t>（3）有明确的上述症状及神经损伤反复恶化、减轻的病史纪录。</w:t>
            </w:r>
          </w:p>
        </w:tc>
      </w:tr>
      <w:tr>
        <w:trPr>
          <w:trHeight w:val="2143" w:hRule="atLeast"/>
        </w:trPr>
        <w:tc>
          <w:tcPr>
            <w:tcW w:w="601" w:type="dxa"/>
          </w:tcPr>
          <w:p>
            <w:pPr>
              <w:pStyle w:val="TableParagraph"/>
              <w:spacing w:before="138"/>
              <w:ind w:left="179" w:right="169"/>
              <w:jc w:val="center"/>
              <w:rPr>
                <w:b/>
                <w:sz w:val="21"/>
              </w:rPr>
            </w:pPr>
            <w:r>
              <w:rPr>
                <w:b/>
                <w:sz w:val="21"/>
              </w:rPr>
              <w:t>50</w:t>
            </w:r>
          </w:p>
        </w:tc>
        <w:tc>
          <w:tcPr>
            <w:tcW w:w="2407" w:type="dxa"/>
          </w:tcPr>
          <w:p>
            <w:pPr>
              <w:pStyle w:val="TableParagraph"/>
              <w:spacing w:before="102"/>
              <w:ind w:left="189"/>
              <w:rPr>
                <w:rFonts w:ascii="等线" w:eastAsia="等线" w:hint="eastAsia"/>
                <w:b/>
                <w:sz w:val="24"/>
              </w:rPr>
            </w:pPr>
            <w:r>
              <w:rPr>
                <w:rFonts w:ascii="等线" w:eastAsia="等线" w:hint="eastAsia"/>
                <w:b/>
                <w:sz w:val="24"/>
              </w:rPr>
              <w:t>严重帕金森病</w:t>
            </w:r>
          </w:p>
        </w:tc>
        <w:tc>
          <w:tcPr>
            <w:tcW w:w="7098" w:type="dxa"/>
          </w:tcPr>
          <w:p>
            <w:pPr>
              <w:pStyle w:val="TableParagraph"/>
              <w:spacing w:line="273" w:lineRule="auto" w:before="138"/>
              <w:ind w:left="95" w:right="198"/>
              <w:rPr>
                <w:sz w:val="21"/>
              </w:rPr>
            </w:pPr>
            <w:r>
              <w:rPr>
                <w:sz w:val="21"/>
              </w:rPr>
              <w:t>是一种中枢神经系统的退行性疾病，临床表现为震颤麻痹、共济失调等。须满足下列全部条件：</w:t>
            </w:r>
          </w:p>
          <w:p>
            <w:pPr>
              <w:pStyle w:val="TableParagraph"/>
              <w:spacing w:before="7"/>
              <w:ind w:left="96"/>
              <w:rPr>
                <w:sz w:val="21"/>
              </w:rPr>
            </w:pPr>
            <w:r>
              <w:rPr>
                <w:sz w:val="21"/>
              </w:rPr>
              <w:t>（1）药物治疗无法控制病情；</w:t>
            </w:r>
          </w:p>
          <w:p>
            <w:pPr>
              <w:pStyle w:val="TableParagraph"/>
              <w:spacing w:line="273" w:lineRule="auto" w:before="36"/>
              <w:ind w:left="580" w:right="158" w:hanging="485"/>
              <w:rPr>
                <w:sz w:val="21"/>
              </w:rPr>
            </w:pPr>
            <w:r>
              <w:rPr>
                <w:sz w:val="21"/>
              </w:rPr>
              <w:t>（2）自主生活能力完全丧失，无法独立完成六项基本日常生活活动中的三项或三项以上。</w:t>
            </w:r>
          </w:p>
          <w:p>
            <w:pPr>
              <w:pStyle w:val="TableParagraph"/>
              <w:spacing w:before="7"/>
              <w:ind w:left="95"/>
              <w:rPr>
                <w:sz w:val="21"/>
              </w:rPr>
            </w:pPr>
            <w:r>
              <w:rPr>
                <w:sz w:val="21"/>
                <w:shd w:fill="DADADA" w:color="auto" w:val="clear"/>
              </w:rPr>
              <w:t>继发性帕金森综合征不在保障范围内。</w:t>
            </w:r>
          </w:p>
        </w:tc>
      </w:tr>
      <w:tr>
        <w:trPr>
          <w:trHeight w:val="1519" w:hRule="atLeast"/>
        </w:trPr>
        <w:tc>
          <w:tcPr>
            <w:tcW w:w="601" w:type="dxa"/>
          </w:tcPr>
          <w:p>
            <w:pPr>
              <w:pStyle w:val="TableParagraph"/>
              <w:spacing w:before="126"/>
              <w:ind w:left="179" w:right="169"/>
              <w:jc w:val="center"/>
              <w:rPr>
                <w:b/>
                <w:sz w:val="21"/>
              </w:rPr>
            </w:pPr>
            <w:r>
              <w:rPr>
                <w:b/>
                <w:sz w:val="21"/>
              </w:rPr>
              <w:t>51</w:t>
            </w:r>
          </w:p>
        </w:tc>
        <w:tc>
          <w:tcPr>
            <w:tcW w:w="2407" w:type="dxa"/>
          </w:tcPr>
          <w:p>
            <w:pPr>
              <w:pStyle w:val="TableParagraph"/>
              <w:spacing w:before="90"/>
              <w:ind w:left="189"/>
              <w:rPr>
                <w:rFonts w:ascii="等线" w:eastAsia="等线" w:hint="eastAsia"/>
                <w:b/>
                <w:sz w:val="24"/>
              </w:rPr>
            </w:pPr>
            <w:r>
              <w:rPr>
                <w:rFonts w:ascii="等线" w:eastAsia="等线" w:hint="eastAsia"/>
                <w:b/>
                <w:sz w:val="24"/>
              </w:rPr>
              <w:t>严重运动神经元病</w:t>
            </w:r>
          </w:p>
        </w:tc>
        <w:tc>
          <w:tcPr>
            <w:tcW w:w="7098" w:type="dxa"/>
          </w:tcPr>
          <w:p>
            <w:pPr>
              <w:pStyle w:val="TableParagraph"/>
              <w:spacing w:line="273" w:lineRule="auto" w:before="126"/>
              <w:ind w:left="95" w:right="198"/>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750" w:hRule="atLeast"/>
        </w:trPr>
        <w:tc>
          <w:tcPr>
            <w:tcW w:w="601" w:type="dxa"/>
          </w:tcPr>
          <w:p>
            <w:pPr>
              <w:pStyle w:val="TableParagraph"/>
              <w:spacing w:before="138"/>
              <w:ind w:left="179" w:right="169"/>
              <w:jc w:val="center"/>
              <w:rPr>
                <w:b/>
                <w:sz w:val="21"/>
              </w:rPr>
            </w:pPr>
            <w:r>
              <w:rPr>
                <w:b/>
                <w:sz w:val="21"/>
              </w:rPr>
              <w:t>52</w:t>
            </w:r>
          </w:p>
        </w:tc>
        <w:tc>
          <w:tcPr>
            <w:tcW w:w="2407" w:type="dxa"/>
          </w:tcPr>
          <w:p>
            <w:pPr>
              <w:pStyle w:val="TableParagraph"/>
              <w:spacing w:before="102"/>
              <w:ind w:left="189"/>
              <w:rPr>
                <w:rFonts w:ascii="等线" w:eastAsia="等线" w:hint="eastAsia"/>
                <w:b/>
                <w:sz w:val="24"/>
              </w:rPr>
            </w:pPr>
            <w:r>
              <w:rPr>
                <w:rFonts w:ascii="等线" w:eastAsia="等线" w:hint="eastAsia"/>
                <w:b/>
                <w:sz w:val="24"/>
              </w:rPr>
              <w:t>严重脑损伤</w:t>
            </w:r>
          </w:p>
        </w:tc>
        <w:tc>
          <w:tcPr>
            <w:tcW w:w="7098" w:type="dxa"/>
          </w:tcPr>
          <w:p>
            <w:pPr>
              <w:pStyle w:val="TableParagraph"/>
              <w:spacing w:line="273" w:lineRule="auto" w:before="138"/>
              <w:ind w:left="95" w:right="198"/>
              <w:jc w:val="both"/>
              <w:rPr>
                <w:sz w:val="21"/>
              </w:rPr>
            </w:pPr>
            <w:r>
              <w:rPr>
                <w:sz w:val="21"/>
              </w:rPr>
              <w:t>指因头部遭受机械性外力，引起脑重要部位损伤，导致神经系统永久性的</w:t>
            </w:r>
            <w:r>
              <w:rPr>
                <w:w w:val="100"/>
                <w:sz w:val="21"/>
              </w:rPr>
              <w:t>功能障碍。须由头颅断层扫描</w:t>
            </w:r>
            <w:r>
              <w:rPr>
                <w:spacing w:val="3"/>
                <w:w w:val="100"/>
                <w:sz w:val="21"/>
              </w:rPr>
              <w:t>（</w:t>
            </w:r>
            <w:r>
              <w:rPr>
                <w:w w:val="100"/>
                <w:sz w:val="21"/>
              </w:rPr>
              <w:t>CT</w:t>
            </w:r>
            <w:r>
              <w:rPr>
                <w:spacing w:val="-106"/>
                <w:w w:val="100"/>
                <w:sz w:val="21"/>
              </w:rPr>
              <w:t>）</w:t>
            </w:r>
            <w:r>
              <w:rPr>
                <w:w w:val="100"/>
                <w:sz w:val="21"/>
              </w:rPr>
              <w:t>、核磁共振检查</w:t>
            </w:r>
            <w:r>
              <w:rPr>
                <w:spacing w:val="3"/>
                <w:w w:val="100"/>
                <w:sz w:val="21"/>
              </w:rPr>
              <w:t>（</w:t>
            </w:r>
            <w:r>
              <w:rPr>
                <w:w w:val="100"/>
                <w:sz w:val="21"/>
              </w:rPr>
              <w:t>M</w:t>
            </w:r>
            <w:r>
              <w:rPr>
                <w:spacing w:val="-5"/>
                <w:w w:val="100"/>
                <w:sz w:val="21"/>
              </w:rPr>
              <w:t>R</w:t>
            </w:r>
            <w:r>
              <w:rPr>
                <w:spacing w:val="3"/>
                <w:w w:val="100"/>
                <w:sz w:val="21"/>
              </w:rPr>
              <w:t>I</w:t>
            </w:r>
            <w:r>
              <w:rPr>
                <w:w w:val="100"/>
                <w:sz w:val="21"/>
              </w:rPr>
              <w:t>）或正电子发射</w:t>
            </w:r>
            <w:r>
              <w:rPr>
                <w:spacing w:val="-4"/>
                <w:sz w:val="21"/>
              </w:rPr>
              <w:t>断层扫描</w:t>
            </w:r>
            <w:r>
              <w:rPr>
                <w:sz w:val="21"/>
              </w:rPr>
              <w:t>（PET）</w:t>
            </w:r>
            <w:r>
              <w:rPr>
                <w:spacing w:val="-6"/>
                <w:sz w:val="21"/>
              </w:rPr>
              <w:t>等影像学检查证实。神经系统永久性的功能障碍，指脑损</w:t>
            </w:r>
            <w:r>
              <w:rPr>
                <w:spacing w:val="-24"/>
                <w:sz w:val="21"/>
              </w:rPr>
              <w:t>伤 </w:t>
            </w:r>
            <w:r>
              <w:rPr>
                <w:sz w:val="21"/>
              </w:rPr>
              <w:t>180</w:t>
            </w:r>
            <w:r>
              <w:rPr>
                <w:spacing w:val="-8"/>
                <w:sz w:val="21"/>
              </w:rPr>
              <w:t> 日后，仍遗留下列一种或一种以上障碍：</w:t>
            </w:r>
          </w:p>
          <w:p>
            <w:pPr>
              <w:pStyle w:val="TableParagraph"/>
              <w:spacing w:before="7"/>
              <w:ind w:left="95"/>
              <w:rPr>
                <w:sz w:val="21"/>
              </w:rPr>
            </w:pPr>
            <w:r>
              <w:rPr>
                <w:sz w:val="21"/>
              </w:rPr>
              <w:t>（1）一肢或一肢以上肢体机能完全丧失；</w:t>
            </w:r>
          </w:p>
          <w:p>
            <w:pPr>
              <w:pStyle w:val="TableParagraph"/>
              <w:spacing w:before="36"/>
              <w:ind w:left="95"/>
              <w:rPr>
                <w:sz w:val="21"/>
              </w:rPr>
            </w:pPr>
            <w:r>
              <w:rPr>
                <w:sz w:val="21"/>
              </w:rPr>
              <w:t>（2）语言能力或咀嚼吞咽能力完全丧失；</w:t>
            </w:r>
          </w:p>
          <w:p>
            <w:pPr>
              <w:pStyle w:val="TableParagraph"/>
              <w:spacing w:line="273" w:lineRule="auto" w:before="36"/>
              <w:ind w:left="580" w:right="158" w:hanging="485"/>
              <w:rPr>
                <w:sz w:val="21"/>
              </w:rPr>
            </w:pPr>
            <w:r>
              <w:rPr>
                <w:sz w:val="21"/>
              </w:rPr>
              <w:t>（3）自主生活能力完全丧失，无法独立完成六项基本日常生活活动中的三项或三项以上。</w:t>
            </w:r>
          </w:p>
        </w:tc>
      </w:tr>
      <w:tr>
        <w:trPr>
          <w:trHeight w:val="2409" w:hRule="atLeast"/>
        </w:trPr>
        <w:tc>
          <w:tcPr>
            <w:tcW w:w="601" w:type="dxa"/>
          </w:tcPr>
          <w:p>
            <w:pPr>
              <w:pStyle w:val="TableParagraph"/>
              <w:spacing w:before="109"/>
              <w:ind w:left="179" w:right="169"/>
              <w:jc w:val="center"/>
              <w:rPr>
                <w:b/>
                <w:sz w:val="21"/>
              </w:rPr>
            </w:pPr>
            <w:r>
              <w:rPr>
                <w:b/>
                <w:sz w:val="21"/>
              </w:rPr>
              <w:t>53</w:t>
            </w:r>
          </w:p>
        </w:tc>
        <w:tc>
          <w:tcPr>
            <w:tcW w:w="2407" w:type="dxa"/>
          </w:tcPr>
          <w:p>
            <w:pPr>
              <w:pStyle w:val="TableParagraph"/>
              <w:spacing w:line="232" w:lineRule="auto" w:before="83"/>
              <w:ind w:left="189" w:right="95"/>
              <w:rPr>
                <w:rFonts w:ascii="等线" w:eastAsia="等线" w:hint="eastAsia"/>
                <w:b/>
                <w:sz w:val="24"/>
              </w:rPr>
            </w:pPr>
            <w:r>
              <w:rPr>
                <w:rFonts w:ascii="等线" w:eastAsia="等线" w:hint="eastAsia"/>
                <w:b/>
                <w:sz w:val="24"/>
              </w:rPr>
              <w:t>非阿尔茨海默病所致严重痴呆</w:t>
            </w:r>
          </w:p>
        </w:tc>
        <w:tc>
          <w:tcPr>
            <w:tcW w:w="7098" w:type="dxa"/>
          </w:tcPr>
          <w:p>
            <w:pPr>
              <w:pStyle w:val="TableParagraph"/>
              <w:spacing w:line="273" w:lineRule="auto" w:before="109"/>
              <w:ind w:left="95" w:right="198"/>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7"/>
              <w:ind w:left="95"/>
              <w:jc w:val="both"/>
              <w:rPr>
                <w:sz w:val="21"/>
              </w:rPr>
            </w:pPr>
            <w:r>
              <w:rPr>
                <w:sz w:val="21"/>
                <w:shd w:fill="DADADA" w:color="auto" w:val="clear"/>
              </w:rPr>
              <w:t>神经官能症、精神疾病及酒精中毒所致脑损害不在保障范围内。</w:t>
            </w:r>
          </w:p>
        </w:tc>
      </w:tr>
      <w:tr>
        <w:trPr>
          <w:trHeight w:val="1476" w:hRule="atLeast"/>
        </w:trPr>
        <w:tc>
          <w:tcPr>
            <w:tcW w:w="601" w:type="dxa"/>
          </w:tcPr>
          <w:p>
            <w:pPr>
              <w:pStyle w:val="TableParagraph"/>
              <w:spacing w:before="109"/>
              <w:ind w:left="179" w:right="169"/>
              <w:jc w:val="center"/>
              <w:rPr>
                <w:b/>
                <w:sz w:val="21"/>
              </w:rPr>
            </w:pPr>
            <w:r>
              <w:rPr>
                <w:b/>
                <w:sz w:val="21"/>
              </w:rPr>
              <w:t>54</w:t>
            </w:r>
          </w:p>
        </w:tc>
        <w:tc>
          <w:tcPr>
            <w:tcW w:w="2407" w:type="dxa"/>
          </w:tcPr>
          <w:p>
            <w:pPr>
              <w:pStyle w:val="TableParagraph"/>
              <w:spacing w:before="73"/>
              <w:ind w:left="189"/>
              <w:rPr>
                <w:rFonts w:ascii="等线" w:eastAsia="等线" w:hint="eastAsia"/>
                <w:b/>
                <w:sz w:val="24"/>
              </w:rPr>
            </w:pPr>
            <w:r>
              <w:rPr>
                <w:rFonts w:ascii="等线" w:eastAsia="等线" w:hint="eastAsia"/>
                <w:b/>
                <w:sz w:val="24"/>
              </w:rPr>
              <w:t>植物人状态</w:t>
            </w:r>
          </w:p>
        </w:tc>
        <w:tc>
          <w:tcPr>
            <w:tcW w:w="7098" w:type="dxa"/>
          </w:tcPr>
          <w:p>
            <w:pPr>
              <w:pStyle w:val="TableParagraph"/>
              <w:spacing w:line="273" w:lineRule="auto" w:before="109"/>
              <w:ind w:left="95" w:right="198"/>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7"/>
              <w:ind w:left="95"/>
              <w:jc w:val="both"/>
              <w:rPr>
                <w:sz w:val="21"/>
              </w:rPr>
            </w:pPr>
            <w:r>
              <w:rPr>
                <w:sz w:val="21"/>
                <w:shd w:fill="DADADA" w:color="auto" w:val="clear"/>
              </w:rPr>
              <w:t>由于酗酒或滥用药物所致的植物人状态不在保障范围内。</w:t>
            </w:r>
          </w:p>
        </w:tc>
      </w:tr>
      <w:tr>
        <w:trPr>
          <w:trHeight w:val="1787" w:hRule="atLeast"/>
        </w:trPr>
        <w:tc>
          <w:tcPr>
            <w:tcW w:w="601" w:type="dxa"/>
          </w:tcPr>
          <w:p>
            <w:pPr>
              <w:pStyle w:val="TableParagraph"/>
              <w:spacing w:before="112"/>
              <w:ind w:left="179" w:right="169"/>
              <w:jc w:val="center"/>
              <w:rPr>
                <w:b/>
                <w:sz w:val="21"/>
              </w:rPr>
            </w:pPr>
            <w:r>
              <w:rPr>
                <w:b/>
                <w:sz w:val="21"/>
              </w:rPr>
              <w:t>55</w:t>
            </w:r>
          </w:p>
        </w:tc>
        <w:tc>
          <w:tcPr>
            <w:tcW w:w="2407" w:type="dxa"/>
          </w:tcPr>
          <w:p>
            <w:pPr>
              <w:pStyle w:val="TableParagraph"/>
              <w:spacing w:before="76"/>
              <w:ind w:left="189"/>
              <w:rPr>
                <w:rFonts w:ascii="等线" w:eastAsia="等线" w:hint="eastAsia"/>
                <w:b/>
                <w:sz w:val="24"/>
              </w:rPr>
            </w:pPr>
            <w:r>
              <w:rPr>
                <w:rFonts w:ascii="等线" w:eastAsia="等线" w:hint="eastAsia"/>
                <w:b/>
                <w:sz w:val="24"/>
              </w:rPr>
              <w:t>进行性核上性麻痹</w:t>
            </w:r>
          </w:p>
        </w:tc>
        <w:tc>
          <w:tcPr>
            <w:tcW w:w="7098" w:type="dxa"/>
          </w:tcPr>
          <w:p>
            <w:pPr>
              <w:pStyle w:val="TableParagraph"/>
              <w:spacing w:line="273" w:lineRule="auto" w:before="112"/>
              <w:ind w:left="96" w:right="198"/>
              <w:rPr>
                <w:sz w:val="21"/>
              </w:rPr>
            </w:pPr>
            <w:r>
              <w:rPr>
                <w:sz w:val="21"/>
              </w:rPr>
              <w:t>指一种隐袭起病、逐渐加重的神经系统变性疾病。此病症须由专科医生明确，并满足以下全部临床特征：</w:t>
            </w:r>
          </w:p>
          <w:p>
            <w:pPr>
              <w:pStyle w:val="TableParagraph"/>
              <w:spacing w:before="8"/>
              <w:ind w:left="96"/>
              <w:rPr>
                <w:sz w:val="21"/>
              </w:rPr>
            </w:pPr>
            <w:r>
              <w:rPr>
                <w:sz w:val="21"/>
              </w:rPr>
              <w:t>（1）步态共济失调；</w:t>
            </w:r>
          </w:p>
          <w:p>
            <w:pPr>
              <w:pStyle w:val="TableParagraph"/>
              <w:spacing w:before="37"/>
              <w:ind w:left="96"/>
              <w:rPr>
                <w:sz w:val="21"/>
              </w:rPr>
            </w:pPr>
            <w:r>
              <w:rPr>
                <w:sz w:val="21"/>
              </w:rPr>
              <w:t>（2）对称性眼球垂直运动障碍；</w:t>
            </w:r>
          </w:p>
          <w:p>
            <w:pPr>
              <w:pStyle w:val="TableParagraph"/>
              <w:spacing w:before="37"/>
              <w:ind w:left="96"/>
              <w:rPr>
                <w:sz w:val="21"/>
              </w:rPr>
            </w:pPr>
            <w:r>
              <w:rPr>
                <w:sz w:val="21"/>
              </w:rPr>
              <w:t>（3）</w:t>
            </w:r>
            <w:r>
              <w:rPr>
                <w:spacing w:val="-2"/>
                <w:sz w:val="21"/>
              </w:rPr>
              <w:t>假性球麻痹</w:t>
            </w:r>
            <w:r>
              <w:rPr>
                <w:sz w:val="21"/>
              </w:rPr>
              <w:t>（</w:t>
            </w:r>
            <w:r>
              <w:rPr>
                <w:spacing w:val="-4"/>
                <w:sz w:val="21"/>
              </w:rPr>
              <w:t>构音障碍和吞咽困难</w:t>
            </w:r>
            <w:r>
              <w:rPr>
                <w:spacing w:val="-106"/>
                <w:sz w:val="21"/>
              </w:rPr>
              <w:t>）</w:t>
            </w:r>
            <w:r>
              <w:rPr>
                <w:sz w:val="21"/>
              </w:rPr>
              <w:t>。</w:t>
            </w:r>
          </w:p>
        </w:tc>
      </w:tr>
      <w:tr>
        <w:trPr>
          <w:trHeight w:val="1632" w:hRule="atLeast"/>
        </w:trPr>
        <w:tc>
          <w:tcPr>
            <w:tcW w:w="601" w:type="dxa"/>
          </w:tcPr>
          <w:p>
            <w:pPr>
              <w:pStyle w:val="TableParagraph"/>
              <w:spacing w:before="109"/>
              <w:ind w:left="179" w:right="169"/>
              <w:jc w:val="center"/>
              <w:rPr>
                <w:b/>
                <w:sz w:val="21"/>
              </w:rPr>
            </w:pPr>
            <w:r>
              <w:rPr>
                <w:b/>
                <w:sz w:val="21"/>
              </w:rPr>
              <w:t>56</w:t>
            </w:r>
          </w:p>
        </w:tc>
        <w:tc>
          <w:tcPr>
            <w:tcW w:w="2407" w:type="dxa"/>
          </w:tcPr>
          <w:p>
            <w:pPr>
              <w:pStyle w:val="TableParagraph"/>
              <w:spacing w:before="73"/>
              <w:ind w:left="189"/>
              <w:rPr>
                <w:rFonts w:ascii="等线" w:eastAsia="等线" w:hint="eastAsia"/>
                <w:b/>
                <w:sz w:val="24"/>
              </w:rPr>
            </w:pPr>
            <w:r>
              <w:rPr>
                <w:rFonts w:ascii="等线" w:eastAsia="等线" w:hint="eastAsia"/>
                <w:b/>
                <w:sz w:val="24"/>
              </w:rPr>
              <w:t>开颅手术</w:t>
            </w:r>
          </w:p>
        </w:tc>
        <w:tc>
          <w:tcPr>
            <w:tcW w:w="7098" w:type="dxa"/>
          </w:tcPr>
          <w:p>
            <w:pPr>
              <w:pStyle w:val="TableParagraph"/>
              <w:spacing w:line="273" w:lineRule="auto" w:before="109"/>
              <w:ind w:left="95" w:right="198"/>
              <w:rPr>
                <w:sz w:val="21"/>
              </w:rPr>
            </w:pPr>
            <w:r>
              <w:rPr>
                <w:sz w:val="21"/>
              </w:rPr>
              <w:t>被保险人因疾病或意外已实施全麻下的开颅手术</w:t>
            </w:r>
            <w:r>
              <w:rPr>
                <w:spacing w:val="2"/>
                <w:sz w:val="21"/>
              </w:rPr>
              <w:t>（</w:t>
            </w:r>
            <w:r>
              <w:rPr>
                <w:sz w:val="21"/>
              </w:rPr>
              <w:t>不包括颅骨钻孔手术和</w:t>
            </w:r>
            <w:r>
              <w:rPr>
                <w:spacing w:val="-1"/>
                <w:sz w:val="21"/>
              </w:rPr>
              <w:t>经鼻蝶窦入颅手术</w:t>
            </w:r>
            <w:r>
              <w:rPr>
                <w:spacing w:val="-106"/>
                <w:sz w:val="21"/>
              </w:rPr>
              <w:t>）</w:t>
            </w:r>
            <w:r>
              <w:rPr>
                <w:sz w:val="21"/>
              </w:rPr>
              <w:t>。</w:t>
            </w:r>
          </w:p>
          <w:p>
            <w:pPr>
              <w:pStyle w:val="TableParagraph"/>
              <w:spacing w:before="7"/>
              <w:ind w:left="95"/>
              <w:rPr>
                <w:sz w:val="21"/>
              </w:rPr>
            </w:pPr>
            <w:r>
              <w:rPr>
                <w:sz w:val="21"/>
              </w:rPr>
              <w:t>理赔时必须提供由专科医生出具的诊断书及手术证明。</w:t>
            </w:r>
          </w:p>
          <w:p>
            <w:pPr>
              <w:pStyle w:val="TableParagraph"/>
              <w:spacing w:line="310" w:lineRule="atLeast" w:before="2"/>
              <w:ind w:left="95" w:right="198"/>
              <w:rPr>
                <w:sz w:val="21"/>
              </w:rPr>
            </w:pPr>
            <w:r>
              <w:rPr>
                <w:sz w:val="21"/>
                <w:shd w:fill="DADADA" w:color="auto" w:val="clear"/>
              </w:rPr>
              <w:t>因脑垂体瘤、脑囊肿、脑动脉瘤及脑血管瘤而进行的开颅手术不在保障范</w:t>
            </w:r>
            <w:r>
              <w:rPr>
                <w:spacing w:val="-211"/>
                <w:sz w:val="21"/>
                <w:shd w:fill="DADADA" w:color="auto" w:val="clear"/>
              </w:rPr>
              <w:t>围</w:t>
            </w:r>
            <w:r>
              <w:rPr>
                <w:sz w:val="21"/>
                <w:shd w:fill="DADADA" w:color="auto" w:val="clear"/>
              </w:rPr>
              <w:t>内。</w:t>
            </w:r>
          </w:p>
        </w:tc>
      </w:tr>
    </w:tbl>
    <w:p>
      <w:pPr>
        <w:spacing w:after="0" w:line="310" w:lineRule="atLeast"/>
        <w:rPr>
          <w:sz w:val="21"/>
        </w:rPr>
        <w:sectPr>
          <w:pgSz w:w="11910" w:h="16840"/>
          <w:pgMar w:top="1160" w:bottom="280" w:left="880" w:right="7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1"/>
        <w:gridCol w:w="2407"/>
        <w:gridCol w:w="7102"/>
      </w:tblGrid>
      <w:tr>
        <w:trPr>
          <w:trHeight w:val="2256" w:hRule="atLeast"/>
        </w:trPr>
        <w:tc>
          <w:tcPr>
            <w:tcW w:w="601" w:type="dxa"/>
          </w:tcPr>
          <w:p>
            <w:pPr>
              <w:pStyle w:val="TableParagraph"/>
              <w:spacing w:line="231" w:lineRule="exact"/>
              <w:ind w:left="179" w:right="169"/>
              <w:jc w:val="center"/>
              <w:rPr>
                <w:b/>
                <w:sz w:val="21"/>
              </w:rPr>
            </w:pPr>
            <w:r>
              <w:rPr>
                <w:b/>
                <w:sz w:val="21"/>
              </w:rPr>
              <w:t>57</w:t>
            </w:r>
          </w:p>
        </w:tc>
        <w:tc>
          <w:tcPr>
            <w:tcW w:w="2407" w:type="dxa"/>
          </w:tcPr>
          <w:p>
            <w:pPr>
              <w:pStyle w:val="TableParagraph"/>
              <w:spacing w:line="245" w:lineRule="exact"/>
              <w:ind w:left="189"/>
              <w:rPr>
                <w:rFonts w:ascii="等线" w:eastAsia="等线" w:hint="eastAsia"/>
                <w:b/>
                <w:sz w:val="24"/>
              </w:rPr>
            </w:pPr>
            <w:r>
              <w:rPr>
                <w:rFonts w:ascii="等线" w:eastAsia="等线" w:hint="eastAsia"/>
                <w:b/>
                <w:sz w:val="24"/>
              </w:rPr>
              <w:t>亚急性硬化性全脑</w:t>
            </w:r>
          </w:p>
          <w:p>
            <w:pPr>
              <w:pStyle w:val="TableParagraph"/>
              <w:spacing w:line="324" w:lineRule="exact"/>
              <w:ind w:left="189"/>
              <w:rPr>
                <w:rFonts w:ascii="等线" w:eastAsia="等线" w:hint="eastAsia"/>
                <w:b/>
                <w:sz w:val="24"/>
              </w:rPr>
            </w:pPr>
            <w:r>
              <w:rPr>
                <w:rFonts w:ascii="等线" w:eastAsia="等线" w:hint="eastAsia"/>
                <w:b/>
                <w:sz w:val="24"/>
              </w:rPr>
              <w:t>炎</w:t>
            </w:r>
          </w:p>
        </w:tc>
        <w:tc>
          <w:tcPr>
            <w:tcW w:w="7102" w:type="dxa"/>
          </w:tcPr>
          <w:p>
            <w:pPr>
              <w:pStyle w:val="TableParagraph"/>
              <w:spacing w:line="231" w:lineRule="exact"/>
              <w:ind w:left="95"/>
              <w:rPr>
                <w:sz w:val="21"/>
              </w:rPr>
            </w:pPr>
            <w:r>
              <w:rPr>
                <w:sz w:val="21"/>
              </w:rPr>
              <w:t>是麻疹或麻疹样病毒所致的一种中枢神经系统慢性感染。中枢神经系统呈</w:t>
            </w:r>
          </w:p>
          <w:p>
            <w:pPr>
              <w:pStyle w:val="TableParagraph"/>
              <w:spacing w:line="273" w:lineRule="auto" w:before="37"/>
              <w:ind w:left="95" w:right="202"/>
              <w:rPr>
                <w:sz w:val="21"/>
              </w:rPr>
            </w:pPr>
            <w:r>
              <w:rPr>
                <w:sz w:val="21"/>
              </w:rPr>
              <w:t>现灰质和白质破坏为特征的慢性和急性混合存在的炎症。必须满足以下所有条件：</w:t>
            </w:r>
          </w:p>
          <w:p>
            <w:pPr>
              <w:pStyle w:val="TableParagraph"/>
              <w:spacing w:line="273" w:lineRule="auto" w:before="7"/>
              <w:ind w:left="619" w:right="202" w:hanging="524"/>
              <w:rPr>
                <w:sz w:val="21"/>
              </w:rPr>
            </w:pPr>
            <w:r>
              <w:rPr>
                <w:spacing w:val="-10"/>
                <w:sz w:val="21"/>
              </w:rPr>
              <w:t>（1）</w:t>
            </w:r>
            <w:r>
              <w:rPr>
                <w:spacing w:val="-7"/>
                <w:sz w:val="21"/>
              </w:rPr>
              <w:t>脑电图存在周期性复合波、脑脊液 </w:t>
            </w:r>
            <w:r>
              <w:rPr>
                <w:spacing w:val="-3"/>
                <w:sz w:val="21"/>
              </w:rPr>
              <w:t>r</w:t>
            </w:r>
            <w:r>
              <w:rPr>
                <w:spacing w:val="-7"/>
                <w:sz w:val="21"/>
              </w:rPr>
              <w:t>-球蛋白升高、脑脊液和血清中麻</w:t>
            </w:r>
            <w:r>
              <w:rPr>
                <w:spacing w:val="-6"/>
                <w:sz w:val="21"/>
              </w:rPr>
              <w:t>疹抗体滴定度升高；</w:t>
            </w:r>
          </w:p>
          <w:p>
            <w:pPr>
              <w:pStyle w:val="TableParagraph"/>
              <w:spacing w:line="273" w:lineRule="auto" w:before="7"/>
              <w:ind w:left="619" w:right="174" w:hanging="524"/>
              <w:rPr>
                <w:sz w:val="21"/>
              </w:rPr>
            </w:pPr>
            <w:r>
              <w:rPr>
                <w:sz w:val="21"/>
              </w:rPr>
              <w:t>（2）被保险人出现运动障碍，自主生活能力完全丧失，无法独立完成六项基本日常生活活动中的三项或三项以上。</w:t>
            </w:r>
          </w:p>
        </w:tc>
      </w:tr>
      <w:tr>
        <w:trPr>
          <w:trHeight w:val="1166" w:hRule="atLeast"/>
        </w:trPr>
        <w:tc>
          <w:tcPr>
            <w:tcW w:w="601" w:type="dxa"/>
          </w:tcPr>
          <w:p>
            <w:pPr>
              <w:pStyle w:val="TableParagraph"/>
              <w:spacing w:before="90"/>
              <w:ind w:left="179" w:right="169"/>
              <w:jc w:val="center"/>
              <w:rPr>
                <w:b/>
                <w:sz w:val="21"/>
              </w:rPr>
            </w:pPr>
            <w:r>
              <w:rPr>
                <w:b/>
                <w:sz w:val="21"/>
              </w:rPr>
              <w:t>58</w:t>
            </w:r>
          </w:p>
        </w:tc>
        <w:tc>
          <w:tcPr>
            <w:tcW w:w="2407" w:type="dxa"/>
          </w:tcPr>
          <w:p>
            <w:pPr>
              <w:pStyle w:val="TableParagraph"/>
              <w:spacing w:before="78"/>
              <w:ind w:left="189"/>
              <w:rPr>
                <w:rFonts w:ascii="等线" w:eastAsia="等线" w:hint="eastAsia"/>
                <w:b/>
                <w:sz w:val="24"/>
              </w:rPr>
            </w:pPr>
            <w:r>
              <w:rPr>
                <w:rFonts w:ascii="等线" w:eastAsia="等线" w:hint="eastAsia"/>
                <w:b/>
                <w:sz w:val="24"/>
              </w:rPr>
              <w:t>克雅氏病</w:t>
            </w:r>
          </w:p>
        </w:tc>
        <w:tc>
          <w:tcPr>
            <w:tcW w:w="7102" w:type="dxa"/>
          </w:tcPr>
          <w:p>
            <w:pPr>
              <w:pStyle w:val="TableParagraph"/>
              <w:spacing w:line="273" w:lineRule="auto" w:before="114"/>
              <w:ind w:left="95" w:right="202"/>
              <w:jc w:val="both"/>
              <w:rPr>
                <w:sz w:val="21"/>
              </w:rPr>
            </w:pPr>
            <w:r>
              <w:rPr>
                <w:sz w:val="21"/>
              </w:rPr>
              <w:t>指一种不可治愈的脑部感染，导致急剧而渐进性的智力功能与活动衰退。须由专科医生根据临床测试、脑电图和影像结果作出诊断，并发现被保险人出现神经系统异常及严重的渐进性痴呆。</w:t>
            </w:r>
          </w:p>
        </w:tc>
      </w:tr>
      <w:tr>
        <w:trPr>
          <w:trHeight w:val="3345" w:hRule="atLeast"/>
        </w:trPr>
        <w:tc>
          <w:tcPr>
            <w:tcW w:w="601" w:type="dxa"/>
          </w:tcPr>
          <w:p>
            <w:pPr>
              <w:pStyle w:val="TableParagraph"/>
              <w:spacing w:before="109"/>
              <w:ind w:left="179" w:right="169"/>
              <w:jc w:val="center"/>
              <w:rPr>
                <w:b/>
                <w:sz w:val="21"/>
              </w:rPr>
            </w:pPr>
            <w:r>
              <w:rPr>
                <w:b/>
                <w:sz w:val="21"/>
              </w:rPr>
              <w:t>59</w:t>
            </w:r>
          </w:p>
        </w:tc>
        <w:tc>
          <w:tcPr>
            <w:tcW w:w="2407" w:type="dxa"/>
          </w:tcPr>
          <w:p>
            <w:pPr>
              <w:pStyle w:val="TableParagraph"/>
              <w:spacing w:before="73"/>
              <w:ind w:left="189"/>
              <w:rPr>
                <w:rFonts w:ascii="等线" w:eastAsia="等线" w:hint="eastAsia"/>
                <w:b/>
                <w:sz w:val="24"/>
              </w:rPr>
            </w:pPr>
            <w:r>
              <w:rPr>
                <w:rFonts w:ascii="等线" w:eastAsia="等线" w:hint="eastAsia"/>
                <w:b/>
                <w:sz w:val="24"/>
              </w:rPr>
              <w:t>丧失一眼及一肢</w:t>
            </w:r>
          </w:p>
        </w:tc>
        <w:tc>
          <w:tcPr>
            <w:tcW w:w="7102" w:type="dxa"/>
          </w:tcPr>
          <w:p>
            <w:pPr>
              <w:pStyle w:val="TableParagraph"/>
              <w:spacing w:before="109"/>
              <w:ind w:left="95"/>
              <w:rPr>
                <w:sz w:val="21"/>
              </w:rPr>
            </w:pPr>
            <w:r>
              <w:rPr>
                <w:sz w:val="21"/>
              </w:rPr>
              <w:t>指因疾病或意外伤害导致单眼视力丧失及单肢肢体机能完全丧失。</w:t>
            </w:r>
          </w:p>
          <w:p>
            <w:pPr>
              <w:pStyle w:val="TableParagraph"/>
              <w:spacing w:line="273" w:lineRule="auto" w:before="36"/>
              <w:ind w:left="95" w:right="202"/>
              <w:rPr>
                <w:sz w:val="21"/>
              </w:rPr>
            </w:pPr>
            <w:r>
              <w:rPr>
                <w:sz w:val="21"/>
              </w:rPr>
              <w:t>单眼视力丧失指单眼视力永久不可逆性丧失，患眼须满足下列至少一项条件：</w:t>
            </w:r>
          </w:p>
          <w:p>
            <w:pPr>
              <w:pStyle w:val="TableParagraph"/>
              <w:spacing w:before="7"/>
              <w:ind w:left="95"/>
              <w:rPr>
                <w:sz w:val="21"/>
              </w:rPr>
            </w:pPr>
            <w:r>
              <w:rPr>
                <w:sz w:val="21"/>
              </w:rPr>
              <w:t>（1）眼球缺失或摘除；</w:t>
            </w:r>
          </w:p>
          <w:p>
            <w:pPr>
              <w:pStyle w:val="TableParagraph"/>
              <w:spacing w:line="273" w:lineRule="auto" w:before="37"/>
              <w:ind w:left="619" w:right="202" w:hanging="524"/>
              <w:rPr>
                <w:sz w:val="21"/>
              </w:rPr>
            </w:pPr>
            <w:r>
              <w:rPr>
                <w:spacing w:val="-10"/>
                <w:sz w:val="21"/>
              </w:rPr>
              <w:t>（2）</w:t>
            </w:r>
            <w:r>
              <w:rPr>
                <w:spacing w:val="-5"/>
                <w:sz w:val="21"/>
              </w:rPr>
              <w:t>矫正视力低于 </w:t>
            </w:r>
            <w:r>
              <w:rPr>
                <w:spacing w:val="-7"/>
                <w:sz w:val="21"/>
              </w:rPr>
              <w:t>0.02（</w:t>
            </w:r>
            <w:r>
              <w:rPr>
                <w:spacing w:val="-6"/>
                <w:sz w:val="21"/>
              </w:rPr>
              <w:t>采用国际标准视力表，如果使用其它视力表应进</w:t>
            </w:r>
            <w:r>
              <w:rPr>
                <w:spacing w:val="-6"/>
                <w:w w:val="100"/>
                <w:sz w:val="21"/>
              </w:rPr>
              <w:t>行换算</w:t>
            </w:r>
            <w:r>
              <w:rPr>
                <w:spacing w:val="-106"/>
                <w:w w:val="100"/>
                <w:sz w:val="21"/>
              </w:rPr>
              <w:t>）</w:t>
            </w:r>
            <w:r>
              <w:rPr>
                <w:w w:val="100"/>
                <w:sz w:val="21"/>
              </w:rPr>
              <w:t>；</w:t>
            </w:r>
          </w:p>
          <w:p>
            <w:pPr>
              <w:pStyle w:val="TableParagraph"/>
              <w:spacing w:before="7"/>
              <w:ind w:left="96"/>
              <w:rPr>
                <w:sz w:val="21"/>
              </w:rPr>
            </w:pPr>
            <w:r>
              <w:rPr>
                <w:sz w:val="21"/>
              </w:rPr>
              <w:t>（3）视野半径小于 5 度。</w:t>
            </w:r>
          </w:p>
          <w:p>
            <w:pPr>
              <w:pStyle w:val="TableParagraph"/>
              <w:spacing w:before="36"/>
              <w:ind w:left="95"/>
              <w:rPr>
                <w:sz w:val="21"/>
              </w:rPr>
            </w:pPr>
            <w:r>
              <w:rPr>
                <w:sz w:val="21"/>
              </w:rPr>
              <w:t>单肢肢体机能完全丧失，须满足下列至少一项条件：</w:t>
            </w:r>
          </w:p>
          <w:p>
            <w:pPr>
              <w:pStyle w:val="TableParagraph"/>
              <w:spacing w:before="36"/>
              <w:ind w:left="95"/>
              <w:rPr>
                <w:sz w:val="21"/>
              </w:rPr>
            </w:pPr>
            <w:r>
              <w:rPr>
                <w:sz w:val="21"/>
              </w:rPr>
              <w:t>（1）任何一肢自腕关节或踝关节近端（靠近躯干端）以上完全性断离；</w:t>
            </w:r>
          </w:p>
          <w:p>
            <w:pPr>
              <w:pStyle w:val="TableParagraph"/>
              <w:spacing w:before="36"/>
              <w:ind w:left="95"/>
              <w:rPr>
                <w:sz w:val="21"/>
              </w:rPr>
            </w:pPr>
            <w:r>
              <w:rPr>
                <w:sz w:val="21"/>
              </w:rPr>
              <w:t>（2）任何一肢肢体机能完全丧失。</w:t>
            </w:r>
          </w:p>
        </w:tc>
      </w:tr>
      <w:tr>
        <w:trPr>
          <w:trHeight w:val="868" w:hRule="atLeast"/>
        </w:trPr>
        <w:tc>
          <w:tcPr>
            <w:tcW w:w="601" w:type="dxa"/>
          </w:tcPr>
          <w:p>
            <w:pPr>
              <w:pStyle w:val="TableParagraph"/>
              <w:spacing w:before="109"/>
              <w:ind w:left="179" w:right="169"/>
              <w:jc w:val="center"/>
              <w:rPr>
                <w:b/>
                <w:sz w:val="21"/>
              </w:rPr>
            </w:pPr>
            <w:r>
              <w:rPr>
                <w:b/>
                <w:sz w:val="21"/>
              </w:rPr>
              <w:t>60</w:t>
            </w:r>
          </w:p>
        </w:tc>
        <w:tc>
          <w:tcPr>
            <w:tcW w:w="2407" w:type="dxa"/>
          </w:tcPr>
          <w:p>
            <w:pPr>
              <w:pStyle w:val="TableParagraph"/>
              <w:spacing w:line="232" w:lineRule="auto" w:before="83"/>
              <w:ind w:left="189" w:right="95"/>
              <w:rPr>
                <w:rFonts w:ascii="等线" w:eastAsia="等线" w:hint="eastAsia"/>
                <w:b/>
                <w:sz w:val="21"/>
              </w:rPr>
            </w:pPr>
            <w:r>
              <w:rPr>
                <w:rFonts w:ascii="等线" w:eastAsia="等线" w:hint="eastAsia"/>
                <w:b/>
                <w:sz w:val="24"/>
              </w:rPr>
              <w:t>进行性多灶性白质脑</w:t>
            </w:r>
            <w:r>
              <w:rPr>
                <w:rFonts w:ascii="等线" w:eastAsia="等线" w:hint="eastAsia"/>
                <w:b/>
                <w:sz w:val="21"/>
              </w:rPr>
              <w:t>病</w:t>
            </w:r>
          </w:p>
        </w:tc>
        <w:tc>
          <w:tcPr>
            <w:tcW w:w="7102" w:type="dxa"/>
          </w:tcPr>
          <w:p>
            <w:pPr>
              <w:pStyle w:val="TableParagraph"/>
              <w:spacing w:line="273" w:lineRule="auto" w:before="109"/>
              <w:ind w:left="96" w:right="202"/>
              <w:rPr>
                <w:sz w:val="21"/>
              </w:rPr>
            </w:pPr>
            <w:r>
              <w:rPr>
                <w:sz w:val="21"/>
              </w:rPr>
              <w:t>是一种亚急性脱髓鞘性脑病，常常发现于免疫缺陷的病人。必须由神经科专科医生根据脑组织活检确诊。</w:t>
            </w:r>
          </w:p>
        </w:tc>
      </w:tr>
      <w:tr>
        <w:trPr>
          <w:trHeight w:val="1467" w:hRule="atLeast"/>
        </w:trPr>
        <w:tc>
          <w:tcPr>
            <w:tcW w:w="601" w:type="dxa"/>
          </w:tcPr>
          <w:p>
            <w:pPr>
              <w:pStyle w:val="TableParagraph"/>
              <w:spacing w:before="105"/>
              <w:ind w:left="179" w:right="169"/>
              <w:jc w:val="center"/>
              <w:rPr>
                <w:b/>
                <w:sz w:val="21"/>
              </w:rPr>
            </w:pPr>
            <w:r>
              <w:rPr>
                <w:b/>
                <w:sz w:val="21"/>
              </w:rPr>
              <w:t>61</w:t>
            </w:r>
          </w:p>
        </w:tc>
        <w:tc>
          <w:tcPr>
            <w:tcW w:w="2407" w:type="dxa"/>
          </w:tcPr>
          <w:p>
            <w:pPr>
              <w:pStyle w:val="TableParagraph"/>
              <w:spacing w:line="232" w:lineRule="auto" w:before="79"/>
              <w:ind w:left="189" w:right="95"/>
              <w:rPr>
                <w:rFonts w:ascii="等线" w:eastAsia="等线" w:hint="eastAsia"/>
                <w:b/>
                <w:sz w:val="24"/>
              </w:rPr>
            </w:pPr>
            <w:r>
              <w:rPr>
                <w:rFonts w:ascii="等线" w:eastAsia="等线" w:hint="eastAsia"/>
                <w:b/>
                <w:sz w:val="24"/>
              </w:rPr>
              <w:t>破裂脑动脉瘤夹闭手术</w:t>
            </w:r>
          </w:p>
        </w:tc>
        <w:tc>
          <w:tcPr>
            <w:tcW w:w="7102" w:type="dxa"/>
          </w:tcPr>
          <w:p>
            <w:pPr>
              <w:pStyle w:val="TableParagraph"/>
              <w:spacing w:line="273" w:lineRule="auto" w:before="105"/>
              <w:ind w:left="95" w:right="202"/>
              <w:rPr>
                <w:sz w:val="21"/>
              </w:rPr>
            </w:pPr>
            <w:r>
              <w:rPr>
                <w:sz w:val="21"/>
              </w:rPr>
              <w:t>指因脑动脉瘤破裂造成蛛网膜下腔出血，被保险人已经实施了在全麻下进行的开颅动脉瘤夹闭手术。</w:t>
            </w:r>
          </w:p>
          <w:p>
            <w:pPr>
              <w:pStyle w:val="TableParagraph"/>
              <w:spacing w:line="273" w:lineRule="auto" w:before="7"/>
              <w:ind w:left="95" w:right="202"/>
              <w:rPr>
                <w:sz w:val="21"/>
              </w:rPr>
            </w:pPr>
            <w:r>
              <w:rPr>
                <w:sz w:val="21"/>
                <w:shd w:fill="DADADA" w:color="auto" w:val="clear"/>
              </w:rPr>
              <w:t>脑动脉瘤（未破裂）预防性手术、颅骨打孔手术、动脉瘤栓塞手术、血管内手术及</w:t>
            </w:r>
            <w:r>
              <w:rPr>
                <w:spacing w:val="-211"/>
                <w:sz w:val="21"/>
                <w:shd w:fill="DADADA" w:color="auto" w:val="clear"/>
              </w:rPr>
              <w:t>其</w:t>
            </w:r>
            <w:r>
              <w:rPr>
                <w:spacing w:val="-4"/>
                <w:sz w:val="21"/>
                <w:shd w:fill="DADADA" w:color="auto" w:val="clear"/>
              </w:rPr>
              <w:t>他颅脑手术不在本保障范围内。</w:t>
            </w:r>
          </w:p>
        </w:tc>
      </w:tr>
      <w:tr>
        <w:trPr>
          <w:trHeight w:val="2421" w:hRule="atLeast"/>
        </w:trPr>
        <w:tc>
          <w:tcPr>
            <w:tcW w:w="601" w:type="dxa"/>
          </w:tcPr>
          <w:p>
            <w:pPr>
              <w:pStyle w:val="TableParagraph"/>
              <w:spacing w:before="87"/>
              <w:ind w:left="179" w:right="169"/>
              <w:jc w:val="center"/>
              <w:rPr>
                <w:b/>
                <w:sz w:val="21"/>
              </w:rPr>
            </w:pPr>
            <w:r>
              <w:rPr>
                <w:b/>
                <w:sz w:val="21"/>
              </w:rPr>
              <w:t>62</w:t>
            </w:r>
          </w:p>
        </w:tc>
        <w:tc>
          <w:tcPr>
            <w:tcW w:w="2407" w:type="dxa"/>
          </w:tcPr>
          <w:p>
            <w:pPr>
              <w:pStyle w:val="TableParagraph"/>
              <w:spacing w:before="75"/>
              <w:ind w:left="189"/>
              <w:rPr>
                <w:rFonts w:ascii="等线" w:eastAsia="等线" w:hint="eastAsia"/>
                <w:b/>
                <w:sz w:val="24"/>
              </w:rPr>
            </w:pPr>
            <w:r>
              <w:rPr>
                <w:rFonts w:ascii="等线" w:eastAsia="等线" w:hint="eastAsia"/>
                <w:b/>
                <w:sz w:val="24"/>
              </w:rPr>
              <w:t>脊髓小脑变性症</w:t>
            </w:r>
          </w:p>
        </w:tc>
        <w:tc>
          <w:tcPr>
            <w:tcW w:w="7102" w:type="dxa"/>
          </w:tcPr>
          <w:p>
            <w:pPr>
              <w:pStyle w:val="TableParagraph"/>
              <w:spacing w:line="273" w:lineRule="auto" w:before="111"/>
              <w:ind w:left="95" w:right="202"/>
              <w:rPr>
                <w:sz w:val="21"/>
              </w:rPr>
            </w:pPr>
            <w:r>
              <w:rPr>
                <w:sz w:val="21"/>
              </w:rPr>
              <w:t>脊髓小脑变性症为一组以小脑萎缩和共济失调为主要临床特点的疾病。必须符合所有以下条件：</w:t>
            </w:r>
          </w:p>
          <w:p>
            <w:pPr>
              <w:pStyle w:val="TableParagraph"/>
              <w:spacing w:before="7"/>
              <w:ind w:left="96"/>
              <w:rPr>
                <w:sz w:val="21"/>
              </w:rPr>
            </w:pPr>
            <w:r>
              <w:rPr>
                <w:sz w:val="21"/>
              </w:rPr>
              <w:t>（1）脊髓小脑变性症必须由医院诊断，并有以下证据支持：</w:t>
            </w:r>
          </w:p>
          <w:p>
            <w:pPr>
              <w:pStyle w:val="TableParagraph"/>
              <w:spacing w:before="37"/>
              <w:ind w:left="307"/>
              <w:rPr>
                <w:sz w:val="21"/>
              </w:rPr>
            </w:pPr>
            <w:r>
              <w:rPr>
                <w:sz w:val="21"/>
              </w:rPr>
              <w:t>① 影像学检查证实存在小脑萎缩；</w:t>
            </w:r>
          </w:p>
          <w:p>
            <w:pPr>
              <w:pStyle w:val="TableParagraph"/>
              <w:spacing w:before="37"/>
              <w:ind w:left="307"/>
              <w:rPr>
                <w:sz w:val="21"/>
              </w:rPr>
            </w:pPr>
            <w:r>
              <w:rPr>
                <w:sz w:val="21"/>
              </w:rPr>
              <w:t>② 临床表现存在共济失调、语言障碍和肌张力异常。</w:t>
            </w:r>
          </w:p>
          <w:p>
            <w:pPr>
              <w:pStyle w:val="TableParagraph"/>
              <w:spacing w:line="273" w:lineRule="auto" w:before="37"/>
              <w:ind w:left="619" w:right="174" w:hanging="524"/>
              <w:rPr>
                <w:sz w:val="21"/>
              </w:rPr>
            </w:pPr>
            <w:r>
              <w:rPr>
                <w:sz w:val="21"/>
              </w:rPr>
              <w:t>（2）被保险人运动功能严重障碍，自主生活能力完全丧失，无法独立完成六项基本日常生活活动中的三项或三项以上。</w:t>
            </w:r>
          </w:p>
        </w:tc>
      </w:tr>
      <w:tr>
        <w:trPr>
          <w:trHeight w:val="530" w:hRule="atLeast"/>
        </w:trPr>
        <w:tc>
          <w:tcPr>
            <w:tcW w:w="601" w:type="dxa"/>
          </w:tcPr>
          <w:p>
            <w:pPr>
              <w:pStyle w:val="TableParagraph"/>
              <w:rPr>
                <w:rFonts w:ascii="Times New Roman"/>
                <w:sz w:val="20"/>
              </w:rPr>
            </w:pPr>
          </w:p>
        </w:tc>
        <w:tc>
          <w:tcPr>
            <w:tcW w:w="2407" w:type="dxa"/>
          </w:tcPr>
          <w:p>
            <w:pPr>
              <w:pStyle w:val="TableParagraph"/>
              <w:spacing w:before="99"/>
              <w:ind w:left="189"/>
              <w:rPr>
                <w:b/>
                <w:sz w:val="21"/>
              </w:rPr>
            </w:pPr>
            <w:r>
              <w:rPr>
                <w:b/>
                <w:sz w:val="21"/>
              </w:rPr>
              <w:t>第 5 类：</w:t>
            </w:r>
          </w:p>
        </w:tc>
        <w:tc>
          <w:tcPr>
            <w:tcW w:w="7102" w:type="dxa"/>
          </w:tcPr>
          <w:p>
            <w:pPr>
              <w:pStyle w:val="TableParagraph"/>
              <w:spacing w:before="99"/>
              <w:ind w:left="95"/>
              <w:rPr>
                <w:b/>
                <w:sz w:val="21"/>
              </w:rPr>
            </w:pPr>
            <w:r>
              <w:rPr>
                <w:b/>
                <w:sz w:val="21"/>
              </w:rPr>
              <w:t>其他重大疾病</w:t>
            </w:r>
          </w:p>
        </w:tc>
      </w:tr>
      <w:tr>
        <w:trPr>
          <w:trHeight w:val="851" w:hRule="atLeast"/>
        </w:trPr>
        <w:tc>
          <w:tcPr>
            <w:tcW w:w="601" w:type="dxa"/>
          </w:tcPr>
          <w:p>
            <w:pPr>
              <w:pStyle w:val="TableParagraph"/>
              <w:spacing w:before="112"/>
              <w:ind w:left="179" w:right="169"/>
              <w:jc w:val="center"/>
              <w:rPr>
                <w:b/>
                <w:sz w:val="21"/>
              </w:rPr>
            </w:pPr>
            <w:r>
              <w:rPr>
                <w:b/>
                <w:sz w:val="21"/>
              </w:rPr>
              <w:t>63</w:t>
            </w:r>
          </w:p>
        </w:tc>
        <w:tc>
          <w:tcPr>
            <w:tcW w:w="2407" w:type="dxa"/>
          </w:tcPr>
          <w:p>
            <w:pPr>
              <w:pStyle w:val="TableParagraph"/>
              <w:spacing w:before="76"/>
              <w:ind w:left="189"/>
              <w:rPr>
                <w:rFonts w:ascii="等线" w:eastAsia="等线" w:hint="eastAsia"/>
                <w:b/>
                <w:sz w:val="24"/>
              </w:rPr>
            </w:pPr>
            <w:r>
              <w:rPr>
                <w:rFonts w:ascii="等线" w:eastAsia="等线" w:hint="eastAsia"/>
                <w:b/>
                <w:sz w:val="24"/>
              </w:rPr>
              <w:t>多个肢体缺失</w:t>
            </w:r>
          </w:p>
        </w:tc>
        <w:tc>
          <w:tcPr>
            <w:tcW w:w="7102" w:type="dxa"/>
          </w:tcPr>
          <w:p>
            <w:pPr>
              <w:pStyle w:val="TableParagraph"/>
              <w:spacing w:line="273" w:lineRule="auto" w:before="112"/>
              <w:ind w:left="95" w:right="202"/>
              <w:rPr>
                <w:sz w:val="21"/>
              </w:rPr>
            </w:pPr>
            <w:r>
              <w:rPr>
                <w:sz w:val="21"/>
              </w:rPr>
              <w:t>指因疾病或意外伤害导致两个或两个以上肢体自腕关节或踝关节近端（靠近躯干端）以上完全性断离。</w:t>
            </w:r>
          </w:p>
        </w:tc>
      </w:tr>
      <w:tr>
        <w:trPr>
          <w:trHeight w:val="1008" w:hRule="atLeast"/>
        </w:trPr>
        <w:tc>
          <w:tcPr>
            <w:tcW w:w="601" w:type="dxa"/>
          </w:tcPr>
          <w:p>
            <w:pPr>
              <w:pStyle w:val="TableParagraph"/>
              <w:spacing w:before="109"/>
              <w:ind w:left="179" w:right="169"/>
              <w:jc w:val="center"/>
              <w:rPr>
                <w:b/>
                <w:sz w:val="21"/>
              </w:rPr>
            </w:pPr>
            <w:r>
              <w:rPr>
                <w:b/>
                <w:sz w:val="21"/>
              </w:rPr>
              <w:t>64</w:t>
            </w:r>
          </w:p>
        </w:tc>
        <w:tc>
          <w:tcPr>
            <w:tcW w:w="2407" w:type="dxa"/>
          </w:tcPr>
          <w:p>
            <w:pPr>
              <w:pStyle w:val="TableParagraph"/>
              <w:spacing w:before="73"/>
              <w:ind w:left="189"/>
              <w:rPr>
                <w:rFonts w:ascii="等线" w:eastAsia="等线" w:hint="eastAsia"/>
                <w:b/>
                <w:sz w:val="24"/>
              </w:rPr>
            </w:pPr>
            <w:r>
              <w:rPr>
                <w:rFonts w:ascii="等线" w:eastAsia="等线" w:hint="eastAsia"/>
                <w:b/>
                <w:sz w:val="24"/>
              </w:rPr>
              <w:t>严重的 1 型糖尿病</w:t>
            </w:r>
          </w:p>
        </w:tc>
        <w:tc>
          <w:tcPr>
            <w:tcW w:w="7102" w:type="dxa"/>
          </w:tcPr>
          <w:p>
            <w:pPr>
              <w:pStyle w:val="TableParagraph"/>
              <w:spacing w:line="310" w:lineRule="atLeast" w:before="74"/>
              <w:ind w:left="95" w:right="197"/>
              <w:jc w:val="both"/>
              <w:rPr>
                <w:sz w:val="21"/>
              </w:rPr>
            </w:pPr>
            <w:r>
              <w:rPr>
                <w:sz w:val="21"/>
              </w:rPr>
              <w:t>指由于胰岛素分泌绝对不足引起的慢性血糖升高，且已经持续性地依赖外</w:t>
            </w:r>
            <w:r>
              <w:rPr>
                <w:spacing w:val="-5"/>
                <w:sz w:val="21"/>
              </w:rPr>
              <w:t>源性胰岛素维持 </w:t>
            </w:r>
            <w:r>
              <w:rPr>
                <w:sz w:val="21"/>
              </w:rPr>
              <w:t>180</w:t>
            </w:r>
            <w:r>
              <w:rPr>
                <w:spacing w:val="-9"/>
                <w:sz w:val="21"/>
              </w:rPr>
              <w:t> 日以上。须经血胰岛素测定、血 </w:t>
            </w:r>
            <w:r>
              <w:rPr>
                <w:sz w:val="21"/>
              </w:rPr>
              <w:t>C</w:t>
            </w:r>
            <w:r>
              <w:rPr>
                <w:spacing w:val="-14"/>
                <w:sz w:val="21"/>
              </w:rPr>
              <w:t> 肽测定或尿 </w:t>
            </w:r>
            <w:r>
              <w:rPr>
                <w:sz w:val="21"/>
              </w:rPr>
              <w:t>C</w:t>
            </w:r>
            <w:r>
              <w:rPr>
                <w:spacing w:val="-12"/>
                <w:sz w:val="21"/>
              </w:rPr>
              <w:t> 肽测</w:t>
            </w:r>
            <w:r>
              <w:rPr>
                <w:spacing w:val="-2"/>
                <w:sz w:val="21"/>
              </w:rPr>
              <w:t>定，结果异常，并由内分泌科专科医生明确诊断。并须在本主险合同保险</w:t>
            </w:r>
          </w:p>
        </w:tc>
      </w:tr>
    </w:tbl>
    <w:p>
      <w:pPr>
        <w:spacing w:after="0" w:line="310" w:lineRule="atLeast"/>
        <w:jc w:val="both"/>
        <w:rPr>
          <w:sz w:val="21"/>
        </w:rPr>
        <w:sectPr>
          <w:pgSz w:w="11910" w:h="16840"/>
          <w:pgMar w:top="1420" w:bottom="280" w:left="880" w:right="7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1"/>
        <w:gridCol w:w="2407"/>
        <w:gridCol w:w="7198"/>
      </w:tblGrid>
      <w:tr>
        <w:trPr>
          <w:trHeight w:val="1329" w:hRule="atLeast"/>
        </w:trPr>
        <w:tc>
          <w:tcPr>
            <w:tcW w:w="601" w:type="dxa"/>
          </w:tcPr>
          <w:p>
            <w:pPr>
              <w:pStyle w:val="TableParagraph"/>
              <w:rPr>
                <w:rFonts w:ascii="Times New Roman"/>
                <w:sz w:val="20"/>
              </w:rPr>
            </w:pPr>
          </w:p>
        </w:tc>
        <w:tc>
          <w:tcPr>
            <w:tcW w:w="2407" w:type="dxa"/>
          </w:tcPr>
          <w:p>
            <w:pPr>
              <w:pStyle w:val="TableParagraph"/>
              <w:rPr>
                <w:rFonts w:ascii="Times New Roman"/>
                <w:sz w:val="20"/>
              </w:rPr>
            </w:pPr>
          </w:p>
        </w:tc>
        <w:tc>
          <w:tcPr>
            <w:tcW w:w="7198" w:type="dxa"/>
          </w:tcPr>
          <w:p>
            <w:pPr>
              <w:pStyle w:val="TableParagraph"/>
              <w:spacing w:line="211" w:lineRule="exact"/>
              <w:ind w:left="95"/>
              <w:rPr>
                <w:sz w:val="21"/>
              </w:rPr>
            </w:pPr>
            <w:r>
              <w:rPr>
                <w:sz w:val="21"/>
              </w:rPr>
              <w:t>期间内，满足下列至少 1 个条件：</w:t>
            </w:r>
          </w:p>
          <w:p>
            <w:pPr>
              <w:pStyle w:val="TableParagraph"/>
              <w:spacing w:before="37"/>
              <w:ind w:left="96"/>
              <w:rPr>
                <w:sz w:val="21"/>
              </w:rPr>
            </w:pPr>
            <w:r>
              <w:rPr>
                <w:sz w:val="21"/>
              </w:rPr>
              <w:t>（1）已出现增殖性视网膜病变；</w:t>
            </w:r>
          </w:p>
          <w:p>
            <w:pPr>
              <w:pStyle w:val="TableParagraph"/>
              <w:spacing w:before="37"/>
              <w:ind w:left="96"/>
              <w:rPr>
                <w:sz w:val="21"/>
              </w:rPr>
            </w:pPr>
            <w:r>
              <w:rPr>
                <w:sz w:val="21"/>
              </w:rPr>
              <w:t>（2）须植入心脏起搏器治疗心脏病；</w:t>
            </w:r>
          </w:p>
          <w:p>
            <w:pPr>
              <w:pStyle w:val="TableParagraph"/>
              <w:spacing w:before="37"/>
              <w:ind w:left="96"/>
              <w:rPr>
                <w:sz w:val="21"/>
              </w:rPr>
            </w:pPr>
            <w:r>
              <w:rPr>
                <w:sz w:val="21"/>
              </w:rPr>
              <w:t>（3）因坏疽需切除至少一个脚趾。</w:t>
            </w:r>
          </w:p>
        </w:tc>
      </w:tr>
      <w:tr>
        <w:trPr>
          <w:trHeight w:val="895" w:hRule="atLeast"/>
        </w:trPr>
        <w:tc>
          <w:tcPr>
            <w:tcW w:w="601" w:type="dxa"/>
          </w:tcPr>
          <w:p>
            <w:pPr>
              <w:pStyle w:val="TableParagraph"/>
              <w:spacing w:before="138"/>
              <w:ind w:left="179" w:right="169"/>
              <w:jc w:val="center"/>
              <w:rPr>
                <w:b/>
                <w:sz w:val="21"/>
              </w:rPr>
            </w:pPr>
            <w:r>
              <w:rPr>
                <w:b/>
                <w:sz w:val="21"/>
              </w:rPr>
              <w:t>65</w:t>
            </w:r>
          </w:p>
        </w:tc>
        <w:tc>
          <w:tcPr>
            <w:tcW w:w="2407" w:type="dxa"/>
          </w:tcPr>
          <w:p>
            <w:pPr>
              <w:pStyle w:val="TableParagraph"/>
              <w:spacing w:before="102"/>
              <w:ind w:left="189"/>
              <w:rPr>
                <w:rFonts w:ascii="等线" w:hAnsi="等线" w:eastAsia="等线" w:hint="eastAsia"/>
                <w:b/>
                <w:sz w:val="24"/>
              </w:rPr>
            </w:pPr>
            <w:r>
              <w:rPr>
                <w:rFonts w:ascii="等线" w:hAnsi="等线" w:eastAsia="等线" w:hint="eastAsia"/>
                <w:b/>
                <w:sz w:val="24"/>
              </w:rPr>
              <w:t>严重Ⅲ度烧伤</w:t>
            </w:r>
          </w:p>
        </w:tc>
        <w:tc>
          <w:tcPr>
            <w:tcW w:w="7198" w:type="dxa"/>
          </w:tcPr>
          <w:p>
            <w:pPr>
              <w:pStyle w:val="TableParagraph"/>
              <w:spacing w:line="273" w:lineRule="auto" w:before="138"/>
              <w:ind w:left="95" w:right="197"/>
              <w:rPr>
                <w:sz w:val="21"/>
              </w:rPr>
            </w:pPr>
            <w:r>
              <w:rPr>
                <w:spacing w:val="-13"/>
                <w:sz w:val="21"/>
              </w:rPr>
              <w:t>指烧伤程度为Ⅲ度，且Ⅲ度烧伤的面积达到全身体表面积的 </w:t>
            </w:r>
            <w:r>
              <w:rPr>
                <w:sz w:val="21"/>
              </w:rPr>
              <w:t>20</w:t>
            </w:r>
            <w:r>
              <w:rPr>
                <w:spacing w:val="-18"/>
                <w:sz w:val="21"/>
              </w:rPr>
              <w:t>%或 </w:t>
            </w:r>
            <w:r>
              <w:rPr>
                <w:sz w:val="21"/>
              </w:rPr>
              <w:t>20%</w:t>
            </w:r>
            <w:r>
              <w:rPr>
                <w:spacing w:val="-2"/>
                <w:sz w:val="21"/>
              </w:rPr>
              <w:t>以上。</w:t>
            </w:r>
            <w:r>
              <w:rPr>
                <w:spacing w:val="-5"/>
                <w:sz w:val="21"/>
              </w:rPr>
              <w:t>体表面积根据《中国新九分法》计算。</w:t>
            </w:r>
          </w:p>
        </w:tc>
      </w:tr>
      <w:tr>
        <w:trPr>
          <w:trHeight w:val="4922" w:hRule="atLeast"/>
        </w:trPr>
        <w:tc>
          <w:tcPr>
            <w:tcW w:w="601" w:type="dxa"/>
          </w:tcPr>
          <w:p>
            <w:pPr>
              <w:pStyle w:val="TableParagraph"/>
              <w:spacing w:before="126"/>
              <w:ind w:left="179" w:right="169"/>
              <w:jc w:val="center"/>
              <w:rPr>
                <w:b/>
                <w:sz w:val="21"/>
              </w:rPr>
            </w:pPr>
            <w:r>
              <w:rPr>
                <w:b/>
                <w:sz w:val="21"/>
              </w:rPr>
              <w:t>66</w:t>
            </w:r>
          </w:p>
        </w:tc>
        <w:tc>
          <w:tcPr>
            <w:tcW w:w="2407" w:type="dxa"/>
          </w:tcPr>
          <w:p>
            <w:pPr>
              <w:pStyle w:val="TableParagraph"/>
              <w:spacing w:line="232" w:lineRule="auto" w:before="100"/>
              <w:ind w:left="189" w:right="95"/>
              <w:rPr>
                <w:rFonts w:ascii="等线" w:eastAsia="等线" w:hint="eastAsia"/>
                <w:b/>
                <w:sz w:val="24"/>
              </w:rPr>
            </w:pPr>
            <w:r>
              <w:rPr>
                <w:rFonts w:ascii="等线" w:eastAsia="等线" w:hint="eastAsia"/>
                <w:b/>
                <w:sz w:val="24"/>
              </w:rPr>
              <w:t>严重类风湿性关节炎</w:t>
            </w:r>
          </w:p>
        </w:tc>
        <w:tc>
          <w:tcPr>
            <w:tcW w:w="7198" w:type="dxa"/>
          </w:tcPr>
          <w:p>
            <w:pPr>
              <w:pStyle w:val="TableParagraph"/>
              <w:spacing w:line="273" w:lineRule="auto" w:before="126"/>
              <w:ind w:left="95" w:right="298"/>
              <w:jc w:val="both"/>
              <w:rPr>
                <w:sz w:val="21"/>
              </w:rPr>
            </w:pPr>
            <w:r>
              <w:rPr>
                <w:sz w:val="21"/>
              </w:rPr>
              <w:t>指广泛分布的慢性进行性多关节病变，表现为关节严重变形，侵犯至少三</w:t>
            </w:r>
            <w:r>
              <w:rPr>
                <w:spacing w:val="-2"/>
                <w:sz w:val="21"/>
              </w:rPr>
              <w:t>个主要关节或关节组</w:t>
            </w:r>
            <w:r>
              <w:rPr>
                <w:spacing w:val="-5"/>
                <w:sz w:val="21"/>
              </w:rPr>
              <w:t>（</w:t>
            </w:r>
            <w:r>
              <w:rPr>
                <w:spacing w:val="-3"/>
                <w:sz w:val="21"/>
              </w:rPr>
              <w:t>如:双手</w:t>
            </w:r>
            <w:r>
              <w:rPr>
                <w:sz w:val="21"/>
              </w:rPr>
              <w:t>（多手指</w:t>
            </w:r>
            <w:r>
              <w:rPr>
                <w:spacing w:val="-10"/>
                <w:sz w:val="21"/>
              </w:rPr>
              <w:t>）</w:t>
            </w:r>
            <w:r>
              <w:rPr>
                <w:spacing w:val="-4"/>
                <w:sz w:val="21"/>
              </w:rPr>
              <w:t>关节、双足</w:t>
            </w:r>
            <w:r>
              <w:rPr>
                <w:sz w:val="21"/>
              </w:rPr>
              <w:t>（多足趾</w:t>
            </w:r>
            <w:r>
              <w:rPr>
                <w:spacing w:val="-10"/>
                <w:sz w:val="21"/>
              </w:rPr>
              <w:t>）</w:t>
            </w:r>
            <w:r>
              <w:rPr>
                <w:spacing w:val="-2"/>
                <w:sz w:val="21"/>
              </w:rPr>
              <w:t>关节、双</w:t>
            </w:r>
            <w:r>
              <w:rPr>
                <w:sz w:val="21"/>
              </w:rPr>
              <w:t>腕关节、双膝关节和双髋关节</w:t>
            </w:r>
            <w:r>
              <w:rPr>
                <w:spacing w:val="2"/>
                <w:sz w:val="21"/>
              </w:rPr>
              <w:t>）</w:t>
            </w:r>
            <w:r>
              <w:rPr>
                <w:sz w:val="21"/>
              </w:rPr>
              <w:t>。被保人所患的类风湿性关节炎必须明确</w:t>
            </w:r>
            <w:r>
              <w:rPr>
                <w:spacing w:val="-7"/>
                <w:sz w:val="21"/>
              </w:rPr>
              <w:t>诊断并且已经达到类风湿性关节炎功能分级 </w:t>
            </w:r>
            <w:r>
              <w:rPr>
                <w:spacing w:val="-3"/>
                <w:sz w:val="21"/>
              </w:rPr>
              <w:t>IV</w:t>
            </w:r>
            <w:r>
              <w:rPr>
                <w:spacing w:val="-8"/>
                <w:sz w:val="21"/>
              </w:rPr>
              <w:t> 级的永久不可逆性关节功能障碍（</w:t>
            </w:r>
            <w:r>
              <w:rPr>
                <w:spacing w:val="-5"/>
                <w:sz w:val="21"/>
              </w:rPr>
              <w:t>生活不能自理，且丧失工作能力</w:t>
            </w:r>
            <w:r>
              <w:rPr>
                <w:sz w:val="21"/>
              </w:rPr>
              <w:t>）</w:t>
            </w:r>
            <w:r>
              <w:rPr>
                <w:spacing w:val="-4"/>
                <w:sz w:val="21"/>
              </w:rPr>
              <w:t>并须满足下列全部条件：</w:t>
            </w:r>
          </w:p>
          <w:p>
            <w:pPr>
              <w:pStyle w:val="TableParagraph"/>
              <w:spacing w:before="7"/>
              <w:ind w:left="95"/>
              <w:jc w:val="both"/>
              <w:rPr>
                <w:sz w:val="21"/>
              </w:rPr>
            </w:pPr>
            <w:r>
              <w:rPr>
                <w:sz w:val="21"/>
              </w:rPr>
              <w:t>（1）晨僵；</w:t>
            </w:r>
          </w:p>
          <w:p>
            <w:pPr>
              <w:pStyle w:val="TableParagraph"/>
              <w:spacing w:before="36"/>
              <w:ind w:left="95"/>
              <w:jc w:val="both"/>
              <w:rPr>
                <w:sz w:val="21"/>
              </w:rPr>
            </w:pPr>
            <w:r>
              <w:rPr>
                <w:sz w:val="21"/>
              </w:rPr>
              <w:t>（2）对称性关节炎；</w:t>
            </w:r>
          </w:p>
          <w:p>
            <w:pPr>
              <w:pStyle w:val="TableParagraph"/>
              <w:spacing w:before="36"/>
              <w:ind w:left="95"/>
              <w:jc w:val="both"/>
              <w:rPr>
                <w:sz w:val="21"/>
              </w:rPr>
            </w:pPr>
            <w:r>
              <w:rPr>
                <w:sz w:val="21"/>
              </w:rPr>
              <w:t>（3）类风湿性皮下结节；</w:t>
            </w:r>
          </w:p>
          <w:p>
            <w:pPr>
              <w:pStyle w:val="TableParagraph"/>
              <w:spacing w:before="36"/>
              <w:ind w:left="95"/>
              <w:jc w:val="both"/>
              <w:rPr>
                <w:sz w:val="21"/>
              </w:rPr>
            </w:pPr>
            <w:r>
              <w:rPr>
                <w:sz w:val="21"/>
              </w:rPr>
              <w:t>（4）类风湿因子滴度升高；</w:t>
            </w:r>
          </w:p>
          <w:p>
            <w:pPr>
              <w:pStyle w:val="TableParagraph"/>
              <w:spacing w:line="273" w:lineRule="auto" w:before="36"/>
              <w:ind w:left="95" w:right="1731"/>
              <w:rPr>
                <w:sz w:val="21"/>
              </w:rPr>
            </w:pPr>
            <w:r>
              <w:rPr>
                <w:sz w:val="21"/>
              </w:rPr>
              <w:t>（5）X 线显示严重的关节（软骨和骨）破坏和关节畸形。类风湿性关节炎功能分级标准：</w:t>
            </w:r>
          </w:p>
          <w:p>
            <w:pPr>
              <w:pStyle w:val="TableParagraph"/>
              <w:spacing w:before="8"/>
              <w:ind w:left="95"/>
              <w:jc w:val="both"/>
              <w:rPr>
                <w:sz w:val="21"/>
              </w:rPr>
            </w:pPr>
            <w:r>
              <w:rPr>
                <w:w w:val="100"/>
                <w:sz w:val="21"/>
              </w:rPr>
              <w:t>Ⅰ级</w:t>
            </w:r>
            <w:r>
              <w:rPr>
                <w:sz w:val="21"/>
              </w:rPr>
              <w:t> </w:t>
            </w:r>
            <w:r>
              <w:rPr>
                <w:spacing w:val="-3"/>
                <w:w w:val="100"/>
                <w:sz w:val="21"/>
              </w:rPr>
              <w:t>胜任日常生活各项活动</w:t>
            </w:r>
            <w:r>
              <w:rPr>
                <w:spacing w:val="-5"/>
                <w:w w:val="100"/>
                <w:sz w:val="21"/>
              </w:rPr>
              <w:t>（包括生活自理，职业和非职业活动</w:t>
            </w:r>
            <w:r>
              <w:rPr>
                <w:spacing w:val="-106"/>
                <w:w w:val="100"/>
                <w:sz w:val="21"/>
              </w:rPr>
              <w:t>）</w:t>
            </w:r>
            <w:r>
              <w:rPr>
                <w:w w:val="100"/>
                <w:sz w:val="21"/>
              </w:rPr>
              <w:t>；</w:t>
            </w:r>
          </w:p>
          <w:p>
            <w:pPr>
              <w:pStyle w:val="TableParagraph"/>
              <w:spacing w:before="37"/>
              <w:ind w:left="95"/>
              <w:jc w:val="both"/>
              <w:rPr>
                <w:sz w:val="21"/>
              </w:rPr>
            </w:pPr>
            <w:r>
              <w:rPr>
                <w:sz w:val="21"/>
              </w:rPr>
              <w:t>Ⅱ级 生活自理和工作，非职业活动受限；</w:t>
            </w:r>
          </w:p>
          <w:p>
            <w:pPr>
              <w:pStyle w:val="TableParagraph"/>
              <w:spacing w:before="37"/>
              <w:ind w:left="95"/>
              <w:jc w:val="both"/>
              <w:rPr>
                <w:sz w:val="21"/>
              </w:rPr>
            </w:pPr>
            <w:r>
              <w:rPr>
                <w:sz w:val="21"/>
              </w:rPr>
              <w:t>Ⅲ级 生活自理和工作，职业和非职业活动受限；</w:t>
            </w:r>
          </w:p>
          <w:p>
            <w:pPr>
              <w:pStyle w:val="TableParagraph"/>
              <w:spacing w:before="37"/>
              <w:ind w:left="95"/>
              <w:jc w:val="both"/>
              <w:rPr>
                <w:sz w:val="21"/>
              </w:rPr>
            </w:pPr>
            <w:r>
              <w:rPr>
                <w:sz w:val="21"/>
              </w:rPr>
              <w:t>Ⅳ级 生活不能自理，且丧失工作能力。</w:t>
            </w:r>
          </w:p>
        </w:tc>
      </w:tr>
      <w:tr>
        <w:trPr>
          <w:trHeight w:val="1161" w:hRule="atLeast"/>
        </w:trPr>
        <w:tc>
          <w:tcPr>
            <w:tcW w:w="601" w:type="dxa"/>
          </w:tcPr>
          <w:p>
            <w:pPr>
              <w:pStyle w:val="TableParagraph"/>
              <w:spacing w:before="109"/>
              <w:ind w:left="179" w:right="169"/>
              <w:jc w:val="center"/>
              <w:rPr>
                <w:b/>
                <w:sz w:val="21"/>
              </w:rPr>
            </w:pPr>
            <w:r>
              <w:rPr>
                <w:b/>
                <w:sz w:val="21"/>
              </w:rPr>
              <w:t>67</w:t>
            </w:r>
          </w:p>
        </w:tc>
        <w:tc>
          <w:tcPr>
            <w:tcW w:w="2407" w:type="dxa"/>
          </w:tcPr>
          <w:p>
            <w:pPr>
              <w:pStyle w:val="TableParagraph"/>
              <w:spacing w:before="73"/>
              <w:ind w:left="189"/>
              <w:rPr>
                <w:rFonts w:ascii="等线" w:eastAsia="等线" w:hint="eastAsia"/>
                <w:b/>
                <w:sz w:val="24"/>
              </w:rPr>
            </w:pPr>
            <w:r>
              <w:rPr>
                <w:rFonts w:ascii="等线" w:eastAsia="等线" w:hint="eastAsia"/>
                <w:b/>
                <w:sz w:val="24"/>
              </w:rPr>
              <w:t>象皮病</w:t>
            </w:r>
          </w:p>
        </w:tc>
        <w:tc>
          <w:tcPr>
            <w:tcW w:w="7198" w:type="dxa"/>
          </w:tcPr>
          <w:p>
            <w:pPr>
              <w:pStyle w:val="TableParagraph"/>
              <w:spacing w:line="273" w:lineRule="auto" w:before="109"/>
              <w:ind w:left="95" w:right="298"/>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r>
        <w:trPr>
          <w:trHeight w:val="3033" w:hRule="atLeast"/>
        </w:trPr>
        <w:tc>
          <w:tcPr>
            <w:tcW w:w="601" w:type="dxa"/>
          </w:tcPr>
          <w:p>
            <w:pPr>
              <w:pStyle w:val="TableParagraph"/>
              <w:spacing w:before="109"/>
              <w:ind w:left="179" w:right="169"/>
              <w:jc w:val="center"/>
              <w:rPr>
                <w:b/>
                <w:sz w:val="21"/>
              </w:rPr>
            </w:pPr>
            <w:r>
              <w:rPr>
                <w:b/>
                <w:sz w:val="21"/>
              </w:rPr>
              <w:t>68</w:t>
            </w:r>
          </w:p>
        </w:tc>
        <w:tc>
          <w:tcPr>
            <w:tcW w:w="2407" w:type="dxa"/>
          </w:tcPr>
          <w:p>
            <w:pPr>
              <w:pStyle w:val="TableParagraph"/>
              <w:spacing w:line="232" w:lineRule="auto" w:before="83"/>
              <w:ind w:left="189" w:right="95"/>
              <w:jc w:val="both"/>
              <w:rPr>
                <w:rFonts w:ascii="等线" w:eastAsia="等线" w:hint="eastAsia"/>
                <w:b/>
                <w:sz w:val="24"/>
              </w:rPr>
            </w:pPr>
            <w:r>
              <w:rPr>
                <w:rFonts w:ascii="等线" w:eastAsia="等线" w:hint="eastAsia"/>
                <w:b/>
                <w:sz w:val="24"/>
              </w:rPr>
              <w:t>经输血导致的艾滋病病毒感染或患艾滋病</w:t>
            </w:r>
          </w:p>
        </w:tc>
        <w:tc>
          <w:tcPr>
            <w:tcW w:w="7198" w:type="dxa"/>
          </w:tcPr>
          <w:p>
            <w:pPr>
              <w:pStyle w:val="TableParagraph"/>
              <w:spacing w:line="273" w:lineRule="auto" w:before="109"/>
              <w:ind w:left="95" w:right="247"/>
              <w:rPr>
                <w:sz w:val="21"/>
              </w:rPr>
            </w:pPr>
            <w:r>
              <w:rPr>
                <w:sz w:val="21"/>
              </w:rPr>
              <w:t>指被保险人因输血而感染上人类免疫缺陷病毒（HIV）或患艾滋病必须满足以下全部条件：</w:t>
            </w:r>
          </w:p>
          <w:p>
            <w:pPr>
              <w:pStyle w:val="TableParagraph"/>
              <w:spacing w:before="7"/>
              <w:ind w:left="96"/>
              <w:rPr>
                <w:sz w:val="21"/>
              </w:rPr>
            </w:pPr>
            <w:r>
              <w:rPr>
                <w:sz w:val="21"/>
              </w:rPr>
              <w:t>（1）被保险人因输血而感染 HIV 或患艾滋病；</w:t>
            </w:r>
          </w:p>
          <w:p>
            <w:pPr>
              <w:pStyle w:val="TableParagraph"/>
              <w:spacing w:line="273" w:lineRule="auto" w:before="37"/>
              <w:ind w:left="619" w:right="265" w:hanging="524"/>
              <w:rPr>
                <w:sz w:val="21"/>
              </w:rPr>
            </w:pPr>
            <w:r>
              <w:rPr>
                <w:sz w:val="21"/>
              </w:rPr>
              <w:t>（2）提供输血治疗的输血中心或医院出具该项输血感染属医疗责任事故的报告，或者法院终审裁定为医疗责任；</w:t>
            </w:r>
          </w:p>
          <w:p>
            <w:pPr>
              <w:pStyle w:val="TableParagraph"/>
              <w:spacing w:before="8"/>
              <w:ind w:left="96"/>
              <w:rPr>
                <w:sz w:val="21"/>
              </w:rPr>
            </w:pPr>
            <w:r>
              <w:rPr>
                <w:sz w:val="21"/>
              </w:rPr>
              <w:t>（3）受感染的被保险人不是血友病患者。</w:t>
            </w:r>
          </w:p>
          <w:p>
            <w:pPr>
              <w:pStyle w:val="TableParagraph"/>
              <w:spacing w:line="273" w:lineRule="auto" w:before="37"/>
              <w:ind w:left="95" w:right="298"/>
              <w:jc w:val="both"/>
              <w:rPr>
                <w:sz w:val="21"/>
              </w:rPr>
            </w:pPr>
            <w:r>
              <w:rPr>
                <w:spacing w:val="-2"/>
                <w:sz w:val="21"/>
                <w:shd w:fill="DADADA" w:color="auto" w:val="clear"/>
              </w:rPr>
              <w:t>任何因其他传播方式</w:t>
            </w:r>
            <w:r>
              <w:rPr>
                <w:sz w:val="21"/>
                <w:shd w:fill="DADADA" w:color="auto" w:val="clear"/>
              </w:rPr>
              <w:t>（</w:t>
            </w:r>
            <w:r>
              <w:rPr>
                <w:spacing w:val="-5"/>
                <w:sz w:val="21"/>
                <w:shd w:fill="DADADA" w:color="auto" w:val="clear"/>
              </w:rPr>
              <w:t>包括：性传播或静脉注射毒品等</w:t>
            </w:r>
            <w:r>
              <w:rPr>
                <w:sz w:val="21"/>
                <w:shd w:fill="DADADA" w:color="auto" w:val="clear"/>
              </w:rPr>
              <w:t>）</w:t>
            </w:r>
            <w:r>
              <w:rPr>
                <w:spacing w:val="-1"/>
                <w:sz w:val="21"/>
                <w:shd w:fill="DADADA" w:color="auto" w:val="clear"/>
              </w:rPr>
              <w:t>导致的 </w:t>
            </w:r>
            <w:r>
              <w:rPr>
                <w:sz w:val="21"/>
                <w:shd w:fill="DADADA" w:color="auto" w:val="clear"/>
              </w:rPr>
              <w:t>HIV</w:t>
            </w:r>
            <w:r>
              <w:rPr>
                <w:spacing w:val="-3"/>
                <w:sz w:val="21"/>
                <w:shd w:fill="DADADA" w:color="auto" w:val="clear"/>
              </w:rPr>
              <w:t> 感染</w:t>
            </w:r>
            <w:r>
              <w:rPr>
                <w:sz w:val="21"/>
                <w:shd w:fill="DADADA" w:color="auto" w:val="clear"/>
              </w:rPr>
              <w:t>或患艾滋病不在保障范围内。</w:t>
            </w:r>
            <w:r>
              <w:rPr>
                <w:sz w:val="21"/>
              </w:rPr>
              <w:t>本公司具有获得使用被保险人的所有血液样</w:t>
            </w:r>
            <w:r>
              <w:rPr>
                <w:spacing w:val="-5"/>
                <w:sz w:val="21"/>
              </w:rPr>
              <w:t>本的权利和能够对这些样本进行独立检验的权利。</w:t>
            </w:r>
          </w:p>
        </w:tc>
      </w:tr>
      <w:tr>
        <w:trPr>
          <w:trHeight w:val="2099" w:hRule="atLeast"/>
        </w:trPr>
        <w:tc>
          <w:tcPr>
            <w:tcW w:w="601" w:type="dxa"/>
          </w:tcPr>
          <w:p>
            <w:pPr>
              <w:pStyle w:val="TableParagraph"/>
              <w:spacing w:before="109"/>
              <w:ind w:left="179" w:right="169"/>
              <w:jc w:val="center"/>
              <w:rPr>
                <w:b/>
                <w:sz w:val="21"/>
              </w:rPr>
            </w:pPr>
            <w:r>
              <w:rPr>
                <w:b/>
                <w:sz w:val="21"/>
              </w:rPr>
              <w:t>69</w:t>
            </w:r>
          </w:p>
        </w:tc>
        <w:tc>
          <w:tcPr>
            <w:tcW w:w="2407" w:type="dxa"/>
          </w:tcPr>
          <w:p>
            <w:pPr>
              <w:pStyle w:val="TableParagraph"/>
              <w:spacing w:before="73"/>
              <w:ind w:left="189"/>
              <w:rPr>
                <w:rFonts w:ascii="等线" w:eastAsia="等线" w:hint="eastAsia"/>
                <w:b/>
                <w:sz w:val="24"/>
              </w:rPr>
            </w:pPr>
            <w:r>
              <w:rPr>
                <w:rFonts w:ascii="等线" w:eastAsia="等线" w:hint="eastAsia"/>
                <w:b/>
                <w:sz w:val="24"/>
              </w:rPr>
              <w:t>严重ft营养不良症</w:t>
            </w:r>
          </w:p>
        </w:tc>
        <w:tc>
          <w:tcPr>
            <w:tcW w:w="7198" w:type="dxa"/>
          </w:tcPr>
          <w:p>
            <w:pPr>
              <w:pStyle w:val="TableParagraph"/>
              <w:spacing w:line="273" w:lineRule="auto" w:before="109"/>
              <w:ind w:left="95" w:right="298"/>
              <w:rPr>
                <w:sz w:val="21"/>
              </w:rPr>
            </w:pPr>
            <w:r>
              <w:rPr>
                <w:sz w:val="21"/>
              </w:rPr>
              <w:t>指一组原发于肌肉的疾病，临床表现为与神经系统无关的肌肉无力和肌肉萎缩。且须满足下列全部条件：</w:t>
            </w:r>
          </w:p>
          <w:p>
            <w:pPr>
              <w:pStyle w:val="TableParagraph"/>
              <w:spacing w:line="273" w:lineRule="auto" w:before="7"/>
              <w:ind w:left="619" w:right="272" w:hanging="524"/>
              <w:rPr>
                <w:sz w:val="21"/>
              </w:rPr>
            </w:pPr>
            <w:r>
              <w:rPr>
                <w:sz w:val="21"/>
              </w:rPr>
              <w:t>（1）肌肉组织活检结果满足肌营养不良症的肌肉细胞变性、坏死等阳性改变；</w:t>
            </w:r>
          </w:p>
          <w:p>
            <w:pPr>
              <w:pStyle w:val="TableParagraph"/>
              <w:spacing w:line="273" w:lineRule="auto" w:before="7"/>
              <w:ind w:left="618" w:right="259" w:hanging="524"/>
              <w:rPr>
                <w:sz w:val="21"/>
              </w:rPr>
            </w:pPr>
            <w:r>
              <w:rPr>
                <w:sz w:val="21"/>
              </w:rPr>
              <w:t>（2）自主生活能力完全丧失，无法独立完成六项基本日常生活活动中的三项或三项以上。</w:t>
            </w:r>
          </w:p>
        </w:tc>
      </w:tr>
      <w:tr>
        <w:trPr>
          <w:trHeight w:val="698" w:hRule="atLeast"/>
        </w:trPr>
        <w:tc>
          <w:tcPr>
            <w:tcW w:w="601" w:type="dxa"/>
          </w:tcPr>
          <w:p>
            <w:pPr>
              <w:pStyle w:val="TableParagraph"/>
              <w:spacing w:before="112"/>
              <w:ind w:left="179" w:right="169"/>
              <w:jc w:val="center"/>
              <w:rPr>
                <w:b/>
                <w:sz w:val="21"/>
              </w:rPr>
            </w:pPr>
            <w:r>
              <w:rPr>
                <w:b/>
                <w:sz w:val="21"/>
              </w:rPr>
              <w:t>70</w:t>
            </w:r>
          </w:p>
        </w:tc>
        <w:tc>
          <w:tcPr>
            <w:tcW w:w="2407" w:type="dxa"/>
          </w:tcPr>
          <w:p>
            <w:pPr>
              <w:pStyle w:val="TableParagraph"/>
              <w:spacing w:before="76"/>
              <w:ind w:left="189"/>
              <w:rPr>
                <w:rFonts w:ascii="等线" w:eastAsia="等线" w:hint="eastAsia"/>
                <w:b/>
                <w:sz w:val="24"/>
              </w:rPr>
            </w:pPr>
            <w:r>
              <w:rPr>
                <w:rFonts w:ascii="等线" w:eastAsia="等线" w:hint="eastAsia"/>
                <w:b/>
                <w:sz w:val="24"/>
              </w:rPr>
              <w:t>弥漫性血管内凝血</w:t>
            </w:r>
          </w:p>
        </w:tc>
        <w:tc>
          <w:tcPr>
            <w:tcW w:w="7198" w:type="dxa"/>
          </w:tcPr>
          <w:p>
            <w:pPr>
              <w:pStyle w:val="TableParagraph"/>
              <w:spacing w:line="310" w:lineRule="atLeast" w:before="77"/>
              <w:ind w:left="95" w:right="298"/>
              <w:rPr>
                <w:sz w:val="21"/>
              </w:rPr>
            </w:pPr>
            <w:r>
              <w:rPr>
                <w:sz w:val="21"/>
              </w:rPr>
              <w:t>指血液凝固系统和纤溶系统的过度活动导致微血管血栓形成、血小板及凝血因子耗竭和严重出血，需要输注血浆和浓缩血小板进行治疗。</w:t>
            </w:r>
          </w:p>
        </w:tc>
      </w:tr>
    </w:tbl>
    <w:p>
      <w:pPr>
        <w:spacing w:after="0" w:line="310" w:lineRule="atLeast"/>
        <w:rPr>
          <w:sz w:val="21"/>
        </w:rPr>
        <w:sectPr>
          <w:pgSz w:w="11910" w:h="16840"/>
          <w:pgMar w:top="1160" w:bottom="280" w:left="880" w:right="600"/>
        </w:sectPr>
      </w:pPr>
    </w:p>
    <w:p>
      <w:pPr>
        <w:pStyle w:val="Heading2"/>
        <w:spacing w:line="235" w:lineRule="auto" w:before="10"/>
        <w:ind w:left="756"/>
        <w:jc w:val="both"/>
      </w:pPr>
      <w:r>
        <w:rPr>
          <w:rFonts w:ascii="宋体" w:eastAsia="宋体" w:hint="eastAsia"/>
          <w:position w:val="1"/>
          <w:sz w:val="21"/>
        </w:rPr>
        <w:t>71 </w:t>
      </w:r>
      <w:r>
        <w:rPr/>
        <w:t>因职业关系导致的艾滋病病毒感染或患艾滋病</w:t>
      </w:r>
    </w:p>
    <w:p>
      <w:pPr>
        <w:pStyle w:val="BodyText"/>
        <w:spacing w:before="15"/>
        <w:ind w:left="151" w:right="190"/>
        <w:jc w:val="both"/>
      </w:pPr>
      <w:r>
        <w:rPr/>
        <w:br w:type="column"/>
      </w:r>
      <w:r>
        <w:rPr/>
        <w:t>被保险人在其常规职业工作过程中遭遇外伤，或者职业需要处理血液或者</w:t>
      </w:r>
      <w:r>
        <w:rPr>
          <w:spacing w:val="-4"/>
        </w:rPr>
        <w:t>其他体液时感染上人类免疫缺陷病毒</w:t>
      </w:r>
      <w:r>
        <w:rPr>
          <w:spacing w:val="-3"/>
        </w:rPr>
        <w:t>（HIV）</w:t>
      </w:r>
      <w:r>
        <w:rPr>
          <w:spacing w:val="-5"/>
        </w:rPr>
        <w:t>或患艾滋病。必须满足下列全部条件：</w:t>
      </w:r>
    </w:p>
    <w:p>
      <w:pPr>
        <w:pStyle w:val="BodyText"/>
        <w:ind w:left="675" w:right="195" w:hanging="524"/>
        <w:jc w:val="both"/>
      </w:pPr>
      <w:r>
        <w:rPr>
          <w:spacing w:val="-5"/>
        </w:rPr>
        <w:t>（1）</w:t>
      </w:r>
      <w:r>
        <w:rPr>
          <w:spacing w:val="-6"/>
        </w:rPr>
        <w:t>感染必须是在被保险人正在从事其职业工作中发生，该职业必须属于</w:t>
      </w:r>
      <w:r>
        <w:rPr>
          <w:spacing w:val="-5"/>
        </w:rPr>
        <w:t>以下列表内的职业；</w:t>
      </w:r>
    </w:p>
    <w:p>
      <w:pPr>
        <w:pStyle w:val="BodyText"/>
        <w:spacing w:before="5"/>
        <w:ind w:left="675" w:right="195" w:hanging="524"/>
        <w:jc w:val="both"/>
      </w:pPr>
      <w:r>
        <w:rPr>
          <w:spacing w:val="-5"/>
        </w:rPr>
        <w:t>（2）</w:t>
      </w:r>
      <w:r>
        <w:rPr>
          <w:spacing w:val="-7"/>
        </w:rPr>
        <w:t>必须提供被保险人在所报事故发生后的 </w:t>
      </w:r>
      <w:r>
        <w:rPr/>
        <w:t>5</w:t>
      </w:r>
      <w:r>
        <w:rPr>
          <w:spacing w:val="-9"/>
        </w:rPr>
        <w:t> 天以内进行的检查报告，该</w:t>
      </w:r>
      <w:r>
        <w:rPr>
          <w:spacing w:val="-11"/>
        </w:rPr>
        <w:t>报告必须显示被保险人血液 </w:t>
      </w:r>
      <w:r>
        <w:rPr/>
        <w:t>HIV</w:t>
      </w:r>
      <w:r>
        <w:rPr>
          <w:spacing w:val="-10"/>
        </w:rPr>
        <w:t> 病毒阴性和</w:t>
      </w:r>
      <w:r>
        <w:rPr/>
        <w:t>/</w:t>
      </w:r>
      <w:r>
        <w:rPr>
          <w:spacing w:val="-24"/>
        </w:rPr>
        <w:t>或 </w:t>
      </w:r>
      <w:r>
        <w:rPr/>
        <w:t>HIV</w:t>
      </w:r>
      <w:r>
        <w:rPr>
          <w:spacing w:val="-10"/>
        </w:rPr>
        <w:t> 抗体阴性；</w:t>
      </w:r>
    </w:p>
    <w:p>
      <w:pPr>
        <w:pStyle w:val="BodyText"/>
        <w:spacing w:line="268" w:lineRule="exact"/>
        <w:ind w:left="152"/>
      </w:pPr>
      <w:r>
        <w:rPr/>
        <w:t>（3）</w:t>
      </w:r>
      <w:r>
        <w:rPr>
          <w:spacing w:val="-13"/>
        </w:rPr>
        <w:t>必须在事故发生后的 </w:t>
      </w:r>
      <w:r>
        <w:rPr/>
        <w:t>6</w:t>
      </w:r>
      <w:r>
        <w:rPr>
          <w:spacing w:val="-18"/>
        </w:rPr>
        <w:t> 个月内证实被保险人体内存在 </w:t>
      </w:r>
      <w:r>
        <w:rPr>
          <w:spacing w:val="-4"/>
        </w:rPr>
        <w:t>HIV</w:t>
      </w:r>
      <w:r>
        <w:rPr>
          <w:spacing w:val="-21"/>
        </w:rPr>
        <w:t> 病毒或者 </w:t>
      </w:r>
      <w:r>
        <w:rPr>
          <w:spacing w:val="-5"/>
        </w:rPr>
        <w:t>HIV</w:t>
      </w:r>
    </w:p>
    <w:p>
      <w:pPr>
        <w:pStyle w:val="BodyText"/>
        <w:spacing w:line="274" w:lineRule="exact"/>
        <w:ind w:left="675"/>
      </w:pPr>
      <w:r>
        <w:rPr/>
        <w:t>抗体。</w:t>
      </w:r>
    </w:p>
    <w:p>
      <w:pPr>
        <w:pStyle w:val="BodyText"/>
        <w:spacing w:line="274" w:lineRule="exact"/>
        <w:ind w:left="151"/>
      </w:pPr>
      <w:r>
        <w:rPr/>
        <w:pict>
          <v:shape style="position:absolute;margin-left:56.779999pt;margin-top:99.378983pt;width:491.5pt;height:222.95pt;mso-position-horizontal-relative:page;mso-position-vertical-relative:paragraph;z-index:18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1"/>
                    <w:gridCol w:w="2407"/>
                    <w:gridCol w:w="6971"/>
                  </w:tblGrid>
                  <w:tr>
                    <w:trPr>
                      <w:trHeight w:val="290" w:hRule="atLeast"/>
                    </w:trPr>
                    <w:tc>
                      <w:tcPr>
                        <w:tcW w:w="451" w:type="dxa"/>
                      </w:tcPr>
                      <w:p>
                        <w:pPr>
                          <w:pStyle w:val="TableParagraph"/>
                          <w:spacing w:line="231" w:lineRule="exact"/>
                          <w:ind w:left="50"/>
                          <w:rPr>
                            <w:b/>
                            <w:sz w:val="21"/>
                          </w:rPr>
                        </w:pPr>
                        <w:r>
                          <w:rPr>
                            <w:b/>
                            <w:sz w:val="21"/>
                          </w:rPr>
                          <w:t>72</w:t>
                        </w:r>
                      </w:p>
                    </w:tc>
                    <w:tc>
                      <w:tcPr>
                        <w:tcW w:w="2407" w:type="dxa"/>
                      </w:tcPr>
                      <w:p>
                        <w:pPr>
                          <w:pStyle w:val="TableParagraph"/>
                          <w:spacing w:line="248" w:lineRule="exact"/>
                          <w:ind w:left="189"/>
                          <w:rPr>
                            <w:rFonts w:ascii="等线" w:eastAsia="等线" w:hint="eastAsia"/>
                            <w:b/>
                            <w:sz w:val="24"/>
                          </w:rPr>
                        </w:pPr>
                        <w:r>
                          <w:rPr>
                            <w:rFonts w:ascii="等线" w:eastAsia="等线" w:hint="eastAsia"/>
                            <w:b/>
                            <w:sz w:val="24"/>
                          </w:rPr>
                          <w:t>嗜铬细胞瘤</w:t>
                        </w:r>
                      </w:p>
                    </w:tc>
                    <w:tc>
                      <w:tcPr>
                        <w:tcW w:w="6971" w:type="dxa"/>
                      </w:tcPr>
                      <w:p>
                        <w:pPr>
                          <w:pStyle w:val="TableParagraph"/>
                          <w:spacing w:line="247" w:lineRule="exact"/>
                          <w:ind w:left="95"/>
                          <w:rPr>
                            <w:sz w:val="21"/>
                          </w:rPr>
                        </w:pPr>
                        <w:r>
                          <w:rPr>
                            <w:sz w:val="21"/>
                          </w:rPr>
                          <w:t>指肾上腺或肾上腺外嗜铬组织出现神经内分泌肿瘤，并分</w:t>
                        </w:r>
                        <w:r>
                          <w:rPr>
                            <w:rFonts w:ascii="Times New Roman" w:eastAsia="Times New Roman"/>
                            <w:w w:val="110"/>
                            <w:sz w:val="21"/>
                          </w:rPr>
                          <w:t>泌</w:t>
                        </w:r>
                        <w:r>
                          <w:rPr>
                            <w:sz w:val="21"/>
                          </w:rPr>
                          <w:t>过多的儿茶酚</w:t>
                        </w:r>
                      </w:p>
                    </w:tc>
                  </w:tr>
                  <w:tr>
                    <w:trPr>
                      <w:trHeight w:val="303" w:hRule="atLeast"/>
                    </w:trPr>
                    <w:tc>
                      <w:tcPr>
                        <w:tcW w:w="451" w:type="dxa"/>
                      </w:tcPr>
                      <w:p>
                        <w:pPr>
                          <w:pStyle w:val="TableParagraph"/>
                          <w:rPr>
                            <w:rFonts w:ascii="Times New Roman"/>
                            <w:sz w:val="20"/>
                          </w:rPr>
                        </w:pPr>
                      </w:p>
                    </w:tc>
                    <w:tc>
                      <w:tcPr>
                        <w:tcW w:w="2407" w:type="dxa"/>
                      </w:tcPr>
                      <w:p>
                        <w:pPr>
                          <w:pStyle w:val="TableParagraph"/>
                          <w:rPr>
                            <w:rFonts w:ascii="Times New Roman"/>
                            <w:sz w:val="20"/>
                          </w:rPr>
                        </w:pPr>
                      </w:p>
                    </w:tc>
                    <w:tc>
                      <w:tcPr>
                        <w:tcW w:w="6971" w:type="dxa"/>
                      </w:tcPr>
                      <w:p>
                        <w:pPr>
                          <w:pStyle w:val="TableParagraph"/>
                          <w:spacing w:line="269" w:lineRule="exact"/>
                          <w:ind w:left="96"/>
                          <w:rPr>
                            <w:sz w:val="21"/>
                          </w:rPr>
                        </w:pPr>
                        <w:r>
                          <w:rPr>
                            <w:sz w:val="21"/>
                          </w:rPr>
                          <w:t>胺类的疾病。且已经由组织病理检查证实，并已经进</w:t>
                        </w:r>
                        <w:r>
                          <w:rPr>
                            <w:rFonts w:ascii="Times New Roman" w:eastAsia="Times New Roman"/>
                            <w:w w:val="110"/>
                            <w:sz w:val="21"/>
                          </w:rPr>
                          <w:t>行</w:t>
                        </w:r>
                        <w:r>
                          <w:rPr>
                            <w:sz w:val="21"/>
                          </w:rPr>
                          <w:t>了切除嗜铬细胞肿</w:t>
                        </w:r>
                      </w:p>
                    </w:tc>
                  </w:tr>
                  <w:tr>
                    <w:trPr>
                      <w:trHeight w:val="414" w:hRule="atLeast"/>
                    </w:trPr>
                    <w:tc>
                      <w:tcPr>
                        <w:tcW w:w="451" w:type="dxa"/>
                      </w:tcPr>
                      <w:p>
                        <w:pPr>
                          <w:pStyle w:val="TableParagraph"/>
                          <w:rPr>
                            <w:rFonts w:ascii="Times New Roman"/>
                            <w:sz w:val="20"/>
                          </w:rPr>
                        </w:pPr>
                      </w:p>
                    </w:tc>
                    <w:tc>
                      <w:tcPr>
                        <w:tcW w:w="2407" w:type="dxa"/>
                      </w:tcPr>
                      <w:p>
                        <w:pPr>
                          <w:pStyle w:val="TableParagraph"/>
                          <w:rPr>
                            <w:rFonts w:ascii="Times New Roman"/>
                            <w:sz w:val="20"/>
                          </w:rPr>
                        </w:pPr>
                      </w:p>
                    </w:tc>
                    <w:tc>
                      <w:tcPr>
                        <w:tcW w:w="6971" w:type="dxa"/>
                      </w:tcPr>
                      <w:p>
                        <w:pPr>
                          <w:pStyle w:val="TableParagraph"/>
                          <w:spacing w:line="261" w:lineRule="exact"/>
                          <w:ind w:left="96"/>
                          <w:rPr>
                            <w:sz w:val="21"/>
                          </w:rPr>
                        </w:pPr>
                        <w:r>
                          <w:rPr>
                            <w:sz w:val="21"/>
                          </w:rPr>
                          <w:t>瘤的手术治疗。嗜铬细胞瘤须经专科医生明确诊断。</w:t>
                        </w:r>
                      </w:p>
                    </w:tc>
                  </w:tr>
                  <w:tr>
                    <w:trPr>
                      <w:trHeight w:val="1058" w:hRule="atLeast"/>
                    </w:trPr>
                    <w:tc>
                      <w:tcPr>
                        <w:tcW w:w="451" w:type="dxa"/>
                      </w:tcPr>
                      <w:p>
                        <w:pPr>
                          <w:pStyle w:val="TableParagraph"/>
                          <w:spacing w:before="109"/>
                          <w:ind w:left="50"/>
                          <w:rPr>
                            <w:b/>
                            <w:sz w:val="21"/>
                          </w:rPr>
                        </w:pPr>
                        <w:r>
                          <w:rPr>
                            <w:b/>
                            <w:sz w:val="21"/>
                          </w:rPr>
                          <w:t>73</w:t>
                        </w:r>
                      </w:p>
                    </w:tc>
                    <w:tc>
                      <w:tcPr>
                        <w:tcW w:w="2407" w:type="dxa"/>
                      </w:tcPr>
                      <w:p>
                        <w:pPr>
                          <w:pStyle w:val="TableParagraph"/>
                          <w:spacing w:line="235" w:lineRule="auto" w:before="80"/>
                          <w:ind w:left="189" w:right="95"/>
                          <w:rPr>
                            <w:rFonts w:ascii="等线" w:eastAsia="等线" w:hint="eastAsia"/>
                            <w:b/>
                            <w:sz w:val="24"/>
                          </w:rPr>
                        </w:pPr>
                        <w:r>
                          <w:rPr>
                            <w:rFonts w:ascii="等线" w:eastAsia="等线" w:hint="eastAsia"/>
                            <w:b/>
                            <w:sz w:val="24"/>
                          </w:rPr>
                          <w:t>严重的原发性硬化性胆管炎</w:t>
                        </w:r>
                      </w:p>
                    </w:tc>
                    <w:tc>
                      <w:tcPr>
                        <w:tcW w:w="6971" w:type="dxa"/>
                      </w:tcPr>
                      <w:p>
                        <w:pPr>
                          <w:pStyle w:val="TableParagraph"/>
                          <w:spacing w:line="273" w:lineRule="auto" w:before="109"/>
                          <w:ind w:left="95" w:right="71"/>
                          <w:jc w:val="both"/>
                          <w:rPr>
                            <w:sz w:val="21"/>
                          </w:rPr>
                        </w:pPr>
                        <w:r>
                          <w:rPr>
                            <w:sz w:val="21"/>
                          </w:rPr>
                          <w:t>指一种胆汁淤积综合征，其特征是肝内、肝外胆道因纤维化性炎症逐渐狭窄，并最终导致完全阻塞而发展为肝硬化。须经内镜逆行胰胆管造影等影像学检查证实，并须满足下列全部条件：</w:t>
                        </w:r>
                      </w:p>
                    </w:tc>
                  </w:tr>
                  <w:tr>
                    <w:trPr>
                      <w:trHeight w:val="311" w:hRule="atLeast"/>
                    </w:trPr>
                    <w:tc>
                      <w:tcPr>
                        <w:tcW w:w="451" w:type="dxa"/>
                      </w:tcPr>
                      <w:p>
                        <w:pPr>
                          <w:pStyle w:val="TableParagraph"/>
                          <w:rPr>
                            <w:rFonts w:ascii="Times New Roman"/>
                            <w:sz w:val="20"/>
                          </w:rPr>
                        </w:pPr>
                      </w:p>
                    </w:tc>
                    <w:tc>
                      <w:tcPr>
                        <w:tcW w:w="2407" w:type="dxa"/>
                      </w:tcPr>
                      <w:p>
                        <w:pPr>
                          <w:pStyle w:val="TableParagraph"/>
                          <w:rPr>
                            <w:rFonts w:ascii="Times New Roman"/>
                            <w:sz w:val="20"/>
                          </w:rPr>
                        </w:pPr>
                      </w:p>
                    </w:tc>
                    <w:tc>
                      <w:tcPr>
                        <w:tcW w:w="6971" w:type="dxa"/>
                      </w:tcPr>
                      <w:p>
                        <w:pPr>
                          <w:pStyle w:val="TableParagraph"/>
                          <w:spacing w:line="261" w:lineRule="exact"/>
                          <w:ind w:left="95"/>
                          <w:rPr>
                            <w:sz w:val="21"/>
                          </w:rPr>
                        </w:pPr>
                        <w:r>
                          <w:rPr>
                            <w:sz w:val="21"/>
                          </w:rPr>
                          <w:t>（1）总胆红素和直接胆红素同时升高，血清 ALP&gt;200U/L；</w:t>
                        </w:r>
                      </w:p>
                    </w:tc>
                  </w:tr>
                  <w:tr>
                    <w:trPr>
                      <w:trHeight w:val="311" w:hRule="atLeast"/>
                    </w:trPr>
                    <w:tc>
                      <w:tcPr>
                        <w:tcW w:w="451" w:type="dxa"/>
                      </w:tcPr>
                      <w:p>
                        <w:pPr>
                          <w:pStyle w:val="TableParagraph"/>
                          <w:rPr>
                            <w:rFonts w:ascii="Times New Roman"/>
                            <w:sz w:val="20"/>
                          </w:rPr>
                        </w:pPr>
                      </w:p>
                    </w:tc>
                    <w:tc>
                      <w:tcPr>
                        <w:tcW w:w="2407" w:type="dxa"/>
                      </w:tcPr>
                      <w:p>
                        <w:pPr>
                          <w:pStyle w:val="TableParagraph"/>
                          <w:rPr>
                            <w:rFonts w:ascii="Times New Roman"/>
                            <w:sz w:val="20"/>
                          </w:rPr>
                        </w:pPr>
                      </w:p>
                    </w:tc>
                    <w:tc>
                      <w:tcPr>
                        <w:tcW w:w="6971" w:type="dxa"/>
                      </w:tcPr>
                      <w:p>
                        <w:pPr>
                          <w:pStyle w:val="TableParagraph"/>
                          <w:spacing w:line="261" w:lineRule="exact"/>
                          <w:ind w:left="95"/>
                          <w:rPr>
                            <w:sz w:val="21"/>
                          </w:rPr>
                        </w:pPr>
                        <w:r>
                          <w:rPr>
                            <w:sz w:val="21"/>
                          </w:rPr>
                          <w:t>（2）持续性黄疸病史；</w:t>
                        </w:r>
                      </w:p>
                    </w:tc>
                  </w:tr>
                  <w:tr>
                    <w:trPr>
                      <w:trHeight w:val="312" w:hRule="atLeast"/>
                    </w:trPr>
                    <w:tc>
                      <w:tcPr>
                        <w:tcW w:w="451" w:type="dxa"/>
                      </w:tcPr>
                      <w:p>
                        <w:pPr>
                          <w:pStyle w:val="TableParagraph"/>
                          <w:rPr>
                            <w:rFonts w:ascii="Times New Roman"/>
                            <w:sz w:val="20"/>
                          </w:rPr>
                        </w:pPr>
                      </w:p>
                    </w:tc>
                    <w:tc>
                      <w:tcPr>
                        <w:tcW w:w="2407" w:type="dxa"/>
                      </w:tcPr>
                      <w:p>
                        <w:pPr>
                          <w:pStyle w:val="TableParagraph"/>
                          <w:rPr>
                            <w:rFonts w:ascii="Times New Roman"/>
                            <w:sz w:val="20"/>
                          </w:rPr>
                        </w:pPr>
                      </w:p>
                    </w:tc>
                    <w:tc>
                      <w:tcPr>
                        <w:tcW w:w="6971" w:type="dxa"/>
                      </w:tcPr>
                      <w:p>
                        <w:pPr>
                          <w:pStyle w:val="TableParagraph"/>
                          <w:spacing w:line="261" w:lineRule="exact"/>
                          <w:ind w:left="95"/>
                          <w:rPr>
                            <w:sz w:val="21"/>
                          </w:rPr>
                        </w:pPr>
                        <w:r>
                          <w:rPr>
                            <w:sz w:val="21"/>
                          </w:rPr>
                          <w:t>（3）出现胆汁性肝硬化或门脉高压。</w:t>
                        </w:r>
                      </w:p>
                    </w:tc>
                  </w:tr>
                  <w:tr>
                    <w:trPr>
                      <w:trHeight w:val="417" w:hRule="atLeast"/>
                    </w:trPr>
                    <w:tc>
                      <w:tcPr>
                        <w:tcW w:w="451" w:type="dxa"/>
                      </w:tcPr>
                      <w:p>
                        <w:pPr>
                          <w:pStyle w:val="TableParagraph"/>
                          <w:rPr>
                            <w:rFonts w:ascii="Times New Roman"/>
                            <w:sz w:val="20"/>
                          </w:rPr>
                        </w:pPr>
                      </w:p>
                    </w:tc>
                    <w:tc>
                      <w:tcPr>
                        <w:tcW w:w="2407" w:type="dxa"/>
                      </w:tcPr>
                      <w:p>
                        <w:pPr>
                          <w:pStyle w:val="TableParagraph"/>
                          <w:rPr>
                            <w:rFonts w:ascii="Times New Roman"/>
                            <w:sz w:val="20"/>
                          </w:rPr>
                        </w:pPr>
                      </w:p>
                    </w:tc>
                    <w:tc>
                      <w:tcPr>
                        <w:tcW w:w="6971" w:type="dxa"/>
                      </w:tcPr>
                      <w:p>
                        <w:pPr>
                          <w:pStyle w:val="TableParagraph"/>
                          <w:spacing w:line="262" w:lineRule="exact"/>
                          <w:ind w:left="95"/>
                          <w:rPr>
                            <w:sz w:val="21"/>
                          </w:rPr>
                        </w:pPr>
                        <w:r>
                          <w:rPr>
                            <w:sz w:val="21"/>
                            <w:shd w:fill="DADADA" w:color="auto" w:val="clear"/>
                          </w:rPr>
                          <w:t>因肿瘤或胆管损伤等继发性的硬化性胆管炎不在保障范围内。</w:t>
                        </w:r>
                      </w:p>
                    </w:tc>
                  </w:tr>
                  <w:tr>
                    <w:trPr>
                      <w:trHeight w:val="1037" w:hRule="atLeast"/>
                    </w:trPr>
                    <w:tc>
                      <w:tcPr>
                        <w:tcW w:w="451" w:type="dxa"/>
                      </w:tcPr>
                      <w:p>
                        <w:pPr>
                          <w:pStyle w:val="TableParagraph"/>
                          <w:spacing w:before="112"/>
                          <w:ind w:left="50"/>
                          <w:rPr>
                            <w:b/>
                            <w:sz w:val="21"/>
                          </w:rPr>
                        </w:pPr>
                        <w:r>
                          <w:rPr>
                            <w:b/>
                            <w:sz w:val="21"/>
                          </w:rPr>
                          <w:t>74</w:t>
                        </w:r>
                      </w:p>
                    </w:tc>
                    <w:tc>
                      <w:tcPr>
                        <w:tcW w:w="2407" w:type="dxa"/>
                      </w:tcPr>
                      <w:p>
                        <w:pPr>
                          <w:pStyle w:val="TableParagraph"/>
                          <w:spacing w:line="316" w:lineRule="exact" w:before="94"/>
                          <w:ind w:left="189" w:right="95"/>
                          <w:jc w:val="both"/>
                          <w:rPr>
                            <w:rFonts w:ascii="等线" w:eastAsia="等线" w:hint="eastAsia"/>
                            <w:b/>
                            <w:sz w:val="24"/>
                          </w:rPr>
                        </w:pPr>
                        <w:r>
                          <w:rPr>
                            <w:rFonts w:ascii="等线" w:eastAsia="等线" w:hint="eastAsia"/>
                            <w:b/>
                            <w:sz w:val="24"/>
                          </w:rPr>
                          <w:t>因器官移植导致艾滋病病毒感染或患艾滋病</w:t>
                        </w:r>
                      </w:p>
                    </w:tc>
                    <w:tc>
                      <w:tcPr>
                        <w:tcW w:w="6971" w:type="dxa"/>
                      </w:tcPr>
                      <w:p>
                        <w:pPr>
                          <w:pStyle w:val="TableParagraph"/>
                          <w:spacing w:line="273" w:lineRule="auto" w:before="112"/>
                          <w:ind w:left="96" w:right="29"/>
                          <w:rPr>
                            <w:sz w:val="21"/>
                          </w:rPr>
                        </w:pPr>
                        <w:r>
                          <w:rPr>
                            <w:sz w:val="21"/>
                          </w:rPr>
                          <w:t>指因进行器官移植而感染上人类免疫缺陷病毒（HIV）或患艾滋病，且须满足下列全部条件：</w:t>
                        </w:r>
                      </w:p>
                      <w:p>
                        <w:pPr>
                          <w:pStyle w:val="TableParagraph"/>
                          <w:spacing w:before="8"/>
                          <w:ind w:left="96"/>
                          <w:rPr>
                            <w:sz w:val="21"/>
                          </w:rPr>
                        </w:pPr>
                        <w:r>
                          <w:rPr>
                            <w:sz w:val="21"/>
                          </w:rPr>
                          <w:t>（1）在保障起始日或复效日之后，被保险人因治疗必需而实施器官移植，</w:t>
                        </w:r>
                      </w:p>
                    </w:tc>
                  </w:tr>
                </w:tbl>
                <w:p>
                  <w:pPr>
                    <w:pStyle w:val="BodyText"/>
                  </w:pPr>
                </w:p>
              </w:txbxContent>
            </v:textbox>
            <w10:wrap type="none"/>
          </v:shape>
        </w:pict>
      </w:r>
      <w:r>
        <w:rPr/>
        <w:t>职业限制如下所示:</w:t>
      </w:r>
    </w:p>
    <w:p>
      <w:pPr>
        <w:pStyle w:val="BodyText"/>
        <w:spacing w:before="12"/>
        <w:rPr>
          <w:sz w:val="2"/>
        </w:rPr>
      </w:pPr>
    </w:p>
    <w:tbl>
      <w:tblPr>
        <w:tblW w:w="0" w:type="auto"/>
        <w:jc w:val="left"/>
        <w:tblInd w:w="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4"/>
        <w:gridCol w:w="3389"/>
      </w:tblGrid>
      <w:tr>
        <w:trPr>
          <w:trHeight w:val="268" w:hRule="atLeast"/>
        </w:trPr>
        <w:tc>
          <w:tcPr>
            <w:tcW w:w="3384" w:type="dxa"/>
          </w:tcPr>
          <w:p>
            <w:pPr>
              <w:pStyle w:val="TableParagraph"/>
              <w:spacing w:line="235" w:lineRule="exact"/>
              <w:ind w:left="110"/>
              <w:rPr>
                <w:sz w:val="21"/>
              </w:rPr>
            </w:pPr>
            <w:r>
              <w:rPr>
                <w:sz w:val="21"/>
              </w:rPr>
              <w:t>医生和牙科医生</w:t>
            </w:r>
          </w:p>
        </w:tc>
        <w:tc>
          <w:tcPr>
            <w:tcW w:w="3389" w:type="dxa"/>
          </w:tcPr>
          <w:p>
            <w:pPr>
              <w:pStyle w:val="TableParagraph"/>
              <w:spacing w:line="235" w:lineRule="exact"/>
              <w:ind w:left="110"/>
              <w:rPr>
                <w:sz w:val="21"/>
              </w:rPr>
            </w:pPr>
            <w:r>
              <w:rPr>
                <w:sz w:val="21"/>
              </w:rPr>
              <w:t>护士</w:t>
            </w:r>
          </w:p>
        </w:tc>
      </w:tr>
      <w:tr>
        <w:trPr>
          <w:trHeight w:val="273" w:hRule="atLeast"/>
        </w:trPr>
        <w:tc>
          <w:tcPr>
            <w:tcW w:w="3384" w:type="dxa"/>
          </w:tcPr>
          <w:p>
            <w:pPr>
              <w:pStyle w:val="TableParagraph"/>
              <w:spacing w:line="241" w:lineRule="exact"/>
              <w:ind w:left="110"/>
              <w:rPr>
                <w:sz w:val="21"/>
              </w:rPr>
            </w:pPr>
            <w:r>
              <w:rPr>
                <w:sz w:val="21"/>
              </w:rPr>
              <w:t>医院化验室工作人员</w:t>
            </w:r>
          </w:p>
        </w:tc>
        <w:tc>
          <w:tcPr>
            <w:tcW w:w="3389" w:type="dxa"/>
          </w:tcPr>
          <w:p>
            <w:pPr>
              <w:pStyle w:val="TableParagraph"/>
              <w:spacing w:line="241" w:lineRule="exact"/>
              <w:ind w:left="110"/>
              <w:rPr>
                <w:sz w:val="21"/>
              </w:rPr>
            </w:pPr>
            <w:r>
              <w:rPr>
                <w:sz w:val="21"/>
              </w:rPr>
              <w:t>医院护工</w:t>
            </w:r>
          </w:p>
        </w:tc>
      </w:tr>
      <w:tr>
        <w:trPr>
          <w:trHeight w:val="273" w:hRule="atLeast"/>
        </w:trPr>
        <w:tc>
          <w:tcPr>
            <w:tcW w:w="3384" w:type="dxa"/>
          </w:tcPr>
          <w:p>
            <w:pPr>
              <w:pStyle w:val="TableParagraph"/>
              <w:spacing w:line="236" w:lineRule="exact"/>
              <w:ind w:left="110"/>
              <w:rPr>
                <w:sz w:val="21"/>
              </w:rPr>
            </w:pPr>
            <w:r>
              <w:rPr>
                <w:sz w:val="21"/>
              </w:rPr>
              <w:t>医生助理和牙医助理</w:t>
            </w:r>
          </w:p>
        </w:tc>
        <w:tc>
          <w:tcPr>
            <w:tcW w:w="3389" w:type="dxa"/>
          </w:tcPr>
          <w:p>
            <w:pPr>
              <w:pStyle w:val="TableParagraph"/>
              <w:spacing w:line="236" w:lineRule="exact"/>
              <w:ind w:left="110"/>
              <w:rPr>
                <w:sz w:val="21"/>
              </w:rPr>
            </w:pPr>
            <w:r>
              <w:rPr>
                <w:sz w:val="21"/>
              </w:rPr>
              <w:t>救护车工作人员</w:t>
            </w:r>
          </w:p>
        </w:tc>
      </w:tr>
      <w:tr>
        <w:trPr>
          <w:trHeight w:val="273" w:hRule="atLeast"/>
        </w:trPr>
        <w:tc>
          <w:tcPr>
            <w:tcW w:w="3384" w:type="dxa"/>
          </w:tcPr>
          <w:p>
            <w:pPr>
              <w:pStyle w:val="TableParagraph"/>
              <w:spacing w:line="236" w:lineRule="exact"/>
              <w:ind w:left="110"/>
              <w:rPr>
                <w:sz w:val="21"/>
              </w:rPr>
            </w:pPr>
            <w:r>
              <w:rPr>
                <w:sz w:val="21"/>
              </w:rPr>
              <w:t>助产士</w:t>
            </w:r>
          </w:p>
        </w:tc>
        <w:tc>
          <w:tcPr>
            <w:tcW w:w="3389" w:type="dxa"/>
          </w:tcPr>
          <w:p>
            <w:pPr>
              <w:pStyle w:val="TableParagraph"/>
              <w:spacing w:line="236" w:lineRule="exact"/>
              <w:ind w:left="110"/>
              <w:rPr>
                <w:sz w:val="21"/>
              </w:rPr>
            </w:pPr>
            <w:r>
              <w:rPr>
                <w:sz w:val="21"/>
              </w:rPr>
              <w:t>消防队员</w:t>
            </w:r>
          </w:p>
        </w:tc>
      </w:tr>
      <w:tr>
        <w:trPr>
          <w:trHeight w:val="273" w:hRule="atLeast"/>
        </w:trPr>
        <w:tc>
          <w:tcPr>
            <w:tcW w:w="3384" w:type="dxa"/>
          </w:tcPr>
          <w:p>
            <w:pPr>
              <w:pStyle w:val="TableParagraph"/>
              <w:spacing w:line="236" w:lineRule="exact"/>
              <w:ind w:left="110"/>
              <w:rPr>
                <w:sz w:val="21"/>
              </w:rPr>
            </w:pPr>
            <w:r>
              <w:rPr>
                <w:sz w:val="21"/>
              </w:rPr>
              <w:t>警察</w:t>
            </w:r>
          </w:p>
        </w:tc>
        <w:tc>
          <w:tcPr>
            <w:tcW w:w="3389" w:type="dxa"/>
          </w:tcPr>
          <w:p>
            <w:pPr>
              <w:pStyle w:val="TableParagraph"/>
              <w:spacing w:line="236" w:lineRule="exact"/>
              <w:ind w:left="110"/>
              <w:rPr>
                <w:sz w:val="21"/>
              </w:rPr>
            </w:pPr>
            <w:r>
              <w:rPr>
                <w:sz w:val="21"/>
              </w:rPr>
              <w:t>狱警</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0"/>
        </w:rPr>
      </w:pPr>
    </w:p>
    <w:p>
      <w:pPr>
        <w:pStyle w:val="BodyText"/>
        <w:spacing w:before="1"/>
        <w:ind w:left="675"/>
      </w:pPr>
      <w:r>
        <w:rPr/>
        <w:t>并且因器官移植而感染人类免疫缺陷病毒或患艾滋病；</w:t>
      </w:r>
    </w:p>
    <w:p>
      <w:pPr>
        <w:pStyle w:val="BodyText"/>
        <w:spacing w:line="273" w:lineRule="auto" w:before="37"/>
        <w:ind w:left="675" w:right="190" w:hanging="524"/>
        <w:jc w:val="both"/>
      </w:pPr>
      <w:r>
        <w:rPr>
          <w:spacing w:val="-10"/>
        </w:rPr>
        <w:t>（2）</w:t>
      </w:r>
      <w:r>
        <w:rPr>
          <w:spacing w:val="-5"/>
        </w:rPr>
        <w:t>提供器官移植治疗的器官移植中心或医院出具的此次因器官移植感染</w:t>
      </w:r>
      <w:r>
        <w:rPr>
          <w:spacing w:val="-7"/>
        </w:rPr>
        <w:t>人类免疫缺陷病毒或患艾滋病，属于医疗事故的报告，或者法院终审</w:t>
      </w:r>
      <w:r>
        <w:rPr>
          <w:spacing w:val="-6"/>
        </w:rPr>
        <w:t>裁定为医疗事故并且不准上诉；</w:t>
      </w:r>
    </w:p>
    <w:p>
      <w:pPr>
        <w:pStyle w:val="BodyText"/>
        <w:spacing w:line="273" w:lineRule="auto" w:before="7"/>
        <w:ind w:left="151" w:right="195"/>
      </w:pPr>
      <w:r>
        <w:rPr/>
        <w:t>（3）</w:t>
      </w:r>
      <w:r>
        <w:rPr>
          <w:spacing w:val="-5"/>
        </w:rPr>
        <w:t>提供器官移植治疗的器官移植中心或医院必须拥有合法经营执照。 </w:t>
      </w:r>
      <w:r>
        <w:rPr>
          <w:spacing w:val="-5"/>
          <w:shd w:fill="DADADA" w:color="auto" w:val="clear"/>
        </w:rPr>
        <w:t>任何因其他传播方式</w:t>
      </w:r>
      <w:r>
        <w:rPr>
          <w:shd w:fill="DADADA" w:color="auto" w:val="clear"/>
        </w:rPr>
        <w:t>（</w:t>
      </w:r>
      <w:r>
        <w:rPr>
          <w:spacing w:val="-5"/>
          <w:shd w:fill="DADADA" w:color="auto" w:val="clear"/>
        </w:rPr>
        <w:t>包括：性传播或静脉注射毒品</w:t>
      </w:r>
      <w:r>
        <w:rPr>
          <w:shd w:fill="DADADA" w:color="auto" w:val="clear"/>
        </w:rPr>
        <w:t>）导致的 HIV</w:t>
      </w:r>
      <w:r>
        <w:rPr>
          <w:spacing w:val="-2"/>
          <w:shd w:fill="DADADA" w:color="auto" w:val="clear"/>
        </w:rPr>
        <w:t> 感染或</w:t>
      </w:r>
      <w:r>
        <w:rPr>
          <w:spacing w:val="-212"/>
          <w:shd w:fill="DADADA" w:color="auto" w:val="clear"/>
        </w:rPr>
        <w:t>患</w:t>
      </w:r>
      <w:r>
        <w:rPr>
          <w:spacing w:val="-3"/>
          <w:shd w:fill="DADADA" w:color="auto" w:val="clear"/>
        </w:rPr>
        <w:t>艾滋病不在保障范围内。</w:t>
      </w:r>
    </w:p>
    <w:p>
      <w:pPr>
        <w:spacing w:after="0" w:line="273" w:lineRule="auto"/>
        <w:sectPr>
          <w:pgSz w:w="11910" w:h="16840"/>
          <w:pgMar w:top="1060" w:bottom="280" w:left="1020" w:right="820"/>
          <w:cols w:num="2" w:equalWidth="0">
            <w:col w:w="2878" w:space="40"/>
            <w:col w:w="7152"/>
          </w:cols>
        </w:sectPr>
      </w:pPr>
    </w:p>
    <w:p>
      <w:pPr>
        <w:pStyle w:val="BodyText"/>
        <w:spacing w:before="6"/>
        <w:rPr>
          <w:sz w:val="13"/>
        </w:rPr>
      </w:pPr>
    </w:p>
    <w:p>
      <w:pPr>
        <w:pStyle w:val="ListParagraph"/>
        <w:numPr>
          <w:ilvl w:val="0"/>
          <w:numId w:val="12"/>
        </w:numPr>
        <w:tabs>
          <w:tab w:pos="755" w:val="left" w:leader="none"/>
          <w:tab w:pos="756" w:val="left" w:leader="none"/>
          <w:tab w:pos="3069" w:val="left" w:leader="none"/>
        </w:tabs>
        <w:spacing w:line="254" w:lineRule="auto" w:before="20" w:after="0"/>
        <w:ind w:left="3069" w:right="190" w:hanging="2904"/>
        <w:jc w:val="left"/>
        <w:rPr>
          <w:sz w:val="21"/>
        </w:rPr>
      </w:pPr>
      <w:r>
        <w:rPr>
          <w:rFonts w:ascii="等线" w:hAnsi="等线" w:eastAsia="等线" w:hint="eastAsia"/>
          <w:b/>
          <w:position w:val="1"/>
          <w:sz w:val="24"/>
        </w:rPr>
        <w:t>严重面部烧伤</w:t>
        <w:tab/>
      </w:r>
      <w:r>
        <w:rPr>
          <w:spacing w:val="2"/>
          <w:sz w:val="21"/>
        </w:rPr>
        <w:t>指面部烧伤程度为Ⅲ度，且Ⅲ度烧伤的面积达到面部表面积</w:t>
      </w:r>
      <w:r>
        <w:rPr>
          <w:sz w:val="21"/>
        </w:rPr>
        <w:t>的</w:t>
      </w:r>
      <w:r>
        <w:rPr>
          <w:spacing w:val="75"/>
          <w:sz w:val="21"/>
        </w:rPr>
        <w:t> </w:t>
      </w:r>
      <w:r>
        <w:rPr>
          <w:sz w:val="21"/>
        </w:rPr>
        <w:t>80％</w:t>
      </w:r>
      <w:r>
        <w:rPr>
          <w:spacing w:val="2"/>
          <w:sz w:val="21"/>
        </w:rPr>
        <w:t>或者</w:t>
      </w:r>
      <w:r>
        <w:rPr>
          <w:spacing w:val="3"/>
          <w:w w:val="100"/>
          <w:sz w:val="21"/>
        </w:rPr>
        <w:t> </w:t>
      </w:r>
      <w:r>
        <w:rPr>
          <w:sz w:val="21"/>
        </w:rPr>
        <w:t>80％以上。</w:t>
      </w:r>
    </w:p>
    <w:p>
      <w:pPr>
        <w:pStyle w:val="BodyText"/>
        <w:spacing w:before="10"/>
        <w:rPr>
          <w:sz w:val="14"/>
        </w:rPr>
      </w:pPr>
    </w:p>
    <w:p>
      <w:pPr>
        <w:spacing w:after="0"/>
        <w:rPr>
          <w:sz w:val="14"/>
        </w:rPr>
        <w:sectPr>
          <w:type w:val="continuous"/>
          <w:pgSz w:w="11910" w:h="16840"/>
          <w:pgMar w:top="520" w:bottom="280" w:left="1020" w:right="820"/>
        </w:sectPr>
      </w:pPr>
    </w:p>
    <w:p>
      <w:pPr>
        <w:pStyle w:val="Heading2"/>
        <w:numPr>
          <w:ilvl w:val="0"/>
          <w:numId w:val="12"/>
        </w:numPr>
        <w:tabs>
          <w:tab w:pos="755" w:val="left" w:leader="none"/>
          <w:tab w:pos="756" w:val="left" w:leader="none"/>
        </w:tabs>
        <w:spacing w:line="322" w:lineRule="exact" w:before="20" w:after="0"/>
        <w:ind w:left="3069" w:right="0" w:hanging="2904"/>
        <w:jc w:val="left"/>
      </w:pPr>
      <w:r>
        <w:rPr>
          <w:position w:val="1"/>
        </w:rPr>
        <w:t>严 重 瑞 氏 综 合 症</w:t>
      </w:r>
      <w:r>
        <w:rPr>
          <w:spacing w:val="0"/>
          <w:position w:val="1"/>
        </w:rPr>
        <w:t> </w:t>
      </w:r>
    </w:p>
    <w:p>
      <w:pPr>
        <w:spacing w:line="235" w:lineRule="auto" w:before="1"/>
        <w:ind w:left="756" w:right="55" w:firstLine="0"/>
        <w:jc w:val="both"/>
        <w:rPr>
          <w:rFonts w:ascii="等线" w:eastAsia="等线" w:hint="eastAsia"/>
          <w:b/>
          <w:sz w:val="24"/>
        </w:rPr>
      </w:pPr>
      <w:r>
        <w:rPr>
          <w:rFonts w:ascii="等线" w:eastAsia="等线" w:hint="eastAsia"/>
          <w:b/>
          <w:sz w:val="24"/>
        </w:rPr>
        <w:t>（Reye</w:t>
      </w:r>
      <w:r>
        <w:rPr>
          <w:rFonts w:ascii="等线" w:eastAsia="等线" w:hint="eastAsia"/>
          <w:b/>
          <w:spacing w:val="8"/>
          <w:sz w:val="24"/>
        </w:rPr>
        <w:t> 综合征，也</w:t>
      </w:r>
      <w:r>
        <w:rPr>
          <w:rFonts w:ascii="等线" w:eastAsia="等线" w:hint="eastAsia"/>
          <w:b/>
          <w:spacing w:val="-8"/>
          <w:sz w:val="24"/>
        </w:rPr>
        <w:t>称赖氏综合征、雷氏综合征）</w:t>
      </w:r>
    </w:p>
    <w:p>
      <w:pPr>
        <w:pStyle w:val="BodyText"/>
        <w:spacing w:line="273" w:lineRule="auto" w:before="56"/>
        <w:ind w:left="108" w:right="190"/>
        <w:jc w:val="both"/>
      </w:pPr>
      <w:r>
        <w:rPr/>
        <w:br w:type="column"/>
      </w:r>
      <w:r>
        <w:rPr/>
        <w:t>瑞氏综合征是线粒体功能障碍性疾病。导致脂肪代谢障碍，引起短链脂肪酸、血氨升高，造成脑水肿。主要临床表现为急性发热、反复呕吐、惊厥及意识障碍等。肝脏活检是确诊的重要手段。瑞氏综合征需由医院的专科医生确诊，并符合以下所有条件：</w:t>
      </w:r>
    </w:p>
    <w:p>
      <w:pPr>
        <w:pStyle w:val="BodyText"/>
        <w:spacing w:before="7"/>
        <w:ind w:left="108"/>
        <w:jc w:val="both"/>
      </w:pPr>
      <w:r>
        <w:rPr/>
        <w:t>（1）有脑水肿和颅内压升高的脑脊液检查和影像学检查证据；</w:t>
      </w:r>
    </w:p>
    <w:p>
      <w:pPr>
        <w:pStyle w:val="BodyText"/>
        <w:spacing w:before="37"/>
        <w:ind w:left="108"/>
        <w:jc w:val="both"/>
      </w:pPr>
      <w:r>
        <w:rPr/>
        <w:t>（2）血氨超过正常值的 3 倍；</w:t>
      </w:r>
    </w:p>
    <w:p>
      <w:pPr>
        <w:pStyle w:val="BodyText"/>
        <w:spacing w:before="37"/>
        <w:ind w:left="108"/>
        <w:jc w:val="both"/>
      </w:pPr>
      <w:r>
        <w:rPr/>
        <w:t>（3）临床出现昏迷，病程至少达到疾病分期的第 3 期。</w:t>
      </w:r>
    </w:p>
    <w:p>
      <w:pPr>
        <w:spacing w:after="0"/>
        <w:jc w:val="both"/>
        <w:sectPr>
          <w:type w:val="continuous"/>
          <w:pgSz w:w="11910" w:h="16840"/>
          <w:pgMar w:top="520" w:bottom="280" w:left="1020" w:right="820"/>
          <w:cols w:num="2" w:equalWidth="0">
            <w:col w:w="2921" w:space="40"/>
            <w:col w:w="7109"/>
          </w:cols>
        </w:sectPr>
      </w:pPr>
    </w:p>
    <w:p>
      <w:pPr>
        <w:pStyle w:val="ListParagraph"/>
        <w:numPr>
          <w:ilvl w:val="0"/>
          <w:numId w:val="12"/>
        </w:numPr>
        <w:tabs>
          <w:tab w:pos="975" w:val="left" w:leader="none"/>
          <w:tab w:pos="976" w:val="left" w:leader="none"/>
          <w:tab w:pos="3289" w:val="left" w:leader="none"/>
        </w:tabs>
        <w:spacing w:line="240" w:lineRule="auto" w:before="6" w:after="0"/>
        <w:ind w:left="976" w:right="0" w:hanging="591"/>
        <w:jc w:val="left"/>
        <w:rPr>
          <w:sz w:val="21"/>
        </w:rPr>
      </w:pPr>
      <w:r>
        <w:rPr>
          <w:rFonts w:ascii="等线" w:eastAsia="等线" w:hint="eastAsia"/>
          <w:b/>
          <w:position w:val="1"/>
          <w:sz w:val="24"/>
        </w:rPr>
        <w:t>成骨不全症第三型</w:t>
        <w:tab/>
      </w:r>
      <w:r>
        <w:rPr>
          <w:sz w:val="21"/>
        </w:rPr>
        <w:t>成骨不全</w:t>
      </w:r>
      <w:r>
        <w:rPr>
          <w:spacing w:val="-5"/>
          <w:sz w:val="21"/>
        </w:rPr>
        <w:t>症</w:t>
      </w:r>
      <w:r>
        <w:rPr>
          <w:sz w:val="21"/>
        </w:rPr>
        <w:t>第三型</w:t>
      </w:r>
      <w:r>
        <w:rPr>
          <w:spacing w:val="-5"/>
          <w:sz w:val="21"/>
        </w:rPr>
        <w:t>须</w:t>
      </w:r>
      <w:r>
        <w:rPr>
          <w:sz w:val="21"/>
        </w:rPr>
        <w:t>由专科</w:t>
      </w:r>
      <w:r>
        <w:rPr>
          <w:spacing w:val="-5"/>
          <w:sz w:val="21"/>
        </w:rPr>
        <w:t>医</w:t>
      </w:r>
      <w:r>
        <w:rPr>
          <w:sz w:val="21"/>
        </w:rPr>
        <w:t>生明确</w:t>
      </w:r>
      <w:r>
        <w:rPr>
          <w:spacing w:val="-5"/>
          <w:sz w:val="21"/>
        </w:rPr>
        <w:t>诊</w:t>
      </w:r>
      <w:r>
        <w:rPr>
          <w:sz w:val="21"/>
        </w:rPr>
        <w:t>断，同</w:t>
      </w:r>
      <w:r>
        <w:rPr>
          <w:spacing w:val="-5"/>
          <w:sz w:val="21"/>
        </w:rPr>
        <w:t>时</w:t>
      </w:r>
      <w:r>
        <w:rPr>
          <w:sz w:val="21"/>
        </w:rPr>
        <w:t>符</w:t>
      </w:r>
      <w:r>
        <w:rPr>
          <w:spacing w:val="-5"/>
          <w:sz w:val="21"/>
        </w:rPr>
        <w:t>合</w:t>
      </w:r>
      <w:r>
        <w:rPr>
          <w:sz w:val="21"/>
        </w:rPr>
        <w:t>下列所有</w:t>
      </w:r>
      <w:r>
        <w:rPr>
          <w:spacing w:val="-5"/>
          <w:sz w:val="21"/>
        </w:rPr>
        <w:t>条</w:t>
      </w:r>
      <w:r>
        <w:rPr>
          <w:sz w:val="21"/>
        </w:rPr>
        <w:t>件：</w:t>
      </w:r>
    </w:p>
    <w:p>
      <w:pPr>
        <w:pStyle w:val="BodyText"/>
        <w:spacing w:before="20"/>
        <w:ind w:left="3289"/>
      </w:pPr>
      <w:r>
        <w:rPr/>
        <w:t>（1）就成骨不全症第三型之诊断进行的皮肤切片的病理检查结果为阳性；</w:t>
      </w:r>
    </w:p>
    <w:p>
      <w:pPr>
        <w:pStyle w:val="BodyText"/>
        <w:spacing w:before="36"/>
        <w:ind w:left="3289"/>
      </w:pPr>
      <w:r>
        <w:rPr/>
        <w:t>（2）X 光片结果显示多处骨折及逐步脊柱后侧凸畸形；</w:t>
      </w:r>
    </w:p>
    <w:p>
      <w:pPr>
        <w:pStyle w:val="BodyText"/>
        <w:spacing w:before="36"/>
        <w:ind w:left="3289"/>
      </w:pPr>
      <w:r>
        <w:rPr/>
        <w:t>（3）有证明是因此疾病引致发育迟缓及听力损伤。</w:t>
      </w:r>
    </w:p>
    <w:p>
      <w:pPr>
        <w:pStyle w:val="BodyText"/>
        <w:spacing w:before="6"/>
        <w:rPr>
          <w:sz w:val="20"/>
        </w:rPr>
      </w:pPr>
    </w:p>
    <w:p>
      <w:pPr>
        <w:spacing w:after="0"/>
        <w:rPr>
          <w:sz w:val="20"/>
        </w:rPr>
        <w:sectPr>
          <w:pgSz w:w="11910" w:h="16840"/>
          <w:pgMar w:top="1340" w:bottom="280" w:left="800" w:right="800"/>
        </w:sectPr>
      </w:pPr>
    </w:p>
    <w:p>
      <w:pPr>
        <w:pStyle w:val="Heading2"/>
        <w:numPr>
          <w:ilvl w:val="0"/>
          <w:numId w:val="12"/>
        </w:numPr>
        <w:tabs>
          <w:tab w:pos="975" w:val="left" w:leader="none"/>
          <w:tab w:pos="976" w:val="left" w:leader="none"/>
        </w:tabs>
        <w:spacing w:line="232" w:lineRule="auto" w:before="31" w:after="0"/>
        <w:ind w:left="976" w:right="0" w:hanging="591"/>
        <w:jc w:val="left"/>
      </w:pPr>
      <w:r>
        <w:rPr>
          <w:spacing w:val="22"/>
          <w:position w:val="1"/>
        </w:rPr>
        <w:t>多处臂丛神经根性</w:t>
      </w:r>
      <w:r>
        <w:rPr/>
        <w:t>撕脱</w:t>
      </w:r>
    </w:p>
    <w:p>
      <w:pPr>
        <w:pStyle w:val="BodyText"/>
        <w:spacing w:line="273" w:lineRule="auto" w:before="57"/>
        <w:ind w:left="151" w:right="210"/>
        <w:jc w:val="both"/>
      </w:pPr>
      <w:r>
        <w:rPr/>
        <w:br w:type="column"/>
      </w:r>
      <w:r>
        <w:rPr/>
        <w:t>指由于疾病或意外导致至少两根臂丛神经根性撕脱，所造成的手臂感觉功能与运动功能完全永久性丧失。该病须由医院专科医生明确诊断，并且有电生理检查结果证实。</w:t>
      </w:r>
    </w:p>
    <w:p>
      <w:pPr>
        <w:spacing w:after="0" w:line="273" w:lineRule="auto"/>
        <w:jc w:val="both"/>
        <w:sectPr>
          <w:type w:val="continuous"/>
          <w:pgSz w:w="11910" w:h="16840"/>
          <w:pgMar w:top="520" w:bottom="280" w:left="800" w:right="800"/>
          <w:cols w:num="2" w:equalWidth="0">
            <w:col w:w="3098" w:space="40"/>
            <w:col w:w="7172"/>
          </w:cols>
        </w:sectPr>
      </w:pPr>
    </w:p>
    <w:p>
      <w:pPr>
        <w:pStyle w:val="BodyText"/>
        <w:spacing w:before="12"/>
        <w:rPr>
          <w:sz w:val="17"/>
        </w:rPr>
      </w:pPr>
    </w:p>
    <w:p>
      <w:pPr>
        <w:spacing w:after="0"/>
        <w:rPr>
          <w:sz w:val="17"/>
        </w:rPr>
        <w:sectPr>
          <w:type w:val="continuous"/>
          <w:pgSz w:w="11910" w:h="16840"/>
          <w:pgMar w:top="520" w:bottom="280" w:left="800" w:right="800"/>
        </w:sectPr>
      </w:pPr>
    </w:p>
    <w:p>
      <w:pPr>
        <w:pStyle w:val="Heading2"/>
        <w:numPr>
          <w:ilvl w:val="0"/>
          <w:numId w:val="12"/>
        </w:numPr>
        <w:tabs>
          <w:tab w:pos="975" w:val="left" w:leader="none"/>
          <w:tab w:pos="976" w:val="left" w:leader="none"/>
        </w:tabs>
        <w:spacing w:line="232" w:lineRule="auto" w:before="30" w:after="0"/>
        <w:ind w:left="976" w:right="0" w:hanging="591"/>
        <w:jc w:val="left"/>
      </w:pPr>
      <w:r>
        <w:rPr>
          <w:spacing w:val="22"/>
          <w:position w:val="1"/>
        </w:rPr>
        <w:t>原发性脊柱侧弯的</w:t>
      </w:r>
      <w:r>
        <w:rPr/>
        <w:t>矫正手术</w:t>
      </w:r>
    </w:p>
    <w:p>
      <w:pPr>
        <w:pStyle w:val="BodyText"/>
        <w:spacing w:line="273" w:lineRule="auto" w:before="56"/>
        <w:ind w:left="151" w:right="205"/>
        <w:jc w:val="both"/>
      </w:pPr>
      <w:r>
        <w:rPr/>
        <w:br w:type="column"/>
      </w:r>
      <w:r>
        <w:rPr/>
        <w:t>指被保险人因原发性脊柱侧弯，实际实施了对该病的矫正外科手术。</w:t>
      </w:r>
      <w:r>
        <w:rPr>
          <w:shd w:fill="DADADA" w:color="auto" w:val="clear"/>
        </w:rPr>
        <w:t>但由于先天性脊柱侧弯以及其他疾病或意外导致的继发性脊柱侧弯而进行的手术治疗不属于本保障责任。</w:t>
      </w:r>
    </w:p>
    <w:p>
      <w:pPr>
        <w:spacing w:after="0" w:line="273" w:lineRule="auto"/>
        <w:jc w:val="both"/>
        <w:sectPr>
          <w:type w:val="continuous"/>
          <w:pgSz w:w="11910" w:h="16840"/>
          <w:pgMar w:top="520" w:bottom="280" w:left="800" w:right="800"/>
          <w:cols w:num="2" w:equalWidth="0">
            <w:col w:w="3098" w:space="40"/>
            <w:col w:w="7172"/>
          </w:cols>
        </w:sectPr>
      </w:pPr>
    </w:p>
    <w:p>
      <w:pPr>
        <w:pStyle w:val="BodyText"/>
        <w:spacing w:before="11"/>
        <w:rPr>
          <w:sz w:val="17"/>
        </w:rPr>
      </w:pPr>
    </w:p>
    <w:p>
      <w:pPr>
        <w:spacing w:after="0"/>
        <w:rPr>
          <w:sz w:val="17"/>
        </w:rPr>
        <w:sectPr>
          <w:type w:val="continuous"/>
          <w:pgSz w:w="11910" w:h="16840"/>
          <w:pgMar w:top="520" w:bottom="280" w:left="800" w:right="800"/>
        </w:sectPr>
      </w:pPr>
    </w:p>
    <w:p>
      <w:pPr>
        <w:pStyle w:val="Heading2"/>
        <w:numPr>
          <w:ilvl w:val="0"/>
          <w:numId w:val="12"/>
        </w:numPr>
        <w:tabs>
          <w:tab w:pos="975" w:val="left" w:leader="none"/>
          <w:tab w:pos="976" w:val="left" w:leader="none"/>
        </w:tabs>
        <w:spacing w:line="232" w:lineRule="auto" w:before="30" w:after="0"/>
        <w:ind w:left="976" w:right="0" w:hanging="591"/>
        <w:jc w:val="left"/>
      </w:pPr>
      <w:r>
        <w:rPr>
          <w:spacing w:val="22"/>
          <w:position w:val="1"/>
        </w:rPr>
        <w:t>溶血性链球菌引起</w:t>
      </w:r>
      <w:r>
        <w:rPr/>
        <w:t>的坏疽</w:t>
      </w:r>
    </w:p>
    <w:p>
      <w:pPr>
        <w:pStyle w:val="BodyText"/>
        <w:rPr>
          <w:rFonts w:ascii="等线"/>
          <w:b/>
          <w:sz w:val="24"/>
        </w:rPr>
      </w:pPr>
    </w:p>
    <w:p>
      <w:pPr>
        <w:pStyle w:val="BodyText"/>
        <w:spacing w:before="7"/>
        <w:rPr>
          <w:rFonts w:ascii="等线"/>
          <w:b/>
          <w:sz w:val="18"/>
        </w:rPr>
      </w:pPr>
    </w:p>
    <w:p>
      <w:pPr>
        <w:tabs>
          <w:tab w:pos="975" w:val="left" w:leader="none"/>
        </w:tabs>
        <w:spacing w:before="0"/>
        <w:ind w:left="313" w:right="0" w:firstLine="0"/>
        <w:jc w:val="left"/>
        <w:rPr>
          <w:b/>
          <w:sz w:val="24"/>
        </w:rPr>
      </w:pPr>
      <w:r>
        <w:rPr>
          <w:rFonts w:ascii="Arial" w:hAnsi="Arial" w:eastAsia="Arial"/>
          <w:b/>
          <w:position w:val="-8"/>
          <w:sz w:val="40"/>
        </w:rPr>
        <w:t></w:t>
        <w:tab/>
      </w:r>
      <w:r>
        <w:rPr>
          <w:b/>
          <w:w w:val="95"/>
          <w:sz w:val="24"/>
        </w:rPr>
        <w:t>需关注的其他内容</w:t>
      </w:r>
    </w:p>
    <w:p>
      <w:pPr>
        <w:pStyle w:val="BodyText"/>
        <w:spacing w:line="273" w:lineRule="auto" w:before="57"/>
        <w:ind w:left="151" w:right="210"/>
        <w:jc w:val="both"/>
      </w:pPr>
      <w:r>
        <w:rPr/>
        <w:br w:type="column"/>
      </w:r>
      <w:r>
        <w:rPr/>
        <w:t>指包围肢体或者躯干的浅筋膜或者深筋膜受到溶血性链球菌的感染，病情在短时间内急剧恶化，且已经立刻进行了手术。最后的诊断必须由微生物或者病理学专家进行相关检查后证实。</w:t>
      </w:r>
    </w:p>
    <w:p>
      <w:pPr>
        <w:spacing w:after="0" w:line="273" w:lineRule="auto"/>
        <w:jc w:val="both"/>
        <w:sectPr>
          <w:type w:val="continuous"/>
          <w:pgSz w:w="11910" w:h="16840"/>
          <w:pgMar w:top="520" w:bottom="280" w:left="800" w:right="800"/>
          <w:cols w:num="2" w:equalWidth="0">
            <w:col w:w="3098" w:space="40"/>
            <w:col w:w="7172"/>
          </w:cols>
        </w:sectPr>
      </w:pPr>
    </w:p>
    <w:p>
      <w:pPr>
        <w:pStyle w:val="Heading3"/>
        <w:spacing w:line="305" w:lineRule="exact"/>
      </w:pPr>
      <w:r>
        <w:rPr/>
        <w:t>这部分讲的是您应当注意的其他事项。</w:t>
      </w:r>
    </w:p>
    <w:p>
      <w:pPr>
        <w:pStyle w:val="BodyText"/>
        <w:spacing w:before="6"/>
        <w:rPr>
          <w:sz w:val="13"/>
        </w:rPr>
      </w:pPr>
      <w:r>
        <w:rPr/>
        <w:pict>
          <v:group style="position:absolute;margin-left:45.599998pt;margin-top:10.792495pt;width:504.25pt;height:1pt;mso-position-horizontal-relative:page;mso-position-vertical-relative:paragraph;z-index:1864;mso-wrap-distance-left:0;mso-wrap-distance-right:0" coordorigin="912,216" coordsize="10085,20">
            <v:line style="position:absolute" from="912,225" to="1670,225" stroked="true" strokeweight=".96pt" strokecolor="#000000">
              <v:stroke dashstyle="solid"/>
            </v:line>
            <v:rect style="position:absolute;left:1670;top:215;width:20;height:20" filled="true" fillcolor="#000000" stroked="false">
              <v:fill type="solid"/>
            </v:rect>
            <v:line style="position:absolute" from="1690,225" to="3984,225" stroked="true" strokeweight=".96pt" strokecolor="#000000">
              <v:stroke dashstyle="solid"/>
            </v:line>
            <v:rect style="position:absolute;left:3984;top:215;width:20;height:20" filled="true" fillcolor="#000000" stroked="false">
              <v:fill type="solid"/>
            </v:rect>
            <v:line style="position:absolute" from="4003,225" to="10997,225" stroked="true" strokeweight=".96pt" strokecolor="#000000">
              <v:stroke dashstyle="solid"/>
            </v:line>
            <w10:wrap type="topAndBottom"/>
          </v:group>
        </w:pict>
      </w:r>
    </w:p>
    <w:p>
      <w:pPr>
        <w:pStyle w:val="BodyText"/>
        <w:spacing w:before="10"/>
        <w:rPr>
          <w:sz w:val="11"/>
        </w:rPr>
      </w:pPr>
    </w:p>
    <w:p>
      <w:pPr>
        <w:pStyle w:val="ListParagraph"/>
        <w:numPr>
          <w:ilvl w:val="1"/>
          <w:numId w:val="13"/>
        </w:numPr>
        <w:tabs>
          <w:tab w:pos="971" w:val="left" w:leader="none"/>
          <w:tab w:pos="972" w:val="left" w:leader="none"/>
          <w:tab w:pos="3303" w:val="left" w:leader="none"/>
        </w:tabs>
        <w:spacing w:line="240" w:lineRule="auto" w:before="37" w:after="0"/>
        <w:ind w:left="971" w:right="0" w:hanging="643"/>
        <w:jc w:val="left"/>
        <w:rPr>
          <w:sz w:val="21"/>
        </w:rPr>
      </w:pPr>
      <w:r>
        <w:rPr>
          <w:b/>
          <w:sz w:val="21"/>
        </w:rPr>
        <w:t>合同构成</w:t>
        <w:tab/>
      </w:r>
      <w:r>
        <w:rPr>
          <w:sz w:val="21"/>
        </w:rPr>
        <w:t>本保险条款</w:t>
      </w:r>
      <w:r>
        <w:rPr>
          <w:spacing w:val="-29"/>
          <w:sz w:val="21"/>
        </w:rPr>
        <w:t>、</w:t>
      </w:r>
      <w:r>
        <w:rPr>
          <w:sz w:val="21"/>
        </w:rPr>
        <w:t>保险单</w:t>
      </w:r>
      <w:r>
        <w:rPr>
          <w:spacing w:val="-5"/>
          <w:sz w:val="21"/>
        </w:rPr>
        <w:t>或</w:t>
      </w:r>
      <w:r>
        <w:rPr>
          <w:sz w:val="21"/>
        </w:rPr>
        <w:t>其他保</w:t>
      </w:r>
      <w:r>
        <w:rPr>
          <w:spacing w:val="-5"/>
          <w:sz w:val="21"/>
        </w:rPr>
        <w:t>险</w:t>
      </w:r>
      <w:r>
        <w:rPr>
          <w:sz w:val="21"/>
        </w:rPr>
        <w:t>凭证</w:t>
      </w:r>
      <w:r>
        <w:rPr>
          <w:spacing w:val="-24"/>
          <w:sz w:val="21"/>
        </w:rPr>
        <w:t>、</w:t>
      </w:r>
      <w:r>
        <w:rPr>
          <w:sz w:val="21"/>
        </w:rPr>
        <w:t>投</w:t>
      </w:r>
      <w:r>
        <w:rPr>
          <w:spacing w:val="-5"/>
          <w:sz w:val="21"/>
        </w:rPr>
        <w:t>保</w:t>
      </w:r>
      <w:r>
        <w:rPr>
          <w:sz w:val="21"/>
        </w:rPr>
        <w:t>书</w:t>
      </w:r>
      <w:r>
        <w:rPr>
          <w:spacing w:val="-24"/>
          <w:sz w:val="21"/>
        </w:rPr>
        <w:t>、</w:t>
      </w:r>
      <w:r>
        <w:rPr>
          <w:sz w:val="21"/>
        </w:rPr>
        <w:t>与</w:t>
      </w:r>
      <w:r>
        <w:rPr>
          <w:spacing w:val="-5"/>
          <w:sz w:val="21"/>
        </w:rPr>
        <w:t>保</w:t>
      </w:r>
      <w:r>
        <w:rPr>
          <w:sz w:val="21"/>
        </w:rPr>
        <w:t>险合同有</w:t>
      </w:r>
      <w:r>
        <w:rPr>
          <w:spacing w:val="-5"/>
          <w:sz w:val="21"/>
        </w:rPr>
        <w:t>关</w:t>
      </w:r>
      <w:r>
        <w:rPr>
          <w:sz w:val="21"/>
        </w:rPr>
        <w:t>的投保文</w:t>
      </w:r>
    </w:p>
    <w:p>
      <w:pPr>
        <w:pStyle w:val="BodyText"/>
        <w:spacing w:line="273" w:lineRule="auto" w:before="37"/>
        <w:ind w:left="3304" w:right="340"/>
      </w:pPr>
      <w:r>
        <w:rPr>
          <w:spacing w:val="-9"/>
        </w:rPr>
        <w:t>件、合法有效的声明、批注、批单、附加险合同、其他书面协议都是您与</w:t>
      </w:r>
      <w:r>
        <w:rPr>
          <w:spacing w:val="-7"/>
        </w:rPr>
        <w:t>我们之间订立的保险合同的构成部分。</w:t>
      </w:r>
    </w:p>
    <w:p>
      <w:pPr>
        <w:pStyle w:val="BodyText"/>
        <w:spacing w:before="8"/>
        <w:rPr>
          <w:sz w:val="26"/>
        </w:rPr>
      </w:pPr>
    </w:p>
    <w:p>
      <w:pPr>
        <w:pStyle w:val="ListParagraph"/>
        <w:numPr>
          <w:ilvl w:val="1"/>
          <w:numId w:val="13"/>
        </w:numPr>
        <w:tabs>
          <w:tab w:pos="971" w:val="left" w:leader="none"/>
          <w:tab w:pos="972" w:val="left" w:leader="none"/>
          <w:tab w:pos="3303" w:val="left" w:leader="none"/>
        </w:tabs>
        <w:spacing w:line="240" w:lineRule="auto" w:before="0" w:after="0"/>
        <w:ind w:left="971" w:right="0" w:hanging="643"/>
        <w:jc w:val="left"/>
        <w:rPr>
          <w:sz w:val="21"/>
        </w:rPr>
      </w:pPr>
      <w:r>
        <w:rPr>
          <w:b/>
          <w:sz w:val="21"/>
        </w:rPr>
        <w:t>合同成立与生效</w:t>
        <w:tab/>
      </w:r>
      <w:r>
        <w:rPr>
          <w:sz w:val="21"/>
        </w:rPr>
        <w:t>您提出保</w:t>
      </w:r>
      <w:r>
        <w:rPr>
          <w:spacing w:val="-5"/>
          <w:sz w:val="21"/>
        </w:rPr>
        <w:t>险</w:t>
      </w:r>
      <w:r>
        <w:rPr>
          <w:sz w:val="21"/>
        </w:rPr>
        <w:t>申请、</w:t>
      </w:r>
      <w:r>
        <w:rPr>
          <w:spacing w:val="-5"/>
          <w:sz w:val="21"/>
        </w:rPr>
        <w:t>我</w:t>
      </w:r>
      <w:r>
        <w:rPr>
          <w:sz w:val="21"/>
        </w:rPr>
        <w:t>们同意</w:t>
      </w:r>
      <w:r>
        <w:rPr>
          <w:spacing w:val="-5"/>
          <w:sz w:val="21"/>
        </w:rPr>
        <w:t>承</w:t>
      </w:r>
      <w:r>
        <w:rPr>
          <w:sz w:val="21"/>
        </w:rPr>
        <w:t>保，本</w:t>
      </w:r>
      <w:r>
        <w:rPr>
          <w:spacing w:val="-5"/>
          <w:sz w:val="21"/>
        </w:rPr>
        <w:t>主</w:t>
      </w:r>
      <w:r>
        <w:rPr>
          <w:sz w:val="21"/>
        </w:rPr>
        <w:t>险合同</w:t>
      </w:r>
      <w:r>
        <w:rPr>
          <w:spacing w:val="-5"/>
          <w:sz w:val="21"/>
        </w:rPr>
        <w:t>成</w:t>
      </w:r>
      <w:r>
        <w:rPr>
          <w:sz w:val="21"/>
        </w:rPr>
        <w:t>立。</w:t>
      </w:r>
    </w:p>
    <w:p>
      <w:pPr>
        <w:pStyle w:val="BodyText"/>
        <w:spacing w:line="273" w:lineRule="auto" w:before="37"/>
        <w:ind w:left="3304" w:right="278"/>
      </w:pPr>
      <w:r>
        <w:rPr/>
        <w:t>本主险合同自我们同意承保、收取首期保险费并签发保险单开始生效，具体生效日以保险单所载的日期为准。</w:t>
      </w:r>
    </w:p>
    <w:p>
      <w:pPr>
        <w:pStyle w:val="BodyText"/>
        <w:spacing w:line="273" w:lineRule="auto" w:before="7"/>
        <w:ind w:left="3304" w:right="340"/>
      </w:pPr>
      <w:r>
        <w:rPr>
          <w:spacing w:val="-9"/>
        </w:rPr>
        <w:t>本主险合同生效日以后每年的对应日是保单周年日。保单年度、保险费约</w:t>
      </w:r>
      <w:r>
        <w:rPr>
          <w:spacing w:val="-7"/>
        </w:rPr>
        <w:t>定支付日均以该日期计算。</w:t>
      </w:r>
    </w:p>
    <w:p>
      <w:pPr>
        <w:pStyle w:val="BodyText"/>
        <w:spacing w:before="7"/>
        <w:ind w:left="3303"/>
      </w:pPr>
      <w:r>
        <w:rPr/>
        <w:t>如果当月无对应的同一日，则以该月最后一日作为对应日。</w:t>
      </w:r>
    </w:p>
    <w:p>
      <w:pPr>
        <w:pStyle w:val="BodyText"/>
        <w:spacing w:before="11"/>
        <w:rPr>
          <w:sz w:val="28"/>
        </w:rPr>
      </w:pPr>
    </w:p>
    <w:p>
      <w:pPr>
        <w:pStyle w:val="ListParagraph"/>
        <w:numPr>
          <w:ilvl w:val="1"/>
          <w:numId w:val="13"/>
        </w:numPr>
        <w:tabs>
          <w:tab w:pos="971" w:val="left" w:leader="none"/>
          <w:tab w:pos="972" w:val="left" w:leader="none"/>
          <w:tab w:pos="3303" w:val="left" w:leader="none"/>
        </w:tabs>
        <w:spacing w:line="240" w:lineRule="auto" w:before="0" w:after="0"/>
        <w:ind w:left="971" w:right="0" w:hanging="643"/>
        <w:jc w:val="left"/>
        <w:rPr>
          <w:sz w:val="21"/>
        </w:rPr>
      </w:pPr>
      <w:r>
        <w:rPr>
          <w:b/>
          <w:sz w:val="21"/>
        </w:rPr>
        <w:t>投保年龄</w:t>
        <w:tab/>
      </w:r>
      <w:r>
        <w:rPr>
          <w:sz w:val="21"/>
        </w:rPr>
        <w:t>指投保时</w:t>
      </w:r>
      <w:r>
        <w:rPr>
          <w:spacing w:val="-5"/>
          <w:sz w:val="21"/>
        </w:rPr>
        <w:t>被</w:t>
      </w:r>
      <w:r>
        <w:rPr>
          <w:sz w:val="21"/>
        </w:rPr>
        <w:t>保险人</w:t>
      </w:r>
      <w:r>
        <w:rPr>
          <w:spacing w:val="-5"/>
          <w:sz w:val="21"/>
        </w:rPr>
        <w:t>的</w:t>
      </w:r>
      <w:r>
        <w:rPr>
          <w:sz w:val="21"/>
        </w:rPr>
        <w:t>年龄</w:t>
      </w:r>
      <w:r>
        <w:rPr>
          <w:spacing w:val="-34"/>
          <w:sz w:val="21"/>
        </w:rPr>
        <w:t>，</w:t>
      </w:r>
      <w:r>
        <w:rPr>
          <w:spacing w:val="-5"/>
          <w:sz w:val="21"/>
        </w:rPr>
        <w:t>投</w:t>
      </w:r>
      <w:r>
        <w:rPr>
          <w:sz w:val="21"/>
        </w:rPr>
        <w:t>保年龄</w:t>
      </w:r>
      <w:r>
        <w:rPr>
          <w:spacing w:val="-5"/>
          <w:sz w:val="21"/>
        </w:rPr>
        <w:t>以</w:t>
      </w:r>
      <w:r>
        <w:rPr>
          <w:sz w:val="21"/>
        </w:rPr>
        <w:t>周岁计</w:t>
      </w:r>
      <w:r>
        <w:rPr>
          <w:spacing w:val="-5"/>
          <w:sz w:val="21"/>
        </w:rPr>
        <w:t>算</w:t>
      </w:r>
      <w:r>
        <w:rPr>
          <w:spacing w:val="-34"/>
          <w:sz w:val="21"/>
        </w:rPr>
        <w:t>。</w:t>
      </w:r>
      <w:r>
        <w:rPr>
          <w:spacing w:val="-5"/>
          <w:sz w:val="21"/>
        </w:rPr>
        <w:t>本</w:t>
      </w:r>
      <w:r>
        <w:rPr>
          <w:sz w:val="21"/>
        </w:rPr>
        <w:t>主险合同</w:t>
      </w:r>
      <w:r>
        <w:rPr>
          <w:spacing w:val="-5"/>
          <w:sz w:val="21"/>
        </w:rPr>
        <w:t>接</w:t>
      </w:r>
      <w:r>
        <w:rPr>
          <w:sz w:val="21"/>
        </w:rPr>
        <w:t>受的投保</w:t>
      </w:r>
    </w:p>
    <w:p>
      <w:pPr>
        <w:pStyle w:val="BodyText"/>
        <w:spacing w:before="36"/>
        <w:ind w:left="3304"/>
      </w:pPr>
      <w:r>
        <w:rPr/>
        <w:t>年龄为 18 周岁至 55 周岁。</w:t>
      </w:r>
    </w:p>
    <w:p>
      <w:pPr>
        <w:pStyle w:val="BodyText"/>
        <w:spacing w:before="11"/>
        <w:rPr>
          <w:sz w:val="28"/>
        </w:rPr>
      </w:pPr>
    </w:p>
    <w:p>
      <w:pPr>
        <w:pStyle w:val="ListParagraph"/>
        <w:numPr>
          <w:ilvl w:val="1"/>
          <w:numId w:val="13"/>
        </w:numPr>
        <w:tabs>
          <w:tab w:pos="971" w:val="left" w:leader="none"/>
          <w:tab w:pos="972" w:val="left" w:leader="none"/>
          <w:tab w:pos="3303" w:val="left" w:leader="none"/>
        </w:tabs>
        <w:spacing w:line="240" w:lineRule="auto" w:before="0" w:after="0"/>
        <w:ind w:left="971" w:right="0" w:hanging="643"/>
        <w:jc w:val="left"/>
        <w:rPr>
          <w:sz w:val="21"/>
        </w:rPr>
      </w:pPr>
      <w:r>
        <w:rPr>
          <w:b/>
          <w:sz w:val="21"/>
        </w:rPr>
        <w:t>年龄错误</w:t>
        <w:tab/>
      </w:r>
      <w:r>
        <w:rPr>
          <w:sz w:val="21"/>
        </w:rPr>
        <w:t>您在申请</w:t>
      </w:r>
      <w:r>
        <w:rPr>
          <w:spacing w:val="-5"/>
          <w:sz w:val="21"/>
        </w:rPr>
        <w:t>投</w:t>
      </w:r>
      <w:r>
        <w:rPr>
          <w:sz w:val="21"/>
        </w:rPr>
        <w:t>保时</w:t>
      </w:r>
      <w:r>
        <w:rPr>
          <w:spacing w:val="-72"/>
          <w:sz w:val="21"/>
        </w:rPr>
        <w:t>，</w:t>
      </w:r>
      <w:r>
        <w:rPr>
          <w:sz w:val="21"/>
        </w:rPr>
        <w:t>应将</w:t>
      </w:r>
      <w:r>
        <w:rPr>
          <w:spacing w:val="-5"/>
          <w:sz w:val="21"/>
        </w:rPr>
        <w:t>与</w:t>
      </w:r>
      <w:r>
        <w:rPr>
          <w:sz w:val="21"/>
        </w:rPr>
        <w:t>有效身</w:t>
      </w:r>
      <w:r>
        <w:rPr>
          <w:spacing w:val="-5"/>
          <w:sz w:val="21"/>
        </w:rPr>
        <w:t>份</w:t>
      </w:r>
      <w:r>
        <w:rPr>
          <w:sz w:val="21"/>
        </w:rPr>
        <w:t>证件相</w:t>
      </w:r>
      <w:r>
        <w:rPr>
          <w:spacing w:val="-5"/>
          <w:sz w:val="21"/>
        </w:rPr>
        <w:t>符</w:t>
      </w:r>
      <w:r>
        <w:rPr>
          <w:sz w:val="21"/>
        </w:rPr>
        <w:t>的被保</w:t>
      </w:r>
      <w:r>
        <w:rPr>
          <w:spacing w:val="-5"/>
          <w:sz w:val="21"/>
        </w:rPr>
        <w:t>险</w:t>
      </w:r>
      <w:r>
        <w:rPr>
          <w:sz w:val="21"/>
        </w:rPr>
        <w:t>人的出生</w:t>
      </w:r>
      <w:r>
        <w:rPr>
          <w:spacing w:val="-5"/>
          <w:sz w:val="21"/>
        </w:rPr>
        <w:t>日</w:t>
      </w:r>
      <w:r>
        <w:rPr>
          <w:sz w:val="21"/>
        </w:rPr>
        <w:t>期在投保</w:t>
      </w:r>
    </w:p>
    <w:p>
      <w:pPr>
        <w:pStyle w:val="BodyText"/>
        <w:spacing w:before="37"/>
        <w:ind w:left="3303"/>
      </w:pPr>
      <w:r>
        <w:rPr/>
        <w:t>书上填明，如果发生错误按照下列方式办理：</w:t>
      </w:r>
    </w:p>
    <w:p>
      <w:pPr>
        <w:pStyle w:val="BodyText"/>
        <w:spacing w:line="273" w:lineRule="auto" w:before="37"/>
        <w:ind w:left="3807" w:right="244" w:hanging="504"/>
      </w:pPr>
      <w:r>
        <w:rPr/>
        <w:t>（1）您申报的被保险人年龄不真实，并且其真实年龄不符合本主险合同约定投保年龄限制的，我们有权解除合同，并向您退还本主险合同</w:t>
      </w:r>
      <w:r>
        <w:rPr>
          <w:spacing w:val="-4"/>
        </w:rPr>
        <w:t>的现金价值。我们行使合同解除权适用</w:t>
      </w:r>
      <w:r>
        <w:rPr/>
        <w:t>“9.5</w:t>
      </w:r>
      <w:r>
        <w:rPr>
          <w:spacing w:val="-6"/>
        </w:rPr>
        <w:t> 明确说明与如实告知” </w:t>
      </w:r>
      <w:r>
        <w:rPr>
          <w:spacing w:val="-5"/>
        </w:rPr>
        <w:t>中合同解除权限制的规定；</w:t>
      </w:r>
    </w:p>
    <w:p>
      <w:pPr>
        <w:pStyle w:val="BodyText"/>
        <w:spacing w:line="273" w:lineRule="auto" w:before="8"/>
        <w:ind w:left="3808" w:right="345" w:hanging="504"/>
        <w:jc w:val="both"/>
      </w:pPr>
      <w:r>
        <w:rPr/>
        <w:t>（2）</w:t>
      </w:r>
      <w:r>
        <w:rPr>
          <w:shd w:fill="DADADA" w:color="auto" w:val="clear"/>
        </w:rPr>
        <w:t>您申报的被保险人年龄不真实，致使您实付保险费少于应付保险费的，我们有权更正</w:t>
      </w:r>
      <w:r>
        <w:rPr>
          <w:spacing w:val="-212"/>
          <w:shd w:fill="DADADA" w:color="auto" w:val="clear"/>
        </w:rPr>
        <w:t>并</w:t>
      </w:r>
      <w:r>
        <w:rPr>
          <w:shd w:fill="DADADA" w:color="auto" w:val="clear"/>
        </w:rPr>
        <w:t>要求您补交保险费。若已经发生保险事故，在给</w:t>
      </w:r>
      <w:r>
        <w:rPr>
          <w:spacing w:val="-5"/>
          <w:shd w:fill="DADADA" w:color="auto" w:val="clear"/>
        </w:rPr>
        <w:t>付保险金时按实付保险费和应付保险费的比例给付；</w:t>
      </w:r>
    </w:p>
    <w:p>
      <w:pPr>
        <w:pStyle w:val="BodyText"/>
        <w:spacing w:line="273" w:lineRule="auto" w:before="8"/>
        <w:ind w:left="3807" w:right="345" w:hanging="504"/>
      </w:pPr>
      <w:r>
        <w:rPr/>
        <w:t>（3）您申报的被保险人年龄不真实，致使您实付保险费多于应付保险费的，我们会将多收的保险费退还给您。</w:t>
      </w:r>
    </w:p>
    <w:p>
      <w:pPr>
        <w:spacing w:after="0" w:line="273" w:lineRule="auto"/>
        <w:sectPr>
          <w:type w:val="continuous"/>
          <w:pgSz w:w="11910" w:h="16840"/>
          <w:pgMar w:top="520" w:bottom="280" w:left="800" w:right="8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2280"/>
        <w:gridCol w:w="7141"/>
      </w:tblGrid>
      <w:tr>
        <w:trPr>
          <w:trHeight w:val="5395" w:hRule="atLeast"/>
        </w:trPr>
        <w:tc>
          <w:tcPr>
            <w:tcW w:w="680" w:type="dxa"/>
          </w:tcPr>
          <w:p>
            <w:pPr>
              <w:pStyle w:val="TableParagraph"/>
              <w:spacing w:line="211" w:lineRule="exact"/>
              <w:ind w:left="179" w:right="143"/>
              <w:jc w:val="center"/>
              <w:rPr>
                <w:b/>
                <w:sz w:val="21"/>
              </w:rPr>
            </w:pPr>
            <w:r>
              <w:rPr>
                <w:b/>
                <w:sz w:val="21"/>
              </w:rPr>
              <w:t>9.5</w:t>
            </w:r>
          </w:p>
        </w:tc>
        <w:tc>
          <w:tcPr>
            <w:tcW w:w="2280" w:type="dxa"/>
          </w:tcPr>
          <w:p>
            <w:pPr>
              <w:pStyle w:val="TableParagraph"/>
              <w:spacing w:line="211" w:lineRule="exact"/>
              <w:ind w:left="163"/>
              <w:rPr>
                <w:b/>
                <w:sz w:val="21"/>
              </w:rPr>
            </w:pPr>
            <w:r>
              <w:rPr>
                <w:b/>
                <w:sz w:val="21"/>
              </w:rPr>
              <w:t>明确说明与如实告知</w:t>
            </w:r>
          </w:p>
        </w:tc>
        <w:tc>
          <w:tcPr>
            <w:tcW w:w="7141" w:type="dxa"/>
          </w:tcPr>
          <w:p>
            <w:pPr>
              <w:pStyle w:val="TableParagraph"/>
              <w:spacing w:line="211" w:lineRule="exact"/>
              <w:ind w:left="215"/>
              <w:rPr>
                <w:sz w:val="21"/>
              </w:rPr>
            </w:pPr>
            <w:r>
              <w:rPr>
                <w:sz w:val="21"/>
              </w:rPr>
              <w:t>订立本主险合同时，我们会向您说明本主险合同的内容。对本主险合同中</w:t>
            </w:r>
          </w:p>
          <w:p>
            <w:pPr>
              <w:pStyle w:val="TableParagraph"/>
              <w:spacing w:line="273" w:lineRule="auto" w:before="37"/>
              <w:ind w:left="216" w:right="265" w:hanging="1"/>
              <w:jc w:val="both"/>
              <w:rPr>
                <w:sz w:val="21"/>
              </w:rPr>
            </w:pPr>
            <w:r>
              <w:rPr>
                <w:spacing w:val="-8"/>
                <w:sz w:val="21"/>
              </w:rPr>
              <w:t>免除我们责任的条款，我们在订立合同时会在投保书、保险单或其他保险</w:t>
            </w:r>
            <w:r>
              <w:rPr>
                <w:spacing w:val="-11"/>
                <w:sz w:val="21"/>
              </w:rPr>
              <w:t>凭证上作出足以引起您注意的提示，并对该条款的内容以书面或口头形式</w:t>
            </w:r>
            <w:r>
              <w:rPr>
                <w:spacing w:val="-7"/>
                <w:sz w:val="21"/>
              </w:rPr>
              <w:t>向您作出明确说明，未作提示或者明确说明的，该条款不产生效力。</w:t>
            </w:r>
          </w:p>
          <w:p>
            <w:pPr>
              <w:pStyle w:val="TableParagraph"/>
              <w:spacing w:before="7"/>
              <w:ind w:left="216"/>
              <w:rPr>
                <w:sz w:val="21"/>
              </w:rPr>
            </w:pPr>
            <w:r>
              <w:rPr>
                <w:sz w:val="21"/>
              </w:rPr>
              <w:t>我们就您和被保险人的有关情况提出询问，您应当如实告知。</w:t>
            </w:r>
          </w:p>
          <w:p>
            <w:pPr>
              <w:pStyle w:val="TableParagraph"/>
              <w:spacing w:line="273" w:lineRule="auto" w:before="36"/>
              <w:ind w:left="215" w:right="259"/>
              <w:rPr>
                <w:sz w:val="21"/>
              </w:rPr>
            </w:pPr>
            <w:r>
              <w:rPr>
                <w:spacing w:val="-8"/>
                <w:sz w:val="21"/>
              </w:rPr>
              <w:t>如果您故意或者因重大过失未履行前款规定的如实告知义务，足以影响我</w:t>
            </w:r>
            <w:r>
              <w:rPr>
                <w:spacing w:val="-6"/>
                <w:sz w:val="21"/>
              </w:rPr>
              <w:t>们决定是否同意承保或者提高保险费率的，我们有权解除本主险合同。</w:t>
            </w:r>
            <w:r>
              <w:rPr>
                <w:sz w:val="21"/>
              </w:rPr>
              <w:t>如果您故意不履行如实告知义务，对于本主险合同解除前发生的保险事</w:t>
            </w:r>
            <w:r>
              <w:rPr>
                <w:spacing w:val="-5"/>
                <w:sz w:val="21"/>
              </w:rPr>
              <w:t>故，我们不承担给付保险金的责任，并不退还保险费。</w:t>
            </w:r>
          </w:p>
          <w:p>
            <w:pPr>
              <w:pStyle w:val="TableParagraph"/>
              <w:spacing w:line="273" w:lineRule="auto" w:before="7"/>
              <w:ind w:left="215" w:right="259"/>
              <w:jc w:val="both"/>
              <w:rPr>
                <w:sz w:val="21"/>
              </w:rPr>
            </w:pPr>
            <w:r>
              <w:rPr>
                <w:sz w:val="21"/>
              </w:rPr>
              <w:t>如果您因重大过失未履行如实告知义务，对保险事故的发生有严重影响</w:t>
            </w:r>
            <w:r>
              <w:rPr>
                <w:spacing w:val="-9"/>
                <w:sz w:val="21"/>
              </w:rPr>
              <w:t>的，对于本主险合同解除前发生的保险事故，我们不承担给付保险金的责</w:t>
            </w:r>
            <w:r>
              <w:rPr>
                <w:spacing w:val="-7"/>
                <w:sz w:val="21"/>
              </w:rPr>
              <w:t>任，但会退还保险费。</w:t>
            </w:r>
          </w:p>
          <w:p>
            <w:pPr>
              <w:pStyle w:val="TableParagraph"/>
              <w:spacing w:line="273" w:lineRule="auto" w:before="7"/>
              <w:ind w:left="215" w:right="198"/>
              <w:rPr>
                <w:sz w:val="21"/>
              </w:rPr>
            </w:pPr>
            <w:r>
              <w:rPr>
                <w:sz w:val="21"/>
              </w:rPr>
              <w:t>我们在合同订立时已经知道您未如实告知的情况的，我们不得解除合同； 发生保险事故的，我们承担给付保险金的责任。</w:t>
            </w:r>
          </w:p>
          <w:p>
            <w:pPr>
              <w:pStyle w:val="TableParagraph"/>
              <w:spacing w:before="7"/>
              <w:ind w:left="216"/>
              <w:rPr>
                <w:sz w:val="21"/>
              </w:rPr>
            </w:pPr>
            <w:r>
              <w:rPr>
                <w:sz w:val="21"/>
              </w:rPr>
              <w:t>上述合同解除权，自我们知道有解除事由之日起，超过 30 日不行使而消</w:t>
            </w:r>
          </w:p>
          <w:p>
            <w:pPr>
              <w:pStyle w:val="TableParagraph"/>
              <w:spacing w:line="273" w:lineRule="auto" w:before="37"/>
              <w:ind w:left="216" w:right="265"/>
              <w:rPr>
                <w:sz w:val="21"/>
              </w:rPr>
            </w:pPr>
            <w:r>
              <w:rPr>
                <w:spacing w:val="-7"/>
                <w:sz w:val="21"/>
              </w:rPr>
              <w:t>灭。自本主险合同成立之日起超过 </w:t>
            </w:r>
            <w:r>
              <w:rPr>
                <w:sz w:val="21"/>
              </w:rPr>
              <w:t>2</w:t>
            </w:r>
            <w:r>
              <w:rPr>
                <w:spacing w:val="-11"/>
                <w:sz w:val="21"/>
              </w:rPr>
              <w:t> 年的，我们不得解除合同；发生保险</w:t>
            </w:r>
            <w:r>
              <w:rPr>
                <w:spacing w:val="-7"/>
                <w:sz w:val="21"/>
              </w:rPr>
              <w:t>事故的，我们承担给付保险金的责任。</w:t>
            </w:r>
          </w:p>
        </w:tc>
      </w:tr>
      <w:tr>
        <w:trPr>
          <w:trHeight w:val="936" w:hRule="atLeast"/>
        </w:trPr>
        <w:tc>
          <w:tcPr>
            <w:tcW w:w="680" w:type="dxa"/>
          </w:tcPr>
          <w:p>
            <w:pPr>
              <w:pStyle w:val="TableParagraph"/>
              <w:spacing w:before="128"/>
              <w:ind w:left="179" w:right="143"/>
              <w:jc w:val="center"/>
              <w:rPr>
                <w:b/>
                <w:sz w:val="21"/>
              </w:rPr>
            </w:pPr>
            <w:r>
              <w:rPr>
                <w:b/>
                <w:sz w:val="21"/>
              </w:rPr>
              <w:t>9.6</w:t>
            </w:r>
          </w:p>
        </w:tc>
        <w:tc>
          <w:tcPr>
            <w:tcW w:w="2280" w:type="dxa"/>
          </w:tcPr>
          <w:p>
            <w:pPr>
              <w:pStyle w:val="TableParagraph"/>
              <w:spacing w:before="128"/>
              <w:ind w:left="163"/>
              <w:rPr>
                <w:b/>
                <w:sz w:val="21"/>
              </w:rPr>
            </w:pPr>
            <w:r>
              <w:rPr>
                <w:b/>
                <w:sz w:val="21"/>
              </w:rPr>
              <w:t>未还款项</w:t>
            </w:r>
          </w:p>
        </w:tc>
        <w:tc>
          <w:tcPr>
            <w:tcW w:w="7141" w:type="dxa"/>
          </w:tcPr>
          <w:p>
            <w:pPr>
              <w:pStyle w:val="TableParagraph"/>
              <w:spacing w:line="273" w:lineRule="auto" w:before="128"/>
              <w:ind w:left="215" w:right="265"/>
              <w:rPr>
                <w:sz w:val="21"/>
              </w:rPr>
            </w:pPr>
            <w:r>
              <w:rPr>
                <w:spacing w:val="-7"/>
                <w:sz w:val="21"/>
              </w:rPr>
              <w:t>我们在给付各项保险金、退还现金价值或返还保险费时，如果您有欠交的</w:t>
            </w:r>
            <w:r>
              <w:rPr>
                <w:spacing w:val="-6"/>
                <w:sz w:val="21"/>
              </w:rPr>
              <w:t>保险费或其他未还清款项，我们会在扣除上述欠款及应付利息后给付。</w:t>
            </w:r>
          </w:p>
        </w:tc>
      </w:tr>
      <w:tr>
        <w:trPr>
          <w:trHeight w:val="2184" w:hRule="atLeast"/>
        </w:trPr>
        <w:tc>
          <w:tcPr>
            <w:tcW w:w="680" w:type="dxa"/>
          </w:tcPr>
          <w:p>
            <w:pPr>
              <w:pStyle w:val="TableParagraph"/>
              <w:spacing w:before="157"/>
              <w:ind w:left="179" w:right="143"/>
              <w:jc w:val="center"/>
              <w:rPr>
                <w:b/>
                <w:sz w:val="21"/>
              </w:rPr>
            </w:pPr>
            <w:r>
              <w:rPr>
                <w:b/>
                <w:sz w:val="21"/>
              </w:rPr>
              <w:t>9.7</w:t>
            </w:r>
          </w:p>
        </w:tc>
        <w:tc>
          <w:tcPr>
            <w:tcW w:w="2280" w:type="dxa"/>
          </w:tcPr>
          <w:p>
            <w:pPr>
              <w:pStyle w:val="TableParagraph"/>
              <w:spacing w:before="157"/>
              <w:ind w:left="163"/>
              <w:rPr>
                <w:b/>
                <w:sz w:val="21"/>
              </w:rPr>
            </w:pPr>
            <w:r>
              <w:rPr>
                <w:b/>
                <w:sz w:val="21"/>
              </w:rPr>
              <w:t>合同内容变更</w:t>
            </w:r>
          </w:p>
        </w:tc>
        <w:tc>
          <w:tcPr>
            <w:tcW w:w="7141" w:type="dxa"/>
          </w:tcPr>
          <w:p>
            <w:pPr>
              <w:pStyle w:val="TableParagraph"/>
              <w:spacing w:line="273" w:lineRule="auto" w:before="157"/>
              <w:ind w:left="215" w:right="265"/>
              <w:jc w:val="both"/>
              <w:rPr>
                <w:sz w:val="21"/>
              </w:rPr>
            </w:pPr>
            <w:r>
              <w:rPr>
                <w:spacing w:val="-7"/>
                <w:sz w:val="21"/>
              </w:rPr>
              <w:t>在本主险合同保险期间内，经您与我们协商一致，可以变更本主险合同的有关内容。</w:t>
            </w:r>
          </w:p>
          <w:p>
            <w:pPr>
              <w:pStyle w:val="TableParagraph"/>
              <w:spacing w:line="273" w:lineRule="auto" w:before="7"/>
              <w:ind w:left="215" w:right="198"/>
              <w:jc w:val="both"/>
              <w:rPr>
                <w:sz w:val="21"/>
              </w:rPr>
            </w:pPr>
            <w:r>
              <w:rPr>
                <w:spacing w:val="-5"/>
                <w:sz w:val="21"/>
              </w:rPr>
              <w:t>为了保障您的合法权益，您的住所、通讯地址或电话等联系方式变更时， </w:t>
            </w:r>
            <w:r>
              <w:rPr>
                <w:spacing w:val="-8"/>
                <w:sz w:val="21"/>
              </w:rPr>
              <w:t>请及时以书面形式或双方认可的其他形式通知我们。若您未以书面形式或</w:t>
            </w:r>
            <w:r>
              <w:rPr>
                <w:spacing w:val="-11"/>
                <w:sz w:val="21"/>
              </w:rPr>
              <w:t>双方认可的其他形式通知我们，我们按本主险合同载明的最后住所或通讯</w:t>
            </w:r>
            <w:r>
              <w:rPr>
                <w:spacing w:val="-7"/>
                <w:sz w:val="21"/>
              </w:rPr>
              <w:t>地址所发送的有关通知，均视为已送达给您。</w:t>
            </w:r>
          </w:p>
        </w:tc>
      </w:tr>
      <w:tr>
        <w:trPr>
          <w:trHeight w:val="715" w:hRule="atLeast"/>
        </w:trPr>
        <w:tc>
          <w:tcPr>
            <w:tcW w:w="680" w:type="dxa"/>
          </w:tcPr>
          <w:p>
            <w:pPr>
              <w:pStyle w:val="TableParagraph"/>
              <w:spacing w:before="128"/>
              <w:ind w:left="179" w:right="143"/>
              <w:jc w:val="center"/>
              <w:rPr>
                <w:b/>
                <w:sz w:val="21"/>
              </w:rPr>
            </w:pPr>
            <w:r>
              <w:rPr>
                <w:b/>
                <w:sz w:val="21"/>
              </w:rPr>
              <w:t>9.8</w:t>
            </w:r>
          </w:p>
        </w:tc>
        <w:tc>
          <w:tcPr>
            <w:tcW w:w="2280" w:type="dxa"/>
          </w:tcPr>
          <w:p>
            <w:pPr>
              <w:pStyle w:val="TableParagraph"/>
              <w:spacing w:before="128"/>
              <w:ind w:left="163"/>
              <w:rPr>
                <w:b/>
                <w:sz w:val="21"/>
              </w:rPr>
            </w:pPr>
            <w:r>
              <w:rPr>
                <w:b/>
                <w:sz w:val="21"/>
              </w:rPr>
              <w:t>争议处理</w:t>
            </w:r>
          </w:p>
        </w:tc>
        <w:tc>
          <w:tcPr>
            <w:tcW w:w="7141" w:type="dxa"/>
          </w:tcPr>
          <w:p>
            <w:pPr>
              <w:pStyle w:val="TableParagraph"/>
              <w:spacing w:line="310" w:lineRule="atLeast" w:before="93"/>
              <w:ind w:left="215" w:right="265"/>
              <w:rPr>
                <w:sz w:val="21"/>
              </w:rPr>
            </w:pPr>
            <w:r>
              <w:rPr>
                <w:spacing w:val="-7"/>
                <w:sz w:val="21"/>
              </w:rPr>
              <w:t>本主险合同履行过程中，双方发生争议不能协商解决的，可以达成仲裁协</w:t>
            </w:r>
            <w:r>
              <w:rPr>
                <w:spacing w:val="-6"/>
                <w:sz w:val="21"/>
              </w:rPr>
              <w:t>议通过仲裁解决，也可依法直接向法院提起诉讼。</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0"/>
        <w:ind w:left="4806" w:right="4854"/>
        <w:jc w:val="center"/>
      </w:pPr>
      <w:r>
        <w:rPr/>
        <w:t>（完）</w:t>
      </w:r>
    </w:p>
    <w:sectPr>
      <w:pgSz w:w="11910" w:h="16840"/>
      <w:pgMar w:top="1500" w:bottom="280" w:left="8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等线">
    <w:altName w:val="等线"/>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9"/>
      <w:numFmt w:val="decimal"/>
      <w:lvlText w:val="%1"/>
      <w:lvlJc w:val="left"/>
      <w:pPr>
        <w:ind w:left="971" w:hanging="644"/>
        <w:jc w:val="left"/>
      </w:pPr>
      <w:rPr>
        <w:rFonts w:hint="default"/>
      </w:rPr>
    </w:lvl>
    <w:lvl w:ilvl="1">
      <w:start w:val="1"/>
      <w:numFmt w:val="decimal"/>
      <w:lvlText w:val="%1.%2"/>
      <w:lvlJc w:val="left"/>
      <w:pPr>
        <w:ind w:left="971" w:hanging="644"/>
        <w:jc w:val="left"/>
      </w:pPr>
      <w:rPr>
        <w:rFonts w:hint="default" w:ascii="宋体" w:hAnsi="宋体" w:eastAsia="宋体" w:cs="宋体"/>
        <w:b/>
        <w:bCs/>
        <w:w w:val="99"/>
        <w:sz w:val="21"/>
        <w:szCs w:val="21"/>
      </w:rPr>
    </w:lvl>
    <w:lvl w:ilvl="2">
      <w:start w:val="0"/>
      <w:numFmt w:val="bullet"/>
      <w:lvlText w:val="•"/>
      <w:lvlJc w:val="left"/>
      <w:pPr>
        <w:ind w:left="2844" w:hanging="644"/>
      </w:pPr>
      <w:rPr>
        <w:rFonts w:hint="default"/>
      </w:rPr>
    </w:lvl>
    <w:lvl w:ilvl="3">
      <w:start w:val="0"/>
      <w:numFmt w:val="bullet"/>
      <w:lvlText w:val="•"/>
      <w:lvlJc w:val="left"/>
      <w:pPr>
        <w:ind w:left="3777" w:hanging="644"/>
      </w:pPr>
      <w:rPr>
        <w:rFonts w:hint="default"/>
      </w:rPr>
    </w:lvl>
    <w:lvl w:ilvl="4">
      <w:start w:val="0"/>
      <w:numFmt w:val="bullet"/>
      <w:lvlText w:val="•"/>
      <w:lvlJc w:val="left"/>
      <w:pPr>
        <w:ind w:left="4709" w:hanging="644"/>
      </w:pPr>
      <w:rPr>
        <w:rFonts w:hint="default"/>
      </w:rPr>
    </w:lvl>
    <w:lvl w:ilvl="5">
      <w:start w:val="0"/>
      <w:numFmt w:val="bullet"/>
      <w:lvlText w:val="•"/>
      <w:lvlJc w:val="left"/>
      <w:pPr>
        <w:ind w:left="5642" w:hanging="644"/>
      </w:pPr>
      <w:rPr>
        <w:rFonts w:hint="default"/>
      </w:rPr>
    </w:lvl>
    <w:lvl w:ilvl="6">
      <w:start w:val="0"/>
      <w:numFmt w:val="bullet"/>
      <w:lvlText w:val="•"/>
      <w:lvlJc w:val="left"/>
      <w:pPr>
        <w:ind w:left="6574" w:hanging="644"/>
      </w:pPr>
      <w:rPr>
        <w:rFonts w:hint="default"/>
      </w:rPr>
    </w:lvl>
    <w:lvl w:ilvl="7">
      <w:start w:val="0"/>
      <w:numFmt w:val="bullet"/>
      <w:lvlText w:val="•"/>
      <w:lvlJc w:val="left"/>
      <w:pPr>
        <w:ind w:left="7506" w:hanging="644"/>
      </w:pPr>
      <w:rPr>
        <w:rFonts w:hint="default"/>
      </w:rPr>
    </w:lvl>
    <w:lvl w:ilvl="8">
      <w:start w:val="0"/>
      <w:numFmt w:val="bullet"/>
      <w:lvlText w:val="•"/>
      <w:lvlJc w:val="left"/>
      <w:pPr>
        <w:ind w:left="8439" w:hanging="644"/>
      </w:pPr>
      <w:rPr>
        <w:rFonts w:hint="default"/>
      </w:rPr>
    </w:lvl>
  </w:abstractNum>
  <w:abstractNum w:abstractNumId="11">
    <w:multiLevelType w:val="hybridMultilevel"/>
    <w:lvl w:ilvl="0">
      <w:start w:val="75"/>
      <w:numFmt w:val="decimal"/>
      <w:lvlText w:val="%1"/>
      <w:lvlJc w:val="left"/>
      <w:pPr>
        <w:ind w:left="3069" w:hanging="591"/>
        <w:jc w:val="right"/>
      </w:pPr>
      <w:rPr>
        <w:rFonts w:hint="default" w:ascii="宋体" w:hAnsi="宋体" w:eastAsia="宋体" w:cs="宋体"/>
        <w:b/>
        <w:bCs/>
        <w:w w:val="99"/>
        <w:sz w:val="21"/>
        <w:szCs w:val="21"/>
      </w:rPr>
    </w:lvl>
    <w:lvl w:ilvl="1">
      <w:start w:val="0"/>
      <w:numFmt w:val="bullet"/>
      <w:lvlText w:val="•"/>
      <w:lvlJc w:val="left"/>
      <w:pPr>
        <w:ind w:left="3760" w:hanging="591"/>
      </w:pPr>
      <w:rPr>
        <w:rFonts w:hint="default"/>
      </w:rPr>
    </w:lvl>
    <w:lvl w:ilvl="2">
      <w:start w:val="0"/>
      <w:numFmt w:val="bullet"/>
      <w:lvlText w:val="•"/>
      <w:lvlJc w:val="left"/>
      <w:pPr>
        <w:ind w:left="4460" w:hanging="591"/>
      </w:pPr>
      <w:rPr>
        <w:rFonts w:hint="default"/>
      </w:rPr>
    </w:lvl>
    <w:lvl w:ilvl="3">
      <w:start w:val="0"/>
      <w:numFmt w:val="bullet"/>
      <w:lvlText w:val="•"/>
      <w:lvlJc w:val="left"/>
      <w:pPr>
        <w:ind w:left="5161" w:hanging="591"/>
      </w:pPr>
      <w:rPr>
        <w:rFonts w:hint="default"/>
      </w:rPr>
    </w:lvl>
    <w:lvl w:ilvl="4">
      <w:start w:val="0"/>
      <w:numFmt w:val="bullet"/>
      <w:lvlText w:val="•"/>
      <w:lvlJc w:val="left"/>
      <w:pPr>
        <w:ind w:left="5861" w:hanging="591"/>
      </w:pPr>
      <w:rPr>
        <w:rFonts w:hint="default"/>
      </w:rPr>
    </w:lvl>
    <w:lvl w:ilvl="5">
      <w:start w:val="0"/>
      <w:numFmt w:val="bullet"/>
      <w:lvlText w:val="•"/>
      <w:lvlJc w:val="left"/>
      <w:pPr>
        <w:ind w:left="6562" w:hanging="591"/>
      </w:pPr>
      <w:rPr>
        <w:rFonts w:hint="default"/>
      </w:rPr>
    </w:lvl>
    <w:lvl w:ilvl="6">
      <w:start w:val="0"/>
      <w:numFmt w:val="bullet"/>
      <w:lvlText w:val="•"/>
      <w:lvlJc w:val="left"/>
      <w:pPr>
        <w:ind w:left="7262" w:hanging="591"/>
      </w:pPr>
      <w:rPr>
        <w:rFonts w:hint="default"/>
      </w:rPr>
    </w:lvl>
    <w:lvl w:ilvl="7">
      <w:start w:val="0"/>
      <w:numFmt w:val="bullet"/>
      <w:lvlText w:val="•"/>
      <w:lvlJc w:val="left"/>
      <w:pPr>
        <w:ind w:left="7962" w:hanging="591"/>
      </w:pPr>
      <w:rPr>
        <w:rFonts w:hint="default"/>
      </w:rPr>
    </w:lvl>
    <w:lvl w:ilvl="8">
      <w:start w:val="0"/>
      <w:numFmt w:val="bullet"/>
      <w:lvlText w:val="•"/>
      <w:lvlJc w:val="left"/>
      <w:pPr>
        <w:ind w:left="8663" w:hanging="591"/>
      </w:pPr>
      <w:rPr>
        <w:rFonts w:hint="default"/>
      </w:rPr>
    </w:lvl>
  </w:abstractNum>
  <w:abstractNum w:abstractNumId="10">
    <w:multiLevelType w:val="hybridMultilevel"/>
    <w:lvl w:ilvl="0">
      <w:start w:val="29"/>
      <w:numFmt w:val="decimal"/>
      <w:lvlText w:val="%1"/>
      <w:lvlJc w:val="left"/>
      <w:pPr>
        <w:ind w:left="696" w:hanging="591"/>
        <w:jc w:val="left"/>
      </w:pPr>
      <w:rPr>
        <w:rFonts w:hint="default" w:ascii="宋体" w:hAnsi="宋体" w:eastAsia="宋体" w:cs="宋体"/>
        <w:b/>
        <w:bCs/>
        <w:w w:val="99"/>
        <w:sz w:val="21"/>
        <w:szCs w:val="21"/>
      </w:rPr>
    </w:lvl>
    <w:lvl w:ilvl="1">
      <w:start w:val="0"/>
      <w:numFmt w:val="bullet"/>
      <w:lvlText w:val="•"/>
      <w:lvlJc w:val="left"/>
      <w:pPr>
        <w:ind w:left="1624" w:hanging="591"/>
      </w:pPr>
      <w:rPr>
        <w:rFonts w:hint="default"/>
      </w:rPr>
    </w:lvl>
    <w:lvl w:ilvl="2">
      <w:start w:val="0"/>
      <w:numFmt w:val="bullet"/>
      <w:lvlText w:val="•"/>
      <w:lvlJc w:val="left"/>
      <w:pPr>
        <w:ind w:left="2548" w:hanging="591"/>
      </w:pPr>
      <w:rPr>
        <w:rFonts w:hint="default"/>
      </w:rPr>
    </w:lvl>
    <w:lvl w:ilvl="3">
      <w:start w:val="0"/>
      <w:numFmt w:val="bullet"/>
      <w:lvlText w:val="•"/>
      <w:lvlJc w:val="left"/>
      <w:pPr>
        <w:ind w:left="3473" w:hanging="591"/>
      </w:pPr>
      <w:rPr>
        <w:rFonts w:hint="default"/>
      </w:rPr>
    </w:lvl>
    <w:lvl w:ilvl="4">
      <w:start w:val="0"/>
      <w:numFmt w:val="bullet"/>
      <w:lvlText w:val="•"/>
      <w:lvlJc w:val="left"/>
      <w:pPr>
        <w:ind w:left="4397" w:hanging="591"/>
      </w:pPr>
      <w:rPr>
        <w:rFonts w:hint="default"/>
      </w:rPr>
    </w:lvl>
    <w:lvl w:ilvl="5">
      <w:start w:val="0"/>
      <w:numFmt w:val="bullet"/>
      <w:lvlText w:val="•"/>
      <w:lvlJc w:val="left"/>
      <w:pPr>
        <w:ind w:left="5322" w:hanging="591"/>
      </w:pPr>
      <w:rPr>
        <w:rFonts w:hint="default"/>
      </w:rPr>
    </w:lvl>
    <w:lvl w:ilvl="6">
      <w:start w:val="0"/>
      <w:numFmt w:val="bullet"/>
      <w:lvlText w:val="•"/>
      <w:lvlJc w:val="left"/>
      <w:pPr>
        <w:ind w:left="6246" w:hanging="591"/>
      </w:pPr>
      <w:rPr>
        <w:rFonts w:hint="default"/>
      </w:rPr>
    </w:lvl>
    <w:lvl w:ilvl="7">
      <w:start w:val="0"/>
      <w:numFmt w:val="bullet"/>
      <w:lvlText w:val="•"/>
      <w:lvlJc w:val="left"/>
      <w:pPr>
        <w:ind w:left="7170" w:hanging="591"/>
      </w:pPr>
      <w:rPr>
        <w:rFonts w:hint="default"/>
      </w:rPr>
    </w:lvl>
    <w:lvl w:ilvl="8">
      <w:start w:val="0"/>
      <w:numFmt w:val="bullet"/>
      <w:lvlText w:val="•"/>
      <w:lvlJc w:val="left"/>
      <w:pPr>
        <w:ind w:left="8095" w:hanging="591"/>
      </w:pPr>
      <w:rPr>
        <w:rFonts w:hint="default"/>
      </w:rPr>
    </w:lvl>
  </w:abstractNum>
  <w:abstractNum w:abstractNumId="9">
    <w:multiLevelType w:val="hybridMultilevel"/>
    <w:lvl w:ilvl="0">
      <w:start w:val="11"/>
      <w:numFmt w:val="decimal"/>
      <w:lvlText w:val="%1"/>
      <w:lvlJc w:val="left"/>
      <w:pPr>
        <w:ind w:left="3069" w:hanging="591"/>
        <w:jc w:val="left"/>
      </w:pPr>
      <w:rPr>
        <w:rFonts w:hint="default" w:ascii="宋体" w:hAnsi="宋体" w:eastAsia="宋体" w:cs="宋体"/>
        <w:b/>
        <w:bCs/>
        <w:w w:val="99"/>
        <w:sz w:val="21"/>
        <w:szCs w:val="21"/>
      </w:rPr>
    </w:lvl>
    <w:lvl w:ilvl="1">
      <w:start w:val="0"/>
      <w:numFmt w:val="bullet"/>
      <w:lvlText w:val="•"/>
      <w:lvlJc w:val="left"/>
      <w:pPr>
        <w:ind w:left="3762" w:hanging="591"/>
      </w:pPr>
      <w:rPr>
        <w:rFonts w:hint="default"/>
      </w:rPr>
    </w:lvl>
    <w:lvl w:ilvl="2">
      <w:start w:val="0"/>
      <w:numFmt w:val="bullet"/>
      <w:lvlText w:val="•"/>
      <w:lvlJc w:val="left"/>
      <w:pPr>
        <w:ind w:left="4464" w:hanging="591"/>
      </w:pPr>
      <w:rPr>
        <w:rFonts w:hint="default"/>
      </w:rPr>
    </w:lvl>
    <w:lvl w:ilvl="3">
      <w:start w:val="0"/>
      <w:numFmt w:val="bullet"/>
      <w:lvlText w:val="•"/>
      <w:lvlJc w:val="left"/>
      <w:pPr>
        <w:ind w:left="5167" w:hanging="591"/>
      </w:pPr>
      <w:rPr>
        <w:rFonts w:hint="default"/>
      </w:rPr>
    </w:lvl>
    <w:lvl w:ilvl="4">
      <w:start w:val="0"/>
      <w:numFmt w:val="bullet"/>
      <w:lvlText w:val="•"/>
      <w:lvlJc w:val="left"/>
      <w:pPr>
        <w:ind w:left="5869" w:hanging="591"/>
      </w:pPr>
      <w:rPr>
        <w:rFonts w:hint="default"/>
      </w:rPr>
    </w:lvl>
    <w:lvl w:ilvl="5">
      <w:start w:val="0"/>
      <w:numFmt w:val="bullet"/>
      <w:lvlText w:val="•"/>
      <w:lvlJc w:val="left"/>
      <w:pPr>
        <w:ind w:left="6572" w:hanging="591"/>
      </w:pPr>
      <w:rPr>
        <w:rFonts w:hint="default"/>
      </w:rPr>
    </w:lvl>
    <w:lvl w:ilvl="6">
      <w:start w:val="0"/>
      <w:numFmt w:val="bullet"/>
      <w:lvlText w:val="•"/>
      <w:lvlJc w:val="left"/>
      <w:pPr>
        <w:ind w:left="7274" w:hanging="591"/>
      </w:pPr>
      <w:rPr>
        <w:rFonts w:hint="default"/>
      </w:rPr>
    </w:lvl>
    <w:lvl w:ilvl="7">
      <w:start w:val="0"/>
      <w:numFmt w:val="bullet"/>
      <w:lvlText w:val="•"/>
      <w:lvlJc w:val="left"/>
      <w:pPr>
        <w:ind w:left="7976" w:hanging="591"/>
      </w:pPr>
      <w:rPr>
        <w:rFonts w:hint="default"/>
      </w:rPr>
    </w:lvl>
    <w:lvl w:ilvl="8">
      <w:start w:val="0"/>
      <w:numFmt w:val="bullet"/>
      <w:lvlText w:val="•"/>
      <w:lvlJc w:val="left"/>
      <w:pPr>
        <w:ind w:left="8679" w:hanging="591"/>
      </w:pPr>
      <w:rPr>
        <w:rFonts w:hint="default"/>
      </w:rPr>
    </w:lvl>
  </w:abstractNum>
  <w:abstractNum w:abstractNumId="8">
    <w:multiLevelType w:val="hybridMultilevel"/>
    <w:lvl w:ilvl="0">
      <w:start w:val="17"/>
      <w:numFmt w:val="decimal"/>
      <w:lvlText w:val="%1"/>
      <w:lvlJc w:val="left"/>
      <w:pPr>
        <w:ind w:left="3009" w:hanging="591"/>
        <w:jc w:val="left"/>
      </w:pPr>
      <w:rPr>
        <w:rFonts w:hint="default" w:ascii="宋体" w:hAnsi="宋体" w:eastAsia="宋体" w:cs="宋体"/>
        <w:b/>
        <w:bCs/>
        <w:w w:val="99"/>
        <w:sz w:val="21"/>
        <w:szCs w:val="21"/>
      </w:rPr>
    </w:lvl>
    <w:lvl w:ilvl="1">
      <w:start w:val="28"/>
      <w:numFmt w:val="decimal"/>
      <w:lvlText w:val="%2"/>
      <w:lvlJc w:val="left"/>
      <w:pPr>
        <w:ind w:left="3289" w:hanging="591"/>
        <w:jc w:val="left"/>
      </w:pPr>
      <w:rPr>
        <w:rFonts w:hint="default" w:ascii="宋体" w:hAnsi="宋体" w:eastAsia="宋体" w:cs="宋体"/>
        <w:b/>
        <w:bCs/>
        <w:w w:val="99"/>
        <w:sz w:val="21"/>
        <w:szCs w:val="21"/>
      </w:rPr>
    </w:lvl>
    <w:lvl w:ilvl="2">
      <w:start w:val="0"/>
      <w:numFmt w:val="bullet"/>
      <w:lvlText w:val="•"/>
      <w:lvlJc w:val="left"/>
      <w:pPr>
        <w:ind w:left="4029" w:hanging="591"/>
      </w:pPr>
      <w:rPr>
        <w:rFonts w:hint="default"/>
      </w:rPr>
    </w:lvl>
    <w:lvl w:ilvl="3">
      <w:start w:val="0"/>
      <w:numFmt w:val="bullet"/>
      <w:lvlText w:val="•"/>
      <w:lvlJc w:val="left"/>
      <w:pPr>
        <w:ind w:left="4778" w:hanging="591"/>
      </w:pPr>
      <w:rPr>
        <w:rFonts w:hint="default"/>
      </w:rPr>
    </w:lvl>
    <w:lvl w:ilvl="4">
      <w:start w:val="0"/>
      <w:numFmt w:val="bullet"/>
      <w:lvlText w:val="•"/>
      <w:lvlJc w:val="left"/>
      <w:pPr>
        <w:ind w:left="5528" w:hanging="591"/>
      </w:pPr>
      <w:rPr>
        <w:rFonts w:hint="default"/>
      </w:rPr>
    </w:lvl>
    <w:lvl w:ilvl="5">
      <w:start w:val="0"/>
      <w:numFmt w:val="bullet"/>
      <w:lvlText w:val="•"/>
      <w:lvlJc w:val="left"/>
      <w:pPr>
        <w:ind w:left="6277" w:hanging="591"/>
      </w:pPr>
      <w:rPr>
        <w:rFonts w:hint="default"/>
      </w:rPr>
    </w:lvl>
    <w:lvl w:ilvl="6">
      <w:start w:val="0"/>
      <w:numFmt w:val="bullet"/>
      <w:lvlText w:val="•"/>
      <w:lvlJc w:val="left"/>
      <w:pPr>
        <w:ind w:left="7026" w:hanging="591"/>
      </w:pPr>
      <w:rPr>
        <w:rFonts w:hint="default"/>
      </w:rPr>
    </w:lvl>
    <w:lvl w:ilvl="7">
      <w:start w:val="0"/>
      <w:numFmt w:val="bullet"/>
      <w:lvlText w:val="•"/>
      <w:lvlJc w:val="left"/>
      <w:pPr>
        <w:ind w:left="7776" w:hanging="591"/>
      </w:pPr>
      <w:rPr>
        <w:rFonts w:hint="default"/>
      </w:rPr>
    </w:lvl>
    <w:lvl w:ilvl="8">
      <w:start w:val="0"/>
      <w:numFmt w:val="bullet"/>
      <w:lvlText w:val="•"/>
      <w:lvlJc w:val="left"/>
      <w:pPr>
        <w:ind w:left="8525" w:hanging="591"/>
      </w:pPr>
      <w:rPr>
        <w:rFonts w:hint="default"/>
      </w:rPr>
    </w:lvl>
  </w:abstractNum>
  <w:abstractNum w:abstractNumId="7">
    <w:multiLevelType w:val="hybridMultilevel"/>
    <w:lvl w:ilvl="0">
      <w:start w:val="7"/>
      <w:numFmt w:val="decimal"/>
      <w:lvlText w:val="%1."/>
      <w:lvlJc w:val="left"/>
      <w:pPr>
        <w:ind w:left="708" w:hanging="317"/>
        <w:jc w:val="left"/>
      </w:pPr>
      <w:rPr>
        <w:rFonts w:hint="default" w:ascii="宋体" w:hAnsi="宋体" w:eastAsia="宋体" w:cs="宋体"/>
        <w:b/>
        <w:bCs/>
        <w:w w:val="99"/>
        <w:sz w:val="21"/>
        <w:szCs w:val="21"/>
      </w:rPr>
    </w:lvl>
    <w:lvl w:ilvl="1">
      <w:start w:val="1"/>
      <w:numFmt w:val="decimal"/>
      <w:lvlText w:val="%1.%2"/>
      <w:lvlJc w:val="left"/>
      <w:pPr>
        <w:ind w:left="1025" w:hanging="423"/>
        <w:jc w:val="left"/>
      </w:pPr>
      <w:rPr>
        <w:rFonts w:hint="default" w:ascii="宋体" w:hAnsi="宋体" w:eastAsia="宋体" w:cs="宋体"/>
        <w:w w:val="100"/>
        <w:sz w:val="21"/>
        <w:szCs w:val="21"/>
      </w:rPr>
    </w:lvl>
    <w:lvl w:ilvl="2">
      <w:start w:val="0"/>
      <w:numFmt w:val="bullet"/>
      <w:lvlText w:val="•"/>
      <w:lvlJc w:val="left"/>
      <w:pPr>
        <w:ind w:left="1328" w:hanging="423"/>
      </w:pPr>
      <w:rPr>
        <w:rFonts w:hint="default"/>
      </w:rPr>
    </w:lvl>
    <w:lvl w:ilvl="3">
      <w:start w:val="0"/>
      <w:numFmt w:val="bullet"/>
      <w:lvlText w:val="•"/>
      <w:lvlJc w:val="left"/>
      <w:pPr>
        <w:ind w:left="1636" w:hanging="423"/>
      </w:pPr>
      <w:rPr>
        <w:rFonts w:hint="default"/>
      </w:rPr>
    </w:lvl>
    <w:lvl w:ilvl="4">
      <w:start w:val="0"/>
      <w:numFmt w:val="bullet"/>
      <w:lvlText w:val="•"/>
      <w:lvlJc w:val="left"/>
      <w:pPr>
        <w:ind w:left="1944" w:hanging="423"/>
      </w:pPr>
      <w:rPr>
        <w:rFonts w:hint="default"/>
      </w:rPr>
    </w:lvl>
    <w:lvl w:ilvl="5">
      <w:start w:val="0"/>
      <w:numFmt w:val="bullet"/>
      <w:lvlText w:val="•"/>
      <w:lvlJc w:val="left"/>
      <w:pPr>
        <w:ind w:left="2252" w:hanging="423"/>
      </w:pPr>
      <w:rPr>
        <w:rFonts w:hint="default"/>
      </w:rPr>
    </w:lvl>
    <w:lvl w:ilvl="6">
      <w:start w:val="0"/>
      <w:numFmt w:val="bullet"/>
      <w:lvlText w:val="•"/>
      <w:lvlJc w:val="left"/>
      <w:pPr>
        <w:ind w:left="2560" w:hanging="423"/>
      </w:pPr>
      <w:rPr>
        <w:rFonts w:hint="default"/>
      </w:rPr>
    </w:lvl>
    <w:lvl w:ilvl="7">
      <w:start w:val="0"/>
      <w:numFmt w:val="bullet"/>
      <w:lvlText w:val="•"/>
      <w:lvlJc w:val="left"/>
      <w:pPr>
        <w:ind w:left="2869" w:hanging="423"/>
      </w:pPr>
      <w:rPr>
        <w:rFonts w:hint="default"/>
      </w:rPr>
    </w:lvl>
    <w:lvl w:ilvl="8">
      <w:start w:val="0"/>
      <w:numFmt w:val="bullet"/>
      <w:lvlText w:val="•"/>
      <w:lvlJc w:val="left"/>
      <w:pPr>
        <w:ind w:left="3177" w:hanging="423"/>
      </w:pPr>
      <w:rPr>
        <w:rFonts w:hint="default"/>
      </w:rPr>
    </w:lvl>
  </w:abstractNum>
  <w:abstractNum w:abstractNumId="6">
    <w:multiLevelType w:val="hybridMultilevel"/>
    <w:lvl w:ilvl="0">
      <w:start w:val="6"/>
      <w:numFmt w:val="decimal"/>
      <w:lvlText w:val="%1"/>
      <w:lvlJc w:val="left"/>
      <w:pPr>
        <w:ind w:left="1462" w:hanging="423"/>
        <w:jc w:val="left"/>
      </w:pPr>
      <w:rPr>
        <w:rFonts w:hint="default"/>
      </w:rPr>
    </w:lvl>
    <w:lvl w:ilvl="1">
      <w:start w:val="1"/>
      <w:numFmt w:val="decimal"/>
      <w:lvlText w:val="%1.%2"/>
      <w:lvlJc w:val="left"/>
      <w:pPr>
        <w:ind w:left="1462" w:hanging="423"/>
        <w:jc w:val="right"/>
      </w:pPr>
      <w:rPr>
        <w:rFonts w:hint="default" w:ascii="宋体" w:hAnsi="宋体" w:eastAsia="宋体" w:cs="宋体"/>
        <w:w w:val="100"/>
        <w:sz w:val="21"/>
        <w:szCs w:val="21"/>
      </w:rPr>
    </w:lvl>
    <w:lvl w:ilvl="2">
      <w:start w:val="0"/>
      <w:numFmt w:val="bullet"/>
      <w:lvlText w:val="•"/>
      <w:lvlJc w:val="left"/>
      <w:pPr>
        <w:ind w:left="1818" w:hanging="423"/>
      </w:pPr>
      <w:rPr>
        <w:rFonts w:hint="default"/>
      </w:rPr>
    </w:lvl>
    <w:lvl w:ilvl="3">
      <w:start w:val="0"/>
      <w:numFmt w:val="bullet"/>
      <w:lvlText w:val="•"/>
      <w:lvlJc w:val="left"/>
      <w:pPr>
        <w:ind w:left="1997" w:hanging="423"/>
      </w:pPr>
      <w:rPr>
        <w:rFonts w:hint="default"/>
      </w:rPr>
    </w:lvl>
    <w:lvl w:ilvl="4">
      <w:start w:val="0"/>
      <w:numFmt w:val="bullet"/>
      <w:lvlText w:val="•"/>
      <w:lvlJc w:val="left"/>
      <w:pPr>
        <w:ind w:left="2177" w:hanging="423"/>
      </w:pPr>
      <w:rPr>
        <w:rFonts w:hint="default"/>
      </w:rPr>
    </w:lvl>
    <w:lvl w:ilvl="5">
      <w:start w:val="0"/>
      <w:numFmt w:val="bullet"/>
      <w:lvlText w:val="•"/>
      <w:lvlJc w:val="left"/>
      <w:pPr>
        <w:ind w:left="2356" w:hanging="423"/>
      </w:pPr>
      <w:rPr>
        <w:rFonts w:hint="default"/>
      </w:rPr>
    </w:lvl>
    <w:lvl w:ilvl="6">
      <w:start w:val="0"/>
      <w:numFmt w:val="bullet"/>
      <w:lvlText w:val="•"/>
      <w:lvlJc w:val="left"/>
      <w:pPr>
        <w:ind w:left="2535" w:hanging="423"/>
      </w:pPr>
      <w:rPr>
        <w:rFonts w:hint="default"/>
      </w:rPr>
    </w:lvl>
    <w:lvl w:ilvl="7">
      <w:start w:val="0"/>
      <w:numFmt w:val="bullet"/>
      <w:lvlText w:val="•"/>
      <w:lvlJc w:val="left"/>
      <w:pPr>
        <w:ind w:left="2714" w:hanging="423"/>
      </w:pPr>
      <w:rPr>
        <w:rFonts w:hint="default"/>
      </w:rPr>
    </w:lvl>
    <w:lvl w:ilvl="8">
      <w:start w:val="0"/>
      <w:numFmt w:val="bullet"/>
      <w:lvlText w:val="•"/>
      <w:lvlJc w:val="left"/>
      <w:pPr>
        <w:ind w:left="2894" w:hanging="423"/>
      </w:pPr>
      <w:rPr>
        <w:rFonts w:hint="default"/>
      </w:rPr>
    </w:lvl>
  </w:abstractNum>
  <w:abstractNum w:abstractNumId="5">
    <w:multiLevelType w:val="hybridMultilevel"/>
    <w:lvl w:ilvl="0">
      <w:start w:val="5"/>
      <w:numFmt w:val="decimal"/>
      <w:lvlText w:val="%1"/>
      <w:lvlJc w:val="left"/>
      <w:pPr>
        <w:ind w:left="1457" w:hanging="423"/>
        <w:jc w:val="left"/>
      </w:pPr>
      <w:rPr>
        <w:rFonts w:hint="default"/>
      </w:rPr>
    </w:lvl>
    <w:lvl w:ilvl="1">
      <w:start w:val="1"/>
      <w:numFmt w:val="decimal"/>
      <w:lvlText w:val="%1.%2"/>
      <w:lvlJc w:val="left"/>
      <w:pPr>
        <w:ind w:left="1457" w:hanging="423"/>
        <w:jc w:val="left"/>
      </w:pPr>
      <w:rPr>
        <w:rFonts w:hint="default" w:ascii="宋体" w:hAnsi="宋体" w:eastAsia="宋体" w:cs="宋体"/>
        <w:w w:val="100"/>
        <w:sz w:val="21"/>
        <w:szCs w:val="21"/>
      </w:rPr>
    </w:lvl>
    <w:lvl w:ilvl="2">
      <w:start w:val="0"/>
      <w:numFmt w:val="bullet"/>
      <w:lvlText w:val="•"/>
      <w:lvlJc w:val="left"/>
      <w:pPr>
        <w:ind w:left="1818" w:hanging="423"/>
      </w:pPr>
      <w:rPr>
        <w:rFonts w:hint="default"/>
      </w:rPr>
    </w:lvl>
    <w:lvl w:ilvl="3">
      <w:start w:val="0"/>
      <w:numFmt w:val="bullet"/>
      <w:lvlText w:val="•"/>
      <w:lvlJc w:val="left"/>
      <w:pPr>
        <w:ind w:left="1997" w:hanging="423"/>
      </w:pPr>
      <w:rPr>
        <w:rFonts w:hint="default"/>
      </w:rPr>
    </w:lvl>
    <w:lvl w:ilvl="4">
      <w:start w:val="0"/>
      <w:numFmt w:val="bullet"/>
      <w:lvlText w:val="•"/>
      <w:lvlJc w:val="left"/>
      <w:pPr>
        <w:ind w:left="2177" w:hanging="423"/>
      </w:pPr>
      <w:rPr>
        <w:rFonts w:hint="default"/>
      </w:rPr>
    </w:lvl>
    <w:lvl w:ilvl="5">
      <w:start w:val="0"/>
      <w:numFmt w:val="bullet"/>
      <w:lvlText w:val="•"/>
      <w:lvlJc w:val="left"/>
      <w:pPr>
        <w:ind w:left="2356" w:hanging="423"/>
      </w:pPr>
      <w:rPr>
        <w:rFonts w:hint="default"/>
      </w:rPr>
    </w:lvl>
    <w:lvl w:ilvl="6">
      <w:start w:val="0"/>
      <w:numFmt w:val="bullet"/>
      <w:lvlText w:val="•"/>
      <w:lvlJc w:val="left"/>
      <w:pPr>
        <w:ind w:left="2535" w:hanging="423"/>
      </w:pPr>
      <w:rPr>
        <w:rFonts w:hint="default"/>
      </w:rPr>
    </w:lvl>
    <w:lvl w:ilvl="7">
      <w:start w:val="0"/>
      <w:numFmt w:val="bullet"/>
      <w:lvlText w:val="•"/>
      <w:lvlJc w:val="left"/>
      <w:pPr>
        <w:ind w:left="2714" w:hanging="423"/>
      </w:pPr>
      <w:rPr>
        <w:rFonts w:hint="default"/>
      </w:rPr>
    </w:lvl>
    <w:lvl w:ilvl="8">
      <w:start w:val="0"/>
      <w:numFmt w:val="bullet"/>
      <w:lvlText w:val="•"/>
      <w:lvlJc w:val="left"/>
      <w:pPr>
        <w:ind w:left="2894" w:hanging="423"/>
      </w:pPr>
      <w:rPr>
        <w:rFonts w:hint="default"/>
      </w:rPr>
    </w:lvl>
  </w:abstractNum>
  <w:abstractNum w:abstractNumId="4">
    <w:multiLevelType w:val="hybridMultilevel"/>
    <w:lvl w:ilvl="0">
      <w:start w:val="4"/>
      <w:numFmt w:val="decimal"/>
      <w:lvlText w:val="%1"/>
      <w:lvlJc w:val="left"/>
      <w:pPr>
        <w:ind w:left="1462" w:hanging="423"/>
        <w:jc w:val="left"/>
      </w:pPr>
      <w:rPr>
        <w:rFonts w:hint="default"/>
      </w:rPr>
    </w:lvl>
    <w:lvl w:ilvl="1">
      <w:start w:val="1"/>
      <w:numFmt w:val="decimal"/>
      <w:lvlText w:val="%1.%2"/>
      <w:lvlJc w:val="left"/>
      <w:pPr>
        <w:ind w:left="1462" w:hanging="423"/>
        <w:jc w:val="left"/>
      </w:pPr>
      <w:rPr>
        <w:rFonts w:hint="default" w:ascii="宋体" w:hAnsi="宋体" w:eastAsia="宋体" w:cs="宋体"/>
        <w:w w:val="100"/>
        <w:sz w:val="21"/>
        <w:szCs w:val="21"/>
      </w:rPr>
    </w:lvl>
    <w:lvl w:ilvl="2">
      <w:start w:val="0"/>
      <w:numFmt w:val="bullet"/>
      <w:lvlText w:val="•"/>
      <w:lvlJc w:val="left"/>
      <w:pPr>
        <w:ind w:left="1818" w:hanging="423"/>
      </w:pPr>
      <w:rPr>
        <w:rFonts w:hint="default"/>
      </w:rPr>
    </w:lvl>
    <w:lvl w:ilvl="3">
      <w:start w:val="0"/>
      <w:numFmt w:val="bullet"/>
      <w:lvlText w:val="•"/>
      <w:lvlJc w:val="left"/>
      <w:pPr>
        <w:ind w:left="1997" w:hanging="423"/>
      </w:pPr>
      <w:rPr>
        <w:rFonts w:hint="default"/>
      </w:rPr>
    </w:lvl>
    <w:lvl w:ilvl="4">
      <w:start w:val="0"/>
      <w:numFmt w:val="bullet"/>
      <w:lvlText w:val="•"/>
      <w:lvlJc w:val="left"/>
      <w:pPr>
        <w:ind w:left="2177" w:hanging="423"/>
      </w:pPr>
      <w:rPr>
        <w:rFonts w:hint="default"/>
      </w:rPr>
    </w:lvl>
    <w:lvl w:ilvl="5">
      <w:start w:val="0"/>
      <w:numFmt w:val="bullet"/>
      <w:lvlText w:val="•"/>
      <w:lvlJc w:val="left"/>
      <w:pPr>
        <w:ind w:left="2356" w:hanging="423"/>
      </w:pPr>
      <w:rPr>
        <w:rFonts w:hint="default"/>
      </w:rPr>
    </w:lvl>
    <w:lvl w:ilvl="6">
      <w:start w:val="0"/>
      <w:numFmt w:val="bullet"/>
      <w:lvlText w:val="•"/>
      <w:lvlJc w:val="left"/>
      <w:pPr>
        <w:ind w:left="2535" w:hanging="423"/>
      </w:pPr>
      <w:rPr>
        <w:rFonts w:hint="default"/>
      </w:rPr>
    </w:lvl>
    <w:lvl w:ilvl="7">
      <w:start w:val="0"/>
      <w:numFmt w:val="bullet"/>
      <w:lvlText w:val="•"/>
      <w:lvlJc w:val="left"/>
      <w:pPr>
        <w:ind w:left="2714" w:hanging="423"/>
      </w:pPr>
      <w:rPr>
        <w:rFonts w:hint="default"/>
      </w:rPr>
    </w:lvl>
    <w:lvl w:ilvl="8">
      <w:start w:val="0"/>
      <w:numFmt w:val="bullet"/>
      <w:lvlText w:val="•"/>
      <w:lvlJc w:val="left"/>
      <w:pPr>
        <w:ind w:left="2894" w:hanging="423"/>
      </w:pPr>
      <w:rPr>
        <w:rFonts w:hint="default"/>
      </w:rPr>
    </w:lvl>
  </w:abstractNum>
  <w:abstractNum w:abstractNumId="3">
    <w:multiLevelType w:val="hybridMultilevel"/>
    <w:lvl w:ilvl="0">
      <w:start w:val="3"/>
      <w:numFmt w:val="decimal"/>
      <w:lvlText w:val="%1"/>
      <w:lvlJc w:val="left"/>
      <w:pPr>
        <w:ind w:left="1539" w:hanging="423"/>
        <w:jc w:val="left"/>
      </w:pPr>
      <w:rPr>
        <w:rFonts w:hint="default"/>
      </w:rPr>
    </w:lvl>
    <w:lvl w:ilvl="1">
      <w:start w:val="1"/>
      <w:numFmt w:val="decimal"/>
      <w:lvlText w:val="%1.%2"/>
      <w:lvlJc w:val="left"/>
      <w:pPr>
        <w:ind w:left="1539" w:hanging="423"/>
        <w:jc w:val="left"/>
      </w:pPr>
      <w:rPr>
        <w:rFonts w:hint="default" w:ascii="宋体" w:hAnsi="宋体" w:eastAsia="宋体" w:cs="宋体"/>
        <w:w w:val="100"/>
        <w:sz w:val="21"/>
        <w:szCs w:val="21"/>
      </w:rPr>
    </w:lvl>
    <w:lvl w:ilvl="2">
      <w:start w:val="0"/>
      <w:numFmt w:val="bullet"/>
      <w:lvlText w:val="•"/>
      <w:lvlJc w:val="left"/>
      <w:pPr>
        <w:ind w:left="1835" w:hanging="423"/>
      </w:pPr>
      <w:rPr>
        <w:rFonts w:hint="default"/>
      </w:rPr>
    </w:lvl>
    <w:lvl w:ilvl="3">
      <w:start w:val="0"/>
      <w:numFmt w:val="bullet"/>
      <w:lvlText w:val="•"/>
      <w:lvlJc w:val="left"/>
      <w:pPr>
        <w:ind w:left="1983" w:hanging="423"/>
      </w:pPr>
      <w:rPr>
        <w:rFonts w:hint="default"/>
      </w:rPr>
    </w:lvl>
    <w:lvl w:ilvl="4">
      <w:start w:val="0"/>
      <w:numFmt w:val="bullet"/>
      <w:lvlText w:val="•"/>
      <w:lvlJc w:val="left"/>
      <w:pPr>
        <w:ind w:left="2131" w:hanging="423"/>
      </w:pPr>
      <w:rPr>
        <w:rFonts w:hint="default"/>
      </w:rPr>
    </w:lvl>
    <w:lvl w:ilvl="5">
      <w:start w:val="0"/>
      <w:numFmt w:val="bullet"/>
      <w:lvlText w:val="•"/>
      <w:lvlJc w:val="left"/>
      <w:pPr>
        <w:ind w:left="2278" w:hanging="423"/>
      </w:pPr>
      <w:rPr>
        <w:rFonts w:hint="default"/>
      </w:rPr>
    </w:lvl>
    <w:lvl w:ilvl="6">
      <w:start w:val="0"/>
      <w:numFmt w:val="bullet"/>
      <w:lvlText w:val="•"/>
      <w:lvlJc w:val="left"/>
      <w:pPr>
        <w:ind w:left="2426" w:hanging="423"/>
      </w:pPr>
      <w:rPr>
        <w:rFonts w:hint="default"/>
      </w:rPr>
    </w:lvl>
    <w:lvl w:ilvl="7">
      <w:start w:val="0"/>
      <w:numFmt w:val="bullet"/>
      <w:lvlText w:val="•"/>
      <w:lvlJc w:val="left"/>
      <w:pPr>
        <w:ind w:left="2574" w:hanging="423"/>
      </w:pPr>
      <w:rPr>
        <w:rFonts w:hint="default"/>
      </w:rPr>
    </w:lvl>
    <w:lvl w:ilvl="8">
      <w:start w:val="0"/>
      <w:numFmt w:val="bullet"/>
      <w:lvlText w:val="•"/>
      <w:lvlJc w:val="left"/>
      <w:pPr>
        <w:ind w:left="2722" w:hanging="423"/>
      </w:pPr>
      <w:rPr>
        <w:rFonts w:hint="default"/>
      </w:rPr>
    </w:lvl>
  </w:abstractNum>
  <w:abstractNum w:abstractNumId="2">
    <w:multiLevelType w:val="hybridMultilevel"/>
    <w:lvl w:ilvl="0">
      <w:start w:val="2"/>
      <w:numFmt w:val="decimal"/>
      <w:lvlText w:val="%1"/>
      <w:lvlJc w:val="left"/>
      <w:pPr>
        <w:ind w:left="1539" w:hanging="423"/>
        <w:jc w:val="left"/>
      </w:pPr>
      <w:rPr>
        <w:rFonts w:hint="default"/>
      </w:rPr>
    </w:lvl>
    <w:lvl w:ilvl="1">
      <w:start w:val="1"/>
      <w:numFmt w:val="decimal"/>
      <w:lvlText w:val="%1.%2"/>
      <w:lvlJc w:val="left"/>
      <w:pPr>
        <w:ind w:left="1539" w:hanging="423"/>
        <w:jc w:val="left"/>
      </w:pPr>
      <w:rPr>
        <w:rFonts w:hint="default" w:ascii="宋体" w:hAnsi="宋体" w:eastAsia="宋体" w:cs="宋体"/>
        <w:w w:val="100"/>
        <w:sz w:val="21"/>
        <w:szCs w:val="21"/>
      </w:rPr>
    </w:lvl>
    <w:lvl w:ilvl="2">
      <w:start w:val="0"/>
      <w:numFmt w:val="bullet"/>
      <w:lvlText w:val="•"/>
      <w:lvlJc w:val="left"/>
      <w:pPr>
        <w:ind w:left="1835" w:hanging="423"/>
      </w:pPr>
      <w:rPr>
        <w:rFonts w:hint="default"/>
      </w:rPr>
    </w:lvl>
    <w:lvl w:ilvl="3">
      <w:start w:val="0"/>
      <w:numFmt w:val="bullet"/>
      <w:lvlText w:val="•"/>
      <w:lvlJc w:val="left"/>
      <w:pPr>
        <w:ind w:left="1983" w:hanging="423"/>
      </w:pPr>
      <w:rPr>
        <w:rFonts w:hint="default"/>
      </w:rPr>
    </w:lvl>
    <w:lvl w:ilvl="4">
      <w:start w:val="0"/>
      <w:numFmt w:val="bullet"/>
      <w:lvlText w:val="•"/>
      <w:lvlJc w:val="left"/>
      <w:pPr>
        <w:ind w:left="2131" w:hanging="423"/>
      </w:pPr>
      <w:rPr>
        <w:rFonts w:hint="default"/>
      </w:rPr>
    </w:lvl>
    <w:lvl w:ilvl="5">
      <w:start w:val="0"/>
      <w:numFmt w:val="bullet"/>
      <w:lvlText w:val="•"/>
      <w:lvlJc w:val="left"/>
      <w:pPr>
        <w:ind w:left="2278" w:hanging="423"/>
      </w:pPr>
      <w:rPr>
        <w:rFonts w:hint="default"/>
      </w:rPr>
    </w:lvl>
    <w:lvl w:ilvl="6">
      <w:start w:val="0"/>
      <w:numFmt w:val="bullet"/>
      <w:lvlText w:val="•"/>
      <w:lvlJc w:val="left"/>
      <w:pPr>
        <w:ind w:left="2426" w:hanging="423"/>
      </w:pPr>
      <w:rPr>
        <w:rFonts w:hint="default"/>
      </w:rPr>
    </w:lvl>
    <w:lvl w:ilvl="7">
      <w:start w:val="0"/>
      <w:numFmt w:val="bullet"/>
      <w:lvlText w:val="•"/>
      <w:lvlJc w:val="left"/>
      <w:pPr>
        <w:ind w:left="2574" w:hanging="423"/>
      </w:pPr>
      <w:rPr>
        <w:rFonts w:hint="default"/>
      </w:rPr>
    </w:lvl>
    <w:lvl w:ilvl="8">
      <w:start w:val="0"/>
      <w:numFmt w:val="bullet"/>
      <w:lvlText w:val="•"/>
      <w:lvlJc w:val="left"/>
      <w:pPr>
        <w:ind w:left="2722" w:hanging="423"/>
      </w:pPr>
      <w:rPr>
        <w:rFonts w:hint="default"/>
      </w:rPr>
    </w:lvl>
  </w:abstractNum>
  <w:abstractNum w:abstractNumId="1">
    <w:multiLevelType w:val="hybridMultilevel"/>
    <w:lvl w:ilvl="0">
      <w:start w:val="1"/>
      <w:numFmt w:val="decimal"/>
      <w:lvlText w:val="%1"/>
      <w:lvlJc w:val="left"/>
      <w:pPr>
        <w:ind w:left="1539" w:hanging="423"/>
        <w:jc w:val="left"/>
      </w:pPr>
      <w:rPr>
        <w:rFonts w:hint="default"/>
      </w:rPr>
    </w:lvl>
    <w:lvl w:ilvl="1">
      <w:start w:val="1"/>
      <w:numFmt w:val="decimal"/>
      <w:lvlText w:val="%1.%2"/>
      <w:lvlJc w:val="left"/>
      <w:pPr>
        <w:ind w:left="1539" w:hanging="423"/>
        <w:jc w:val="left"/>
      </w:pPr>
      <w:rPr>
        <w:rFonts w:hint="default" w:ascii="宋体" w:hAnsi="宋体" w:eastAsia="宋体" w:cs="宋体"/>
        <w:w w:val="100"/>
        <w:sz w:val="21"/>
        <w:szCs w:val="21"/>
      </w:rPr>
    </w:lvl>
    <w:lvl w:ilvl="2">
      <w:start w:val="0"/>
      <w:numFmt w:val="bullet"/>
      <w:lvlText w:val="•"/>
      <w:lvlJc w:val="left"/>
      <w:pPr>
        <w:ind w:left="1835" w:hanging="423"/>
      </w:pPr>
      <w:rPr>
        <w:rFonts w:hint="default"/>
      </w:rPr>
    </w:lvl>
    <w:lvl w:ilvl="3">
      <w:start w:val="0"/>
      <w:numFmt w:val="bullet"/>
      <w:lvlText w:val="•"/>
      <w:lvlJc w:val="left"/>
      <w:pPr>
        <w:ind w:left="1983" w:hanging="423"/>
      </w:pPr>
      <w:rPr>
        <w:rFonts w:hint="default"/>
      </w:rPr>
    </w:lvl>
    <w:lvl w:ilvl="4">
      <w:start w:val="0"/>
      <w:numFmt w:val="bullet"/>
      <w:lvlText w:val="•"/>
      <w:lvlJc w:val="left"/>
      <w:pPr>
        <w:ind w:left="2131" w:hanging="423"/>
      </w:pPr>
      <w:rPr>
        <w:rFonts w:hint="default"/>
      </w:rPr>
    </w:lvl>
    <w:lvl w:ilvl="5">
      <w:start w:val="0"/>
      <w:numFmt w:val="bullet"/>
      <w:lvlText w:val="•"/>
      <w:lvlJc w:val="left"/>
      <w:pPr>
        <w:ind w:left="2278" w:hanging="423"/>
      </w:pPr>
      <w:rPr>
        <w:rFonts w:hint="default"/>
      </w:rPr>
    </w:lvl>
    <w:lvl w:ilvl="6">
      <w:start w:val="0"/>
      <w:numFmt w:val="bullet"/>
      <w:lvlText w:val="•"/>
      <w:lvlJc w:val="left"/>
      <w:pPr>
        <w:ind w:left="2426" w:hanging="423"/>
      </w:pPr>
      <w:rPr>
        <w:rFonts w:hint="default"/>
      </w:rPr>
    </w:lvl>
    <w:lvl w:ilvl="7">
      <w:start w:val="0"/>
      <w:numFmt w:val="bullet"/>
      <w:lvlText w:val="•"/>
      <w:lvlJc w:val="left"/>
      <w:pPr>
        <w:ind w:left="2574" w:hanging="423"/>
      </w:pPr>
      <w:rPr>
        <w:rFonts w:hint="default"/>
      </w:rPr>
    </w:lvl>
    <w:lvl w:ilvl="8">
      <w:start w:val="0"/>
      <w:numFmt w:val="bullet"/>
      <w:lvlText w:val="•"/>
      <w:lvlJc w:val="left"/>
      <w:pPr>
        <w:ind w:left="2722" w:hanging="423"/>
      </w:pPr>
      <w:rPr>
        <w:rFonts w:hint="default"/>
      </w:rPr>
    </w:lvl>
  </w:abstractNum>
  <w:abstractNum w:abstractNumId="0">
    <w:multiLevelType w:val="hybridMultilevel"/>
    <w:lvl w:ilvl="0">
      <w:start w:val="0"/>
      <w:numFmt w:val="bullet"/>
      <w:lvlText w:val=""/>
      <w:lvlJc w:val="left"/>
      <w:pPr>
        <w:ind w:left="1198" w:hanging="423"/>
      </w:pPr>
      <w:rPr>
        <w:rFonts w:hint="default" w:ascii="Wingdings" w:hAnsi="Wingdings" w:eastAsia="Wingdings" w:cs="Wingdings"/>
        <w:w w:val="100"/>
        <w:sz w:val="21"/>
        <w:szCs w:val="21"/>
      </w:rPr>
    </w:lvl>
    <w:lvl w:ilvl="1">
      <w:start w:val="0"/>
      <w:numFmt w:val="bullet"/>
      <w:lvlText w:val="•"/>
      <w:lvlJc w:val="left"/>
      <w:pPr>
        <w:ind w:left="2094" w:hanging="423"/>
      </w:pPr>
      <w:rPr>
        <w:rFonts w:hint="default"/>
      </w:rPr>
    </w:lvl>
    <w:lvl w:ilvl="2">
      <w:start w:val="0"/>
      <w:numFmt w:val="bullet"/>
      <w:lvlText w:val="•"/>
      <w:lvlJc w:val="left"/>
      <w:pPr>
        <w:ind w:left="2988" w:hanging="423"/>
      </w:pPr>
      <w:rPr>
        <w:rFonts w:hint="default"/>
      </w:rPr>
    </w:lvl>
    <w:lvl w:ilvl="3">
      <w:start w:val="0"/>
      <w:numFmt w:val="bullet"/>
      <w:lvlText w:val="•"/>
      <w:lvlJc w:val="left"/>
      <w:pPr>
        <w:ind w:left="3883" w:hanging="423"/>
      </w:pPr>
      <w:rPr>
        <w:rFonts w:hint="default"/>
      </w:rPr>
    </w:lvl>
    <w:lvl w:ilvl="4">
      <w:start w:val="0"/>
      <w:numFmt w:val="bullet"/>
      <w:lvlText w:val="•"/>
      <w:lvlJc w:val="left"/>
      <w:pPr>
        <w:ind w:left="4777" w:hanging="423"/>
      </w:pPr>
      <w:rPr>
        <w:rFonts w:hint="default"/>
      </w:rPr>
    </w:lvl>
    <w:lvl w:ilvl="5">
      <w:start w:val="0"/>
      <w:numFmt w:val="bullet"/>
      <w:lvlText w:val="•"/>
      <w:lvlJc w:val="left"/>
      <w:pPr>
        <w:ind w:left="5672" w:hanging="423"/>
      </w:pPr>
      <w:rPr>
        <w:rFonts w:hint="default"/>
      </w:rPr>
    </w:lvl>
    <w:lvl w:ilvl="6">
      <w:start w:val="0"/>
      <w:numFmt w:val="bullet"/>
      <w:lvlText w:val="•"/>
      <w:lvlJc w:val="left"/>
      <w:pPr>
        <w:ind w:left="6566" w:hanging="423"/>
      </w:pPr>
      <w:rPr>
        <w:rFonts w:hint="default"/>
      </w:rPr>
    </w:lvl>
    <w:lvl w:ilvl="7">
      <w:start w:val="0"/>
      <w:numFmt w:val="bullet"/>
      <w:lvlText w:val="•"/>
      <w:lvlJc w:val="left"/>
      <w:pPr>
        <w:ind w:left="7460" w:hanging="423"/>
      </w:pPr>
      <w:rPr>
        <w:rFonts w:hint="default"/>
      </w:rPr>
    </w:lvl>
    <w:lvl w:ilvl="8">
      <w:start w:val="0"/>
      <w:numFmt w:val="bullet"/>
      <w:lvlText w:val="•"/>
      <w:lvlJc w:val="left"/>
      <w:pPr>
        <w:ind w:left="8355" w:hanging="423"/>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8" w:lineRule="exact"/>
      <w:ind w:left="3073"/>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0"/>
      <w:ind w:left="696" w:hanging="591"/>
      <w:outlineLvl w:val="2"/>
    </w:pPr>
    <w:rPr>
      <w:rFonts w:ascii="等线" w:hAnsi="等线" w:eastAsia="等线" w:cs="等线"/>
      <w:b/>
      <w:bCs/>
      <w:sz w:val="24"/>
      <w:szCs w:val="24"/>
    </w:rPr>
  </w:style>
  <w:style w:styleId="Heading3" w:type="paragraph">
    <w:name w:val="Heading 3"/>
    <w:basedOn w:val="Normal"/>
    <w:uiPriority w:val="1"/>
    <w:qFormat/>
    <w:pPr>
      <w:ind w:left="976"/>
      <w:outlineLvl w:val="3"/>
    </w:pPr>
    <w:rPr>
      <w:rFonts w:ascii="宋体" w:hAnsi="宋体" w:eastAsia="宋体" w:cs="宋体"/>
      <w:sz w:val="24"/>
      <w:szCs w:val="24"/>
    </w:rPr>
  </w:style>
  <w:style w:styleId="Heading4" w:type="paragraph">
    <w:name w:val="Heading 4"/>
    <w:basedOn w:val="Normal"/>
    <w:uiPriority w:val="1"/>
    <w:qFormat/>
    <w:pPr>
      <w:ind w:left="90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3009" w:hanging="4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2018-10-19T23:13:45Z</dcterms:created>
  <dcterms:modified xsi:type="dcterms:W3CDTF">2018-10-19T23:13:45Z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2018-03-16T00:00:00Z</vt:filetime>
  </property>
  <property fmtid="{D5CDD505-2E9C-101B-9397-08002B2CF9AE}" pid="3" name="Creator">
    <vt:lpwstr>Acrobat PDFMaker 11 Word 版</vt:lpwstr>
  </property>
  <property fmtid="{D5CDD505-2E9C-101B-9397-08002B2CF9AE}" pid="4" name="LastSaved">
    <vt:filetime>2018-10-19T00:00:00Z</vt:filetime>
  </property>
</Properties>
</file>