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1"/>
        <w:rPr>
          <w:rFonts w:ascii="Times New Roman"/>
          <w:sz w:val="31"/>
        </w:rPr>
      </w:pPr>
    </w:p>
    <w:p>
      <w:pPr>
        <w:spacing w:before="0"/>
        <w:ind w:left="0" w:right="0" w:firstLine="0"/>
        <w:jc w:val="right"/>
        <w:rPr>
          <w:sz w:val="32"/>
        </w:rPr>
      </w:pPr>
      <w:r>
        <w:rPr>
          <w:sz w:val="32"/>
        </w:rPr>
        <w:t>阅 读 指 引</w:t>
      </w:r>
    </w:p>
    <w:p>
      <w:pPr>
        <w:spacing w:before="120"/>
        <w:ind w:left="2002" w:right="0" w:firstLine="0"/>
        <w:jc w:val="left"/>
        <w:rPr>
          <w:sz w:val="15"/>
        </w:rPr>
      </w:pPr>
      <w:r>
        <w:rPr/>
        <w:br w:type="column"/>
      </w:r>
      <w:r>
        <w:rPr>
          <w:sz w:val="15"/>
        </w:rPr>
        <w:t>华贵保险[2017]疾病保险 002 号</w:t>
      </w:r>
    </w:p>
    <w:p>
      <w:pPr>
        <w:spacing w:after="0"/>
        <w:jc w:val="left"/>
        <w:rPr>
          <w:sz w:val="15"/>
        </w:rPr>
        <w:sectPr>
          <w:headerReference w:type="default" r:id="rId5"/>
          <w:footerReference w:type="default" r:id="rId6"/>
          <w:type w:val="continuous"/>
          <w:pgSz w:w="11910" w:h="16840"/>
          <w:pgMar w:header="836" w:footer="1042" w:top="1100" w:bottom="1240" w:left="1040" w:right="820"/>
          <w:pgNumType w:start="1"/>
          <w:cols w:num="2" w:equalWidth="0">
            <w:col w:w="5793" w:space="40"/>
            <w:col w:w="4217"/>
          </w:cols>
        </w:sectPr>
      </w:pPr>
    </w:p>
    <w:p>
      <w:pPr>
        <w:pStyle w:val="BodyText"/>
        <w:spacing w:line="398" w:lineRule="auto" w:before="155"/>
        <w:ind w:left="2281" w:hanging="636"/>
      </w:pPr>
      <w:r>
        <w:rPr/>
        <w:drawing>
          <wp:anchor distT="0" distB="0" distL="0" distR="0" allowOverlap="1" layoutInCell="1" locked="0" behindDoc="1" simplePos="0" relativeHeight="268412687">
            <wp:simplePos x="0" y="0"/>
            <wp:positionH relativeFrom="page">
              <wp:posOffset>736091</wp:posOffset>
            </wp:positionH>
            <wp:positionV relativeFrom="paragraph">
              <wp:posOffset>694609</wp:posOffset>
            </wp:positionV>
            <wp:extent cx="6086856" cy="784098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6086856" cy="7840980"/>
                    </a:xfrm>
                    <a:prstGeom prst="rect">
                      <a:avLst/>
                    </a:prstGeom>
                  </pic:spPr>
                </pic:pic>
              </a:graphicData>
            </a:graphic>
          </wp:anchor>
        </w:drawing>
      </w:r>
      <w:r>
        <w:rPr>
          <w:spacing w:val="-149"/>
        </w:rPr>
        <w:t>本</w:t>
      </w:r>
      <w:r>
        <w:rPr>
          <w:spacing w:val="-63"/>
          <w:position w:val="-7"/>
        </w:rPr>
        <w:t>．</w:t>
      </w:r>
      <w:r>
        <w:rPr>
          <w:spacing w:val="-149"/>
        </w:rPr>
        <w:t>阅</w:t>
      </w:r>
      <w:r>
        <w:rPr>
          <w:spacing w:val="-63"/>
          <w:position w:val="-7"/>
        </w:rPr>
        <w:t>．</w:t>
      </w:r>
      <w:r>
        <w:rPr>
          <w:spacing w:val="-149"/>
        </w:rPr>
        <w:t>读</w:t>
      </w:r>
      <w:r>
        <w:rPr>
          <w:spacing w:val="-63"/>
          <w:position w:val="-7"/>
        </w:rPr>
        <w:t>．</w:t>
      </w:r>
      <w:r>
        <w:rPr>
          <w:spacing w:val="-149"/>
        </w:rPr>
        <w:t>指</w:t>
      </w:r>
      <w:r>
        <w:rPr>
          <w:spacing w:val="-63"/>
          <w:position w:val="-7"/>
        </w:rPr>
        <w:t>．</w:t>
      </w:r>
      <w:r>
        <w:rPr>
          <w:spacing w:val="-149"/>
        </w:rPr>
        <w:t>引</w:t>
      </w:r>
      <w:r>
        <w:rPr>
          <w:spacing w:val="-63"/>
          <w:position w:val="-7"/>
        </w:rPr>
        <w:t>．</w:t>
      </w:r>
      <w:r>
        <w:rPr>
          <w:spacing w:val="-149"/>
        </w:rPr>
        <w:t>有</w:t>
      </w:r>
      <w:r>
        <w:rPr>
          <w:spacing w:val="-63"/>
          <w:position w:val="-7"/>
        </w:rPr>
        <w:t>．</w:t>
      </w:r>
      <w:r>
        <w:rPr>
          <w:spacing w:val="-149"/>
        </w:rPr>
        <w:t>助</w:t>
      </w:r>
      <w:r>
        <w:rPr>
          <w:spacing w:val="-63"/>
          <w:position w:val="-7"/>
        </w:rPr>
        <w:t>．</w:t>
      </w:r>
      <w:r>
        <w:rPr>
          <w:spacing w:val="-149"/>
        </w:rPr>
        <w:t>于</w:t>
      </w:r>
      <w:r>
        <w:rPr>
          <w:spacing w:val="-63"/>
          <w:position w:val="-7"/>
        </w:rPr>
        <w:t>．</w:t>
      </w:r>
      <w:r>
        <w:rPr>
          <w:spacing w:val="-152"/>
        </w:rPr>
        <w:t>投</w:t>
      </w:r>
      <w:r>
        <w:rPr>
          <w:spacing w:val="-63"/>
          <w:position w:val="-7"/>
        </w:rPr>
        <w:t>．</w:t>
      </w:r>
      <w:r>
        <w:rPr>
          <w:spacing w:val="-150"/>
        </w:rPr>
        <w:t>保</w:t>
      </w:r>
      <w:r>
        <w:rPr>
          <w:spacing w:val="-63"/>
          <w:position w:val="-7"/>
        </w:rPr>
        <w:t>．</w:t>
      </w:r>
      <w:r>
        <w:rPr>
          <w:spacing w:val="-152"/>
        </w:rPr>
        <w:t>人</w:t>
      </w:r>
      <w:r>
        <w:rPr>
          <w:spacing w:val="-63"/>
          <w:position w:val="-7"/>
        </w:rPr>
        <w:t>．</w:t>
      </w:r>
      <w:r>
        <w:rPr>
          <w:spacing w:val="-149"/>
        </w:rPr>
        <w:t>理</w:t>
      </w:r>
      <w:r>
        <w:rPr>
          <w:spacing w:val="-63"/>
          <w:position w:val="-7"/>
        </w:rPr>
        <w:t>．</w:t>
      </w:r>
      <w:r>
        <w:rPr>
          <w:spacing w:val="-149"/>
        </w:rPr>
        <w:t>解</w:t>
      </w:r>
      <w:r>
        <w:rPr>
          <w:spacing w:val="-63"/>
          <w:position w:val="-7"/>
        </w:rPr>
        <w:t>．</w:t>
      </w:r>
      <w:r>
        <w:rPr>
          <w:spacing w:val="-149"/>
        </w:rPr>
        <w:t>条</w:t>
      </w:r>
      <w:r>
        <w:rPr>
          <w:spacing w:val="-63"/>
          <w:position w:val="-7"/>
        </w:rPr>
        <w:t>．</w:t>
      </w:r>
      <w:r>
        <w:rPr>
          <w:spacing w:val="-149"/>
        </w:rPr>
        <w:t>款</w:t>
      </w:r>
      <w:r>
        <w:rPr>
          <w:spacing w:val="-32"/>
          <w:position w:val="-7"/>
        </w:rPr>
        <w:t>．</w:t>
      </w:r>
      <w:r>
        <w:rPr>
          <w:spacing w:val="-91"/>
        </w:rPr>
        <w:t>，对</w:t>
      </w:r>
      <w:r>
        <w:rPr>
          <w:spacing w:val="-63"/>
          <w:position w:val="-7"/>
        </w:rPr>
        <w:t>．</w:t>
      </w:r>
      <w:r>
        <w:rPr>
          <w:spacing w:val="-149"/>
        </w:rPr>
        <w:t>本</w:t>
      </w:r>
      <w:r>
        <w:rPr>
          <w:spacing w:val="-63"/>
          <w:position w:val="-7"/>
        </w:rPr>
        <w:t>．</w:t>
      </w:r>
      <w:r>
        <w:rPr>
          <w:spacing w:val="-149"/>
        </w:rPr>
        <w:t>合</w:t>
      </w:r>
      <w:r>
        <w:rPr>
          <w:spacing w:val="-63"/>
          <w:position w:val="-7"/>
        </w:rPr>
        <w:t>．</w:t>
      </w:r>
      <w:r>
        <w:rPr>
          <w:spacing w:val="-151"/>
        </w:rPr>
        <w:t>同</w:t>
      </w:r>
      <w:r>
        <w:rPr>
          <w:spacing w:val="-63"/>
          <w:position w:val="-7"/>
        </w:rPr>
        <w:t>．</w:t>
      </w:r>
      <w:r>
        <w:rPr>
          <w:spacing w:val="-149"/>
        </w:rPr>
        <w:t>内</w:t>
      </w:r>
      <w:r>
        <w:rPr>
          <w:spacing w:val="-63"/>
          <w:position w:val="-7"/>
        </w:rPr>
        <w:t>．</w:t>
      </w:r>
      <w:r>
        <w:rPr>
          <w:spacing w:val="-151"/>
        </w:rPr>
        <w:t>容</w:t>
      </w:r>
      <w:r>
        <w:rPr>
          <w:spacing w:val="-63"/>
          <w:position w:val="-7"/>
        </w:rPr>
        <w:t>．</w:t>
      </w:r>
      <w:r>
        <w:rPr>
          <w:spacing w:val="-149"/>
        </w:rPr>
        <w:t>的</w:t>
      </w:r>
      <w:r>
        <w:rPr>
          <w:spacing w:val="-63"/>
          <w:position w:val="-7"/>
        </w:rPr>
        <w:t>．</w:t>
      </w:r>
      <w:r>
        <w:rPr>
          <w:spacing w:val="-149"/>
        </w:rPr>
        <w:t>解</w:t>
      </w:r>
      <w:r>
        <w:rPr>
          <w:spacing w:val="-63"/>
          <w:position w:val="-7"/>
        </w:rPr>
        <w:t>．</w:t>
      </w:r>
      <w:r>
        <w:rPr>
          <w:spacing w:val="-149"/>
        </w:rPr>
        <w:t>释</w:t>
      </w:r>
      <w:r>
        <w:rPr>
          <w:spacing w:val="-63"/>
          <w:position w:val="-7"/>
        </w:rPr>
        <w:t>．</w:t>
      </w:r>
      <w:r>
        <w:rPr>
          <w:spacing w:val="-149"/>
        </w:rPr>
        <w:t>以</w:t>
      </w:r>
      <w:r>
        <w:rPr>
          <w:spacing w:val="-63"/>
          <w:position w:val="-7"/>
        </w:rPr>
        <w:t>．</w:t>
      </w:r>
      <w:r>
        <w:rPr>
          <w:spacing w:val="-149"/>
        </w:rPr>
        <w:t>条</w:t>
      </w:r>
      <w:r>
        <w:rPr>
          <w:spacing w:val="-63"/>
          <w:position w:val="-7"/>
        </w:rPr>
        <w:t>．</w:t>
      </w:r>
      <w:r>
        <w:rPr>
          <w:spacing w:val="-149"/>
        </w:rPr>
        <w:t>款</w:t>
      </w:r>
      <w:r>
        <w:rPr>
          <w:spacing w:val="-63"/>
          <w:position w:val="-7"/>
        </w:rPr>
        <w:t>．</w:t>
      </w:r>
      <w:r>
        <w:rPr>
          <w:spacing w:val="-149"/>
        </w:rPr>
        <w:t>为</w:t>
      </w:r>
      <w:r>
        <w:rPr>
          <w:spacing w:val="-63"/>
          <w:position w:val="-7"/>
        </w:rPr>
        <w:t>．</w:t>
      </w:r>
      <w:r>
        <w:rPr>
          <w:spacing w:val="-149"/>
        </w:rPr>
        <w:t>准</w:t>
      </w:r>
      <w:r>
        <w:rPr>
          <w:spacing w:val="-64"/>
          <w:position w:val="-7"/>
        </w:rPr>
        <w:t>．</w:t>
      </w:r>
      <w:r>
        <w:rPr/>
        <w:t>。</w:t>
      </w:r>
      <w:r>
        <w:rPr>
          <w:spacing w:val="-4"/>
        </w:rPr>
        <w:t>在本条款中，“本公司”指华贵人寿保险股份有限公司。</w:t>
      </w:r>
    </w:p>
    <w:p>
      <w:pPr>
        <w:pStyle w:val="BodyText"/>
        <w:spacing w:line="536" w:lineRule="exact" w:before="3"/>
        <w:ind w:left="258"/>
      </w:pPr>
      <w:r>
        <w:rPr>
          <w:rFonts w:ascii="Times New Roman" w:hAnsi="Times New Roman" w:eastAsia="Times New Roman"/>
          <w:w w:val="105"/>
          <w:position w:val="-11"/>
          <w:sz w:val="52"/>
        </w:rPr>
        <w:t></w:t>
      </w:r>
      <w:r>
        <w:rPr>
          <w:w w:val="105"/>
        </w:rPr>
        <w:t>投保人拥有的重要权益</w:t>
      </w:r>
    </w:p>
    <w:p>
      <w:pPr>
        <w:pStyle w:val="BodyText"/>
        <w:spacing w:before="0"/>
        <w:rPr>
          <w:sz w:val="20"/>
        </w:rPr>
      </w:pPr>
      <w:r>
        <w:rPr/>
        <w:br w:type="column"/>
      </w:r>
      <w:r>
        <w:rPr>
          <w:sz w:val="20"/>
        </w:rPr>
      </w:r>
    </w:p>
    <w:p>
      <w:pPr>
        <w:pStyle w:val="BodyText"/>
        <w:spacing w:before="0"/>
        <w:rPr>
          <w:sz w:val="20"/>
        </w:rPr>
      </w:pPr>
    </w:p>
    <w:p>
      <w:pPr>
        <w:pStyle w:val="BodyText"/>
        <w:spacing w:before="9"/>
        <w:rPr>
          <w:sz w:val="18"/>
        </w:rPr>
      </w:pPr>
    </w:p>
    <w:p>
      <w:pPr>
        <w:spacing w:before="0"/>
        <w:ind w:left="60" w:right="0" w:firstLine="0"/>
        <w:jc w:val="left"/>
        <w:rPr>
          <w:sz w:val="15"/>
        </w:rPr>
      </w:pPr>
      <w:r>
        <w:rPr/>
        <w:drawing>
          <wp:anchor distT="0" distB="0" distL="0" distR="0" allowOverlap="1" layoutInCell="1" locked="0" behindDoc="0" simplePos="0" relativeHeight="1048">
            <wp:simplePos x="0" y="0"/>
            <wp:positionH relativeFrom="page">
              <wp:posOffset>6030467</wp:posOffset>
            </wp:positionH>
            <wp:positionV relativeFrom="paragraph">
              <wp:posOffset>-734570</wp:posOffset>
            </wp:positionV>
            <wp:extent cx="719327" cy="71932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719327" cy="719327"/>
                    </a:xfrm>
                    <a:prstGeom prst="rect">
                      <a:avLst/>
                    </a:prstGeom>
                  </pic:spPr>
                </pic:pic>
              </a:graphicData>
            </a:graphic>
          </wp:anchor>
        </w:drawing>
      </w:r>
      <w:r>
        <w:rPr>
          <w:sz w:val="15"/>
        </w:rPr>
        <w:t>请扫描以查询验证条款</w:t>
      </w:r>
    </w:p>
    <w:p>
      <w:pPr>
        <w:spacing w:after="0"/>
        <w:jc w:val="left"/>
        <w:rPr>
          <w:sz w:val="15"/>
        </w:rPr>
        <w:sectPr>
          <w:type w:val="continuous"/>
          <w:pgSz w:w="11910" w:h="16840"/>
          <w:pgMar w:top="1100" w:bottom="1240" w:left="1040" w:right="820"/>
          <w:cols w:num="2" w:equalWidth="0">
            <w:col w:w="8184" w:space="40"/>
            <w:col w:w="1826"/>
          </w:cols>
        </w:sectPr>
      </w:pPr>
    </w:p>
    <w:p>
      <w:pPr>
        <w:pStyle w:val="ListParagraph"/>
        <w:numPr>
          <w:ilvl w:val="0"/>
          <w:numId w:val="1"/>
        </w:numPr>
        <w:tabs>
          <w:tab w:pos="1650" w:val="left" w:leader="none"/>
          <w:tab w:pos="1651" w:val="left" w:leader="none"/>
        </w:tabs>
        <w:spacing w:line="269" w:lineRule="exact" w:before="0" w:after="0"/>
        <w:ind w:left="1734" w:right="0" w:hanging="504"/>
        <w:jc w:val="left"/>
        <w:rPr>
          <w:sz w:val="21"/>
        </w:rPr>
      </w:pPr>
      <w:r>
        <w:rPr>
          <w:spacing w:val="-4"/>
          <w:sz w:val="21"/>
        </w:rPr>
        <w:t>被保险人、连带被保险人享受本保险合同提供的保障……………………第</w:t>
      </w:r>
      <w:r>
        <w:rPr>
          <w:sz w:val="21"/>
        </w:rPr>
        <w:t>2.3条</w:t>
      </w:r>
    </w:p>
    <w:p>
      <w:pPr>
        <w:pStyle w:val="BodyText"/>
        <w:spacing w:line="553" w:lineRule="exact" w:before="0"/>
        <w:ind w:left="258"/>
      </w:pPr>
      <w:r>
        <w:rPr>
          <w:rFonts w:ascii="Times New Roman" w:hAnsi="Times New Roman" w:eastAsia="Times New Roman"/>
          <w:w w:val="105"/>
          <w:position w:val="-11"/>
          <w:sz w:val="52"/>
        </w:rPr>
        <w:t></w:t>
      </w:r>
      <w:r>
        <w:rPr>
          <w:w w:val="105"/>
        </w:rPr>
        <w:t>投保人应当特别注意的事项</w:t>
      </w:r>
    </w:p>
    <w:p>
      <w:pPr>
        <w:pStyle w:val="ListParagraph"/>
        <w:numPr>
          <w:ilvl w:val="0"/>
          <w:numId w:val="1"/>
        </w:numPr>
        <w:tabs>
          <w:tab w:pos="1669" w:val="left" w:leader="none"/>
          <w:tab w:pos="1670" w:val="left" w:leader="none"/>
        </w:tabs>
        <w:spacing w:line="252" w:lineRule="exact" w:before="0" w:after="0"/>
        <w:ind w:left="1669" w:right="0" w:hanging="439"/>
        <w:jc w:val="left"/>
        <w:rPr>
          <w:sz w:val="21"/>
        </w:rPr>
      </w:pPr>
      <w:r>
        <w:rPr>
          <w:spacing w:val="-3"/>
          <w:sz w:val="21"/>
        </w:rPr>
        <w:t>投保人解除合同会有一定的损失，请慎重决策……………………………第</w:t>
      </w:r>
      <w:r>
        <w:rPr>
          <w:sz w:val="21"/>
        </w:rPr>
        <w:t>1.5条</w:t>
      </w:r>
    </w:p>
    <w:p>
      <w:pPr>
        <w:pStyle w:val="ListParagraph"/>
        <w:numPr>
          <w:ilvl w:val="0"/>
          <w:numId w:val="1"/>
        </w:numPr>
        <w:tabs>
          <w:tab w:pos="1669" w:val="left" w:leader="none"/>
          <w:tab w:pos="1670" w:val="left" w:leader="none"/>
        </w:tabs>
        <w:spacing w:line="240" w:lineRule="auto" w:before="110" w:after="0"/>
        <w:ind w:left="1669" w:right="0" w:hanging="439"/>
        <w:jc w:val="left"/>
        <w:rPr>
          <w:sz w:val="21"/>
        </w:rPr>
      </w:pPr>
      <w:r>
        <w:rPr>
          <w:spacing w:val="-4"/>
          <w:sz w:val="21"/>
        </w:rPr>
        <w:t>本保险合同有责任免除条款，在某些情况下，本公司不承担保险责任…第</w:t>
      </w:r>
      <w:r>
        <w:rPr>
          <w:sz w:val="21"/>
        </w:rPr>
        <w:t>2.4条</w:t>
      </w:r>
    </w:p>
    <w:p>
      <w:pPr>
        <w:pStyle w:val="ListParagraph"/>
        <w:numPr>
          <w:ilvl w:val="0"/>
          <w:numId w:val="1"/>
        </w:numPr>
        <w:tabs>
          <w:tab w:pos="1669" w:val="left" w:leader="none"/>
          <w:tab w:pos="1670" w:val="left" w:leader="none"/>
        </w:tabs>
        <w:spacing w:line="240" w:lineRule="auto" w:before="107" w:after="0"/>
        <w:ind w:left="1669" w:right="0" w:hanging="439"/>
        <w:jc w:val="left"/>
        <w:rPr>
          <w:sz w:val="21"/>
        </w:rPr>
      </w:pPr>
      <w:r>
        <w:rPr>
          <w:spacing w:val="-3"/>
          <w:sz w:val="21"/>
        </w:rPr>
        <w:t>申请保险金给付时，应当提供的证明和资料………………………………第</w:t>
      </w:r>
      <w:r>
        <w:rPr>
          <w:sz w:val="21"/>
        </w:rPr>
        <w:t>4.3条</w:t>
      </w:r>
    </w:p>
    <w:p>
      <w:pPr>
        <w:pStyle w:val="BodyText"/>
        <w:tabs>
          <w:tab w:pos="1669" w:val="left" w:leader="none"/>
        </w:tabs>
        <w:spacing w:before="109"/>
        <w:ind w:left="1230"/>
      </w:pPr>
      <w:r>
        <w:rPr>
          <w:rFonts w:ascii="Times New Roman" w:hAnsi="Times New Roman" w:eastAsia="Times New Roman"/>
        </w:rPr>
        <w:t></w:t>
        <w:tab/>
      </w:r>
      <w:r>
        <w:rPr>
          <w:spacing w:val="-3"/>
        </w:rPr>
        <w:t>投保人有如实告知的义务……………………………………………………第</w:t>
      </w:r>
      <w:r>
        <w:rPr/>
        <w:t>5.1条</w:t>
      </w:r>
    </w:p>
    <w:p>
      <w:pPr>
        <w:pStyle w:val="ListParagraph"/>
        <w:numPr>
          <w:ilvl w:val="0"/>
          <w:numId w:val="1"/>
        </w:numPr>
        <w:tabs>
          <w:tab w:pos="1669" w:val="left" w:leader="none"/>
          <w:tab w:pos="1670" w:val="left" w:leader="none"/>
        </w:tabs>
        <w:spacing w:line="328" w:lineRule="auto" w:before="109" w:after="0"/>
        <w:ind w:left="1734" w:right="997" w:hanging="504"/>
        <w:jc w:val="left"/>
        <w:rPr>
          <w:sz w:val="21"/>
        </w:rPr>
      </w:pPr>
      <w:r>
        <w:rPr>
          <w:spacing w:val="-4"/>
          <w:sz w:val="21"/>
        </w:rPr>
        <w:t>本公司对可能影响被保险人享受本保险合同保障的重要内容进行了显著标识，请投保人仔细阅读正文加粗的部分。</w:t>
      </w:r>
    </w:p>
    <w:p>
      <w:pPr>
        <w:pStyle w:val="BodyText"/>
        <w:spacing w:line="427" w:lineRule="exact" w:before="0"/>
        <w:ind w:left="258"/>
      </w:pPr>
      <w:r>
        <w:rPr>
          <w:rFonts w:ascii="Times New Roman" w:hAnsi="Times New Roman" w:eastAsia="Times New Roman"/>
          <w:position w:val="-11"/>
          <w:sz w:val="52"/>
        </w:rPr>
        <w:t></w:t>
      </w:r>
      <w:r>
        <w:rPr/>
        <w:t>条款是保险合同的重要内容，为充分保障投保人的权益，请投保人仔细阅读本条款。</w:t>
      </w:r>
    </w:p>
    <w:p>
      <w:pPr>
        <w:spacing w:line="499" w:lineRule="exact" w:before="0"/>
        <w:ind w:left="258" w:right="0" w:firstLine="0"/>
        <w:jc w:val="left"/>
        <w:rPr>
          <w:sz w:val="21"/>
        </w:rPr>
      </w:pPr>
      <w:r>
        <w:rPr>
          <w:rFonts w:ascii="Times New Roman" w:hAnsi="Times New Roman" w:eastAsia="Times New Roman"/>
          <w:w w:val="110"/>
          <w:position w:val="-11"/>
          <w:sz w:val="52"/>
        </w:rPr>
        <w:t></w:t>
      </w:r>
      <w:r>
        <w:rPr>
          <w:w w:val="110"/>
          <w:sz w:val="21"/>
        </w:rPr>
        <w:t>条款目录</w:t>
      </w:r>
    </w:p>
    <w:p>
      <w:pPr>
        <w:spacing w:after="0" w:line="499" w:lineRule="exact"/>
        <w:jc w:val="left"/>
        <w:rPr>
          <w:sz w:val="21"/>
        </w:rPr>
        <w:sectPr>
          <w:type w:val="continuous"/>
          <w:pgSz w:w="11910" w:h="16840"/>
          <w:pgMar w:top="1100" w:bottom="1240" w:left="1040" w:right="820"/>
        </w:sectPr>
      </w:pPr>
    </w:p>
    <w:p>
      <w:pPr>
        <w:pStyle w:val="BodyText"/>
        <w:spacing w:before="21"/>
        <w:ind w:left="764"/>
      </w:pPr>
      <w:r>
        <w:rPr/>
        <w:t>1.保险合同</w:t>
      </w:r>
    </w:p>
    <w:p>
      <w:pPr>
        <w:pStyle w:val="ListParagraph"/>
        <w:numPr>
          <w:ilvl w:val="1"/>
          <w:numId w:val="2"/>
        </w:numPr>
        <w:tabs>
          <w:tab w:pos="1399" w:val="left" w:leader="none"/>
        </w:tabs>
        <w:spacing w:line="240" w:lineRule="auto" w:before="126" w:after="0"/>
        <w:ind w:left="1398" w:right="0" w:hanging="422"/>
        <w:jc w:val="left"/>
        <w:rPr>
          <w:sz w:val="21"/>
        </w:rPr>
      </w:pPr>
      <w:r>
        <w:rPr>
          <w:spacing w:val="-3"/>
          <w:sz w:val="21"/>
        </w:rPr>
        <w:t>合同构成</w:t>
      </w:r>
    </w:p>
    <w:p>
      <w:pPr>
        <w:pStyle w:val="ListParagraph"/>
        <w:numPr>
          <w:ilvl w:val="1"/>
          <w:numId w:val="2"/>
        </w:numPr>
        <w:tabs>
          <w:tab w:pos="1399" w:val="left" w:leader="none"/>
        </w:tabs>
        <w:spacing w:line="240" w:lineRule="auto" w:before="126" w:after="0"/>
        <w:ind w:left="1398" w:right="0" w:hanging="422"/>
        <w:jc w:val="left"/>
        <w:rPr>
          <w:sz w:val="21"/>
        </w:rPr>
      </w:pPr>
      <w:r>
        <w:rPr>
          <w:spacing w:val="-3"/>
          <w:sz w:val="21"/>
        </w:rPr>
        <w:t>投保范围</w:t>
      </w:r>
    </w:p>
    <w:p>
      <w:pPr>
        <w:pStyle w:val="ListParagraph"/>
        <w:numPr>
          <w:ilvl w:val="1"/>
          <w:numId w:val="2"/>
        </w:numPr>
        <w:tabs>
          <w:tab w:pos="1399" w:val="left" w:leader="none"/>
        </w:tabs>
        <w:spacing w:line="240" w:lineRule="auto" w:before="123" w:after="0"/>
        <w:ind w:left="1398" w:right="0" w:hanging="422"/>
        <w:jc w:val="left"/>
        <w:rPr>
          <w:sz w:val="21"/>
        </w:rPr>
      </w:pPr>
      <w:r>
        <w:rPr>
          <w:spacing w:val="-3"/>
          <w:sz w:val="21"/>
        </w:rPr>
        <w:t>合同成立与生效</w:t>
      </w:r>
    </w:p>
    <w:p>
      <w:pPr>
        <w:pStyle w:val="ListParagraph"/>
        <w:numPr>
          <w:ilvl w:val="1"/>
          <w:numId w:val="2"/>
        </w:numPr>
        <w:tabs>
          <w:tab w:pos="1399" w:val="left" w:leader="none"/>
        </w:tabs>
        <w:spacing w:line="240" w:lineRule="auto" w:before="125" w:after="0"/>
        <w:ind w:left="1398" w:right="0" w:hanging="422"/>
        <w:jc w:val="left"/>
        <w:rPr>
          <w:sz w:val="21"/>
        </w:rPr>
      </w:pPr>
      <w:r>
        <w:rPr>
          <w:spacing w:val="-3"/>
          <w:sz w:val="21"/>
        </w:rPr>
        <w:t>合同内容变更</w:t>
      </w:r>
    </w:p>
    <w:p>
      <w:pPr>
        <w:pStyle w:val="ListParagraph"/>
        <w:numPr>
          <w:ilvl w:val="1"/>
          <w:numId w:val="2"/>
        </w:numPr>
        <w:tabs>
          <w:tab w:pos="1399" w:val="left" w:leader="none"/>
        </w:tabs>
        <w:spacing w:line="240" w:lineRule="auto" w:before="125" w:after="0"/>
        <w:ind w:left="1398" w:right="0" w:hanging="422"/>
        <w:jc w:val="left"/>
        <w:rPr>
          <w:sz w:val="21"/>
        </w:rPr>
      </w:pPr>
      <w:r>
        <w:rPr>
          <w:spacing w:val="-4"/>
          <w:sz w:val="21"/>
        </w:rPr>
        <w:t>投保人解除合同的手续及风险</w:t>
      </w:r>
    </w:p>
    <w:p>
      <w:pPr>
        <w:pStyle w:val="ListParagraph"/>
        <w:numPr>
          <w:ilvl w:val="1"/>
          <w:numId w:val="2"/>
        </w:numPr>
        <w:tabs>
          <w:tab w:pos="1399" w:val="left" w:leader="none"/>
        </w:tabs>
        <w:spacing w:line="240" w:lineRule="auto" w:before="123" w:after="0"/>
        <w:ind w:left="1398" w:right="0" w:hanging="422"/>
        <w:jc w:val="left"/>
        <w:rPr>
          <w:sz w:val="21"/>
        </w:rPr>
      </w:pPr>
      <w:r>
        <w:rPr>
          <w:spacing w:val="-3"/>
          <w:sz w:val="21"/>
        </w:rPr>
        <w:t>合同终止</w:t>
      </w:r>
    </w:p>
    <w:p>
      <w:pPr>
        <w:pStyle w:val="BodyText"/>
        <w:spacing w:before="126"/>
        <w:ind w:left="764"/>
      </w:pPr>
      <w:r>
        <w:rPr/>
        <w:t>2.本公司提供的保障</w:t>
      </w:r>
    </w:p>
    <w:p>
      <w:pPr>
        <w:pStyle w:val="ListParagraph"/>
        <w:numPr>
          <w:ilvl w:val="1"/>
          <w:numId w:val="3"/>
        </w:numPr>
        <w:tabs>
          <w:tab w:pos="1399" w:val="left" w:leader="none"/>
        </w:tabs>
        <w:spacing w:line="240" w:lineRule="auto" w:before="126" w:after="0"/>
        <w:ind w:left="1398" w:right="0" w:hanging="422"/>
        <w:jc w:val="left"/>
        <w:rPr>
          <w:sz w:val="21"/>
        </w:rPr>
      </w:pPr>
      <w:r>
        <w:rPr>
          <w:spacing w:val="-3"/>
          <w:sz w:val="21"/>
        </w:rPr>
        <w:t>基本保险金额</w:t>
      </w:r>
    </w:p>
    <w:p>
      <w:pPr>
        <w:pStyle w:val="ListParagraph"/>
        <w:numPr>
          <w:ilvl w:val="1"/>
          <w:numId w:val="3"/>
        </w:numPr>
        <w:tabs>
          <w:tab w:pos="1399" w:val="left" w:leader="none"/>
        </w:tabs>
        <w:spacing w:line="240" w:lineRule="auto" w:before="123" w:after="0"/>
        <w:ind w:left="1398" w:right="0" w:hanging="422"/>
        <w:jc w:val="left"/>
        <w:rPr>
          <w:sz w:val="21"/>
        </w:rPr>
      </w:pPr>
      <w:r>
        <w:rPr>
          <w:spacing w:val="-3"/>
          <w:sz w:val="21"/>
        </w:rPr>
        <w:t>保险期间</w:t>
      </w:r>
    </w:p>
    <w:p>
      <w:pPr>
        <w:pStyle w:val="ListParagraph"/>
        <w:numPr>
          <w:ilvl w:val="1"/>
          <w:numId w:val="3"/>
        </w:numPr>
        <w:tabs>
          <w:tab w:pos="1399" w:val="left" w:leader="none"/>
        </w:tabs>
        <w:spacing w:line="240" w:lineRule="auto" w:before="125" w:after="0"/>
        <w:ind w:left="1398" w:right="0" w:hanging="422"/>
        <w:jc w:val="left"/>
        <w:rPr>
          <w:sz w:val="21"/>
        </w:rPr>
      </w:pPr>
      <w:r>
        <w:rPr>
          <w:spacing w:val="-3"/>
          <w:sz w:val="21"/>
        </w:rPr>
        <w:t>保险责任</w:t>
      </w:r>
    </w:p>
    <w:p>
      <w:pPr>
        <w:pStyle w:val="ListParagraph"/>
        <w:numPr>
          <w:ilvl w:val="1"/>
          <w:numId w:val="3"/>
        </w:numPr>
        <w:tabs>
          <w:tab w:pos="1399" w:val="left" w:leader="none"/>
        </w:tabs>
        <w:spacing w:line="240" w:lineRule="auto" w:before="125" w:after="0"/>
        <w:ind w:left="1398" w:right="0" w:hanging="422"/>
        <w:jc w:val="left"/>
        <w:rPr>
          <w:sz w:val="21"/>
        </w:rPr>
      </w:pPr>
      <w:r>
        <w:rPr>
          <w:spacing w:val="-3"/>
          <w:sz w:val="21"/>
        </w:rPr>
        <w:t>责任免除</w:t>
      </w:r>
    </w:p>
    <w:p>
      <w:pPr>
        <w:pStyle w:val="BodyText"/>
        <w:spacing w:before="123"/>
        <w:ind w:left="764"/>
      </w:pPr>
      <w:r>
        <w:rPr/>
        <w:t>3.投保人的权利和义务</w:t>
      </w:r>
    </w:p>
    <w:p>
      <w:pPr>
        <w:pStyle w:val="ListParagraph"/>
        <w:numPr>
          <w:ilvl w:val="1"/>
          <w:numId w:val="4"/>
        </w:numPr>
        <w:tabs>
          <w:tab w:pos="1399" w:val="left" w:leader="none"/>
        </w:tabs>
        <w:spacing w:line="240" w:lineRule="auto" w:before="126" w:after="0"/>
        <w:ind w:left="1398" w:right="0" w:hanging="422"/>
        <w:jc w:val="left"/>
        <w:rPr>
          <w:sz w:val="21"/>
        </w:rPr>
      </w:pPr>
      <w:r>
        <w:rPr>
          <w:spacing w:val="-3"/>
          <w:sz w:val="21"/>
        </w:rPr>
        <w:t>保险费的交纳</w:t>
      </w:r>
    </w:p>
    <w:p>
      <w:pPr>
        <w:pStyle w:val="ListParagraph"/>
        <w:numPr>
          <w:ilvl w:val="1"/>
          <w:numId w:val="4"/>
        </w:numPr>
        <w:tabs>
          <w:tab w:pos="1399" w:val="left" w:leader="none"/>
        </w:tabs>
        <w:spacing w:line="240" w:lineRule="auto" w:before="126" w:after="0"/>
        <w:ind w:left="1398" w:right="0" w:hanging="422"/>
        <w:jc w:val="left"/>
        <w:rPr>
          <w:sz w:val="21"/>
        </w:rPr>
      </w:pPr>
      <w:r>
        <w:rPr>
          <w:spacing w:val="-2"/>
          <w:sz w:val="21"/>
        </w:rPr>
        <w:t>续保</w:t>
      </w:r>
    </w:p>
    <w:p>
      <w:pPr>
        <w:pStyle w:val="ListParagraph"/>
        <w:numPr>
          <w:ilvl w:val="0"/>
          <w:numId w:val="5"/>
        </w:numPr>
        <w:tabs>
          <w:tab w:pos="1082" w:val="left" w:leader="none"/>
        </w:tabs>
        <w:spacing w:line="240" w:lineRule="auto" w:before="13" w:after="0"/>
        <w:ind w:left="1081" w:right="0" w:hanging="317"/>
        <w:jc w:val="left"/>
        <w:rPr>
          <w:sz w:val="21"/>
        </w:rPr>
      </w:pPr>
      <w:r>
        <w:rPr>
          <w:w w:val="100"/>
          <w:sz w:val="21"/>
        </w:rPr>
        <w:br w:type="column"/>
      </w:r>
      <w:r>
        <w:rPr>
          <w:sz w:val="21"/>
        </w:rPr>
        <w:t>如何申请领取保险金</w:t>
      </w:r>
    </w:p>
    <w:p>
      <w:pPr>
        <w:pStyle w:val="ListParagraph"/>
        <w:numPr>
          <w:ilvl w:val="1"/>
          <w:numId w:val="5"/>
        </w:numPr>
        <w:tabs>
          <w:tab w:pos="1399" w:val="left" w:leader="none"/>
        </w:tabs>
        <w:spacing w:line="240" w:lineRule="auto" w:before="125" w:after="0"/>
        <w:ind w:left="1398" w:right="0" w:hanging="422"/>
        <w:jc w:val="left"/>
        <w:rPr>
          <w:sz w:val="21"/>
        </w:rPr>
      </w:pPr>
      <w:r>
        <w:rPr>
          <w:spacing w:val="-3"/>
          <w:sz w:val="21"/>
        </w:rPr>
        <w:t>保险金受益人</w:t>
      </w:r>
    </w:p>
    <w:p>
      <w:pPr>
        <w:pStyle w:val="ListParagraph"/>
        <w:numPr>
          <w:ilvl w:val="1"/>
          <w:numId w:val="5"/>
        </w:numPr>
        <w:tabs>
          <w:tab w:pos="1399" w:val="left" w:leader="none"/>
        </w:tabs>
        <w:spacing w:line="240" w:lineRule="auto" w:before="125" w:after="0"/>
        <w:ind w:left="1398" w:right="0" w:hanging="422"/>
        <w:jc w:val="left"/>
        <w:rPr>
          <w:sz w:val="21"/>
        </w:rPr>
      </w:pPr>
      <w:r>
        <w:rPr>
          <w:spacing w:val="-3"/>
          <w:sz w:val="21"/>
        </w:rPr>
        <w:t>保险事故通知</w:t>
      </w:r>
    </w:p>
    <w:p>
      <w:pPr>
        <w:pStyle w:val="ListParagraph"/>
        <w:numPr>
          <w:ilvl w:val="1"/>
          <w:numId w:val="5"/>
        </w:numPr>
        <w:tabs>
          <w:tab w:pos="1399" w:val="left" w:leader="none"/>
        </w:tabs>
        <w:spacing w:line="240" w:lineRule="auto" w:before="123" w:after="0"/>
        <w:ind w:left="1398" w:right="0" w:hanging="422"/>
        <w:jc w:val="left"/>
        <w:rPr>
          <w:sz w:val="21"/>
        </w:rPr>
      </w:pPr>
      <w:r>
        <w:rPr>
          <w:spacing w:val="-3"/>
          <w:sz w:val="21"/>
        </w:rPr>
        <w:t>保险金的申请</w:t>
      </w:r>
    </w:p>
    <w:p>
      <w:pPr>
        <w:pStyle w:val="ListParagraph"/>
        <w:numPr>
          <w:ilvl w:val="1"/>
          <w:numId w:val="5"/>
        </w:numPr>
        <w:tabs>
          <w:tab w:pos="1399" w:val="left" w:leader="none"/>
        </w:tabs>
        <w:spacing w:line="240" w:lineRule="auto" w:before="126" w:after="0"/>
        <w:ind w:left="1398" w:right="0" w:hanging="422"/>
        <w:jc w:val="left"/>
        <w:rPr>
          <w:sz w:val="21"/>
        </w:rPr>
      </w:pPr>
      <w:r>
        <w:rPr>
          <w:spacing w:val="-3"/>
          <w:sz w:val="21"/>
        </w:rPr>
        <w:t>司法鉴定</w:t>
      </w:r>
    </w:p>
    <w:p>
      <w:pPr>
        <w:pStyle w:val="ListParagraph"/>
        <w:numPr>
          <w:ilvl w:val="1"/>
          <w:numId w:val="5"/>
        </w:numPr>
        <w:tabs>
          <w:tab w:pos="1399" w:val="left" w:leader="none"/>
        </w:tabs>
        <w:spacing w:line="240" w:lineRule="auto" w:before="126" w:after="0"/>
        <w:ind w:left="1398" w:right="0" w:hanging="422"/>
        <w:jc w:val="left"/>
        <w:rPr>
          <w:sz w:val="21"/>
        </w:rPr>
      </w:pPr>
      <w:r>
        <w:rPr>
          <w:spacing w:val="-3"/>
          <w:sz w:val="21"/>
        </w:rPr>
        <w:t>保险金的给付</w:t>
      </w:r>
    </w:p>
    <w:p>
      <w:pPr>
        <w:pStyle w:val="ListParagraph"/>
        <w:numPr>
          <w:ilvl w:val="1"/>
          <w:numId w:val="5"/>
        </w:numPr>
        <w:tabs>
          <w:tab w:pos="1399" w:val="left" w:leader="none"/>
        </w:tabs>
        <w:spacing w:line="240" w:lineRule="auto" w:before="123" w:after="0"/>
        <w:ind w:left="1398" w:right="0" w:hanging="422"/>
        <w:jc w:val="left"/>
        <w:rPr>
          <w:sz w:val="21"/>
        </w:rPr>
      </w:pPr>
      <w:r>
        <w:rPr>
          <w:spacing w:val="-3"/>
          <w:sz w:val="21"/>
        </w:rPr>
        <w:t>诉讼时效</w:t>
      </w:r>
    </w:p>
    <w:p>
      <w:pPr>
        <w:pStyle w:val="BodyText"/>
        <w:spacing w:before="125"/>
        <w:ind w:left="764"/>
      </w:pPr>
      <w:r>
        <w:rPr/>
        <w:t>5.其他需要注意的事项</w:t>
      </w:r>
    </w:p>
    <w:p>
      <w:pPr>
        <w:pStyle w:val="ListParagraph"/>
        <w:numPr>
          <w:ilvl w:val="1"/>
          <w:numId w:val="6"/>
        </w:numPr>
        <w:tabs>
          <w:tab w:pos="1399" w:val="left" w:leader="none"/>
        </w:tabs>
        <w:spacing w:line="240" w:lineRule="auto" w:before="125" w:after="0"/>
        <w:ind w:left="1398" w:right="0" w:hanging="422"/>
        <w:jc w:val="left"/>
        <w:rPr>
          <w:sz w:val="21"/>
        </w:rPr>
      </w:pPr>
      <w:r>
        <w:rPr>
          <w:spacing w:val="-4"/>
          <w:sz w:val="21"/>
        </w:rPr>
        <w:t>明确说明与如实告知</w:t>
      </w:r>
    </w:p>
    <w:p>
      <w:pPr>
        <w:pStyle w:val="ListParagraph"/>
        <w:numPr>
          <w:ilvl w:val="1"/>
          <w:numId w:val="6"/>
        </w:numPr>
        <w:tabs>
          <w:tab w:pos="1399" w:val="left" w:leader="none"/>
        </w:tabs>
        <w:spacing w:line="240" w:lineRule="auto" w:before="123" w:after="0"/>
        <w:ind w:left="1398" w:right="0" w:hanging="422"/>
        <w:jc w:val="left"/>
        <w:rPr>
          <w:sz w:val="21"/>
        </w:rPr>
      </w:pPr>
      <w:r>
        <w:rPr>
          <w:spacing w:val="-4"/>
          <w:sz w:val="21"/>
        </w:rPr>
        <w:t>年龄确定与错误处理</w:t>
      </w:r>
    </w:p>
    <w:p>
      <w:pPr>
        <w:pStyle w:val="ListParagraph"/>
        <w:numPr>
          <w:ilvl w:val="1"/>
          <w:numId w:val="6"/>
        </w:numPr>
        <w:tabs>
          <w:tab w:pos="1399" w:val="left" w:leader="none"/>
        </w:tabs>
        <w:spacing w:line="240" w:lineRule="auto" w:before="126" w:after="0"/>
        <w:ind w:left="1398" w:right="0" w:hanging="422"/>
        <w:jc w:val="left"/>
        <w:rPr>
          <w:sz w:val="21"/>
        </w:rPr>
      </w:pPr>
      <w:r>
        <w:rPr>
          <w:spacing w:val="-4"/>
          <w:sz w:val="21"/>
        </w:rPr>
        <w:t>被保险人、连带被保险人的变动</w:t>
      </w:r>
    </w:p>
    <w:p>
      <w:pPr>
        <w:pStyle w:val="ListParagraph"/>
        <w:numPr>
          <w:ilvl w:val="1"/>
          <w:numId w:val="6"/>
        </w:numPr>
        <w:tabs>
          <w:tab w:pos="1399" w:val="left" w:leader="none"/>
        </w:tabs>
        <w:spacing w:line="240" w:lineRule="auto" w:before="126" w:after="0"/>
        <w:ind w:left="1398" w:right="0" w:hanging="422"/>
        <w:jc w:val="left"/>
        <w:rPr>
          <w:sz w:val="21"/>
        </w:rPr>
      </w:pPr>
      <w:r>
        <w:rPr>
          <w:spacing w:val="-3"/>
          <w:sz w:val="21"/>
        </w:rPr>
        <w:t>联系方式变更</w:t>
      </w:r>
    </w:p>
    <w:p>
      <w:pPr>
        <w:pStyle w:val="ListParagraph"/>
        <w:numPr>
          <w:ilvl w:val="1"/>
          <w:numId w:val="6"/>
        </w:numPr>
        <w:tabs>
          <w:tab w:pos="1399" w:val="left" w:leader="none"/>
        </w:tabs>
        <w:spacing w:line="240" w:lineRule="auto" w:before="123" w:after="0"/>
        <w:ind w:left="1398" w:right="0" w:hanging="422"/>
        <w:jc w:val="left"/>
        <w:rPr>
          <w:sz w:val="21"/>
        </w:rPr>
      </w:pPr>
      <w:r>
        <w:rPr>
          <w:spacing w:val="-3"/>
          <w:sz w:val="21"/>
        </w:rPr>
        <w:t>争议处理</w:t>
      </w:r>
    </w:p>
    <w:p>
      <w:pPr>
        <w:pStyle w:val="BodyText"/>
        <w:spacing w:before="125"/>
        <w:ind w:left="764"/>
      </w:pPr>
      <w:r>
        <w:rPr/>
        <w:t>6. 重大疾病的种类及定义</w:t>
      </w:r>
    </w:p>
    <w:p>
      <w:pPr>
        <w:spacing w:after="0"/>
        <w:sectPr>
          <w:type w:val="continuous"/>
          <w:pgSz w:w="11910" w:h="16840"/>
          <w:pgMar w:top="1100" w:bottom="1240" w:left="1040" w:right="820"/>
          <w:cols w:num="2" w:equalWidth="0">
            <w:col w:w="4130" w:space="260"/>
            <w:col w:w="5660"/>
          </w:cols>
        </w:sectPr>
      </w:pPr>
    </w:p>
    <w:p>
      <w:pPr>
        <w:pStyle w:val="BodyText"/>
        <w:spacing w:before="1"/>
        <w:rPr>
          <w:sz w:val="25"/>
        </w:rPr>
      </w:pPr>
    </w:p>
    <w:p>
      <w:pPr>
        <w:spacing w:line="408" w:lineRule="auto" w:before="79"/>
        <w:ind w:left="2964" w:right="3024" w:firstLine="0"/>
        <w:jc w:val="left"/>
        <w:rPr>
          <w:sz w:val="28"/>
        </w:rPr>
      </w:pPr>
      <w:r>
        <w:rPr>
          <w:sz w:val="28"/>
        </w:rPr>
        <w:t>华贵人寿保险股份有限公司华贵团体重大疾病保险条款</w:t>
      </w:r>
    </w:p>
    <w:p>
      <w:pPr>
        <w:pStyle w:val="BodyText"/>
        <w:spacing w:before="40"/>
        <w:ind w:left="560"/>
      </w:pPr>
      <w:r>
        <w:rPr/>
        <w:t>在本条款中，1.1条、1.5条、2.1条、2.3条、2.4条、4.1条、4.2条、4.3条、4.4条、4.5条、</w:t>
      </w:r>
    </w:p>
    <w:p>
      <w:pPr>
        <w:pStyle w:val="ListParagraph"/>
        <w:numPr>
          <w:ilvl w:val="1"/>
          <w:numId w:val="7"/>
        </w:numPr>
        <w:tabs>
          <w:tab w:pos="458" w:val="left" w:leader="none"/>
        </w:tabs>
        <w:spacing w:line="240" w:lineRule="auto" w:before="193" w:after="0"/>
        <w:ind w:left="457" w:right="0" w:hanging="317"/>
        <w:jc w:val="left"/>
        <w:rPr>
          <w:sz w:val="21"/>
        </w:rPr>
      </w:pPr>
      <w:r>
        <w:rPr>
          <w:sz w:val="21"/>
        </w:rPr>
        <w:t>条、5.2条、5.5条、第6</w:t>
      </w:r>
      <w:r>
        <w:rPr>
          <w:spacing w:val="-7"/>
          <w:sz w:val="21"/>
        </w:rPr>
        <w:t>条中关于“被保险人”的规定同时适用于“连带被保险人”。</w:t>
      </w:r>
    </w:p>
    <w:p>
      <w:pPr>
        <w:pStyle w:val="BodyText"/>
        <w:spacing w:before="7"/>
        <w:rPr>
          <w:sz w:val="30"/>
        </w:rPr>
      </w:pPr>
    </w:p>
    <w:p>
      <w:pPr>
        <w:pStyle w:val="Heading1"/>
        <w:numPr>
          <w:ilvl w:val="2"/>
          <w:numId w:val="7"/>
        </w:numPr>
        <w:tabs>
          <w:tab w:pos="955" w:val="left" w:leader="none"/>
          <w:tab w:pos="957" w:val="left" w:leader="none"/>
        </w:tabs>
        <w:spacing w:line="240" w:lineRule="auto" w:before="0" w:after="0"/>
        <w:ind w:left="956" w:right="0" w:hanging="694"/>
        <w:jc w:val="left"/>
      </w:pPr>
      <w:r>
        <w:rPr/>
        <w:pict>
          <v:group style="position:absolute;margin-left:72.720001pt;margin-top:17.615646pt;width:449.8pt;height:1pt;mso-position-horizontal-relative:page;mso-position-vertical-relative:paragraph;z-index:1072;mso-wrap-distance-left:0;mso-wrap-distance-right:0" coordorigin="1454,352" coordsize="8996,20">
            <v:line style="position:absolute" from="1454,362" to="3302,362" stroked="true" strokeweight=".959999pt" strokecolor="#000000">
              <v:stroke dashstyle="solid"/>
            </v:line>
            <v:line style="position:absolute" from="3302,362" to="10450,362" stroked="true" strokeweight=".959999pt" strokecolor="#000000">
              <v:stroke dashstyle="solid"/>
            </v:line>
            <w10:wrap type="topAndBottom"/>
          </v:group>
        </w:pict>
      </w:r>
      <w:r>
        <w:rPr/>
        <w:t>保险合同</w:t>
      </w:r>
    </w:p>
    <w:p>
      <w:pPr>
        <w:pStyle w:val="BodyText"/>
        <w:spacing w:before="2"/>
        <w:rPr>
          <w:sz w:val="13"/>
        </w:rPr>
      </w:pPr>
    </w:p>
    <w:p>
      <w:pPr>
        <w:pStyle w:val="ListParagraph"/>
        <w:numPr>
          <w:ilvl w:val="3"/>
          <w:numId w:val="7"/>
        </w:numPr>
        <w:tabs>
          <w:tab w:pos="956" w:val="left" w:leader="none"/>
        </w:tabs>
        <w:spacing w:line="266" w:lineRule="auto" w:before="86" w:after="0"/>
        <w:ind w:left="2091" w:right="212" w:hanging="1829"/>
        <w:jc w:val="both"/>
        <w:rPr>
          <w:sz w:val="21"/>
        </w:rPr>
      </w:pPr>
      <w:r>
        <w:rPr>
          <w:spacing w:val="-3"/>
          <w:sz w:val="21"/>
        </w:rPr>
        <w:t>合同构成      华贵团体重大疾病保险合同</w:t>
      </w:r>
      <w:r>
        <w:rPr>
          <w:sz w:val="21"/>
        </w:rPr>
        <w:t>（</w:t>
      </w:r>
      <w:r>
        <w:rPr>
          <w:spacing w:val="-14"/>
          <w:sz w:val="21"/>
        </w:rPr>
        <w:t>以下简称“本合同”</w:t>
      </w:r>
      <w:r>
        <w:rPr>
          <w:spacing w:val="-68"/>
          <w:sz w:val="21"/>
        </w:rPr>
        <w:t>）</w:t>
      </w:r>
      <w:r>
        <w:rPr>
          <w:spacing w:val="-2"/>
          <w:sz w:val="21"/>
        </w:rPr>
        <w:t>由保险单或其他</w:t>
      </w:r>
      <w:r>
        <w:rPr>
          <w:sz w:val="22"/>
        </w:rPr>
        <w:t>保险</w:t>
      </w:r>
      <w:r>
        <w:rPr>
          <w:spacing w:val="5"/>
          <w:sz w:val="22"/>
        </w:rPr>
        <w:t>凭证 </w:t>
      </w:r>
      <w:r>
        <w:rPr>
          <w:spacing w:val="2"/>
          <w:position w:val="11"/>
          <w:sz w:val="11"/>
        </w:rPr>
        <w:t>1</w:t>
      </w:r>
      <w:r>
        <w:rPr>
          <w:sz w:val="21"/>
        </w:rPr>
        <w:t>及所附华贵团体重大疾病保险条款（</w:t>
      </w:r>
      <w:r>
        <w:rPr>
          <w:spacing w:val="-12"/>
          <w:sz w:val="21"/>
        </w:rPr>
        <w:t>以下简称“本条款”</w:t>
      </w:r>
      <w:r>
        <w:rPr>
          <w:spacing w:val="-105"/>
          <w:sz w:val="21"/>
        </w:rPr>
        <w:t>）</w:t>
      </w:r>
      <w:r>
        <w:rPr>
          <w:sz w:val="21"/>
        </w:rPr>
        <w:t>、投保单、</w:t>
      </w:r>
      <w:r>
        <w:rPr>
          <w:spacing w:val="-4"/>
          <w:sz w:val="21"/>
        </w:rPr>
        <w:t>与本合同有关的其他投保文件、被保险人人名清单、健康告知书、变更申请</w:t>
      </w:r>
      <w:r>
        <w:rPr>
          <w:spacing w:val="-12"/>
          <w:sz w:val="21"/>
        </w:rPr>
        <w:t>书、声明、批注、附贴批单及其他投保人与本公司共同认可的书面协议构成。</w:t>
      </w:r>
    </w:p>
    <w:p>
      <w:pPr>
        <w:pStyle w:val="BodyText"/>
        <w:spacing w:line="273" w:lineRule="auto" w:before="13"/>
        <w:ind w:left="2091" w:right="318" w:firstLine="422"/>
        <w:jc w:val="both"/>
      </w:pPr>
      <w:r>
        <w:rPr/>
        <w:t>除上述文件之外的其他任何书面或口头的协议、承诺均不构成本合同组成部分，对其效力本公司不予认可。</w:t>
      </w:r>
    </w:p>
    <w:p>
      <w:pPr>
        <w:pStyle w:val="BodyText"/>
        <w:spacing w:before="4"/>
        <w:rPr>
          <w:sz w:val="24"/>
        </w:rPr>
      </w:pPr>
    </w:p>
    <w:p>
      <w:pPr>
        <w:pStyle w:val="ListParagraph"/>
        <w:numPr>
          <w:ilvl w:val="3"/>
          <w:numId w:val="7"/>
        </w:numPr>
        <w:tabs>
          <w:tab w:pos="956" w:val="left" w:leader="none"/>
        </w:tabs>
        <w:spacing w:line="273" w:lineRule="auto" w:before="1" w:after="0"/>
        <w:ind w:left="2091" w:right="318" w:hanging="1829"/>
        <w:jc w:val="both"/>
        <w:rPr>
          <w:sz w:val="21"/>
        </w:rPr>
      </w:pPr>
      <w:r>
        <w:rPr>
          <w:spacing w:val="0"/>
          <w:sz w:val="21"/>
        </w:rPr>
        <w:t>投保范围      </w:t>
      </w:r>
      <w:r>
        <w:rPr>
          <w:sz w:val="21"/>
        </w:rPr>
        <w:t>1.</w:t>
      </w:r>
      <w:r>
        <w:rPr>
          <w:spacing w:val="-4"/>
          <w:sz w:val="21"/>
        </w:rPr>
        <w:t>投保人范围：机关、企业、事业单位、社会团体和符合国务院保险监</w:t>
      </w:r>
      <w:r>
        <w:rPr>
          <w:spacing w:val="1"/>
          <w:sz w:val="21"/>
        </w:rPr>
        <w:t>督管理机构相关规定的其他特定团体及特定团体中的自然人等可作为投保</w:t>
      </w:r>
      <w:r>
        <w:rPr>
          <w:spacing w:val="-3"/>
          <w:sz w:val="21"/>
        </w:rPr>
        <w:t>人，向本公司投保本保险。</w:t>
      </w:r>
    </w:p>
    <w:p>
      <w:pPr>
        <w:pStyle w:val="BodyText"/>
        <w:spacing w:line="271" w:lineRule="auto" w:before="0"/>
        <w:ind w:left="2091" w:right="317" w:firstLine="420"/>
        <w:jc w:val="both"/>
      </w:pPr>
      <w:r>
        <w:rPr/>
        <w:t>2.</w:t>
      </w:r>
      <w:r>
        <w:rPr>
          <w:spacing w:val="-7"/>
        </w:rPr>
        <w:t>被保险人范围：凡年满 </w:t>
      </w:r>
      <w:r>
        <w:rPr/>
        <w:t>16 </w:t>
      </w:r>
      <w:r>
        <w:rPr>
          <w:spacing w:val="-1"/>
          <w:sz w:val="22"/>
        </w:rPr>
        <w:t>周岁 </w:t>
      </w:r>
      <w:r>
        <w:rPr>
          <w:position w:val="11"/>
          <w:sz w:val="11"/>
        </w:rPr>
        <w:t>2</w:t>
      </w:r>
      <w:r>
        <w:rPr>
          <w:spacing w:val="-9"/>
        </w:rPr>
        <w:t>、不满 </w:t>
      </w:r>
      <w:r>
        <w:rPr/>
        <w:t>66</w:t>
      </w:r>
      <w:r>
        <w:rPr>
          <w:spacing w:val="-7"/>
        </w:rPr>
        <w:t> 周岁、身体健康能正常工</w:t>
      </w:r>
      <w:r>
        <w:rPr>
          <w:spacing w:val="-6"/>
        </w:rPr>
        <w:t>作或正常劳动的投保人员工，或其他本公司认可的成员，可作为被保险人参加本保险。投保时，参保人数和参保比例应符合国务院保险监督管理机构的</w:t>
      </w:r>
      <w:r>
        <w:rPr>
          <w:spacing w:val="-4"/>
        </w:rPr>
        <w:t>相关规定。</w:t>
      </w:r>
    </w:p>
    <w:p>
      <w:pPr>
        <w:pStyle w:val="BodyText"/>
        <w:spacing w:line="273" w:lineRule="auto" w:before="13"/>
        <w:ind w:left="2091" w:right="318" w:firstLine="420"/>
        <w:jc w:val="both"/>
      </w:pPr>
      <w:r>
        <w:rPr/>
        <w:t>3.</w:t>
      </w:r>
      <w:r>
        <w:rPr>
          <w:spacing w:val="-4"/>
        </w:rPr>
        <w:t>连带被保险人范围：经本公司同意，被保险人身体健康的配偶</w:t>
      </w:r>
      <w:r>
        <w:rPr>
          <w:spacing w:val="-3"/>
        </w:rPr>
        <w:t>（</w:t>
      </w:r>
      <w:r>
        <w:rPr/>
        <w:t>最大</w:t>
      </w:r>
      <w:r>
        <w:rPr>
          <w:spacing w:val="-14"/>
        </w:rPr>
        <w:t>年龄为 </w:t>
      </w:r>
      <w:r>
        <w:rPr/>
        <w:t>65</w:t>
      </w:r>
      <w:r>
        <w:rPr>
          <w:spacing w:val="-17"/>
        </w:rPr>
        <w:t> 周岁</w:t>
      </w:r>
      <w:r>
        <w:rPr>
          <w:spacing w:val="-108"/>
        </w:rPr>
        <w:t>）</w:t>
      </w:r>
      <w:r>
        <w:rPr>
          <w:spacing w:val="-12"/>
        </w:rPr>
        <w:t>、未成年子女</w:t>
      </w:r>
      <w:r>
        <w:rPr>
          <w:spacing w:val="-3"/>
        </w:rPr>
        <w:t>（</w:t>
      </w:r>
      <w:r>
        <w:rPr>
          <w:spacing w:val="-14"/>
        </w:rPr>
        <w:t>出生满 </w:t>
      </w:r>
      <w:r>
        <w:rPr/>
        <w:t>30</w:t>
      </w:r>
      <w:r>
        <w:rPr>
          <w:spacing w:val="-26"/>
        </w:rPr>
        <w:t> 天至 </w:t>
      </w:r>
      <w:r>
        <w:rPr/>
        <w:t>18</w:t>
      </w:r>
      <w:r>
        <w:rPr>
          <w:spacing w:val="-17"/>
        </w:rPr>
        <w:t> 周岁</w:t>
      </w:r>
      <w:r>
        <w:rPr>
          <w:spacing w:val="-68"/>
        </w:rPr>
        <w:t>）</w:t>
      </w:r>
      <w:r>
        <w:rPr>
          <w:spacing w:val="-11"/>
        </w:rPr>
        <w:t>，可作为连带被保险</w:t>
      </w:r>
      <w:r>
        <w:rPr>
          <w:spacing w:val="-6"/>
        </w:rPr>
        <w:t>人参加本保险。</w:t>
      </w:r>
    </w:p>
    <w:p>
      <w:pPr>
        <w:pStyle w:val="BodyText"/>
        <w:spacing w:before="11"/>
        <w:rPr>
          <w:sz w:val="17"/>
        </w:rPr>
      </w:pPr>
    </w:p>
    <w:p>
      <w:pPr>
        <w:spacing w:after="0"/>
        <w:rPr>
          <w:sz w:val="17"/>
        </w:rPr>
        <w:sectPr>
          <w:pgSz w:w="11910" w:h="16840"/>
          <w:pgMar w:header="836" w:footer="1042" w:top="1100" w:bottom="1240" w:left="1300" w:right="1240"/>
        </w:sectPr>
      </w:pPr>
    </w:p>
    <w:p>
      <w:pPr>
        <w:pStyle w:val="ListParagraph"/>
        <w:numPr>
          <w:ilvl w:val="3"/>
          <w:numId w:val="7"/>
        </w:numPr>
        <w:tabs>
          <w:tab w:pos="955" w:val="left" w:leader="none"/>
          <w:tab w:pos="956" w:val="left" w:leader="none"/>
        </w:tabs>
        <w:spacing w:line="273" w:lineRule="auto" w:before="85" w:after="0"/>
        <w:ind w:left="956" w:right="0" w:hanging="694"/>
        <w:jc w:val="left"/>
        <w:rPr>
          <w:sz w:val="21"/>
        </w:rPr>
      </w:pPr>
      <w:r>
        <w:rPr>
          <w:spacing w:val="17"/>
          <w:sz w:val="21"/>
        </w:rPr>
        <w:t>合同成立与生效</w:t>
      </w:r>
    </w:p>
    <w:p>
      <w:pPr>
        <w:pStyle w:val="BodyText"/>
        <w:spacing w:line="273" w:lineRule="auto"/>
        <w:ind w:left="175" w:right="318" w:firstLine="420"/>
        <w:jc w:val="both"/>
      </w:pPr>
      <w:r>
        <w:rPr/>
        <w:br w:type="column"/>
      </w:r>
      <w:r>
        <w:rPr/>
        <w:t>投保人提出保险申请、本公司同意承保，本合同成立，合同成立日期在保险单上载明。</w:t>
      </w:r>
    </w:p>
    <w:p>
      <w:pPr>
        <w:pStyle w:val="BodyText"/>
        <w:spacing w:line="273" w:lineRule="auto" w:before="7"/>
        <w:ind w:left="175" w:right="318" w:firstLine="422"/>
        <w:jc w:val="both"/>
      </w:pPr>
      <w:r>
        <w:rPr/>
        <w:t>除另有约定外，自本合同成立且本公司收取首期保险费并签发保险单的次日零时起本合同生效，本公司开始承担保险责任，合同生效日期在保险单上载明。本合同生效日即为保单生效日。</w:t>
      </w:r>
    </w:p>
    <w:p>
      <w:pPr>
        <w:spacing w:after="0" w:line="273" w:lineRule="auto"/>
        <w:jc w:val="both"/>
        <w:sectPr>
          <w:type w:val="continuous"/>
          <w:pgSz w:w="11910" w:h="16840"/>
          <w:pgMar w:top="1100" w:bottom="1240" w:left="1300" w:right="1240"/>
          <w:cols w:num="2" w:equalWidth="0">
            <w:col w:w="1877" w:space="40"/>
            <w:col w:w="7453"/>
          </w:cols>
        </w:sectPr>
      </w:pPr>
    </w:p>
    <w:p>
      <w:pPr>
        <w:pStyle w:val="BodyText"/>
        <w:spacing w:before="12"/>
        <w:rPr>
          <w:sz w:val="17"/>
        </w:rPr>
      </w:pPr>
    </w:p>
    <w:p>
      <w:pPr>
        <w:spacing w:after="0"/>
        <w:rPr>
          <w:sz w:val="17"/>
        </w:rPr>
        <w:sectPr>
          <w:type w:val="continuous"/>
          <w:pgSz w:w="11910" w:h="16840"/>
          <w:pgMar w:top="1100" w:bottom="1240" w:left="1300" w:right="1240"/>
        </w:sectPr>
      </w:pPr>
    </w:p>
    <w:p>
      <w:pPr>
        <w:pStyle w:val="ListParagraph"/>
        <w:numPr>
          <w:ilvl w:val="3"/>
          <w:numId w:val="7"/>
        </w:numPr>
        <w:tabs>
          <w:tab w:pos="955" w:val="left" w:leader="none"/>
          <w:tab w:pos="956" w:val="left" w:leader="none"/>
        </w:tabs>
        <w:spacing w:line="273" w:lineRule="auto" w:before="85" w:after="0"/>
        <w:ind w:left="956" w:right="0" w:hanging="694"/>
        <w:jc w:val="left"/>
        <w:rPr>
          <w:sz w:val="21"/>
        </w:rPr>
      </w:pPr>
      <w:r>
        <w:rPr>
          <w:spacing w:val="17"/>
          <w:sz w:val="21"/>
        </w:rPr>
        <w:t>合同内容变更</w:t>
      </w:r>
    </w:p>
    <w:p>
      <w:pPr>
        <w:pStyle w:val="BodyText"/>
        <w:spacing w:line="273" w:lineRule="auto"/>
        <w:ind w:left="175" w:right="318" w:firstLine="420"/>
      </w:pPr>
      <w:r>
        <w:rPr/>
        <w:br w:type="column"/>
      </w:r>
      <w:r>
        <w:rPr/>
        <w:t>投保人和本公司可以协商变更本合同的有关内容。变更本合同的，由本公司在保险单或其他保险凭证上批注或附贴批单。</w:t>
      </w:r>
    </w:p>
    <w:p>
      <w:pPr>
        <w:spacing w:after="0" w:line="273" w:lineRule="auto"/>
        <w:sectPr>
          <w:type w:val="continuous"/>
          <w:pgSz w:w="11910" w:h="16840"/>
          <w:pgMar w:top="1100" w:bottom="1240" w:left="1300" w:right="1240"/>
          <w:cols w:num="2" w:equalWidth="0">
            <w:col w:w="1877" w:space="40"/>
            <w:col w:w="7453"/>
          </w:cols>
        </w:sectPr>
      </w:pPr>
    </w:p>
    <w:p>
      <w:pPr>
        <w:pStyle w:val="BodyText"/>
        <w:spacing w:before="7" w:after="1"/>
        <w:rPr>
          <w:sz w:val="25"/>
        </w:rPr>
      </w:pPr>
    </w:p>
    <w:tbl>
      <w:tblPr>
        <w:tblW w:w="0" w:type="auto"/>
        <w:jc w:val="left"/>
        <w:tblInd w:w="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5"/>
        <w:gridCol w:w="1217"/>
        <w:gridCol w:w="7113"/>
      </w:tblGrid>
      <w:tr>
        <w:trPr>
          <w:trHeight w:val="296" w:hRule="atLeast"/>
        </w:trPr>
        <w:tc>
          <w:tcPr>
            <w:tcW w:w="555" w:type="dxa"/>
          </w:tcPr>
          <w:p>
            <w:pPr>
              <w:pStyle w:val="TableParagraph"/>
              <w:spacing w:line="259" w:lineRule="exact"/>
              <w:ind w:left="50"/>
              <w:rPr>
                <w:sz w:val="21"/>
              </w:rPr>
            </w:pPr>
            <w:r>
              <w:rPr>
                <w:sz w:val="21"/>
              </w:rPr>
              <w:t>1.5</w:t>
            </w:r>
          </w:p>
        </w:tc>
        <w:tc>
          <w:tcPr>
            <w:tcW w:w="1217" w:type="dxa"/>
          </w:tcPr>
          <w:p>
            <w:pPr>
              <w:pStyle w:val="TableParagraph"/>
              <w:spacing w:line="259" w:lineRule="exact"/>
              <w:ind w:left="187"/>
              <w:rPr>
                <w:sz w:val="21"/>
              </w:rPr>
            </w:pPr>
            <w:r>
              <w:rPr>
                <w:sz w:val="21"/>
              </w:rPr>
              <w:t>投保人解</w:t>
            </w:r>
          </w:p>
        </w:tc>
        <w:tc>
          <w:tcPr>
            <w:tcW w:w="7113" w:type="dxa"/>
          </w:tcPr>
          <w:p>
            <w:pPr>
              <w:pStyle w:val="TableParagraph"/>
              <w:spacing w:line="259" w:lineRule="exact"/>
              <w:rPr>
                <w:sz w:val="21"/>
              </w:rPr>
            </w:pPr>
            <w:r>
              <w:rPr>
                <w:sz w:val="21"/>
              </w:rPr>
              <w:t>1.本合同生效后，投保人可以要求解除本合同。投保人要求解除本合同</w:t>
            </w:r>
          </w:p>
        </w:tc>
      </w:tr>
      <w:tr>
        <w:trPr>
          <w:trHeight w:val="311" w:hRule="atLeast"/>
        </w:trPr>
        <w:tc>
          <w:tcPr>
            <w:tcW w:w="555" w:type="dxa"/>
          </w:tcPr>
          <w:p>
            <w:pPr>
              <w:pStyle w:val="TableParagraph"/>
              <w:ind w:left="0"/>
              <w:rPr>
                <w:rFonts w:ascii="Times New Roman"/>
                <w:sz w:val="20"/>
              </w:rPr>
            </w:pPr>
          </w:p>
        </w:tc>
        <w:tc>
          <w:tcPr>
            <w:tcW w:w="1217" w:type="dxa"/>
          </w:tcPr>
          <w:p>
            <w:pPr>
              <w:pStyle w:val="TableParagraph"/>
              <w:ind w:left="188"/>
              <w:rPr>
                <w:sz w:val="21"/>
              </w:rPr>
            </w:pPr>
            <w:r>
              <w:rPr>
                <w:sz w:val="21"/>
              </w:rPr>
              <w:t>除合同的</w:t>
            </w:r>
          </w:p>
        </w:tc>
        <w:tc>
          <w:tcPr>
            <w:tcW w:w="7113" w:type="dxa"/>
          </w:tcPr>
          <w:p>
            <w:pPr>
              <w:pStyle w:val="TableParagraph"/>
              <w:ind w:left="106"/>
              <w:rPr>
                <w:sz w:val="21"/>
              </w:rPr>
            </w:pPr>
            <w:r>
              <w:rPr>
                <w:sz w:val="21"/>
              </w:rPr>
              <w:t>时，应填写合同解除申请书并加盖投保人公章，并提供下列证明和资料：</w:t>
            </w:r>
          </w:p>
        </w:tc>
      </w:tr>
      <w:tr>
        <w:trPr>
          <w:trHeight w:val="311" w:hRule="atLeast"/>
        </w:trPr>
        <w:tc>
          <w:tcPr>
            <w:tcW w:w="555" w:type="dxa"/>
          </w:tcPr>
          <w:p>
            <w:pPr>
              <w:pStyle w:val="TableParagraph"/>
              <w:ind w:left="0"/>
              <w:rPr>
                <w:rFonts w:ascii="Times New Roman"/>
                <w:sz w:val="20"/>
              </w:rPr>
            </w:pPr>
          </w:p>
        </w:tc>
        <w:tc>
          <w:tcPr>
            <w:tcW w:w="1217" w:type="dxa"/>
          </w:tcPr>
          <w:p>
            <w:pPr>
              <w:pStyle w:val="TableParagraph"/>
              <w:ind w:left="188"/>
              <w:rPr>
                <w:sz w:val="21"/>
              </w:rPr>
            </w:pPr>
            <w:r>
              <w:rPr>
                <w:sz w:val="21"/>
              </w:rPr>
              <w:t>手续及风</w:t>
            </w:r>
          </w:p>
        </w:tc>
        <w:tc>
          <w:tcPr>
            <w:tcW w:w="7113" w:type="dxa"/>
          </w:tcPr>
          <w:p>
            <w:pPr>
              <w:pStyle w:val="TableParagraph"/>
              <w:rPr>
                <w:sz w:val="21"/>
              </w:rPr>
            </w:pPr>
            <w:r>
              <w:rPr>
                <w:sz w:val="21"/>
              </w:rPr>
              <w:t>（1）保险合同；</w:t>
            </w:r>
          </w:p>
        </w:tc>
      </w:tr>
      <w:tr>
        <w:trPr>
          <w:trHeight w:val="296" w:hRule="atLeast"/>
        </w:trPr>
        <w:tc>
          <w:tcPr>
            <w:tcW w:w="555" w:type="dxa"/>
          </w:tcPr>
          <w:p>
            <w:pPr>
              <w:pStyle w:val="TableParagraph"/>
              <w:ind w:left="0"/>
              <w:rPr>
                <w:rFonts w:ascii="Times New Roman"/>
                <w:sz w:val="20"/>
              </w:rPr>
            </w:pPr>
          </w:p>
        </w:tc>
        <w:tc>
          <w:tcPr>
            <w:tcW w:w="1217" w:type="dxa"/>
          </w:tcPr>
          <w:p>
            <w:pPr>
              <w:pStyle w:val="TableParagraph"/>
              <w:ind w:left="188"/>
              <w:rPr>
                <w:sz w:val="21"/>
              </w:rPr>
            </w:pPr>
            <w:r>
              <w:rPr>
                <w:w w:val="100"/>
                <w:sz w:val="21"/>
              </w:rPr>
              <w:t>险</w:t>
            </w:r>
          </w:p>
        </w:tc>
        <w:tc>
          <w:tcPr>
            <w:tcW w:w="7113" w:type="dxa"/>
          </w:tcPr>
          <w:p>
            <w:pPr>
              <w:pStyle w:val="TableParagraph"/>
              <w:rPr>
                <w:sz w:val="21"/>
              </w:rPr>
            </w:pPr>
            <w:r>
              <w:rPr>
                <w:sz w:val="21"/>
              </w:rPr>
              <w:t>（2）投保人已通知被保险人解除合同事宜的有效证明。</w:t>
            </w:r>
          </w:p>
        </w:tc>
      </w:tr>
    </w:tbl>
    <w:p>
      <w:pPr>
        <w:pStyle w:val="BodyText"/>
        <w:spacing w:before="0"/>
        <w:rPr>
          <w:sz w:val="25"/>
        </w:rPr>
      </w:pPr>
      <w:r>
        <w:rPr/>
        <w:pict>
          <v:line style="position:absolute;mso-position-horizontal-relative:page;mso-position-vertical-relative:paragraph;z-index:1096;mso-wrap-distance-left:0;mso-wrap-distance-right:0" from="72pt,18.567591pt" to="216pt,18.567591pt" stroked="true" strokeweight=".480011pt" strokecolor="#000000">
            <v:stroke dashstyle="solid"/>
            <w10:wrap type="topAndBottom"/>
          </v:line>
        </w:pict>
      </w:r>
    </w:p>
    <w:p>
      <w:pPr>
        <w:spacing w:line="234" w:lineRule="exact" w:before="39"/>
        <w:ind w:left="140" w:right="0" w:firstLine="0"/>
        <w:jc w:val="left"/>
        <w:rPr>
          <w:sz w:val="18"/>
        </w:rPr>
      </w:pPr>
      <w:r>
        <w:rPr>
          <w:position w:val="9"/>
          <w:sz w:val="9"/>
        </w:rPr>
        <w:t>1</w:t>
      </w:r>
      <w:r>
        <w:rPr>
          <w:sz w:val="18"/>
        </w:rPr>
        <w:t>保险凭证指本公司向每个被保险人签发的，记载团体保险合同约定的保险责任，以及被保险人合同权益的书面文件。</w:t>
      </w:r>
    </w:p>
    <w:p>
      <w:pPr>
        <w:spacing w:line="234" w:lineRule="exact" w:before="0"/>
        <w:ind w:left="140" w:right="0" w:firstLine="0"/>
        <w:jc w:val="left"/>
        <w:rPr>
          <w:sz w:val="18"/>
        </w:rPr>
      </w:pPr>
      <w:r>
        <w:rPr>
          <w:position w:val="9"/>
          <w:sz w:val="9"/>
        </w:rPr>
        <w:t>2</w:t>
      </w:r>
      <w:r>
        <w:rPr>
          <w:sz w:val="18"/>
        </w:rPr>
        <w:t>周岁指按有效身份证件中记载的出生日期计算的年龄，自出生之日起为零周岁，每经过一年增加一岁，不足一年的</w:t>
      </w:r>
    </w:p>
    <w:p>
      <w:pPr>
        <w:spacing w:before="0"/>
        <w:ind w:left="140" w:right="0" w:firstLine="0"/>
        <w:jc w:val="left"/>
        <w:rPr>
          <w:sz w:val="18"/>
        </w:rPr>
      </w:pPr>
      <w:r>
        <w:rPr>
          <w:sz w:val="18"/>
        </w:rPr>
        <w:t>不计。</w:t>
      </w:r>
    </w:p>
    <w:p>
      <w:pPr>
        <w:spacing w:after="0"/>
        <w:jc w:val="left"/>
        <w:rPr>
          <w:sz w:val="18"/>
        </w:rPr>
        <w:sectPr>
          <w:type w:val="continuous"/>
          <w:pgSz w:w="11910" w:h="16840"/>
          <w:pgMar w:top="1100" w:bottom="1240" w:left="1300" w:right="1240"/>
        </w:sectPr>
      </w:pPr>
    </w:p>
    <w:p>
      <w:pPr>
        <w:pStyle w:val="BodyText"/>
        <w:spacing w:before="2"/>
        <w:rPr>
          <w:sz w:val="17"/>
        </w:rPr>
      </w:pPr>
    </w:p>
    <w:p>
      <w:pPr>
        <w:pStyle w:val="BodyText"/>
        <w:spacing w:line="268" w:lineRule="auto" w:before="84"/>
        <w:ind w:left="2091" w:right="212" w:firstLine="420"/>
      </w:pPr>
      <w:r>
        <w:rPr/>
        <w:t>2.</w:t>
      </w:r>
      <w:r>
        <w:rPr>
          <w:spacing w:val="-9"/>
        </w:rPr>
        <w:t>自本公司收到合同解除申请书及上述证明和资料之日起，本合同终止。</w:t>
      </w:r>
      <w:r>
        <w:rPr>
          <w:spacing w:val="-7"/>
        </w:rPr>
        <w:t>本公司自收到解除合同申请之日起 </w:t>
      </w:r>
      <w:r>
        <w:rPr/>
        <w:t>30</w:t>
      </w:r>
      <w:r>
        <w:rPr>
          <w:spacing w:val="-3"/>
        </w:rPr>
        <w:t> 日内以银行转账方式向投保人退还本</w:t>
      </w:r>
      <w:r>
        <w:rPr>
          <w:spacing w:val="-4"/>
        </w:rPr>
        <w:t>合同项下未发生过保险金给付的各被保险人对应的</w:t>
      </w:r>
      <w:r>
        <w:rPr>
          <w:spacing w:val="-12"/>
          <w:sz w:val="22"/>
        </w:rPr>
        <w:t>现金价值 </w:t>
      </w:r>
      <w:r>
        <w:rPr>
          <w:position w:val="11"/>
          <w:sz w:val="11"/>
        </w:rPr>
        <w:t>3</w:t>
      </w:r>
      <w:r>
        <w:rPr>
          <w:spacing w:val="-16"/>
        </w:rPr>
        <w:t>。投保人解除合</w:t>
      </w:r>
      <w:r>
        <w:rPr>
          <w:spacing w:val="-13"/>
        </w:rPr>
        <w:t>同可能会遭受一定损失。</w:t>
      </w:r>
    </w:p>
    <w:p>
      <w:pPr>
        <w:pStyle w:val="BodyText"/>
        <w:spacing w:before="9"/>
        <w:rPr>
          <w:sz w:val="24"/>
        </w:rPr>
      </w:pPr>
    </w:p>
    <w:p>
      <w:pPr>
        <w:pStyle w:val="BodyText"/>
        <w:tabs>
          <w:tab w:pos="955" w:val="left" w:leader="none"/>
          <w:tab w:pos="2511" w:val="left" w:leader="none"/>
        </w:tabs>
        <w:spacing w:before="0"/>
        <w:ind w:left="262"/>
      </w:pPr>
      <w:r>
        <w:rPr/>
        <w:t>1.6</w:t>
        <w:tab/>
        <w:t>合同终止</w:t>
        <w:tab/>
        <w:t>以下</w:t>
      </w:r>
      <w:r>
        <w:rPr>
          <w:spacing w:val="-3"/>
        </w:rPr>
        <w:t>任</w:t>
      </w:r>
      <w:r>
        <w:rPr/>
        <w:t>何</w:t>
      </w:r>
      <w:r>
        <w:rPr>
          <w:spacing w:val="-3"/>
        </w:rPr>
        <w:t>一</w:t>
      </w:r>
      <w:r>
        <w:rPr/>
        <w:t>种</w:t>
      </w:r>
      <w:r>
        <w:rPr>
          <w:spacing w:val="-3"/>
        </w:rPr>
        <w:t>情</w:t>
      </w:r>
      <w:r>
        <w:rPr/>
        <w:t>况</w:t>
      </w:r>
      <w:r>
        <w:rPr>
          <w:spacing w:val="-5"/>
        </w:rPr>
        <w:t>发</w:t>
      </w:r>
      <w:r>
        <w:rPr/>
        <w:t>生</w:t>
      </w:r>
      <w:r>
        <w:rPr>
          <w:spacing w:val="-3"/>
        </w:rPr>
        <w:t>时</w:t>
      </w:r>
      <w:r>
        <w:rPr/>
        <w:t>，本</w:t>
      </w:r>
      <w:r>
        <w:rPr>
          <w:spacing w:val="-3"/>
        </w:rPr>
        <w:t>合</w:t>
      </w:r>
      <w:r>
        <w:rPr/>
        <w:t>同</w:t>
      </w:r>
      <w:r>
        <w:rPr>
          <w:spacing w:val="-3"/>
        </w:rPr>
        <w:t>终</w:t>
      </w:r>
      <w:r>
        <w:rPr/>
        <w:t>止：</w:t>
      </w:r>
    </w:p>
    <w:p>
      <w:pPr>
        <w:pStyle w:val="BodyText"/>
        <w:spacing w:before="37"/>
        <w:ind w:left="2511"/>
      </w:pPr>
      <w:r>
        <w:rPr/>
        <w:t>1.在本合同有效期内解除本合同的；</w:t>
      </w:r>
    </w:p>
    <w:p>
      <w:pPr>
        <w:pStyle w:val="BodyText"/>
        <w:spacing w:before="37"/>
        <w:ind w:left="2511"/>
      </w:pPr>
      <w:r>
        <w:rPr/>
        <w:t>2.本公司已经履行完毕保险责任的；</w:t>
      </w:r>
    </w:p>
    <w:p>
      <w:pPr>
        <w:pStyle w:val="BodyText"/>
        <w:spacing w:before="37"/>
        <w:ind w:left="2511"/>
      </w:pPr>
      <w:r>
        <w:rPr/>
        <w:t>3.本合同因条款所列其他情况而终止的。</w:t>
      </w:r>
    </w:p>
    <w:p>
      <w:pPr>
        <w:pStyle w:val="BodyText"/>
        <w:spacing w:before="7"/>
        <w:rPr>
          <w:sz w:val="24"/>
        </w:rPr>
      </w:pPr>
    </w:p>
    <w:p>
      <w:pPr>
        <w:pStyle w:val="Heading1"/>
        <w:numPr>
          <w:ilvl w:val="2"/>
          <w:numId w:val="7"/>
        </w:numPr>
        <w:tabs>
          <w:tab w:pos="955" w:val="left" w:leader="none"/>
          <w:tab w:pos="957" w:val="left" w:leader="none"/>
        </w:tabs>
        <w:spacing w:line="240" w:lineRule="auto" w:before="0" w:after="0"/>
        <w:ind w:left="956" w:right="0" w:hanging="694"/>
        <w:jc w:val="left"/>
      </w:pPr>
      <w:r>
        <w:rPr/>
        <w:pict>
          <v:group style="position:absolute;margin-left:72.720001pt;margin-top:17.615616pt;width:449.8pt;height:1pt;mso-position-horizontal-relative:page;mso-position-vertical-relative:paragraph;z-index:1120;mso-wrap-distance-left:0;mso-wrap-distance-right:0" coordorigin="1454,352" coordsize="8996,20">
            <v:line style="position:absolute" from="1454,362" to="3302,362" stroked="true" strokeweight=".959999pt" strokecolor="#000000">
              <v:stroke dashstyle="solid"/>
            </v:line>
            <v:line style="position:absolute" from="3302,362" to="10450,362" stroked="true" strokeweight=".959999pt" strokecolor="#000000">
              <v:stroke dashstyle="solid"/>
            </v:line>
            <w10:wrap type="topAndBottom"/>
          </v:group>
        </w:pict>
      </w:r>
      <w:r>
        <w:rPr/>
        <w:t>本公司提供的保障</w:t>
      </w:r>
    </w:p>
    <w:p>
      <w:pPr>
        <w:pStyle w:val="BodyText"/>
        <w:spacing w:before="2"/>
        <w:rPr>
          <w:sz w:val="14"/>
        </w:rPr>
      </w:pPr>
    </w:p>
    <w:p>
      <w:pPr>
        <w:spacing w:after="0"/>
        <w:rPr>
          <w:sz w:val="14"/>
        </w:rPr>
        <w:sectPr>
          <w:footerReference w:type="default" r:id="rId9"/>
          <w:pgSz w:w="11910" w:h="16840"/>
          <w:pgMar w:footer="1042" w:header="836" w:top="1100" w:bottom="1240" w:left="1300" w:right="1240"/>
          <w:pgNumType w:start="3"/>
        </w:sectPr>
      </w:pPr>
    </w:p>
    <w:p>
      <w:pPr>
        <w:pStyle w:val="ListParagraph"/>
        <w:numPr>
          <w:ilvl w:val="3"/>
          <w:numId w:val="7"/>
        </w:numPr>
        <w:tabs>
          <w:tab w:pos="955" w:val="left" w:leader="none"/>
          <w:tab w:pos="956" w:val="left" w:leader="none"/>
        </w:tabs>
        <w:spacing w:line="273" w:lineRule="auto" w:before="85" w:after="0"/>
        <w:ind w:left="956" w:right="0" w:hanging="694"/>
        <w:jc w:val="left"/>
        <w:rPr>
          <w:sz w:val="21"/>
        </w:rPr>
      </w:pPr>
      <w:r>
        <w:rPr>
          <w:spacing w:val="15"/>
          <w:sz w:val="21"/>
        </w:rPr>
        <w:t>基本保险金额</w:t>
      </w:r>
    </w:p>
    <w:p>
      <w:pPr>
        <w:pStyle w:val="BodyText"/>
        <w:ind w:left="596"/>
      </w:pPr>
      <w:r>
        <w:rPr/>
        <w:br w:type="column"/>
      </w:r>
      <w:r>
        <w:rPr/>
        <w:t>本合同基本保险金额为每位被保险人的基本保险金额总和。</w:t>
      </w:r>
    </w:p>
    <w:p>
      <w:pPr>
        <w:pStyle w:val="BodyText"/>
        <w:spacing w:line="273" w:lineRule="auto" w:before="37"/>
        <w:ind w:left="176" w:right="318" w:firstLine="420"/>
        <w:jc w:val="both"/>
      </w:pPr>
      <w:r>
        <w:rPr/>
        <w:t>每位被保险人的基本保险金额由投保人和本公司在投保时约定，但须符合本公司当时的投保规定，约定的基本保险金额将在保险单或其他保险凭证上载明。</w:t>
      </w:r>
    </w:p>
    <w:p>
      <w:pPr>
        <w:spacing w:after="0" w:line="273" w:lineRule="auto"/>
        <w:jc w:val="both"/>
        <w:sectPr>
          <w:type w:val="continuous"/>
          <w:pgSz w:w="11910" w:h="16840"/>
          <w:pgMar w:top="1100" w:bottom="1240" w:left="1300" w:right="1240"/>
          <w:cols w:num="2" w:equalWidth="0">
            <w:col w:w="1875" w:space="40"/>
            <w:col w:w="7455"/>
          </w:cols>
        </w:sectPr>
      </w:pPr>
    </w:p>
    <w:p>
      <w:pPr>
        <w:pStyle w:val="BodyText"/>
        <w:spacing w:before="12"/>
        <w:rPr>
          <w:sz w:val="17"/>
        </w:rPr>
      </w:pPr>
    </w:p>
    <w:p>
      <w:pPr>
        <w:pStyle w:val="ListParagraph"/>
        <w:numPr>
          <w:ilvl w:val="3"/>
          <w:numId w:val="7"/>
        </w:numPr>
        <w:tabs>
          <w:tab w:pos="956" w:val="left" w:leader="none"/>
        </w:tabs>
        <w:spacing w:line="273" w:lineRule="auto" w:before="85" w:after="0"/>
        <w:ind w:left="2091" w:right="318" w:hanging="1829"/>
        <w:jc w:val="both"/>
        <w:rPr>
          <w:sz w:val="21"/>
        </w:rPr>
      </w:pPr>
      <w:r>
        <w:rPr>
          <w:spacing w:val="-4"/>
          <w:sz w:val="21"/>
        </w:rPr>
        <w:t>保险期间      本合同保险期间最长为一年，并在保险单上载明。除另有约定外，保险</w:t>
      </w:r>
      <w:r>
        <w:rPr>
          <w:spacing w:val="-5"/>
          <w:sz w:val="21"/>
        </w:rPr>
        <w:t>期间自本合同生效日的零时开始，至期满日的二十四时终止。</w:t>
      </w:r>
    </w:p>
    <w:p>
      <w:pPr>
        <w:pStyle w:val="BodyText"/>
        <w:spacing w:before="7"/>
        <w:rPr>
          <w:sz w:val="23"/>
        </w:rPr>
      </w:pPr>
    </w:p>
    <w:p>
      <w:pPr>
        <w:pStyle w:val="ListParagraph"/>
        <w:numPr>
          <w:ilvl w:val="3"/>
          <w:numId w:val="7"/>
        </w:numPr>
        <w:tabs>
          <w:tab w:pos="956" w:val="left" w:leader="none"/>
        </w:tabs>
        <w:spacing w:line="266" w:lineRule="auto" w:before="0" w:after="0"/>
        <w:ind w:left="2091" w:right="317" w:hanging="1829"/>
        <w:jc w:val="both"/>
        <w:rPr>
          <w:sz w:val="21"/>
        </w:rPr>
      </w:pPr>
      <w:r>
        <w:rPr>
          <w:w w:val="100"/>
          <w:sz w:val="21"/>
        </w:rPr>
        <w:t>保险责任</w:t>
      </w:r>
      <w:r>
        <w:rPr>
          <w:spacing w:val="-4"/>
          <w:sz w:val="21"/>
        </w:rPr>
        <w:t>       </w:t>
      </w:r>
      <w:r>
        <w:rPr>
          <w:spacing w:val="-4"/>
          <w:w w:val="100"/>
          <w:sz w:val="21"/>
        </w:rPr>
        <w:t>被保险人于本合同生效之日起</w:t>
      </w:r>
      <w:r>
        <w:rPr>
          <w:spacing w:val="-21"/>
          <w:sz w:val="21"/>
        </w:rPr>
        <w:t> </w:t>
      </w:r>
      <w:r>
        <w:rPr>
          <w:w w:val="100"/>
          <w:sz w:val="21"/>
        </w:rPr>
        <w:t>30</w:t>
      </w:r>
      <w:r>
        <w:rPr>
          <w:spacing w:val="-21"/>
          <w:sz w:val="21"/>
        </w:rPr>
        <w:t> </w:t>
      </w:r>
      <w:r>
        <w:rPr>
          <w:spacing w:val="-2"/>
          <w:w w:val="100"/>
          <w:sz w:val="21"/>
        </w:rPr>
        <w:t>日内</w:t>
      </w:r>
      <w:r>
        <w:rPr>
          <w:w w:val="100"/>
          <w:sz w:val="21"/>
        </w:rPr>
        <w:t>（含</w:t>
      </w:r>
      <w:r>
        <w:rPr>
          <w:spacing w:val="-108"/>
          <w:w w:val="100"/>
          <w:sz w:val="21"/>
        </w:rPr>
        <w:t>）</w:t>
      </w:r>
      <w:r>
        <w:rPr>
          <w:spacing w:val="-3"/>
          <w:w w:val="100"/>
          <w:sz w:val="21"/>
        </w:rPr>
        <w:t>，由本公司</w:t>
      </w:r>
      <w:r>
        <w:rPr>
          <w:w w:val="96"/>
          <w:sz w:val="22"/>
        </w:rPr>
        <w:t>认可医院</w:t>
      </w:r>
      <w:r>
        <w:rPr>
          <w:spacing w:val="-7"/>
          <w:sz w:val="22"/>
        </w:rPr>
        <w:t> </w:t>
      </w:r>
      <w:r>
        <w:rPr>
          <w:spacing w:val="1"/>
          <w:w w:val="100"/>
          <w:position w:val="11"/>
          <w:sz w:val="11"/>
        </w:rPr>
        <w:t>4</w:t>
      </w:r>
      <w:r>
        <w:rPr>
          <w:spacing w:val="-3"/>
          <w:w w:val="100"/>
          <w:sz w:val="21"/>
        </w:rPr>
        <w:t>的</w:t>
      </w:r>
      <w:r>
        <w:rPr>
          <w:w w:val="96"/>
          <w:sz w:val="22"/>
        </w:rPr>
        <w:t>专</w:t>
      </w:r>
      <w:r>
        <w:rPr>
          <w:spacing w:val="-1"/>
          <w:sz w:val="22"/>
        </w:rPr>
        <w:t>科医生 </w:t>
      </w:r>
      <w:r>
        <w:rPr>
          <w:position w:val="11"/>
          <w:sz w:val="11"/>
        </w:rPr>
        <w:t>5</w:t>
      </w:r>
      <w:r>
        <w:rPr>
          <w:spacing w:val="-5"/>
          <w:sz w:val="21"/>
        </w:rPr>
        <w:t>确诊初次发生本合同第 </w:t>
      </w:r>
      <w:r>
        <w:rPr>
          <w:sz w:val="21"/>
        </w:rPr>
        <w:t>6</w:t>
      </w:r>
      <w:r>
        <w:rPr>
          <w:spacing w:val="-5"/>
          <w:sz w:val="21"/>
        </w:rPr>
        <w:t> 条所指的重大疾病，本公司按该被保险人实际交纳的保险费给付重大疾病保险金，本公司对该被保险人的保险责任终止。</w:t>
      </w:r>
    </w:p>
    <w:p>
      <w:pPr>
        <w:pStyle w:val="BodyText"/>
        <w:spacing w:line="273" w:lineRule="auto" w:before="14"/>
        <w:ind w:left="2091" w:right="318" w:firstLine="422"/>
        <w:jc w:val="both"/>
      </w:pPr>
      <w:r>
        <w:rPr>
          <w:spacing w:val="-4"/>
          <w:w w:val="100"/>
        </w:rPr>
        <w:t>被保险人于本合同生效之日起</w:t>
      </w:r>
      <w:r>
        <w:rPr>
          <w:spacing w:val="-42"/>
        </w:rPr>
        <w:t> </w:t>
      </w:r>
      <w:r>
        <w:rPr>
          <w:w w:val="100"/>
        </w:rPr>
        <w:t>30</w:t>
      </w:r>
      <w:r>
        <w:rPr>
          <w:spacing w:val="-44"/>
        </w:rPr>
        <w:t> </w:t>
      </w:r>
      <w:r>
        <w:rPr>
          <w:spacing w:val="-2"/>
          <w:w w:val="100"/>
        </w:rPr>
        <w:t>日后</w:t>
      </w:r>
      <w:r>
        <w:rPr>
          <w:spacing w:val="-3"/>
          <w:w w:val="100"/>
        </w:rPr>
        <w:t>（</w:t>
      </w:r>
      <w:r>
        <w:rPr>
          <w:spacing w:val="-2"/>
          <w:w w:val="100"/>
        </w:rPr>
        <w:t>不含</w:t>
      </w:r>
      <w:r>
        <w:rPr>
          <w:spacing w:val="-108"/>
          <w:w w:val="100"/>
        </w:rPr>
        <w:t>）</w:t>
      </w:r>
      <w:r>
        <w:rPr>
          <w:w w:val="100"/>
        </w:rPr>
        <w:t>（</w:t>
      </w:r>
      <w:r>
        <w:rPr>
          <w:spacing w:val="-3"/>
          <w:w w:val="100"/>
        </w:rPr>
        <w:t>按照本公司相关规定续</w:t>
      </w:r>
      <w:r>
        <w:rPr>
          <w:spacing w:val="-8"/>
        </w:rPr>
        <w:t>保的，自续保合同生效之日起</w:t>
      </w:r>
      <w:r>
        <w:rPr>
          <w:spacing w:val="-77"/>
        </w:rPr>
        <w:t>）</w:t>
      </w:r>
      <w:r>
        <w:rPr>
          <w:spacing w:val="-10"/>
        </w:rPr>
        <w:t>，由本公司认可医院的专科医生确诊初次发生</w:t>
      </w:r>
      <w:r>
        <w:rPr>
          <w:spacing w:val="-11"/>
        </w:rPr>
        <w:t>本合同第 </w:t>
      </w:r>
      <w:r>
        <w:rPr/>
        <w:t>6</w:t>
      </w:r>
      <w:r>
        <w:rPr>
          <w:spacing w:val="-7"/>
        </w:rPr>
        <w:t> 条所指的重大疾病，本公司按该被保险人的基本保险金额给付重</w:t>
      </w:r>
      <w:r>
        <w:rPr>
          <w:spacing w:val="-5"/>
        </w:rPr>
        <w:t>大疾病保险金，本公司对该被保险人的保险责任终止。</w:t>
      </w:r>
    </w:p>
    <w:p>
      <w:pPr>
        <w:pStyle w:val="BodyText"/>
        <w:spacing w:before="5"/>
        <w:rPr>
          <w:sz w:val="24"/>
        </w:rPr>
      </w:pPr>
    </w:p>
    <w:p>
      <w:pPr>
        <w:pStyle w:val="ListParagraph"/>
        <w:numPr>
          <w:ilvl w:val="3"/>
          <w:numId w:val="7"/>
        </w:numPr>
        <w:tabs>
          <w:tab w:pos="956" w:val="left" w:leader="none"/>
        </w:tabs>
        <w:spacing w:line="273" w:lineRule="auto" w:before="0" w:after="0"/>
        <w:ind w:left="2088" w:right="314" w:hanging="1826"/>
        <w:jc w:val="both"/>
        <w:rPr>
          <w:sz w:val="21"/>
        </w:rPr>
      </w:pPr>
      <w:r>
        <w:rPr>
          <w:spacing w:val="-3"/>
          <w:sz w:val="21"/>
        </w:rPr>
        <w:t>责任免除      被保险人因下列 </w:t>
      </w:r>
      <w:r>
        <w:rPr>
          <w:sz w:val="21"/>
        </w:rPr>
        <w:t>1-8</w:t>
      </w:r>
      <w:r>
        <w:rPr>
          <w:spacing w:val="-12"/>
          <w:sz w:val="21"/>
        </w:rPr>
        <w:t> 项情形之一发生本合同第 </w:t>
      </w:r>
      <w:r>
        <w:rPr>
          <w:sz w:val="21"/>
        </w:rPr>
        <w:t>6</w:t>
      </w:r>
      <w:r>
        <w:rPr>
          <w:spacing w:val="-8"/>
          <w:sz w:val="21"/>
        </w:rPr>
        <w:t> 条所指的重大疾病的， </w:t>
      </w:r>
      <w:r>
        <w:rPr>
          <w:spacing w:val="-18"/>
          <w:sz w:val="21"/>
        </w:rPr>
        <w:t>或在第 </w:t>
      </w:r>
      <w:r>
        <w:rPr>
          <w:sz w:val="21"/>
        </w:rPr>
        <w:t>9</w:t>
      </w:r>
      <w:r>
        <w:rPr>
          <w:spacing w:val="-11"/>
          <w:sz w:val="21"/>
        </w:rPr>
        <w:t> 项期间遭受意外伤害导致本合同第 </w:t>
      </w:r>
      <w:r>
        <w:rPr>
          <w:sz w:val="21"/>
        </w:rPr>
        <w:t>6</w:t>
      </w:r>
      <w:r>
        <w:rPr>
          <w:spacing w:val="-8"/>
          <w:sz w:val="21"/>
        </w:rPr>
        <w:t> 条所指的重大疾病的，本公司不承担保险责任：</w:t>
      </w:r>
    </w:p>
    <w:p>
      <w:pPr>
        <w:pStyle w:val="BodyText"/>
        <w:spacing w:before="7"/>
        <w:ind w:left="2525"/>
      </w:pPr>
      <w:r>
        <w:rPr/>
        <w:t>1.投保人对被保险人的故意杀害、故意伤害；</w:t>
      </w:r>
    </w:p>
    <w:p>
      <w:pPr>
        <w:pStyle w:val="BodyText"/>
        <w:spacing w:line="273" w:lineRule="auto" w:before="37"/>
        <w:ind w:left="2091" w:right="318" w:firstLine="422"/>
      </w:pPr>
      <w:r>
        <w:rPr/>
        <w:t>2.被保险人自杀或故意自伤，但自杀或故意自伤时为无民事行为能力人的除外；</w:t>
      </w:r>
    </w:p>
    <w:p>
      <w:pPr>
        <w:pStyle w:val="BodyText"/>
        <w:spacing w:before="7"/>
        <w:ind w:left="2525"/>
      </w:pPr>
      <w:r>
        <w:rPr/>
        <w:t>3.被保险人故意犯罪或抗拒依法采取的刑事强制措施；</w:t>
      </w:r>
    </w:p>
    <w:p>
      <w:pPr>
        <w:spacing w:before="25"/>
        <w:ind w:left="2513" w:right="0" w:firstLine="0"/>
        <w:jc w:val="left"/>
        <w:rPr>
          <w:sz w:val="21"/>
        </w:rPr>
      </w:pPr>
      <w:r>
        <w:rPr>
          <w:sz w:val="21"/>
        </w:rPr>
        <w:t>4.被保险人主动吸食或注射</w:t>
      </w:r>
      <w:r>
        <w:rPr>
          <w:sz w:val="22"/>
        </w:rPr>
        <w:t>毒品 </w:t>
      </w:r>
      <w:r>
        <w:rPr>
          <w:position w:val="11"/>
          <w:sz w:val="11"/>
        </w:rPr>
        <w:t>6</w:t>
      </w:r>
      <w:r>
        <w:rPr>
          <w:sz w:val="21"/>
        </w:rPr>
        <w:t>；</w:t>
      </w:r>
    </w:p>
    <w:p>
      <w:pPr>
        <w:pStyle w:val="BodyText"/>
        <w:spacing w:before="0"/>
        <w:rPr>
          <w:sz w:val="15"/>
        </w:rPr>
      </w:pPr>
      <w:r>
        <w:rPr/>
        <w:pict>
          <v:line style="position:absolute;mso-position-horizontal-relative:page;mso-position-vertical-relative:paragraph;z-index:1144;mso-wrap-distance-left:0;mso-wrap-distance-right:0" from="72pt,12.02145pt" to="216pt,12.02145pt" stroked="true" strokeweight=".480011pt" strokecolor="#000000">
            <v:stroke dashstyle="solid"/>
            <w10:wrap type="topAndBottom"/>
          </v:line>
        </w:pict>
      </w:r>
    </w:p>
    <w:p>
      <w:pPr>
        <w:spacing w:line="235" w:lineRule="exact" w:before="36"/>
        <w:ind w:left="140" w:right="0" w:firstLine="0"/>
        <w:jc w:val="left"/>
        <w:rPr>
          <w:sz w:val="18"/>
        </w:rPr>
      </w:pPr>
      <w:r>
        <w:rPr>
          <w:position w:val="9"/>
          <w:sz w:val="9"/>
        </w:rPr>
        <w:t>3</w:t>
      </w:r>
      <w:r>
        <w:rPr>
          <w:sz w:val="18"/>
        </w:rPr>
        <w:t>现金价值：除另有约定外，保险费的交纳方式为一次交清时，现金价值＝保险费×（保险期间天数－本合同已经过</w:t>
      </w:r>
    </w:p>
    <w:p>
      <w:pPr>
        <w:spacing w:line="234" w:lineRule="exact" w:before="0"/>
        <w:ind w:left="140" w:right="0" w:firstLine="0"/>
        <w:jc w:val="left"/>
        <w:rPr>
          <w:sz w:val="18"/>
        </w:rPr>
      </w:pPr>
      <w:r>
        <w:rPr>
          <w:sz w:val="18"/>
        </w:rPr>
        <w:t>天数）÷保险期间天数×0.75。</w:t>
      </w:r>
    </w:p>
    <w:p>
      <w:pPr>
        <w:spacing w:line="233" w:lineRule="exact" w:before="0"/>
        <w:ind w:left="140" w:right="0" w:firstLine="0"/>
        <w:jc w:val="left"/>
        <w:rPr>
          <w:sz w:val="18"/>
        </w:rPr>
      </w:pPr>
      <w:r>
        <w:rPr>
          <w:position w:val="9"/>
          <w:sz w:val="9"/>
        </w:rPr>
        <w:t>4</w:t>
      </w:r>
      <w:r>
        <w:rPr>
          <w:sz w:val="18"/>
        </w:rPr>
        <w:t>认可医院指二级及以上非盈利性医院、二级及以上公立医院或本公司认可的其他医院，但不包括康复、护理、疗养、</w:t>
      </w:r>
    </w:p>
    <w:p>
      <w:pPr>
        <w:spacing w:line="234" w:lineRule="exact" w:before="0"/>
        <w:ind w:left="140" w:right="0" w:firstLine="0"/>
        <w:jc w:val="left"/>
        <w:rPr>
          <w:sz w:val="18"/>
        </w:rPr>
      </w:pPr>
      <w:r>
        <w:rPr>
          <w:sz w:val="18"/>
        </w:rPr>
        <w:t>戒酒、戒毒或类似性质的医疗机构。</w:t>
      </w:r>
    </w:p>
    <w:p>
      <w:pPr>
        <w:spacing w:line="234" w:lineRule="exact" w:before="0"/>
        <w:ind w:left="140" w:right="0" w:firstLine="0"/>
        <w:jc w:val="left"/>
        <w:rPr>
          <w:sz w:val="18"/>
        </w:rPr>
      </w:pPr>
      <w:r>
        <w:rPr>
          <w:spacing w:val="1"/>
          <w:w w:val="101"/>
          <w:position w:val="9"/>
          <w:sz w:val="9"/>
        </w:rPr>
        <w:t>5</w:t>
      </w:r>
      <w:r>
        <w:rPr>
          <w:spacing w:val="-5"/>
          <w:sz w:val="18"/>
        </w:rPr>
        <w:t>专科医生应当同时满足以下四项资格条件：</w:t>
      </w:r>
      <w:r>
        <w:rPr>
          <w:sz w:val="18"/>
        </w:rPr>
        <w:t>（</w:t>
      </w:r>
      <w:r>
        <w:rPr>
          <w:spacing w:val="2"/>
          <w:sz w:val="18"/>
        </w:rPr>
        <w:t>1</w:t>
      </w:r>
      <w:r>
        <w:rPr>
          <w:spacing w:val="0"/>
          <w:sz w:val="18"/>
        </w:rPr>
        <w:t>）</w:t>
      </w:r>
      <w:r>
        <w:rPr>
          <w:spacing w:val="-9"/>
          <w:sz w:val="18"/>
        </w:rPr>
        <w:t>具有有效的中华人民共和国《医师资格证书》；</w:t>
      </w:r>
      <w:r>
        <w:rPr>
          <w:sz w:val="18"/>
        </w:rPr>
        <w:t>（</w:t>
      </w:r>
      <w:r>
        <w:rPr>
          <w:spacing w:val="2"/>
          <w:sz w:val="18"/>
        </w:rPr>
        <w:t>2</w:t>
      </w:r>
      <w:r>
        <w:rPr>
          <w:sz w:val="18"/>
        </w:rPr>
        <w:t>）具有有效的中</w:t>
      </w:r>
    </w:p>
    <w:p>
      <w:pPr>
        <w:spacing w:line="237" w:lineRule="auto" w:before="0"/>
        <w:ind w:left="140" w:right="197" w:firstLine="0"/>
        <w:jc w:val="left"/>
        <w:rPr>
          <w:sz w:val="18"/>
        </w:rPr>
      </w:pPr>
      <w:r>
        <w:rPr>
          <w:spacing w:val="-11"/>
          <w:sz w:val="18"/>
        </w:rPr>
        <w:t>华人民共和国《医师执业证书》，并按期到相关部门登记注册</w:t>
      </w:r>
      <w:r>
        <w:rPr>
          <w:spacing w:val="-107"/>
          <w:sz w:val="18"/>
        </w:rPr>
        <w:t>；</w:t>
      </w:r>
      <w:r>
        <w:rPr>
          <w:sz w:val="18"/>
        </w:rPr>
        <w:t>（</w:t>
      </w:r>
      <w:r>
        <w:rPr>
          <w:spacing w:val="0"/>
          <w:sz w:val="18"/>
        </w:rPr>
        <w:t>3</w:t>
      </w:r>
      <w:r>
        <w:rPr>
          <w:spacing w:val="-17"/>
          <w:sz w:val="18"/>
        </w:rPr>
        <w:t>）</w:t>
      </w:r>
      <w:r>
        <w:rPr>
          <w:sz w:val="18"/>
        </w:rPr>
        <w:t>具有有效的中华人民共和国主治医师或主治医师</w:t>
      </w:r>
      <w:r>
        <w:rPr>
          <w:spacing w:val="-14"/>
          <w:sz w:val="18"/>
        </w:rPr>
        <w:t>以上职称的《医师职称证书》；</w:t>
      </w:r>
      <w:r>
        <w:rPr>
          <w:sz w:val="18"/>
        </w:rPr>
        <w:t>（</w:t>
      </w:r>
      <w:r>
        <w:rPr>
          <w:spacing w:val="0"/>
          <w:sz w:val="18"/>
        </w:rPr>
        <w:t>4</w:t>
      </w:r>
      <w:r>
        <w:rPr>
          <w:sz w:val="18"/>
        </w:rPr>
        <w:t>）在二级或二级以上医院的相应科室从事临床工作三年以上。</w:t>
      </w:r>
    </w:p>
    <w:p>
      <w:pPr>
        <w:spacing w:line="233" w:lineRule="exact" w:before="0"/>
        <w:ind w:left="140" w:right="0" w:firstLine="0"/>
        <w:jc w:val="left"/>
        <w:rPr>
          <w:sz w:val="18"/>
        </w:rPr>
      </w:pPr>
      <w:r>
        <w:rPr>
          <w:position w:val="9"/>
          <w:sz w:val="9"/>
        </w:rPr>
        <w:t>6</w:t>
      </w:r>
      <w:r>
        <w:rPr>
          <w:sz w:val="18"/>
        </w:rPr>
        <w:t>毒品指中华人民共和国刑法规定的鸦片、海洛因、甲基苯丙胺（冰毒</w:t>
      </w:r>
      <w:r>
        <w:rPr>
          <w:spacing w:val="-91"/>
          <w:sz w:val="18"/>
        </w:rPr>
        <w:t>）</w:t>
      </w:r>
      <w:r>
        <w:rPr>
          <w:sz w:val="18"/>
        </w:rPr>
        <w:t>、吗啡、大麻、可卡因以及国家规定管制的</w:t>
      </w:r>
    </w:p>
    <w:p>
      <w:pPr>
        <w:spacing w:before="0"/>
        <w:ind w:left="140" w:right="0" w:firstLine="0"/>
        <w:jc w:val="left"/>
        <w:rPr>
          <w:sz w:val="18"/>
        </w:rPr>
      </w:pPr>
      <w:r>
        <w:rPr>
          <w:sz w:val="18"/>
        </w:rPr>
        <w:t>其他能够使人形成瘾癖的麻醉药品和精神药品，但不包括由医生开具并遵医嘱使用的用于治疗疾病但含有毒品成分</w:t>
      </w:r>
    </w:p>
    <w:p>
      <w:pPr>
        <w:spacing w:after="0"/>
        <w:jc w:val="left"/>
        <w:rPr>
          <w:sz w:val="18"/>
        </w:rPr>
        <w:sectPr>
          <w:type w:val="continuous"/>
          <w:pgSz w:w="11910" w:h="16840"/>
          <w:pgMar w:top="1100" w:bottom="1240" w:left="1300" w:right="1240"/>
        </w:sectPr>
      </w:pPr>
    </w:p>
    <w:p>
      <w:pPr>
        <w:pStyle w:val="BodyText"/>
        <w:spacing w:before="2"/>
        <w:rPr>
          <w:sz w:val="17"/>
        </w:rPr>
      </w:pPr>
    </w:p>
    <w:p>
      <w:pPr>
        <w:pStyle w:val="BodyText"/>
        <w:spacing w:before="84"/>
        <w:ind w:left="2511"/>
      </w:pPr>
      <w:r>
        <w:rPr/>
        <w:t>5.战争、军事冲突、暴乱或武装叛乱；</w:t>
      </w:r>
    </w:p>
    <w:p>
      <w:pPr>
        <w:pStyle w:val="BodyText"/>
        <w:spacing w:before="36"/>
        <w:ind w:left="2511"/>
      </w:pPr>
      <w:r>
        <w:rPr/>
        <w:t>6.核爆炸、核辐射或核污染；</w:t>
      </w:r>
    </w:p>
    <w:p>
      <w:pPr>
        <w:spacing w:before="25"/>
        <w:ind w:left="2513" w:right="0" w:firstLine="0"/>
        <w:jc w:val="left"/>
        <w:rPr>
          <w:sz w:val="21"/>
        </w:rPr>
      </w:pPr>
      <w:r>
        <w:rPr>
          <w:w w:val="95"/>
          <w:sz w:val="21"/>
        </w:rPr>
        <w:t>7.</w:t>
      </w:r>
      <w:r>
        <w:rPr>
          <w:w w:val="95"/>
          <w:sz w:val="22"/>
        </w:rPr>
        <w:t>遗传性疾病 </w:t>
      </w:r>
      <w:r>
        <w:rPr>
          <w:w w:val="95"/>
          <w:position w:val="11"/>
          <w:sz w:val="11"/>
        </w:rPr>
        <w:t>7</w:t>
      </w:r>
      <w:r>
        <w:rPr>
          <w:w w:val="95"/>
          <w:sz w:val="21"/>
        </w:rPr>
        <w:t>，</w:t>
      </w:r>
      <w:r>
        <w:rPr>
          <w:w w:val="95"/>
          <w:sz w:val="22"/>
        </w:rPr>
        <w:t>先天性畸形、变形或染色体异常 </w:t>
      </w:r>
      <w:r>
        <w:rPr>
          <w:w w:val="95"/>
          <w:position w:val="11"/>
          <w:sz w:val="11"/>
        </w:rPr>
        <w:t>8</w:t>
      </w:r>
      <w:r>
        <w:rPr>
          <w:w w:val="95"/>
          <w:sz w:val="21"/>
        </w:rPr>
        <w:t>；</w:t>
      </w:r>
    </w:p>
    <w:p>
      <w:pPr>
        <w:spacing w:before="24"/>
        <w:ind w:left="2513" w:right="0" w:firstLine="0"/>
        <w:jc w:val="left"/>
        <w:rPr>
          <w:sz w:val="21"/>
        </w:rPr>
      </w:pPr>
      <w:r>
        <w:rPr>
          <w:w w:val="95"/>
          <w:sz w:val="21"/>
        </w:rPr>
        <w:t>8.被保险人</w:t>
      </w:r>
      <w:r>
        <w:rPr>
          <w:w w:val="95"/>
          <w:sz w:val="22"/>
        </w:rPr>
        <w:t>感染艾滋病病毒或患艾滋病 </w:t>
      </w:r>
      <w:r>
        <w:rPr>
          <w:w w:val="95"/>
          <w:position w:val="11"/>
          <w:sz w:val="11"/>
        </w:rPr>
        <w:t>9</w:t>
      </w:r>
      <w:r>
        <w:rPr>
          <w:w w:val="95"/>
          <w:sz w:val="21"/>
        </w:rPr>
        <w:t>；</w:t>
      </w:r>
    </w:p>
    <w:p>
      <w:pPr>
        <w:spacing w:before="24"/>
        <w:ind w:left="2513" w:right="0" w:firstLine="0"/>
        <w:jc w:val="left"/>
        <w:rPr>
          <w:sz w:val="22"/>
        </w:rPr>
      </w:pPr>
      <w:r>
        <w:rPr>
          <w:w w:val="95"/>
          <w:sz w:val="21"/>
        </w:rPr>
        <w:t>9.被保险人</w:t>
      </w:r>
      <w:r>
        <w:rPr>
          <w:w w:val="95"/>
          <w:sz w:val="22"/>
        </w:rPr>
        <w:t>酒后驾驶 </w:t>
      </w:r>
      <w:r>
        <w:rPr>
          <w:w w:val="95"/>
          <w:position w:val="11"/>
          <w:sz w:val="11"/>
        </w:rPr>
        <w:t>10</w:t>
      </w:r>
      <w:r>
        <w:rPr>
          <w:w w:val="95"/>
          <w:sz w:val="21"/>
        </w:rPr>
        <w:t>、</w:t>
      </w:r>
      <w:r>
        <w:rPr>
          <w:w w:val="95"/>
          <w:sz w:val="22"/>
        </w:rPr>
        <w:t>无合法有效驾驶证驾驶 </w:t>
      </w:r>
      <w:r>
        <w:rPr>
          <w:w w:val="95"/>
          <w:position w:val="11"/>
          <w:sz w:val="11"/>
        </w:rPr>
        <w:t>11</w:t>
      </w:r>
      <w:r>
        <w:rPr>
          <w:w w:val="95"/>
          <w:sz w:val="21"/>
        </w:rPr>
        <w:t>或驾驶</w:t>
      </w:r>
      <w:r>
        <w:rPr>
          <w:w w:val="95"/>
          <w:sz w:val="22"/>
        </w:rPr>
        <w:t>无有效行驶证</w:t>
      </w:r>
    </w:p>
    <w:p>
      <w:pPr>
        <w:spacing w:before="24"/>
        <w:ind w:left="2091" w:right="0" w:firstLine="0"/>
        <w:jc w:val="left"/>
        <w:rPr>
          <w:sz w:val="21"/>
        </w:rPr>
      </w:pPr>
      <w:r>
        <w:rPr>
          <w:position w:val="11"/>
          <w:sz w:val="11"/>
        </w:rPr>
        <w:t>12</w:t>
      </w:r>
      <w:r>
        <w:rPr>
          <w:sz w:val="21"/>
        </w:rPr>
        <w:t>的</w:t>
      </w:r>
      <w:r>
        <w:rPr>
          <w:sz w:val="22"/>
        </w:rPr>
        <w:t>机动车 </w:t>
      </w:r>
      <w:r>
        <w:rPr>
          <w:position w:val="11"/>
          <w:sz w:val="11"/>
        </w:rPr>
        <w:t>13</w:t>
      </w:r>
      <w:r>
        <w:rPr>
          <w:sz w:val="21"/>
        </w:rPr>
        <w:t>期间。</w:t>
      </w:r>
    </w:p>
    <w:p>
      <w:pPr>
        <w:pStyle w:val="BodyText"/>
        <w:spacing w:line="273" w:lineRule="auto" w:before="35"/>
        <w:ind w:left="2091" w:right="318" w:firstLine="422"/>
        <w:jc w:val="both"/>
      </w:pPr>
      <w:r>
        <w:rPr/>
        <w:t>发生上述第 1 项情形导致被保险人发生本合同第 6 条所指的重大疾病的，本公司对该被保险人的保险责任终止，但向该被保险人退还该被保险人对应的现金价值。</w:t>
      </w:r>
    </w:p>
    <w:p>
      <w:pPr>
        <w:pStyle w:val="BodyText"/>
        <w:spacing w:line="273" w:lineRule="auto" w:before="7"/>
        <w:ind w:left="2091" w:right="318" w:firstLine="422"/>
        <w:jc w:val="both"/>
      </w:pPr>
      <w:r>
        <w:rPr>
          <w:spacing w:val="-10"/>
        </w:rPr>
        <w:t>因上述第 </w:t>
      </w:r>
      <w:r>
        <w:rPr/>
        <w:t>2-8</w:t>
      </w:r>
      <w:r>
        <w:rPr>
          <w:spacing w:val="-14"/>
        </w:rPr>
        <w:t> 项情形或在第 </w:t>
      </w:r>
      <w:r>
        <w:rPr/>
        <w:t>9</w:t>
      </w:r>
      <w:r>
        <w:rPr>
          <w:spacing w:val="-12"/>
        </w:rPr>
        <w:t> 项期间发生本合同第 </w:t>
      </w:r>
      <w:r>
        <w:rPr/>
        <w:t>6</w:t>
      </w:r>
      <w:r>
        <w:rPr>
          <w:spacing w:val="-8"/>
        </w:rPr>
        <w:t> 条所指的重大疾病</w:t>
      </w:r>
      <w:r>
        <w:rPr>
          <w:spacing w:val="-4"/>
        </w:rPr>
        <w:t>的，本公司对该被保险人的保险责任终止，但向投保人退还该被保险人对应的现金价值。</w:t>
      </w:r>
    </w:p>
    <w:p>
      <w:pPr>
        <w:pStyle w:val="BodyText"/>
        <w:spacing w:before="3"/>
        <w:rPr>
          <w:sz w:val="22"/>
        </w:rPr>
      </w:pPr>
    </w:p>
    <w:p>
      <w:pPr>
        <w:pStyle w:val="Heading1"/>
        <w:numPr>
          <w:ilvl w:val="2"/>
          <w:numId w:val="7"/>
        </w:numPr>
        <w:tabs>
          <w:tab w:pos="955" w:val="left" w:leader="none"/>
          <w:tab w:pos="957" w:val="left" w:leader="none"/>
        </w:tabs>
        <w:spacing w:line="240" w:lineRule="auto" w:before="1" w:after="0"/>
        <w:ind w:left="956" w:right="0" w:hanging="694"/>
        <w:jc w:val="left"/>
      </w:pPr>
      <w:r>
        <w:rPr/>
        <w:pict>
          <v:group style="position:absolute;margin-left:72.720001pt;margin-top:17.665646pt;width:449.8pt;height:1pt;mso-position-horizontal-relative:page;mso-position-vertical-relative:paragraph;z-index:1168;mso-wrap-distance-left:0;mso-wrap-distance-right:0" coordorigin="1454,353" coordsize="8996,20">
            <v:line style="position:absolute" from="1454,363" to="3302,363" stroked="true" strokeweight=".959999pt" strokecolor="#000000">
              <v:stroke dashstyle="solid"/>
            </v:line>
            <v:line style="position:absolute" from="3302,363" to="10450,363" stroked="true" strokeweight=".959999pt" strokecolor="#000000">
              <v:stroke dashstyle="solid"/>
            </v:line>
            <w10:wrap type="topAndBottom"/>
          </v:group>
        </w:pict>
      </w:r>
      <w:r>
        <w:rPr/>
        <w:t>投保人的权利和义务</w:t>
      </w:r>
    </w:p>
    <w:p>
      <w:pPr>
        <w:pStyle w:val="BodyText"/>
        <w:spacing w:before="2"/>
        <w:rPr>
          <w:sz w:val="14"/>
        </w:rPr>
      </w:pPr>
    </w:p>
    <w:p>
      <w:pPr>
        <w:spacing w:after="0"/>
        <w:rPr>
          <w:sz w:val="14"/>
        </w:rPr>
        <w:sectPr>
          <w:pgSz w:w="11910" w:h="16840"/>
          <w:pgMar w:header="836" w:footer="1042" w:top="1100" w:bottom="1240" w:left="1300" w:right="1240"/>
        </w:sectPr>
      </w:pPr>
    </w:p>
    <w:p>
      <w:pPr>
        <w:pStyle w:val="ListParagraph"/>
        <w:numPr>
          <w:ilvl w:val="3"/>
          <w:numId w:val="7"/>
        </w:numPr>
        <w:tabs>
          <w:tab w:pos="955" w:val="left" w:leader="none"/>
          <w:tab w:pos="956" w:val="left" w:leader="none"/>
        </w:tabs>
        <w:spacing w:line="273" w:lineRule="auto" w:before="85" w:after="0"/>
        <w:ind w:left="956" w:right="0" w:hanging="694"/>
        <w:jc w:val="left"/>
        <w:rPr>
          <w:sz w:val="21"/>
        </w:rPr>
      </w:pPr>
      <w:r>
        <w:rPr>
          <w:spacing w:val="17"/>
          <w:sz w:val="21"/>
        </w:rPr>
        <w:t>保险费的交纳</w:t>
      </w:r>
    </w:p>
    <w:p>
      <w:pPr>
        <w:pStyle w:val="BodyText"/>
        <w:spacing w:line="273" w:lineRule="auto"/>
        <w:ind w:left="175" w:right="318" w:firstLine="420"/>
      </w:pPr>
      <w:r>
        <w:rPr/>
        <w:br w:type="column"/>
      </w:r>
      <w:r>
        <w:rPr/>
        <w:t>本合同的交费方式和交费期间由投保人和本公司约定，但须符合本公司当时的投保规定，约定的交费方式和交费期间将在保险单上载明。</w:t>
      </w:r>
    </w:p>
    <w:p>
      <w:pPr>
        <w:spacing w:after="0" w:line="273" w:lineRule="auto"/>
        <w:sectPr>
          <w:type w:val="continuous"/>
          <w:pgSz w:w="11910" w:h="16840"/>
          <w:pgMar w:top="1100" w:bottom="1240" w:left="1300" w:right="1240"/>
          <w:cols w:num="2" w:equalWidth="0">
            <w:col w:w="1877" w:space="40"/>
            <w:col w:w="7453"/>
          </w:cols>
        </w:sectPr>
      </w:pPr>
    </w:p>
    <w:p>
      <w:pPr>
        <w:pStyle w:val="BodyText"/>
        <w:spacing w:before="12"/>
        <w:rPr>
          <w:sz w:val="17"/>
        </w:rPr>
      </w:pPr>
    </w:p>
    <w:p>
      <w:pPr>
        <w:pStyle w:val="ListParagraph"/>
        <w:numPr>
          <w:ilvl w:val="3"/>
          <w:numId w:val="7"/>
        </w:numPr>
        <w:tabs>
          <w:tab w:pos="955" w:val="left" w:leader="none"/>
          <w:tab w:pos="956" w:val="left" w:leader="none"/>
          <w:tab w:pos="2511" w:val="left" w:leader="none"/>
        </w:tabs>
        <w:spacing w:line="273" w:lineRule="auto" w:before="85" w:after="0"/>
        <w:ind w:left="2091" w:right="318" w:hanging="1829"/>
        <w:jc w:val="left"/>
        <w:rPr>
          <w:sz w:val="21"/>
        </w:rPr>
      </w:pPr>
      <w:r>
        <w:rPr>
          <w:sz w:val="21"/>
        </w:rPr>
        <w:t>续保</w:t>
        <w:tab/>
        <w:tab/>
        <w:t>保险</w:t>
      </w:r>
      <w:r>
        <w:rPr>
          <w:spacing w:val="-3"/>
          <w:sz w:val="21"/>
        </w:rPr>
        <w:t>期</w:t>
      </w:r>
      <w:r>
        <w:rPr>
          <w:sz w:val="21"/>
        </w:rPr>
        <w:t>间</w:t>
      </w:r>
      <w:r>
        <w:rPr>
          <w:spacing w:val="-3"/>
          <w:sz w:val="21"/>
        </w:rPr>
        <w:t>届满</w:t>
      </w:r>
      <w:r>
        <w:rPr>
          <w:sz w:val="21"/>
        </w:rPr>
        <w:t>前</w:t>
      </w:r>
      <w:r>
        <w:rPr>
          <w:spacing w:val="-34"/>
          <w:sz w:val="21"/>
        </w:rPr>
        <w:t> </w:t>
      </w:r>
      <w:r>
        <w:rPr>
          <w:sz w:val="21"/>
        </w:rPr>
        <w:t>30</w:t>
      </w:r>
      <w:r>
        <w:rPr>
          <w:spacing w:val="-40"/>
          <w:sz w:val="21"/>
        </w:rPr>
        <w:t> </w:t>
      </w:r>
      <w:r>
        <w:rPr>
          <w:sz w:val="21"/>
        </w:rPr>
        <w:t>日内</w:t>
      </w:r>
      <w:r>
        <w:rPr>
          <w:spacing w:val="-45"/>
          <w:sz w:val="21"/>
        </w:rPr>
        <w:t>，</w:t>
      </w:r>
      <w:r>
        <w:rPr>
          <w:sz w:val="21"/>
        </w:rPr>
        <w:t>投保</w:t>
      </w:r>
      <w:r>
        <w:rPr>
          <w:spacing w:val="-3"/>
          <w:sz w:val="21"/>
        </w:rPr>
        <w:t>人</w:t>
      </w:r>
      <w:r>
        <w:rPr>
          <w:sz w:val="21"/>
        </w:rPr>
        <w:t>提</w:t>
      </w:r>
      <w:r>
        <w:rPr>
          <w:spacing w:val="-3"/>
          <w:sz w:val="21"/>
        </w:rPr>
        <w:t>出</w:t>
      </w:r>
      <w:r>
        <w:rPr>
          <w:sz w:val="21"/>
        </w:rPr>
        <w:t>续</w:t>
      </w:r>
      <w:r>
        <w:rPr>
          <w:spacing w:val="-5"/>
          <w:sz w:val="21"/>
        </w:rPr>
        <w:t>保</w:t>
      </w:r>
      <w:r>
        <w:rPr>
          <w:sz w:val="21"/>
        </w:rPr>
        <w:t>申请</w:t>
      </w:r>
      <w:r>
        <w:rPr>
          <w:spacing w:val="-45"/>
          <w:sz w:val="21"/>
        </w:rPr>
        <w:t>，</w:t>
      </w:r>
      <w:r>
        <w:rPr>
          <w:spacing w:val="-3"/>
          <w:sz w:val="21"/>
        </w:rPr>
        <w:t>经</w:t>
      </w:r>
      <w:r>
        <w:rPr>
          <w:sz w:val="21"/>
        </w:rPr>
        <w:t>本公</w:t>
      </w:r>
      <w:r>
        <w:rPr>
          <w:spacing w:val="-3"/>
          <w:sz w:val="21"/>
        </w:rPr>
        <w:t>司</w:t>
      </w:r>
      <w:r>
        <w:rPr>
          <w:sz w:val="21"/>
        </w:rPr>
        <w:t>同</w:t>
      </w:r>
      <w:r>
        <w:rPr>
          <w:spacing w:val="-5"/>
          <w:sz w:val="21"/>
        </w:rPr>
        <w:t>意</w:t>
      </w:r>
      <w:r>
        <w:rPr>
          <w:sz w:val="21"/>
        </w:rPr>
        <w:t>后</w:t>
      </w:r>
      <w:r>
        <w:rPr>
          <w:spacing w:val="-3"/>
          <w:sz w:val="21"/>
        </w:rPr>
        <w:t>可</w:t>
      </w:r>
      <w:r>
        <w:rPr>
          <w:sz w:val="21"/>
        </w:rPr>
        <w:t>续保本保</w:t>
      </w:r>
      <w:r>
        <w:rPr>
          <w:spacing w:val="-3"/>
          <w:sz w:val="21"/>
        </w:rPr>
        <w:t>险</w:t>
      </w:r>
      <w:r>
        <w:rPr>
          <w:sz w:val="21"/>
        </w:rPr>
        <w:t>。</w:t>
      </w:r>
    </w:p>
    <w:p>
      <w:pPr>
        <w:pStyle w:val="BodyText"/>
        <w:spacing w:before="7"/>
        <w:ind w:left="2511"/>
      </w:pPr>
      <w:r>
        <w:rPr/>
        <w:t>本公司有权重新核定续保保险费。</w:t>
      </w:r>
    </w:p>
    <w:p>
      <w:pPr>
        <w:pStyle w:val="BodyText"/>
        <w:spacing w:before="6"/>
        <w:rPr>
          <w:sz w:val="24"/>
        </w:rPr>
      </w:pPr>
    </w:p>
    <w:p>
      <w:pPr>
        <w:pStyle w:val="Heading1"/>
        <w:numPr>
          <w:ilvl w:val="2"/>
          <w:numId w:val="7"/>
        </w:numPr>
        <w:tabs>
          <w:tab w:pos="955" w:val="left" w:leader="none"/>
          <w:tab w:pos="957" w:val="left" w:leader="none"/>
        </w:tabs>
        <w:spacing w:line="240" w:lineRule="auto" w:before="1" w:after="0"/>
        <w:ind w:left="956" w:right="0" w:hanging="694"/>
        <w:jc w:val="left"/>
      </w:pPr>
      <w:r>
        <w:rPr/>
        <w:pict>
          <v:group style="position:absolute;margin-left:72.720001pt;margin-top:17.665615pt;width:449.8pt;height:1pt;mso-position-horizontal-relative:page;mso-position-vertical-relative:paragraph;z-index:1192;mso-wrap-distance-left:0;mso-wrap-distance-right:0" coordorigin="1454,353" coordsize="8996,20">
            <v:line style="position:absolute" from="1454,363" to="3302,363" stroked="true" strokeweight=".960022pt" strokecolor="#000000">
              <v:stroke dashstyle="solid"/>
            </v:line>
            <v:line style="position:absolute" from="3302,363" to="10450,363" stroked="true" strokeweight=".960022pt" strokecolor="#000000">
              <v:stroke dashstyle="solid"/>
            </v:line>
            <w10:wrap type="topAndBottom"/>
          </v:group>
        </w:pict>
      </w:r>
      <w:r>
        <w:rPr/>
        <w:t>如何申请领取保险金</w:t>
      </w:r>
    </w:p>
    <w:p>
      <w:pPr>
        <w:pStyle w:val="BodyText"/>
        <w:spacing w:before="0"/>
        <w:rPr>
          <w:sz w:val="22"/>
        </w:rPr>
      </w:pPr>
    </w:p>
    <w:tbl>
      <w:tblPr>
        <w:tblW w:w="0" w:type="auto"/>
        <w:jc w:val="left"/>
        <w:tblInd w:w="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5"/>
        <w:gridCol w:w="1215"/>
        <w:gridCol w:w="7113"/>
      </w:tblGrid>
      <w:tr>
        <w:trPr>
          <w:trHeight w:val="764" w:hRule="atLeast"/>
        </w:trPr>
        <w:tc>
          <w:tcPr>
            <w:tcW w:w="555" w:type="dxa"/>
          </w:tcPr>
          <w:p>
            <w:pPr>
              <w:pStyle w:val="TableParagraph"/>
              <w:spacing w:line="259" w:lineRule="exact"/>
              <w:ind w:left="50"/>
              <w:rPr>
                <w:sz w:val="21"/>
              </w:rPr>
            </w:pPr>
            <w:r>
              <w:rPr>
                <w:sz w:val="21"/>
              </w:rPr>
              <w:t>4.1</w:t>
            </w:r>
          </w:p>
        </w:tc>
        <w:tc>
          <w:tcPr>
            <w:tcW w:w="1215" w:type="dxa"/>
          </w:tcPr>
          <w:p>
            <w:pPr>
              <w:pStyle w:val="TableParagraph"/>
              <w:spacing w:line="259" w:lineRule="exact"/>
              <w:ind w:left="188"/>
              <w:rPr>
                <w:sz w:val="21"/>
              </w:rPr>
            </w:pPr>
            <w:r>
              <w:rPr>
                <w:sz w:val="21"/>
              </w:rPr>
              <w:t>保险金受</w:t>
            </w:r>
          </w:p>
          <w:p>
            <w:pPr>
              <w:pStyle w:val="TableParagraph"/>
              <w:spacing w:before="37"/>
              <w:ind w:left="188"/>
              <w:rPr>
                <w:sz w:val="21"/>
              </w:rPr>
            </w:pPr>
            <w:r>
              <w:rPr>
                <w:sz w:val="21"/>
              </w:rPr>
              <w:t>益人</w:t>
            </w:r>
          </w:p>
        </w:tc>
        <w:tc>
          <w:tcPr>
            <w:tcW w:w="7113" w:type="dxa"/>
          </w:tcPr>
          <w:p>
            <w:pPr>
              <w:pStyle w:val="TableParagraph"/>
              <w:spacing w:line="259" w:lineRule="exact"/>
              <w:ind w:left="528"/>
              <w:rPr>
                <w:sz w:val="21"/>
              </w:rPr>
            </w:pPr>
            <w:r>
              <w:rPr>
                <w:sz w:val="21"/>
              </w:rPr>
              <w:t>除本合同另有指定外，重大疾病保险金的受益人为被保险人本人。</w:t>
            </w:r>
          </w:p>
        </w:tc>
      </w:tr>
      <w:tr>
        <w:trPr>
          <w:trHeight w:val="764" w:hRule="atLeast"/>
        </w:trPr>
        <w:tc>
          <w:tcPr>
            <w:tcW w:w="555" w:type="dxa"/>
          </w:tcPr>
          <w:p>
            <w:pPr>
              <w:pStyle w:val="TableParagraph"/>
              <w:spacing w:before="156"/>
              <w:ind w:left="50"/>
              <w:rPr>
                <w:sz w:val="21"/>
              </w:rPr>
            </w:pPr>
            <w:r>
              <w:rPr>
                <w:sz w:val="21"/>
              </w:rPr>
              <w:t>4.2</w:t>
            </w:r>
          </w:p>
        </w:tc>
        <w:tc>
          <w:tcPr>
            <w:tcW w:w="1215" w:type="dxa"/>
          </w:tcPr>
          <w:p>
            <w:pPr>
              <w:pStyle w:val="TableParagraph"/>
              <w:spacing w:line="310" w:lineRule="atLeast" w:before="121"/>
              <w:ind w:left="188" w:right="105"/>
              <w:rPr>
                <w:sz w:val="21"/>
              </w:rPr>
            </w:pPr>
            <w:r>
              <w:rPr>
                <w:sz w:val="21"/>
              </w:rPr>
              <w:t>保险事故通知</w:t>
            </w:r>
          </w:p>
        </w:tc>
        <w:tc>
          <w:tcPr>
            <w:tcW w:w="7113" w:type="dxa"/>
          </w:tcPr>
          <w:p>
            <w:pPr>
              <w:pStyle w:val="TableParagraph"/>
              <w:spacing w:line="310" w:lineRule="atLeast" w:before="121"/>
              <w:ind w:left="108" w:right="47" w:firstLine="420"/>
              <w:rPr>
                <w:sz w:val="21"/>
              </w:rPr>
            </w:pPr>
            <w:r>
              <w:rPr>
                <w:spacing w:val="-14"/>
                <w:sz w:val="21"/>
              </w:rPr>
              <w:t>投保人、被保险人或受益人应在知道保险事故发生之日起 </w:t>
            </w:r>
            <w:r>
              <w:rPr>
                <w:sz w:val="21"/>
              </w:rPr>
              <w:t>10</w:t>
            </w:r>
            <w:r>
              <w:rPr>
                <w:spacing w:val="-9"/>
                <w:sz w:val="21"/>
              </w:rPr>
              <w:t> 日内通知本公司。</w:t>
            </w:r>
          </w:p>
        </w:tc>
      </w:tr>
    </w:tbl>
    <w:p>
      <w:pPr>
        <w:pStyle w:val="BodyText"/>
        <w:spacing w:line="273" w:lineRule="auto" w:before="15"/>
        <w:ind w:left="2091" w:right="320" w:firstLine="422"/>
        <w:jc w:val="both"/>
      </w:pPr>
      <w:r>
        <w:rPr/>
        <w:t>如投保人、被保险人或受益人故意或因重大过失未及时通知本公司，致使保险事故的性质、原因、损失程度等难以确定的，本公司对无法确定的部分，不承担给付保险金的责任，但本公司通过其他途径已经及时知道或应当</w:t>
      </w:r>
    </w:p>
    <w:p>
      <w:pPr>
        <w:pStyle w:val="BodyText"/>
        <w:spacing w:before="3"/>
        <w:rPr>
          <w:sz w:val="23"/>
        </w:rPr>
      </w:pPr>
      <w:r>
        <w:rPr/>
        <w:pict>
          <v:line style="position:absolute;mso-position-horizontal-relative:page;mso-position-vertical-relative:paragraph;z-index:1216;mso-wrap-distance-left:0;mso-wrap-distance-right:0" from="72pt,17.419594pt" to="523.320008pt,17.419594pt" stroked="true" strokeweight=".480011pt" strokecolor="#000000">
            <v:stroke dashstyle="solid"/>
            <w10:wrap type="topAndBottom"/>
          </v:line>
        </w:pict>
      </w:r>
    </w:p>
    <w:p>
      <w:pPr>
        <w:spacing w:line="234" w:lineRule="exact" w:before="39"/>
        <w:ind w:left="140" w:right="0" w:firstLine="0"/>
        <w:jc w:val="both"/>
        <w:rPr>
          <w:sz w:val="18"/>
        </w:rPr>
      </w:pPr>
      <w:r>
        <w:rPr>
          <w:sz w:val="18"/>
        </w:rPr>
        <w:t>的处方药品。</w:t>
      </w:r>
    </w:p>
    <w:p>
      <w:pPr>
        <w:spacing w:line="233" w:lineRule="exact" w:before="0"/>
        <w:ind w:left="140" w:right="0" w:firstLine="0"/>
        <w:jc w:val="both"/>
        <w:rPr>
          <w:sz w:val="18"/>
        </w:rPr>
      </w:pPr>
      <w:r>
        <w:rPr>
          <w:position w:val="9"/>
          <w:sz w:val="9"/>
        </w:rPr>
        <w:t>7</w:t>
      </w:r>
      <w:r>
        <w:rPr>
          <w:sz w:val="18"/>
        </w:rPr>
        <w:t>遗传性疾病指生殖细胞或受精卵的遗传物质（染色体和基因）发生突变或畸变所引起的疾病，通常具有由亲代传至</w:t>
      </w:r>
    </w:p>
    <w:p>
      <w:pPr>
        <w:spacing w:line="234" w:lineRule="exact" w:before="0"/>
        <w:ind w:left="140" w:right="0" w:firstLine="0"/>
        <w:jc w:val="both"/>
        <w:rPr>
          <w:sz w:val="18"/>
        </w:rPr>
      </w:pPr>
      <w:r>
        <w:rPr>
          <w:sz w:val="18"/>
        </w:rPr>
        <w:t>后代的垂直传递的特征。</w:t>
      </w:r>
    </w:p>
    <w:p>
      <w:pPr>
        <w:spacing w:line="234" w:lineRule="exact" w:before="0"/>
        <w:ind w:left="140" w:right="0" w:firstLine="0"/>
        <w:jc w:val="both"/>
        <w:rPr>
          <w:sz w:val="18"/>
        </w:rPr>
      </w:pPr>
      <w:r>
        <w:rPr>
          <w:position w:val="9"/>
          <w:sz w:val="9"/>
        </w:rPr>
        <w:t>8</w:t>
      </w:r>
      <w:r>
        <w:rPr>
          <w:sz w:val="18"/>
        </w:rPr>
        <w:t>先天性畸形、变形或染色体异常指被保险人出生时就具有的畸形、变形或染色体异常。先天性畸形、变形和染色体</w:t>
      </w:r>
    </w:p>
    <w:p>
      <w:pPr>
        <w:spacing w:line="233" w:lineRule="exact" w:before="0"/>
        <w:ind w:left="140" w:right="0" w:firstLine="0"/>
        <w:jc w:val="both"/>
        <w:rPr>
          <w:sz w:val="18"/>
        </w:rPr>
      </w:pPr>
      <w:r>
        <w:rPr>
          <w:sz w:val="18"/>
        </w:rPr>
        <w:t>异常依照世界卫生组织《疾病和有关健康问题的国际统计分类》（ICD-10）确定。</w:t>
      </w:r>
    </w:p>
    <w:p>
      <w:pPr>
        <w:spacing w:line="237" w:lineRule="auto" w:before="1"/>
        <w:ind w:left="140" w:right="197" w:firstLine="0"/>
        <w:jc w:val="both"/>
        <w:rPr>
          <w:sz w:val="18"/>
        </w:rPr>
      </w:pPr>
      <w:r>
        <w:rPr>
          <w:position w:val="9"/>
          <w:sz w:val="9"/>
        </w:rPr>
        <w:t>9</w:t>
      </w:r>
      <w:r>
        <w:rPr>
          <w:spacing w:val="-1"/>
          <w:sz w:val="18"/>
        </w:rPr>
        <w:t>感染艾滋病病毒或患艾滋病：艾滋病病毒指人类免疫缺陷病毒，英文缩写为 </w:t>
      </w:r>
      <w:r>
        <w:rPr>
          <w:sz w:val="18"/>
        </w:rPr>
        <w:t>HIV。艾滋病指人类免疫缺陷病毒引起</w:t>
      </w:r>
      <w:r>
        <w:rPr>
          <w:spacing w:val="-4"/>
          <w:sz w:val="18"/>
        </w:rPr>
        <w:t>的获得性免疫缺陷综合征，英文缩写为 </w:t>
      </w:r>
      <w:r>
        <w:rPr>
          <w:sz w:val="18"/>
        </w:rPr>
        <w:t>AIDS</w:t>
      </w:r>
      <w:r>
        <w:rPr>
          <w:spacing w:val="-5"/>
          <w:sz w:val="18"/>
        </w:rPr>
        <w:t>。在人体血液或其他样本中检测到艾滋病病毒或其抗体呈阳性，没有出现临床症状或体征的，为感染艾滋病病毒；如果同时出现了明显临床症状或体征的，为患艾滋病。</w:t>
      </w:r>
    </w:p>
    <w:p>
      <w:pPr>
        <w:spacing w:line="231" w:lineRule="exact" w:before="0"/>
        <w:ind w:left="140" w:right="0" w:firstLine="0"/>
        <w:jc w:val="both"/>
        <w:rPr>
          <w:sz w:val="18"/>
        </w:rPr>
      </w:pPr>
      <w:r>
        <w:rPr>
          <w:position w:val="9"/>
          <w:sz w:val="9"/>
        </w:rPr>
        <w:t>10</w:t>
      </w:r>
      <w:r>
        <w:rPr>
          <w:sz w:val="18"/>
        </w:rPr>
        <w:t>酒后驾驶指经检测或鉴定，发生事故时车辆驾驶人员每百毫升血液中的酒精含量达到或超过道路交通法规规定的标</w:t>
      </w:r>
    </w:p>
    <w:p>
      <w:pPr>
        <w:spacing w:line="234" w:lineRule="exact" w:before="0"/>
        <w:ind w:left="140" w:right="0" w:firstLine="0"/>
        <w:jc w:val="both"/>
        <w:rPr>
          <w:sz w:val="18"/>
        </w:rPr>
      </w:pPr>
      <w:r>
        <w:rPr>
          <w:sz w:val="18"/>
        </w:rPr>
        <w:t>准，或公安机关交通管理部门依据《道路交通安全法》的规定认定为饮酒后驾驶或醉酒后驾驶。</w:t>
      </w:r>
    </w:p>
    <w:p>
      <w:pPr>
        <w:spacing w:line="234" w:lineRule="exact" w:before="0"/>
        <w:ind w:left="140" w:right="0" w:firstLine="0"/>
        <w:jc w:val="both"/>
        <w:rPr>
          <w:sz w:val="18"/>
        </w:rPr>
      </w:pPr>
      <w:r>
        <w:rPr>
          <w:w w:val="101"/>
          <w:position w:val="9"/>
          <w:sz w:val="9"/>
        </w:rPr>
        <w:t>1</w:t>
      </w:r>
      <w:r>
        <w:rPr>
          <w:spacing w:val="-1"/>
          <w:w w:val="101"/>
          <w:position w:val="9"/>
          <w:sz w:val="9"/>
        </w:rPr>
        <w:t>1</w:t>
      </w:r>
      <w:r>
        <w:rPr>
          <w:spacing w:val="-1"/>
          <w:sz w:val="18"/>
        </w:rPr>
        <w:t>无合法有效驾驶证驾驶指下列情形之一</w:t>
      </w:r>
      <w:r>
        <w:rPr>
          <w:spacing w:val="-123"/>
          <w:sz w:val="18"/>
        </w:rPr>
        <w:t>：</w:t>
      </w:r>
      <w:r>
        <w:rPr>
          <w:sz w:val="18"/>
        </w:rPr>
        <w:t>（1</w:t>
      </w:r>
      <w:r>
        <w:rPr>
          <w:spacing w:val="-31"/>
          <w:sz w:val="18"/>
        </w:rPr>
        <w:t>）</w:t>
      </w:r>
      <w:r>
        <w:rPr>
          <w:spacing w:val="-1"/>
          <w:sz w:val="18"/>
        </w:rPr>
        <w:t>没有取得驾驶资格</w:t>
      </w:r>
      <w:r>
        <w:rPr>
          <w:spacing w:val="-123"/>
          <w:sz w:val="18"/>
        </w:rPr>
        <w:t>；</w:t>
      </w:r>
      <w:r>
        <w:rPr>
          <w:sz w:val="18"/>
        </w:rPr>
        <w:t>（2</w:t>
      </w:r>
      <w:r>
        <w:rPr>
          <w:spacing w:val="-31"/>
          <w:sz w:val="18"/>
        </w:rPr>
        <w:t>）</w:t>
      </w:r>
      <w:r>
        <w:rPr>
          <w:spacing w:val="-1"/>
          <w:sz w:val="18"/>
        </w:rPr>
        <w:t>驾驶与驾驶证准驾车型不相符合的车辆</w:t>
      </w:r>
      <w:r>
        <w:rPr>
          <w:spacing w:val="-123"/>
          <w:sz w:val="18"/>
        </w:rPr>
        <w:t>；</w:t>
      </w:r>
      <w:r>
        <w:rPr>
          <w:sz w:val="18"/>
        </w:rPr>
        <w:t>（3）</w:t>
      </w:r>
    </w:p>
    <w:p>
      <w:pPr>
        <w:spacing w:line="233" w:lineRule="exact" w:before="0"/>
        <w:ind w:left="140" w:right="0" w:firstLine="0"/>
        <w:jc w:val="both"/>
        <w:rPr>
          <w:sz w:val="18"/>
        </w:rPr>
      </w:pPr>
      <w:r>
        <w:rPr>
          <w:sz w:val="18"/>
        </w:rPr>
        <w:t>持审验不合格的驾驶证驾驶</w:t>
      </w:r>
      <w:r>
        <w:rPr>
          <w:spacing w:val="-103"/>
          <w:sz w:val="18"/>
        </w:rPr>
        <w:t>；</w:t>
      </w:r>
      <w:r>
        <w:rPr>
          <w:sz w:val="18"/>
        </w:rPr>
        <w:t>（4</w:t>
      </w:r>
      <w:r>
        <w:rPr>
          <w:spacing w:val="-11"/>
          <w:sz w:val="18"/>
        </w:rPr>
        <w:t>）</w:t>
      </w:r>
      <w:r>
        <w:rPr>
          <w:spacing w:val="-4"/>
          <w:sz w:val="18"/>
        </w:rPr>
        <w:t>持学习驾驶证学习驾车时，无教练员随车指导，或不按指定时间、路线学习驾车。</w:t>
      </w:r>
    </w:p>
    <w:p>
      <w:pPr>
        <w:spacing w:line="233" w:lineRule="exact" w:before="0"/>
        <w:ind w:left="140" w:right="0" w:firstLine="0"/>
        <w:jc w:val="both"/>
        <w:rPr>
          <w:sz w:val="18"/>
        </w:rPr>
      </w:pPr>
      <w:r>
        <w:rPr>
          <w:w w:val="101"/>
          <w:position w:val="9"/>
          <w:sz w:val="9"/>
        </w:rPr>
        <w:t>1</w:t>
      </w:r>
      <w:r>
        <w:rPr>
          <w:spacing w:val="-1"/>
          <w:w w:val="101"/>
          <w:position w:val="9"/>
          <w:sz w:val="9"/>
        </w:rPr>
        <w:t>2</w:t>
      </w:r>
      <w:r>
        <w:rPr>
          <w:sz w:val="18"/>
        </w:rPr>
        <w:t>无有效行驶证指下列情形之一</w:t>
      </w:r>
      <w:r>
        <w:rPr>
          <w:spacing w:val="-107"/>
          <w:sz w:val="18"/>
        </w:rPr>
        <w:t>：</w:t>
      </w:r>
      <w:r>
        <w:rPr>
          <w:sz w:val="18"/>
        </w:rPr>
        <w:t>（</w:t>
      </w:r>
      <w:r>
        <w:rPr>
          <w:spacing w:val="0"/>
          <w:sz w:val="18"/>
        </w:rPr>
        <w:t>1</w:t>
      </w:r>
      <w:r>
        <w:rPr>
          <w:spacing w:val="-13"/>
          <w:sz w:val="18"/>
        </w:rPr>
        <w:t>）</w:t>
      </w:r>
      <w:r>
        <w:rPr>
          <w:sz w:val="18"/>
        </w:rPr>
        <w:t>无机动车行驶证</w:t>
      </w:r>
      <w:r>
        <w:rPr>
          <w:spacing w:val="-103"/>
          <w:sz w:val="18"/>
        </w:rPr>
        <w:t>；</w:t>
      </w:r>
      <w:r>
        <w:rPr>
          <w:sz w:val="18"/>
        </w:rPr>
        <w:t>（</w:t>
      </w:r>
      <w:r>
        <w:rPr>
          <w:spacing w:val="0"/>
          <w:sz w:val="18"/>
        </w:rPr>
        <w:t>2</w:t>
      </w:r>
      <w:r>
        <w:rPr>
          <w:spacing w:val="-13"/>
          <w:sz w:val="18"/>
        </w:rPr>
        <w:t>）</w:t>
      </w:r>
      <w:r>
        <w:rPr>
          <w:sz w:val="18"/>
        </w:rPr>
        <w:t>机动车被依法注销登记的</w:t>
      </w:r>
      <w:r>
        <w:rPr>
          <w:spacing w:val="-103"/>
          <w:sz w:val="18"/>
        </w:rPr>
        <w:t>；</w:t>
      </w:r>
      <w:r>
        <w:rPr>
          <w:sz w:val="18"/>
        </w:rPr>
        <w:t>（</w:t>
      </w:r>
      <w:r>
        <w:rPr>
          <w:spacing w:val="0"/>
          <w:sz w:val="18"/>
        </w:rPr>
        <w:t>3</w:t>
      </w:r>
      <w:r>
        <w:rPr>
          <w:spacing w:val="-11"/>
          <w:sz w:val="18"/>
        </w:rPr>
        <w:t>）</w:t>
      </w:r>
      <w:r>
        <w:rPr>
          <w:sz w:val="18"/>
        </w:rPr>
        <w:t>未依法按时进行或通过</w:t>
      </w:r>
    </w:p>
    <w:p>
      <w:pPr>
        <w:spacing w:line="234" w:lineRule="exact" w:before="0"/>
        <w:ind w:left="140" w:right="0" w:firstLine="0"/>
        <w:jc w:val="both"/>
        <w:rPr>
          <w:sz w:val="18"/>
        </w:rPr>
      </w:pPr>
      <w:r>
        <w:rPr>
          <w:sz w:val="18"/>
        </w:rPr>
        <w:t>机动车安全技术检验。</w:t>
      </w:r>
    </w:p>
    <w:p>
      <w:pPr>
        <w:spacing w:before="0"/>
        <w:ind w:left="140" w:right="0" w:firstLine="0"/>
        <w:jc w:val="both"/>
        <w:rPr>
          <w:sz w:val="18"/>
        </w:rPr>
      </w:pPr>
      <w:r>
        <w:rPr>
          <w:position w:val="9"/>
          <w:sz w:val="9"/>
        </w:rPr>
        <w:t>13</w:t>
      </w:r>
      <w:r>
        <w:rPr>
          <w:sz w:val="18"/>
        </w:rPr>
        <w:t>机动车指以动力装置驱动或牵引，供人员乘用或用于运送物品以及进行工程专项作业的轮式车辆。</w:t>
      </w:r>
    </w:p>
    <w:p>
      <w:pPr>
        <w:spacing w:after="0"/>
        <w:jc w:val="both"/>
        <w:rPr>
          <w:sz w:val="18"/>
        </w:rPr>
        <w:sectPr>
          <w:type w:val="continuous"/>
          <w:pgSz w:w="11910" w:h="16840"/>
          <w:pgMar w:top="1100" w:bottom="1240" w:left="1300" w:right="1240"/>
        </w:sectPr>
      </w:pPr>
    </w:p>
    <w:p>
      <w:pPr>
        <w:pStyle w:val="BodyText"/>
        <w:spacing w:before="2"/>
        <w:rPr>
          <w:sz w:val="17"/>
        </w:rPr>
      </w:pPr>
    </w:p>
    <w:p>
      <w:pPr>
        <w:pStyle w:val="BodyText"/>
        <w:spacing w:line="273" w:lineRule="auto" w:before="84"/>
        <w:ind w:left="2091" w:right="280"/>
      </w:pPr>
      <w:r>
        <w:rPr/>
        <w:t>及时知道保险事故发生，或虽未及时通知但不影响本公司确定保险事故的性质、原因、损失程度的除外。</w:t>
      </w:r>
    </w:p>
    <w:p>
      <w:pPr>
        <w:pStyle w:val="BodyText"/>
        <w:spacing w:before="12"/>
        <w:rPr>
          <w:sz w:val="17"/>
        </w:rPr>
      </w:pPr>
    </w:p>
    <w:p>
      <w:pPr>
        <w:spacing w:after="0"/>
        <w:rPr>
          <w:sz w:val="17"/>
        </w:rPr>
        <w:sectPr>
          <w:pgSz w:w="11910" w:h="16840"/>
          <w:pgMar w:header="836" w:footer="1042" w:top="1100" w:bottom="1240" w:left="1300" w:right="1280"/>
        </w:sectPr>
      </w:pPr>
    </w:p>
    <w:p>
      <w:pPr>
        <w:pStyle w:val="ListParagraph"/>
        <w:numPr>
          <w:ilvl w:val="1"/>
          <w:numId w:val="8"/>
        </w:numPr>
        <w:tabs>
          <w:tab w:pos="955" w:val="left" w:leader="none"/>
          <w:tab w:pos="956" w:val="left" w:leader="none"/>
        </w:tabs>
        <w:spacing w:line="273" w:lineRule="auto" w:before="84" w:after="0"/>
        <w:ind w:left="956" w:right="0" w:hanging="694"/>
        <w:jc w:val="left"/>
        <w:rPr>
          <w:sz w:val="21"/>
        </w:rPr>
      </w:pPr>
      <w:r>
        <w:rPr>
          <w:spacing w:val="15"/>
          <w:sz w:val="21"/>
        </w:rPr>
        <w:t>保险金的申请</w:t>
      </w:r>
    </w:p>
    <w:p>
      <w:pPr>
        <w:pStyle w:val="BodyText"/>
        <w:spacing w:line="273" w:lineRule="auto" w:before="84"/>
        <w:ind w:left="176" w:right="278" w:firstLine="420"/>
      </w:pPr>
      <w:r>
        <w:rPr/>
        <w:br w:type="column"/>
      </w:r>
      <w:r>
        <w:rPr/>
        <w:t>1.申请重大疾病保险金时，由重大疾病保险金受益人作为申请人填写保险金给付申请书，并提供下列证明和资料：</w:t>
      </w:r>
    </w:p>
    <w:p>
      <w:pPr>
        <w:pStyle w:val="BodyText"/>
        <w:spacing w:before="7"/>
        <w:ind w:left="596"/>
      </w:pPr>
      <w:r>
        <w:rPr/>
        <w:t>（1）保险合同；</w:t>
      </w:r>
    </w:p>
    <w:p>
      <w:pPr>
        <w:pStyle w:val="BodyText"/>
        <w:spacing w:before="37"/>
        <w:ind w:left="596"/>
      </w:pPr>
      <w:r>
        <w:rPr/>
        <w:t>（2）申请人及被保险人的有效身份证件；</w:t>
      </w:r>
    </w:p>
    <w:p>
      <w:pPr>
        <w:pStyle w:val="BodyText"/>
        <w:spacing w:line="273" w:lineRule="auto" w:before="37"/>
        <w:ind w:left="176" w:right="278" w:firstLine="420"/>
      </w:pPr>
      <w:r>
        <w:rPr>
          <w:spacing w:val="-10"/>
        </w:rPr>
        <w:t>（3）</w:t>
      </w:r>
      <w:r>
        <w:rPr>
          <w:spacing w:val="-8"/>
        </w:rPr>
        <w:t>由本公司认可医院出具的附有病历、必要病理检验、血液检验及其</w:t>
      </w:r>
      <w:r>
        <w:rPr>
          <w:spacing w:val="-5"/>
        </w:rPr>
        <w:t>他科学方法检验报告的疾病诊断书；</w:t>
      </w:r>
    </w:p>
    <w:p>
      <w:pPr>
        <w:pStyle w:val="BodyText"/>
        <w:spacing w:line="273" w:lineRule="auto" w:before="7"/>
        <w:ind w:left="176" w:right="278" w:firstLine="420"/>
      </w:pPr>
      <w:r>
        <w:rPr>
          <w:spacing w:val="-10"/>
        </w:rPr>
        <w:t>（4）</w:t>
      </w:r>
      <w:r>
        <w:rPr>
          <w:spacing w:val="-8"/>
        </w:rPr>
        <w:t>所能提供的与确认保险事故的性质、原因、伤害程度等有关的其他</w:t>
      </w:r>
      <w:r>
        <w:rPr>
          <w:spacing w:val="-5"/>
        </w:rPr>
        <w:t>证明和资料。</w:t>
      </w:r>
    </w:p>
    <w:p>
      <w:pPr>
        <w:pStyle w:val="BodyText"/>
        <w:spacing w:line="273" w:lineRule="auto" w:before="7"/>
        <w:ind w:left="176" w:right="278" w:firstLine="420"/>
      </w:pPr>
      <w:r>
        <w:rPr/>
        <w:t>2.如申请人为无民事行为能力人或限制民事行为能力人，由其法定代理人代为办理保险金申请。</w:t>
      </w:r>
    </w:p>
    <w:p>
      <w:pPr>
        <w:pStyle w:val="BodyText"/>
        <w:spacing w:before="7"/>
        <w:ind w:left="596"/>
      </w:pPr>
      <w:r>
        <w:rPr/>
        <w:t>3.如委托他人代为申请，应提供授权委托书及受托人的有效身份证件。</w:t>
      </w:r>
    </w:p>
    <w:p>
      <w:pPr>
        <w:pStyle w:val="BodyText"/>
        <w:spacing w:line="273" w:lineRule="auto" w:before="36"/>
        <w:ind w:left="176" w:right="278" w:firstLine="420"/>
      </w:pPr>
      <w:r>
        <w:rPr/>
        <w:t>4.申请领取连带被保险人保险金时，除应提供上述证明和资料外，还应提供连带被保险人与其所属被保险人的关系证明。</w:t>
      </w:r>
    </w:p>
    <w:p>
      <w:pPr>
        <w:pStyle w:val="BodyText"/>
        <w:spacing w:line="273" w:lineRule="auto" w:before="7"/>
        <w:ind w:left="176" w:right="278" w:firstLine="420"/>
      </w:pPr>
      <w:r>
        <w:rPr/>
        <w:t>5.本公司认为有关证明和资料不完整的，将及时一次性通知申请人补充提供。</w:t>
      </w:r>
    </w:p>
    <w:p>
      <w:pPr>
        <w:spacing w:after="0" w:line="273" w:lineRule="auto"/>
        <w:sectPr>
          <w:type w:val="continuous"/>
          <w:pgSz w:w="11910" w:h="16840"/>
          <w:pgMar w:top="1100" w:bottom="1240" w:left="1300" w:right="1280"/>
          <w:cols w:num="2" w:equalWidth="0">
            <w:col w:w="1875" w:space="40"/>
            <w:col w:w="7415"/>
          </w:cols>
        </w:sectPr>
      </w:pPr>
    </w:p>
    <w:p>
      <w:pPr>
        <w:pStyle w:val="BodyText"/>
        <w:spacing w:before="12"/>
        <w:rPr>
          <w:sz w:val="17"/>
        </w:rPr>
      </w:pPr>
    </w:p>
    <w:p>
      <w:pPr>
        <w:pStyle w:val="ListParagraph"/>
        <w:numPr>
          <w:ilvl w:val="1"/>
          <w:numId w:val="8"/>
        </w:numPr>
        <w:tabs>
          <w:tab w:pos="955" w:val="left" w:leader="none"/>
          <w:tab w:pos="956" w:val="left" w:leader="none"/>
          <w:tab w:pos="2511" w:val="left" w:leader="none"/>
        </w:tabs>
        <w:spacing w:line="273" w:lineRule="auto" w:before="85" w:after="0"/>
        <w:ind w:left="2091" w:right="278" w:hanging="1829"/>
        <w:jc w:val="left"/>
        <w:rPr>
          <w:sz w:val="21"/>
        </w:rPr>
      </w:pPr>
      <w:r>
        <w:rPr>
          <w:sz w:val="21"/>
        </w:rPr>
        <w:t>司法鉴定</w:t>
        <w:tab/>
        <w:tab/>
        <w:t>若被保险人发</w:t>
      </w:r>
      <w:r>
        <w:rPr>
          <w:spacing w:val="-3"/>
          <w:sz w:val="21"/>
        </w:rPr>
        <w:t>生</w:t>
      </w:r>
      <w:r>
        <w:rPr>
          <w:sz w:val="21"/>
        </w:rPr>
        <w:t>保险事</w:t>
      </w:r>
      <w:r>
        <w:rPr>
          <w:spacing w:val="-3"/>
          <w:sz w:val="21"/>
        </w:rPr>
        <w:t>故</w:t>
      </w:r>
      <w:r>
        <w:rPr>
          <w:sz w:val="21"/>
        </w:rPr>
        <w:t>，本公司有权</w:t>
      </w:r>
      <w:r>
        <w:rPr>
          <w:spacing w:val="-3"/>
          <w:sz w:val="21"/>
        </w:rPr>
        <w:t>要</w:t>
      </w:r>
      <w:r>
        <w:rPr>
          <w:sz w:val="21"/>
        </w:rPr>
        <w:t>求司法</w:t>
      </w:r>
      <w:r>
        <w:rPr>
          <w:spacing w:val="-5"/>
          <w:sz w:val="21"/>
        </w:rPr>
        <w:t>鉴</w:t>
      </w:r>
      <w:r>
        <w:rPr>
          <w:sz w:val="21"/>
        </w:rPr>
        <w:t>定机构对保险</w:t>
      </w:r>
      <w:r>
        <w:rPr>
          <w:spacing w:val="-3"/>
          <w:sz w:val="21"/>
        </w:rPr>
        <w:t>事</w:t>
      </w:r>
      <w:r>
        <w:rPr>
          <w:sz w:val="21"/>
        </w:rPr>
        <w:t>故进 行鉴</w:t>
      </w:r>
      <w:r>
        <w:rPr>
          <w:spacing w:val="-3"/>
          <w:sz w:val="21"/>
        </w:rPr>
        <w:t>定</w:t>
      </w:r>
      <w:r>
        <w:rPr>
          <w:sz w:val="21"/>
        </w:rPr>
        <w:t>。</w:t>
      </w:r>
    </w:p>
    <w:p>
      <w:pPr>
        <w:pStyle w:val="BodyText"/>
        <w:spacing w:before="12"/>
        <w:rPr>
          <w:sz w:val="17"/>
        </w:rPr>
      </w:pPr>
    </w:p>
    <w:p>
      <w:pPr>
        <w:spacing w:after="0"/>
        <w:rPr>
          <w:sz w:val="17"/>
        </w:rPr>
        <w:sectPr>
          <w:type w:val="continuous"/>
          <w:pgSz w:w="11910" w:h="16840"/>
          <w:pgMar w:top="1100" w:bottom="1240" w:left="1300" w:right="1280"/>
        </w:sectPr>
      </w:pPr>
    </w:p>
    <w:p>
      <w:pPr>
        <w:pStyle w:val="ListParagraph"/>
        <w:numPr>
          <w:ilvl w:val="1"/>
          <w:numId w:val="8"/>
        </w:numPr>
        <w:tabs>
          <w:tab w:pos="955" w:val="left" w:leader="none"/>
          <w:tab w:pos="956" w:val="left" w:leader="none"/>
        </w:tabs>
        <w:spacing w:line="273" w:lineRule="auto" w:before="85" w:after="0"/>
        <w:ind w:left="956" w:right="0" w:hanging="694"/>
        <w:jc w:val="left"/>
        <w:rPr>
          <w:sz w:val="21"/>
        </w:rPr>
      </w:pPr>
      <w:r>
        <w:rPr>
          <w:spacing w:val="15"/>
          <w:sz w:val="21"/>
        </w:rPr>
        <w:t>保险金的给付</w:t>
      </w:r>
    </w:p>
    <w:p>
      <w:pPr>
        <w:pStyle w:val="BodyText"/>
        <w:spacing w:line="273" w:lineRule="auto"/>
        <w:ind w:left="176" w:right="278" w:firstLine="420"/>
        <w:jc w:val="right"/>
      </w:pPr>
      <w:r>
        <w:rPr/>
        <w:br w:type="column"/>
      </w:r>
      <w:r>
        <w:rPr>
          <w:spacing w:val="-8"/>
        </w:rPr>
        <w:t>本公司在收到保险金给付申请书及上述有关证明和资料后，将在</w:t>
      </w:r>
      <w:r>
        <w:rPr>
          <w:spacing w:val="-5"/>
        </w:rPr>
        <w:t>5</w:t>
      </w:r>
      <w:r>
        <w:rPr>
          <w:spacing w:val="-2"/>
        </w:rPr>
        <w:t>日内作</w:t>
      </w:r>
      <w:r>
        <w:rPr>
          <w:spacing w:val="-3"/>
        </w:rPr>
        <w:t>出核定；情形复杂的，在</w:t>
      </w:r>
      <w:r>
        <w:rPr/>
        <w:t>30</w:t>
      </w:r>
      <w:r>
        <w:rPr>
          <w:spacing w:val="-3"/>
        </w:rPr>
        <w:t>日内作出核定。对属于保险责任的，本公司在与</w:t>
      </w:r>
      <w:r>
        <w:rPr>
          <w:spacing w:val="-4"/>
        </w:rPr>
        <w:t>被保险人达成有关给付保险金数额的协议后</w:t>
      </w:r>
      <w:r>
        <w:rPr/>
        <w:t>10</w:t>
      </w:r>
      <w:r>
        <w:rPr>
          <w:spacing w:val="-3"/>
        </w:rPr>
        <w:t>日内，履行给付保险金义务。</w:t>
      </w:r>
      <w:r>
        <w:rPr>
          <w:spacing w:val="-5"/>
        </w:rPr>
        <w:t>本公司未及时履行前款规定义务的，将赔偿被保险人因此受到的损失。</w:t>
      </w:r>
    </w:p>
    <w:p>
      <w:pPr>
        <w:pStyle w:val="BodyText"/>
        <w:spacing w:line="273" w:lineRule="auto" w:before="7"/>
        <w:ind w:left="176" w:right="201" w:firstLine="420"/>
      </w:pPr>
      <w:r>
        <w:rPr/>
        <w:t>对不属于保险责任的，本公司自作出核定之日起 3 日内向申请人发出拒绝给付保险金通知书，并说明理由。</w:t>
      </w:r>
    </w:p>
    <w:p>
      <w:pPr>
        <w:pStyle w:val="BodyText"/>
        <w:spacing w:line="273" w:lineRule="auto" w:before="7"/>
        <w:ind w:left="176" w:right="172" w:firstLine="420"/>
      </w:pPr>
      <w:r>
        <w:rPr>
          <w:spacing w:val="-7"/>
        </w:rPr>
        <w:t>本公司在收到保险金给付申请书及有关证明和资料之日起 </w:t>
      </w:r>
      <w:r>
        <w:rPr/>
        <w:t>60</w:t>
      </w:r>
      <w:r>
        <w:rPr>
          <w:spacing w:val="-24"/>
        </w:rPr>
        <w:t> 日内，对给</w:t>
      </w:r>
      <w:r>
        <w:rPr>
          <w:spacing w:val="-14"/>
        </w:rPr>
        <w:t>付保险金的数额不能确定的，根据已有证明和资料可以确定的数额先予支付； </w:t>
      </w:r>
      <w:r>
        <w:rPr>
          <w:spacing w:val="-7"/>
        </w:rPr>
        <w:t>本公司最终确定给付保险金的数额后，将支付相应的差额。</w:t>
      </w:r>
    </w:p>
    <w:p>
      <w:pPr>
        <w:spacing w:after="0" w:line="273" w:lineRule="auto"/>
        <w:sectPr>
          <w:type w:val="continuous"/>
          <w:pgSz w:w="11910" w:h="16840"/>
          <w:pgMar w:top="1100" w:bottom="1240" w:left="1300" w:right="1280"/>
          <w:cols w:num="2" w:equalWidth="0">
            <w:col w:w="1875" w:space="40"/>
            <w:col w:w="7415"/>
          </w:cols>
        </w:sectPr>
      </w:pPr>
    </w:p>
    <w:p>
      <w:pPr>
        <w:pStyle w:val="BodyText"/>
        <w:spacing w:before="12"/>
        <w:rPr>
          <w:sz w:val="17"/>
        </w:rPr>
      </w:pPr>
    </w:p>
    <w:p>
      <w:pPr>
        <w:pStyle w:val="ListParagraph"/>
        <w:numPr>
          <w:ilvl w:val="1"/>
          <w:numId w:val="8"/>
        </w:numPr>
        <w:tabs>
          <w:tab w:pos="955" w:val="left" w:leader="none"/>
          <w:tab w:pos="956" w:val="left" w:leader="none"/>
          <w:tab w:pos="2511" w:val="left" w:leader="none"/>
        </w:tabs>
        <w:spacing w:line="273" w:lineRule="auto" w:before="85" w:after="0"/>
        <w:ind w:left="2091" w:right="278" w:hanging="1829"/>
        <w:jc w:val="left"/>
        <w:rPr>
          <w:sz w:val="21"/>
        </w:rPr>
      </w:pPr>
      <w:r>
        <w:rPr>
          <w:sz w:val="21"/>
        </w:rPr>
        <w:t>诉讼时效</w:t>
        <w:tab/>
        <w:tab/>
        <w:t>受益人及其他</w:t>
      </w:r>
      <w:r>
        <w:rPr>
          <w:spacing w:val="-3"/>
          <w:sz w:val="21"/>
        </w:rPr>
        <w:t>有</w:t>
      </w:r>
      <w:r>
        <w:rPr>
          <w:sz w:val="21"/>
        </w:rPr>
        <w:t>权领取</w:t>
      </w:r>
      <w:r>
        <w:rPr>
          <w:spacing w:val="-3"/>
          <w:sz w:val="21"/>
        </w:rPr>
        <w:t>保</w:t>
      </w:r>
      <w:r>
        <w:rPr>
          <w:sz w:val="21"/>
        </w:rPr>
        <w:t>险金的人向本</w:t>
      </w:r>
      <w:r>
        <w:rPr>
          <w:spacing w:val="-3"/>
          <w:sz w:val="21"/>
        </w:rPr>
        <w:t>公</w:t>
      </w:r>
      <w:r>
        <w:rPr>
          <w:sz w:val="21"/>
        </w:rPr>
        <w:t>司申请</w:t>
      </w:r>
      <w:r>
        <w:rPr>
          <w:spacing w:val="-5"/>
          <w:sz w:val="21"/>
        </w:rPr>
        <w:t>给</w:t>
      </w:r>
      <w:r>
        <w:rPr>
          <w:sz w:val="21"/>
        </w:rPr>
        <w:t>付保险金的诉</w:t>
      </w:r>
      <w:r>
        <w:rPr>
          <w:spacing w:val="-3"/>
          <w:sz w:val="21"/>
        </w:rPr>
        <w:t>讼</w:t>
      </w:r>
      <w:r>
        <w:rPr>
          <w:sz w:val="21"/>
        </w:rPr>
        <w:t>时效 期间</w:t>
      </w:r>
      <w:r>
        <w:rPr>
          <w:spacing w:val="-3"/>
          <w:sz w:val="21"/>
        </w:rPr>
        <w:t>为</w:t>
      </w:r>
      <w:r>
        <w:rPr>
          <w:sz w:val="21"/>
        </w:rPr>
        <w:t>2</w:t>
      </w:r>
      <w:r>
        <w:rPr>
          <w:spacing w:val="-3"/>
          <w:sz w:val="21"/>
        </w:rPr>
        <w:t>年</w:t>
      </w:r>
      <w:r>
        <w:rPr>
          <w:sz w:val="21"/>
        </w:rPr>
        <w:t>，</w:t>
      </w:r>
      <w:r>
        <w:rPr>
          <w:spacing w:val="-3"/>
          <w:sz w:val="21"/>
        </w:rPr>
        <w:t>自</w:t>
      </w:r>
      <w:r>
        <w:rPr>
          <w:sz w:val="21"/>
        </w:rPr>
        <w:t>其</w:t>
      </w:r>
      <w:r>
        <w:rPr>
          <w:spacing w:val="-5"/>
          <w:sz w:val="21"/>
        </w:rPr>
        <w:t>知</w:t>
      </w:r>
      <w:r>
        <w:rPr>
          <w:sz w:val="21"/>
        </w:rPr>
        <w:t>道</w:t>
      </w:r>
      <w:r>
        <w:rPr>
          <w:spacing w:val="-3"/>
          <w:sz w:val="21"/>
        </w:rPr>
        <w:t>或者</w:t>
      </w:r>
      <w:r>
        <w:rPr>
          <w:sz w:val="21"/>
        </w:rPr>
        <w:t>应当</w:t>
      </w:r>
      <w:r>
        <w:rPr>
          <w:spacing w:val="-3"/>
          <w:sz w:val="21"/>
        </w:rPr>
        <w:t>知</w:t>
      </w:r>
      <w:r>
        <w:rPr>
          <w:sz w:val="21"/>
        </w:rPr>
        <w:t>道</w:t>
      </w:r>
      <w:r>
        <w:rPr>
          <w:spacing w:val="-3"/>
          <w:sz w:val="21"/>
        </w:rPr>
        <w:t>保</w:t>
      </w:r>
      <w:r>
        <w:rPr>
          <w:sz w:val="21"/>
        </w:rPr>
        <w:t>险</w:t>
      </w:r>
      <w:r>
        <w:rPr>
          <w:spacing w:val="-3"/>
          <w:sz w:val="21"/>
        </w:rPr>
        <w:t>事</w:t>
      </w:r>
      <w:r>
        <w:rPr>
          <w:sz w:val="21"/>
        </w:rPr>
        <w:t>故</w:t>
      </w:r>
      <w:r>
        <w:rPr>
          <w:spacing w:val="-3"/>
          <w:sz w:val="21"/>
        </w:rPr>
        <w:t>发</w:t>
      </w:r>
      <w:r>
        <w:rPr>
          <w:sz w:val="21"/>
        </w:rPr>
        <w:t>生</w:t>
      </w:r>
      <w:r>
        <w:rPr>
          <w:spacing w:val="-5"/>
          <w:sz w:val="21"/>
        </w:rPr>
        <w:t>之</w:t>
      </w:r>
      <w:r>
        <w:rPr>
          <w:sz w:val="21"/>
        </w:rPr>
        <w:t>日起</w:t>
      </w:r>
      <w:r>
        <w:rPr>
          <w:spacing w:val="-3"/>
          <w:sz w:val="21"/>
        </w:rPr>
        <w:t>计</w:t>
      </w:r>
      <w:r>
        <w:rPr>
          <w:sz w:val="21"/>
        </w:rPr>
        <w:t>算。</w:t>
      </w:r>
    </w:p>
    <w:p>
      <w:pPr>
        <w:pStyle w:val="BodyText"/>
        <w:spacing w:before="4"/>
        <w:rPr>
          <w:sz w:val="22"/>
        </w:rPr>
      </w:pPr>
    </w:p>
    <w:p>
      <w:pPr>
        <w:pStyle w:val="Heading1"/>
        <w:numPr>
          <w:ilvl w:val="2"/>
          <w:numId w:val="7"/>
        </w:numPr>
        <w:tabs>
          <w:tab w:pos="955" w:val="left" w:leader="none"/>
          <w:tab w:pos="957" w:val="left" w:leader="none"/>
        </w:tabs>
        <w:spacing w:line="240" w:lineRule="auto" w:before="0" w:after="0"/>
        <w:ind w:left="956" w:right="0" w:hanging="694"/>
        <w:jc w:val="left"/>
      </w:pPr>
      <w:r>
        <w:rPr/>
        <w:pict>
          <v:group style="position:absolute;margin-left:72.720001pt;margin-top:17.615616pt;width:449.8pt;height:1pt;mso-position-horizontal-relative:page;mso-position-vertical-relative:paragraph;z-index:1240;mso-wrap-distance-left:0;mso-wrap-distance-right:0" coordorigin="1454,352" coordsize="8996,20">
            <v:line style="position:absolute" from="1454,362" to="3302,362" stroked="true" strokeweight=".960022pt" strokecolor="#000000">
              <v:stroke dashstyle="solid"/>
            </v:line>
            <v:line style="position:absolute" from="3302,362" to="10450,362" stroked="true" strokeweight=".960022pt" strokecolor="#000000">
              <v:stroke dashstyle="solid"/>
            </v:line>
            <w10:wrap type="topAndBottom"/>
          </v:group>
        </w:pict>
      </w:r>
      <w:r>
        <w:rPr/>
        <w:t>其他需要注意的事项</w:t>
      </w:r>
    </w:p>
    <w:p>
      <w:pPr>
        <w:pStyle w:val="BodyText"/>
        <w:spacing w:before="2"/>
        <w:rPr>
          <w:sz w:val="14"/>
        </w:rPr>
      </w:pPr>
    </w:p>
    <w:p>
      <w:pPr>
        <w:spacing w:after="0"/>
        <w:rPr>
          <w:sz w:val="14"/>
        </w:rPr>
        <w:sectPr>
          <w:type w:val="continuous"/>
          <w:pgSz w:w="11910" w:h="16840"/>
          <w:pgMar w:top="1100" w:bottom="1240" w:left="1300" w:right="1280"/>
        </w:sectPr>
      </w:pPr>
    </w:p>
    <w:p>
      <w:pPr>
        <w:pStyle w:val="ListParagraph"/>
        <w:numPr>
          <w:ilvl w:val="3"/>
          <w:numId w:val="7"/>
        </w:numPr>
        <w:tabs>
          <w:tab w:pos="956" w:val="left" w:leader="none"/>
        </w:tabs>
        <w:spacing w:line="273" w:lineRule="auto" w:before="85" w:after="0"/>
        <w:ind w:left="956" w:right="0" w:hanging="694"/>
        <w:jc w:val="both"/>
        <w:rPr>
          <w:sz w:val="21"/>
        </w:rPr>
      </w:pPr>
      <w:r>
        <w:rPr>
          <w:spacing w:val="17"/>
          <w:sz w:val="21"/>
        </w:rPr>
        <w:t>明确说明</w:t>
      </w:r>
      <w:r>
        <w:rPr>
          <w:spacing w:val="15"/>
          <w:sz w:val="21"/>
        </w:rPr>
        <w:t>与如实告知</w:t>
      </w:r>
    </w:p>
    <w:p>
      <w:pPr>
        <w:pStyle w:val="BodyText"/>
        <w:spacing w:line="273" w:lineRule="auto"/>
        <w:ind w:left="175" w:right="278" w:firstLine="420"/>
        <w:jc w:val="both"/>
      </w:pPr>
      <w:r>
        <w:rPr/>
        <w:br w:type="column"/>
      </w:r>
      <w:r>
        <w:rPr/>
        <w:t>订立本合同时，本公司会向投保人说明本合同的条款内容。对本合同中免除本公司责任的条款，本公司在订立合同时将在投保单、保险单或其他保险凭证上作出足以引起投保人注意的提示，并对该条款的内容以书面或口头形式向投保人作出明确说明，未作提示或明确说明的，该免除本公司责任条款不产生效力。订立本合同和申请增加被保险人时，本公司会就投保人和被保险人的有关情况提出书面询问，投保人应当如实告知。</w:t>
      </w:r>
    </w:p>
    <w:p>
      <w:pPr>
        <w:pStyle w:val="BodyText"/>
        <w:spacing w:before="8"/>
        <w:ind w:left="597"/>
      </w:pPr>
      <w:r>
        <w:rPr/>
        <w:t>投保人故意或因重大过失未履行如实告知义务，足以影响本公司决定是</w:t>
      </w:r>
    </w:p>
    <w:p>
      <w:pPr>
        <w:spacing w:after="0"/>
        <w:sectPr>
          <w:type w:val="continuous"/>
          <w:pgSz w:w="11910" w:h="16840"/>
          <w:pgMar w:top="1100" w:bottom="1240" w:left="1300" w:right="1280"/>
          <w:cols w:num="2" w:equalWidth="0">
            <w:col w:w="1877" w:space="40"/>
            <w:col w:w="7413"/>
          </w:cols>
        </w:sectPr>
      </w:pPr>
    </w:p>
    <w:p>
      <w:pPr>
        <w:pStyle w:val="BodyText"/>
        <w:spacing w:before="2"/>
        <w:rPr>
          <w:sz w:val="17"/>
        </w:rPr>
      </w:pPr>
    </w:p>
    <w:p>
      <w:pPr>
        <w:pStyle w:val="BodyText"/>
        <w:spacing w:line="273" w:lineRule="auto" w:before="84"/>
        <w:ind w:left="2513" w:right="273" w:hanging="423"/>
      </w:pPr>
      <w:r>
        <w:rPr/>
        <w:t>否同意承保或提高保险费率的，本公司有权解除本合同或被保险人的资格。投保人故意不履行如实告知义务，对于本合同解除前发生的保险事故，</w:t>
      </w:r>
    </w:p>
    <w:p>
      <w:pPr>
        <w:pStyle w:val="BodyText"/>
        <w:spacing w:line="273" w:lineRule="auto" w:before="7"/>
        <w:ind w:left="2091" w:right="280"/>
        <w:jc w:val="both"/>
      </w:pPr>
      <w:r>
        <w:rPr>
          <w:spacing w:val="-3"/>
        </w:rPr>
        <w:t>本公司不承担保险责任，并不退还本合同实际交纳的保险费</w:t>
      </w:r>
      <w:r>
        <w:rPr/>
        <w:t>（</w:t>
      </w:r>
      <w:r>
        <w:rPr>
          <w:spacing w:val="-1"/>
        </w:rPr>
        <w:t>对于解除被保</w:t>
      </w:r>
      <w:r>
        <w:rPr>
          <w:spacing w:val="-4"/>
        </w:rPr>
        <w:t>险人的资格前发生的保险事故，本公司对该被保险人不承担保险责任，并不退还该被保险人对应的实际交纳的保险费</w:t>
      </w:r>
      <w:r>
        <w:rPr>
          <w:spacing w:val="-106"/>
        </w:rPr>
        <w:t>）</w:t>
      </w:r>
      <w:r>
        <w:rPr/>
        <w:t>。</w:t>
      </w:r>
    </w:p>
    <w:p>
      <w:pPr>
        <w:pStyle w:val="BodyText"/>
        <w:spacing w:line="273" w:lineRule="auto" w:before="7"/>
        <w:ind w:left="2091" w:right="278" w:firstLine="422"/>
        <w:jc w:val="both"/>
      </w:pPr>
      <w:r>
        <w:rPr>
          <w:spacing w:val="-3"/>
        </w:rPr>
        <w:t>投保人因重大过失未履行如实告知义务，对保险事故的发生有严重影响</w:t>
      </w:r>
      <w:r>
        <w:rPr>
          <w:spacing w:val="-4"/>
        </w:rPr>
        <w:t>的，对于本合同解除前发生的保险事故，本公司不承担保险责任，但将退还</w:t>
      </w:r>
      <w:r>
        <w:rPr>
          <w:spacing w:val="-5"/>
        </w:rPr>
        <w:t>本合同实际交纳的保险费</w:t>
      </w:r>
      <w:r>
        <w:rPr/>
        <w:t>（</w:t>
      </w:r>
      <w:r>
        <w:rPr>
          <w:spacing w:val="-3"/>
        </w:rPr>
        <w:t>对于解除被保险人的资格前发生的保险事故，本</w:t>
      </w:r>
      <w:r>
        <w:rPr>
          <w:spacing w:val="-4"/>
        </w:rPr>
        <w:t>公司对该被保险人不承担保险责任，但将退还该被保险人对应的实际交纳的保险费</w:t>
      </w:r>
      <w:r>
        <w:rPr>
          <w:spacing w:val="-106"/>
        </w:rPr>
        <w:t>）</w:t>
      </w:r>
      <w:r>
        <w:rPr/>
        <w:t>。</w:t>
      </w:r>
    </w:p>
    <w:p>
      <w:pPr>
        <w:pStyle w:val="BodyText"/>
        <w:spacing w:line="273" w:lineRule="auto" w:before="7"/>
        <w:ind w:left="2091" w:right="278" w:firstLine="420"/>
        <w:jc w:val="both"/>
      </w:pPr>
      <w:r>
        <w:rPr/>
        <w:t>本公司在合同订立或投保人申请增加被保险人时已经知道投保人未如实告知的情况的，本公司不得解除合同或被保险人的资格；发生保险事故的， 本公司承担给付保险金的责任。</w:t>
      </w:r>
    </w:p>
    <w:p>
      <w:pPr>
        <w:pStyle w:val="BodyText"/>
        <w:spacing w:line="273" w:lineRule="auto" w:before="7"/>
        <w:ind w:left="2091" w:right="278" w:firstLine="422"/>
        <w:jc w:val="both"/>
      </w:pPr>
      <w:r>
        <w:rPr/>
        <w:t>上述合同解除权和解除被保险人资格的权利，自本公司知道有解除事由之日起，超过 30 日不行使而消灭。</w:t>
      </w:r>
    </w:p>
    <w:p>
      <w:pPr>
        <w:pStyle w:val="BodyText"/>
        <w:spacing w:before="9"/>
        <w:rPr>
          <w:sz w:val="17"/>
        </w:rPr>
      </w:pPr>
    </w:p>
    <w:p>
      <w:pPr>
        <w:spacing w:after="0"/>
        <w:rPr>
          <w:sz w:val="17"/>
        </w:rPr>
        <w:sectPr>
          <w:pgSz w:w="11910" w:h="16840"/>
          <w:pgMar w:header="836" w:footer="1042" w:top="1100" w:bottom="1240" w:left="1300" w:right="1280"/>
        </w:sectPr>
      </w:pPr>
    </w:p>
    <w:p>
      <w:pPr>
        <w:pStyle w:val="ListParagraph"/>
        <w:numPr>
          <w:ilvl w:val="3"/>
          <w:numId w:val="7"/>
        </w:numPr>
        <w:tabs>
          <w:tab w:pos="956" w:val="left" w:leader="none"/>
        </w:tabs>
        <w:spacing w:line="273" w:lineRule="auto" w:before="87" w:after="0"/>
        <w:ind w:left="956" w:right="0" w:hanging="694"/>
        <w:jc w:val="both"/>
        <w:rPr>
          <w:sz w:val="21"/>
        </w:rPr>
      </w:pPr>
      <w:r>
        <w:rPr>
          <w:spacing w:val="17"/>
          <w:sz w:val="21"/>
        </w:rPr>
        <w:t>年龄确定</w:t>
      </w:r>
      <w:r>
        <w:rPr>
          <w:spacing w:val="15"/>
          <w:sz w:val="21"/>
        </w:rPr>
        <w:t>与错误处理</w:t>
      </w:r>
    </w:p>
    <w:p>
      <w:pPr>
        <w:pStyle w:val="BodyText"/>
        <w:ind w:left="604"/>
      </w:pPr>
      <w:r>
        <w:rPr/>
        <w:br w:type="column"/>
      </w:r>
      <w:r>
        <w:rPr/>
        <w:t>1.被保险人的年龄以周岁计算。</w:t>
      </w:r>
    </w:p>
    <w:p>
      <w:pPr>
        <w:pStyle w:val="BodyText"/>
        <w:spacing w:line="273" w:lineRule="auto" w:before="37"/>
        <w:ind w:left="184" w:right="279" w:firstLine="420"/>
      </w:pPr>
      <w:r>
        <w:rPr/>
        <w:t>2.投保人在申请投保时，应将与有效身份证件相符的被保险人的出生日期在被保险人人名清单上填明，如发生错误按下列方式办理：</w:t>
      </w:r>
    </w:p>
    <w:p>
      <w:pPr>
        <w:pStyle w:val="BodyText"/>
        <w:spacing w:line="273" w:lineRule="auto" w:before="8"/>
        <w:ind w:left="184" w:right="175" w:firstLine="422"/>
      </w:pPr>
      <w:r>
        <w:rPr/>
        <w:t>（1）投保人申报的被保险人年龄不真实，并且其真实年龄不符合本合 </w:t>
      </w:r>
      <w:r>
        <w:rPr>
          <w:spacing w:val="-4"/>
        </w:rPr>
        <w:t>同约定的投保年龄限制的，本公司有权解除本合同或解除被保险人资格。对</w:t>
      </w:r>
      <w:r>
        <w:rPr>
          <w:spacing w:val="-13"/>
        </w:rPr>
        <w:t>于解除本合同的，本公司退还本合同的现金价值；对于解除被保险人资格的， </w:t>
      </w:r>
      <w:r>
        <w:rPr>
          <w:spacing w:val="-11"/>
        </w:rPr>
        <w:t>本公司退还该被保险人对应的现金价值。</w:t>
      </w:r>
    </w:p>
    <w:p>
      <w:pPr>
        <w:pStyle w:val="BodyText"/>
        <w:spacing w:line="273" w:lineRule="auto" w:before="8"/>
        <w:ind w:left="184" w:right="283" w:firstLine="422"/>
      </w:pPr>
      <w:r>
        <w:rPr>
          <w:spacing w:val="-6"/>
        </w:rPr>
        <w:t>本公司行使合同解除权和解除被保险人资格的权利适用本合同第 </w:t>
      </w:r>
      <w:r>
        <w:rPr/>
        <w:t>5.1</w:t>
      </w:r>
      <w:r>
        <w:rPr>
          <w:spacing w:val="-24"/>
        </w:rPr>
        <w:t> 条的规定。</w:t>
      </w:r>
    </w:p>
    <w:p>
      <w:pPr>
        <w:pStyle w:val="BodyText"/>
        <w:spacing w:line="273" w:lineRule="auto" w:before="8"/>
        <w:ind w:left="184" w:right="281" w:firstLine="422"/>
        <w:jc w:val="both"/>
      </w:pPr>
      <w:r>
        <w:rPr/>
        <w:t>（2）投保人申报的被保险人年龄不真实，致使投保人实付保险费少于应付保险费的，本公司有权更正并要求投保人补交保险费。如已发生保险事故，本公司按该被保险人对应的实付保险费与应付保险费的比例给付保险金。</w:t>
      </w:r>
    </w:p>
    <w:p>
      <w:pPr>
        <w:pStyle w:val="BodyText"/>
        <w:spacing w:line="273" w:lineRule="auto" w:before="8"/>
        <w:ind w:left="184" w:right="277" w:firstLine="420"/>
      </w:pPr>
      <w:r>
        <w:rPr>
          <w:spacing w:val="-17"/>
        </w:rPr>
        <w:t>（3）</w:t>
      </w:r>
      <w:r>
        <w:rPr>
          <w:spacing w:val="-7"/>
        </w:rPr>
        <w:t>投保人申报的被保险人年龄不真实，致使投保人实付保险费多于应</w:t>
      </w:r>
      <w:r>
        <w:rPr>
          <w:spacing w:val="-5"/>
        </w:rPr>
        <w:t>付保险费的，本公司会将多收的保险费退还给投保人。</w:t>
      </w:r>
    </w:p>
    <w:p>
      <w:pPr>
        <w:spacing w:after="0" w:line="273" w:lineRule="auto"/>
        <w:sectPr>
          <w:type w:val="continuous"/>
          <w:pgSz w:w="11910" w:h="16840"/>
          <w:pgMar w:top="1100" w:bottom="1240" w:left="1300" w:right="1280"/>
          <w:cols w:num="2" w:equalWidth="0">
            <w:col w:w="1877" w:space="40"/>
            <w:col w:w="7413"/>
          </w:cols>
        </w:sectPr>
      </w:pPr>
    </w:p>
    <w:p>
      <w:pPr>
        <w:pStyle w:val="BodyText"/>
        <w:spacing w:before="2"/>
        <w:rPr>
          <w:sz w:val="18"/>
        </w:rPr>
      </w:pPr>
    </w:p>
    <w:p>
      <w:pPr>
        <w:spacing w:after="0"/>
        <w:rPr>
          <w:sz w:val="18"/>
        </w:rPr>
        <w:sectPr>
          <w:type w:val="continuous"/>
          <w:pgSz w:w="11910" w:h="16840"/>
          <w:pgMar w:top="1100" w:bottom="1240" w:left="1300" w:right="1280"/>
        </w:sectPr>
      </w:pPr>
    </w:p>
    <w:p>
      <w:pPr>
        <w:pStyle w:val="ListParagraph"/>
        <w:numPr>
          <w:ilvl w:val="3"/>
          <w:numId w:val="7"/>
        </w:numPr>
        <w:tabs>
          <w:tab w:pos="956" w:val="left" w:leader="none"/>
        </w:tabs>
        <w:spacing w:line="273" w:lineRule="auto" w:before="84" w:after="0"/>
        <w:ind w:left="956" w:right="0" w:hanging="694"/>
        <w:jc w:val="both"/>
        <w:rPr>
          <w:sz w:val="21"/>
        </w:rPr>
      </w:pPr>
      <w:r>
        <w:rPr>
          <w:spacing w:val="-6"/>
          <w:sz w:val="21"/>
        </w:rPr>
        <w:t>被 保 险</w:t>
      </w:r>
      <w:r>
        <w:rPr>
          <w:spacing w:val="15"/>
          <w:sz w:val="21"/>
        </w:rPr>
        <w:t>人、连带被保险人的变动</w:t>
      </w:r>
    </w:p>
    <w:p>
      <w:pPr>
        <w:pStyle w:val="BodyText"/>
        <w:spacing w:line="273" w:lineRule="auto" w:before="84"/>
        <w:ind w:left="175" w:right="280" w:firstLine="417"/>
        <w:jc w:val="both"/>
      </w:pPr>
      <w:r>
        <w:rPr/>
        <w:br w:type="column"/>
      </w:r>
      <w:r>
        <w:rPr/>
        <w:t>如发生被保险人、连带被保险人变动，投保人应书面通知本公司，本公司按下列规定办理：</w:t>
      </w:r>
    </w:p>
    <w:p>
      <w:pPr>
        <w:pStyle w:val="BodyText"/>
        <w:spacing w:line="273" w:lineRule="auto" w:before="7"/>
        <w:ind w:left="175" w:right="278" w:firstLine="420"/>
        <w:jc w:val="both"/>
      </w:pPr>
      <w:r>
        <w:rPr/>
        <w:t>1.投保人因人员变动需要增加被保险人、连带被保险人的，本公司审核同意并收取相应的保险费后，本合同对增加的被保险人、连带被保险人开始生效，本公司对增加的被保险人、连带被保险人承担下列保险责任：</w:t>
      </w:r>
    </w:p>
    <w:p>
      <w:pPr>
        <w:pStyle w:val="BodyText"/>
        <w:spacing w:line="273" w:lineRule="auto" w:before="7"/>
        <w:ind w:left="175" w:right="276" w:firstLine="420"/>
        <w:jc w:val="both"/>
      </w:pPr>
      <w:r>
        <w:rPr>
          <w:spacing w:val="-10"/>
        </w:rPr>
        <w:t>（1）</w:t>
      </w:r>
      <w:r>
        <w:rPr>
          <w:spacing w:val="-6"/>
        </w:rPr>
        <w:t>本公司审核同意并收取相应的保险费之日起 </w:t>
      </w:r>
      <w:r>
        <w:rPr/>
        <w:t>30</w:t>
      </w:r>
      <w:r>
        <w:rPr>
          <w:spacing w:val="-24"/>
        </w:rPr>
        <w:t> 日内</w:t>
      </w:r>
      <w:r>
        <w:rPr>
          <w:spacing w:val="-3"/>
        </w:rPr>
        <w:t>（</w:t>
      </w:r>
      <w:r>
        <w:rPr/>
        <w:t>含</w:t>
      </w:r>
      <w:r>
        <w:rPr>
          <w:spacing w:val="-69"/>
        </w:rPr>
        <w:t>）</w:t>
      </w:r>
      <w:r>
        <w:rPr>
          <w:spacing w:val="-19"/>
        </w:rPr>
        <w:t>，被保险</w:t>
      </w:r>
      <w:r>
        <w:rPr>
          <w:spacing w:val="-9"/>
        </w:rPr>
        <w:t>人、连带被保险人由本公司认可医院的专科医生确诊初次发生本合同第 </w:t>
      </w:r>
      <w:r>
        <w:rPr/>
        <w:t>6</w:t>
      </w:r>
      <w:r>
        <w:rPr>
          <w:spacing w:val="-14"/>
        </w:rPr>
        <w:t> 条</w:t>
      </w:r>
      <w:r>
        <w:rPr>
          <w:spacing w:val="-9"/>
        </w:rPr>
        <w:t>所指的重大疾病，本公司按该被保险人、连带被保险人实际交纳的保险费给</w:t>
      </w:r>
      <w:r>
        <w:rPr>
          <w:spacing w:val="-5"/>
        </w:rPr>
        <w:t>付重大疾病保险金，本公司对该被保险人、连带被保险人的保险责任终止；</w:t>
      </w:r>
    </w:p>
    <w:p>
      <w:pPr>
        <w:pStyle w:val="BodyText"/>
        <w:spacing w:line="273" w:lineRule="auto" w:before="7"/>
        <w:ind w:left="175" w:right="278" w:firstLine="420"/>
        <w:jc w:val="both"/>
      </w:pPr>
      <w:r>
        <w:rPr>
          <w:spacing w:val="-10"/>
        </w:rPr>
        <w:t>（2）</w:t>
      </w:r>
      <w:r>
        <w:rPr>
          <w:spacing w:val="-6"/>
        </w:rPr>
        <w:t>本公司审核同意并收取相应的保险费之日起 </w:t>
      </w:r>
      <w:r>
        <w:rPr/>
        <w:t>30</w:t>
      </w:r>
      <w:r>
        <w:rPr>
          <w:spacing w:val="-24"/>
        </w:rPr>
        <w:t> 日后</w:t>
      </w:r>
      <w:r>
        <w:rPr>
          <w:spacing w:val="-3"/>
        </w:rPr>
        <w:t>（</w:t>
      </w:r>
      <w:r>
        <w:rPr/>
        <w:t>不含</w:t>
      </w:r>
      <w:r>
        <w:rPr>
          <w:spacing w:val="-69"/>
        </w:rPr>
        <w:t>）</w:t>
      </w:r>
      <w:r>
        <w:rPr>
          <w:spacing w:val="-24"/>
        </w:rPr>
        <w:t>，被保</w:t>
      </w:r>
      <w:r>
        <w:rPr>
          <w:spacing w:val="-11"/>
        </w:rPr>
        <w:t>险人、连带被保险人由本公司认可医院的专科医生确诊初次发生本合同第 </w:t>
      </w:r>
      <w:r>
        <w:rPr/>
        <w:t>6 </w:t>
      </w:r>
      <w:r>
        <w:rPr>
          <w:spacing w:val="-4"/>
        </w:rPr>
        <w:t>条所指的重大疾病，本公司按该被保险人、连带被保险人的基本保险金额给</w:t>
      </w:r>
    </w:p>
    <w:p>
      <w:pPr>
        <w:spacing w:after="0" w:line="273" w:lineRule="auto"/>
        <w:jc w:val="both"/>
        <w:sectPr>
          <w:type w:val="continuous"/>
          <w:pgSz w:w="11910" w:h="16840"/>
          <w:pgMar w:top="1100" w:bottom="1240" w:left="1300" w:right="1280"/>
          <w:cols w:num="2" w:equalWidth="0">
            <w:col w:w="1877" w:space="40"/>
            <w:col w:w="7413"/>
          </w:cols>
        </w:sectPr>
      </w:pPr>
    </w:p>
    <w:p>
      <w:pPr>
        <w:pStyle w:val="BodyText"/>
        <w:spacing w:before="2"/>
        <w:rPr>
          <w:sz w:val="17"/>
        </w:rPr>
      </w:pPr>
    </w:p>
    <w:p>
      <w:pPr>
        <w:pStyle w:val="BodyText"/>
        <w:spacing w:before="84"/>
        <w:ind w:left="2091"/>
      </w:pPr>
      <w:r>
        <w:rPr/>
        <w:t>付重大疾病保险金，本公司对该被保险人、连带被保险人的保险责任终止。</w:t>
      </w:r>
    </w:p>
    <w:p>
      <w:pPr>
        <w:pStyle w:val="BodyText"/>
        <w:spacing w:line="273" w:lineRule="auto" w:before="36"/>
        <w:ind w:left="2091" w:right="278" w:firstLine="420"/>
        <w:jc w:val="both"/>
      </w:pPr>
      <w:r>
        <w:rPr/>
        <w:t>2.投保人因被保险人离职或其他原因需要减少被保险人的，本公司自收到通知及相关证明和资料之日起对该被保险人及其连带被保险人的保险责任终止，并退还该被保险人及其连带被保险人对应的现金价值。</w:t>
      </w:r>
    </w:p>
    <w:p>
      <w:pPr>
        <w:pStyle w:val="BodyText"/>
        <w:spacing w:line="273" w:lineRule="auto" w:before="7"/>
        <w:ind w:left="2091" w:right="278" w:firstLine="420"/>
        <w:jc w:val="both"/>
      </w:pPr>
      <w:r>
        <w:rPr/>
        <w:t>3.连带被保险人退出本合同的，本公司自收到通知及相关证明和资料之日起对该连带被保险人的保险责任终止，并退还该连带被保险人对应的现金价值。</w:t>
      </w:r>
    </w:p>
    <w:p>
      <w:pPr>
        <w:pStyle w:val="BodyText"/>
        <w:spacing w:line="273" w:lineRule="auto" w:before="7"/>
        <w:ind w:left="2091" w:right="278" w:firstLine="420"/>
        <w:jc w:val="both"/>
      </w:pPr>
      <w:r>
        <w:rPr/>
        <w:t>4.</w:t>
      </w:r>
      <w:r>
        <w:rPr>
          <w:spacing w:val="-14"/>
        </w:rPr>
        <w:t>上述 </w:t>
      </w:r>
      <w:r>
        <w:rPr/>
        <w:t>2</w:t>
      </w:r>
      <w:r>
        <w:rPr>
          <w:spacing w:val="-45"/>
        </w:rPr>
        <w:t>、</w:t>
      </w:r>
      <w:r>
        <w:rPr/>
        <w:t>3</w:t>
      </w:r>
      <w:r>
        <w:rPr>
          <w:spacing w:val="-10"/>
        </w:rPr>
        <w:t> 款中的被保险人或连带被保险人已发生保险金给付的，本公</w:t>
      </w:r>
      <w:r>
        <w:rPr>
          <w:spacing w:val="-5"/>
        </w:rPr>
        <w:t>司不退还其对应的现金价值。</w:t>
      </w:r>
    </w:p>
    <w:p>
      <w:pPr>
        <w:pStyle w:val="BodyText"/>
        <w:spacing w:line="273" w:lineRule="auto" w:before="7"/>
        <w:ind w:left="2091" w:right="278" w:firstLine="422"/>
        <w:jc w:val="both"/>
      </w:pPr>
      <w:r>
        <w:rPr/>
        <w:t>5.若由于被保险人变动，导致本合同不再满足国务院保险监督管理机构的相关投保规定时，本公司有权解除本合同，并向投保人退还未发生保险金给付的被保险人、连带被保险人的现金价值。</w:t>
      </w:r>
    </w:p>
    <w:p>
      <w:pPr>
        <w:pStyle w:val="BodyText"/>
        <w:spacing w:before="12"/>
        <w:rPr>
          <w:sz w:val="17"/>
        </w:rPr>
      </w:pPr>
    </w:p>
    <w:p>
      <w:pPr>
        <w:spacing w:after="0"/>
        <w:rPr>
          <w:sz w:val="17"/>
        </w:rPr>
        <w:sectPr>
          <w:pgSz w:w="11910" w:h="16840"/>
          <w:pgMar w:header="836" w:footer="1042" w:top="1100" w:bottom="1240" w:left="1300" w:right="1280"/>
        </w:sectPr>
      </w:pPr>
    </w:p>
    <w:p>
      <w:pPr>
        <w:pStyle w:val="ListParagraph"/>
        <w:numPr>
          <w:ilvl w:val="3"/>
          <w:numId w:val="7"/>
        </w:numPr>
        <w:tabs>
          <w:tab w:pos="955" w:val="left" w:leader="none"/>
          <w:tab w:pos="956" w:val="left" w:leader="none"/>
        </w:tabs>
        <w:spacing w:line="273" w:lineRule="auto" w:before="85" w:after="0"/>
        <w:ind w:left="956" w:right="0" w:hanging="694"/>
        <w:jc w:val="left"/>
        <w:rPr>
          <w:sz w:val="21"/>
        </w:rPr>
      </w:pPr>
      <w:r>
        <w:rPr>
          <w:spacing w:val="17"/>
          <w:sz w:val="21"/>
        </w:rPr>
        <w:t>联系方式变更</w:t>
      </w:r>
    </w:p>
    <w:p>
      <w:pPr>
        <w:pStyle w:val="BodyText"/>
        <w:spacing w:line="273" w:lineRule="auto"/>
        <w:ind w:left="175" w:right="278" w:firstLine="420"/>
        <w:jc w:val="both"/>
      </w:pPr>
      <w:r>
        <w:rPr/>
        <w:br w:type="column"/>
      </w:r>
      <w:r>
        <w:rPr/>
        <w:t>为了保障投保人的合法权益，投保人的住所、通讯地址或电话等联系方式变更时，请及时书面或以双方认可的其他方式通知本公司。如投保人未通知本公司，本公司按本合同载明的最后住所、通讯地址或电话等联系方式发送的有关通知，均视为已送达给投保人。</w:t>
      </w:r>
    </w:p>
    <w:p>
      <w:pPr>
        <w:spacing w:after="0" w:line="273" w:lineRule="auto"/>
        <w:jc w:val="both"/>
        <w:sectPr>
          <w:type w:val="continuous"/>
          <w:pgSz w:w="11910" w:h="16840"/>
          <w:pgMar w:top="1100" w:bottom="1240" w:left="1300" w:right="1280"/>
          <w:cols w:num="2" w:equalWidth="0">
            <w:col w:w="1877" w:space="40"/>
            <w:col w:w="7413"/>
          </w:cols>
        </w:sectPr>
      </w:pPr>
    </w:p>
    <w:p>
      <w:pPr>
        <w:pStyle w:val="BodyText"/>
        <w:spacing w:before="12"/>
        <w:rPr>
          <w:sz w:val="17"/>
        </w:rPr>
      </w:pPr>
    </w:p>
    <w:p>
      <w:pPr>
        <w:pStyle w:val="ListParagraph"/>
        <w:numPr>
          <w:ilvl w:val="3"/>
          <w:numId w:val="7"/>
        </w:numPr>
        <w:tabs>
          <w:tab w:pos="955" w:val="left" w:leader="none"/>
          <w:tab w:pos="956" w:val="left" w:leader="none"/>
          <w:tab w:pos="2511" w:val="left" w:leader="none"/>
        </w:tabs>
        <w:spacing w:line="273" w:lineRule="auto" w:before="85" w:after="0"/>
        <w:ind w:left="2091" w:right="278" w:hanging="1829"/>
        <w:jc w:val="left"/>
        <w:rPr>
          <w:sz w:val="21"/>
        </w:rPr>
      </w:pPr>
      <w:r>
        <w:rPr>
          <w:sz w:val="21"/>
        </w:rPr>
        <w:t>争议处理</w:t>
        <w:tab/>
        <w:tab/>
        <w:t>本合同履行过</w:t>
      </w:r>
      <w:r>
        <w:rPr>
          <w:spacing w:val="-3"/>
          <w:sz w:val="21"/>
        </w:rPr>
        <w:t>程</w:t>
      </w:r>
      <w:r>
        <w:rPr>
          <w:sz w:val="21"/>
        </w:rPr>
        <w:t>中，双</w:t>
      </w:r>
      <w:r>
        <w:rPr>
          <w:spacing w:val="-3"/>
          <w:sz w:val="21"/>
        </w:rPr>
        <w:t>方</w:t>
      </w:r>
      <w:r>
        <w:rPr>
          <w:sz w:val="21"/>
        </w:rPr>
        <w:t>发生争议不能</w:t>
      </w:r>
      <w:r>
        <w:rPr>
          <w:spacing w:val="-3"/>
          <w:sz w:val="21"/>
        </w:rPr>
        <w:t>协</w:t>
      </w:r>
      <w:r>
        <w:rPr>
          <w:sz w:val="21"/>
        </w:rPr>
        <w:t>商解决</w:t>
      </w:r>
      <w:r>
        <w:rPr>
          <w:spacing w:val="-5"/>
          <w:sz w:val="21"/>
        </w:rPr>
        <w:t>的</w:t>
      </w:r>
      <w:r>
        <w:rPr>
          <w:sz w:val="21"/>
        </w:rPr>
        <w:t>，可以达成仲</w:t>
      </w:r>
      <w:r>
        <w:rPr>
          <w:spacing w:val="-3"/>
          <w:sz w:val="21"/>
        </w:rPr>
        <w:t>裁</w:t>
      </w:r>
      <w:r>
        <w:rPr>
          <w:sz w:val="21"/>
        </w:rPr>
        <w:t>协议 通过</w:t>
      </w:r>
      <w:r>
        <w:rPr>
          <w:spacing w:val="-3"/>
          <w:sz w:val="21"/>
        </w:rPr>
        <w:t>仲</w:t>
      </w:r>
      <w:r>
        <w:rPr>
          <w:sz w:val="21"/>
        </w:rPr>
        <w:t>裁</w:t>
      </w:r>
      <w:r>
        <w:rPr>
          <w:spacing w:val="-3"/>
          <w:sz w:val="21"/>
        </w:rPr>
        <w:t>解</w:t>
      </w:r>
      <w:r>
        <w:rPr>
          <w:sz w:val="21"/>
        </w:rPr>
        <w:t>决</w:t>
      </w:r>
      <w:r>
        <w:rPr>
          <w:spacing w:val="-3"/>
          <w:sz w:val="21"/>
        </w:rPr>
        <w:t>，</w:t>
      </w:r>
      <w:r>
        <w:rPr>
          <w:sz w:val="21"/>
        </w:rPr>
        <w:t>也</w:t>
      </w:r>
      <w:r>
        <w:rPr>
          <w:spacing w:val="-5"/>
          <w:sz w:val="21"/>
        </w:rPr>
        <w:t>可</w:t>
      </w:r>
      <w:r>
        <w:rPr>
          <w:sz w:val="21"/>
        </w:rPr>
        <w:t>依</w:t>
      </w:r>
      <w:r>
        <w:rPr>
          <w:spacing w:val="-3"/>
          <w:sz w:val="21"/>
        </w:rPr>
        <w:t>法</w:t>
      </w:r>
      <w:r>
        <w:rPr>
          <w:sz w:val="21"/>
        </w:rPr>
        <w:t>直接</w:t>
      </w:r>
      <w:r>
        <w:rPr>
          <w:spacing w:val="-3"/>
          <w:sz w:val="21"/>
        </w:rPr>
        <w:t>向</w:t>
      </w:r>
      <w:r>
        <w:rPr>
          <w:sz w:val="21"/>
        </w:rPr>
        <w:t>法</w:t>
      </w:r>
      <w:r>
        <w:rPr>
          <w:spacing w:val="-3"/>
          <w:sz w:val="21"/>
        </w:rPr>
        <w:t>院</w:t>
      </w:r>
      <w:r>
        <w:rPr>
          <w:sz w:val="21"/>
        </w:rPr>
        <w:t>提</w:t>
      </w:r>
      <w:r>
        <w:rPr>
          <w:spacing w:val="-3"/>
          <w:sz w:val="21"/>
        </w:rPr>
        <w:t>起</w:t>
      </w:r>
      <w:r>
        <w:rPr>
          <w:sz w:val="21"/>
        </w:rPr>
        <w:t>诉</w:t>
      </w:r>
      <w:r>
        <w:rPr>
          <w:spacing w:val="-3"/>
          <w:sz w:val="21"/>
        </w:rPr>
        <w:t>讼</w:t>
      </w:r>
      <w:r>
        <w:rPr>
          <w:sz w:val="21"/>
        </w:rPr>
        <w:t>。</w:t>
      </w:r>
    </w:p>
    <w:p>
      <w:pPr>
        <w:pStyle w:val="BodyText"/>
        <w:spacing w:before="3"/>
        <w:rPr>
          <w:sz w:val="22"/>
        </w:rPr>
      </w:pPr>
    </w:p>
    <w:p>
      <w:pPr>
        <w:pStyle w:val="Heading1"/>
        <w:numPr>
          <w:ilvl w:val="2"/>
          <w:numId w:val="7"/>
        </w:numPr>
        <w:tabs>
          <w:tab w:pos="955" w:val="left" w:leader="none"/>
          <w:tab w:pos="957" w:val="left" w:leader="none"/>
        </w:tabs>
        <w:spacing w:line="240" w:lineRule="auto" w:before="0" w:after="0"/>
        <w:ind w:left="956" w:right="0" w:hanging="694"/>
        <w:jc w:val="left"/>
      </w:pPr>
      <w:r>
        <w:rPr/>
        <w:pict>
          <v:group style="position:absolute;margin-left:72.720001pt;margin-top:17.615601pt;width:449.8pt;height:1.45pt;mso-position-horizontal-relative:page;mso-position-vertical-relative:paragraph;z-index:1264;mso-wrap-distance-left:0;mso-wrap-distance-right:0" coordorigin="1454,352" coordsize="8996,29">
            <v:line style="position:absolute" from="1454,367" to="2177,367" stroked="true" strokeweight="1.440033pt" strokecolor="#000000">
              <v:stroke dashstyle="solid"/>
            </v:line>
            <v:line style="position:absolute" from="2177,367" to="10450,367" stroked="true" strokeweight="1.440033pt" strokecolor="#000000">
              <v:stroke dashstyle="solid"/>
            </v:line>
            <w10:wrap type="topAndBottom"/>
          </v:group>
        </w:pict>
      </w:r>
      <w:r>
        <w:rPr/>
        <w:t>重大疾病的种类及定义</w:t>
      </w:r>
    </w:p>
    <w:p>
      <w:pPr>
        <w:pStyle w:val="BodyText"/>
        <w:spacing w:before="2"/>
        <w:rPr>
          <w:sz w:val="14"/>
        </w:rPr>
      </w:pPr>
    </w:p>
    <w:p>
      <w:pPr>
        <w:pStyle w:val="BodyText"/>
        <w:spacing w:line="273" w:lineRule="auto" w:before="84"/>
        <w:ind w:left="262" w:right="278" w:firstLine="420"/>
      </w:pPr>
      <w:r>
        <w:rPr>
          <w:spacing w:val="-8"/>
        </w:rPr>
        <w:t>本合同所保障的重大疾病，是指被保险人经专科医生明确诊断初次发生下列疾病或初次达到</w:t>
      </w:r>
      <w:r>
        <w:rPr>
          <w:spacing w:val="-5"/>
        </w:rPr>
        <w:t>下列疾病状态或在医院初次接受下列手术。</w:t>
      </w:r>
    </w:p>
    <w:p>
      <w:pPr>
        <w:pStyle w:val="BodyText"/>
        <w:spacing w:line="273" w:lineRule="auto" w:before="7"/>
        <w:ind w:left="262" w:right="278" w:firstLine="420"/>
      </w:pPr>
      <w:r>
        <w:rPr>
          <w:spacing w:val="-9"/>
        </w:rPr>
        <w:t>以下第 </w:t>
      </w:r>
      <w:r>
        <w:rPr/>
        <w:t>1</w:t>
      </w:r>
      <w:r>
        <w:rPr>
          <w:spacing w:val="-20"/>
        </w:rPr>
        <w:t> 至 </w:t>
      </w:r>
      <w:r>
        <w:rPr/>
        <w:t>25</w:t>
      </w:r>
      <w:r>
        <w:rPr>
          <w:spacing w:val="-6"/>
        </w:rPr>
        <w:t> 种疾病的名称和释义为中国保险行业协会制定的《重大疾病保险的疾病定义</w:t>
      </w:r>
      <w:r>
        <w:rPr>
          <w:spacing w:val="-8"/>
        </w:rPr>
        <w:t>使用规范》中的疾病名称和释义。第 </w:t>
      </w:r>
      <w:r>
        <w:rPr/>
        <w:t>26</w:t>
      </w:r>
      <w:r>
        <w:rPr>
          <w:spacing w:val="-24"/>
        </w:rPr>
        <w:t> 种至 </w:t>
      </w:r>
      <w:r>
        <w:rPr/>
        <w:t>40</w:t>
      </w:r>
      <w:r>
        <w:rPr>
          <w:spacing w:val="-8"/>
        </w:rPr>
        <w:t> 种疾病为本公司增加的疾病类型。</w:t>
      </w:r>
    </w:p>
    <w:p>
      <w:pPr>
        <w:pStyle w:val="BodyText"/>
        <w:spacing w:before="5"/>
        <w:rPr>
          <w:sz w:val="24"/>
        </w:rPr>
      </w:pPr>
    </w:p>
    <w:p>
      <w:pPr>
        <w:pStyle w:val="ListParagraph"/>
        <w:numPr>
          <w:ilvl w:val="3"/>
          <w:numId w:val="7"/>
        </w:numPr>
        <w:tabs>
          <w:tab w:pos="956" w:val="left" w:leader="none"/>
        </w:tabs>
        <w:spacing w:line="273" w:lineRule="auto" w:before="0" w:after="0"/>
        <w:ind w:left="2091" w:right="278" w:hanging="1829"/>
        <w:jc w:val="both"/>
        <w:rPr>
          <w:sz w:val="21"/>
        </w:rPr>
      </w:pPr>
      <w:r>
        <w:rPr>
          <w:spacing w:val="-4"/>
          <w:sz w:val="21"/>
        </w:rPr>
        <w:t>恶性肿瘤      指恶性细胞不受控制的进行性增长和扩散，浸润和破坏周围正常组织， </w:t>
      </w:r>
      <w:r>
        <w:rPr>
          <w:spacing w:val="-5"/>
          <w:sz w:val="21"/>
        </w:rPr>
        <w:t>可以经血管、淋巴管和体腔扩散转移到身体其他部位的疾病。经病理学检查结果明确诊断，临床诊断属于世界卫生组织《疾病和有关健康问题的国际统</w:t>
      </w:r>
      <w:r>
        <w:rPr>
          <w:spacing w:val="-28"/>
          <w:sz w:val="21"/>
        </w:rPr>
        <w:t>计分类》</w:t>
      </w:r>
      <w:r>
        <w:rPr>
          <w:spacing w:val="-1"/>
          <w:sz w:val="21"/>
        </w:rPr>
        <w:t>（ICD-10）</w:t>
      </w:r>
      <w:r>
        <w:rPr>
          <w:spacing w:val="-3"/>
          <w:sz w:val="21"/>
        </w:rPr>
        <w:t>的恶性肿瘤范畴。</w:t>
      </w:r>
    </w:p>
    <w:p>
      <w:pPr>
        <w:pStyle w:val="BodyText"/>
        <w:spacing w:before="7"/>
        <w:ind w:left="2513"/>
      </w:pPr>
      <w:r>
        <w:rPr/>
        <w:t>下列疾病不在本项保障范围内：</w:t>
      </w:r>
    </w:p>
    <w:p>
      <w:pPr>
        <w:pStyle w:val="BodyText"/>
        <w:spacing w:before="37"/>
        <w:ind w:left="2513"/>
      </w:pPr>
      <w:r>
        <w:rPr/>
        <w:t>（1）原位癌；</w:t>
      </w:r>
    </w:p>
    <w:p>
      <w:pPr>
        <w:pStyle w:val="BodyText"/>
        <w:spacing w:before="37"/>
        <w:ind w:left="2513"/>
      </w:pPr>
      <w:r>
        <w:rPr/>
        <w:t>（2）相当于 Binet 分期方案 A 期程度的慢性淋巴细胞白血病；</w:t>
      </w:r>
    </w:p>
    <w:p>
      <w:pPr>
        <w:pStyle w:val="BodyText"/>
        <w:spacing w:before="37"/>
        <w:ind w:left="2513"/>
      </w:pPr>
      <w:r>
        <w:rPr/>
        <w:t>（3）相当于 Ann Arbor 分期方案 I 期程度的何杰金氏病；</w:t>
      </w:r>
    </w:p>
    <w:p>
      <w:pPr>
        <w:pStyle w:val="BodyText"/>
        <w:spacing w:before="37"/>
        <w:ind w:left="2513"/>
      </w:pPr>
      <w:r>
        <w:rPr>
          <w:w w:val="100"/>
        </w:rPr>
        <w:t>（4）皮肤癌（</w:t>
      </w:r>
      <w:r>
        <w:rPr>
          <w:spacing w:val="-4"/>
          <w:w w:val="100"/>
        </w:rPr>
        <w:t>不包括恶性黑色素瘤及已发生转移的皮肤癌</w:t>
      </w:r>
      <w:r>
        <w:rPr>
          <w:spacing w:val="-106"/>
          <w:w w:val="100"/>
        </w:rPr>
        <w:t>）</w:t>
      </w:r>
      <w:r>
        <w:rPr>
          <w:w w:val="100"/>
        </w:rPr>
        <w:t>；</w:t>
      </w:r>
    </w:p>
    <w:p>
      <w:pPr>
        <w:pStyle w:val="BodyText"/>
        <w:spacing w:line="273" w:lineRule="auto" w:before="36"/>
        <w:ind w:left="2091" w:right="277" w:firstLine="422"/>
      </w:pPr>
      <w:r>
        <w:rPr>
          <w:position w:val="1"/>
        </w:rPr>
        <w:t>（5）TNM</w:t>
      </w:r>
      <w:r>
        <w:rPr>
          <w:spacing w:val="-13"/>
          <w:position w:val="1"/>
        </w:rPr>
        <w:t> 分期为 </w:t>
      </w:r>
      <w:r>
        <w:rPr>
          <w:position w:val="1"/>
        </w:rPr>
        <w:t>T</w:t>
      </w:r>
      <w:r>
        <w:rPr>
          <w:sz w:val="11"/>
        </w:rPr>
        <w:t>1</w:t>
      </w:r>
      <w:r>
        <w:rPr>
          <w:position w:val="1"/>
        </w:rPr>
        <w:t>N</w:t>
      </w:r>
      <w:r>
        <w:rPr>
          <w:sz w:val="11"/>
        </w:rPr>
        <w:t>0</w:t>
      </w:r>
      <w:r>
        <w:rPr>
          <w:position w:val="1"/>
        </w:rPr>
        <w:t>M</w:t>
      </w:r>
      <w:r>
        <w:rPr>
          <w:sz w:val="11"/>
        </w:rPr>
        <w:t>0 </w:t>
      </w:r>
      <w:r>
        <w:rPr>
          <w:spacing w:val="-3"/>
          <w:position w:val="1"/>
        </w:rPr>
        <w:t>期或更轻分期的前列腺癌（如为女性被保险人， </w:t>
      </w:r>
      <w:r>
        <w:rPr>
          <w:spacing w:val="-3"/>
          <w:w w:val="100"/>
        </w:rPr>
        <w:t>则不包括此项</w:t>
      </w:r>
      <w:r>
        <w:rPr>
          <w:spacing w:val="-106"/>
          <w:w w:val="100"/>
        </w:rPr>
        <w:t>）</w:t>
      </w:r>
      <w:r>
        <w:rPr>
          <w:w w:val="100"/>
        </w:rPr>
        <w:t>；</w:t>
      </w:r>
    </w:p>
    <w:p>
      <w:pPr>
        <w:pStyle w:val="BodyText"/>
        <w:spacing w:before="7"/>
        <w:ind w:left="2513"/>
      </w:pPr>
      <w:r>
        <w:rPr/>
        <w:t>（6）感染艾滋病病毒或患艾滋病期间所患恶性肿瘤。</w:t>
      </w:r>
    </w:p>
    <w:p>
      <w:pPr>
        <w:pStyle w:val="BodyText"/>
        <w:spacing w:before="7"/>
        <w:rPr>
          <w:sz w:val="18"/>
        </w:rPr>
      </w:pPr>
    </w:p>
    <w:p>
      <w:pPr>
        <w:spacing w:after="0"/>
        <w:rPr>
          <w:sz w:val="18"/>
        </w:rPr>
        <w:sectPr>
          <w:type w:val="continuous"/>
          <w:pgSz w:w="11910" w:h="16840"/>
          <w:pgMar w:top="1100" w:bottom="1240" w:left="1300" w:right="1280"/>
        </w:sectPr>
      </w:pPr>
    </w:p>
    <w:p>
      <w:pPr>
        <w:pStyle w:val="ListParagraph"/>
        <w:numPr>
          <w:ilvl w:val="3"/>
          <w:numId w:val="7"/>
        </w:numPr>
        <w:tabs>
          <w:tab w:pos="955" w:val="left" w:leader="none"/>
          <w:tab w:pos="956" w:val="left" w:leader="none"/>
        </w:tabs>
        <w:spacing w:line="273" w:lineRule="auto" w:before="106" w:after="0"/>
        <w:ind w:left="956" w:right="0" w:hanging="694"/>
        <w:jc w:val="left"/>
        <w:rPr>
          <w:sz w:val="21"/>
        </w:rPr>
      </w:pPr>
      <w:r>
        <w:rPr>
          <w:spacing w:val="17"/>
          <w:sz w:val="21"/>
        </w:rPr>
        <w:t>急性心肌梗塞</w:t>
      </w:r>
    </w:p>
    <w:p>
      <w:pPr>
        <w:pStyle w:val="BodyText"/>
        <w:ind w:left="175" w:right="278" w:firstLine="420"/>
      </w:pPr>
      <w:r>
        <w:rPr/>
        <w:br w:type="column"/>
      </w:r>
      <w:r>
        <w:rPr/>
        <w:t>指因冠状动脉阻塞导致的相应区域供血不足造成部分心肌坏死。须满足下列至少三项条件：</w:t>
      </w:r>
    </w:p>
    <w:p>
      <w:pPr>
        <w:pStyle w:val="BodyText"/>
        <w:spacing w:line="271" w:lineRule="exact" w:before="0"/>
        <w:ind w:left="597"/>
      </w:pPr>
      <w:r>
        <w:rPr/>
        <w:t>（1）典型临床表现，例如急性胸痛等；</w:t>
      </w:r>
    </w:p>
    <w:p>
      <w:pPr>
        <w:pStyle w:val="BodyText"/>
        <w:spacing w:line="274" w:lineRule="exact" w:before="0"/>
        <w:ind w:left="595"/>
      </w:pPr>
      <w:r>
        <w:rPr/>
        <w:t>（2）新近的心电图改变提示急性心肌梗塞；</w:t>
      </w:r>
    </w:p>
    <w:p>
      <w:pPr>
        <w:spacing w:after="0" w:line="274" w:lineRule="exact"/>
        <w:sectPr>
          <w:type w:val="continuous"/>
          <w:pgSz w:w="11910" w:h="16840"/>
          <w:pgMar w:top="1100" w:bottom="1240" w:left="1300" w:right="1280"/>
          <w:cols w:num="2" w:equalWidth="0">
            <w:col w:w="1877" w:space="40"/>
            <w:col w:w="7413"/>
          </w:cols>
        </w:sectPr>
      </w:pPr>
    </w:p>
    <w:p>
      <w:pPr>
        <w:pStyle w:val="BodyText"/>
        <w:spacing w:before="6"/>
        <w:rPr>
          <w:sz w:val="15"/>
        </w:rPr>
      </w:pPr>
    </w:p>
    <w:p>
      <w:pPr>
        <w:pStyle w:val="BodyText"/>
        <w:spacing w:line="237" w:lineRule="auto" w:before="88"/>
        <w:ind w:left="2091" w:right="298" w:firstLine="420"/>
      </w:pPr>
      <w:r>
        <w:rPr>
          <w:spacing w:val="-15"/>
        </w:rPr>
        <w:t>（3）</w:t>
      </w:r>
      <w:r>
        <w:rPr>
          <w:spacing w:val="-6"/>
        </w:rPr>
        <w:t>心肌酶或肌钙蛋白有诊断意义的升高，或呈符合急性心肌梗塞的动</w:t>
      </w:r>
      <w:r>
        <w:rPr>
          <w:spacing w:val="-4"/>
        </w:rPr>
        <w:t>态性变化；</w:t>
      </w:r>
    </w:p>
    <w:p>
      <w:pPr>
        <w:pStyle w:val="BodyText"/>
        <w:spacing w:line="273" w:lineRule="auto" w:before="20"/>
        <w:ind w:left="2091" w:right="298" w:firstLine="420"/>
      </w:pPr>
      <w:r>
        <w:rPr/>
        <w:t>（4）</w:t>
      </w:r>
      <w:r>
        <w:rPr>
          <w:spacing w:val="-10"/>
        </w:rPr>
        <w:t>发病 </w:t>
      </w:r>
      <w:r>
        <w:rPr/>
        <w:t>90</w:t>
      </w:r>
      <w:r>
        <w:rPr>
          <w:spacing w:val="-7"/>
        </w:rPr>
        <w:t> 天后，经检查证实左心室功能降低，如左心室射血分数低</w:t>
      </w:r>
      <w:r>
        <w:rPr>
          <w:spacing w:val="-30"/>
        </w:rPr>
        <w:t>于 </w:t>
      </w:r>
      <w:r>
        <w:rPr/>
        <w:t>50%。</w:t>
      </w:r>
    </w:p>
    <w:p>
      <w:pPr>
        <w:pStyle w:val="BodyText"/>
        <w:spacing w:before="12"/>
        <w:rPr>
          <w:sz w:val="17"/>
        </w:rPr>
      </w:pPr>
    </w:p>
    <w:p>
      <w:pPr>
        <w:spacing w:after="0"/>
        <w:rPr>
          <w:sz w:val="17"/>
        </w:rPr>
        <w:sectPr>
          <w:pgSz w:w="11910" w:h="16840"/>
          <w:pgMar w:header="836" w:footer="1042" w:top="1100" w:bottom="1240" w:left="1300" w:right="1260"/>
        </w:sectPr>
      </w:pPr>
    </w:p>
    <w:p>
      <w:pPr>
        <w:pStyle w:val="ListParagraph"/>
        <w:numPr>
          <w:ilvl w:val="3"/>
          <w:numId w:val="7"/>
        </w:numPr>
        <w:tabs>
          <w:tab w:pos="955" w:val="left" w:leader="none"/>
          <w:tab w:pos="956" w:val="left" w:leader="none"/>
        </w:tabs>
        <w:spacing w:line="273" w:lineRule="auto" w:before="85" w:after="0"/>
        <w:ind w:left="956" w:right="0" w:hanging="694"/>
        <w:jc w:val="left"/>
        <w:rPr>
          <w:sz w:val="21"/>
        </w:rPr>
      </w:pPr>
      <w:r>
        <w:rPr>
          <w:spacing w:val="17"/>
          <w:sz w:val="21"/>
        </w:rPr>
        <w:t>脑中风后遗症</w:t>
      </w:r>
    </w:p>
    <w:p>
      <w:pPr>
        <w:pStyle w:val="BodyText"/>
        <w:spacing w:line="273" w:lineRule="auto"/>
        <w:ind w:left="175" w:right="298" w:firstLine="420"/>
      </w:pPr>
      <w:r>
        <w:rPr/>
        <w:br w:type="column"/>
      </w:r>
      <w:r>
        <w:rPr/>
        <w:t>指因脑血管的突发病变引起脑血管出血、栓塞或梗塞，并导致神经系统永久性的功能障碍。</w:t>
      </w:r>
    </w:p>
    <w:p>
      <w:pPr>
        <w:pStyle w:val="BodyText"/>
        <w:spacing w:line="273" w:lineRule="auto" w:before="8"/>
        <w:ind w:left="175" w:right="220" w:firstLine="420"/>
      </w:pPr>
      <w:r>
        <w:rPr/>
        <w:t>神经系统永久性的功能障碍，指疾病确诊 180 天后，仍遗留下列一种或一种以上障碍：</w:t>
      </w:r>
    </w:p>
    <w:p>
      <w:pPr>
        <w:pStyle w:val="BodyText"/>
        <w:spacing w:before="8"/>
        <w:ind w:left="595"/>
      </w:pPr>
      <w:r>
        <w:rPr/>
        <w:t>（1）一肢或一肢以上肢体机能完全丧失；</w:t>
      </w:r>
    </w:p>
    <w:p>
      <w:pPr>
        <w:pStyle w:val="BodyText"/>
        <w:spacing w:before="37"/>
        <w:ind w:left="595"/>
      </w:pPr>
      <w:r>
        <w:rPr/>
        <w:t>（2）语言能力或咀嚼吞咽能力完全丧失；</w:t>
      </w:r>
    </w:p>
    <w:p>
      <w:pPr>
        <w:pStyle w:val="BodyText"/>
        <w:spacing w:line="273" w:lineRule="auto" w:before="37"/>
        <w:ind w:left="175" w:right="298" w:firstLine="420"/>
      </w:pPr>
      <w:r>
        <w:rPr>
          <w:spacing w:val="-15"/>
        </w:rPr>
        <w:t>（3）</w:t>
      </w:r>
      <w:r>
        <w:rPr>
          <w:spacing w:val="-7"/>
        </w:rPr>
        <w:t>自主生活能力完全丧失，无法独立完成六项基本日常生活活动中的</w:t>
      </w:r>
      <w:r>
        <w:rPr>
          <w:spacing w:val="-5"/>
        </w:rPr>
        <w:t>三项或三项以上。</w:t>
      </w:r>
    </w:p>
    <w:p>
      <w:pPr>
        <w:pStyle w:val="BodyText"/>
        <w:spacing w:line="273" w:lineRule="auto" w:before="8"/>
        <w:ind w:left="175" w:right="298" w:firstLine="420"/>
      </w:pPr>
      <w:r>
        <w:rPr/>
        <w:t>肢体机能完全丧失，指肢体的三大关节中的两大关节僵硬，或不能随意识活动。肢体是指包括肩关节的整个上肢或包括髋关节的整个下肢。</w:t>
      </w:r>
    </w:p>
    <w:p>
      <w:pPr>
        <w:pStyle w:val="BodyText"/>
        <w:spacing w:line="273" w:lineRule="auto" w:before="8"/>
        <w:ind w:left="175" w:right="298" w:firstLine="420"/>
        <w:jc w:val="both"/>
      </w:pPr>
      <w:r>
        <w:rPr/>
        <w:t>语言能力完全丧失，指无法发出四种语音（包括口唇音、齿舌音、口盖音和喉头音）中的任何三种、或声带全部切除，或因大脑语言中枢受伤害而患失语症。</w:t>
      </w:r>
    </w:p>
    <w:p>
      <w:pPr>
        <w:pStyle w:val="BodyText"/>
        <w:spacing w:line="273" w:lineRule="auto" w:before="8"/>
        <w:ind w:left="175" w:right="108" w:firstLine="420"/>
      </w:pPr>
      <w:r>
        <w:rPr/>
        <w:t>咀嚼吞咽能力完全丧失，指因牙齿以外的原因导致器质障碍或机能障碍， 以致不能作咀嚼吞咽运动，除流质食物外不能摄取或吞咽的状态。</w:t>
      </w:r>
    </w:p>
    <w:p>
      <w:pPr>
        <w:spacing w:after="0" w:line="273" w:lineRule="auto"/>
        <w:sectPr>
          <w:type w:val="continuous"/>
          <w:pgSz w:w="11910" w:h="16840"/>
          <w:pgMar w:top="1100" w:bottom="1240" w:left="1300" w:right="1260"/>
          <w:cols w:num="2" w:equalWidth="0">
            <w:col w:w="1877" w:space="40"/>
            <w:col w:w="7433"/>
          </w:cols>
        </w:sectPr>
      </w:pPr>
    </w:p>
    <w:p>
      <w:pPr>
        <w:pStyle w:val="BodyText"/>
        <w:spacing w:before="12"/>
        <w:rPr>
          <w:sz w:val="17"/>
        </w:rPr>
      </w:pPr>
    </w:p>
    <w:p>
      <w:pPr>
        <w:spacing w:after="0"/>
        <w:rPr>
          <w:sz w:val="17"/>
        </w:rPr>
        <w:sectPr>
          <w:type w:val="continuous"/>
          <w:pgSz w:w="11910" w:h="16840"/>
          <w:pgMar w:top="1100" w:bottom="1240" w:left="1300" w:right="1260"/>
        </w:sectPr>
      </w:pPr>
    </w:p>
    <w:p>
      <w:pPr>
        <w:pStyle w:val="ListParagraph"/>
        <w:numPr>
          <w:ilvl w:val="3"/>
          <w:numId w:val="7"/>
        </w:numPr>
        <w:tabs>
          <w:tab w:pos="956" w:val="left" w:leader="none"/>
        </w:tabs>
        <w:spacing w:line="273" w:lineRule="auto" w:before="85" w:after="0"/>
        <w:ind w:left="956" w:right="0" w:hanging="694"/>
        <w:jc w:val="both"/>
        <w:rPr>
          <w:sz w:val="21"/>
        </w:rPr>
      </w:pPr>
      <w:r>
        <w:rPr>
          <w:spacing w:val="17"/>
          <w:sz w:val="21"/>
        </w:rPr>
        <w:t>重大器官</w:t>
      </w:r>
      <w:r>
        <w:rPr>
          <w:spacing w:val="15"/>
          <w:sz w:val="21"/>
        </w:rPr>
        <w:t>移植术或造血干细胞移植术</w:t>
      </w:r>
    </w:p>
    <w:p>
      <w:pPr>
        <w:pStyle w:val="BodyText"/>
        <w:spacing w:line="273" w:lineRule="auto"/>
        <w:ind w:left="175" w:right="298" w:firstLine="420"/>
      </w:pPr>
      <w:r>
        <w:rPr/>
        <w:br w:type="column"/>
      </w:r>
      <w:r>
        <w:rPr/>
        <w:t>重大器官移植术，指因相应器官功能衰竭，已经实施了肾脏、肝脏、心脏或肺脏的异体移植手术。</w:t>
      </w:r>
    </w:p>
    <w:p>
      <w:pPr>
        <w:pStyle w:val="BodyText"/>
        <w:spacing w:line="273" w:lineRule="auto" w:before="7"/>
        <w:ind w:left="175" w:right="194" w:firstLine="420"/>
      </w:pPr>
      <w:r>
        <w:rPr>
          <w:spacing w:val="-4"/>
        </w:rPr>
        <w:t>造血干细胞移植术，指因造血功能损害或造血系统恶性肿瘤，已经实施</w:t>
      </w:r>
      <w:r>
        <w:rPr>
          <w:spacing w:val="-10"/>
        </w:rPr>
        <w:t>了造血干细胞</w:t>
      </w:r>
      <w:r>
        <w:rPr/>
        <w:t>（</w:t>
      </w:r>
      <w:r>
        <w:rPr>
          <w:spacing w:val="-8"/>
        </w:rPr>
        <w:t>包括骨髓造血干细胞、外周血造血干细胞和脐血造血干细胞</w:t>
      </w:r>
      <w:r>
        <w:rPr/>
        <w:t>） </w:t>
      </w:r>
      <w:r>
        <w:rPr>
          <w:spacing w:val="-3"/>
        </w:rPr>
        <w:t>的异体移植手术。</w:t>
      </w:r>
    </w:p>
    <w:p>
      <w:pPr>
        <w:spacing w:after="0" w:line="273" w:lineRule="auto"/>
        <w:sectPr>
          <w:type w:val="continuous"/>
          <w:pgSz w:w="11910" w:h="16840"/>
          <w:pgMar w:top="1100" w:bottom="1240" w:left="1300" w:right="1260"/>
          <w:cols w:num="2" w:equalWidth="0">
            <w:col w:w="1877" w:space="40"/>
            <w:col w:w="7433"/>
          </w:cols>
        </w:sectPr>
      </w:pPr>
    </w:p>
    <w:p>
      <w:pPr>
        <w:pStyle w:val="BodyText"/>
        <w:spacing w:before="12"/>
        <w:rPr>
          <w:sz w:val="17"/>
        </w:rPr>
      </w:pPr>
    </w:p>
    <w:p>
      <w:pPr>
        <w:spacing w:after="0"/>
        <w:rPr>
          <w:sz w:val="17"/>
        </w:rPr>
        <w:sectPr>
          <w:type w:val="continuous"/>
          <w:pgSz w:w="11910" w:h="16840"/>
          <w:pgMar w:top="1100" w:bottom="1240" w:left="1300" w:right="1260"/>
        </w:sectPr>
      </w:pPr>
    </w:p>
    <w:p>
      <w:pPr>
        <w:pStyle w:val="ListParagraph"/>
        <w:numPr>
          <w:ilvl w:val="3"/>
          <w:numId w:val="7"/>
        </w:numPr>
        <w:tabs>
          <w:tab w:pos="955" w:val="left" w:leader="none"/>
          <w:tab w:pos="956" w:val="left" w:leader="none"/>
        </w:tabs>
        <w:spacing w:line="273" w:lineRule="auto" w:before="85" w:after="0"/>
        <w:ind w:left="956" w:right="0" w:hanging="694"/>
        <w:jc w:val="left"/>
        <w:rPr>
          <w:sz w:val="21"/>
        </w:rPr>
      </w:pPr>
      <w:r>
        <w:rPr>
          <w:spacing w:val="17"/>
          <w:sz w:val="21"/>
        </w:rPr>
        <w:t>冠状动脉</w:t>
      </w:r>
      <w:r>
        <w:rPr>
          <w:spacing w:val="5"/>
          <w:sz w:val="21"/>
        </w:rPr>
        <w:t>搭  桥 术</w:t>
      </w:r>
    </w:p>
    <w:p>
      <w:pPr>
        <w:pStyle w:val="BodyText"/>
        <w:spacing w:line="273" w:lineRule="auto" w:before="7"/>
        <w:ind w:left="955" w:right="1"/>
        <w:jc w:val="both"/>
      </w:pPr>
      <w:r>
        <w:rPr/>
        <w:t>（</w:t>
      </w:r>
      <w:r>
        <w:rPr>
          <w:spacing w:val="-8"/>
        </w:rPr>
        <w:t> 或称冠</w:t>
      </w:r>
      <w:r>
        <w:rPr>
          <w:spacing w:val="15"/>
        </w:rPr>
        <w:t>状动脉旁</w:t>
      </w:r>
      <w:r>
        <w:rPr>
          <w:spacing w:val="3"/>
        </w:rPr>
        <w:t>路 移 植术）</w:t>
      </w:r>
    </w:p>
    <w:p>
      <w:pPr>
        <w:pStyle w:val="BodyText"/>
        <w:spacing w:line="273" w:lineRule="auto"/>
        <w:ind w:left="175" w:right="298" w:firstLine="420"/>
      </w:pPr>
      <w:r>
        <w:rPr/>
        <w:br w:type="column"/>
      </w:r>
      <w:r>
        <w:rPr/>
        <w:t>指为治疗严重的冠心病，实际实施了开胸进行的冠状动脉血管旁路移植的手术。</w:t>
      </w:r>
    </w:p>
    <w:p>
      <w:pPr>
        <w:pStyle w:val="BodyText"/>
        <w:spacing w:line="273" w:lineRule="auto" w:before="7"/>
        <w:ind w:left="175" w:right="298" w:firstLine="422"/>
      </w:pPr>
      <w:r>
        <w:rPr/>
        <w:t>冠状动脉支架植入术、心导管球囊扩张术、激光射频技术及其他非开胸的介入手术、腔镜手术不在保障范围内。</w:t>
      </w:r>
    </w:p>
    <w:p>
      <w:pPr>
        <w:spacing w:after="0" w:line="273" w:lineRule="auto"/>
        <w:sectPr>
          <w:type w:val="continuous"/>
          <w:pgSz w:w="11910" w:h="16840"/>
          <w:pgMar w:top="1100" w:bottom="1240" w:left="1300" w:right="1260"/>
          <w:cols w:num="2" w:equalWidth="0">
            <w:col w:w="1877" w:space="40"/>
            <w:col w:w="7433"/>
          </w:cols>
        </w:sectPr>
      </w:pPr>
    </w:p>
    <w:p>
      <w:pPr>
        <w:pStyle w:val="BodyText"/>
        <w:spacing w:before="11"/>
        <w:rPr>
          <w:sz w:val="17"/>
        </w:rPr>
      </w:pPr>
    </w:p>
    <w:p>
      <w:pPr>
        <w:spacing w:after="0"/>
        <w:rPr>
          <w:sz w:val="17"/>
        </w:rPr>
        <w:sectPr>
          <w:type w:val="continuous"/>
          <w:pgSz w:w="11910" w:h="16840"/>
          <w:pgMar w:top="1100" w:bottom="1240" w:left="1300" w:right="1260"/>
        </w:sectPr>
      </w:pPr>
    </w:p>
    <w:p>
      <w:pPr>
        <w:pStyle w:val="ListParagraph"/>
        <w:numPr>
          <w:ilvl w:val="3"/>
          <w:numId w:val="7"/>
        </w:numPr>
        <w:tabs>
          <w:tab w:pos="956" w:val="left" w:leader="none"/>
        </w:tabs>
        <w:spacing w:line="273" w:lineRule="auto" w:before="85" w:after="0"/>
        <w:ind w:left="956" w:right="0" w:hanging="694"/>
        <w:jc w:val="both"/>
        <w:rPr>
          <w:sz w:val="21"/>
        </w:rPr>
      </w:pPr>
      <w:r>
        <w:rPr>
          <w:spacing w:val="17"/>
          <w:sz w:val="21"/>
        </w:rPr>
        <w:t>终末期肾</w:t>
      </w:r>
      <w:r>
        <w:rPr>
          <w:spacing w:val="21"/>
          <w:sz w:val="21"/>
        </w:rPr>
        <w:t>病</w:t>
      </w:r>
      <w:r>
        <w:rPr>
          <w:sz w:val="21"/>
        </w:rPr>
        <w:t>（</w:t>
      </w:r>
      <w:r>
        <w:rPr>
          <w:spacing w:val="-17"/>
          <w:sz w:val="21"/>
        </w:rPr>
        <w:t> 或称</w:t>
      </w:r>
      <w:r>
        <w:rPr>
          <w:spacing w:val="15"/>
          <w:sz w:val="21"/>
        </w:rPr>
        <w:t>慢性肾功能衰竭尿毒症期）</w:t>
      </w:r>
    </w:p>
    <w:p>
      <w:pPr>
        <w:pStyle w:val="BodyText"/>
        <w:spacing w:line="273" w:lineRule="auto"/>
        <w:ind w:left="175" w:right="298" w:firstLine="420"/>
      </w:pPr>
      <w:r>
        <w:rPr/>
        <w:br w:type="column"/>
      </w:r>
      <w:r>
        <w:rPr/>
        <w:t>指双肾功能慢性不可逆性衰竭，达到尿毒症期，经诊断后已经进行了至少 90 天的规律性透析治疗或实施了肾脏移植手术。</w:t>
      </w:r>
    </w:p>
    <w:p>
      <w:pPr>
        <w:spacing w:after="0" w:line="273" w:lineRule="auto"/>
        <w:sectPr>
          <w:type w:val="continuous"/>
          <w:pgSz w:w="11910" w:h="16840"/>
          <w:pgMar w:top="1100" w:bottom="1240" w:left="1300" w:right="1260"/>
          <w:cols w:num="2" w:equalWidth="0">
            <w:col w:w="1877" w:space="40"/>
            <w:col w:w="7433"/>
          </w:cols>
        </w:sectPr>
      </w:pPr>
    </w:p>
    <w:p>
      <w:pPr>
        <w:pStyle w:val="BodyText"/>
        <w:spacing w:before="12"/>
        <w:rPr>
          <w:sz w:val="17"/>
        </w:rPr>
      </w:pPr>
    </w:p>
    <w:p>
      <w:pPr>
        <w:spacing w:after="0"/>
        <w:rPr>
          <w:sz w:val="17"/>
        </w:rPr>
        <w:sectPr>
          <w:type w:val="continuous"/>
          <w:pgSz w:w="11910" w:h="16840"/>
          <w:pgMar w:top="1100" w:bottom="1240" w:left="1300" w:right="1260"/>
        </w:sectPr>
      </w:pPr>
    </w:p>
    <w:p>
      <w:pPr>
        <w:pStyle w:val="ListParagraph"/>
        <w:numPr>
          <w:ilvl w:val="3"/>
          <w:numId w:val="7"/>
        </w:numPr>
        <w:tabs>
          <w:tab w:pos="955" w:val="left" w:leader="none"/>
          <w:tab w:pos="956" w:val="left" w:leader="none"/>
        </w:tabs>
        <w:spacing w:line="273" w:lineRule="auto" w:before="84" w:after="0"/>
        <w:ind w:left="956" w:right="0" w:hanging="694"/>
        <w:jc w:val="left"/>
        <w:rPr>
          <w:sz w:val="21"/>
        </w:rPr>
      </w:pPr>
      <w:r>
        <w:rPr>
          <w:spacing w:val="17"/>
          <w:sz w:val="21"/>
        </w:rPr>
        <w:t>多个肢体缺失</w:t>
      </w:r>
    </w:p>
    <w:p>
      <w:pPr>
        <w:pStyle w:val="BodyText"/>
        <w:spacing w:before="84"/>
        <w:ind w:left="595"/>
      </w:pPr>
      <w:r>
        <w:rPr/>
        <w:br w:type="column"/>
      </w:r>
      <w:r>
        <w:rPr/>
        <w:t>指因疾病或意外伤害导致两个或两个以上肢体自腕关节或踝关节近端</w:t>
      </w:r>
    </w:p>
    <w:p>
      <w:pPr>
        <w:pStyle w:val="BodyText"/>
        <w:spacing w:before="36"/>
        <w:ind w:left="175"/>
      </w:pPr>
      <w:r>
        <w:rPr/>
        <w:t>（靠近躯干端）以上完全性断离。</w:t>
      </w:r>
    </w:p>
    <w:p>
      <w:pPr>
        <w:spacing w:after="0"/>
        <w:sectPr>
          <w:type w:val="continuous"/>
          <w:pgSz w:w="11910" w:h="16840"/>
          <w:pgMar w:top="1100" w:bottom="1240" w:left="1300" w:right="1260"/>
          <w:cols w:num="2" w:equalWidth="0">
            <w:col w:w="1877" w:space="40"/>
            <w:col w:w="7433"/>
          </w:cols>
        </w:sectPr>
      </w:pPr>
    </w:p>
    <w:p>
      <w:pPr>
        <w:pStyle w:val="BodyText"/>
        <w:spacing w:before="11"/>
        <w:rPr>
          <w:sz w:val="17"/>
        </w:rPr>
      </w:pPr>
    </w:p>
    <w:p>
      <w:pPr>
        <w:pStyle w:val="ListParagraph"/>
        <w:numPr>
          <w:ilvl w:val="3"/>
          <w:numId w:val="7"/>
        </w:numPr>
        <w:tabs>
          <w:tab w:pos="955" w:val="left" w:leader="none"/>
          <w:tab w:pos="956" w:val="left" w:leader="none"/>
          <w:tab w:pos="2511" w:val="left" w:leader="none"/>
        </w:tabs>
        <w:spacing w:line="240" w:lineRule="auto" w:before="85" w:after="0"/>
        <w:ind w:left="2091" w:right="0" w:hanging="1829"/>
        <w:jc w:val="left"/>
        <w:rPr>
          <w:sz w:val="21"/>
        </w:rPr>
      </w:pPr>
      <w:r>
        <w:rPr>
          <w:spacing w:val="25"/>
          <w:sz w:val="21"/>
        </w:rPr>
        <w:t>急性或</w:t>
      </w:r>
      <w:r>
        <w:rPr>
          <w:sz w:val="21"/>
        </w:rPr>
        <w:t>亚</w:t>
        <w:tab/>
        <w:t>指因肝炎病毒</w:t>
      </w:r>
      <w:r>
        <w:rPr>
          <w:spacing w:val="-3"/>
          <w:sz w:val="21"/>
        </w:rPr>
        <w:t>感</w:t>
      </w:r>
      <w:r>
        <w:rPr>
          <w:sz w:val="21"/>
        </w:rPr>
        <w:t>染引起</w:t>
      </w:r>
      <w:r>
        <w:rPr>
          <w:spacing w:val="-3"/>
          <w:sz w:val="21"/>
        </w:rPr>
        <w:t>肝</w:t>
      </w:r>
      <w:r>
        <w:rPr>
          <w:sz w:val="21"/>
        </w:rPr>
        <w:t>脏组织弥漫性</w:t>
      </w:r>
      <w:r>
        <w:rPr>
          <w:spacing w:val="-3"/>
          <w:sz w:val="21"/>
        </w:rPr>
        <w:t>坏</w:t>
      </w:r>
      <w:r>
        <w:rPr>
          <w:sz w:val="21"/>
        </w:rPr>
        <w:t>死，导</w:t>
      </w:r>
      <w:r>
        <w:rPr>
          <w:spacing w:val="-5"/>
          <w:sz w:val="21"/>
        </w:rPr>
        <w:t>致</w:t>
      </w:r>
      <w:r>
        <w:rPr>
          <w:sz w:val="21"/>
        </w:rPr>
        <w:t>急性肝功能衰</w:t>
      </w:r>
      <w:r>
        <w:rPr>
          <w:spacing w:val="-3"/>
          <w:sz w:val="21"/>
        </w:rPr>
        <w:t>竭</w:t>
      </w:r>
      <w:r>
        <w:rPr>
          <w:sz w:val="21"/>
        </w:rPr>
        <w:t>，且</w:t>
      </w:r>
    </w:p>
    <w:p>
      <w:pPr>
        <w:spacing w:after="0" w:line="240" w:lineRule="auto"/>
        <w:jc w:val="left"/>
        <w:rPr>
          <w:sz w:val="21"/>
        </w:rPr>
        <w:sectPr>
          <w:type w:val="continuous"/>
          <w:pgSz w:w="11910" w:h="16840"/>
          <w:pgMar w:top="1100" w:bottom="1240" w:left="1300" w:right="1260"/>
        </w:sectPr>
      </w:pPr>
    </w:p>
    <w:p>
      <w:pPr>
        <w:pStyle w:val="BodyText"/>
        <w:spacing w:before="10"/>
        <w:rPr>
          <w:sz w:val="24"/>
        </w:rPr>
      </w:pPr>
    </w:p>
    <w:tbl>
      <w:tblPr>
        <w:tblW w:w="0" w:type="auto"/>
        <w:jc w:val="left"/>
        <w:tblInd w:w="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8"/>
        <w:gridCol w:w="1164"/>
        <w:gridCol w:w="7198"/>
      </w:tblGrid>
      <w:tr>
        <w:trPr>
          <w:trHeight w:val="1700" w:hRule="atLeast"/>
        </w:trPr>
        <w:tc>
          <w:tcPr>
            <w:tcW w:w="608" w:type="dxa"/>
          </w:tcPr>
          <w:p>
            <w:pPr>
              <w:pStyle w:val="TableParagraph"/>
              <w:ind w:left="0"/>
              <w:rPr>
                <w:rFonts w:ascii="Times New Roman"/>
                <w:sz w:val="20"/>
              </w:rPr>
            </w:pPr>
          </w:p>
        </w:tc>
        <w:tc>
          <w:tcPr>
            <w:tcW w:w="1164" w:type="dxa"/>
          </w:tcPr>
          <w:p>
            <w:pPr>
              <w:pStyle w:val="TableParagraph"/>
              <w:spacing w:line="259" w:lineRule="exact"/>
              <w:ind w:left="135"/>
              <w:rPr>
                <w:sz w:val="21"/>
              </w:rPr>
            </w:pPr>
            <w:r>
              <w:rPr>
                <w:sz w:val="21"/>
              </w:rPr>
              <w:t>急性重症</w:t>
            </w:r>
          </w:p>
          <w:p>
            <w:pPr>
              <w:pStyle w:val="TableParagraph"/>
              <w:spacing w:before="37"/>
              <w:ind w:left="135"/>
              <w:rPr>
                <w:sz w:val="21"/>
              </w:rPr>
            </w:pPr>
            <w:r>
              <w:rPr>
                <w:sz w:val="21"/>
              </w:rPr>
              <w:t>肝炎</w:t>
            </w:r>
          </w:p>
        </w:tc>
        <w:tc>
          <w:tcPr>
            <w:tcW w:w="7198" w:type="dxa"/>
          </w:tcPr>
          <w:p>
            <w:pPr>
              <w:pStyle w:val="TableParagraph"/>
              <w:spacing w:line="259" w:lineRule="exact"/>
              <w:ind w:left="106"/>
              <w:rPr>
                <w:sz w:val="21"/>
              </w:rPr>
            </w:pPr>
            <w:r>
              <w:rPr>
                <w:sz w:val="21"/>
              </w:rPr>
              <w:t>经血清学或病毒学检查证实，并须满足下列全部条件：</w:t>
            </w:r>
          </w:p>
          <w:p>
            <w:pPr>
              <w:pStyle w:val="TableParagraph"/>
              <w:spacing w:before="37"/>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超或其他影像学检查显示肝脏体积急速萎缩；</w:t>
            </w:r>
          </w:p>
          <w:p>
            <w:pPr>
              <w:pStyle w:val="TableParagraph"/>
              <w:spacing w:before="37"/>
              <w:rPr>
                <w:sz w:val="21"/>
              </w:rPr>
            </w:pPr>
            <w:r>
              <w:rPr>
                <w:sz w:val="21"/>
              </w:rPr>
              <w:t>（4）肝功能指标进行性恶化。</w:t>
            </w:r>
          </w:p>
        </w:tc>
      </w:tr>
      <w:tr>
        <w:trPr>
          <w:trHeight w:val="2495" w:hRule="atLeast"/>
        </w:trPr>
        <w:tc>
          <w:tcPr>
            <w:tcW w:w="608" w:type="dxa"/>
          </w:tcPr>
          <w:p>
            <w:pPr>
              <w:pStyle w:val="TableParagraph"/>
              <w:spacing w:before="156"/>
              <w:ind w:left="32" w:right="221"/>
              <w:jc w:val="center"/>
              <w:rPr>
                <w:sz w:val="21"/>
              </w:rPr>
            </w:pPr>
            <w:r>
              <w:rPr>
                <w:sz w:val="21"/>
              </w:rPr>
              <w:t>6.9</w:t>
            </w:r>
          </w:p>
        </w:tc>
        <w:tc>
          <w:tcPr>
            <w:tcW w:w="1164" w:type="dxa"/>
          </w:tcPr>
          <w:p>
            <w:pPr>
              <w:pStyle w:val="TableParagraph"/>
              <w:spacing w:line="273" w:lineRule="auto" w:before="156"/>
              <w:ind w:left="135" w:right="106" w:hanging="1"/>
              <w:rPr>
                <w:sz w:val="21"/>
              </w:rPr>
            </w:pPr>
            <w:r>
              <w:rPr>
                <w:sz w:val="21"/>
              </w:rPr>
              <w:t>良性脑肿瘤</w:t>
            </w:r>
          </w:p>
        </w:tc>
        <w:tc>
          <w:tcPr>
            <w:tcW w:w="7198" w:type="dxa"/>
          </w:tcPr>
          <w:p>
            <w:pPr>
              <w:pStyle w:val="TableParagraph"/>
              <w:spacing w:line="273" w:lineRule="auto" w:before="156"/>
              <w:ind w:left="106" w:right="49" w:firstLine="420"/>
              <w:rPr>
                <w:sz w:val="21"/>
              </w:rPr>
            </w:pPr>
            <w:r>
              <w:rPr>
                <w:spacing w:val="-4"/>
                <w:sz w:val="21"/>
              </w:rPr>
              <w:t>指脑的良性肿瘤，已经引起颅内压增高，临床表现为视神经乳头水肿、</w:t>
            </w:r>
            <w:r>
              <w:rPr>
                <w:spacing w:val="-5"/>
                <w:w w:val="100"/>
                <w:sz w:val="21"/>
              </w:rPr>
              <w:t>精神症状、癫痫及运动感觉障碍等，并危及生命。须由头颅断层扫描</w:t>
            </w:r>
            <w:r>
              <w:rPr>
                <w:spacing w:val="-3"/>
                <w:w w:val="100"/>
                <w:sz w:val="21"/>
              </w:rPr>
              <w:t>（</w:t>
            </w:r>
            <w:r>
              <w:rPr>
                <w:w w:val="100"/>
                <w:sz w:val="21"/>
              </w:rPr>
              <w:t>CT</w:t>
            </w:r>
            <w:r>
              <w:rPr>
                <w:spacing w:val="-108"/>
                <w:w w:val="100"/>
                <w:sz w:val="21"/>
              </w:rPr>
              <w:t>）</w:t>
            </w:r>
            <w:r>
              <w:rPr>
                <w:w w:val="100"/>
                <w:sz w:val="21"/>
              </w:rPr>
              <w:t>、</w:t>
            </w:r>
            <w:r>
              <w:rPr>
                <w:sz w:val="21"/>
              </w:rPr>
              <w:t>核磁共振检查（MRI）</w:t>
            </w:r>
            <w:r>
              <w:rPr>
                <w:spacing w:val="-3"/>
                <w:sz w:val="21"/>
              </w:rPr>
              <w:t>或正电子发射断层扫描</w:t>
            </w:r>
            <w:r>
              <w:rPr>
                <w:sz w:val="21"/>
              </w:rPr>
              <w:t>（PET）</w:t>
            </w:r>
            <w:r>
              <w:rPr>
                <w:spacing w:val="-1"/>
                <w:sz w:val="21"/>
              </w:rPr>
              <w:t>等影像学检查证实，并</w:t>
            </w:r>
            <w:r>
              <w:rPr>
                <w:spacing w:val="-4"/>
                <w:sz w:val="21"/>
              </w:rPr>
              <w:t>须满足下列至少一项条件：</w:t>
            </w:r>
          </w:p>
          <w:p>
            <w:pPr>
              <w:pStyle w:val="TableParagraph"/>
              <w:spacing w:before="7"/>
              <w:rPr>
                <w:sz w:val="21"/>
              </w:rPr>
            </w:pPr>
            <w:r>
              <w:rPr>
                <w:sz w:val="21"/>
              </w:rPr>
              <w:t>（1）实际实施了开颅进行的脑肿瘤完全切除或部分切除的手术；</w:t>
            </w:r>
          </w:p>
          <w:p>
            <w:pPr>
              <w:pStyle w:val="TableParagraph"/>
              <w:spacing w:before="36"/>
              <w:rPr>
                <w:sz w:val="21"/>
              </w:rPr>
            </w:pPr>
            <w:r>
              <w:rPr>
                <w:sz w:val="21"/>
              </w:rPr>
              <w:t>（2）实际实施了对脑肿瘤进行的放射治疗。</w:t>
            </w:r>
          </w:p>
          <w:p>
            <w:pPr>
              <w:pStyle w:val="TableParagraph"/>
              <w:spacing w:before="36"/>
              <w:ind w:left="529"/>
              <w:rPr>
                <w:sz w:val="21"/>
              </w:rPr>
            </w:pPr>
            <w:r>
              <w:rPr>
                <w:sz w:val="21"/>
              </w:rPr>
              <w:t>脑垂体瘤、脑囊肿、脑血管性疾病不在保障范围内。</w:t>
            </w:r>
          </w:p>
        </w:tc>
      </w:tr>
      <w:tr>
        <w:trPr>
          <w:trHeight w:val="2184" w:hRule="atLeast"/>
        </w:trPr>
        <w:tc>
          <w:tcPr>
            <w:tcW w:w="608" w:type="dxa"/>
          </w:tcPr>
          <w:p>
            <w:pPr>
              <w:pStyle w:val="TableParagraph"/>
              <w:spacing w:before="156"/>
              <w:ind w:left="32" w:right="115"/>
              <w:jc w:val="center"/>
              <w:rPr>
                <w:sz w:val="21"/>
              </w:rPr>
            </w:pPr>
            <w:r>
              <w:rPr>
                <w:sz w:val="21"/>
              </w:rPr>
              <w:t>6.10</w:t>
            </w:r>
          </w:p>
        </w:tc>
        <w:tc>
          <w:tcPr>
            <w:tcW w:w="1164" w:type="dxa"/>
          </w:tcPr>
          <w:p>
            <w:pPr>
              <w:pStyle w:val="TableParagraph"/>
              <w:spacing w:line="273" w:lineRule="auto" w:before="156"/>
              <w:ind w:left="135" w:right="107"/>
              <w:jc w:val="both"/>
              <w:rPr>
                <w:sz w:val="21"/>
              </w:rPr>
            </w:pPr>
            <w:r>
              <w:rPr>
                <w:sz w:val="21"/>
              </w:rPr>
              <w:t>慢性肝功能衰竭失代偿期</w:t>
            </w:r>
          </w:p>
        </w:tc>
        <w:tc>
          <w:tcPr>
            <w:tcW w:w="7198" w:type="dxa"/>
          </w:tcPr>
          <w:p>
            <w:pPr>
              <w:pStyle w:val="TableParagraph"/>
              <w:spacing w:before="156"/>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line="273" w:lineRule="auto" w:before="37"/>
              <w:ind w:left="529" w:right="1522" w:hanging="3"/>
              <w:rPr>
                <w:sz w:val="21"/>
              </w:rPr>
            </w:pPr>
            <w:r>
              <w:rPr>
                <w:sz w:val="21"/>
              </w:rPr>
              <w:t>（4）充血性脾肿大伴脾功能亢进或食管胃底静脉曲张。因酗酒或药物滥用导致的肝功能衰竭不在保障范围内。</w:t>
            </w:r>
          </w:p>
        </w:tc>
      </w:tr>
      <w:tr>
        <w:trPr>
          <w:trHeight w:val="1700" w:hRule="atLeast"/>
        </w:trPr>
        <w:tc>
          <w:tcPr>
            <w:tcW w:w="608" w:type="dxa"/>
          </w:tcPr>
          <w:p>
            <w:pPr>
              <w:pStyle w:val="TableParagraph"/>
              <w:spacing w:before="156"/>
              <w:ind w:left="32" w:right="115"/>
              <w:jc w:val="center"/>
              <w:rPr>
                <w:sz w:val="21"/>
              </w:rPr>
            </w:pPr>
            <w:r>
              <w:rPr>
                <w:sz w:val="21"/>
              </w:rPr>
              <w:t>6.11</w:t>
            </w:r>
          </w:p>
        </w:tc>
        <w:tc>
          <w:tcPr>
            <w:tcW w:w="1164" w:type="dxa"/>
          </w:tcPr>
          <w:p>
            <w:pPr>
              <w:pStyle w:val="TableParagraph"/>
              <w:spacing w:line="273" w:lineRule="auto" w:before="156"/>
              <w:ind w:left="135" w:right="107"/>
              <w:jc w:val="both"/>
              <w:rPr>
                <w:sz w:val="21"/>
              </w:rPr>
            </w:pPr>
            <w:r>
              <w:rPr>
                <w:sz w:val="21"/>
              </w:rPr>
              <w:t>脑炎后遗症或脑膜炎后遗症</w:t>
            </w:r>
          </w:p>
        </w:tc>
        <w:tc>
          <w:tcPr>
            <w:tcW w:w="7198" w:type="dxa"/>
          </w:tcPr>
          <w:p>
            <w:pPr>
              <w:pStyle w:val="TableParagraph"/>
              <w:spacing w:line="273" w:lineRule="auto" w:before="156"/>
              <w:ind w:left="106" w:right="134" w:firstLine="420"/>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7"/>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before="36"/>
              <w:rPr>
                <w:sz w:val="21"/>
              </w:rPr>
            </w:pPr>
            <w:r>
              <w:rPr>
                <w:sz w:val="21"/>
              </w:rPr>
              <w:t>（3）自主生活能力完全丧失，无法独立完成六项基本日常生活活动中的</w:t>
            </w:r>
          </w:p>
        </w:tc>
      </w:tr>
    </w:tbl>
    <w:p>
      <w:pPr>
        <w:pStyle w:val="BodyText"/>
        <w:spacing w:before="15"/>
        <w:ind w:left="2091"/>
      </w:pPr>
      <w:r>
        <w:rPr/>
        <w:t>三项或三项以上。</w:t>
      </w:r>
    </w:p>
    <w:p>
      <w:pPr>
        <w:pStyle w:val="BodyText"/>
        <w:spacing w:before="8"/>
        <w:rPr>
          <w:sz w:val="26"/>
        </w:rPr>
      </w:pPr>
    </w:p>
    <w:p>
      <w:pPr>
        <w:pStyle w:val="ListParagraph"/>
        <w:numPr>
          <w:ilvl w:val="1"/>
          <w:numId w:val="9"/>
        </w:numPr>
        <w:tabs>
          <w:tab w:pos="956" w:val="left" w:leader="none"/>
        </w:tabs>
        <w:spacing w:line="273" w:lineRule="auto" w:before="0" w:after="0"/>
        <w:ind w:left="2091" w:right="278" w:hanging="1829"/>
        <w:jc w:val="both"/>
        <w:rPr>
          <w:sz w:val="21"/>
        </w:rPr>
      </w:pPr>
      <w:r>
        <w:rPr>
          <w:spacing w:val="-4"/>
          <w:sz w:val="21"/>
        </w:rPr>
        <w:t>深度昏迷      指因疾病或意外伤害导致意识丧失,对外界刺激和体内需求均无反应,昏迷程度按照格拉斯哥昏迷分级</w:t>
      </w:r>
      <w:r>
        <w:rPr>
          <w:sz w:val="21"/>
        </w:rPr>
        <w:t>（Glasgow</w:t>
      </w:r>
      <w:r>
        <w:rPr>
          <w:spacing w:val="3"/>
          <w:sz w:val="21"/>
        </w:rPr>
        <w:t> </w:t>
      </w:r>
      <w:r>
        <w:rPr>
          <w:sz w:val="21"/>
        </w:rPr>
        <w:t>coma</w:t>
      </w:r>
      <w:r>
        <w:rPr>
          <w:spacing w:val="2"/>
          <w:sz w:val="21"/>
        </w:rPr>
        <w:t>  </w:t>
      </w:r>
      <w:r>
        <w:rPr>
          <w:sz w:val="21"/>
        </w:rPr>
        <w:t>scale）</w:t>
      </w:r>
      <w:r>
        <w:rPr>
          <w:spacing w:val="-14"/>
          <w:sz w:val="21"/>
        </w:rPr>
        <w:t>结果为 </w:t>
      </w:r>
      <w:r>
        <w:rPr>
          <w:sz w:val="21"/>
        </w:rPr>
        <w:t>5</w:t>
      </w:r>
      <w:r>
        <w:rPr>
          <w:spacing w:val="-24"/>
          <w:sz w:val="21"/>
        </w:rPr>
        <w:t> 分或 </w:t>
      </w:r>
      <w:r>
        <w:rPr>
          <w:sz w:val="21"/>
        </w:rPr>
        <w:t>5</w:t>
      </w:r>
      <w:r>
        <w:rPr>
          <w:spacing w:val="-24"/>
          <w:sz w:val="21"/>
        </w:rPr>
        <w:t> 分</w:t>
      </w:r>
      <w:r>
        <w:rPr>
          <w:spacing w:val="-8"/>
          <w:sz w:val="21"/>
        </w:rPr>
        <w:t>以下，且已经持续使用呼吸机及其他生命维持系统 </w:t>
      </w:r>
      <w:r>
        <w:rPr>
          <w:sz w:val="21"/>
        </w:rPr>
        <w:t>96 小时以上。</w:t>
      </w:r>
    </w:p>
    <w:p>
      <w:pPr>
        <w:pStyle w:val="BodyText"/>
        <w:spacing w:before="7"/>
        <w:ind w:left="2513"/>
      </w:pPr>
      <w:r>
        <w:rPr/>
        <w:t>因酗酒或药物滥用导致的深度昏迷不在保障范围内。</w:t>
      </w:r>
    </w:p>
    <w:p>
      <w:pPr>
        <w:pStyle w:val="BodyText"/>
        <w:spacing w:before="8"/>
        <w:rPr>
          <w:sz w:val="26"/>
        </w:rPr>
      </w:pPr>
    </w:p>
    <w:p>
      <w:pPr>
        <w:pStyle w:val="ListParagraph"/>
        <w:numPr>
          <w:ilvl w:val="1"/>
          <w:numId w:val="9"/>
        </w:numPr>
        <w:tabs>
          <w:tab w:pos="955" w:val="left" w:leader="none"/>
          <w:tab w:pos="956" w:val="left" w:leader="none"/>
          <w:tab w:pos="2511" w:val="left" w:leader="none"/>
        </w:tabs>
        <w:spacing w:line="240" w:lineRule="auto" w:before="0" w:after="0"/>
        <w:ind w:left="2091" w:right="0" w:hanging="1829"/>
        <w:jc w:val="left"/>
        <w:rPr>
          <w:sz w:val="21"/>
        </w:rPr>
      </w:pPr>
      <w:r>
        <w:rPr>
          <w:sz w:val="21"/>
        </w:rPr>
        <w:t>双耳失聪</w:t>
        <w:tab/>
      </w:r>
      <w:r>
        <w:rPr>
          <w:spacing w:val="2"/>
          <w:sz w:val="21"/>
        </w:rPr>
        <w:t>指</w:t>
      </w:r>
      <w:r>
        <w:rPr>
          <w:sz w:val="21"/>
        </w:rPr>
        <w:t>因</w:t>
      </w:r>
      <w:r>
        <w:rPr>
          <w:spacing w:val="2"/>
          <w:sz w:val="21"/>
        </w:rPr>
        <w:t>疾病</w:t>
      </w:r>
      <w:r>
        <w:rPr>
          <w:sz w:val="21"/>
        </w:rPr>
        <w:t>或意</w:t>
      </w:r>
      <w:r>
        <w:rPr>
          <w:spacing w:val="2"/>
          <w:sz w:val="21"/>
        </w:rPr>
        <w:t>外</w:t>
      </w:r>
      <w:r>
        <w:rPr>
          <w:sz w:val="21"/>
        </w:rPr>
        <w:t>伤</w:t>
      </w:r>
      <w:r>
        <w:rPr>
          <w:spacing w:val="2"/>
          <w:sz w:val="21"/>
        </w:rPr>
        <w:t>害</w:t>
      </w:r>
      <w:r>
        <w:rPr>
          <w:sz w:val="21"/>
        </w:rPr>
        <w:t>导致</w:t>
      </w:r>
      <w:r>
        <w:rPr>
          <w:spacing w:val="2"/>
          <w:sz w:val="21"/>
        </w:rPr>
        <w:t>双</w:t>
      </w:r>
      <w:r>
        <w:rPr>
          <w:sz w:val="21"/>
        </w:rPr>
        <w:t>耳听</w:t>
      </w:r>
      <w:r>
        <w:rPr>
          <w:spacing w:val="5"/>
          <w:sz w:val="21"/>
        </w:rPr>
        <w:t>力</w:t>
      </w:r>
      <w:r>
        <w:rPr>
          <w:sz w:val="21"/>
        </w:rPr>
        <w:t>永久</w:t>
      </w:r>
      <w:r>
        <w:rPr>
          <w:spacing w:val="2"/>
          <w:sz w:val="21"/>
        </w:rPr>
        <w:t>不</w:t>
      </w:r>
      <w:r>
        <w:rPr>
          <w:sz w:val="21"/>
        </w:rPr>
        <w:t>可逆</w:t>
      </w:r>
      <w:r>
        <w:rPr>
          <w:spacing w:val="2"/>
          <w:sz w:val="21"/>
        </w:rPr>
        <w:t>性</w:t>
      </w:r>
      <w:r>
        <w:rPr>
          <w:sz w:val="21"/>
        </w:rPr>
        <w:t>丧</w:t>
      </w:r>
      <w:r>
        <w:rPr>
          <w:spacing w:val="2"/>
          <w:sz w:val="21"/>
        </w:rPr>
        <w:t>失</w:t>
      </w:r>
      <w:r>
        <w:rPr>
          <w:sz w:val="21"/>
        </w:rPr>
        <w:t>，在</w:t>
      </w:r>
      <w:r>
        <w:rPr>
          <w:spacing w:val="26"/>
          <w:sz w:val="21"/>
        </w:rPr>
        <w:t> </w:t>
      </w:r>
      <w:r>
        <w:rPr>
          <w:sz w:val="21"/>
        </w:rPr>
        <w:t>500</w:t>
      </w:r>
      <w:r>
        <w:rPr>
          <w:spacing w:val="18"/>
          <w:sz w:val="21"/>
        </w:rPr>
        <w:t> </w:t>
      </w:r>
      <w:r>
        <w:rPr>
          <w:sz w:val="21"/>
        </w:rPr>
        <w:t>赫兹、</w:t>
      </w:r>
    </w:p>
    <w:p>
      <w:pPr>
        <w:pStyle w:val="BodyText"/>
        <w:spacing w:line="273" w:lineRule="auto" w:before="36"/>
        <w:ind w:left="2091" w:right="280"/>
      </w:pPr>
      <w:r>
        <w:rPr/>
        <w:t>1000</w:t>
      </w:r>
      <w:r>
        <w:rPr>
          <w:spacing w:val="0"/>
        </w:rPr>
        <w:t> 赫兹和 </w:t>
      </w:r>
      <w:r>
        <w:rPr/>
        <w:t>2000</w:t>
      </w:r>
      <w:r>
        <w:rPr>
          <w:spacing w:val="-6"/>
        </w:rPr>
        <w:t> 赫兹语音频率下，平均听阈大于 </w:t>
      </w:r>
      <w:r>
        <w:rPr/>
        <w:t>90</w:t>
      </w:r>
      <w:r>
        <w:rPr>
          <w:spacing w:val="-8"/>
        </w:rPr>
        <w:t> 分贝，且经纯音听力</w:t>
      </w:r>
      <w:r>
        <w:rPr>
          <w:spacing w:val="-5"/>
        </w:rPr>
        <w:t>测试、声导抗检测或听觉诱发电位检测等证实。</w:t>
      </w:r>
    </w:p>
    <w:p>
      <w:pPr>
        <w:pStyle w:val="BodyText"/>
        <w:spacing w:line="273" w:lineRule="auto" w:before="7"/>
        <w:ind w:left="2069" w:right="322" w:firstLine="465"/>
      </w:pPr>
      <w:r>
        <w:rPr/>
        <w:t>除内耳结构损伤等情形外，被保险人申请理赔时年龄必须在三周岁以上，并且提供理赔当时的听力丧失诊断及检查证据。</w:t>
      </w:r>
    </w:p>
    <w:p>
      <w:pPr>
        <w:pStyle w:val="BodyText"/>
        <w:spacing w:before="5"/>
        <w:rPr>
          <w:sz w:val="24"/>
        </w:rPr>
      </w:pPr>
    </w:p>
    <w:p>
      <w:pPr>
        <w:pStyle w:val="ListParagraph"/>
        <w:numPr>
          <w:ilvl w:val="1"/>
          <w:numId w:val="9"/>
        </w:numPr>
        <w:tabs>
          <w:tab w:pos="956" w:val="left" w:leader="none"/>
        </w:tabs>
        <w:spacing w:line="273" w:lineRule="auto" w:before="0" w:after="0"/>
        <w:ind w:left="2091" w:right="278" w:hanging="1829"/>
        <w:jc w:val="both"/>
        <w:rPr>
          <w:sz w:val="21"/>
        </w:rPr>
      </w:pPr>
      <w:r>
        <w:rPr>
          <w:spacing w:val="-4"/>
          <w:sz w:val="21"/>
        </w:rPr>
        <w:t>双目失明      指因疾病或意外伤害导致双眼视力永久不可逆性丧失，双眼中较好眼须满足下列至少一项条件：</w:t>
      </w:r>
    </w:p>
    <w:p>
      <w:pPr>
        <w:pStyle w:val="BodyText"/>
        <w:spacing w:before="7"/>
        <w:ind w:left="2511"/>
      </w:pPr>
      <w:r>
        <w:rPr/>
        <w:t>（1）眼球缺失或摘除；</w:t>
      </w:r>
    </w:p>
    <w:p>
      <w:pPr>
        <w:pStyle w:val="BodyText"/>
        <w:spacing w:line="273" w:lineRule="auto" w:before="37"/>
        <w:ind w:left="2091" w:right="278" w:firstLine="420"/>
      </w:pPr>
      <w:r>
        <w:rPr/>
        <w:t>（2）</w:t>
      </w:r>
      <w:r>
        <w:rPr>
          <w:spacing w:val="2"/>
        </w:rPr>
        <w:t>矫正视力低于 </w:t>
      </w:r>
      <w:r>
        <w:rPr/>
        <w:t>0.02（</w:t>
      </w:r>
      <w:r>
        <w:rPr>
          <w:spacing w:val="-3"/>
        </w:rPr>
        <w:t>采用国际标准视力表，如使用其他视力表应</w:t>
      </w:r>
      <w:r>
        <w:rPr>
          <w:spacing w:val="-3"/>
          <w:w w:val="100"/>
        </w:rPr>
        <w:t>进行换算</w:t>
      </w:r>
      <w:r>
        <w:rPr>
          <w:spacing w:val="-108"/>
          <w:w w:val="100"/>
        </w:rPr>
        <w:t>）</w:t>
      </w:r>
      <w:r>
        <w:rPr>
          <w:w w:val="100"/>
        </w:rPr>
        <w:t>；</w:t>
      </w:r>
    </w:p>
    <w:p>
      <w:pPr>
        <w:spacing w:after="0" w:line="273" w:lineRule="auto"/>
        <w:sectPr>
          <w:pgSz w:w="11910" w:h="16840"/>
          <w:pgMar w:header="836" w:footer="1042" w:top="1100" w:bottom="1240" w:left="1300" w:right="1280"/>
        </w:sectPr>
      </w:pPr>
    </w:p>
    <w:p>
      <w:pPr>
        <w:pStyle w:val="BodyText"/>
        <w:spacing w:before="2"/>
        <w:rPr>
          <w:sz w:val="17"/>
        </w:rPr>
      </w:pPr>
    </w:p>
    <w:p>
      <w:pPr>
        <w:pStyle w:val="BodyText"/>
        <w:spacing w:before="84"/>
        <w:ind w:left="2511"/>
      </w:pPr>
      <w:r>
        <w:rPr/>
        <w:t>（3）视野半径小于 5 度。</w:t>
      </w:r>
    </w:p>
    <w:p>
      <w:pPr>
        <w:pStyle w:val="BodyText"/>
        <w:spacing w:line="273" w:lineRule="auto" w:before="36"/>
        <w:ind w:left="2091" w:right="278" w:firstLine="422"/>
      </w:pPr>
      <w:r>
        <w:rPr/>
        <w:t>除眼球缺失或摘除等情形外，被保险人申请理赔时年龄必须在三周岁以上，并且提供理赔当时的视力丧失诊断及检查证据。</w:t>
      </w:r>
    </w:p>
    <w:p>
      <w:pPr>
        <w:pStyle w:val="BodyText"/>
        <w:spacing w:before="5"/>
        <w:rPr>
          <w:sz w:val="24"/>
        </w:rPr>
      </w:pPr>
    </w:p>
    <w:p>
      <w:pPr>
        <w:pStyle w:val="ListParagraph"/>
        <w:numPr>
          <w:ilvl w:val="1"/>
          <w:numId w:val="9"/>
        </w:numPr>
        <w:tabs>
          <w:tab w:pos="955" w:val="left" w:leader="none"/>
          <w:tab w:pos="956" w:val="left" w:leader="none"/>
          <w:tab w:pos="2511" w:val="left" w:leader="none"/>
        </w:tabs>
        <w:spacing w:line="240" w:lineRule="auto" w:before="0" w:after="0"/>
        <w:ind w:left="2091" w:right="0" w:hanging="1829"/>
        <w:jc w:val="left"/>
        <w:rPr>
          <w:sz w:val="21"/>
        </w:rPr>
      </w:pPr>
      <w:r>
        <w:rPr>
          <w:sz w:val="21"/>
        </w:rPr>
        <w:t>瘫痪</w:t>
        <w:tab/>
        <w:t>指因</w:t>
      </w:r>
      <w:r>
        <w:rPr>
          <w:spacing w:val="-3"/>
          <w:sz w:val="21"/>
        </w:rPr>
        <w:t>疾</w:t>
      </w:r>
      <w:r>
        <w:rPr>
          <w:sz w:val="21"/>
        </w:rPr>
        <w:t>病</w:t>
      </w:r>
      <w:r>
        <w:rPr>
          <w:spacing w:val="-3"/>
          <w:sz w:val="21"/>
        </w:rPr>
        <w:t>或</w:t>
      </w:r>
      <w:r>
        <w:rPr>
          <w:sz w:val="21"/>
        </w:rPr>
        <w:t>意</w:t>
      </w:r>
      <w:r>
        <w:rPr>
          <w:spacing w:val="-3"/>
          <w:sz w:val="21"/>
        </w:rPr>
        <w:t>外</w:t>
      </w:r>
      <w:r>
        <w:rPr>
          <w:sz w:val="21"/>
        </w:rPr>
        <w:t>伤</w:t>
      </w:r>
      <w:r>
        <w:rPr>
          <w:spacing w:val="-5"/>
          <w:sz w:val="21"/>
        </w:rPr>
        <w:t>害</w:t>
      </w:r>
      <w:r>
        <w:rPr>
          <w:sz w:val="21"/>
        </w:rPr>
        <w:t>导</w:t>
      </w:r>
      <w:r>
        <w:rPr>
          <w:spacing w:val="-3"/>
          <w:sz w:val="21"/>
        </w:rPr>
        <w:t>致</w:t>
      </w:r>
      <w:r>
        <w:rPr>
          <w:sz w:val="21"/>
        </w:rPr>
        <w:t>两肢</w:t>
      </w:r>
      <w:r>
        <w:rPr>
          <w:spacing w:val="-3"/>
          <w:sz w:val="21"/>
        </w:rPr>
        <w:t>或</w:t>
      </w:r>
      <w:r>
        <w:rPr>
          <w:sz w:val="21"/>
        </w:rPr>
        <w:t>两</w:t>
      </w:r>
      <w:r>
        <w:rPr>
          <w:spacing w:val="-3"/>
          <w:sz w:val="21"/>
        </w:rPr>
        <w:t>肢</w:t>
      </w:r>
      <w:r>
        <w:rPr>
          <w:sz w:val="21"/>
        </w:rPr>
        <w:t>以</w:t>
      </w:r>
      <w:r>
        <w:rPr>
          <w:spacing w:val="-3"/>
          <w:sz w:val="21"/>
        </w:rPr>
        <w:t>上</w:t>
      </w:r>
      <w:r>
        <w:rPr>
          <w:sz w:val="21"/>
        </w:rPr>
        <w:t>肢</w:t>
      </w:r>
      <w:r>
        <w:rPr>
          <w:spacing w:val="-3"/>
          <w:sz w:val="21"/>
        </w:rPr>
        <w:t>体</w:t>
      </w:r>
      <w:r>
        <w:rPr>
          <w:sz w:val="21"/>
        </w:rPr>
        <w:t>机</w:t>
      </w:r>
      <w:r>
        <w:rPr>
          <w:spacing w:val="-3"/>
          <w:sz w:val="21"/>
        </w:rPr>
        <w:t>能</w:t>
      </w:r>
      <w:r>
        <w:rPr>
          <w:sz w:val="21"/>
        </w:rPr>
        <w:t>永久</w:t>
      </w:r>
      <w:r>
        <w:rPr>
          <w:spacing w:val="-5"/>
          <w:sz w:val="21"/>
        </w:rPr>
        <w:t>完</w:t>
      </w:r>
      <w:r>
        <w:rPr>
          <w:sz w:val="21"/>
        </w:rPr>
        <w:t>全</w:t>
      </w:r>
      <w:r>
        <w:rPr>
          <w:spacing w:val="-3"/>
          <w:sz w:val="21"/>
        </w:rPr>
        <w:t>丧</w:t>
      </w:r>
      <w:r>
        <w:rPr>
          <w:sz w:val="21"/>
        </w:rPr>
        <w:t>失。</w:t>
      </w:r>
    </w:p>
    <w:p>
      <w:pPr>
        <w:pStyle w:val="BodyText"/>
        <w:spacing w:line="273" w:lineRule="auto" w:before="37"/>
        <w:ind w:left="2091" w:right="172" w:firstLine="441"/>
      </w:pPr>
      <w:r>
        <w:rPr>
          <w:spacing w:val="-15"/>
        </w:rPr>
        <w:t>肢体机能永久完全丧失，指疾病确诊 </w:t>
      </w:r>
      <w:r>
        <w:rPr/>
        <w:t>180</w:t>
      </w:r>
      <w:r>
        <w:rPr>
          <w:spacing w:val="-13"/>
        </w:rPr>
        <w:t> 天后或意外伤害发生 </w:t>
      </w:r>
      <w:r>
        <w:rPr/>
        <w:t>180</w:t>
      </w:r>
      <w:r>
        <w:rPr>
          <w:spacing w:val="-13"/>
        </w:rPr>
        <w:t> 天后， </w:t>
      </w:r>
      <w:r>
        <w:rPr>
          <w:spacing w:val="-6"/>
        </w:rPr>
        <w:t>每肢三大关节中的两大关节仍然完全僵硬，或不能随意识活动。</w:t>
      </w:r>
    </w:p>
    <w:p>
      <w:pPr>
        <w:pStyle w:val="BodyText"/>
        <w:spacing w:before="12"/>
        <w:rPr>
          <w:sz w:val="17"/>
        </w:rPr>
      </w:pPr>
    </w:p>
    <w:p>
      <w:pPr>
        <w:spacing w:after="0"/>
        <w:rPr>
          <w:sz w:val="17"/>
        </w:rPr>
        <w:sectPr>
          <w:footerReference w:type="default" r:id="rId10"/>
          <w:pgSz w:w="11910" w:h="16840"/>
          <w:pgMar w:footer="1042" w:header="836" w:top="1100" w:bottom="1240" w:left="1300" w:right="1280"/>
          <w:pgNumType w:start="10"/>
        </w:sectPr>
      </w:pPr>
    </w:p>
    <w:p>
      <w:pPr>
        <w:pStyle w:val="ListParagraph"/>
        <w:numPr>
          <w:ilvl w:val="1"/>
          <w:numId w:val="9"/>
        </w:numPr>
        <w:tabs>
          <w:tab w:pos="955" w:val="left" w:leader="none"/>
          <w:tab w:pos="956" w:val="left" w:leader="none"/>
        </w:tabs>
        <w:spacing w:line="273" w:lineRule="auto" w:before="85" w:after="0"/>
        <w:ind w:left="956" w:right="0" w:hanging="694"/>
        <w:jc w:val="left"/>
        <w:rPr>
          <w:sz w:val="21"/>
        </w:rPr>
      </w:pPr>
      <w:r>
        <w:rPr>
          <w:spacing w:val="15"/>
          <w:sz w:val="21"/>
        </w:rPr>
        <w:t>心脏瓣膜手术</w:t>
      </w:r>
    </w:p>
    <w:p>
      <w:pPr>
        <w:pStyle w:val="BodyText"/>
        <w:spacing w:line="273" w:lineRule="auto"/>
        <w:ind w:left="176" w:right="278" w:firstLine="420"/>
      </w:pPr>
      <w:r>
        <w:rPr/>
        <w:br w:type="column"/>
      </w:r>
      <w:r>
        <w:rPr/>
        <w:t>指为治疗心脏瓣膜疾病，实际实施了开胸进行的心脏瓣膜置换或修复的手术。</w:t>
      </w:r>
    </w:p>
    <w:p>
      <w:pPr>
        <w:spacing w:after="0" w:line="273" w:lineRule="auto"/>
        <w:sectPr>
          <w:type w:val="continuous"/>
          <w:pgSz w:w="11910" w:h="16840"/>
          <w:pgMar w:top="1100" w:bottom="1240" w:left="1300" w:right="1280"/>
          <w:cols w:num="2" w:equalWidth="0">
            <w:col w:w="1875" w:space="40"/>
            <w:col w:w="7415"/>
          </w:cols>
        </w:sectPr>
      </w:pPr>
    </w:p>
    <w:p>
      <w:pPr>
        <w:pStyle w:val="BodyText"/>
        <w:spacing w:before="12"/>
        <w:rPr>
          <w:sz w:val="17"/>
        </w:rPr>
      </w:pPr>
    </w:p>
    <w:p>
      <w:pPr>
        <w:spacing w:after="0"/>
        <w:rPr>
          <w:sz w:val="17"/>
        </w:rPr>
        <w:sectPr>
          <w:type w:val="continuous"/>
          <w:pgSz w:w="11910" w:h="16840"/>
          <w:pgMar w:top="1100" w:bottom="1240" w:left="1300" w:right="1280"/>
        </w:sectPr>
      </w:pPr>
    </w:p>
    <w:p>
      <w:pPr>
        <w:pStyle w:val="ListParagraph"/>
        <w:numPr>
          <w:ilvl w:val="1"/>
          <w:numId w:val="9"/>
        </w:numPr>
        <w:tabs>
          <w:tab w:pos="955" w:val="left" w:leader="none"/>
          <w:tab w:pos="956" w:val="left" w:leader="none"/>
        </w:tabs>
        <w:spacing w:line="240" w:lineRule="auto" w:before="85" w:after="0"/>
        <w:ind w:left="2091" w:right="0" w:hanging="1829"/>
        <w:jc w:val="left"/>
        <w:rPr>
          <w:sz w:val="21"/>
        </w:rPr>
      </w:pPr>
      <w:r>
        <w:rPr>
          <w:spacing w:val="15"/>
          <w:sz w:val="21"/>
        </w:rPr>
        <w:t>严重阿尔</w:t>
      </w:r>
    </w:p>
    <w:p>
      <w:pPr>
        <w:pStyle w:val="BodyText"/>
        <w:spacing w:before="37"/>
        <w:ind w:left="955"/>
      </w:pPr>
      <w:r>
        <w:rPr/>
        <w:t>茨海默病</w:t>
      </w:r>
    </w:p>
    <w:p>
      <w:pPr>
        <w:pStyle w:val="BodyText"/>
        <w:spacing w:line="273" w:lineRule="auto"/>
        <w:ind w:left="176" w:right="278" w:firstLine="420"/>
        <w:jc w:val="both"/>
      </w:pPr>
      <w:r>
        <w:rPr/>
        <w:br w:type="column"/>
      </w:r>
      <w:r>
        <w:rPr>
          <w:spacing w:val="-4"/>
        </w:rPr>
        <w:t>指因大脑进行性、不可逆性改变导致智能严重衰退或丧失，临床表现为</w:t>
      </w:r>
      <w:r>
        <w:rPr>
          <w:spacing w:val="-5"/>
        </w:rPr>
        <w:t>明显的认知能力障碍、行为异常和社交能力减退，其日常生活必须持续受到</w:t>
      </w:r>
      <w:r>
        <w:rPr>
          <w:spacing w:val="-5"/>
          <w:w w:val="100"/>
        </w:rPr>
        <w:t>他人监护。须由头颅断层扫描</w:t>
      </w:r>
      <w:r>
        <w:rPr>
          <w:w w:val="100"/>
        </w:rPr>
        <w:t>（C</w:t>
      </w:r>
      <w:r>
        <w:rPr>
          <w:spacing w:val="-3"/>
          <w:w w:val="100"/>
        </w:rPr>
        <w:t>T</w:t>
      </w:r>
      <w:r>
        <w:rPr>
          <w:spacing w:val="-104"/>
          <w:w w:val="100"/>
        </w:rPr>
        <w:t>）</w:t>
      </w:r>
      <w:r>
        <w:rPr>
          <w:spacing w:val="-3"/>
          <w:w w:val="100"/>
        </w:rPr>
        <w:t>、核磁共振检查</w:t>
      </w:r>
      <w:r>
        <w:rPr>
          <w:w w:val="100"/>
        </w:rPr>
        <w:t>（MRI）</w:t>
      </w:r>
      <w:r>
        <w:rPr>
          <w:spacing w:val="-3"/>
          <w:w w:val="100"/>
        </w:rPr>
        <w:t>或正电子发射断</w:t>
      </w:r>
      <w:r>
        <w:rPr>
          <w:spacing w:val="-10"/>
        </w:rPr>
        <w:t>层扫描</w:t>
      </w:r>
      <w:r>
        <w:rPr>
          <w:spacing w:val="-6"/>
        </w:rPr>
        <w:t>（PET）</w:t>
      </w:r>
      <w:r>
        <w:rPr>
          <w:spacing w:val="-7"/>
        </w:rPr>
        <w:t>等影像学检查证实，且自主生活能力完全丧失，无法独立完成</w:t>
      </w:r>
      <w:r>
        <w:rPr>
          <w:spacing w:val="-5"/>
        </w:rPr>
        <w:t>六项基本日常生活活动中的三项或三项以上。</w:t>
      </w:r>
    </w:p>
    <w:p>
      <w:pPr>
        <w:pStyle w:val="BodyText"/>
        <w:spacing w:before="8"/>
        <w:ind w:left="598"/>
      </w:pPr>
      <w:r>
        <w:rPr/>
        <w:t>神经官能症和精神疾病不在保障范围内。</w:t>
      </w:r>
    </w:p>
    <w:p>
      <w:pPr>
        <w:spacing w:after="0"/>
        <w:sectPr>
          <w:type w:val="continuous"/>
          <w:pgSz w:w="11910" w:h="16840"/>
          <w:pgMar w:top="1100" w:bottom="1240" w:left="1300" w:right="1280"/>
          <w:cols w:num="2" w:equalWidth="0">
            <w:col w:w="1875" w:space="40"/>
            <w:col w:w="7415"/>
          </w:cols>
        </w:sectPr>
      </w:pPr>
    </w:p>
    <w:p>
      <w:pPr>
        <w:pStyle w:val="BodyText"/>
        <w:spacing w:before="3"/>
        <w:rPr>
          <w:sz w:val="20"/>
        </w:rPr>
      </w:pPr>
    </w:p>
    <w:p>
      <w:pPr>
        <w:spacing w:after="0"/>
        <w:rPr>
          <w:sz w:val="20"/>
        </w:rPr>
        <w:sectPr>
          <w:type w:val="continuous"/>
          <w:pgSz w:w="11910" w:h="16840"/>
          <w:pgMar w:top="1100" w:bottom="1240" w:left="1300" w:right="1280"/>
        </w:sectPr>
      </w:pPr>
    </w:p>
    <w:p>
      <w:pPr>
        <w:pStyle w:val="ListParagraph"/>
        <w:numPr>
          <w:ilvl w:val="1"/>
          <w:numId w:val="9"/>
        </w:numPr>
        <w:tabs>
          <w:tab w:pos="955" w:val="left" w:leader="none"/>
          <w:tab w:pos="956" w:val="left" w:leader="none"/>
        </w:tabs>
        <w:spacing w:line="273" w:lineRule="auto" w:before="84" w:after="0"/>
        <w:ind w:left="956" w:right="0" w:hanging="694"/>
        <w:jc w:val="left"/>
        <w:rPr>
          <w:sz w:val="21"/>
        </w:rPr>
      </w:pPr>
      <w:r>
        <w:rPr>
          <w:spacing w:val="15"/>
          <w:sz w:val="21"/>
        </w:rPr>
        <w:t>严重脑损伤</w:t>
      </w:r>
    </w:p>
    <w:p>
      <w:pPr>
        <w:pStyle w:val="BodyText"/>
        <w:spacing w:line="273" w:lineRule="auto" w:before="84"/>
        <w:ind w:left="176" w:right="278" w:firstLine="420"/>
        <w:jc w:val="both"/>
      </w:pPr>
      <w:r>
        <w:rPr/>
        <w:br w:type="column"/>
      </w:r>
      <w:r>
        <w:rPr>
          <w:spacing w:val="-4"/>
        </w:rPr>
        <w:t>指因头部遭受机械性外力，引起脑重要部位损伤，导致神经系统永久性</w:t>
      </w:r>
      <w:r>
        <w:rPr>
          <w:spacing w:val="-4"/>
          <w:w w:val="100"/>
        </w:rPr>
        <w:t>的功能障碍。须由头颅断层扫描</w:t>
      </w:r>
      <w:r>
        <w:rPr>
          <w:w w:val="100"/>
        </w:rPr>
        <w:t>（C</w:t>
      </w:r>
      <w:r>
        <w:rPr>
          <w:spacing w:val="-3"/>
          <w:w w:val="100"/>
        </w:rPr>
        <w:t>T</w:t>
      </w:r>
      <w:r>
        <w:rPr>
          <w:spacing w:val="-104"/>
          <w:w w:val="100"/>
        </w:rPr>
        <w:t>）</w:t>
      </w:r>
      <w:r>
        <w:rPr>
          <w:spacing w:val="-3"/>
          <w:w w:val="100"/>
        </w:rPr>
        <w:t>、核磁共振检查</w:t>
      </w:r>
      <w:r>
        <w:rPr>
          <w:w w:val="100"/>
        </w:rPr>
        <w:t>（MRI）</w:t>
      </w:r>
      <w:r>
        <w:rPr>
          <w:spacing w:val="-3"/>
          <w:w w:val="100"/>
        </w:rPr>
        <w:t>或正电子发射</w:t>
      </w:r>
      <w:r>
        <w:rPr>
          <w:spacing w:val="-8"/>
        </w:rPr>
        <w:t>断层扫描</w:t>
      </w:r>
      <w:r>
        <w:rPr>
          <w:spacing w:val="-6"/>
        </w:rPr>
        <w:t>（PET）</w:t>
      </w:r>
      <w:r>
        <w:rPr>
          <w:spacing w:val="-7"/>
        </w:rPr>
        <w:t>等影像学检查证实。神经系统永久性的功能障碍，指脑损伤</w:t>
      </w:r>
    </w:p>
    <w:p>
      <w:pPr>
        <w:pStyle w:val="BodyText"/>
        <w:spacing w:before="7"/>
        <w:ind w:left="176"/>
      </w:pPr>
      <w:r>
        <w:rPr/>
        <w:t>180 天后，仍遗留下列一种或一种以上障碍：</w:t>
      </w:r>
    </w:p>
    <w:p>
      <w:pPr>
        <w:pStyle w:val="BodyText"/>
        <w:spacing w:before="37"/>
        <w:ind w:left="596"/>
      </w:pPr>
      <w:r>
        <w:rPr/>
        <w:t>（1）一肢或一肢以上肢体机能完全丧失；</w:t>
      </w:r>
    </w:p>
    <w:p>
      <w:pPr>
        <w:pStyle w:val="BodyText"/>
        <w:spacing w:before="37"/>
        <w:ind w:left="596"/>
      </w:pPr>
      <w:r>
        <w:rPr/>
        <w:t>（2）语言能力或咀嚼吞咽能力完全丧失；</w:t>
      </w:r>
    </w:p>
    <w:p>
      <w:pPr>
        <w:pStyle w:val="BodyText"/>
        <w:spacing w:line="273" w:lineRule="auto" w:before="37"/>
        <w:ind w:left="176" w:right="278" w:firstLine="420"/>
      </w:pPr>
      <w:r>
        <w:rPr>
          <w:spacing w:val="-15"/>
        </w:rPr>
        <w:t>（3）</w:t>
      </w:r>
      <w:r>
        <w:rPr>
          <w:spacing w:val="-7"/>
        </w:rPr>
        <w:t>自主生活能力完全丧失，无法独立完成六项基本日常生活活动中的</w:t>
      </w:r>
      <w:r>
        <w:rPr>
          <w:spacing w:val="-5"/>
        </w:rPr>
        <w:t>三项或三项以上。</w:t>
      </w:r>
    </w:p>
    <w:p>
      <w:pPr>
        <w:spacing w:after="0" w:line="273" w:lineRule="auto"/>
        <w:sectPr>
          <w:type w:val="continuous"/>
          <w:pgSz w:w="11910" w:h="16840"/>
          <w:pgMar w:top="1100" w:bottom="1240" w:left="1300" w:right="1280"/>
          <w:cols w:num="2" w:equalWidth="0">
            <w:col w:w="1875" w:space="40"/>
            <w:col w:w="7415"/>
          </w:cols>
        </w:sectPr>
      </w:pPr>
    </w:p>
    <w:p>
      <w:pPr>
        <w:pStyle w:val="BodyText"/>
        <w:spacing w:before="12"/>
        <w:rPr>
          <w:sz w:val="17"/>
        </w:rPr>
      </w:pPr>
    </w:p>
    <w:p>
      <w:pPr>
        <w:spacing w:after="0"/>
        <w:rPr>
          <w:sz w:val="17"/>
        </w:rPr>
        <w:sectPr>
          <w:type w:val="continuous"/>
          <w:pgSz w:w="11910" w:h="16840"/>
          <w:pgMar w:top="1100" w:bottom="1240" w:left="1300" w:right="1280"/>
        </w:sectPr>
      </w:pPr>
    </w:p>
    <w:p>
      <w:pPr>
        <w:pStyle w:val="ListParagraph"/>
        <w:numPr>
          <w:ilvl w:val="1"/>
          <w:numId w:val="9"/>
        </w:numPr>
        <w:tabs>
          <w:tab w:pos="955" w:val="left" w:leader="none"/>
          <w:tab w:pos="956" w:val="left" w:leader="none"/>
        </w:tabs>
        <w:spacing w:line="273" w:lineRule="auto" w:before="85" w:after="0"/>
        <w:ind w:left="956" w:right="0" w:hanging="694"/>
        <w:jc w:val="left"/>
        <w:rPr>
          <w:sz w:val="21"/>
        </w:rPr>
      </w:pPr>
      <w:r>
        <w:rPr>
          <w:spacing w:val="15"/>
          <w:sz w:val="21"/>
        </w:rPr>
        <w:t>严重帕金森病</w:t>
      </w:r>
    </w:p>
    <w:p>
      <w:pPr>
        <w:pStyle w:val="BodyText"/>
        <w:spacing w:line="273" w:lineRule="auto"/>
        <w:ind w:left="176" w:right="172" w:firstLine="420"/>
      </w:pPr>
      <w:r>
        <w:rPr/>
        <w:br w:type="column"/>
      </w:r>
      <w:r>
        <w:rPr>
          <w:spacing w:val="-9"/>
        </w:rPr>
        <w:t>是一种中枢神经系统的退行性疾病，临床表现为震颤麻痹、共济失调等。</w:t>
      </w:r>
      <w:r>
        <w:rPr>
          <w:spacing w:val="-5"/>
        </w:rPr>
        <w:t>须满足下列全部条件：</w:t>
      </w:r>
    </w:p>
    <w:p>
      <w:pPr>
        <w:pStyle w:val="BodyText"/>
        <w:spacing w:before="7"/>
        <w:ind w:left="596"/>
      </w:pPr>
      <w:r>
        <w:rPr/>
        <w:t>（1）药物治疗无法控制病情；</w:t>
      </w:r>
    </w:p>
    <w:p>
      <w:pPr>
        <w:pStyle w:val="BodyText"/>
        <w:spacing w:line="273" w:lineRule="auto" w:before="36"/>
        <w:ind w:left="176" w:right="278" w:firstLine="420"/>
      </w:pPr>
      <w:r>
        <w:rPr>
          <w:spacing w:val="-15"/>
        </w:rPr>
        <w:t>（2）</w:t>
      </w:r>
      <w:r>
        <w:rPr>
          <w:spacing w:val="-7"/>
        </w:rPr>
        <w:t>自主生活能力完全丧失，无法独立完成六项基本日常生活活动中的</w:t>
      </w:r>
      <w:r>
        <w:rPr>
          <w:spacing w:val="-5"/>
        </w:rPr>
        <w:t>三项或三项以上。</w:t>
      </w:r>
    </w:p>
    <w:p>
      <w:pPr>
        <w:pStyle w:val="BodyText"/>
        <w:spacing w:before="7"/>
        <w:ind w:left="598"/>
      </w:pPr>
      <w:r>
        <w:rPr/>
        <w:t>继发性帕金森综合征不在保障范围内。</w:t>
      </w:r>
    </w:p>
    <w:p>
      <w:pPr>
        <w:spacing w:after="0"/>
        <w:sectPr>
          <w:type w:val="continuous"/>
          <w:pgSz w:w="11910" w:h="16840"/>
          <w:pgMar w:top="1100" w:bottom="1240" w:left="1300" w:right="1280"/>
          <w:cols w:num="2" w:equalWidth="0">
            <w:col w:w="1875" w:space="40"/>
            <w:col w:w="7415"/>
          </w:cols>
        </w:sectPr>
      </w:pPr>
    </w:p>
    <w:p>
      <w:pPr>
        <w:pStyle w:val="BodyText"/>
        <w:spacing w:before="2"/>
        <w:rPr>
          <w:sz w:val="20"/>
        </w:rPr>
      </w:pPr>
    </w:p>
    <w:p>
      <w:pPr>
        <w:spacing w:after="0"/>
        <w:rPr>
          <w:sz w:val="20"/>
        </w:rPr>
        <w:sectPr>
          <w:type w:val="continuous"/>
          <w:pgSz w:w="11910" w:h="16840"/>
          <w:pgMar w:top="1100" w:bottom="1240" w:left="1300" w:right="1280"/>
        </w:sectPr>
      </w:pPr>
    </w:p>
    <w:p>
      <w:pPr>
        <w:pStyle w:val="ListParagraph"/>
        <w:numPr>
          <w:ilvl w:val="1"/>
          <w:numId w:val="9"/>
        </w:numPr>
        <w:tabs>
          <w:tab w:pos="955" w:val="left" w:leader="none"/>
          <w:tab w:pos="956" w:val="left" w:leader="none"/>
        </w:tabs>
        <w:spacing w:line="273" w:lineRule="auto" w:before="85" w:after="0"/>
        <w:ind w:left="956" w:right="0" w:hanging="694"/>
        <w:jc w:val="left"/>
        <w:rPr>
          <w:sz w:val="21"/>
        </w:rPr>
      </w:pPr>
      <w:r>
        <w:rPr>
          <w:spacing w:val="-7"/>
          <w:sz w:val="21"/>
        </w:rPr>
        <w:t>严重Ⅲ 度烧伤</w:t>
      </w:r>
    </w:p>
    <w:p>
      <w:pPr>
        <w:pStyle w:val="BodyText"/>
        <w:spacing w:line="273" w:lineRule="auto"/>
        <w:ind w:left="176" w:right="280" w:firstLine="420"/>
      </w:pPr>
      <w:r>
        <w:rPr/>
        <w:br w:type="column"/>
      </w:r>
      <w:r>
        <w:rPr/>
        <w:t>指烧伤程度为Ⅲ度，且Ⅲ度烧伤的面积达到全身体表面积的 20%或 20% 以上。体表面积根据《中国新九分法》计算。</w:t>
      </w:r>
    </w:p>
    <w:p>
      <w:pPr>
        <w:spacing w:after="0" w:line="273" w:lineRule="auto"/>
        <w:sectPr>
          <w:type w:val="continuous"/>
          <w:pgSz w:w="11910" w:h="16840"/>
          <w:pgMar w:top="1100" w:bottom="1240" w:left="1300" w:right="1280"/>
          <w:cols w:num="2" w:equalWidth="0">
            <w:col w:w="1875" w:space="40"/>
            <w:col w:w="7415"/>
          </w:cols>
        </w:sectPr>
      </w:pPr>
    </w:p>
    <w:p>
      <w:pPr>
        <w:pStyle w:val="BodyText"/>
        <w:spacing w:before="12"/>
        <w:rPr>
          <w:sz w:val="17"/>
        </w:rPr>
      </w:pPr>
    </w:p>
    <w:p>
      <w:pPr>
        <w:spacing w:after="0"/>
        <w:rPr>
          <w:sz w:val="17"/>
        </w:rPr>
        <w:sectPr>
          <w:type w:val="continuous"/>
          <w:pgSz w:w="11910" w:h="16840"/>
          <w:pgMar w:top="1100" w:bottom="1240" w:left="1300" w:right="1280"/>
        </w:sectPr>
      </w:pPr>
    </w:p>
    <w:p>
      <w:pPr>
        <w:pStyle w:val="ListParagraph"/>
        <w:numPr>
          <w:ilvl w:val="1"/>
          <w:numId w:val="9"/>
        </w:numPr>
        <w:tabs>
          <w:tab w:pos="955" w:val="left" w:leader="none"/>
          <w:tab w:pos="956" w:val="left" w:leader="none"/>
        </w:tabs>
        <w:spacing w:line="240" w:lineRule="auto" w:before="85" w:after="0"/>
        <w:ind w:left="2091" w:right="0" w:hanging="1829"/>
        <w:jc w:val="left"/>
        <w:rPr>
          <w:sz w:val="21"/>
        </w:rPr>
      </w:pPr>
      <w:r>
        <w:rPr>
          <w:spacing w:val="15"/>
          <w:sz w:val="21"/>
        </w:rPr>
        <w:t>严重原发</w:t>
      </w:r>
    </w:p>
    <w:p>
      <w:pPr>
        <w:pStyle w:val="BodyText"/>
        <w:spacing w:line="273" w:lineRule="auto" w:before="37"/>
        <w:ind w:left="955"/>
      </w:pPr>
      <w:r>
        <w:rPr/>
        <w:t>性肺动脉高压</w:t>
      </w:r>
    </w:p>
    <w:p>
      <w:pPr>
        <w:pStyle w:val="BodyText"/>
        <w:spacing w:line="273" w:lineRule="auto"/>
        <w:ind w:left="154" w:right="278" w:firstLine="420"/>
        <w:jc w:val="both"/>
      </w:pPr>
      <w:r>
        <w:rPr/>
        <w:br w:type="column"/>
      </w:r>
      <w:r>
        <w:rPr/>
        <w:t>指不明原因的肺动脉压力持续性增高，进行性发展而导致的慢性疾病， 已经造成永久不可逆性的体力活动能力受限，达到美国纽约心脏病学会心功能状态分级Ⅳ级，且静息状态下肺动脉平均压超过 30mmHg。</w:t>
      </w:r>
    </w:p>
    <w:p>
      <w:pPr>
        <w:spacing w:after="0" w:line="273" w:lineRule="auto"/>
        <w:jc w:val="both"/>
        <w:sectPr>
          <w:type w:val="continuous"/>
          <w:pgSz w:w="11910" w:h="16840"/>
          <w:pgMar w:top="1100" w:bottom="1240" w:left="1300" w:right="1280"/>
          <w:cols w:num="2" w:equalWidth="0">
            <w:col w:w="1875" w:space="40"/>
            <w:col w:w="7415"/>
          </w:cols>
        </w:sectPr>
      </w:pPr>
    </w:p>
    <w:p>
      <w:pPr>
        <w:pStyle w:val="BodyText"/>
        <w:spacing w:before="12"/>
        <w:rPr>
          <w:sz w:val="17"/>
        </w:rPr>
      </w:pPr>
    </w:p>
    <w:p>
      <w:pPr>
        <w:spacing w:after="0"/>
        <w:rPr>
          <w:sz w:val="17"/>
        </w:rPr>
        <w:sectPr>
          <w:type w:val="continuous"/>
          <w:pgSz w:w="11910" w:h="16840"/>
          <w:pgMar w:top="1100" w:bottom="1240" w:left="1300" w:right="1280"/>
        </w:sectPr>
      </w:pPr>
    </w:p>
    <w:p>
      <w:pPr>
        <w:pStyle w:val="ListParagraph"/>
        <w:numPr>
          <w:ilvl w:val="1"/>
          <w:numId w:val="9"/>
        </w:numPr>
        <w:tabs>
          <w:tab w:pos="955" w:val="left" w:leader="none"/>
          <w:tab w:pos="956" w:val="left" w:leader="none"/>
        </w:tabs>
        <w:spacing w:line="240" w:lineRule="auto" w:before="85" w:after="0"/>
        <w:ind w:left="2091" w:right="0" w:hanging="1829"/>
        <w:jc w:val="left"/>
        <w:rPr>
          <w:sz w:val="21"/>
        </w:rPr>
      </w:pPr>
      <w:r>
        <w:rPr>
          <w:spacing w:val="15"/>
          <w:sz w:val="21"/>
        </w:rPr>
        <w:t>严重运动</w:t>
      </w:r>
    </w:p>
    <w:p>
      <w:pPr>
        <w:pStyle w:val="BodyText"/>
        <w:spacing w:before="37"/>
        <w:ind w:left="955"/>
      </w:pPr>
      <w:r>
        <w:rPr/>
        <w:t>神经元病</w:t>
      </w:r>
    </w:p>
    <w:p>
      <w:pPr>
        <w:pStyle w:val="BodyText"/>
        <w:spacing w:line="273" w:lineRule="auto"/>
        <w:ind w:left="176" w:right="278" w:firstLine="420"/>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w:t>
      </w:r>
    </w:p>
    <w:p>
      <w:pPr>
        <w:spacing w:after="0" w:line="273" w:lineRule="auto"/>
        <w:jc w:val="both"/>
        <w:sectPr>
          <w:type w:val="continuous"/>
          <w:pgSz w:w="11910" w:h="16840"/>
          <w:pgMar w:top="1100" w:bottom="1240" w:left="1300" w:right="1280"/>
          <w:cols w:num="2" w:equalWidth="0">
            <w:col w:w="1875" w:space="40"/>
            <w:col w:w="7415"/>
          </w:cols>
        </w:sectPr>
      </w:pPr>
    </w:p>
    <w:p>
      <w:pPr>
        <w:pStyle w:val="BodyText"/>
        <w:spacing w:before="2"/>
        <w:rPr>
          <w:sz w:val="17"/>
        </w:rPr>
      </w:pPr>
    </w:p>
    <w:p>
      <w:pPr>
        <w:pStyle w:val="BodyText"/>
        <w:spacing w:before="84"/>
        <w:ind w:left="2091"/>
      </w:pPr>
      <w:r>
        <w:rPr/>
        <w:t>三项以上的条件。</w:t>
      </w:r>
    </w:p>
    <w:p>
      <w:pPr>
        <w:pStyle w:val="BodyText"/>
        <w:spacing w:before="2"/>
        <w:rPr>
          <w:sz w:val="20"/>
        </w:rPr>
      </w:pPr>
    </w:p>
    <w:p>
      <w:pPr>
        <w:spacing w:after="0"/>
        <w:rPr>
          <w:sz w:val="20"/>
        </w:rPr>
        <w:sectPr>
          <w:pgSz w:w="11910" w:h="16840"/>
          <w:pgMar w:header="836" w:footer="1042" w:top="1100" w:bottom="1240" w:left="1300" w:right="1280"/>
        </w:sectPr>
      </w:pPr>
    </w:p>
    <w:p>
      <w:pPr>
        <w:pStyle w:val="ListParagraph"/>
        <w:numPr>
          <w:ilvl w:val="1"/>
          <w:numId w:val="9"/>
        </w:numPr>
        <w:tabs>
          <w:tab w:pos="955" w:val="left" w:leader="none"/>
          <w:tab w:pos="956" w:val="left" w:leader="none"/>
        </w:tabs>
        <w:spacing w:line="273" w:lineRule="auto" w:before="85" w:after="0"/>
        <w:ind w:left="956" w:right="0" w:hanging="694"/>
        <w:jc w:val="left"/>
        <w:rPr>
          <w:sz w:val="21"/>
        </w:rPr>
      </w:pPr>
      <w:r>
        <w:rPr>
          <w:spacing w:val="15"/>
          <w:sz w:val="21"/>
        </w:rPr>
        <w:t>语言能力丧失</w:t>
      </w:r>
    </w:p>
    <w:p>
      <w:pPr>
        <w:pStyle w:val="BodyText"/>
        <w:spacing w:line="273" w:lineRule="auto"/>
        <w:ind w:left="176" w:right="278" w:firstLine="420"/>
        <w:jc w:val="both"/>
      </w:pPr>
      <w:r>
        <w:rPr/>
        <w:br w:type="column"/>
      </w:r>
      <w:r>
        <w:rPr>
          <w:spacing w:val="-4"/>
        </w:rPr>
        <w:t>指因疾病或意外伤害导致完全丧失语言能力，经过积极治疗至少 </w:t>
      </w:r>
      <w:r>
        <w:rPr/>
        <w:t>12</w:t>
      </w:r>
      <w:r>
        <w:rPr>
          <w:spacing w:val="7"/>
        </w:rPr>
        <w:t> 个</w:t>
      </w:r>
      <w:r>
        <w:rPr>
          <w:spacing w:val="7"/>
          <w:w w:val="100"/>
        </w:rPr>
        <w:t>月（</w:t>
      </w:r>
      <w:r>
        <w:rPr>
          <w:spacing w:val="-4"/>
          <w:w w:val="100"/>
        </w:rPr>
        <w:t>声带完全切除不受此时间限制</w:t>
      </w:r>
      <w:r>
        <w:rPr>
          <w:spacing w:val="-108"/>
          <w:w w:val="100"/>
        </w:rPr>
        <w:t>）</w:t>
      </w:r>
      <w:r>
        <w:rPr>
          <w:spacing w:val="-4"/>
          <w:w w:val="100"/>
        </w:rPr>
        <w:t>，仍无法通过现有医疗手段恢复。</w:t>
      </w:r>
    </w:p>
    <w:p>
      <w:pPr>
        <w:pStyle w:val="BodyText"/>
        <w:spacing w:line="273" w:lineRule="auto" w:before="8"/>
        <w:ind w:left="176" w:right="280" w:firstLine="422"/>
        <w:jc w:val="both"/>
      </w:pPr>
      <w:r>
        <w:rPr>
          <w:spacing w:val="0"/>
        </w:rPr>
        <w:t>除声带完全切除等情形外，被保险人申请理赔时年龄必须在三周岁以</w:t>
      </w:r>
      <w:r>
        <w:rPr>
          <w:spacing w:val="-4"/>
        </w:rPr>
        <w:t>上，并且提供理赔当时的语言能力丧失诊断及检查证据。精神心理因素所致的语言能力丧失不在保障范围内。</w:t>
      </w:r>
    </w:p>
    <w:p>
      <w:pPr>
        <w:spacing w:after="0" w:line="273" w:lineRule="auto"/>
        <w:jc w:val="both"/>
        <w:sectPr>
          <w:type w:val="continuous"/>
          <w:pgSz w:w="11910" w:h="16840"/>
          <w:pgMar w:top="1100" w:bottom="1240" w:left="1300" w:right="1280"/>
          <w:cols w:num="2" w:equalWidth="0">
            <w:col w:w="1875" w:space="40"/>
            <w:col w:w="7415"/>
          </w:cols>
        </w:sectPr>
      </w:pPr>
    </w:p>
    <w:p>
      <w:pPr>
        <w:pStyle w:val="BodyText"/>
        <w:spacing w:before="12"/>
        <w:rPr>
          <w:sz w:val="17"/>
        </w:rPr>
      </w:pPr>
    </w:p>
    <w:p>
      <w:pPr>
        <w:spacing w:after="0"/>
        <w:rPr>
          <w:sz w:val="17"/>
        </w:rPr>
        <w:sectPr>
          <w:type w:val="continuous"/>
          <w:pgSz w:w="11910" w:h="16840"/>
          <w:pgMar w:top="1100" w:bottom="1240" w:left="1300" w:right="1280"/>
        </w:sectPr>
      </w:pPr>
    </w:p>
    <w:p>
      <w:pPr>
        <w:pStyle w:val="ListParagraph"/>
        <w:numPr>
          <w:ilvl w:val="1"/>
          <w:numId w:val="9"/>
        </w:numPr>
        <w:tabs>
          <w:tab w:pos="955" w:val="left" w:leader="none"/>
          <w:tab w:pos="956" w:val="left" w:leader="none"/>
        </w:tabs>
        <w:spacing w:line="240" w:lineRule="auto" w:before="85" w:after="0"/>
        <w:ind w:left="2091" w:right="0" w:hanging="1829"/>
        <w:jc w:val="left"/>
        <w:rPr>
          <w:sz w:val="21"/>
        </w:rPr>
      </w:pPr>
      <w:r>
        <w:rPr>
          <w:spacing w:val="15"/>
          <w:sz w:val="21"/>
        </w:rPr>
        <w:t>重型再生</w:t>
      </w:r>
    </w:p>
    <w:p>
      <w:pPr>
        <w:pStyle w:val="BodyText"/>
        <w:spacing w:line="273" w:lineRule="auto" w:before="37"/>
        <w:ind w:left="955"/>
      </w:pPr>
      <w:r>
        <w:rPr/>
        <w:t>障碍性贫血</w:t>
      </w:r>
    </w:p>
    <w:p>
      <w:pPr>
        <w:pStyle w:val="BodyText"/>
        <w:spacing w:line="273" w:lineRule="auto"/>
        <w:ind w:left="176" w:right="278" w:firstLine="420"/>
      </w:pPr>
      <w:r>
        <w:rPr/>
        <w:br w:type="column"/>
      </w:r>
      <w:r>
        <w:rPr/>
        <w:t>指因骨髓造血功能慢性持续性衰竭导致的贫血、中性粒细胞减少及血小板减少。须满足下列全部条件：</w:t>
      </w:r>
    </w:p>
    <w:p>
      <w:pPr>
        <w:pStyle w:val="BodyText"/>
        <w:spacing w:before="7"/>
        <w:ind w:left="596"/>
      </w:pPr>
      <w:r>
        <w:rPr/>
        <w:t>（1）骨髓穿刺检查或骨髓活检结果支持诊断；</w:t>
      </w:r>
    </w:p>
    <w:p>
      <w:pPr>
        <w:pStyle w:val="BodyText"/>
        <w:spacing w:before="36"/>
        <w:ind w:left="596"/>
      </w:pPr>
      <w:r>
        <w:rPr/>
        <w:t>（2）外周血象须具备以下三项条件：</w:t>
      </w:r>
    </w:p>
    <w:p>
      <w:pPr>
        <w:pStyle w:val="BodyText"/>
        <w:spacing w:before="36"/>
        <w:ind w:left="1054"/>
      </w:pPr>
      <w:r>
        <w:rPr/>
        <w:t>① 中性粒细胞绝对值≤0.5×10</w:t>
      </w:r>
      <w:r>
        <w:rPr>
          <w:position w:val="11"/>
          <w:sz w:val="11"/>
        </w:rPr>
        <w:t>9</w:t>
      </w:r>
      <w:r>
        <w:rPr/>
        <w:t>/L；</w:t>
      </w:r>
    </w:p>
    <w:p>
      <w:pPr>
        <w:pStyle w:val="BodyText"/>
        <w:spacing w:before="36"/>
        <w:ind w:left="1054"/>
      </w:pPr>
      <w:r>
        <w:rPr/>
        <w:t>② 网织红细胞＜1%；</w:t>
      </w:r>
    </w:p>
    <w:p>
      <w:pPr>
        <w:pStyle w:val="BodyText"/>
        <w:spacing w:before="36"/>
        <w:ind w:left="1054"/>
      </w:pPr>
      <w:r>
        <w:rPr/>
        <w:t>③ 血小板绝对值≤20×10</w:t>
      </w:r>
      <w:r>
        <w:rPr>
          <w:position w:val="11"/>
          <w:sz w:val="11"/>
        </w:rPr>
        <w:t>9</w:t>
      </w:r>
      <w:r>
        <w:rPr/>
        <w:t>/L。</w:t>
      </w:r>
    </w:p>
    <w:p>
      <w:pPr>
        <w:spacing w:after="0"/>
        <w:sectPr>
          <w:type w:val="continuous"/>
          <w:pgSz w:w="11910" w:h="16840"/>
          <w:pgMar w:top="1100" w:bottom="1240" w:left="1300" w:right="1280"/>
          <w:cols w:num="2" w:equalWidth="0">
            <w:col w:w="1875" w:space="40"/>
            <w:col w:w="7415"/>
          </w:cols>
        </w:sectPr>
      </w:pPr>
    </w:p>
    <w:p>
      <w:pPr>
        <w:pStyle w:val="BodyText"/>
        <w:spacing w:before="2"/>
        <w:rPr>
          <w:sz w:val="20"/>
        </w:rPr>
      </w:pPr>
    </w:p>
    <w:p>
      <w:pPr>
        <w:spacing w:after="0"/>
        <w:rPr>
          <w:sz w:val="20"/>
        </w:rPr>
        <w:sectPr>
          <w:type w:val="continuous"/>
          <w:pgSz w:w="11910" w:h="16840"/>
          <w:pgMar w:top="1100" w:bottom="1240" w:left="1300" w:right="1280"/>
        </w:sectPr>
      </w:pPr>
    </w:p>
    <w:p>
      <w:pPr>
        <w:pStyle w:val="ListParagraph"/>
        <w:numPr>
          <w:ilvl w:val="1"/>
          <w:numId w:val="9"/>
        </w:numPr>
        <w:tabs>
          <w:tab w:pos="955" w:val="left" w:leader="none"/>
          <w:tab w:pos="956" w:val="left" w:leader="none"/>
        </w:tabs>
        <w:spacing w:line="273" w:lineRule="auto" w:before="85" w:after="0"/>
        <w:ind w:left="956" w:right="0" w:hanging="694"/>
        <w:jc w:val="left"/>
        <w:rPr>
          <w:sz w:val="21"/>
        </w:rPr>
      </w:pPr>
      <w:r>
        <w:rPr>
          <w:spacing w:val="15"/>
          <w:sz w:val="21"/>
        </w:rPr>
        <w:t>主动脉手术</w:t>
      </w:r>
    </w:p>
    <w:p>
      <w:pPr>
        <w:pStyle w:val="BodyText"/>
        <w:spacing w:line="273" w:lineRule="auto"/>
        <w:ind w:left="176" w:right="278" w:firstLine="420"/>
        <w:jc w:val="both"/>
      </w:pPr>
      <w:r>
        <w:rPr/>
        <w:br w:type="column"/>
      </w:r>
      <w:r>
        <w:rPr/>
        <w:t>指为治疗主动脉疾病，实际实施了开胸或开腹进行的切除、置换、修补病损主动脉血管的手术。主动脉指胸主动脉和腹主动脉，不包括胸主动脉和腹主动脉的分支血管。</w:t>
      </w:r>
    </w:p>
    <w:p>
      <w:pPr>
        <w:pStyle w:val="BodyText"/>
        <w:spacing w:before="7"/>
        <w:ind w:left="598"/>
      </w:pPr>
      <w:r>
        <w:rPr/>
        <w:t>动脉内血管成形术不在保障范围内。</w:t>
      </w:r>
    </w:p>
    <w:p>
      <w:pPr>
        <w:spacing w:after="0"/>
        <w:sectPr>
          <w:type w:val="continuous"/>
          <w:pgSz w:w="11910" w:h="16840"/>
          <w:pgMar w:top="1100" w:bottom="1240" w:left="1300" w:right="1280"/>
          <w:cols w:num="2" w:equalWidth="0">
            <w:col w:w="1875" w:space="40"/>
            <w:col w:w="7415"/>
          </w:cols>
        </w:sectPr>
      </w:pPr>
    </w:p>
    <w:p>
      <w:pPr>
        <w:pStyle w:val="BodyText"/>
        <w:spacing w:before="2"/>
        <w:rPr>
          <w:sz w:val="20"/>
        </w:rPr>
      </w:pPr>
    </w:p>
    <w:p>
      <w:pPr>
        <w:spacing w:after="0"/>
        <w:rPr>
          <w:sz w:val="20"/>
        </w:rPr>
        <w:sectPr>
          <w:type w:val="continuous"/>
          <w:pgSz w:w="11910" w:h="16840"/>
          <w:pgMar w:top="1100" w:bottom="1240" w:left="1300" w:right="1280"/>
        </w:sectPr>
      </w:pPr>
    </w:p>
    <w:p>
      <w:pPr>
        <w:pStyle w:val="ListParagraph"/>
        <w:numPr>
          <w:ilvl w:val="1"/>
          <w:numId w:val="9"/>
        </w:numPr>
        <w:tabs>
          <w:tab w:pos="955" w:val="left" w:leader="none"/>
          <w:tab w:pos="956" w:val="left" w:leader="none"/>
        </w:tabs>
        <w:spacing w:line="240" w:lineRule="auto" w:before="84" w:after="0"/>
        <w:ind w:left="2091" w:right="0" w:hanging="1829"/>
        <w:jc w:val="left"/>
        <w:rPr>
          <w:sz w:val="21"/>
        </w:rPr>
      </w:pPr>
      <w:r>
        <w:rPr>
          <w:spacing w:val="15"/>
          <w:sz w:val="21"/>
        </w:rPr>
        <w:t>严重多发</w:t>
      </w:r>
    </w:p>
    <w:p>
      <w:pPr>
        <w:pStyle w:val="BodyText"/>
        <w:spacing w:before="36"/>
        <w:ind w:left="955"/>
      </w:pPr>
      <w:r>
        <w:rPr/>
        <w:t>性硬化</w:t>
      </w:r>
    </w:p>
    <w:p>
      <w:pPr>
        <w:pStyle w:val="BodyText"/>
        <w:spacing w:line="273" w:lineRule="auto" w:before="84"/>
        <w:ind w:left="176" w:right="278" w:firstLine="420"/>
        <w:jc w:val="both"/>
      </w:pPr>
      <w:r>
        <w:rPr/>
        <w:br w:type="column"/>
      </w:r>
      <w:r>
        <w:rPr>
          <w:spacing w:val="-4"/>
        </w:rPr>
        <w:t>指中枢神经系统白质多灶性脱髓鞘病变，病变有时累及灰质。多发性硬</w:t>
      </w:r>
      <w:r>
        <w:rPr>
          <w:spacing w:val="-6"/>
        </w:rPr>
        <w:t>化必须明确诊断并由断层扫描</w:t>
      </w:r>
      <w:r>
        <w:rPr>
          <w:spacing w:val="-7"/>
        </w:rPr>
        <w:t>（CT）</w:t>
      </w:r>
      <w:r>
        <w:rPr>
          <w:spacing w:val="-6"/>
        </w:rPr>
        <w:t>或核磁共振检查</w:t>
      </w:r>
      <w:r>
        <w:rPr>
          <w:spacing w:val="-5"/>
        </w:rPr>
        <w:t>（MRI）</w:t>
      </w:r>
      <w:r>
        <w:rPr>
          <w:spacing w:val="-3"/>
        </w:rPr>
        <w:t>等影像学检查证</w:t>
      </w:r>
      <w:r>
        <w:rPr>
          <w:spacing w:val="-4"/>
        </w:rPr>
        <w:t>实，而且已经造成永久不可逆的神经系统功能损害。</w:t>
      </w:r>
    </w:p>
    <w:p>
      <w:pPr>
        <w:pStyle w:val="BodyText"/>
        <w:spacing w:line="273" w:lineRule="auto" w:before="7"/>
        <w:ind w:left="176" w:right="278" w:firstLine="420"/>
        <w:jc w:val="both"/>
      </w:pPr>
      <w:r>
        <w:rPr>
          <w:spacing w:val="-6"/>
        </w:rPr>
        <w:t>永久不可逆的神经系统损害，指被保险人持续 </w:t>
      </w:r>
      <w:r>
        <w:rPr/>
        <w:t>180</w:t>
      </w:r>
      <w:r>
        <w:rPr>
          <w:spacing w:val="-7"/>
        </w:rPr>
        <w:t> 天无法独立完成下列</w:t>
      </w:r>
      <w:r>
        <w:rPr>
          <w:spacing w:val="-5"/>
        </w:rPr>
        <w:t>基本日常生活活动：</w:t>
      </w:r>
    </w:p>
    <w:p>
      <w:pPr>
        <w:pStyle w:val="BodyText"/>
        <w:spacing w:before="7"/>
        <w:ind w:left="596"/>
      </w:pPr>
      <w:r>
        <w:rPr/>
        <w:t>（1）移动：自己从一个房间到另一个房间；或者</w:t>
      </w:r>
    </w:p>
    <w:p>
      <w:pPr>
        <w:pStyle w:val="BodyText"/>
        <w:spacing w:before="36"/>
        <w:ind w:left="596"/>
      </w:pPr>
      <w:r>
        <w:rPr/>
        <w:t>（2）进食：自己从已准备好的碗或碟中取食物放入口中。</w:t>
      </w:r>
    </w:p>
    <w:p>
      <w:pPr>
        <w:spacing w:after="0"/>
        <w:sectPr>
          <w:type w:val="continuous"/>
          <w:pgSz w:w="11910" w:h="16840"/>
          <w:pgMar w:top="1100" w:bottom="1240" w:left="1300" w:right="1280"/>
          <w:cols w:num="2" w:equalWidth="0">
            <w:col w:w="1875" w:space="40"/>
            <w:col w:w="7415"/>
          </w:cols>
        </w:sectPr>
      </w:pPr>
    </w:p>
    <w:p>
      <w:pPr>
        <w:pStyle w:val="BodyText"/>
        <w:spacing w:before="2"/>
        <w:rPr>
          <w:sz w:val="20"/>
        </w:rPr>
      </w:pPr>
    </w:p>
    <w:p>
      <w:pPr>
        <w:spacing w:after="0"/>
        <w:rPr>
          <w:sz w:val="20"/>
        </w:rPr>
        <w:sectPr>
          <w:type w:val="continuous"/>
          <w:pgSz w:w="11910" w:h="16840"/>
          <w:pgMar w:top="1100" w:bottom="1240" w:left="1300" w:right="1280"/>
        </w:sectPr>
      </w:pPr>
    </w:p>
    <w:p>
      <w:pPr>
        <w:pStyle w:val="ListParagraph"/>
        <w:numPr>
          <w:ilvl w:val="1"/>
          <w:numId w:val="9"/>
        </w:numPr>
        <w:tabs>
          <w:tab w:pos="955" w:val="left" w:leader="none"/>
          <w:tab w:pos="956" w:val="left" w:leader="none"/>
        </w:tabs>
        <w:spacing w:line="240" w:lineRule="auto" w:before="85" w:after="0"/>
        <w:ind w:left="2091" w:right="0" w:hanging="1829"/>
        <w:jc w:val="left"/>
        <w:rPr>
          <w:sz w:val="21"/>
        </w:rPr>
      </w:pPr>
      <w:r>
        <w:rPr>
          <w:spacing w:val="15"/>
          <w:sz w:val="21"/>
        </w:rPr>
        <w:t>重症急性</w:t>
      </w:r>
    </w:p>
    <w:p>
      <w:pPr>
        <w:pStyle w:val="BodyText"/>
        <w:spacing w:before="37"/>
        <w:ind w:left="955"/>
      </w:pPr>
      <w:r>
        <w:rPr/>
        <w:t>胰腺炎</w:t>
      </w:r>
    </w:p>
    <w:p>
      <w:pPr>
        <w:pStyle w:val="BodyText"/>
        <w:spacing w:line="273" w:lineRule="auto"/>
        <w:ind w:left="176" w:right="278" w:firstLine="420"/>
      </w:pPr>
      <w:r>
        <w:rPr/>
        <w:br w:type="column"/>
      </w:r>
      <w:r>
        <w:rPr>
          <w:spacing w:val="-4"/>
        </w:rPr>
        <w:t>指急性胰腺炎伴有脏器功能障碍。被保险人所患的重症急性胰腺炎必须</w:t>
      </w:r>
      <w:r>
        <w:rPr>
          <w:spacing w:val="-15"/>
        </w:rPr>
        <w:t>明确诊断，按 </w:t>
      </w:r>
      <w:r>
        <w:rPr/>
        <w:t>APACHE</w:t>
      </w:r>
      <w:r>
        <w:rPr>
          <w:spacing w:val="-11"/>
        </w:rPr>
        <w:t>Ⅱ评分达到 </w:t>
      </w:r>
      <w:r>
        <w:rPr/>
        <w:t>8</w:t>
      </w:r>
      <w:r>
        <w:rPr>
          <w:spacing w:val="-26"/>
        </w:rPr>
        <w:t> 分或 </w:t>
      </w:r>
      <w:r>
        <w:rPr/>
        <w:t>8</w:t>
      </w:r>
      <w:r>
        <w:rPr>
          <w:spacing w:val="-19"/>
        </w:rPr>
        <w:t> 分以上和 </w:t>
      </w:r>
      <w:r>
        <w:rPr/>
        <w:t>Balthazar</w:t>
      </w:r>
      <w:r>
        <w:rPr>
          <w:spacing w:val="-10"/>
        </w:rPr>
        <w:t> 分级系统达到</w:t>
      </w:r>
    </w:p>
    <w:p>
      <w:pPr>
        <w:pStyle w:val="BodyText"/>
        <w:spacing w:line="273" w:lineRule="auto" w:before="8"/>
        <w:ind w:left="176" w:right="278"/>
      </w:pPr>
      <w:r>
        <w:rPr/>
        <w:t>Ⅱ级或Ⅱ级以上，并且接受了外科剖腹手术治疗，以进行坏死组织清除、坏死病灶切除或胰腺切除。</w:t>
      </w:r>
    </w:p>
    <w:p>
      <w:pPr>
        <w:pStyle w:val="BodyText"/>
        <w:spacing w:before="8"/>
        <w:ind w:left="598"/>
      </w:pPr>
      <w:r>
        <w:rPr/>
        <w:t>因酗酒或饮酒过量所致的胰腺炎以及腹腔镜手术不在保障范围内。</w:t>
      </w:r>
    </w:p>
    <w:p>
      <w:pPr>
        <w:spacing w:after="0"/>
        <w:sectPr>
          <w:type w:val="continuous"/>
          <w:pgSz w:w="11910" w:h="16840"/>
          <w:pgMar w:top="1100" w:bottom="1240" w:left="1300" w:right="1280"/>
          <w:cols w:num="2" w:equalWidth="0">
            <w:col w:w="1875" w:space="40"/>
            <w:col w:w="7415"/>
          </w:cols>
        </w:sectPr>
      </w:pPr>
    </w:p>
    <w:p>
      <w:pPr>
        <w:pStyle w:val="BodyText"/>
        <w:spacing w:before="2"/>
        <w:rPr>
          <w:sz w:val="20"/>
        </w:rPr>
      </w:pPr>
    </w:p>
    <w:p>
      <w:pPr>
        <w:spacing w:after="0"/>
        <w:rPr>
          <w:sz w:val="20"/>
        </w:rPr>
        <w:sectPr>
          <w:type w:val="continuous"/>
          <w:pgSz w:w="11910" w:h="16840"/>
          <w:pgMar w:top="1100" w:bottom="1240" w:left="1300" w:right="1280"/>
        </w:sectPr>
      </w:pPr>
    </w:p>
    <w:p>
      <w:pPr>
        <w:pStyle w:val="ListParagraph"/>
        <w:numPr>
          <w:ilvl w:val="1"/>
          <w:numId w:val="9"/>
        </w:numPr>
        <w:tabs>
          <w:tab w:pos="955" w:val="left" w:leader="none"/>
          <w:tab w:pos="956" w:val="left" w:leader="none"/>
        </w:tabs>
        <w:spacing w:line="273" w:lineRule="auto" w:before="85" w:after="0"/>
        <w:ind w:left="956" w:right="0" w:hanging="694"/>
        <w:jc w:val="left"/>
        <w:rPr>
          <w:sz w:val="21"/>
        </w:rPr>
      </w:pPr>
      <w:r>
        <w:rPr>
          <w:spacing w:val="15"/>
          <w:sz w:val="21"/>
        </w:rPr>
        <w:t>肌营养不良症</w:t>
      </w:r>
    </w:p>
    <w:p>
      <w:pPr>
        <w:pStyle w:val="BodyText"/>
        <w:spacing w:line="273" w:lineRule="auto"/>
        <w:ind w:left="176" w:right="278" w:firstLine="420"/>
        <w:jc w:val="both"/>
      </w:pPr>
      <w:r>
        <w:rPr/>
        <w:br w:type="column"/>
      </w:r>
      <w:r>
        <w:rPr/>
        <w:t>指一组遗传性肌肉变性性病变，临床特征为与神经系统无关的肌肉无力和肌肉萎缩。须满足自主生活能力完全丧失，无法独立完成六项基本日常生活活动中的三项或三项以上。</w:t>
      </w:r>
    </w:p>
    <w:p>
      <w:pPr>
        <w:pStyle w:val="BodyText"/>
        <w:spacing w:line="273" w:lineRule="auto" w:before="7"/>
        <w:ind w:left="176" w:right="278" w:firstLine="420"/>
        <w:jc w:val="both"/>
      </w:pPr>
      <w:r>
        <w:rPr>
          <w:spacing w:val="-6"/>
        </w:rPr>
        <w:t>本公司承担本项疾病保险责任不受本条款第 </w:t>
      </w:r>
      <w:r>
        <w:rPr/>
        <w:t>2.4</w:t>
      </w:r>
      <w:r>
        <w:rPr>
          <w:spacing w:val="-7"/>
        </w:rPr>
        <w:t> 条责任免除中“遗传性</w:t>
      </w:r>
      <w:r>
        <w:rPr>
          <w:spacing w:val="-5"/>
        </w:rPr>
        <w:t>疾病，先天性畸形、变形或染色体异常”的限制。</w:t>
      </w:r>
    </w:p>
    <w:p>
      <w:pPr>
        <w:spacing w:after="0" w:line="273" w:lineRule="auto"/>
        <w:jc w:val="both"/>
        <w:sectPr>
          <w:type w:val="continuous"/>
          <w:pgSz w:w="11910" w:h="16840"/>
          <w:pgMar w:top="1100" w:bottom="1240" w:left="1300" w:right="1280"/>
          <w:cols w:num="2" w:equalWidth="0">
            <w:col w:w="1875" w:space="40"/>
            <w:col w:w="7415"/>
          </w:cols>
        </w:sectPr>
      </w:pPr>
    </w:p>
    <w:p>
      <w:pPr>
        <w:pStyle w:val="BodyText"/>
        <w:spacing w:before="12"/>
        <w:rPr>
          <w:sz w:val="17"/>
        </w:rPr>
      </w:pPr>
    </w:p>
    <w:p>
      <w:pPr>
        <w:spacing w:after="0"/>
        <w:rPr>
          <w:sz w:val="17"/>
        </w:rPr>
        <w:sectPr>
          <w:type w:val="continuous"/>
          <w:pgSz w:w="11910" w:h="16840"/>
          <w:pgMar w:top="1100" w:bottom="1240" w:left="1300" w:right="1280"/>
        </w:sectPr>
      </w:pPr>
    </w:p>
    <w:p>
      <w:pPr>
        <w:pStyle w:val="ListParagraph"/>
        <w:numPr>
          <w:ilvl w:val="1"/>
          <w:numId w:val="9"/>
        </w:numPr>
        <w:tabs>
          <w:tab w:pos="955" w:val="left" w:leader="none"/>
          <w:tab w:pos="956" w:val="left" w:leader="none"/>
        </w:tabs>
        <w:spacing w:line="273" w:lineRule="auto" w:before="85" w:after="0"/>
        <w:ind w:left="956" w:right="0" w:hanging="694"/>
        <w:jc w:val="left"/>
        <w:rPr>
          <w:sz w:val="21"/>
        </w:rPr>
      </w:pPr>
      <w:r>
        <w:rPr>
          <w:spacing w:val="15"/>
          <w:sz w:val="21"/>
        </w:rPr>
        <w:t>植物人状态</w:t>
      </w:r>
    </w:p>
    <w:p>
      <w:pPr>
        <w:pStyle w:val="BodyText"/>
        <w:spacing w:line="273" w:lineRule="auto"/>
        <w:ind w:left="176" w:right="278" w:firstLine="420"/>
        <w:jc w:val="both"/>
      </w:pPr>
      <w:r>
        <w:rPr/>
        <w:br w:type="column"/>
      </w:r>
      <w:r>
        <w:rPr>
          <w:spacing w:val="-4"/>
        </w:rPr>
        <w:t>指被保险人已丧失大脑皮层功能，对外界刺激或体内需求皆无反应，人</w:t>
      </w:r>
      <w:r>
        <w:rPr>
          <w:spacing w:val="-8"/>
        </w:rPr>
        <w:t>呈无意识状态，但脑干功能仍然保留，并持续依赖外界生命支持系统至少 </w:t>
      </w:r>
      <w:r>
        <w:rPr/>
        <w:t>30 </w:t>
      </w:r>
      <w:r>
        <w:rPr>
          <w:spacing w:val="-4"/>
        </w:rPr>
        <w:t>天以上，该病须由本公司认可医院的神经科专家确诊并证明有永久性神经系</w:t>
      </w:r>
    </w:p>
    <w:p>
      <w:pPr>
        <w:spacing w:after="0" w:line="273" w:lineRule="auto"/>
        <w:jc w:val="both"/>
        <w:sectPr>
          <w:type w:val="continuous"/>
          <w:pgSz w:w="11910" w:h="16840"/>
          <w:pgMar w:top="1100" w:bottom="1240" w:left="1300" w:right="1280"/>
          <w:cols w:num="2" w:equalWidth="0">
            <w:col w:w="1875" w:space="40"/>
            <w:col w:w="7415"/>
          </w:cols>
        </w:sectPr>
      </w:pPr>
    </w:p>
    <w:p>
      <w:pPr>
        <w:pStyle w:val="BodyText"/>
        <w:spacing w:before="2"/>
        <w:rPr>
          <w:sz w:val="17"/>
        </w:rPr>
      </w:pPr>
    </w:p>
    <w:p>
      <w:pPr>
        <w:pStyle w:val="BodyText"/>
        <w:spacing w:before="84"/>
        <w:ind w:left="2091"/>
      </w:pPr>
      <w:r>
        <w:rPr/>
        <w:t>统损害。</w:t>
      </w:r>
    </w:p>
    <w:p>
      <w:pPr>
        <w:pStyle w:val="BodyText"/>
        <w:spacing w:line="273" w:lineRule="auto" w:before="36"/>
        <w:ind w:left="2091" w:right="290" w:firstLine="422"/>
      </w:pPr>
      <w:r>
        <w:rPr/>
        <w:t>本项疾病需由本公司认可医院中三级及以上非盈利性医院或三级及以上社保定点医院的专科医生确诊。</w:t>
      </w:r>
    </w:p>
    <w:p>
      <w:pPr>
        <w:pStyle w:val="BodyText"/>
        <w:spacing w:before="12"/>
        <w:rPr>
          <w:sz w:val="17"/>
        </w:rPr>
      </w:pPr>
    </w:p>
    <w:p>
      <w:pPr>
        <w:spacing w:after="0"/>
        <w:rPr>
          <w:sz w:val="17"/>
        </w:rPr>
        <w:sectPr>
          <w:pgSz w:w="11910" w:h="16840"/>
          <w:pgMar w:header="836" w:footer="1042" w:top="1100" w:bottom="1240" w:left="1300" w:right="1280"/>
        </w:sectPr>
      </w:pPr>
    </w:p>
    <w:p>
      <w:pPr>
        <w:pStyle w:val="ListParagraph"/>
        <w:numPr>
          <w:ilvl w:val="1"/>
          <w:numId w:val="9"/>
        </w:numPr>
        <w:tabs>
          <w:tab w:pos="955" w:val="left" w:leader="none"/>
          <w:tab w:pos="956" w:val="left" w:leader="none"/>
        </w:tabs>
        <w:spacing w:line="240" w:lineRule="auto" w:before="85" w:after="0"/>
        <w:ind w:left="2091" w:right="0" w:hanging="1829"/>
        <w:jc w:val="left"/>
        <w:rPr>
          <w:sz w:val="21"/>
        </w:rPr>
      </w:pPr>
      <w:r>
        <w:rPr>
          <w:spacing w:val="15"/>
          <w:sz w:val="21"/>
        </w:rPr>
        <w:t>严重原发</w:t>
      </w:r>
    </w:p>
    <w:p>
      <w:pPr>
        <w:pStyle w:val="BodyText"/>
        <w:spacing w:before="37"/>
        <w:ind w:left="955"/>
      </w:pPr>
      <w:r>
        <w:rPr/>
        <w:t>性心肌病</w:t>
      </w:r>
    </w:p>
    <w:p>
      <w:pPr>
        <w:pStyle w:val="BodyText"/>
        <w:spacing w:line="273" w:lineRule="auto"/>
        <w:ind w:left="176" w:right="278" w:firstLine="420"/>
        <w:jc w:val="both"/>
      </w:pPr>
      <w:r>
        <w:rPr/>
        <w:br w:type="column"/>
      </w:r>
      <w:r>
        <w:rPr>
          <w:spacing w:val="-4"/>
        </w:rPr>
        <w:t>指经本公司认可医院的心脏专科医师确诊被保险人因原发性心肌病而出现的心室功能障碍而使其出现明显的心功能衰竭</w:t>
      </w:r>
      <w:r>
        <w:rPr>
          <w:spacing w:val="-5"/>
        </w:rPr>
        <w:t>（</w:t>
      </w:r>
      <w:r>
        <w:rPr>
          <w:spacing w:val="-2"/>
        </w:rPr>
        <w:t>至少达到美国纽约心脏病</w:t>
      </w:r>
      <w:r>
        <w:rPr>
          <w:spacing w:val="-7"/>
        </w:rPr>
        <w:t>学会心功能状态分级Ⅳ级</w:t>
      </w:r>
      <w:r>
        <w:rPr/>
        <w:t>（注</w:t>
      </w:r>
      <w:r>
        <w:rPr>
          <w:spacing w:val="-15"/>
        </w:rPr>
        <w:t>）</w:t>
      </w:r>
      <w:r>
        <w:rPr>
          <w:spacing w:val="-9"/>
        </w:rPr>
        <w:t>)。本保障范围内的心肌病仅包括扩张型心肌</w:t>
      </w:r>
      <w:r>
        <w:rPr>
          <w:spacing w:val="-5"/>
        </w:rPr>
        <w:t>病、肥厚型心肌病及限制型心肌病。</w:t>
      </w:r>
    </w:p>
    <w:p>
      <w:pPr>
        <w:pStyle w:val="BodyText"/>
        <w:spacing w:before="8"/>
        <w:ind w:left="598"/>
      </w:pPr>
      <w:r>
        <w:rPr/>
        <w:t>继发于酒精滥用性的心肌病不在保障范围内。</w:t>
      </w:r>
    </w:p>
    <w:p>
      <w:pPr>
        <w:pStyle w:val="BodyText"/>
        <w:spacing w:line="273" w:lineRule="auto" w:before="37"/>
        <w:ind w:left="176" w:right="278" w:firstLine="420"/>
        <w:jc w:val="both"/>
      </w:pPr>
      <w:r>
        <w:rPr/>
        <w:t>注：美国纽约心脏病学会心功能状态分级Ⅳ级是指不能从事任何体力活动，休息时亦有症状。</w:t>
      </w:r>
    </w:p>
    <w:p>
      <w:pPr>
        <w:spacing w:after="0" w:line="273" w:lineRule="auto"/>
        <w:jc w:val="both"/>
        <w:sectPr>
          <w:type w:val="continuous"/>
          <w:pgSz w:w="11910" w:h="16840"/>
          <w:pgMar w:top="1100" w:bottom="1240" w:left="1300" w:right="1280"/>
          <w:cols w:num="2" w:equalWidth="0">
            <w:col w:w="1875" w:space="40"/>
            <w:col w:w="7415"/>
          </w:cols>
        </w:sectPr>
      </w:pPr>
    </w:p>
    <w:p>
      <w:pPr>
        <w:pStyle w:val="BodyText"/>
        <w:spacing w:before="12"/>
        <w:rPr>
          <w:sz w:val="17"/>
        </w:rPr>
      </w:pPr>
    </w:p>
    <w:p>
      <w:pPr>
        <w:spacing w:after="0"/>
        <w:rPr>
          <w:sz w:val="17"/>
        </w:rPr>
        <w:sectPr>
          <w:type w:val="continuous"/>
          <w:pgSz w:w="11910" w:h="16840"/>
          <w:pgMar w:top="1100" w:bottom="1240" w:left="1300" w:right="1280"/>
        </w:sectPr>
      </w:pPr>
    </w:p>
    <w:p>
      <w:pPr>
        <w:pStyle w:val="ListParagraph"/>
        <w:numPr>
          <w:ilvl w:val="1"/>
          <w:numId w:val="9"/>
        </w:numPr>
        <w:tabs>
          <w:tab w:pos="955" w:val="left" w:leader="none"/>
          <w:tab w:pos="956" w:val="left" w:leader="none"/>
        </w:tabs>
        <w:spacing w:line="240" w:lineRule="auto" w:before="85" w:after="0"/>
        <w:ind w:left="2091" w:right="0" w:hanging="1829"/>
        <w:jc w:val="left"/>
        <w:rPr>
          <w:sz w:val="21"/>
        </w:rPr>
      </w:pPr>
      <w:r>
        <w:rPr>
          <w:spacing w:val="15"/>
          <w:sz w:val="21"/>
        </w:rPr>
        <w:t>系统性红</w:t>
      </w:r>
    </w:p>
    <w:p>
      <w:pPr>
        <w:pStyle w:val="BodyText"/>
        <w:spacing w:before="37"/>
        <w:ind w:left="955"/>
      </w:pPr>
      <w:r>
        <w:rPr/>
        <w:t>斑狼疮－</w:t>
      </w:r>
    </w:p>
    <w:p>
      <w:pPr>
        <w:pStyle w:val="BodyText"/>
        <w:spacing w:line="273" w:lineRule="auto" w:before="37"/>
        <w:ind w:left="955"/>
        <w:jc w:val="both"/>
      </w:pPr>
      <w:r>
        <w:rPr>
          <w:spacing w:val="-7"/>
        </w:rPr>
        <w:t>Ⅲ 型或以</w:t>
      </w:r>
      <w:r>
        <w:rPr>
          <w:spacing w:val="15"/>
        </w:rPr>
        <w:t>上狼疮性肾炎</w:t>
      </w:r>
    </w:p>
    <w:p>
      <w:pPr>
        <w:pStyle w:val="BodyText"/>
        <w:spacing w:before="0"/>
        <w:rPr>
          <w:sz w:val="28"/>
        </w:rPr>
      </w:pPr>
    </w:p>
    <w:p>
      <w:pPr>
        <w:pStyle w:val="BodyText"/>
        <w:spacing w:before="0"/>
        <w:rPr>
          <w:sz w:val="28"/>
        </w:rPr>
      </w:pPr>
    </w:p>
    <w:p>
      <w:pPr>
        <w:pStyle w:val="BodyText"/>
        <w:spacing w:before="0"/>
        <w:rPr>
          <w:sz w:val="28"/>
        </w:rPr>
      </w:pPr>
    </w:p>
    <w:p>
      <w:pPr>
        <w:pStyle w:val="BodyText"/>
        <w:spacing w:before="0"/>
        <w:rPr>
          <w:sz w:val="28"/>
        </w:rPr>
      </w:pPr>
    </w:p>
    <w:p>
      <w:pPr>
        <w:pStyle w:val="BodyText"/>
        <w:spacing w:before="0"/>
        <w:rPr>
          <w:sz w:val="28"/>
        </w:rPr>
      </w:pPr>
    </w:p>
    <w:p>
      <w:pPr>
        <w:pStyle w:val="BodyText"/>
        <w:spacing w:before="0"/>
        <w:rPr>
          <w:sz w:val="28"/>
        </w:rPr>
      </w:pPr>
    </w:p>
    <w:p>
      <w:pPr>
        <w:pStyle w:val="BodyText"/>
        <w:spacing w:before="0"/>
        <w:rPr>
          <w:sz w:val="28"/>
        </w:rPr>
      </w:pPr>
    </w:p>
    <w:p>
      <w:pPr>
        <w:pStyle w:val="BodyText"/>
        <w:spacing w:before="11"/>
        <w:rPr>
          <w:sz w:val="35"/>
        </w:rPr>
      </w:pPr>
    </w:p>
    <w:p>
      <w:pPr>
        <w:pStyle w:val="ListParagraph"/>
        <w:numPr>
          <w:ilvl w:val="1"/>
          <w:numId w:val="9"/>
        </w:numPr>
        <w:tabs>
          <w:tab w:pos="955" w:val="left" w:leader="none"/>
          <w:tab w:pos="956" w:val="left" w:leader="none"/>
        </w:tabs>
        <w:spacing w:line="240" w:lineRule="auto" w:before="0" w:after="0"/>
        <w:ind w:left="2091" w:right="0" w:hanging="1829"/>
        <w:jc w:val="left"/>
        <w:rPr>
          <w:sz w:val="21"/>
        </w:rPr>
      </w:pPr>
      <w:r>
        <w:rPr>
          <w:spacing w:val="15"/>
          <w:sz w:val="21"/>
        </w:rPr>
        <w:t>脊髓灰质</w:t>
      </w:r>
    </w:p>
    <w:p>
      <w:pPr>
        <w:pStyle w:val="BodyText"/>
        <w:spacing w:before="37"/>
        <w:ind w:left="955"/>
        <w:jc w:val="both"/>
      </w:pPr>
      <w:r>
        <w:rPr/>
        <w:t>炎后遗症</w:t>
      </w:r>
    </w:p>
    <w:p>
      <w:pPr>
        <w:pStyle w:val="BodyText"/>
        <w:spacing w:line="273" w:lineRule="auto"/>
        <w:ind w:left="176" w:right="278" w:firstLine="420"/>
      </w:pPr>
      <w:r>
        <w:rPr/>
        <w:br w:type="column"/>
      </w:r>
      <w:r>
        <w:rPr/>
        <w:t>系统性红斑狼疮是一种表现有多系统损害的慢性系统性自身免疫病，其特点是血清具有以抗核抗体为代表的多种自身抗体。</w:t>
      </w:r>
    </w:p>
    <w:p>
      <w:pPr>
        <w:pStyle w:val="BodyText"/>
        <w:spacing w:line="273" w:lineRule="auto" w:before="7"/>
        <w:ind w:left="176" w:right="174" w:firstLine="420"/>
      </w:pPr>
      <w:r>
        <w:rPr>
          <w:spacing w:val="-3"/>
        </w:rPr>
        <w:t>本合同所指的系统性红斑狼疮仅限于累及肾脏</w:t>
      </w:r>
      <w:r>
        <w:rPr/>
        <w:t>（</w:t>
      </w:r>
      <w:r>
        <w:rPr>
          <w:spacing w:val="-3"/>
        </w:rPr>
        <w:t>经肾脏活检确认的，符</w:t>
      </w:r>
      <w:r>
        <w:rPr>
          <w:spacing w:val="-18"/>
        </w:rPr>
        <w:t>合 </w:t>
      </w:r>
      <w:r>
        <w:rPr/>
        <w:t>WHO</w:t>
      </w:r>
      <w:r>
        <w:rPr>
          <w:spacing w:val="-8"/>
        </w:rPr>
        <w:t> 诊断标准定义Ⅲ型或Ⅲ型以上狼疮性肾炎</w:t>
      </w:r>
      <w:r>
        <w:rPr>
          <w:spacing w:val="-3"/>
        </w:rPr>
        <w:t>）的系统性红斑狼疮。其他</w:t>
      </w:r>
      <w:r>
        <w:rPr>
          <w:spacing w:val="-13"/>
        </w:rPr>
        <w:t>类型的红斑性狼疮，如盘状狼疮、仅累及血液及关节的狼疮不在保障范围内。</w:t>
      </w:r>
      <w:r>
        <w:rPr>
          <w:spacing w:val="-3"/>
        </w:rPr>
        <w:t>世界卫生组织</w:t>
      </w:r>
      <w:r>
        <w:rPr>
          <w:spacing w:val="-1"/>
        </w:rPr>
        <w:t>（WHO）</w:t>
      </w:r>
      <w:r>
        <w:rPr>
          <w:spacing w:val="-3"/>
        </w:rPr>
        <w:t>狼疮性肾炎分型：</w:t>
      </w:r>
    </w:p>
    <w:p>
      <w:pPr>
        <w:pStyle w:val="BodyText"/>
        <w:spacing w:before="0"/>
        <w:rPr>
          <w:sz w:val="3"/>
        </w:rPr>
      </w:pPr>
    </w:p>
    <w:tbl>
      <w:tblPr>
        <w:tblW w:w="0" w:type="auto"/>
        <w:jc w:val="left"/>
        <w:tblInd w:w="684"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655"/>
        <w:gridCol w:w="1757"/>
      </w:tblGrid>
      <w:tr>
        <w:trPr>
          <w:trHeight w:val="362" w:hRule="atLeast"/>
        </w:trPr>
        <w:tc>
          <w:tcPr>
            <w:tcW w:w="655" w:type="dxa"/>
          </w:tcPr>
          <w:p>
            <w:pPr>
              <w:pStyle w:val="TableParagraph"/>
              <w:spacing w:before="12"/>
              <w:ind w:left="27"/>
              <w:rPr>
                <w:sz w:val="21"/>
              </w:rPr>
            </w:pPr>
            <w:r>
              <w:rPr>
                <w:sz w:val="21"/>
              </w:rPr>
              <w:t>Ⅰ型</w:t>
            </w:r>
          </w:p>
        </w:tc>
        <w:tc>
          <w:tcPr>
            <w:tcW w:w="1757" w:type="dxa"/>
          </w:tcPr>
          <w:p>
            <w:pPr>
              <w:pStyle w:val="TableParagraph"/>
              <w:spacing w:before="12"/>
              <w:ind w:left="29"/>
              <w:rPr>
                <w:sz w:val="21"/>
              </w:rPr>
            </w:pPr>
            <w:r>
              <w:rPr>
                <w:sz w:val="21"/>
              </w:rPr>
              <w:t>微小病变型</w:t>
            </w:r>
          </w:p>
        </w:tc>
      </w:tr>
      <w:tr>
        <w:trPr>
          <w:trHeight w:val="361" w:hRule="atLeast"/>
        </w:trPr>
        <w:tc>
          <w:tcPr>
            <w:tcW w:w="655" w:type="dxa"/>
          </w:tcPr>
          <w:p>
            <w:pPr>
              <w:pStyle w:val="TableParagraph"/>
              <w:spacing w:before="11"/>
              <w:ind w:left="27"/>
              <w:rPr>
                <w:sz w:val="21"/>
              </w:rPr>
            </w:pPr>
            <w:r>
              <w:rPr>
                <w:sz w:val="21"/>
              </w:rPr>
              <w:t>Ⅱ型</w:t>
            </w:r>
          </w:p>
        </w:tc>
        <w:tc>
          <w:tcPr>
            <w:tcW w:w="1757" w:type="dxa"/>
          </w:tcPr>
          <w:p>
            <w:pPr>
              <w:pStyle w:val="TableParagraph"/>
              <w:spacing w:before="11"/>
              <w:ind w:left="29"/>
              <w:rPr>
                <w:sz w:val="21"/>
              </w:rPr>
            </w:pPr>
            <w:r>
              <w:rPr>
                <w:sz w:val="21"/>
              </w:rPr>
              <w:t>系膜病变型</w:t>
            </w:r>
          </w:p>
        </w:tc>
      </w:tr>
      <w:tr>
        <w:trPr>
          <w:trHeight w:val="361" w:hRule="atLeast"/>
        </w:trPr>
        <w:tc>
          <w:tcPr>
            <w:tcW w:w="655" w:type="dxa"/>
          </w:tcPr>
          <w:p>
            <w:pPr>
              <w:pStyle w:val="TableParagraph"/>
              <w:spacing w:before="13"/>
              <w:ind w:left="27"/>
              <w:rPr>
                <w:sz w:val="21"/>
              </w:rPr>
            </w:pPr>
            <w:r>
              <w:rPr>
                <w:sz w:val="21"/>
              </w:rPr>
              <w:t>Ⅲ型</w:t>
            </w:r>
          </w:p>
        </w:tc>
        <w:tc>
          <w:tcPr>
            <w:tcW w:w="1757" w:type="dxa"/>
          </w:tcPr>
          <w:p>
            <w:pPr>
              <w:pStyle w:val="TableParagraph"/>
              <w:spacing w:before="13"/>
              <w:ind w:left="29"/>
              <w:rPr>
                <w:sz w:val="21"/>
              </w:rPr>
            </w:pPr>
            <w:r>
              <w:rPr>
                <w:sz w:val="21"/>
              </w:rPr>
              <w:t>局灶及节段增生型</w:t>
            </w:r>
          </w:p>
        </w:tc>
      </w:tr>
      <w:tr>
        <w:trPr>
          <w:trHeight w:val="363" w:hRule="atLeast"/>
        </w:trPr>
        <w:tc>
          <w:tcPr>
            <w:tcW w:w="655" w:type="dxa"/>
          </w:tcPr>
          <w:p>
            <w:pPr>
              <w:pStyle w:val="TableParagraph"/>
              <w:spacing w:before="13"/>
              <w:ind w:left="27"/>
              <w:rPr>
                <w:sz w:val="21"/>
              </w:rPr>
            </w:pPr>
            <w:r>
              <w:rPr>
                <w:sz w:val="21"/>
              </w:rPr>
              <w:t>Ⅳ型</w:t>
            </w:r>
          </w:p>
        </w:tc>
        <w:tc>
          <w:tcPr>
            <w:tcW w:w="1757" w:type="dxa"/>
          </w:tcPr>
          <w:p>
            <w:pPr>
              <w:pStyle w:val="TableParagraph"/>
              <w:spacing w:before="13"/>
              <w:ind w:left="29"/>
              <w:rPr>
                <w:sz w:val="21"/>
              </w:rPr>
            </w:pPr>
            <w:r>
              <w:rPr>
                <w:sz w:val="21"/>
              </w:rPr>
              <w:t>弥漫增生型</w:t>
            </w:r>
          </w:p>
        </w:tc>
      </w:tr>
      <w:tr>
        <w:trPr>
          <w:trHeight w:val="361" w:hRule="atLeast"/>
        </w:trPr>
        <w:tc>
          <w:tcPr>
            <w:tcW w:w="655" w:type="dxa"/>
          </w:tcPr>
          <w:p>
            <w:pPr>
              <w:pStyle w:val="TableParagraph"/>
              <w:spacing w:before="11"/>
              <w:ind w:left="27"/>
              <w:rPr>
                <w:sz w:val="21"/>
              </w:rPr>
            </w:pPr>
            <w:r>
              <w:rPr>
                <w:sz w:val="21"/>
              </w:rPr>
              <w:t>Ⅴ型</w:t>
            </w:r>
          </w:p>
        </w:tc>
        <w:tc>
          <w:tcPr>
            <w:tcW w:w="1757" w:type="dxa"/>
          </w:tcPr>
          <w:p>
            <w:pPr>
              <w:pStyle w:val="TableParagraph"/>
              <w:spacing w:before="11"/>
              <w:ind w:left="29"/>
              <w:rPr>
                <w:sz w:val="21"/>
              </w:rPr>
            </w:pPr>
            <w:r>
              <w:rPr>
                <w:sz w:val="21"/>
              </w:rPr>
              <w:t>膜型</w:t>
            </w:r>
          </w:p>
        </w:tc>
      </w:tr>
      <w:tr>
        <w:trPr>
          <w:trHeight w:val="362" w:hRule="atLeast"/>
        </w:trPr>
        <w:tc>
          <w:tcPr>
            <w:tcW w:w="655" w:type="dxa"/>
          </w:tcPr>
          <w:p>
            <w:pPr>
              <w:pStyle w:val="TableParagraph"/>
              <w:spacing w:before="13"/>
              <w:ind w:left="27"/>
              <w:rPr>
                <w:sz w:val="21"/>
              </w:rPr>
            </w:pPr>
            <w:r>
              <w:rPr>
                <w:sz w:val="21"/>
              </w:rPr>
              <w:t>Ⅵ型</w:t>
            </w:r>
          </w:p>
        </w:tc>
        <w:tc>
          <w:tcPr>
            <w:tcW w:w="1757" w:type="dxa"/>
          </w:tcPr>
          <w:p>
            <w:pPr>
              <w:pStyle w:val="TableParagraph"/>
              <w:spacing w:before="13"/>
              <w:ind w:left="29"/>
              <w:rPr>
                <w:sz w:val="21"/>
              </w:rPr>
            </w:pPr>
            <w:r>
              <w:rPr>
                <w:sz w:val="21"/>
              </w:rPr>
              <w:t>肾小球硬化型</w:t>
            </w:r>
          </w:p>
        </w:tc>
      </w:tr>
    </w:tbl>
    <w:p>
      <w:pPr>
        <w:pStyle w:val="BodyText"/>
        <w:spacing w:before="6"/>
        <w:rPr>
          <w:sz w:val="24"/>
        </w:rPr>
      </w:pPr>
    </w:p>
    <w:p>
      <w:pPr>
        <w:pStyle w:val="BodyText"/>
        <w:spacing w:line="273" w:lineRule="auto" w:before="0"/>
        <w:ind w:left="176" w:right="278" w:firstLine="420"/>
        <w:jc w:val="both"/>
      </w:pPr>
      <w:r>
        <w:rPr>
          <w:spacing w:val="-4"/>
        </w:rPr>
        <w:t>脊髓灰质炎是由于脊髓灰质炎病毒感染所致的瘫痪性疾病，临床表现为</w:t>
      </w:r>
      <w:r>
        <w:rPr>
          <w:spacing w:val="-5"/>
        </w:rPr>
        <w:t>运动功能损害或呼吸无力。脊髓灰质炎必须明确诊断。本合同仅对脊髓灰质炎造成的神经系统功能损害导致被保险人一肢或一肢以上肢体机能永久完全</w:t>
      </w:r>
      <w:r>
        <w:rPr>
          <w:spacing w:val="-6"/>
        </w:rPr>
        <w:t>丧失的情况予以理赔。肢体机能永久完全丧失，指疾病确诊 </w:t>
      </w:r>
      <w:r>
        <w:rPr/>
        <w:t>180</w:t>
      </w:r>
      <w:r>
        <w:rPr>
          <w:spacing w:val="-7"/>
        </w:rPr>
        <w:t> 天后，每肢</w:t>
      </w:r>
      <w:r>
        <w:rPr>
          <w:spacing w:val="-5"/>
        </w:rPr>
        <w:t>三大关节中的两大关节仍然完全僵硬，或不能随意识活动。</w:t>
      </w:r>
    </w:p>
    <w:p>
      <w:pPr>
        <w:spacing w:after="0" w:line="273" w:lineRule="auto"/>
        <w:jc w:val="both"/>
        <w:sectPr>
          <w:type w:val="continuous"/>
          <w:pgSz w:w="11910" w:h="16840"/>
          <w:pgMar w:top="1100" w:bottom="1240" w:left="1300" w:right="1280"/>
          <w:cols w:num="2" w:equalWidth="0">
            <w:col w:w="1875" w:space="40"/>
            <w:col w:w="7415"/>
          </w:cols>
        </w:sectPr>
      </w:pPr>
    </w:p>
    <w:p>
      <w:pPr>
        <w:pStyle w:val="BodyText"/>
        <w:spacing w:before="12"/>
        <w:rPr>
          <w:sz w:val="17"/>
        </w:rPr>
      </w:pPr>
    </w:p>
    <w:p>
      <w:pPr>
        <w:spacing w:after="0"/>
        <w:rPr>
          <w:sz w:val="17"/>
        </w:rPr>
        <w:sectPr>
          <w:type w:val="continuous"/>
          <w:pgSz w:w="11910" w:h="16840"/>
          <w:pgMar w:top="1100" w:bottom="1240" w:left="1300" w:right="1280"/>
        </w:sectPr>
      </w:pPr>
    </w:p>
    <w:p>
      <w:pPr>
        <w:pStyle w:val="ListParagraph"/>
        <w:numPr>
          <w:ilvl w:val="1"/>
          <w:numId w:val="9"/>
        </w:numPr>
        <w:tabs>
          <w:tab w:pos="955" w:val="left" w:leader="none"/>
          <w:tab w:pos="956" w:val="left" w:leader="none"/>
        </w:tabs>
        <w:spacing w:line="240" w:lineRule="auto" w:before="84" w:after="0"/>
        <w:ind w:left="2091" w:right="0" w:hanging="1829"/>
        <w:jc w:val="left"/>
        <w:rPr>
          <w:sz w:val="21"/>
        </w:rPr>
      </w:pPr>
      <w:r>
        <w:rPr>
          <w:spacing w:val="15"/>
          <w:sz w:val="21"/>
        </w:rPr>
        <w:t>输血原因</w:t>
      </w:r>
    </w:p>
    <w:p>
      <w:pPr>
        <w:pStyle w:val="BodyText"/>
        <w:spacing w:line="273" w:lineRule="auto" w:before="36"/>
        <w:ind w:left="955"/>
        <w:jc w:val="both"/>
      </w:pPr>
      <w:r>
        <w:rPr/>
        <w:t>致人类免疫缺陷病毒（HIV） 感染</w:t>
      </w:r>
    </w:p>
    <w:p>
      <w:pPr>
        <w:pStyle w:val="BodyText"/>
        <w:spacing w:before="84"/>
        <w:ind w:left="564"/>
      </w:pPr>
      <w:r>
        <w:rPr/>
        <w:br w:type="column"/>
      </w:r>
      <w:r>
        <w:rPr>
          <w:spacing w:val="-10"/>
          <w:w w:val="100"/>
        </w:rPr>
        <w:t>被保险人因输血感染上人类免疫缺陷病毒</w:t>
      </w:r>
      <w:r>
        <w:rPr>
          <w:spacing w:val="-5"/>
          <w:w w:val="100"/>
        </w:rPr>
        <w:t>（</w:t>
      </w:r>
      <w:r>
        <w:rPr>
          <w:w w:val="100"/>
        </w:rPr>
        <w:t>HI</w:t>
      </w:r>
      <w:r>
        <w:rPr>
          <w:spacing w:val="-3"/>
          <w:w w:val="100"/>
        </w:rPr>
        <w:t>V</w:t>
      </w:r>
      <w:r>
        <w:rPr>
          <w:spacing w:val="-93"/>
          <w:w w:val="100"/>
        </w:rPr>
        <w:t>）</w:t>
      </w:r>
      <w:r>
        <w:rPr>
          <w:spacing w:val="-4"/>
          <w:w w:val="100"/>
        </w:rPr>
        <w:t>并且满足下列全部条件：</w:t>
      </w:r>
    </w:p>
    <w:p>
      <w:pPr>
        <w:pStyle w:val="BodyText"/>
        <w:spacing w:before="36"/>
        <w:ind w:left="564"/>
      </w:pPr>
      <w:r>
        <w:rPr/>
        <w:t>（1）在保障起始日或复效日之后，被保险人因输血而感染 HIV；</w:t>
      </w:r>
    </w:p>
    <w:p>
      <w:pPr>
        <w:pStyle w:val="BodyText"/>
        <w:spacing w:line="273" w:lineRule="auto" w:before="36"/>
        <w:ind w:left="144" w:right="278" w:firstLine="420"/>
      </w:pPr>
      <w:r>
        <w:rPr>
          <w:w w:val="100"/>
        </w:rPr>
        <w:t>（2</w:t>
      </w:r>
      <w:r>
        <w:rPr>
          <w:spacing w:val="-87"/>
          <w:w w:val="100"/>
        </w:rPr>
        <w:t>）</w:t>
      </w:r>
      <w:r>
        <w:rPr>
          <w:spacing w:val="-5"/>
          <w:w w:val="100"/>
        </w:rPr>
        <w:t>提供输血治疗的输血中心或医院出具该项输血感染属医疗责任事故</w:t>
      </w:r>
      <w:r>
        <w:rPr>
          <w:spacing w:val="-5"/>
        </w:rPr>
        <w:t>的报告，或者法院终审裁定为医疗责任；</w:t>
      </w:r>
    </w:p>
    <w:p>
      <w:pPr>
        <w:pStyle w:val="BodyText"/>
        <w:spacing w:before="7"/>
        <w:ind w:left="564"/>
      </w:pPr>
      <w:r>
        <w:rPr/>
        <w:t>（3）受感染的被保险人不是血友病患者。</w:t>
      </w:r>
    </w:p>
    <w:p>
      <w:pPr>
        <w:pStyle w:val="BodyText"/>
        <w:spacing w:line="273" w:lineRule="auto" w:before="37"/>
        <w:ind w:left="144" w:right="280" w:firstLine="422"/>
        <w:jc w:val="both"/>
      </w:pPr>
      <w:r>
        <w:rPr>
          <w:spacing w:val="-1"/>
        </w:rPr>
        <w:t>任何因其他传播方式</w:t>
      </w:r>
      <w:r>
        <w:rPr/>
        <w:t>（</w:t>
      </w:r>
      <w:r>
        <w:rPr>
          <w:spacing w:val="-3"/>
        </w:rPr>
        <w:t>包括：性传播或静脉注射毒品）</w:t>
      </w:r>
      <w:r>
        <w:rPr>
          <w:spacing w:val="-10"/>
        </w:rPr>
        <w:t>导致的 </w:t>
      </w:r>
      <w:r>
        <w:rPr/>
        <w:t>HIV</w:t>
      </w:r>
      <w:r>
        <w:rPr>
          <w:spacing w:val="-13"/>
        </w:rPr>
        <w:t> 感染不在本合同保障范围内。本公司拥有获得使用被保险人的所有血液样本的权</w:t>
      </w:r>
      <w:r>
        <w:rPr>
          <w:spacing w:val="-6"/>
        </w:rPr>
        <w:t>利和能够对这些样本进行独立检验的权利。</w:t>
      </w:r>
    </w:p>
    <w:p>
      <w:pPr>
        <w:pStyle w:val="BodyText"/>
        <w:spacing w:line="273" w:lineRule="auto" w:before="7"/>
        <w:ind w:left="144" w:right="200" w:firstLine="420"/>
      </w:pPr>
      <w:r>
        <w:rPr/>
        <w:t>本公司承担本项疾病保险责任不受本条款第 2.4 条责任免除中“被保险人感染艾滋病病毒或患艾滋病”的限制。</w:t>
      </w:r>
    </w:p>
    <w:p>
      <w:pPr>
        <w:spacing w:after="0" w:line="273" w:lineRule="auto"/>
        <w:sectPr>
          <w:type w:val="continuous"/>
          <w:pgSz w:w="11910" w:h="16840"/>
          <w:pgMar w:top="1100" w:bottom="1240" w:left="1300" w:right="1280"/>
          <w:cols w:num="2" w:equalWidth="0">
            <w:col w:w="1907" w:space="40"/>
            <w:col w:w="7383"/>
          </w:cols>
        </w:sectPr>
      </w:pPr>
    </w:p>
    <w:p>
      <w:pPr>
        <w:pStyle w:val="BodyText"/>
        <w:spacing w:before="12"/>
        <w:rPr>
          <w:sz w:val="17"/>
        </w:rPr>
      </w:pPr>
    </w:p>
    <w:p>
      <w:pPr>
        <w:pStyle w:val="ListParagraph"/>
        <w:numPr>
          <w:ilvl w:val="1"/>
          <w:numId w:val="9"/>
        </w:numPr>
        <w:tabs>
          <w:tab w:pos="955" w:val="left" w:leader="none"/>
          <w:tab w:pos="956" w:val="left" w:leader="none"/>
          <w:tab w:pos="2511" w:val="left" w:leader="none"/>
        </w:tabs>
        <w:spacing w:line="240" w:lineRule="auto" w:before="84" w:after="0"/>
        <w:ind w:left="2091" w:right="0" w:hanging="1829"/>
        <w:jc w:val="left"/>
        <w:rPr>
          <w:sz w:val="21"/>
        </w:rPr>
      </w:pPr>
      <w:r>
        <w:rPr>
          <w:spacing w:val="21"/>
          <w:sz w:val="21"/>
        </w:rPr>
        <w:t>严</w:t>
      </w:r>
      <w:r>
        <w:rPr>
          <w:spacing w:val="25"/>
          <w:sz w:val="21"/>
        </w:rPr>
        <w:t>重</w:t>
      </w:r>
      <w:r>
        <w:rPr>
          <w:spacing w:val="21"/>
          <w:sz w:val="21"/>
        </w:rPr>
        <w:t>全</w:t>
      </w:r>
      <w:r>
        <w:rPr>
          <w:sz w:val="21"/>
        </w:rPr>
        <w:t>身</w:t>
        <w:tab/>
        <w:t>重症肌无力是</w:t>
      </w:r>
      <w:r>
        <w:rPr>
          <w:spacing w:val="-3"/>
          <w:sz w:val="21"/>
        </w:rPr>
        <w:t>一</w:t>
      </w:r>
      <w:r>
        <w:rPr>
          <w:sz w:val="21"/>
        </w:rPr>
        <w:t>种神经</w:t>
      </w:r>
      <w:r>
        <w:rPr>
          <w:spacing w:val="-3"/>
          <w:sz w:val="21"/>
        </w:rPr>
        <w:t>肌</w:t>
      </w:r>
      <w:r>
        <w:rPr>
          <w:sz w:val="21"/>
        </w:rPr>
        <w:t>肉接头传递障</w:t>
      </w:r>
      <w:r>
        <w:rPr>
          <w:spacing w:val="-3"/>
          <w:sz w:val="21"/>
        </w:rPr>
        <w:t>碍</w:t>
      </w:r>
      <w:r>
        <w:rPr>
          <w:sz w:val="21"/>
        </w:rPr>
        <w:t>所致的</w:t>
      </w:r>
      <w:r>
        <w:rPr>
          <w:spacing w:val="-5"/>
          <w:sz w:val="21"/>
        </w:rPr>
        <w:t>疾</w:t>
      </w:r>
      <w:r>
        <w:rPr>
          <w:sz w:val="21"/>
        </w:rPr>
        <w:t>病，表现为局</w:t>
      </w:r>
      <w:r>
        <w:rPr>
          <w:spacing w:val="-3"/>
          <w:sz w:val="21"/>
        </w:rPr>
        <w:t>部</w:t>
      </w:r>
      <w:r>
        <w:rPr>
          <w:sz w:val="21"/>
        </w:rPr>
        <w:t>或全</w:t>
      </w:r>
    </w:p>
    <w:p>
      <w:pPr>
        <w:spacing w:after="0" w:line="240" w:lineRule="auto"/>
        <w:jc w:val="left"/>
        <w:rPr>
          <w:sz w:val="21"/>
        </w:rPr>
        <w:sectPr>
          <w:type w:val="continuous"/>
          <w:pgSz w:w="11910" w:h="16840"/>
          <w:pgMar w:top="1100" w:bottom="1240" w:left="1300" w:right="1280"/>
        </w:sectPr>
      </w:pPr>
    </w:p>
    <w:p>
      <w:pPr>
        <w:pStyle w:val="BodyText"/>
        <w:spacing w:before="2"/>
        <w:rPr>
          <w:sz w:val="17"/>
        </w:rPr>
      </w:pPr>
    </w:p>
    <w:p>
      <w:pPr>
        <w:spacing w:after="0"/>
        <w:rPr>
          <w:sz w:val="17"/>
        </w:rPr>
        <w:sectPr>
          <w:pgSz w:w="11910" w:h="16840"/>
          <w:pgMar w:header="836" w:footer="1042" w:top="1100" w:bottom="1240" w:left="1300" w:right="1280"/>
        </w:sectPr>
      </w:pPr>
    </w:p>
    <w:p>
      <w:pPr>
        <w:pStyle w:val="BodyText"/>
        <w:spacing w:line="273" w:lineRule="auto" w:before="84"/>
        <w:ind w:left="955"/>
      </w:pPr>
      <w:r>
        <w:rPr/>
        <w:t>性重症肌无力</w:t>
      </w:r>
    </w:p>
    <w:p>
      <w:pPr>
        <w:pStyle w:val="BodyText"/>
        <w:spacing w:line="273" w:lineRule="auto" w:before="84"/>
        <w:ind w:left="176" w:right="278"/>
      </w:pPr>
      <w:r>
        <w:rPr/>
        <w:br w:type="column"/>
      </w:r>
      <w:r>
        <w:rPr/>
        <w:t>身骨骼肌（特别是眼外肌）极易疲劳。疾病可以累及呼吸肌、上肢或下肢的近端肌群或全身肌肉，必须满足下列全部条件：</w:t>
      </w:r>
    </w:p>
    <w:p>
      <w:pPr>
        <w:pStyle w:val="BodyText"/>
        <w:spacing w:before="7"/>
        <w:ind w:left="596"/>
      </w:pPr>
      <w:r>
        <w:rPr/>
        <w:t>（1）经药物治疗和胸腺切除治疗一年以上仍无法控制病情；</w:t>
      </w:r>
    </w:p>
    <w:p>
      <w:pPr>
        <w:pStyle w:val="BodyText"/>
        <w:spacing w:line="273" w:lineRule="auto" w:before="37"/>
        <w:ind w:left="176" w:right="278" w:firstLine="420"/>
      </w:pPr>
      <w:r>
        <w:rPr>
          <w:spacing w:val="-15"/>
        </w:rPr>
        <w:t>（2）</w:t>
      </w:r>
      <w:r>
        <w:rPr>
          <w:spacing w:val="-7"/>
        </w:rPr>
        <w:t>自主生活能力完全丧失，无法独立完成六项基本日常生活活动中的</w:t>
      </w:r>
      <w:r>
        <w:rPr>
          <w:spacing w:val="-5"/>
        </w:rPr>
        <w:t>三项或三项以上。</w:t>
      </w:r>
    </w:p>
    <w:p>
      <w:pPr>
        <w:spacing w:after="0" w:line="273" w:lineRule="auto"/>
        <w:sectPr>
          <w:type w:val="continuous"/>
          <w:pgSz w:w="11910" w:h="16840"/>
          <w:pgMar w:top="1100" w:bottom="1240" w:left="1300" w:right="1280"/>
          <w:cols w:num="2" w:equalWidth="0">
            <w:col w:w="1875" w:space="40"/>
            <w:col w:w="7415"/>
          </w:cols>
        </w:sectPr>
      </w:pPr>
    </w:p>
    <w:p>
      <w:pPr>
        <w:pStyle w:val="BodyText"/>
        <w:spacing w:before="12"/>
        <w:rPr>
          <w:sz w:val="17"/>
        </w:rPr>
      </w:pPr>
    </w:p>
    <w:p>
      <w:pPr>
        <w:spacing w:after="0"/>
        <w:rPr>
          <w:sz w:val="17"/>
        </w:rPr>
        <w:sectPr>
          <w:type w:val="continuous"/>
          <w:pgSz w:w="11910" w:h="16840"/>
          <w:pgMar w:top="1100" w:bottom="1240" w:left="1300" w:right="1280"/>
        </w:sectPr>
      </w:pPr>
    </w:p>
    <w:p>
      <w:pPr>
        <w:pStyle w:val="ListParagraph"/>
        <w:numPr>
          <w:ilvl w:val="1"/>
          <w:numId w:val="9"/>
        </w:numPr>
        <w:tabs>
          <w:tab w:pos="955" w:val="left" w:leader="none"/>
          <w:tab w:pos="956" w:val="left" w:leader="none"/>
        </w:tabs>
        <w:spacing w:line="240" w:lineRule="auto" w:before="85" w:after="0"/>
        <w:ind w:left="2091" w:right="0" w:hanging="1829"/>
        <w:jc w:val="left"/>
        <w:rPr>
          <w:sz w:val="21"/>
        </w:rPr>
      </w:pPr>
      <w:r>
        <w:rPr>
          <w:spacing w:val="15"/>
          <w:sz w:val="21"/>
        </w:rPr>
        <w:t>职业原因</w:t>
      </w:r>
    </w:p>
    <w:p>
      <w:pPr>
        <w:pStyle w:val="BodyText"/>
        <w:spacing w:line="273" w:lineRule="auto" w:before="37"/>
        <w:ind w:left="955"/>
        <w:jc w:val="both"/>
      </w:pPr>
      <w:r>
        <w:rPr/>
        <w:t>致人类免疫缺陷病毒（HIV） 感染</w:t>
      </w:r>
    </w:p>
    <w:p>
      <w:pPr>
        <w:pStyle w:val="BodyText"/>
        <w:spacing w:line="273" w:lineRule="auto"/>
        <w:ind w:left="144" w:right="278" w:firstLine="420"/>
        <w:jc w:val="both"/>
      </w:pPr>
      <w:r>
        <w:rPr/>
        <w:br w:type="column"/>
      </w:r>
      <w:r>
        <w:rPr>
          <w:spacing w:val="-4"/>
        </w:rPr>
        <w:t>被保险人的职业归属于下列职业列表内的职业，在其常规职业工作过程</w:t>
      </w:r>
      <w:r>
        <w:rPr>
          <w:spacing w:val="-5"/>
        </w:rPr>
        <w:t>中遭遇外伤，或者职业需要处理血液或者其他体液时感染上人类免疫缺陷病</w:t>
      </w:r>
      <w:r>
        <w:rPr>
          <w:spacing w:val="-5"/>
          <w:w w:val="100"/>
        </w:rPr>
        <w:t>毒（H</w:t>
      </w:r>
      <w:r>
        <w:rPr>
          <w:spacing w:val="-3"/>
          <w:w w:val="100"/>
        </w:rPr>
        <w:t>I</w:t>
      </w:r>
      <w:r>
        <w:rPr>
          <w:w w:val="100"/>
        </w:rPr>
        <w:t>V</w:t>
      </w:r>
      <w:r>
        <w:rPr>
          <w:spacing w:val="-106"/>
          <w:w w:val="100"/>
        </w:rPr>
        <w:t>）</w:t>
      </w:r>
      <w:r>
        <w:rPr>
          <w:spacing w:val="-4"/>
          <w:w w:val="100"/>
        </w:rPr>
        <w:t>。必须满足下列全部条件：</w:t>
      </w:r>
    </w:p>
    <w:p>
      <w:pPr>
        <w:pStyle w:val="BodyText"/>
        <w:spacing w:before="7"/>
        <w:ind w:left="564"/>
      </w:pPr>
      <w:r>
        <w:rPr/>
        <w:t>（1）感染必须是在被保险人正在从事其职业工作中发生；</w:t>
      </w:r>
    </w:p>
    <w:p>
      <w:pPr>
        <w:pStyle w:val="BodyText"/>
        <w:spacing w:before="36"/>
        <w:ind w:left="564"/>
      </w:pPr>
      <w:r>
        <w:rPr/>
        <w:t>（2）血清转化必须出现在事故发生后的 6 个月以内；</w:t>
      </w:r>
    </w:p>
    <w:p>
      <w:pPr>
        <w:pStyle w:val="BodyText"/>
        <w:spacing w:line="273" w:lineRule="auto" w:before="36"/>
        <w:ind w:left="144" w:right="193" w:firstLine="420"/>
        <w:jc w:val="both"/>
      </w:pPr>
      <w:r>
        <w:rPr/>
        <w:t>（3）</w:t>
      </w:r>
      <w:r>
        <w:rPr>
          <w:spacing w:val="-6"/>
        </w:rPr>
        <w:t>必须提供被保险人在所报事故发生后的 </w:t>
      </w:r>
      <w:r>
        <w:rPr/>
        <w:t>5</w:t>
      </w:r>
      <w:r>
        <w:rPr>
          <w:spacing w:val="-8"/>
        </w:rPr>
        <w:t> 天以内进行的检查报告， 该报告必须显示被保险人血液 </w:t>
      </w:r>
      <w:r>
        <w:rPr/>
        <w:t>HIV</w:t>
      </w:r>
      <w:r>
        <w:rPr>
          <w:spacing w:val="-11"/>
        </w:rPr>
        <w:t> 病毒阴性和</w:t>
      </w:r>
      <w:r>
        <w:rPr/>
        <w:t>/</w:t>
      </w:r>
      <w:r>
        <w:rPr>
          <w:spacing w:val="-25"/>
        </w:rPr>
        <w:t>或 </w:t>
      </w:r>
      <w:r>
        <w:rPr/>
        <w:t>HIV</w:t>
      </w:r>
      <w:r>
        <w:rPr>
          <w:spacing w:val="-10"/>
        </w:rPr>
        <w:t> 抗体阴性；</w:t>
      </w:r>
    </w:p>
    <w:p>
      <w:pPr>
        <w:pStyle w:val="BodyText"/>
        <w:spacing w:line="273" w:lineRule="auto" w:before="7"/>
        <w:ind w:left="144" w:right="278" w:firstLine="420"/>
        <w:jc w:val="both"/>
      </w:pPr>
      <w:r>
        <w:rPr/>
        <w:t>（4）</w:t>
      </w:r>
      <w:r>
        <w:rPr>
          <w:spacing w:val="-8"/>
        </w:rPr>
        <w:t>必须在事故发生后的 </w:t>
      </w:r>
      <w:r>
        <w:rPr/>
        <w:t>12</w:t>
      </w:r>
      <w:r>
        <w:rPr>
          <w:spacing w:val="-11"/>
        </w:rPr>
        <w:t> 个月内证实被保险人体内存在 </w:t>
      </w:r>
      <w:r>
        <w:rPr/>
        <w:t>HIV</w:t>
      </w:r>
      <w:r>
        <w:rPr>
          <w:spacing w:val="-12"/>
        </w:rPr>
        <w:t> 病毒或</w:t>
      </w:r>
      <w:r>
        <w:rPr>
          <w:spacing w:val="-31"/>
        </w:rPr>
        <w:t>者 </w:t>
      </w:r>
      <w:r>
        <w:rPr/>
        <w:t>HIV</w:t>
      </w:r>
      <w:r>
        <w:rPr>
          <w:spacing w:val="-15"/>
        </w:rPr>
        <w:t> 抗体。</w:t>
      </w:r>
    </w:p>
    <w:tbl>
      <w:tblPr>
        <w:tblW w:w="0" w:type="auto"/>
        <w:jc w:val="left"/>
        <w:tblInd w:w="5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0"/>
        <w:gridCol w:w="3272"/>
      </w:tblGrid>
      <w:tr>
        <w:trPr>
          <w:trHeight w:val="311" w:hRule="atLeast"/>
        </w:trPr>
        <w:tc>
          <w:tcPr>
            <w:tcW w:w="6582" w:type="dxa"/>
            <w:gridSpan w:val="2"/>
          </w:tcPr>
          <w:p>
            <w:pPr>
              <w:pStyle w:val="TableParagraph"/>
              <w:spacing w:line="270" w:lineRule="exact"/>
              <w:ind w:left="107"/>
              <w:rPr>
                <w:sz w:val="21"/>
              </w:rPr>
            </w:pPr>
            <w:r>
              <w:rPr>
                <w:sz w:val="21"/>
              </w:rPr>
              <w:t>职业列表：</w:t>
            </w:r>
          </w:p>
        </w:tc>
      </w:tr>
      <w:tr>
        <w:trPr>
          <w:trHeight w:val="311" w:hRule="atLeast"/>
        </w:trPr>
        <w:tc>
          <w:tcPr>
            <w:tcW w:w="3310" w:type="dxa"/>
          </w:tcPr>
          <w:p>
            <w:pPr>
              <w:pStyle w:val="TableParagraph"/>
              <w:spacing w:line="270" w:lineRule="exact"/>
              <w:ind w:left="107"/>
              <w:rPr>
                <w:sz w:val="21"/>
              </w:rPr>
            </w:pPr>
            <w:r>
              <w:rPr>
                <w:sz w:val="21"/>
              </w:rPr>
              <w:t>医生（包括牙医）</w:t>
            </w:r>
          </w:p>
        </w:tc>
        <w:tc>
          <w:tcPr>
            <w:tcW w:w="3272" w:type="dxa"/>
          </w:tcPr>
          <w:p>
            <w:pPr>
              <w:pStyle w:val="TableParagraph"/>
              <w:spacing w:line="270" w:lineRule="exact"/>
              <w:ind w:left="107"/>
              <w:rPr>
                <w:sz w:val="21"/>
              </w:rPr>
            </w:pPr>
            <w:r>
              <w:rPr>
                <w:sz w:val="21"/>
              </w:rPr>
              <w:t>护士</w:t>
            </w:r>
          </w:p>
        </w:tc>
      </w:tr>
      <w:tr>
        <w:trPr>
          <w:trHeight w:val="311" w:hRule="atLeast"/>
        </w:trPr>
        <w:tc>
          <w:tcPr>
            <w:tcW w:w="3310" w:type="dxa"/>
          </w:tcPr>
          <w:p>
            <w:pPr>
              <w:pStyle w:val="TableParagraph"/>
              <w:spacing w:line="270" w:lineRule="exact"/>
              <w:ind w:left="107"/>
              <w:rPr>
                <w:sz w:val="21"/>
              </w:rPr>
            </w:pPr>
            <w:r>
              <w:rPr>
                <w:sz w:val="21"/>
              </w:rPr>
              <w:t>医院化验室工作人员</w:t>
            </w:r>
          </w:p>
        </w:tc>
        <w:tc>
          <w:tcPr>
            <w:tcW w:w="3272" w:type="dxa"/>
          </w:tcPr>
          <w:p>
            <w:pPr>
              <w:pStyle w:val="TableParagraph"/>
              <w:spacing w:line="270" w:lineRule="exact"/>
              <w:ind w:left="107"/>
              <w:rPr>
                <w:sz w:val="21"/>
              </w:rPr>
            </w:pPr>
            <w:r>
              <w:rPr>
                <w:sz w:val="21"/>
              </w:rPr>
              <w:t>医院护工</w:t>
            </w:r>
          </w:p>
        </w:tc>
      </w:tr>
      <w:tr>
        <w:trPr>
          <w:trHeight w:val="314" w:hRule="atLeast"/>
        </w:trPr>
        <w:tc>
          <w:tcPr>
            <w:tcW w:w="3310" w:type="dxa"/>
          </w:tcPr>
          <w:p>
            <w:pPr>
              <w:pStyle w:val="TableParagraph"/>
              <w:spacing w:line="272" w:lineRule="exact"/>
              <w:ind w:left="107"/>
              <w:rPr>
                <w:sz w:val="21"/>
              </w:rPr>
            </w:pPr>
            <w:r>
              <w:rPr>
                <w:sz w:val="21"/>
              </w:rPr>
              <w:t>救护车工作人员</w:t>
            </w:r>
          </w:p>
        </w:tc>
        <w:tc>
          <w:tcPr>
            <w:tcW w:w="3272" w:type="dxa"/>
          </w:tcPr>
          <w:p>
            <w:pPr>
              <w:pStyle w:val="TableParagraph"/>
              <w:spacing w:line="272" w:lineRule="exact"/>
              <w:ind w:left="107"/>
              <w:rPr>
                <w:sz w:val="21"/>
              </w:rPr>
            </w:pPr>
            <w:r>
              <w:rPr>
                <w:sz w:val="21"/>
              </w:rPr>
              <w:t>助产士</w:t>
            </w:r>
          </w:p>
        </w:tc>
      </w:tr>
      <w:tr>
        <w:trPr>
          <w:trHeight w:val="311" w:hRule="atLeast"/>
        </w:trPr>
        <w:tc>
          <w:tcPr>
            <w:tcW w:w="3310" w:type="dxa"/>
          </w:tcPr>
          <w:p>
            <w:pPr>
              <w:pStyle w:val="TableParagraph"/>
              <w:spacing w:line="270" w:lineRule="exact"/>
              <w:ind w:left="107"/>
              <w:rPr>
                <w:sz w:val="21"/>
              </w:rPr>
            </w:pPr>
            <w:r>
              <w:rPr>
                <w:sz w:val="21"/>
              </w:rPr>
              <w:t>警察（包括狱警）</w:t>
            </w:r>
          </w:p>
        </w:tc>
        <w:tc>
          <w:tcPr>
            <w:tcW w:w="3272" w:type="dxa"/>
          </w:tcPr>
          <w:p>
            <w:pPr>
              <w:pStyle w:val="TableParagraph"/>
              <w:spacing w:line="270" w:lineRule="exact"/>
              <w:ind w:left="107"/>
              <w:rPr>
                <w:sz w:val="21"/>
              </w:rPr>
            </w:pPr>
            <w:r>
              <w:rPr>
                <w:sz w:val="21"/>
              </w:rPr>
              <w:t>消防人员</w:t>
            </w:r>
          </w:p>
        </w:tc>
      </w:tr>
    </w:tbl>
    <w:p>
      <w:pPr>
        <w:pStyle w:val="BodyText"/>
        <w:spacing w:line="273" w:lineRule="auto" w:before="7"/>
        <w:ind w:left="144" w:right="280" w:firstLine="422"/>
        <w:jc w:val="both"/>
      </w:pPr>
      <w:r>
        <w:rPr>
          <w:spacing w:val="-1"/>
        </w:rPr>
        <w:t>任何因其他传播方式</w:t>
      </w:r>
      <w:r>
        <w:rPr/>
        <w:t>（</w:t>
      </w:r>
      <w:r>
        <w:rPr>
          <w:spacing w:val="-3"/>
        </w:rPr>
        <w:t>包括：性传播或静脉注射毒品）</w:t>
      </w:r>
      <w:r>
        <w:rPr>
          <w:spacing w:val="-10"/>
        </w:rPr>
        <w:t>导致的 </w:t>
      </w:r>
      <w:r>
        <w:rPr/>
        <w:t>HIV</w:t>
      </w:r>
      <w:r>
        <w:rPr>
          <w:spacing w:val="-13"/>
        </w:rPr>
        <w:t> 感染不在本合同保障范围内。本公司拥有获得使用被保险人的所有血液样本的权</w:t>
      </w:r>
      <w:r>
        <w:rPr>
          <w:spacing w:val="-6"/>
        </w:rPr>
        <w:t>利和能够对这些样本进行独立检验的权利。</w:t>
      </w:r>
    </w:p>
    <w:p>
      <w:pPr>
        <w:pStyle w:val="BodyText"/>
        <w:spacing w:line="273" w:lineRule="auto" w:before="7"/>
        <w:ind w:left="144" w:right="278" w:firstLine="420"/>
        <w:jc w:val="both"/>
      </w:pPr>
      <w:r>
        <w:rPr>
          <w:spacing w:val="-6"/>
        </w:rPr>
        <w:t>本公司承担本项疾病保险责任不受本条款第 </w:t>
      </w:r>
      <w:r>
        <w:rPr/>
        <w:t>2.4</w:t>
      </w:r>
      <w:r>
        <w:rPr>
          <w:spacing w:val="-7"/>
        </w:rPr>
        <w:t> 条责任免除中“被保险</w:t>
      </w:r>
      <w:r>
        <w:rPr>
          <w:spacing w:val="-5"/>
        </w:rPr>
        <w:t>人感染艾滋病病毒或患艾滋病”的限制。</w:t>
      </w:r>
    </w:p>
    <w:p>
      <w:pPr>
        <w:spacing w:after="0" w:line="273" w:lineRule="auto"/>
        <w:jc w:val="both"/>
        <w:sectPr>
          <w:type w:val="continuous"/>
          <w:pgSz w:w="11910" w:h="16840"/>
          <w:pgMar w:top="1100" w:bottom="1240" w:left="1300" w:right="1280"/>
          <w:cols w:num="2" w:equalWidth="0">
            <w:col w:w="1907" w:space="40"/>
            <w:col w:w="7383"/>
          </w:cols>
        </w:sectPr>
      </w:pPr>
    </w:p>
    <w:p>
      <w:pPr>
        <w:pStyle w:val="BodyText"/>
        <w:spacing w:before="12"/>
        <w:rPr>
          <w:sz w:val="17"/>
        </w:rPr>
      </w:pPr>
    </w:p>
    <w:p>
      <w:pPr>
        <w:spacing w:after="0"/>
        <w:rPr>
          <w:sz w:val="17"/>
        </w:rPr>
        <w:sectPr>
          <w:type w:val="continuous"/>
          <w:pgSz w:w="11910" w:h="16840"/>
          <w:pgMar w:top="1100" w:bottom="1240" w:left="1300" w:right="1280"/>
        </w:sectPr>
      </w:pPr>
    </w:p>
    <w:p>
      <w:pPr>
        <w:pStyle w:val="ListParagraph"/>
        <w:numPr>
          <w:ilvl w:val="1"/>
          <w:numId w:val="9"/>
        </w:numPr>
        <w:tabs>
          <w:tab w:pos="955" w:val="left" w:leader="none"/>
          <w:tab w:pos="956" w:val="left" w:leader="none"/>
        </w:tabs>
        <w:spacing w:line="240" w:lineRule="auto" w:before="85" w:after="0"/>
        <w:ind w:left="2091" w:right="0" w:hanging="1829"/>
        <w:jc w:val="left"/>
        <w:rPr>
          <w:sz w:val="21"/>
        </w:rPr>
      </w:pPr>
      <w:r>
        <w:rPr>
          <w:spacing w:val="15"/>
          <w:sz w:val="21"/>
        </w:rPr>
        <w:t>严重弥漫</w:t>
      </w:r>
    </w:p>
    <w:p>
      <w:pPr>
        <w:pStyle w:val="BodyText"/>
        <w:spacing w:line="273" w:lineRule="auto" w:before="37"/>
        <w:ind w:left="955"/>
      </w:pPr>
      <w:r>
        <w:rPr/>
        <w:t>性系统性硬皮病</w:t>
      </w:r>
    </w:p>
    <w:p>
      <w:pPr>
        <w:pStyle w:val="BodyText"/>
        <w:spacing w:line="273" w:lineRule="auto"/>
        <w:ind w:left="176" w:right="172" w:firstLine="420"/>
      </w:pPr>
      <w:r>
        <w:rPr/>
        <w:br w:type="column"/>
      </w:r>
      <w:r>
        <w:rPr>
          <w:spacing w:val="-4"/>
        </w:rPr>
        <w:t>指一种系统性胶原血管病引起进行性的皮肤、血管和内脏器官的弥漫性</w:t>
      </w:r>
      <w:r>
        <w:rPr>
          <w:spacing w:val="-12"/>
        </w:rPr>
        <w:t>纤维化。诊断必须明确并由活检和血清学证据支持并且疾病已经影响到心脏、</w:t>
      </w:r>
      <w:r>
        <w:rPr>
          <w:spacing w:val="-6"/>
        </w:rPr>
        <w:t>肺或肾脏等内脏器官并且达到下列标准之一：</w:t>
      </w:r>
    </w:p>
    <w:p>
      <w:pPr>
        <w:pStyle w:val="BodyText"/>
        <w:spacing w:before="7"/>
        <w:ind w:left="596"/>
      </w:pPr>
      <w:r>
        <w:rPr/>
        <w:t>（1）肺纤维化，已经出现肺动脉高压、肺心病；</w:t>
      </w:r>
    </w:p>
    <w:p>
      <w:pPr>
        <w:pStyle w:val="BodyText"/>
        <w:spacing w:line="273" w:lineRule="auto" w:before="36"/>
        <w:ind w:left="176" w:right="278" w:firstLine="420"/>
      </w:pPr>
      <w:r>
        <w:rPr>
          <w:spacing w:val="-15"/>
        </w:rPr>
        <w:t>（2）</w:t>
      </w:r>
      <w:r>
        <w:rPr>
          <w:spacing w:val="-9"/>
        </w:rPr>
        <w:t>心脏损害，心脏功能衰竭程度达到美国纽约心脏病学会心功能状态</w:t>
      </w:r>
      <w:r>
        <w:rPr>
          <w:spacing w:val="-6"/>
          <w:w w:val="100"/>
        </w:rPr>
        <w:t>分级Ⅳ级</w:t>
      </w:r>
      <w:r>
        <w:rPr>
          <w:spacing w:val="-3"/>
          <w:w w:val="100"/>
        </w:rPr>
        <w:t>（</w:t>
      </w:r>
      <w:r>
        <w:rPr>
          <w:w w:val="100"/>
        </w:rPr>
        <w:t>注</w:t>
      </w:r>
      <w:r>
        <w:rPr>
          <w:spacing w:val="-108"/>
          <w:w w:val="100"/>
        </w:rPr>
        <w:t>）</w:t>
      </w:r>
      <w:r>
        <w:rPr>
          <w:w w:val="100"/>
        </w:rPr>
        <w:t>；</w:t>
      </w:r>
    </w:p>
    <w:p>
      <w:pPr>
        <w:pStyle w:val="BodyText"/>
        <w:spacing w:line="273" w:lineRule="auto" w:before="7"/>
        <w:ind w:left="598" w:right="3136" w:hanging="3"/>
      </w:pPr>
      <w:r>
        <w:rPr/>
        <w:t>（3）肾脏损害，已经出现肾功能衰竭。下列疾病不在保障范围内：</w:t>
      </w:r>
    </w:p>
    <w:p>
      <w:pPr>
        <w:pStyle w:val="BodyText"/>
        <w:spacing w:before="7"/>
        <w:ind w:left="598"/>
      </w:pPr>
      <w:r>
        <w:rPr/>
        <w:t>（1）局限硬皮病；</w:t>
      </w:r>
    </w:p>
    <w:p>
      <w:pPr>
        <w:pStyle w:val="BodyText"/>
        <w:spacing w:before="36"/>
        <w:ind w:left="598"/>
      </w:pPr>
      <w:r>
        <w:rPr/>
        <w:t>（2）嗜酸细胞筋膜炎；</w:t>
      </w:r>
    </w:p>
    <w:p>
      <w:pPr>
        <w:pStyle w:val="BodyText"/>
        <w:spacing w:before="36"/>
        <w:ind w:left="598"/>
      </w:pPr>
      <w:r>
        <w:rPr/>
        <w:t>（3）CREST 综合征。</w:t>
      </w:r>
    </w:p>
    <w:p>
      <w:pPr>
        <w:pStyle w:val="BodyText"/>
        <w:spacing w:line="273" w:lineRule="auto" w:before="36"/>
        <w:ind w:left="176" w:right="278" w:firstLine="420"/>
      </w:pPr>
      <w:r>
        <w:rPr/>
        <w:t>注：美国纽约心脏病学会心功能状态分级Ⅳ级是指不能从事任何体力活动，休息时亦有症状。</w:t>
      </w:r>
    </w:p>
    <w:p>
      <w:pPr>
        <w:spacing w:after="0" w:line="273" w:lineRule="auto"/>
        <w:sectPr>
          <w:type w:val="continuous"/>
          <w:pgSz w:w="11910" w:h="16840"/>
          <w:pgMar w:top="1100" w:bottom="1240" w:left="1300" w:right="1280"/>
          <w:cols w:num="2" w:equalWidth="0">
            <w:col w:w="1875" w:space="40"/>
            <w:col w:w="7415"/>
          </w:cols>
        </w:sectPr>
      </w:pPr>
    </w:p>
    <w:p>
      <w:pPr>
        <w:pStyle w:val="BodyText"/>
        <w:spacing w:before="12"/>
        <w:rPr>
          <w:sz w:val="17"/>
        </w:rPr>
      </w:pPr>
    </w:p>
    <w:p>
      <w:pPr>
        <w:spacing w:after="0"/>
        <w:rPr>
          <w:sz w:val="17"/>
        </w:rPr>
        <w:sectPr>
          <w:type w:val="continuous"/>
          <w:pgSz w:w="11910" w:h="16840"/>
          <w:pgMar w:top="1100" w:bottom="1240" w:left="1300" w:right="1280"/>
        </w:sectPr>
      </w:pPr>
    </w:p>
    <w:p>
      <w:pPr>
        <w:pStyle w:val="ListParagraph"/>
        <w:numPr>
          <w:ilvl w:val="1"/>
          <w:numId w:val="9"/>
        </w:numPr>
        <w:tabs>
          <w:tab w:pos="955" w:val="left" w:leader="none"/>
          <w:tab w:pos="956" w:val="left" w:leader="none"/>
        </w:tabs>
        <w:spacing w:line="273" w:lineRule="auto" w:before="84" w:after="0"/>
        <w:ind w:left="956" w:right="0" w:hanging="694"/>
        <w:jc w:val="left"/>
        <w:rPr>
          <w:sz w:val="21"/>
        </w:rPr>
      </w:pPr>
      <w:r>
        <w:rPr>
          <w:spacing w:val="15"/>
          <w:sz w:val="21"/>
        </w:rPr>
        <w:t>严重克隆病</w:t>
      </w:r>
    </w:p>
    <w:p>
      <w:pPr>
        <w:pStyle w:val="BodyText"/>
        <w:spacing w:line="273" w:lineRule="auto" w:before="84"/>
        <w:ind w:left="176" w:right="172" w:firstLine="420"/>
      </w:pPr>
      <w:r>
        <w:rPr/>
        <w:br w:type="column"/>
      </w:r>
      <w:r>
        <w:rPr>
          <w:spacing w:val="-10"/>
        </w:rPr>
        <w:t>克隆病是一种慢性肉芽肿性肠炎，具有特征性的克隆病病理组织学变化。</w:t>
      </w:r>
      <w:r>
        <w:rPr>
          <w:spacing w:val="-7"/>
        </w:rPr>
        <w:t>诊断必须由病理检查结果证实。被保险人所患的克隆病必须已经造成瘘管形</w:t>
      </w:r>
      <w:r>
        <w:rPr>
          <w:spacing w:val="-5"/>
        </w:rPr>
        <w:t>成并伴有肠梗阻或肠穿孔。</w:t>
      </w:r>
    </w:p>
    <w:p>
      <w:pPr>
        <w:spacing w:after="0" w:line="273" w:lineRule="auto"/>
        <w:sectPr>
          <w:type w:val="continuous"/>
          <w:pgSz w:w="11910" w:h="16840"/>
          <w:pgMar w:top="1100" w:bottom="1240" w:left="1300" w:right="1280"/>
          <w:cols w:num="2" w:equalWidth="0">
            <w:col w:w="1875" w:space="40"/>
            <w:col w:w="7415"/>
          </w:cols>
        </w:sectPr>
      </w:pPr>
    </w:p>
    <w:p>
      <w:pPr>
        <w:pStyle w:val="BodyText"/>
        <w:spacing w:before="10"/>
        <w:rPr>
          <w:sz w:val="24"/>
        </w:rPr>
      </w:pPr>
    </w:p>
    <w:tbl>
      <w:tblPr>
        <w:tblW w:w="0" w:type="auto"/>
        <w:jc w:val="left"/>
        <w:tblInd w:w="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8"/>
        <w:gridCol w:w="1163"/>
        <w:gridCol w:w="7114"/>
      </w:tblGrid>
      <w:tr>
        <w:trPr>
          <w:trHeight w:val="2012" w:hRule="atLeast"/>
        </w:trPr>
        <w:tc>
          <w:tcPr>
            <w:tcW w:w="608" w:type="dxa"/>
          </w:tcPr>
          <w:p>
            <w:pPr>
              <w:pStyle w:val="TableParagraph"/>
              <w:spacing w:line="259" w:lineRule="exact"/>
              <w:ind w:left="50"/>
              <w:rPr>
                <w:sz w:val="21"/>
              </w:rPr>
            </w:pPr>
            <w:r>
              <w:rPr>
                <w:sz w:val="21"/>
              </w:rPr>
              <w:t>6.38</w:t>
            </w:r>
          </w:p>
        </w:tc>
        <w:tc>
          <w:tcPr>
            <w:tcW w:w="1163" w:type="dxa"/>
          </w:tcPr>
          <w:p>
            <w:pPr>
              <w:pStyle w:val="TableParagraph"/>
              <w:spacing w:line="259" w:lineRule="exact"/>
              <w:ind w:left="135"/>
              <w:rPr>
                <w:sz w:val="21"/>
              </w:rPr>
            </w:pPr>
            <w:r>
              <w:rPr>
                <w:sz w:val="21"/>
              </w:rPr>
              <w:t>重症急性</w:t>
            </w:r>
          </w:p>
          <w:p>
            <w:pPr>
              <w:pStyle w:val="TableParagraph"/>
              <w:spacing w:line="273" w:lineRule="auto" w:before="37"/>
              <w:ind w:left="135" w:right="106"/>
              <w:rPr>
                <w:sz w:val="21"/>
              </w:rPr>
            </w:pPr>
            <w:r>
              <w:rPr>
                <w:sz w:val="21"/>
              </w:rPr>
              <w:t>坏死性筋膜炎截肢</w:t>
            </w:r>
          </w:p>
        </w:tc>
        <w:tc>
          <w:tcPr>
            <w:tcW w:w="7114" w:type="dxa"/>
          </w:tcPr>
          <w:p>
            <w:pPr>
              <w:pStyle w:val="TableParagraph"/>
              <w:spacing w:line="259" w:lineRule="exact"/>
              <w:ind w:left="527"/>
              <w:rPr>
                <w:sz w:val="21"/>
              </w:rPr>
            </w:pPr>
            <w:r>
              <w:rPr>
                <w:sz w:val="21"/>
              </w:rPr>
              <w:t>是一种由细菌侵入皮下组织和筋膜引起的急性坏死性软组织感染，可伴</w:t>
            </w:r>
          </w:p>
          <w:p>
            <w:pPr>
              <w:pStyle w:val="TableParagraph"/>
              <w:spacing w:line="273" w:lineRule="auto" w:before="37"/>
              <w:ind w:left="107" w:right="49"/>
              <w:rPr>
                <w:sz w:val="21"/>
              </w:rPr>
            </w:pPr>
            <w:r>
              <w:rPr>
                <w:sz w:val="21"/>
              </w:rPr>
              <w:t>有毒血症、败血症、中毒性休克、弥漫性血管内凝血及多器官衰竭。必须满足以下所有条件：</w:t>
            </w:r>
          </w:p>
          <w:p>
            <w:pPr>
              <w:pStyle w:val="TableParagraph"/>
              <w:spacing w:before="7"/>
              <w:ind w:left="527"/>
              <w:rPr>
                <w:sz w:val="21"/>
              </w:rPr>
            </w:pPr>
            <w:r>
              <w:rPr>
                <w:sz w:val="21"/>
              </w:rPr>
              <w:t>（1）细菌培养和临床表现符合坏死性筋膜炎诊断标准；</w:t>
            </w:r>
          </w:p>
          <w:p>
            <w:pPr>
              <w:pStyle w:val="TableParagraph"/>
              <w:spacing w:before="36"/>
              <w:ind w:left="527"/>
              <w:rPr>
                <w:sz w:val="21"/>
              </w:rPr>
            </w:pPr>
            <w:r>
              <w:rPr>
                <w:sz w:val="21"/>
              </w:rPr>
              <w:t>（2）病情迅速恶化，有脓毒血症表现；</w:t>
            </w:r>
          </w:p>
          <w:p>
            <w:pPr>
              <w:pStyle w:val="TableParagraph"/>
              <w:spacing w:before="36"/>
              <w:ind w:left="527"/>
              <w:rPr>
                <w:sz w:val="21"/>
              </w:rPr>
            </w:pPr>
            <w:r>
              <w:rPr>
                <w:spacing w:val="-1"/>
                <w:sz w:val="21"/>
              </w:rPr>
              <w:t>（3）</w:t>
            </w:r>
            <w:r>
              <w:rPr>
                <w:spacing w:val="-4"/>
                <w:sz w:val="21"/>
              </w:rPr>
              <w:t>受感染肢体被截肢</w:t>
            </w:r>
            <w:r>
              <w:rPr>
                <w:spacing w:val="-3"/>
                <w:sz w:val="21"/>
              </w:rPr>
              <w:t>（自腕关节或踝关节近端</w:t>
            </w:r>
            <w:r>
              <w:rPr>
                <w:spacing w:val="-110"/>
                <w:sz w:val="21"/>
              </w:rPr>
              <w:t>）</w:t>
            </w:r>
            <w:r>
              <w:rPr>
                <w:sz w:val="21"/>
              </w:rPr>
              <w:t>。</w:t>
            </w:r>
          </w:p>
        </w:tc>
      </w:tr>
      <w:tr>
        <w:trPr>
          <w:trHeight w:val="1559" w:hRule="atLeast"/>
        </w:trPr>
        <w:tc>
          <w:tcPr>
            <w:tcW w:w="608" w:type="dxa"/>
          </w:tcPr>
          <w:p>
            <w:pPr>
              <w:pStyle w:val="TableParagraph"/>
              <w:spacing w:before="156"/>
              <w:ind w:left="50"/>
              <w:rPr>
                <w:sz w:val="21"/>
              </w:rPr>
            </w:pPr>
            <w:r>
              <w:rPr>
                <w:sz w:val="21"/>
              </w:rPr>
              <w:t>6.39</w:t>
            </w:r>
          </w:p>
        </w:tc>
        <w:tc>
          <w:tcPr>
            <w:tcW w:w="1163" w:type="dxa"/>
          </w:tcPr>
          <w:p>
            <w:pPr>
              <w:pStyle w:val="TableParagraph"/>
              <w:spacing w:line="273" w:lineRule="auto" w:before="156"/>
              <w:ind w:left="135" w:right="106"/>
              <w:rPr>
                <w:sz w:val="21"/>
              </w:rPr>
            </w:pPr>
            <w:r>
              <w:rPr>
                <w:sz w:val="21"/>
              </w:rPr>
              <w:t>肾髓质囊性病</w:t>
            </w:r>
          </w:p>
        </w:tc>
        <w:tc>
          <w:tcPr>
            <w:tcW w:w="7114" w:type="dxa"/>
          </w:tcPr>
          <w:p>
            <w:pPr>
              <w:pStyle w:val="TableParagraph"/>
              <w:spacing w:line="273" w:lineRule="auto" w:before="156"/>
              <w:ind w:left="107" w:right="49" w:firstLine="420"/>
              <w:jc w:val="both"/>
              <w:rPr>
                <w:sz w:val="21"/>
              </w:rPr>
            </w:pPr>
            <w:r>
              <w:rPr>
                <w:sz w:val="21"/>
              </w:rPr>
              <w:t>指一种遗传性肾脏疾病，特点为肾髓质多发大小不等的囊肿并且伴有小管和间质性肾炎。患者表现为肾脏衰竭和肾小管功能障碍。肾髓质囊性病必须经肾组织活检确诊，并且有临床及影像学证据支持。</w:t>
            </w:r>
          </w:p>
          <w:p>
            <w:pPr>
              <w:pStyle w:val="TableParagraph"/>
              <w:spacing w:before="7"/>
              <w:ind w:left="530"/>
              <w:rPr>
                <w:sz w:val="21"/>
              </w:rPr>
            </w:pPr>
            <w:r>
              <w:rPr>
                <w:sz w:val="21"/>
              </w:rPr>
              <w:t>其他肾脏囊性病变不在本保障范围内。</w:t>
            </w:r>
          </w:p>
        </w:tc>
      </w:tr>
      <w:tr>
        <w:trPr>
          <w:trHeight w:val="1076" w:hRule="atLeast"/>
        </w:trPr>
        <w:tc>
          <w:tcPr>
            <w:tcW w:w="608" w:type="dxa"/>
          </w:tcPr>
          <w:p>
            <w:pPr>
              <w:pStyle w:val="TableParagraph"/>
              <w:spacing w:before="156"/>
              <w:ind w:left="50"/>
              <w:rPr>
                <w:sz w:val="21"/>
              </w:rPr>
            </w:pPr>
            <w:r>
              <w:rPr>
                <w:sz w:val="21"/>
              </w:rPr>
              <w:t>6.40</w:t>
            </w:r>
          </w:p>
        </w:tc>
        <w:tc>
          <w:tcPr>
            <w:tcW w:w="1163" w:type="dxa"/>
          </w:tcPr>
          <w:p>
            <w:pPr>
              <w:pStyle w:val="TableParagraph"/>
              <w:spacing w:line="310" w:lineRule="atLeast" w:before="121"/>
              <w:ind w:left="135" w:right="106"/>
              <w:jc w:val="both"/>
              <w:rPr>
                <w:sz w:val="21"/>
              </w:rPr>
            </w:pPr>
            <w:r>
              <w:rPr>
                <w:sz w:val="21"/>
              </w:rPr>
              <w:t>丝虫感染所致严重象皮病</w:t>
            </w:r>
          </w:p>
        </w:tc>
        <w:tc>
          <w:tcPr>
            <w:tcW w:w="7114" w:type="dxa"/>
          </w:tcPr>
          <w:p>
            <w:pPr>
              <w:pStyle w:val="TableParagraph"/>
              <w:spacing w:line="310" w:lineRule="atLeast" w:before="121"/>
              <w:ind w:left="107" w:right="49" w:firstLine="420"/>
              <w:jc w:val="both"/>
              <w:rPr>
                <w:sz w:val="21"/>
              </w:rPr>
            </w:pPr>
            <w:r>
              <w:rPr>
                <w:sz w:val="21"/>
              </w:rPr>
              <w:t>指因丝虫感染导致淋巴阻塞性出现严重淋巴水肿，达到国际淋巴学会淋巴肿分期第Ⅲ期，临床表现为肢体象皮肿，患肢较健肢增粗 30%以上，日常生活不能自理。</w:t>
            </w:r>
          </w:p>
        </w:tc>
      </w:tr>
    </w:tbl>
    <w:p>
      <w:pPr>
        <w:pStyle w:val="BodyText"/>
        <w:spacing w:before="7"/>
        <w:rPr>
          <w:sz w:val="18"/>
        </w:rPr>
      </w:pPr>
    </w:p>
    <w:p>
      <w:pPr>
        <w:pStyle w:val="BodyText"/>
        <w:spacing w:line="273" w:lineRule="auto"/>
        <w:ind w:left="2091" w:right="278" w:firstLine="420"/>
      </w:pPr>
      <w:r>
        <w:rPr/>
        <w:t>上述重大疾病中所指的永久不可逆，指自疾病确诊或意外伤害发生之日起，经过积极治疗 180 天后，仍无法通过现有医疗手段恢复。</w:t>
      </w:r>
    </w:p>
    <w:p>
      <w:pPr>
        <w:pStyle w:val="BodyText"/>
        <w:spacing w:before="7"/>
        <w:ind w:left="2511"/>
      </w:pPr>
      <w:r>
        <w:rPr/>
        <w:t>上述重大疾病中所指的六项基本日常生活活动是指：</w:t>
      </w:r>
    </w:p>
    <w:p>
      <w:pPr>
        <w:pStyle w:val="BodyText"/>
        <w:spacing w:before="36"/>
        <w:ind w:left="2511"/>
      </w:pPr>
      <w:r>
        <w:rPr/>
        <w:t>（1）穿衣：自己能够穿衣及脱衣；</w:t>
      </w:r>
    </w:p>
    <w:p>
      <w:pPr>
        <w:pStyle w:val="BodyText"/>
        <w:spacing w:before="36"/>
        <w:ind w:left="2511"/>
      </w:pPr>
      <w:r>
        <w:rPr/>
        <w:t>（2）移动：自己从一个房间到另一个房间；</w:t>
      </w:r>
    </w:p>
    <w:p>
      <w:pPr>
        <w:pStyle w:val="BodyText"/>
        <w:spacing w:before="36"/>
        <w:ind w:left="2511"/>
      </w:pPr>
      <w:r>
        <w:rPr/>
        <w:t>（3）行动：自己上下床或上下轮椅；</w:t>
      </w:r>
    </w:p>
    <w:p>
      <w:pPr>
        <w:pStyle w:val="BodyText"/>
        <w:spacing w:before="36"/>
        <w:ind w:left="2511"/>
      </w:pPr>
      <w:r>
        <w:rPr/>
        <w:t>（4）如厕：自己控制进行大小便；</w:t>
      </w:r>
    </w:p>
    <w:p>
      <w:pPr>
        <w:pStyle w:val="BodyText"/>
        <w:spacing w:before="36"/>
        <w:ind w:left="2511"/>
      </w:pPr>
      <w:r>
        <w:rPr/>
        <w:t>（5）进食：自己从已准备好的碗或碟中取食物放入口中；</w:t>
      </w:r>
    </w:p>
    <w:p>
      <w:pPr>
        <w:pStyle w:val="BodyText"/>
        <w:spacing w:before="36"/>
        <w:ind w:left="2511"/>
      </w:pPr>
      <w:r>
        <w:rPr/>
        <w:t>（6）洗澡：自己进行淋浴或盆浴。</w:t>
      </w:r>
    </w:p>
    <w:sectPr>
      <w:pgSz w:w="11910" w:h="16840"/>
      <w:pgMar w:header="836" w:footer="1042" w:top="1100" w:bottom="1240" w:left="130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lgun Gothic Semilight">
    <w:altName w:val="Malgun Gothic Semilight"/>
    <w:charset w:val="86"/>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71pt;margin-top:778.804199pt;width:47.1pt;height:14pt;mso-position-horizontal-relative:page;mso-position-vertical-relative:page;z-index:-22696" type="#_x0000_t202" filled="false" stroked="false">
          <v:textbox inset="0,0,0,0">
            <w:txbxContent>
              <w:p>
                <w:pPr>
                  <w:spacing w:before="5"/>
                  <w:ind w:left="20" w:right="0" w:firstLine="0"/>
                  <w:jc w:val="left"/>
                  <w:rPr>
                    <w:sz w:val="18"/>
                  </w:rPr>
                </w:pPr>
                <w:r>
                  <w:rPr>
                    <w:sz w:val="18"/>
                  </w:rPr>
                  <w:t>22F0120171</w:t>
                </w:r>
              </w:p>
            </w:txbxContent>
          </v:textbox>
          <w10:wrap type="none"/>
        </v:shape>
      </w:pict>
    </w:r>
    <w:r>
      <w:rPr/>
      <w:pict>
        <v:shape style="position:absolute;margin-left:449.23999pt;margin-top:778.804199pt;width:69.55pt;height:14pt;mso-position-horizontal-relative:page;mso-position-vertical-relative:page;z-index:-22672" type="#_x0000_t202" filled="false" stroked="false">
          <v:textbox inset="0,0,0,0">
            <w:txbxContent>
              <w:p>
                <w:pPr>
                  <w:spacing w:before="5"/>
                  <w:ind w:left="20" w:right="0" w:firstLine="0"/>
                  <w:jc w:val="left"/>
                  <w:rPr>
                    <w:sz w:val="18"/>
                  </w:rPr>
                </w:pPr>
                <w:r>
                  <w:rPr>
                    <w:spacing w:val="-23"/>
                    <w:sz w:val="18"/>
                  </w:rPr>
                  <w:t>第 </w:t>
                </w:r>
                <w:r>
                  <w:rPr/>
                  <w:fldChar w:fldCharType="begin"/>
                </w:r>
                <w:r>
                  <w:rPr>
                    <w:sz w:val="18"/>
                  </w:rPr>
                  <w:instrText> PAGE </w:instrText>
                </w:r>
                <w:r>
                  <w:rPr/>
                  <w:fldChar w:fldCharType="separate"/>
                </w:r>
                <w:r>
                  <w:rPr/>
                  <w:t>1</w:t>
                </w:r>
                <w:r>
                  <w:rPr/>
                  <w:fldChar w:fldCharType="end"/>
                </w:r>
                <w:r>
                  <w:rPr>
                    <w:spacing w:val="-20"/>
                    <w:sz w:val="18"/>
                  </w:rPr>
                  <w:t> 页[共 </w:t>
                </w:r>
                <w:r>
                  <w:rPr>
                    <w:sz w:val="18"/>
                  </w:rPr>
                  <w:t>14</w:t>
                </w:r>
                <w:r>
                  <w:rPr>
                    <w:spacing w:val="-16"/>
                    <w:sz w:val="18"/>
                  </w:rPr>
                  <w:t>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71pt;margin-top:778.804199pt;width:47.1pt;height:14pt;mso-position-horizontal-relative:page;mso-position-vertical-relative:page;z-index:-22648" type="#_x0000_t202" filled="false" stroked="false">
          <v:textbox inset="0,0,0,0">
            <w:txbxContent>
              <w:p>
                <w:pPr>
                  <w:spacing w:before="5"/>
                  <w:ind w:left="20" w:right="0" w:firstLine="0"/>
                  <w:jc w:val="left"/>
                  <w:rPr>
                    <w:sz w:val="18"/>
                  </w:rPr>
                </w:pPr>
                <w:r>
                  <w:rPr>
                    <w:sz w:val="18"/>
                  </w:rPr>
                  <w:t>22F0120171</w:t>
                </w:r>
              </w:p>
            </w:txbxContent>
          </v:textbox>
          <w10:wrap type="none"/>
        </v:shape>
      </w:pict>
    </w:r>
    <w:r>
      <w:rPr/>
      <w:pict>
        <v:shape style="position:absolute;margin-left:449.23999pt;margin-top:778.804199pt;width:69.55pt;height:14pt;mso-position-horizontal-relative:page;mso-position-vertical-relative:page;z-index:-22624" type="#_x0000_t202" filled="false" stroked="false">
          <v:textbox inset="0,0,0,0">
            <w:txbxContent>
              <w:p>
                <w:pPr>
                  <w:spacing w:before="5"/>
                  <w:ind w:left="20" w:right="0" w:firstLine="0"/>
                  <w:jc w:val="left"/>
                  <w:rPr>
                    <w:sz w:val="18"/>
                  </w:rPr>
                </w:pPr>
                <w:r>
                  <w:rPr>
                    <w:spacing w:val="-23"/>
                    <w:sz w:val="18"/>
                  </w:rPr>
                  <w:t>第 </w:t>
                </w:r>
                <w:r>
                  <w:rPr/>
                  <w:fldChar w:fldCharType="begin"/>
                </w:r>
                <w:r>
                  <w:rPr>
                    <w:sz w:val="18"/>
                  </w:rPr>
                  <w:instrText> PAGE </w:instrText>
                </w:r>
                <w:r>
                  <w:rPr/>
                  <w:fldChar w:fldCharType="separate"/>
                </w:r>
                <w:r>
                  <w:rPr/>
                  <w:t>3</w:t>
                </w:r>
                <w:r>
                  <w:rPr/>
                  <w:fldChar w:fldCharType="end"/>
                </w:r>
                <w:r>
                  <w:rPr>
                    <w:spacing w:val="-20"/>
                    <w:sz w:val="18"/>
                  </w:rPr>
                  <w:t> 页[共 </w:t>
                </w:r>
                <w:r>
                  <w:rPr>
                    <w:sz w:val="18"/>
                  </w:rPr>
                  <w:t>14</w:t>
                </w:r>
                <w:r>
                  <w:rPr>
                    <w:spacing w:val="-16"/>
                    <w:sz w:val="18"/>
                  </w:rPr>
                  <w:t> 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71pt;margin-top:778.804199pt;width:47.1pt;height:14pt;mso-position-horizontal-relative:page;mso-position-vertical-relative:page;z-index:-22600" type="#_x0000_t202" filled="false" stroked="false">
          <v:textbox inset="0,0,0,0">
            <w:txbxContent>
              <w:p>
                <w:pPr>
                  <w:spacing w:before="5"/>
                  <w:ind w:left="20" w:right="0" w:firstLine="0"/>
                  <w:jc w:val="left"/>
                  <w:rPr>
                    <w:sz w:val="18"/>
                  </w:rPr>
                </w:pPr>
                <w:r>
                  <w:rPr>
                    <w:sz w:val="18"/>
                  </w:rPr>
                  <w:t>22F0120171</w:t>
                </w:r>
              </w:p>
            </w:txbxContent>
          </v:textbox>
          <w10:wrap type="none"/>
        </v:shape>
      </w:pict>
    </w:r>
    <w:r>
      <w:rPr/>
      <w:pict>
        <v:shape style="position:absolute;margin-left:449.23999pt;margin-top:778.804199pt;width:74.1pt;height:14pt;mso-position-horizontal-relative:page;mso-position-vertical-relative:page;z-index:-22576" type="#_x0000_t202" filled="false" stroked="false">
          <v:textbox inset="0,0,0,0">
            <w:txbxContent>
              <w:p>
                <w:pPr>
                  <w:spacing w:before="5"/>
                  <w:ind w:left="20" w:right="0" w:firstLine="0"/>
                  <w:jc w:val="left"/>
                  <w:rPr>
                    <w:sz w:val="18"/>
                  </w:rPr>
                </w:pPr>
                <w:r>
                  <w:rPr>
                    <w:spacing w:val="-23"/>
                    <w:sz w:val="18"/>
                  </w:rPr>
                  <w:t>第 </w:t>
                </w:r>
                <w:r>
                  <w:rPr/>
                  <w:fldChar w:fldCharType="begin"/>
                </w:r>
                <w:r>
                  <w:rPr>
                    <w:sz w:val="18"/>
                  </w:rPr>
                  <w:instrText> PAGE </w:instrText>
                </w:r>
                <w:r>
                  <w:rPr/>
                  <w:fldChar w:fldCharType="separate"/>
                </w:r>
                <w:r>
                  <w:rPr/>
                  <w:t>10</w:t>
                </w:r>
                <w:r>
                  <w:rPr/>
                  <w:fldChar w:fldCharType="end"/>
                </w:r>
                <w:r>
                  <w:rPr>
                    <w:spacing w:val="-19"/>
                    <w:sz w:val="18"/>
                  </w:rPr>
                  <w:t> 页[共 </w:t>
                </w:r>
                <w:r>
                  <w:rPr>
                    <w:sz w:val="18"/>
                  </w:rPr>
                  <w:t>14</w:t>
                </w:r>
                <w:r>
                  <w:rPr>
                    <w:spacing w:val="-16"/>
                    <w:sz w:val="18"/>
                  </w:rPr>
                  <w:t> 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22768" from="70.439995pt,55.559998pt" to="525.480008pt,55.559998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70.879997pt;margin-top:40.804184pt;width:110.05pt;height:14pt;mso-position-horizontal-relative:page;mso-position-vertical-relative:page;z-index:-22744" type="#_x0000_t202" filled="false" stroked="false">
          <v:textbox inset="0,0,0,0">
            <w:txbxContent>
              <w:p>
                <w:pPr>
                  <w:spacing w:before="5"/>
                  <w:ind w:left="20" w:right="0" w:firstLine="0"/>
                  <w:jc w:val="left"/>
                  <w:rPr>
                    <w:sz w:val="18"/>
                  </w:rPr>
                </w:pPr>
                <w:r>
                  <w:rPr>
                    <w:sz w:val="18"/>
                  </w:rPr>
                  <w:t>华贵团体重大疾病保险条款</w:t>
                </w:r>
              </w:p>
            </w:txbxContent>
          </v:textbox>
          <w10:wrap type="none"/>
        </v:shape>
      </w:pict>
    </w:r>
    <w:r>
      <w:rPr/>
      <w:pict>
        <v:shape style="position:absolute;margin-left:413.119965pt;margin-top:40.804184pt;width:109.95pt;height:14pt;mso-position-horizontal-relative:page;mso-position-vertical-relative:page;z-index:-22720" type="#_x0000_t202" filled="false" stroked="false">
          <v:textbox inset="0,0,0,0">
            <w:txbxContent>
              <w:p>
                <w:pPr>
                  <w:spacing w:before="5"/>
                  <w:ind w:left="20" w:right="0" w:firstLine="0"/>
                  <w:jc w:val="left"/>
                  <w:rPr>
                    <w:sz w:val="18"/>
                  </w:rPr>
                </w:pPr>
                <w:r>
                  <w:rPr>
                    <w:sz w:val="18"/>
                  </w:rPr>
                  <w:t>华贵人寿保险股份有限公司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6"/>
      <w:numFmt w:val="decimal"/>
      <w:lvlText w:val="%1"/>
      <w:lvlJc w:val="left"/>
      <w:pPr>
        <w:ind w:left="2091" w:hanging="694"/>
        <w:jc w:val="left"/>
      </w:pPr>
      <w:rPr>
        <w:rFonts w:hint="default"/>
      </w:rPr>
    </w:lvl>
    <w:lvl w:ilvl="1">
      <w:start w:val="12"/>
      <w:numFmt w:val="decimal"/>
      <w:lvlText w:val="%1.%2"/>
      <w:lvlJc w:val="left"/>
      <w:pPr>
        <w:ind w:left="2091" w:hanging="694"/>
        <w:jc w:val="left"/>
      </w:pPr>
      <w:rPr>
        <w:rFonts w:hint="default" w:ascii="宋体" w:hAnsi="宋体" w:eastAsia="宋体" w:cs="宋体"/>
        <w:w w:val="100"/>
        <w:sz w:val="21"/>
        <w:szCs w:val="21"/>
      </w:rPr>
    </w:lvl>
    <w:lvl w:ilvl="2">
      <w:start w:val="0"/>
      <w:numFmt w:val="bullet"/>
      <w:lvlText w:val="•"/>
      <w:lvlJc w:val="left"/>
      <w:pPr>
        <w:ind w:left="2690" w:hanging="694"/>
      </w:pPr>
      <w:rPr>
        <w:rFonts w:hint="default"/>
      </w:rPr>
    </w:lvl>
    <w:lvl w:ilvl="3">
      <w:start w:val="0"/>
      <w:numFmt w:val="bullet"/>
      <w:lvlText w:val="•"/>
      <w:lvlJc w:val="left"/>
      <w:pPr>
        <w:ind w:left="3280" w:hanging="694"/>
      </w:pPr>
      <w:rPr>
        <w:rFonts w:hint="default"/>
      </w:rPr>
    </w:lvl>
    <w:lvl w:ilvl="4">
      <w:start w:val="0"/>
      <w:numFmt w:val="bullet"/>
      <w:lvlText w:val="•"/>
      <w:lvlJc w:val="left"/>
      <w:pPr>
        <w:ind w:left="3870" w:hanging="694"/>
      </w:pPr>
      <w:rPr>
        <w:rFonts w:hint="default"/>
      </w:rPr>
    </w:lvl>
    <w:lvl w:ilvl="5">
      <w:start w:val="0"/>
      <w:numFmt w:val="bullet"/>
      <w:lvlText w:val="•"/>
      <w:lvlJc w:val="left"/>
      <w:pPr>
        <w:ind w:left="4460" w:hanging="694"/>
      </w:pPr>
      <w:rPr>
        <w:rFonts w:hint="default"/>
      </w:rPr>
    </w:lvl>
    <w:lvl w:ilvl="6">
      <w:start w:val="0"/>
      <w:numFmt w:val="bullet"/>
      <w:lvlText w:val="•"/>
      <w:lvlJc w:val="left"/>
      <w:pPr>
        <w:ind w:left="5050" w:hanging="694"/>
      </w:pPr>
      <w:rPr>
        <w:rFonts w:hint="default"/>
      </w:rPr>
    </w:lvl>
    <w:lvl w:ilvl="7">
      <w:start w:val="0"/>
      <w:numFmt w:val="bullet"/>
      <w:lvlText w:val="•"/>
      <w:lvlJc w:val="left"/>
      <w:pPr>
        <w:ind w:left="5641" w:hanging="694"/>
      </w:pPr>
      <w:rPr>
        <w:rFonts w:hint="default"/>
      </w:rPr>
    </w:lvl>
    <w:lvl w:ilvl="8">
      <w:start w:val="0"/>
      <w:numFmt w:val="bullet"/>
      <w:lvlText w:val="•"/>
      <w:lvlJc w:val="left"/>
      <w:pPr>
        <w:ind w:left="6231" w:hanging="694"/>
      </w:pPr>
      <w:rPr>
        <w:rFonts w:hint="default"/>
      </w:rPr>
    </w:lvl>
  </w:abstractNum>
  <w:abstractNum w:abstractNumId="7">
    <w:multiLevelType w:val="hybridMultilevel"/>
    <w:lvl w:ilvl="0">
      <w:start w:val="4"/>
      <w:numFmt w:val="decimal"/>
      <w:lvlText w:val="%1"/>
      <w:lvlJc w:val="left"/>
      <w:pPr>
        <w:ind w:left="956" w:hanging="694"/>
        <w:jc w:val="left"/>
      </w:pPr>
      <w:rPr>
        <w:rFonts w:hint="default"/>
      </w:rPr>
    </w:lvl>
    <w:lvl w:ilvl="1">
      <w:start w:val="3"/>
      <w:numFmt w:val="decimal"/>
      <w:lvlText w:val="%1.%2"/>
      <w:lvlJc w:val="left"/>
      <w:pPr>
        <w:ind w:left="956" w:hanging="694"/>
        <w:jc w:val="left"/>
      </w:pPr>
      <w:rPr>
        <w:rFonts w:hint="default" w:ascii="宋体" w:hAnsi="宋体" w:eastAsia="宋体" w:cs="宋体"/>
        <w:w w:val="100"/>
        <w:sz w:val="21"/>
        <w:szCs w:val="21"/>
      </w:rPr>
    </w:lvl>
    <w:lvl w:ilvl="2">
      <w:start w:val="0"/>
      <w:numFmt w:val="bullet"/>
      <w:lvlText w:val="•"/>
      <w:lvlJc w:val="left"/>
      <w:pPr>
        <w:ind w:left="1142" w:hanging="694"/>
      </w:pPr>
      <w:rPr>
        <w:rFonts w:hint="default"/>
      </w:rPr>
    </w:lvl>
    <w:lvl w:ilvl="3">
      <w:start w:val="0"/>
      <w:numFmt w:val="bullet"/>
      <w:lvlText w:val="•"/>
      <w:lvlJc w:val="left"/>
      <w:pPr>
        <w:ind w:left="1234" w:hanging="694"/>
      </w:pPr>
      <w:rPr>
        <w:rFonts w:hint="default"/>
      </w:rPr>
    </w:lvl>
    <w:lvl w:ilvl="4">
      <w:start w:val="0"/>
      <w:numFmt w:val="bullet"/>
      <w:lvlText w:val="•"/>
      <w:lvlJc w:val="left"/>
      <w:pPr>
        <w:ind w:left="1325" w:hanging="694"/>
      </w:pPr>
      <w:rPr>
        <w:rFonts w:hint="default"/>
      </w:rPr>
    </w:lvl>
    <w:lvl w:ilvl="5">
      <w:start w:val="0"/>
      <w:numFmt w:val="bullet"/>
      <w:lvlText w:val="•"/>
      <w:lvlJc w:val="left"/>
      <w:pPr>
        <w:ind w:left="1417" w:hanging="694"/>
      </w:pPr>
      <w:rPr>
        <w:rFonts w:hint="default"/>
      </w:rPr>
    </w:lvl>
    <w:lvl w:ilvl="6">
      <w:start w:val="0"/>
      <w:numFmt w:val="bullet"/>
      <w:lvlText w:val="•"/>
      <w:lvlJc w:val="left"/>
      <w:pPr>
        <w:ind w:left="1508" w:hanging="694"/>
      </w:pPr>
      <w:rPr>
        <w:rFonts w:hint="default"/>
      </w:rPr>
    </w:lvl>
    <w:lvl w:ilvl="7">
      <w:start w:val="0"/>
      <w:numFmt w:val="bullet"/>
      <w:lvlText w:val="•"/>
      <w:lvlJc w:val="left"/>
      <w:pPr>
        <w:ind w:left="1600" w:hanging="694"/>
      </w:pPr>
      <w:rPr>
        <w:rFonts w:hint="default"/>
      </w:rPr>
    </w:lvl>
    <w:lvl w:ilvl="8">
      <w:start w:val="0"/>
      <w:numFmt w:val="bullet"/>
      <w:lvlText w:val="•"/>
      <w:lvlJc w:val="left"/>
      <w:pPr>
        <w:ind w:left="1691" w:hanging="694"/>
      </w:pPr>
      <w:rPr>
        <w:rFonts w:hint="default"/>
      </w:rPr>
    </w:lvl>
  </w:abstractNum>
  <w:abstractNum w:abstractNumId="6">
    <w:multiLevelType w:val="hybridMultilevel"/>
    <w:lvl w:ilvl="0">
      <w:start w:val="5"/>
      <w:numFmt w:val="decimal"/>
      <w:lvlText w:val="%1"/>
      <w:lvlJc w:val="left"/>
      <w:pPr>
        <w:ind w:left="457" w:hanging="318"/>
        <w:jc w:val="left"/>
      </w:pPr>
      <w:rPr>
        <w:rFonts w:hint="default"/>
      </w:rPr>
    </w:lvl>
    <w:lvl w:ilvl="1">
      <w:start w:val="1"/>
      <w:numFmt w:val="decimal"/>
      <w:lvlText w:val="%1.%2"/>
      <w:lvlJc w:val="left"/>
      <w:pPr>
        <w:ind w:left="457" w:hanging="318"/>
        <w:jc w:val="left"/>
      </w:pPr>
      <w:rPr>
        <w:rFonts w:hint="default" w:ascii="宋体" w:hAnsi="宋体" w:eastAsia="宋体" w:cs="宋体"/>
        <w:spacing w:val="-106"/>
        <w:w w:val="100"/>
        <w:sz w:val="19"/>
        <w:szCs w:val="19"/>
      </w:rPr>
    </w:lvl>
    <w:lvl w:ilvl="2">
      <w:start w:val="1"/>
      <w:numFmt w:val="decimal"/>
      <w:lvlText w:val="%3."/>
      <w:lvlJc w:val="left"/>
      <w:pPr>
        <w:ind w:left="956" w:hanging="694"/>
        <w:jc w:val="left"/>
      </w:pPr>
      <w:rPr>
        <w:rFonts w:hint="default" w:ascii="宋体" w:hAnsi="宋体" w:eastAsia="宋体" w:cs="宋体"/>
        <w:spacing w:val="0"/>
        <w:w w:val="100"/>
        <w:sz w:val="24"/>
        <w:szCs w:val="24"/>
      </w:rPr>
    </w:lvl>
    <w:lvl w:ilvl="3">
      <w:start w:val="1"/>
      <w:numFmt w:val="decimal"/>
      <w:lvlText w:val="%3.%4"/>
      <w:lvlJc w:val="left"/>
      <w:pPr>
        <w:ind w:left="2091" w:hanging="694"/>
        <w:jc w:val="left"/>
      </w:pPr>
      <w:rPr>
        <w:rFonts w:hint="default" w:ascii="宋体" w:hAnsi="宋体" w:eastAsia="宋体" w:cs="宋体"/>
        <w:w w:val="100"/>
        <w:sz w:val="21"/>
        <w:szCs w:val="21"/>
      </w:rPr>
    </w:lvl>
    <w:lvl w:ilvl="4">
      <w:start w:val="0"/>
      <w:numFmt w:val="bullet"/>
      <w:lvlText w:val="•"/>
      <w:lvlJc w:val="left"/>
      <w:pPr>
        <w:ind w:left="2043" w:hanging="694"/>
      </w:pPr>
      <w:rPr>
        <w:rFonts w:hint="default"/>
      </w:rPr>
    </w:lvl>
    <w:lvl w:ilvl="5">
      <w:start w:val="0"/>
      <w:numFmt w:val="bullet"/>
      <w:lvlText w:val="•"/>
      <w:lvlJc w:val="left"/>
      <w:pPr>
        <w:ind w:left="2015" w:hanging="694"/>
      </w:pPr>
      <w:rPr>
        <w:rFonts w:hint="default"/>
      </w:rPr>
    </w:lvl>
    <w:lvl w:ilvl="6">
      <w:start w:val="0"/>
      <w:numFmt w:val="bullet"/>
      <w:lvlText w:val="•"/>
      <w:lvlJc w:val="left"/>
      <w:pPr>
        <w:ind w:left="1987" w:hanging="694"/>
      </w:pPr>
      <w:rPr>
        <w:rFonts w:hint="default"/>
      </w:rPr>
    </w:lvl>
    <w:lvl w:ilvl="7">
      <w:start w:val="0"/>
      <w:numFmt w:val="bullet"/>
      <w:lvlText w:val="•"/>
      <w:lvlJc w:val="left"/>
      <w:pPr>
        <w:ind w:left="1959" w:hanging="694"/>
      </w:pPr>
      <w:rPr>
        <w:rFonts w:hint="default"/>
      </w:rPr>
    </w:lvl>
    <w:lvl w:ilvl="8">
      <w:start w:val="0"/>
      <w:numFmt w:val="bullet"/>
      <w:lvlText w:val="•"/>
      <w:lvlJc w:val="left"/>
      <w:pPr>
        <w:ind w:left="1931" w:hanging="694"/>
      </w:pPr>
      <w:rPr>
        <w:rFonts w:hint="default"/>
      </w:rPr>
    </w:lvl>
  </w:abstractNum>
  <w:abstractNum w:abstractNumId="5">
    <w:multiLevelType w:val="hybridMultilevel"/>
    <w:lvl w:ilvl="0">
      <w:start w:val="5"/>
      <w:numFmt w:val="decimal"/>
      <w:lvlText w:val="%1"/>
      <w:lvlJc w:val="left"/>
      <w:pPr>
        <w:ind w:left="1398" w:hanging="423"/>
        <w:jc w:val="left"/>
      </w:pPr>
      <w:rPr>
        <w:rFonts w:hint="default"/>
      </w:rPr>
    </w:lvl>
    <w:lvl w:ilvl="1">
      <w:start w:val="1"/>
      <w:numFmt w:val="decimal"/>
      <w:lvlText w:val="%1.%2"/>
      <w:lvlJc w:val="left"/>
      <w:pPr>
        <w:ind w:left="1398" w:hanging="423"/>
        <w:jc w:val="left"/>
      </w:pPr>
      <w:rPr>
        <w:rFonts w:hint="default" w:ascii="宋体" w:hAnsi="宋体" w:eastAsia="宋体" w:cs="宋体"/>
        <w:w w:val="100"/>
        <w:sz w:val="21"/>
        <w:szCs w:val="21"/>
      </w:rPr>
    </w:lvl>
    <w:lvl w:ilvl="2">
      <w:start w:val="0"/>
      <w:numFmt w:val="bullet"/>
      <w:lvlText w:val="•"/>
      <w:lvlJc w:val="left"/>
      <w:pPr>
        <w:ind w:left="2251" w:hanging="423"/>
      </w:pPr>
      <w:rPr>
        <w:rFonts w:hint="default"/>
      </w:rPr>
    </w:lvl>
    <w:lvl w:ilvl="3">
      <w:start w:val="0"/>
      <w:numFmt w:val="bullet"/>
      <w:lvlText w:val="•"/>
      <w:lvlJc w:val="left"/>
      <w:pPr>
        <w:ind w:left="2677" w:hanging="423"/>
      </w:pPr>
      <w:rPr>
        <w:rFonts w:hint="default"/>
      </w:rPr>
    </w:lvl>
    <w:lvl w:ilvl="4">
      <w:start w:val="0"/>
      <w:numFmt w:val="bullet"/>
      <w:lvlText w:val="•"/>
      <w:lvlJc w:val="left"/>
      <w:pPr>
        <w:ind w:left="3102" w:hanging="423"/>
      </w:pPr>
      <w:rPr>
        <w:rFonts w:hint="default"/>
      </w:rPr>
    </w:lvl>
    <w:lvl w:ilvl="5">
      <w:start w:val="0"/>
      <w:numFmt w:val="bullet"/>
      <w:lvlText w:val="•"/>
      <w:lvlJc w:val="left"/>
      <w:pPr>
        <w:ind w:left="3528" w:hanging="423"/>
      </w:pPr>
      <w:rPr>
        <w:rFonts w:hint="default"/>
      </w:rPr>
    </w:lvl>
    <w:lvl w:ilvl="6">
      <w:start w:val="0"/>
      <w:numFmt w:val="bullet"/>
      <w:lvlText w:val="•"/>
      <w:lvlJc w:val="left"/>
      <w:pPr>
        <w:ind w:left="3954" w:hanging="423"/>
      </w:pPr>
      <w:rPr>
        <w:rFonts w:hint="default"/>
      </w:rPr>
    </w:lvl>
    <w:lvl w:ilvl="7">
      <w:start w:val="0"/>
      <w:numFmt w:val="bullet"/>
      <w:lvlText w:val="•"/>
      <w:lvlJc w:val="left"/>
      <w:pPr>
        <w:ind w:left="4379" w:hanging="423"/>
      </w:pPr>
      <w:rPr>
        <w:rFonts w:hint="default"/>
      </w:rPr>
    </w:lvl>
    <w:lvl w:ilvl="8">
      <w:start w:val="0"/>
      <w:numFmt w:val="bullet"/>
      <w:lvlText w:val="•"/>
      <w:lvlJc w:val="left"/>
      <w:pPr>
        <w:ind w:left="4805" w:hanging="423"/>
      </w:pPr>
      <w:rPr>
        <w:rFonts w:hint="default"/>
      </w:rPr>
    </w:lvl>
  </w:abstractNum>
  <w:abstractNum w:abstractNumId="4">
    <w:multiLevelType w:val="hybridMultilevel"/>
    <w:lvl w:ilvl="0">
      <w:start w:val="4"/>
      <w:numFmt w:val="decimal"/>
      <w:lvlText w:val="%1."/>
      <w:lvlJc w:val="left"/>
      <w:pPr>
        <w:ind w:left="1081" w:hanging="317"/>
        <w:jc w:val="left"/>
      </w:pPr>
      <w:rPr>
        <w:rFonts w:hint="default" w:ascii="宋体" w:hAnsi="宋体" w:eastAsia="宋体" w:cs="宋体"/>
        <w:w w:val="100"/>
        <w:sz w:val="21"/>
        <w:szCs w:val="21"/>
      </w:rPr>
    </w:lvl>
    <w:lvl w:ilvl="1">
      <w:start w:val="1"/>
      <w:numFmt w:val="decimal"/>
      <w:lvlText w:val="%1.%2"/>
      <w:lvlJc w:val="left"/>
      <w:pPr>
        <w:ind w:left="1398" w:hanging="423"/>
        <w:jc w:val="left"/>
      </w:pPr>
      <w:rPr>
        <w:rFonts w:hint="default" w:ascii="宋体" w:hAnsi="宋体" w:eastAsia="宋体" w:cs="宋体"/>
        <w:w w:val="100"/>
        <w:sz w:val="21"/>
        <w:szCs w:val="21"/>
      </w:rPr>
    </w:lvl>
    <w:lvl w:ilvl="2">
      <w:start w:val="0"/>
      <w:numFmt w:val="bullet"/>
      <w:lvlText w:val="•"/>
      <w:lvlJc w:val="left"/>
      <w:pPr>
        <w:ind w:left="1872" w:hanging="423"/>
      </w:pPr>
      <w:rPr>
        <w:rFonts w:hint="default"/>
      </w:rPr>
    </w:lvl>
    <w:lvl w:ilvl="3">
      <w:start w:val="0"/>
      <w:numFmt w:val="bullet"/>
      <w:lvlText w:val="•"/>
      <w:lvlJc w:val="left"/>
      <w:pPr>
        <w:ind w:left="2345" w:hanging="423"/>
      </w:pPr>
      <w:rPr>
        <w:rFonts w:hint="default"/>
      </w:rPr>
    </w:lvl>
    <w:lvl w:ilvl="4">
      <w:start w:val="0"/>
      <w:numFmt w:val="bullet"/>
      <w:lvlText w:val="•"/>
      <w:lvlJc w:val="left"/>
      <w:pPr>
        <w:ind w:left="2818" w:hanging="423"/>
      </w:pPr>
      <w:rPr>
        <w:rFonts w:hint="default"/>
      </w:rPr>
    </w:lvl>
    <w:lvl w:ilvl="5">
      <w:start w:val="0"/>
      <w:numFmt w:val="bullet"/>
      <w:lvlText w:val="•"/>
      <w:lvlJc w:val="left"/>
      <w:pPr>
        <w:ind w:left="3291" w:hanging="423"/>
      </w:pPr>
      <w:rPr>
        <w:rFonts w:hint="default"/>
      </w:rPr>
    </w:lvl>
    <w:lvl w:ilvl="6">
      <w:start w:val="0"/>
      <w:numFmt w:val="bullet"/>
      <w:lvlText w:val="•"/>
      <w:lvlJc w:val="left"/>
      <w:pPr>
        <w:ind w:left="3764" w:hanging="423"/>
      </w:pPr>
      <w:rPr>
        <w:rFonts w:hint="default"/>
      </w:rPr>
    </w:lvl>
    <w:lvl w:ilvl="7">
      <w:start w:val="0"/>
      <w:numFmt w:val="bullet"/>
      <w:lvlText w:val="•"/>
      <w:lvlJc w:val="left"/>
      <w:pPr>
        <w:ind w:left="4237" w:hanging="423"/>
      </w:pPr>
      <w:rPr>
        <w:rFonts w:hint="default"/>
      </w:rPr>
    </w:lvl>
    <w:lvl w:ilvl="8">
      <w:start w:val="0"/>
      <w:numFmt w:val="bullet"/>
      <w:lvlText w:val="•"/>
      <w:lvlJc w:val="left"/>
      <w:pPr>
        <w:ind w:left="4710" w:hanging="423"/>
      </w:pPr>
      <w:rPr>
        <w:rFonts w:hint="default"/>
      </w:rPr>
    </w:lvl>
  </w:abstractNum>
  <w:abstractNum w:abstractNumId="3">
    <w:multiLevelType w:val="hybridMultilevel"/>
    <w:lvl w:ilvl="0">
      <w:start w:val="3"/>
      <w:numFmt w:val="decimal"/>
      <w:lvlText w:val="%1"/>
      <w:lvlJc w:val="left"/>
      <w:pPr>
        <w:ind w:left="1398" w:hanging="423"/>
        <w:jc w:val="left"/>
      </w:pPr>
      <w:rPr>
        <w:rFonts w:hint="default"/>
      </w:rPr>
    </w:lvl>
    <w:lvl w:ilvl="1">
      <w:start w:val="1"/>
      <w:numFmt w:val="decimal"/>
      <w:lvlText w:val="%1.%2"/>
      <w:lvlJc w:val="left"/>
      <w:pPr>
        <w:ind w:left="1398" w:hanging="423"/>
        <w:jc w:val="left"/>
      </w:pPr>
      <w:rPr>
        <w:rFonts w:hint="default" w:ascii="宋体" w:hAnsi="宋体" w:eastAsia="宋体" w:cs="宋体"/>
        <w:w w:val="100"/>
        <w:sz w:val="21"/>
        <w:szCs w:val="21"/>
      </w:rPr>
    </w:lvl>
    <w:lvl w:ilvl="2">
      <w:start w:val="0"/>
      <w:numFmt w:val="bullet"/>
      <w:lvlText w:val="•"/>
      <w:lvlJc w:val="left"/>
      <w:pPr>
        <w:ind w:left="1945" w:hanging="423"/>
      </w:pPr>
      <w:rPr>
        <w:rFonts w:hint="default"/>
      </w:rPr>
    </w:lvl>
    <w:lvl w:ilvl="3">
      <w:start w:val="0"/>
      <w:numFmt w:val="bullet"/>
      <w:lvlText w:val="•"/>
      <w:lvlJc w:val="left"/>
      <w:pPr>
        <w:ind w:left="2218" w:hanging="423"/>
      </w:pPr>
      <w:rPr>
        <w:rFonts w:hint="default"/>
      </w:rPr>
    </w:lvl>
    <w:lvl w:ilvl="4">
      <w:start w:val="0"/>
      <w:numFmt w:val="bullet"/>
      <w:lvlText w:val="•"/>
      <w:lvlJc w:val="left"/>
      <w:pPr>
        <w:ind w:left="2491" w:hanging="423"/>
      </w:pPr>
      <w:rPr>
        <w:rFonts w:hint="default"/>
      </w:rPr>
    </w:lvl>
    <w:lvl w:ilvl="5">
      <w:start w:val="0"/>
      <w:numFmt w:val="bullet"/>
      <w:lvlText w:val="•"/>
      <w:lvlJc w:val="left"/>
      <w:pPr>
        <w:ind w:left="2764" w:hanging="423"/>
      </w:pPr>
      <w:rPr>
        <w:rFonts w:hint="default"/>
      </w:rPr>
    </w:lvl>
    <w:lvl w:ilvl="6">
      <w:start w:val="0"/>
      <w:numFmt w:val="bullet"/>
      <w:lvlText w:val="•"/>
      <w:lvlJc w:val="left"/>
      <w:pPr>
        <w:ind w:left="3037" w:hanging="423"/>
      </w:pPr>
      <w:rPr>
        <w:rFonts w:hint="default"/>
      </w:rPr>
    </w:lvl>
    <w:lvl w:ilvl="7">
      <w:start w:val="0"/>
      <w:numFmt w:val="bullet"/>
      <w:lvlText w:val="•"/>
      <w:lvlJc w:val="left"/>
      <w:pPr>
        <w:ind w:left="3310" w:hanging="423"/>
      </w:pPr>
      <w:rPr>
        <w:rFonts w:hint="default"/>
      </w:rPr>
    </w:lvl>
    <w:lvl w:ilvl="8">
      <w:start w:val="0"/>
      <w:numFmt w:val="bullet"/>
      <w:lvlText w:val="•"/>
      <w:lvlJc w:val="left"/>
      <w:pPr>
        <w:ind w:left="3583" w:hanging="423"/>
      </w:pPr>
      <w:rPr>
        <w:rFonts w:hint="default"/>
      </w:rPr>
    </w:lvl>
  </w:abstractNum>
  <w:abstractNum w:abstractNumId="2">
    <w:multiLevelType w:val="hybridMultilevel"/>
    <w:lvl w:ilvl="0">
      <w:start w:val="2"/>
      <w:numFmt w:val="decimal"/>
      <w:lvlText w:val="%1"/>
      <w:lvlJc w:val="left"/>
      <w:pPr>
        <w:ind w:left="1398" w:hanging="423"/>
        <w:jc w:val="left"/>
      </w:pPr>
      <w:rPr>
        <w:rFonts w:hint="default"/>
      </w:rPr>
    </w:lvl>
    <w:lvl w:ilvl="1">
      <w:start w:val="1"/>
      <w:numFmt w:val="decimal"/>
      <w:lvlText w:val="%1.%2"/>
      <w:lvlJc w:val="left"/>
      <w:pPr>
        <w:ind w:left="1398" w:hanging="423"/>
        <w:jc w:val="left"/>
      </w:pPr>
      <w:rPr>
        <w:rFonts w:hint="default" w:ascii="宋体" w:hAnsi="宋体" w:eastAsia="宋体" w:cs="宋体"/>
        <w:w w:val="100"/>
        <w:sz w:val="21"/>
        <w:szCs w:val="21"/>
      </w:rPr>
    </w:lvl>
    <w:lvl w:ilvl="2">
      <w:start w:val="0"/>
      <w:numFmt w:val="bullet"/>
      <w:lvlText w:val="•"/>
      <w:lvlJc w:val="left"/>
      <w:pPr>
        <w:ind w:left="1945" w:hanging="423"/>
      </w:pPr>
      <w:rPr>
        <w:rFonts w:hint="default"/>
      </w:rPr>
    </w:lvl>
    <w:lvl w:ilvl="3">
      <w:start w:val="0"/>
      <w:numFmt w:val="bullet"/>
      <w:lvlText w:val="•"/>
      <w:lvlJc w:val="left"/>
      <w:pPr>
        <w:ind w:left="2218" w:hanging="423"/>
      </w:pPr>
      <w:rPr>
        <w:rFonts w:hint="default"/>
      </w:rPr>
    </w:lvl>
    <w:lvl w:ilvl="4">
      <w:start w:val="0"/>
      <w:numFmt w:val="bullet"/>
      <w:lvlText w:val="•"/>
      <w:lvlJc w:val="left"/>
      <w:pPr>
        <w:ind w:left="2491" w:hanging="423"/>
      </w:pPr>
      <w:rPr>
        <w:rFonts w:hint="default"/>
      </w:rPr>
    </w:lvl>
    <w:lvl w:ilvl="5">
      <w:start w:val="0"/>
      <w:numFmt w:val="bullet"/>
      <w:lvlText w:val="•"/>
      <w:lvlJc w:val="left"/>
      <w:pPr>
        <w:ind w:left="2764" w:hanging="423"/>
      </w:pPr>
      <w:rPr>
        <w:rFonts w:hint="default"/>
      </w:rPr>
    </w:lvl>
    <w:lvl w:ilvl="6">
      <w:start w:val="0"/>
      <w:numFmt w:val="bullet"/>
      <w:lvlText w:val="•"/>
      <w:lvlJc w:val="left"/>
      <w:pPr>
        <w:ind w:left="3037" w:hanging="423"/>
      </w:pPr>
      <w:rPr>
        <w:rFonts w:hint="default"/>
      </w:rPr>
    </w:lvl>
    <w:lvl w:ilvl="7">
      <w:start w:val="0"/>
      <w:numFmt w:val="bullet"/>
      <w:lvlText w:val="•"/>
      <w:lvlJc w:val="left"/>
      <w:pPr>
        <w:ind w:left="3310" w:hanging="423"/>
      </w:pPr>
      <w:rPr>
        <w:rFonts w:hint="default"/>
      </w:rPr>
    </w:lvl>
    <w:lvl w:ilvl="8">
      <w:start w:val="0"/>
      <w:numFmt w:val="bullet"/>
      <w:lvlText w:val="•"/>
      <w:lvlJc w:val="left"/>
      <w:pPr>
        <w:ind w:left="3583" w:hanging="423"/>
      </w:pPr>
      <w:rPr>
        <w:rFonts w:hint="default"/>
      </w:rPr>
    </w:lvl>
  </w:abstractNum>
  <w:abstractNum w:abstractNumId="1">
    <w:multiLevelType w:val="hybridMultilevel"/>
    <w:lvl w:ilvl="0">
      <w:start w:val="1"/>
      <w:numFmt w:val="decimal"/>
      <w:lvlText w:val="%1"/>
      <w:lvlJc w:val="left"/>
      <w:pPr>
        <w:ind w:left="1398" w:hanging="423"/>
        <w:jc w:val="left"/>
      </w:pPr>
      <w:rPr>
        <w:rFonts w:hint="default"/>
      </w:rPr>
    </w:lvl>
    <w:lvl w:ilvl="1">
      <w:start w:val="1"/>
      <w:numFmt w:val="decimal"/>
      <w:lvlText w:val="%1.%2"/>
      <w:lvlJc w:val="left"/>
      <w:pPr>
        <w:ind w:left="1398" w:hanging="423"/>
        <w:jc w:val="left"/>
      </w:pPr>
      <w:rPr>
        <w:rFonts w:hint="default" w:ascii="宋体" w:hAnsi="宋体" w:eastAsia="宋体" w:cs="宋体"/>
        <w:w w:val="100"/>
        <w:sz w:val="21"/>
        <w:szCs w:val="21"/>
      </w:rPr>
    </w:lvl>
    <w:lvl w:ilvl="2">
      <w:start w:val="0"/>
      <w:numFmt w:val="bullet"/>
      <w:lvlText w:val="•"/>
      <w:lvlJc w:val="left"/>
      <w:pPr>
        <w:ind w:left="1945" w:hanging="423"/>
      </w:pPr>
      <w:rPr>
        <w:rFonts w:hint="default"/>
      </w:rPr>
    </w:lvl>
    <w:lvl w:ilvl="3">
      <w:start w:val="0"/>
      <w:numFmt w:val="bullet"/>
      <w:lvlText w:val="•"/>
      <w:lvlJc w:val="left"/>
      <w:pPr>
        <w:ind w:left="2218" w:hanging="423"/>
      </w:pPr>
      <w:rPr>
        <w:rFonts w:hint="default"/>
      </w:rPr>
    </w:lvl>
    <w:lvl w:ilvl="4">
      <w:start w:val="0"/>
      <w:numFmt w:val="bullet"/>
      <w:lvlText w:val="•"/>
      <w:lvlJc w:val="left"/>
      <w:pPr>
        <w:ind w:left="2491" w:hanging="423"/>
      </w:pPr>
      <w:rPr>
        <w:rFonts w:hint="default"/>
      </w:rPr>
    </w:lvl>
    <w:lvl w:ilvl="5">
      <w:start w:val="0"/>
      <w:numFmt w:val="bullet"/>
      <w:lvlText w:val="•"/>
      <w:lvlJc w:val="left"/>
      <w:pPr>
        <w:ind w:left="2764" w:hanging="423"/>
      </w:pPr>
      <w:rPr>
        <w:rFonts w:hint="default"/>
      </w:rPr>
    </w:lvl>
    <w:lvl w:ilvl="6">
      <w:start w:val="0"/>
      <w:numFmt w:val="bullet"/>
      <w:lvlText w:val="•"/>
      <w:lvlJc w:val="left"/>
      <w:pPr>
        <w:ind w:left="3037" w:hanging="423"/>
      </w:pPr>
      <w:rPr>
        <w:rFonts w:hint="default"/>
      </w:rPr>
    </w:lvl>
    <w:lvl w:ilvl="7">
      <w:start w:val="0"/>
      <w:numFmt w:val="bullet"/>
      <w:lvlText w:val="•"/>
      <w:lvlJc w:val="left"/>
      <w:pPr>
        <w:ind w:left="3310" w:hanging="423"/>
      </w:pPr>
      <w:rPr>
        <w:rFonts w:hint="default"/>
      </w:rPr>
    </w:lvl>
    <w:lvl w:ilvl="8">
      <w:start w:val="0"/>
      <w:numFmt w:val="bullet"/>
      <w:lvlText w:val="•"/>
      <w:lvlJc w:val="left"/>
      <w:pPr>
        <w:ind w:left="3583" w:hanging="423"/>
      </w:pPr>
      <w:rPr>
        <w:rFonts w:hint="default"/>
      </w:rPr>
    </w:lvl>
  </w:abstractNum>
  <w:abstractNum w:abstractNumId="0">
    <w:multiLevelType w:val="hybridMultilevel"/>
    <w:lvl w:ilvl="0">
      <w:start w:val="0"/>
      <w:numFmt w:val="bullet"/>
      <w:lvlText w:val=""/>
      <w:lvlJc w:val="left"/>
      <w:pPr>
        <w:ind w:left="1734" w:hanging="420"/>
      </w:pPr>
      <w:rPr>
        <w:rFonts w:hint="default" w:ascii="Times New Roman" w:hAnsi="Times New Roman" w:eastAsia="Times New Roman" w:cs="Times New Roman"/>
        <w:w w:val="115"/>
        <w:sz w:val="21"/>
        <w:szCs w:val="21"/>
      </w:rPr>
    </w:lvl>
    <w:lvl w:ilvl="1">
      <w:start w:val="0"/>
      <w:numFmt w:val="bullet"/>
      <w:lvlText w:val="•"/>
      <w:lvlJc w:val="left"/>
      <w:pPr>
        <w:ind w:left="2570" w:hanging="420"/>
      </w:pPr>
      <w:rPr>
        <w:rFonts w:hint="default"/>
      </w:rPr>
    </w:lvl>
    <w:lvl w:ilvl="2">
      <w:start w:val="0"/>
      <w:numFmt w:val="bullet"/>
      <w:lvlText w:val="•"/>
      <w:lvlJc w:val="left"/>
      <w:pPr>
        <w:ind w:left="3401" w:hanging="420"/>
      </w:pPr>
      <w:rPr>
        <w:rFonts w:hint="default"/>
      </w:rPr>
    </w:lvl>
    <w:lvl w:ilvl="3">
      <w:start w:val="0"/>
      <w:numFmt w:val="bullet"/>
      <w:lvlText w:val="•"/>
      <w:lvlJc w:val="left"/>
      <w:pPr>
        <w:ind w:left="4231" w:hanging="420"/>
      </w:pPr>
      <w:rPr>
        <w:rFonts w:hint="default"/>
      </w:rPr>
    </w:lvl>
    <w:lvl w:ilvl="4">
      <w:start w:val="0"/>
      <w:numFmt w:val="bullet"/>
      <w:lvlText w:val="•"/>
      <w:lvlJc w:val="left"/>
      <w:pPr>
        <w:ind w:left="5062" w:hanging="420"/>
      </w:pPr>
      <w:rPr>
        <w:rFonts w:hint="default"/>
      </w:rPr>
    </w:lvl>
    <w:lvl w:ilvl="5">
      <w:start w:val="0"/>
      <w:numFmt w:val="bullet"/>
      <w:lvlText w:val="•"/>
      <w:lvlJc w:val="left"/>
      <w:pPr>
        <w:ind w:left="5893" w:hanging="420"/>
      </w:pPr>
      <w:rPr>
        <w:rFonts w:hint="default"/>
      </w:rPr>
    </w:lvl>
    <w:lvl w:ilvl="6">
      <w:start w:val="0"/>
      <w:numFmt w:val="bullet"/>
      <w:lvlText w:val="•"/>
      <w:lvlJc w:val="left"/>
      <w:pPr>
        <w:ind w:left="6723" w:hanging="420"/>
      </w:pPr>
      <w:rPr>
        <w:rFonts w:hint="default"/>
      </w:rPr>
    </w:lvl>
    <w:lvl w:ilvl="7">
      <w:start w:val="0"/>
      <w:numFmt w:val="bullet"/>
      <w:lvlText w:val="•"/>
      <w:lvlJc w:val="left"/>
      <w:pPr>
        <w:ind w:left="7554" w:hanging="420"/>
      </w:pPr>
      <w:rPr>
        <w:rFonts w:hint="default"/>
      </w:rPr>
    </w:lvl>
    <w:lvl w:ilvl="8">
      <w:start w:val="0"/>
      <w:numFmt w:val="bullet"/>
      <w:lvlText w:val="•"/>
      <w:lvlJc w:val="left"/>
      <w:pPr>
        <w:ind w:left="8385" w:hanging="42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85"/>
    </w:pPr>
    <w:rPr>
      <w:rFonts w:ascii="宋体" w:hAnsi="宋体" w:eastAsia="宋体" w:cs="宋体"/>
      <w:sz w:val="21"/>
      <w:szCs w:val="21"/>
    </w:rPr>
  </w:style>
  <w:style w:styleId="Heading1" w:type="paragraph">
    <w:name w:val="Heading 1"/>
    <w:basedOn w:val="Normal"/>
    <w:uiPriority w:val="1"/>
    <w:qFormat/>
    <w:pPr>
      <w:ind w:left="956" w:hanging="694"/>
      <w:outlineLvl w:val="1"/>
    </w:pPr>
    <w:rPr>
      <w:rFonts w:ascii="宋体" w:hAnsi="宋体" w:eastAsia="宋体" w:cs="宋体"/>
      <w:sz w:val="24"/>
      <w:szCs w:val="24"/>
    </w:rPr>
  </w:style>
  <w:style w:styleId="ListParagraph" w:type="paragraph">
    <w:name w:val="List Paragraph"/>
    <w:basedOn w:val="Normal"/>
    <w:uiPriority w:val="1"/>
    <w:qFormat/>
    <w:pPr>
      <w:spacing w:before="85"/>
      <w:ind w:left="956" w:hanging="694"/>
    </w:pPr>
    <w:rPr>
      <w:rFonts w:ascii="宋体" w:hAnsi="宋体" w:eastAsia="宋体" w:cs="宋体"/>
    </w:rPr>
  </w:style>
  <w:style w:styleId="TableParagraph" w:type="paragraph">
    <w:name w:val="Table Paragraph"/>
    <w:basedOn w:val="Normal"/>
    <w:uiPriority w:val="1"/>
    <w:qFormat/>
    <w:pPr>
      <w:ind w:left="52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liwanling</dc:creator>
  <dc:title>Microsoft Word - 02å“”è´µåł¢ä½fié⁄“å¤§çŒ¾çŠ–ä¿šéŽ©æš¡æ¬¾0214v2</dc:title>
  <dcterms:created xsi:type="dcterms:W3CDTF">2018-10-20T01:24:47Z</dcterms:created>
  <dcterms:modified xsi:type="dcterms:W3CDTF">2018-10-20T01:24:47Z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2017-02-21T00:00:00Z</vt:filetime>
  </property>
  <property fmtid="{D5CDD505-2E9C-101B-9397-08002B2CF9AE}" pid="3" name="LastSaved">
    <vt:filetime>2018-10-19T00:00:00Z</vt:filetime>
  </property>
</Properties>
</file>