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right="211"/>
        <w:jc w:val="right"/>
        <w:rPr>
          <w:rFonts w:ascii="仿宋" w:eastAsia="仿宋" w:hint="eastAsia"/>
        </w:rPr>
      </w:pPr>
      <w:r>
        <w:rPr/>
        <w:drawing>
          <wp:anchor distT="0" distB="0" distL="0" distR="0" allowOverlap="1" layoutInCell="1" locked="0" behindDoc="0" simplePos="0" relativeHeight="1048">
            <wp:simplePos x="0" y="0"/>
            <wp:positionH relativeFrom="page">
              <wp:posOffset>5847715</wp:posOffset>
            </wp:positionH>
            <wp:positionV relativeFrom="paragraph">
              <wp:posOffset>245411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仿宋" w:eastAsia="仿宋" w:hint="eastAsia"/>
        </w:rPr>
        <w:t>长城人寿[2016]疾病保险 011 号</w:t>
      </w:r>
    </w:p>
    <w:p>
      <w:pPr>
        <w:pStyle w:val="BodyText"/>
        <w:rPr>
          <w:rFonts w:ascii="仿宋"/>
          <w:sz w:val="20"/>
        </w:rPr>
      </w:pPr>
    </w:p>
    <w:p>
      <w:pPr>
        <w:pStyle w:val="BodyText"/>
        <w:spacing w:before="7"/>
        <w:rPr>
          <w:rFonts w:ascii="仿宋"/>
          <w:sz w:val="18"/>
        </w:rPr>
      </w:pPr>
    </w:p>
    <w:p>
      <w:pPr>
        <w:spacing w:after="0"/>
        <w:rPr>
          <w:rFonts w:ascii="仿宋"/>
          <w:sz w:val="18"/>
        </w:rPr>
        <w:sectPr>
          <w:footerReference w:type="default" r:id="rId5"/>
          <w:type w:val="continuous"/>
          <w:pgSz w:w="11910" w:h="16840"/>
          <w:pgMar w:footer="896" w:top="440" w:bottom="1080" w:left="680" w:right="440"/>
          <w:pgNumType w:start="1"/>
        </w:sectPr>
      </w:pPr>
    </w:p>
    <w:p>
      <w:pPr>
        <w:spacing w:line="220" w:lineRule="auto" w:before="0"/>
        <w:ind w:left="4505" w:right="0" w:hanging="1520"/>
        <w:jc w:val="left"/>
        <w:rPr>
          <w:rFonts w:ascii="微软雅黑" w:eastAsia="微软雅黑" w:hint="eastAsia"/>
          <w:b/>
          <w:sz w:val="32"/>
        </w:rPr>
      </w:pPr>
      <w:r>
        <w:rPr>
          <w:rFonts w:ascii="微软雅黑" w:eastAsia="微软雅黑" w:hint="eastAsia"/>
          <w:b/>
          <w:sz w:val="32"/>
        </w:rPr>
        <w:t>长城金福泰终身重大疾病保险条款阅  读  指 引</w:t>
      </w:r>
    </w:p>
    <w:p>
      <w:pPr>
        <w:pStyle w:val="BodyText"/>
        <w:rPr>
          <w:rFonts w:ascii="微软雅黑"/>
          <w:b/>
          <w:sz w:val="20"/>
        </w:rPr>
      </w:pPr>
      <w:r>
        <w:rPr/>
        <w:br w:type="column"/>
      </w:r>
      <w:r>
        <w:rPr>
          <w:rFonts w:ascii="微软雅黑"/>
          <w:b/>
          <w:sz w:val="20"/>
        </w:rPr>
      </w:r>
    </w:p>
    <w:p>
      <w:pPr>
        <w:pStyle w:val="BodyText"/>
        <w:spacing w:before="4"/>
        <w:rPr>
          <w:rFonts w:ascii="微软雅黑"/>
          <w:b/>
          <w:sz w:val="25"/>
        </w:rPr>
      </w:pPr>
    </w:p>
    <w:p>
      <w:pPr>
        <w:pStyle w:val="BodyText"/>
        <w:ind w:left="221"/>
        <w:rPr>
          <w:rFonts w:ascii="仿宋" w:eastAsia="仿宋" w:hint="eastAsia"/>
        </w:rPr>
      </w:pPr>
      <w:r>
        <w:rPr>
          <w:rFonts w:ascii="仿宋" w:eastAsia="仿宋" w:hint="eastAsia"/>
        </w:rPr>
        <w:t>请扫描以查询验证条款</w:t>
      </w:r>
    </w:p>
    <w:p>
      <w:pPr>
        <w:spacing w:after="0"/>
        <w:rPr>
          <w:rFonts w:ascii="仿宋" w:eastAsia="仿宋" w:hint="eastAsia"/>
        </w:rPr>
        <w:sectPr>
          <w:type w:val="continuous"/>
          <w:pgSz w:w="11910" w:h="16840"/>
          <w:pgMar w:top="440" w:bottom="1080" w:left="680" w:right="440"/>
          <w:cols w:num="2" w:equalWidth="0">
            <w:col w:w="7789" w:space="40"/>
            <w:col w:w="2961"/>
          </w:cols>
        </w:sectPr>
      </w:pPr>
    </w:p>
    <w:p>
      <w:pPr>
        <w:pStyle w:val="BodyText"/>
        <w:spacing w:before="3"/>
        <w:rPr>
          <w:rFonts w:ascii="仿宋"/>
          <w:sz w:val="11"/>
        </w:rPr>
      </w:pPr>
    </w:p>
    <w:p>
      <w:pPr>
        <w:pStyle w:val="BodyText"/>
        <w:spacing w:before="36"/>
        <w:ind w:left="2128"/>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spacing w:before="63"/>
        <w:ind w:left="241" w:right="0" w:firstLine="0"/>
        <w:jc w:val="left"/>
        <w:rPr>
          <w:b/>
          <w:sz w:val="21"/>
        </w:rPr>
      </w:pPr>
      <w:r>
        <w:rPr/>
        <w:pict>
          <v:group style="position:absolute;margin-left:39pt;margin-top:1.6928pt;width:528.5pt;height:622.8pt;mso-position-horizontal-relative:page;mso-position-vertical-relative:paragraph;z-index:-45352" coordorigin="780,34" coordsize="10570,12456">
            <v:shape style="position:absolute;left:921;top:11781;width:10;height:15" type="#_x0000_t75" stroked="false">
              <v:imagedata r:id="rId7" o:title=""/>
            </v:shape>
            <v:shape style="position:absolute;left:931;top:11785;width:10272;height:10" type="#_x0000_t75" stroked="false">
              <v:imagedata r:id="rId8" o:title=""/>
            </v:shape>
            <v:shape style="position:absolute;left:780;top:33;width:10570;height:12456" type="#_x0000_t75" stroked="false">
              <v:imagedata r:id="rId9" o:title=""/>
            </v:shape>
            <w10:wrap type="none"/>
          </v:group>
        </w:pict>
      </w:r>
      <w:r>
        <w:rPr>
          <w:rFonts w:ascii="Wingdings" w:hAnsi="Wingdings" w:eastAsia="Wingdings"/>
          <w:b/>
          <w:sz w:val="32"/>
        </w:rPr>
        <w:t></w:t>
      </w:r>
      <w:r>
        <w:rPr>
          <w:rFonts w:ascii="Times New Roman" w:hAnsi="Times New Roman" w:eastAsia="Times New Roman"/>
          <w:b/>
          <w:sz w:val="32"/>
        </w:rPr>
        <w:t>  </w:t>
      </w:r>
      <w:r>
        <w:rPr>
          <w:b/>
          <w:sz w:val="21"/>
        </w:rPr>
        <w:t>您拥有的重要权益</w:t>
      </w:r>
    </w:p>
    <w:p>
      <w:pPr>
        <w:pStyle w:val="ListParagraph"/>
        <w:numPr>
          <w:ilvl w:val="0"/>
          <w:numId w:val="1"/>
        </w:numPr>
        <w:tabs>
          <w:tab w:pos="1062" w:val="left" w:leader="none"/>
          <w:tab w:pos="1063" w:val="left" w:leader="none"/>
          <w:tab w:pos="9675" w:val="right" w:leader="dot"/>
        </w:tabs>
        <w:spacing w:line="240" w:lineRule="auto" w:before="6" w:after="0"/>
        <w:ind w:left="1062" w:right="0" w:hanging="398"/>
        <w:jc w:val="left"/>
        <w:rPr>
          <w:sz w:val="21"/>
        </w:rPr>
      </w:pPr>
      <w:r>
        <w:rPr>
          <w:sz w:val="21"/>
        </w:rPr>
        <w:t>收</w:t>
      </w:r>
      <w:r>
        <w:rPr>
          <w:spacing w:val="-3"/>
          <w:sz w:val="21"/>
        </w:rPr>
        <w:t>到</w:t>
      </w:r>
      <w:r>
        <w:rPr>
          <w:sz w:val="21"/>
        </w:rPr>
        <w:t>保</w:t>
      </w:r>
      <w:r>
        <w:rPr>
          <w:spacing w:val="-3"/>
          <w:sz w:val="21"/>
        </w:rPr>
        <w:t>险</w:t>
      </w:r>
      <w:r>
        <w:rPr>
          <w:sz w:val="21"/>
        </w:rPr>
        <w:t>单后</w:t>
      </w:r>
      <w:r>
        <w:rPr>
          <w:spacing w:val="-53"/>
          <w:sz w:val="21"/>
        </w:rPr>
        <w:t> </w:t>
      </w:r>
      <w:r>
        <w:rPr>
          <w:sz w:val="21"/>
        </w:rPr>
        <w:t>10</w:t>
      </w:r>
      <w:r>
        <w:rPr>
          <w:spacing w:val="-53"/>
          <w:sz w:val="21"/>
        </w:rPr>
        <w:t> </w:t>
      </w:r>
      <w:r>
        <w:rPr>
          <w:spacing w:val="-3"/>
          <w:sz w:val="21"/>
        </w:rPr>
        <w:t>日内</w:t>
      </w:r>
      <w:r>
        <w:rPr>
          <w:sz w:val="21"/>
        </w:rPr>
        <w:t>您可</w:t>
      </w:r>
      <w:r>
        <w:rPr>
          <w:spacing w:val="-3"/>
          <w:sz w:val="21"/>
        </w:rPr>
        <w:t>以</w:t>
      </w:r>
      <w:r>
        <w:rPr>
          <w:sz w:val="21"/>
        </w:rPr>
        <w:t>要</w:t>
      </w:r>
      <w:r>
        <w:rPr>
          <w:spacing w:val="-3"/>
          <w:sz w:val="21"/>
        </w:rPr>
        <w:t>求</w:t>
      </w:r>
      <w:r>
        <w:rPr>
          <w:sz w:val="21"/>
        </w:rPr>
        <w:t>退</w:t>
      </w:r>
      <w:r>
        <w:rPr>
          <w:spacing w:val="-3"/>
          <w:sz w:val="21"/>
        </w:rPr>
        <w:t>还</w:t>
      </w:r>
      <w:r>
        <w:rPr>
          <w:sz w:val="21"/>
        </w:rPr>
        <w:t>保</w:t>
      </w:r>
      <w:r>
        <w:rPr>
          <w:spacing w:val="-3"/>
          <w:sz w:val="21"/>
        </w:rPr>
        <w:t>险</w:t>
      </w:r>
      <w:r>
        <w:rPr>
          <w:sz w:val="21"/>
        </w:rPr>
        <w:t>费</w:t>
        <w:tab/>
        <w:t>1.4</w:t>
      </w:r>
    </w:p>
    <w:p>
      <w:pPr>
        <w:pStyle w:val="ListParagraph"/>
        <w:numPr>
          <w:ilvl w:val="0"/>
          <w:numId w:val="1"/>
        </w:numPr>
        <w:tabs>
          <w:tab w:pos="1062" w:val="left" w:leader="none"/>
          <w:tab w:pos="1063" w:val="left" w:leader="none"/>
          <w:tab w:pos="9675" w:val="right" w:leader="dot"/>
        </w:tabs>
        <w:spacing w:line="240" w:lineRule="auto" w:before="31" w:after="0"/>
        <w:ind w:left="1062" w:right="0" w:hanging="398"/>
        <w:jc w:val="left"/>
        <w:rPr>
          <w:sz w:val="21"/>
        </w:rPr>
      </w:pP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享</w:t>
      </w:r>
      <w:r>
        <w:rPr>
          <w:spacing w:val="-3"/>
          <w:sz w:val="21"/>
        </w:rPr>
        <w:t>受本</w:t>
      </w:r>
      <w:r>
        <w:rPr>
          <w:sz w:val="21"/>
        </w:rPr>
        <w:t>主险</w:t>
      </w:r>
      <w:r>
        <w:rPr>
          <w:spacing w:val="-3"/>
          <w:sz w:val="21"/>
        </w:rPr>
        <w:t>合</w:t>
      </w:r>
      <w:r>
        <w:rPr>
          <w:sz w:val="21"/>
        </w:rPr>
        <w:t>同</w:t>
      </w:r>
      <w:r>
        <w:rPr>
          <w:spacing w:val="-3"/>
          <w:sz w:val="21"/>
        </w:rPr>
        <w:t>提</w:t>
      </w:r>
      <w:r>
        <w:rPr>
          <w:sz w:val="21"/>
        </w:rPr>
        <w:t>供</w:t>
      </w:r>
      <w:r>
        <w:rPr>
          <w:spacing w:val="-3"/>
          <w:sz w:val="21"/>
        </w:rPr>
        <w:t>的</w:t>
      </w:r>
      <w:r>
        <w:rPr>
          <w:sz w:val="21"/>
        </w:rPr>
        <w:t>保障</w:t>
        <w:tab/>
        <w:t>2.3</w:t>
      </w:r>
    </w:p>
    <w:p>
      <w:pPr>
        <w:pStyle w:val="ListParagraph"/>
        <w:numPr>
          <w:ilvl w:val="0"/>
          <w:numId w:val="1"/>
        </w:numPr>
        <w:tabs>
          <w:tab w:pos="1062" w:val="left" w:leader="none"/>
          <w:tab w:pos="1063" w:val="left" w:leader="none"/>
          <w:tab w:pos="9675" w:val="right" w:leader="dot"/>
        </w:tabs>
        <w:spacing w:line="240" w:lineRule="auto" w:before="29" w:after="0"/>
        <w:ind w:left="1062" w:right="0" w:hanging="398"/>
        <w:jc w:val="left"/>
        <w:rPr>
          <w:sz w:val="21"/>
        </w:rPr>
      </w:pPr>
      <w:r>
        <w:rPr>
          <w:sz w:val="21"/>
        </w:rPr>
        <w:t>您</w:t>
      </w:r>
      <w:r>
        <w:rPr>
          <w:spacing w:val="-3"/>
          <w:sz w:val="21"/>
        </w:rPr>
        <w:t>有</w:t>
      </w:r>
      <w:r>
        <w:rPr>
          <w:sz w:val="21"/>
        </w:rPr>
        <w:t>退</w:t>
      </w:r>
      <w:r>
        <w:rPr>
          <w:spacing w:val="-3"/>
          <w:sz w:val="21"/>
        </w:rPr>
        <w:t>保</w:t>
      </w:r>
      <w:r>
        <w:rPr>
          <w:sz w:val="21"/>
        </w:rPr>
        <w:t>的</w:t>
      </w:r>
      <w:r>
        <w:rPr>
          <w:spacing w:val="-3"/>
          <w:sz w:val="21"/>
        </w:rPr>
        <w:t>权</w:t>
      </w:r>
      <w:r>
        <w:rPr>
          <w:sz w:val="21"/>
        </w:rPr>
        <w:t>利</w:t>
        <w:tab/>
        <w:t>7.1</w:t>
      </w:r>
    </w:p>
    <w:p>
      <w:pPr>
        <w:spacing w:before="308"/>
        <w:ind w:left="241"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84" w:val="left" w:leader="none"/>
          <w:tab w:pos="1085" w:val="left" w:leader="none"/>
          <w:tab w:pos="9699" w:val="right" w:leader="dot"/>
        </w:tabs>
        <w:spacing w:line="240" w:lineRule="auto" w:before="6" w:after="0"/>
        <w:ind w:left="1084"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062" w:val="left" w:leader="none"/>
          <w:tab w:pos="1063" w:val="left" w:leader="none"/>
          <w:tab w:pos="9675" w:val="right" w:leader="dot"/>
        </w:tabs>
        <w:spacing w:line="240" w:lineRule="auto" w:before="29" w:after="0"/>
        <w:ind w:left="1062" w:right="0" w:hanging="398"/>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3.2</w:t>
      </w:r>
    </w:p>
    <w:p>
      <w:pPr>
        <w:pStyle w:val="ListParagraph"/>
        <w:numPr>
          <w:ilvl w:val="0"/>
          <w:numId w:val="1"/>
        </w:numPr>
        <w:tabs>
          <w:tab w:pos="1062" w:val="left" w:leader="none"/>
          <w:tab w:pos="1063" w:val="left" w:leader="none"/>
          <w:tab w:pos="9675" w:val="right" w:leader="dot"/>
        </w:tabs>
        <w:spacing w:line="240" w:lineRule="auto" w:before="31" w:after="0"/>
        <w:ind w:left="1062" w:right="0" w:hanging="398"/>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保险费</w:t>
        <w:tab/>
      </w:r>
      <w:r>
        <w:rPr>
          <w:sz w:val="21"/>
        </w:rPr>
        <w:t>4.1</w:t>
      </w:r>
    </w:p>
    <w:p>
      <w:pPr>
        <w:pStyle w:val="ListParagraph"/>
        <w:numPr>
          <w:ilvl w:val="0"/>
          <w:numId w:val="1"/>
        </w:numPr>
        <w:tabs>
          <w:tab w:pos="1062" w:val="left" w:leader="none"/>
          <w:tab w:pos="1063" w:val="left" w:leader="none"/>
          <w:tab w:pos="9675" w:val="right" w:leader="dot"/>
        </w:tabs>
        <w:spacing w:line="240" w:lineRule="auto" w:before="29" w:after="0"/>
        <w:ind w:left="1062" w:right="0" w:hanging="398"/>
        <w:jc w:val="left"/>
        <w:rPr>
          <w:sz w:val="21"/>
        </w:rPr>
      </w:pPr>
      <w:r>
        <w:rPr>
          <w:sz w:val="21"/>
        </w:rPr>
        <w:t>退</w:t>
      </w:r>
      <w:r>
        <w:rPr>
          <w:spacing w:val="-3"/>
          <w:sz w:val="21"/>
        </w:rPr>
        <w:t>保</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062" w:val="left" w:leader="none"/>
          <w:tab w:pos="1063" w:val="left" w:leader="none"/>
          <w:tab w:pos="9675" w:val="right" w:leader="dot"/>
        </w:tabs>
        <w:spacing w:line="240" w:lineRule="auto" w:before="29" w:after="0"/>
        <w:ind w:left="1062" w:right="0" w:hanging="398"/>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8.1</w:t>
      </w:r>
    </w:p>
    <w:p>
      <w:pPr>
        <w:pStyle w:val="ListParagraph"/>
        <w:numPr>
          <w:ilvl w:val="0"/>
          <w:numId w:val="1"/>
        </w:numPr>
        <w:tabs>
          <w:tab w:pos="1084" w:val="left" w:leader="none"/>
          <w:tab w:pos="1085" w:val="left" w:leader="none"/>
          <w:tab w:pos="9490" w:val="right" w:leader="dot"/>
        </w:tabs>
        <w:spacing w:line="240" w:lineRule="auto" w:before="31" w:after="0"/>
        <w:ind w:left="1084"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084" w:val="left" w:leader="none"/>
          <w:tab w:pos="1085" w:val="left" w:leader="none"/>
          <w:tab w:pos="9699" w:val="right" w:leader="dot"/>
        </w:tabs>
        <w:spacing w:line="240" w:lineRule="auto" w:before="29" w:after="0"/>
        <w:ind w:left="1084"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spacing w:before="308"/>
        <w:ind w:left="241"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条款是保险合同的重要内容，为充分保障您的权益，请您仔细阅读本条款。</w:t>
      </w:r>
    </w:p>
    <w:p>
      <w:pPr>
        <w:spacing w:before="283"/>
        <w:ind w:left="241"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条款目录</w:t>
      </w:r>
    </w:p>
    <w:tbl>
      <w:tblPr>
        <w:tblW w:w="0" w:type="auto"/>
        <w:jc w:val="left"/>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6"/>
        <w:gridCol w:w="3538"/>
        <w:gridCol w:w="3477"/>
      </w:tblGrid>
      <w:tr>
        <w:trPr>
          <w:trHeight w:val="312" w:hRule="atLeast"/>
        </w:trPr>
        <w:tc>
          <w:tcPr>
            <w:tcW w:w="3256" w:type="dxa"/>
            <w:tcBorders>
              <w:top w:val="single" w:sz="4" w:space="0" w:color="000000"/>
              <w:left w:val="single" w:sz="4" w:space="0" w:color="000000"/>
            </w:tcBorders>
          </w:tcPr>
          <w:p>
            <w:pPr>
              <w:pStyle w:val="TableParagraph"/>
              <w:spacing w:line="259" w:lineRule="exact"/>
              <w:ind w:left="107"/>
              <w:rPr>
                <w:b/>
                <w:sz w:val="21"/>
              </w:rPr>
            </w:pPr>
            <w:r>
              <w:rPr>
                <w:b/>
                <w:sz w:val="21"/>
              </w:rPr>
              <w:t>1．您与我们的合同</w:t>
            </w:r>
          </w:p>
        </w:tc>
        <w:tc>
          <w:tcPr>
            <w:tcW w:w="3538" w:type="dxa"/>
            <w:tcBorders>
              <w:top w:val="single" w:sz="4" w:space="0" w:color="000000"/>
            </w:tcBorders>
          </w:tcPr>
          <w:p>
            <w:pPr>
              <w:pStyle w:val="TableParagraph"/>
              <w:spacing w:line="259" w:lineRule="exact"/>
              <w:ind w:left="455"/>
              <w:rPr>
                <w:sz w:val="21"/>
              </w:rPr>
            </w:pPr>
            <w:r>
              <w:rPr>
                <w:sz w:val="21"/>
              </w:rPr>
              <w:t>4.1 保险费的交纳</w:t>
            </w:r>
          </w:p>
        </w:tc>
        <w:tc>
          <w:tcPr>
            <w:tcW w:w="3477" w:type="dxa"/>
            <w:tcBorders>
              <w:top w:val="single" w:sz="4" w:space="0" w:color="000000"/>
              <w:right w:val="single" w:sz="4" w:space="0" w:color="000000"/>
            </w:tcBorders>
          </w:tcPr>
          <w:p>
            <w:pPr>
              <w:pStyle w:val="TableParagraph"/>
              <w:spacing w:line="259" w:lineRule="exact"/>
              <w:ind w:left="359"/>
              <w:rPr>
                <w:sz w:val="21"/>
              </w:rPr>
            </w:pPr>
            <w:r>
              <w:rPr>
                <w:sz w:val="21"/>
              </w:rPr>
              <w:t>9.1 周岁</w:t>
            </w:r>
          </w:p>
        </w:tc>
      </w:tr>
      <w:tr>
        <w:trPr>
          <w:trHeight w:val="311" w:hRule="atLeast"/>
        </w:trPr>
        <w:tc>
          <w:tcPr>
            <w:tcW w:w="3256" w:type="dxa"/>
            <w:tcBorders>
              <w:left w:val="single" w:sz="4" w:space="0" w:color="000000"/>
            </w:tcBorders>
          </w:tcPr>
          <w:p>
            <w:pPr>
              <w:pStyle w:val="TableParagraph"/>
              <w:spacing w:line="259" w:lineRule="exact"/>
              <w:ind w:left="319"/>
              <w:rPr>
                <w:sz w:val="21"/>
              </w:rPr>
            </w:pPr>
            <w:r>
              <w:rPr>
                <w:sz w:val="21"/>
              </w:rPr>
              <w:t>1.1 合同构成</w:t>
            </w:r>
          </w:p>
        </w:tc>
        <w:tc>
          <w:tcPr>
            <w:tcW w:w="3538" w:type="dxa"/>
          </w:tcPr>
          <w:p>
            <w:pPr>
              <w:pStyle w:val="TableParagraph"/>
              <w:spacing w:line="259" w:lineRule="exact"/>
              <w:ind w:left="443"/>
              <w:rPr>
                <w:sz w:val="21"/>
              </w:rPr>
            </w:pPr>
            <w:r>
              <w:rPr>
                <w:sz w:val="21"/>
              </w:rPr>
              <w:t>4.2 宽限期</w:t>
            </w:r>
          </w:p>
        </w:tc>
        <w:tc>
          <w:tcPr>
            <w:tcW w:w="3477" w:type="dxa"/>
            <w:tcBorders>
              <w:right w:val="single" w:sz="4" w:space="0" w:color="000000"/>
            </w:tcBorders>
          </w:tcPr>
          <w:p>
            <w:pPr>
              <w:pStyle w:val="TableParagraph"/>
              <w:spacing w:line="259" w:lineRule="exact"/>
              <w:ind w:left="359"/>
              <w:rPr>
                <w:sz w:val="21"/>
              </w:rPr>
            </w:pPr>
            <w:r>
              <w:rPr>
                <w:sz w:val="21"/>
              </w:rPr>
              <w:t>9.2 有效身份证件</w:t>
            </w:r>
          </w:p>
        </w:tc>
      </w:tr>
      <w:tr>
        <w:trPr>
          <w:trHeight w:val="311" w:hRule="atLeast"/>
        </w:trPr>
        <w:tc>
          <w:tcPr>
            <w:tcW w:w="3256" w:type="dxa"/>
            <w:tcBorders>
              <w:left w:val="single" w:sz="4" w:space="0" w:color="000000"/>
            </w:tcBorders>
          </w:tcPr>
          <w:p>
            <w:pPr>
              <w:pStyle w:val="TableParagraph"/>
              <w:spacing w:line="259" w:lineRule="exact"/>
              <w:ind w:left="319"/>
              <w:rPr>
                <w:sz w:val="21"/>
              </w:rPr>
            </w:pPr>
            <w:r>
              <w:rPr>
                <w:sz w:val="21"/>
              </w:rPr>
              <w:t>1.2 合同成立与生效</w:t>
            </w:r>
          </w:p>
        </w:tc>
        <w:tc>
          <w:tcPr>
            <w:tcW w:w="3538" w:type="dxa"/>
          </w:tcPr>
          <w:p>
            <w:pPr>
              <w:pStyle w:val="TableParagraph"/>
              <w:spacing w:line="259" w:lineRule="exact"/>
              <w:ind w:left="244"/>
              <w:rPr>
                <w:b/>
                <w:sz w:val="21"/>
              </w:rPr>
            </w:pPr>
            <w:r>
              <w:rPr>
                <w:b/>
                <w:sz w:val="21"/>
              </w:rPr>
              <w:t>5．现金价值权益</w:t>
            </w:r>
          </w:p>
        </w:tc>
        <w:tc>
          <w:tcPr>
            <w:tcW w:w="3477" w:type="dxa"/>
            <w:tcBorders>
              <w:right w:val="single" w:sz="4" w:space="0" w:color="000000"/>
            </w:tcBorders>
          </w:tcPr>
          <w:p>
            <w:pPr>
              <w:pStyle w:val="TableParagraph"/>
              <w:spacing w:line="259" w:lineRule="exact"/>
              <w:ind w:left="359"/>
              <w:rPr>
                <w:sz w:val="21"/>
              </w:rPr>
            </w:pPr>
            <w:r>
              <w:rPr>
                <w:sz w:val="21"/>
              </w:rPr>
              <w:t>9.3 重大疾病</w:t>
            </w:r>
          </w:p>
        </w:tc>
      </w:tr>
      <w:tr>
        <w:trPr>
          <w:trHeight w:val="312" w:hRule="atLeast"/>
        </w:trPr>
        <w:tc>
          <w:tcPr>
            <w:tcW w:w="3256" w:type="dxa"/>
            <w:tcBorders>
              <w:left w:val="single" w:sz="4" w:space="0" w:color="000000"/>
            </w:tcBorders>
          </w:tcPr>
          <w:p>
            <w:pPr>
              <w:pStyle w:val="TableParagraph"/>
              <w:spacing w:line="259" w:lineRule="exact"/>
              <w:ind w:left="319"/>
              <w:rPr>
                <w:sz w:val="21"/>
              </w:rPr>
            </w:pPr>
            <w:r>
              <w:rPr>
                <w:sz w:val="21"/>
              </w:rPr>
              <w:t>1.3 投保年龄</w:t>
            </w:r>
          </w:p>
        </w:tc>
        <w:tc>
          <w:tcPr>
            <w:tcW w:w="3538" w:type="dxa"/>
          </w:tcPr>
          <w:p>
            <w:pPr>
              <w:pStyle w:val="TableParagraph"/>
              <w:spacing w:line="259" w:lineRule="exact"/>
              <w:ind w:left="455"/>
              <w:rPr>
                <w:sz w:val="21"/>
              </w:rPr>
            </w:pPr>
            <w:r>
              <w:rPr>
                <w:sz w:val="21"/>
              </w:rPr>
              <w:t>5.1 现金价值</w:t>
            </w:r>
          </w:p>
        </w:tc>
        <w:tc>
          <w:tcPr>
            <w:tcW w:w="3477" w:type="dxa"/>
            <w:tcBorders>
              <w:right w:val="single" w:sz="4" w:space="0" w:color="000000"/>
            </w:tcBorders>
          </w:tcPr>
          <w:p>
            <w:pPr>
              <w:pStyle w:val="TableParagraph"/>
              <w:spacing w:line="259" w:lineRule="exact"/>
              <w:ind w:left="359"/>
              <w:rPr>
                <w:sz w:val="21"/>
              </w:rPr>
            </w:pPr>
            <w:r>
              <w:rPr>
                <w:sz w:val="21"/>
              </w:rPr>
              <w:t>9.4 意外伤害</w:t>
            </w:r>
          </w:p>
        </w:tc>
      </w:tr>
      <w:tr>
        <w:trPr>
          <w:trHeight w:val="312" w:hRule="atLeast"/>
        </w:trPr>
        <w:tc>
          <w:tcPr>
            <w:tcW w:w="3256" w:type="dxa"/>
            <w:tcBorders>
              <w:left w:val="single" w:sz="4" w:space="0" w:color="000000"/>
            </w:tcBorders>
          </w:tcPr>
          <w:p>
            <w:pPr>
              <w:pStyle w:val="TableParagraph"/>
              <w:spacing w:line="259" w:lineRule="exact"/>
              <w:ind w:left="319"/>
              <w:rPr>
                <w:sz w:val="21"/>
              </w:rPr>
            </w:pPr>
            <w:r>
              <w:rPr>
                <w:sz w:val="21"/>
              </w:rPr>
              <w:t>1.4 犹豫期</w:t>
            </w:r>
          </w:p>
        </w:tc>
        <w:tc>
          <w:tcPr>
            <w:tcW w:w="3538" w:type="dxa"/>
          </w:tcPr>
          <w:p>
            <w:pPr>
              <w:pStyle w:val="TableParagraph"/>
              <w:spacing w:line="259" w:lineRule="exact"/>
              <w:ind w:left="455"/>
              <w:rPr>
                <w:sz w:val="21"/>
              </w:rPr>
            </w:pPr>
            <w:r>
              <w:rPr>
                <w:sz w:val="21"/>
              </w:rPr>
              <w:t>5.2 保险单借款</w:t>
            </w:r>
          </w:p>
        </w:tc>
        <w:tc>
          <w:tcPr>
            <w:tcW w:w="3477" w:type="dxa"/>
            <w:tcBorders>
              <w:right w:val="single" w:sz="4" w:space="0" w:color="000000"/>
            </w:tcBorders>
          </w:tcPr>
          <w:p>
            <w:pPr>
              <w:pStyle w:val="TableParagraph"/>
              <w:spacing w:line="259" w:lineRule="exact"/>
              <w:ind w:left="359"/>
              <w:rPr>
                <w:sz w:val="21"/>
              </w:rPr>
            </w:pPr>
            <w:r>
              <w:rPr>
                <w:sz w:val="21"/>
              </w:rPr>
              <w:t>9.5 专科医生</w:t>
            </w:r>
          </w:p>
        </w:tc>
      </w:tr>
      <w:tr>
        <w:trPr>
          <w:trHeight w:val="312" w:hRule="atLeast"/>
        </w:trPr>
        <w:tc>
          <w:tcPr>
            <w:tcW w:w="3256" w:type="dxa"/>
            <w:tcBorders>
              <w:left w:val="single" w:sz="4" w:space="0" w:color="000000"/>
            </w:tcBorders>
          </w:tcPr>
          <w:p>
            <w:pPr>
              <w:pStyle w:val="TableParagraph"/>
              <w:spacing w:line="259" w:lineRule="exact"/>
              <w:ind w:left="319"/>
              <w:rPr>
                <w:sz w:val="21"/>
              </w:rPr>
            </w:pPr>
            <w:r>
              <w:rPr>
                <w:sz w:val="21"/>
              </w:rPr>
              <w:t>1.5 保险期间</w:t>
            </w:r>
          </w:p>
        </w:tc>
        <w:tc>
          <w:tcPr>
            <w:tcW w:w="3538" w:type="dxa"/>
          </w:tcPr>
          <w:p>
            <w:pPr>
              <w:pStyle w:val="TableParagraph"/>
              <w:spacing w:line="259" w:lineRule="exact"/>
              <w:ind w:left="244"/>
              <w:rPr>
                <w:b/>
                <w:sz w:val="21"/>
              </w:rPr>
            </w:pPr>
            <w:r>
              <w:rPr>
                <w:b/>
                <w:sz w:val="21"/>
              </w:rPr>
              <w:t>6．合同效力的中止及恢复</w:t>
            </w:r>
          </w:p>
        </w:tc>
        <w:tc>
          <w:tcPr>
            <w:tcW w:w="3477" w:type="dxa"/>
            <w:tcBorders>
              <w:right w:val="single" w:sz="4" w:space="0" w:color="000000"/>
            </w:tcBorders>
          </w:tcPr>
          <w:p>
            <w:pPr>
              <w:pStyle w:val="TableParagraph"/>
              <w:spacing w:line="259" w:lineRule="exact"/>
              <w:ind w:left="359"/>
              <w:rPr>
                <w:sz w:val="21"/>
              </w:rPr>
            </w:pPr>
            <w:r>
              <w:rPr>
                <w:sz w:val="21"/>
              </w:rPr>
              <w:t>9.6 毒品</w:t>
            </w:r>
          </w:p>
        </w:tc>
      </w:tr>
      <w:tr>
        <w:trPr>
          <w:trHeight w:val="311" w:hRule="atLeast"/>
        </w:trPr>
        <w:tc>
          <w:tcPr>
            <w:tcW w:w="3256" w:type="dxa"/>
            <w:tcBorders>
              <w:left w:val="single" w:sz="4" w:space="0" w:color="000000"/>
            </w:tcBorders>
          </w:tcPr>
          <w:p>
            <w:pPr>
              <w:pStyle w:val="TableParagraph"/>
              <w:spacing w:line="259" w:lineRule="exact"/>
              <w:ind w:left="107"/>
              <w:rPr>
                <w:b/>
                <w:sz w:val="21"/>
              </w:rPr>
            </w:pPr>
            <w:r>
              <w:rPr>
                <w:b/>
                <w:sz w:val="21"/>
              </w:rPr>
              <w:t>2．我们提供的保障</w:t>
            </w:r>
          </w:p>
        </w:tc>
        <w:tc>
          <w:tcPr>
            <w:tcW w:w="3538" w:type="dxa"/>
          </w:tcPr>
          <w:p>
            <w:pPr>
              <w:pStyle w:val="TableParagraph"/>
              <w:spacing w:line="259" w:lineRule="exact"/>
              <w:ind w:left="455"/>
              <w:rPr>
                <w:sz w:val="21"/>
              </w:rPr>
            </w:pPr>
            <w:r>
              <w:rPr>
                <w:sz w:val="21"/>
              </w:rPr>
              <w:t>6.1 效力中止</w:t>
            </w:r>
          </w:p>
        </w:tc>
        <w:tc>
          <w:tcPr>
            <w:tcW w:w="3477" w:type="dxa"/>
            <w:tcBorders>
              <w:right w:val="single" w:sz="4" w:space="0" w:color="000000"/>
            </w:tcBorders>
          </w:tcPr>
          <w:p>
            <w:pPr>
              <w:pStyle w:val="TableParagraph"/>
              <w:spacing w:line="259" w:lineRule="exact"/>
              <w:ind w:left="359"/>
              <w:rPr>
                <w:sz w:val="21"/>
              </w:rPr>
            </w:pPr>
            <w:r>
              <w:rPr>
                <w:sz w:val="21"/>
              </w:rPr>
              <w:t>9.7 酒后驾驶</w:t>
            </w:r>
          </w:p>
        </w:tc>
      </w:tr>
      <w:tr>
        <w:trPr>
          <w:trHeight w:val="311" w:hRule="atLeast"/>
        </w:trPr>
        <w:tc>
          <w:tcPr>
            <w:tcW w:w="3256" w:type="dxa"/>
            <w:tcBorders>
              <w:left w:val="single" w:sz="4" w:space="0" w:color="000000"/>
            </w:tcBorders>
          </w:tcPr>
          <w:p>
            <w:pPr>
              <w:pStyle w:val="TableParagraph"/>
              <w:spacing w:line="259" w:lineRule="exact"/>
              <w:ind w:left="319"/>
              <w:rPr>
                <w:sz w:val="21"/>
              </w:rPr>
            </w:pPr>
            <w:r>
              <w:rPr>
                <w:sz w:val="21"/>
              </w:rPr>
              <w:t>2.1 基本保险金额</w:t>
            </w:r>
          </w:p>
        </w:tc>
        <w:tc>
          <w:tcPr>
            <w:tcW w:w="3538" w:type="dxa"/>
          </w:tcPr>
          <w:p>
            <w:pPr>
              <w:pStyle w:val="TableParagraph"/>
              <w:spacing w:line="259" w:lineRule="exact"/>
              <w:ind w:left="455"/>
              <w:rPr>
                <w:sz w:val="21"/>
              </w:rPr>
            </w:pPr>
            <w:r>
              <w:rPr>
                <w:sz w:val="21"/>
              </w:rPr>
              <w:t>6.2 效力恢复</w:t>
            </w:r>
          </w:p>
        </w:tc>
        <w:tc>
          <w:tcPr>
            <w:tcW w:w="3477" w:type="dxa"/>
            <w:tcBorders>
              <w:right w:val="single" w:sz="4" w:space="0" w:color="000000"/>
            </w:tcBorders>
          </w:tcPr>
          <w:p>
            <w:pPr>
              <w:pStyle w:val="TableParagraph"/>
              <w:spacing w:line="259" w:lineRule="exact"/>
              <w:ind w:left="359"/>
              <w:rPr>
                <w:sz w:val="21"/>
              </w:rPr>
            </w:pPr>
            <w:r>
              <w:rPr>
                <w:sz w:val="21"/>
              </w:rPr>
              <w:t>9.8 无合法有效驾驶证驾驶</w:t>
            </w:r>
          </w:p>
        </w:tc>
      </w:tr>
      <w:tr>
        <w:trPr>
          <w:trHeight w:val="312" w:hRule="atLeast"/>
        </w:trPr>
        <w:tc>
          <w:tcPr>
            <w:tcW w:w="3256" w:type="dxa"/>
            <w:tcBorders>
              <w:left w:val="single" w:sz="4" w:space="0" w:color="000000"/>
            </w:tcBorders>
          </w:tcPr>
          <w:p>
            <w:pPr>
              <w:pStyle w:val="TableParagraph"/>
              <w:spacing w:line="259" w:lineRule="exact"/>
              <w:ind w:left="319"/>
              <w:rPr>
                <w:sz w:val="21"/>
              </w:rPr>
            </w:pPr>
            <w:r>
              <w:rPr>
                <w:sz w:val="21"/>
              </w:rPr>
              <w:t>2.2 未成年人身故保险金限制</w:t>
            </w:r>
          </w:p>
        </w:tc>
        <w:tc>
          <w:tcPr>
            <w:tcW w:w="3538" w:type="dxa"/>
          </w:tcPr>
          <w:p>
            <w:pPr>
              <w:pStyle w:val="TableParagraph"/>
              <w:spacing w:line="259" w:lineRule="exact"/>
              <w:ind w:left="244"/>
              <w:rPr>
                <w:b/>
                <w:sz w:val="21"/>
              </w:rPr>
            </w:pPr>
            <w:r>
              <w:rPr>
                <w:b/>
                <w:sz w:val="21"/>
              </w:rPr>
              <w:t>7. 如何解除保险合同</w:t>
            </w:r>
          </w:p>
        </w:tc>
        <w:tc>
          <w:tcPr>
            <w:tcW w:w="3477" w:type="dxa"/>
            <w:tcBorders>
              <w:right w:val="single" w:sz="4" w:space="0" w:color="000000"/>
            </w:tcBorders>
          </w:tcPr>
          <w:p>
            <w:pPr>
              <w:pStyle w:val="TableParagraph"/>
              <w:spacing w:line="259" w:lineRule="exact"/>
              <w:ind w:left="359"/>
              <w:rPr>
                <w:sz w:val="21"/>
              </w:rPr>
            </w:pPr>
            <w:r>
              <w:rPr>
                <w:sz w:val="21"/>
              </w:rPr>
              <w:t>9.9 机动车</w:t>
            </w:r>
          </w:p>
        </w:tc>
      </w:tr>
      <w:tr>
        <w:trPr>
          <w:trHeight w:val="312" w:hRule="atLeast"/>
        </w:trPr>
        <w:tc>
          <w:tcPr>
            <w:tcW w:w="3256" w:type="dxa"/>
            <w:tcBorders>
              <w:left w:val="single" w:sz="4" w:space="0" w:color="000000"/>
            </w:tcBorders>
          </w:tcPr>
          <w:p>
            <w:pPr>
              <w:pStyle w:val="TableParagraph"/>
              <w:spacing w:line="259" w:lineRule="exact"/>
              <w:ind w:left="319"/>
              <w:rPr>
                <w:sz w:val="21"/>
              </w:rPr>
            </w:pPr>
            <w:r>
              <w:rPr>
                <w:sz w:val="21"/>
              </w:rPr>
              <w:t>2.3 保险责任</w:t>
            </w:r>
          </w:p>
        </w:tc>
        <w:tc>
          <w:tcPr>
            <w:tcW w:w="3538" w:type="dxa"/>
          </w:tcPr>
          <w:p>
            <w:pPr>
              <w:pStyle w:val="TableParagraph"/>
              <w:spacing w:line="259" w:lineRule="exact"/>
              <w:ind w:left="455"/>
              <w:rPr>
                <w:sz w:val="21"/>
              </w:rPr>
            </w:pPr>
            <w:r>
              <w:rPr>
                <w:sz w:val="21"/>
              </w:rPr>
              <w:t>7.1 您解除合同的手续及风险</w:t>
            </w:r>
          </w:p>
        </w:tc>
        <w:tc>
          <w:tcPr>
            <w:tcW w:w="3477" w:type="dxa"/>
            <w:tcBorders>
              <w:right w:val="single" w:sz="4" w:space="0" w:color="000000"/>
            </w:tcBorders>
          </w:tcPr>
          <w:p>
            <w:pPr>
              <w:pStyle w:val="TableParagraph"/>
              <w:spacing w:line="259" w:lineRule="exact"/>
              <w:ind w:left="359"/>
              <w:rPr>
                <w:sz w:val="21"/>
              </w:rPr>
            </w:pPr>
            <w:r>
              <w:rPr>
                <w:sz w:val="21"/>
              </w:rPr>
              <w:t>9.10 无有效行驶证</w:t>
            </w:r>
          </w:p>
        </w:tc>
      </w:tr>
      <w:tr>
        <w:trPr>
          <w:trHeight w:val="312" w:hRule="atLeast"/>
        </w:trPr>
        <w:tc>
          <w:tcPr>
            <w:tcW w:w="3256" w:type="dxa"/>
            <w:tcBorders>
              <w:left w:val="single" w:sz="4" w:space="0" w:color="000000"/>
            </w:tcBorders>
          </w:tcPr>
          <w:p>
            <w:pPr>
              <w:pStyle w:val="TableParagraph"/>
              <w:spacing w:line="259" w:lineRule="exact"/>
              <w:ind w:left="319"/>
              <w:rPr>
                <w:sz w:val="21"/>
              </w:rPr>
            </w:pPr>
            <w:r>
              <w:rPr>
                <w:sz w:val="21"/>
              </w:rPr>
              <w:t>2.4 责任免除</w:t>
            </w:r>
          </w:p>
        </w:tc>
        <w:tc>
          <w:tcPr>
            <w:tcW w:w="3538" w:type="dxa"/>
          </w:tcPr>
          <w:p>
            <w:pPr>
              <w:pStyle w:val="TableParagraph"/>
              <w:spacing w:line="259" w:lineRule="exact"/>
              <w:ind w:left="244"/>
              <w:rPr>
                <w:b/>
                <w:sz w:val="21"/>
              </w:rPr>
            </w:pPr>
            <w:r>
              <w:rPr>
                <w:b/>
                <w:sz w:val="21"/>
              </w:rPr>
              <w:t>8．其他需要关注的事项</w:t>
            </w:r>
          </w:p>
        </w:tc>
        <w:tc>
          <w:tcPr>
            <w:tcW w:w="3477" w:type="dxa"/>
            <w:tcBorders>
              <w:right w:val="single" w:sz="4" w:space="0" w:color="000000"/>
            </w:tcBorders>
          </w:tcPr>
          <w:p>
            <w:pPr>
              <w:pStyle w:val="TableParagraph"/>
              <w:spacing w:line="259" w:lineRule="exact"/>
              <w:ind w:left="359"/>
              <w:rPr>
                <w:sz w:val="21"/>
              </w:rPr>
            </w:pPr>
            <w:r>
              <w:rPr>
                <w:sz w:val="21"/>
              </w:rPr>
              <w:t>9.11 遗传性疾病</w:t>
            </w:r>
          </w:p>
        </w:tc>
      </w:tr>
      <w:tr>
        <w:trPr>
          <w:trHeight w:val="311" w:hRule="atLeast"/>
        </w:trPr>
        <w:tc>
          <w:tcPr>
            <w:tcW w:w="3256" w:type="dxa"/>
            <w:tcBorders>
              <w:left w:val="single" w:sz="4" w:space="0" w:color="000000"/>
            </w:tcBorders>
          </w:tcPr>
          <w:p>
            <w:pPr>
              <w:pStyle w:val="TableParagraph"/>
              <w:spacing w:line="259" w:lineRule="exact"/>
              <w:ind w:left="107"/>
              <w:rPr>
                <w:b/>
                <w:sz w:val="21"/>
              </w:rPr>
            </w:pPr>
            <w:r>
              <w:rPr>
                <w:b/>
                <w:sz w:val="21"/>
              </w:rPr>
              <w:t>3．如何申请领取保险金</w:t>
            </w:r>
          </w:p>
        </w:tc>
        <w:tc>
          <w:tcPr>
            <w:tcW w:w="3538" w:type="dxa"/>
          </w:tcPr>
          <w:p>
            <w:pPr>
              <w:pStyle w:val="TableParagraph"/>
              <w:spacing w:line="259" w:lineRule="exact"/>
              <w:ind w:left="455"/>
              <w:rPr>
                <w:sz w:val="21"/>
              </w:rPr>
            </w:pPr>
            <w:r>
              <w:rPr>
                <w:sz w:val="21"/>
              </w:rPr>
              <w:t>8.1 明确说明与如实告知</w:t>
            </w:r>
          </w:p>
        </w:tc>
        <w:tc>
          <w:tcPr>
            <w:tcW w:w="3477" w:type="dxa"/>
            <w:tcBorders>
              <w:right w:val="single" w:sz="4" w:space="0" w:color="000000"/>
            </w:tcBorders>
          </w:tcPr>
          <w:p>
            <w:pPr>
              <w:pStyle w:val="TableParagraph"/>
              <w:spacing w:line="259" w:lineRule="exact"/>
              <w:ind w:left="359"/>
              <w:rPr>
                <w:sz w:val="21"/>
              </w:rPr>
            </w:pPr>
            <w:r>
              <w:rPr>
                <w:sz w:val="21"/>
              </w:rPr>
              <w:t>9.12 先天性畸形、变形或染色体</w:t>
            </w:r>
          </w:p>
        </w:tc>
      </w:tr>
      <w:tr>
        <w:trPr>
          <w:trHeight w:val="311" w:hRule="atLeast"/>
        </w:trPr>
        <w:tc>
          <w:tcPr>
            <w:tcW w:w="3256" w:type="dxa"/>
            <w:tcBorders>
              <w:left w:val="single" w:sz="4" w:space="0" w:color="000000"/>
            </w:tcBorders>
          </w:tcPr>
          <w:p>
            <w:pPr>
              <w:pStyle w:val="TableParagraph"/>
              <w:spacing w:line="259" w:lineRule="exact"/>
              <w:ind w:left="319"/>
              <w:rPr>
                <w:sz w:val="21"/>
              </w:rPr>
            </w:pPr>
            <w:r>
              <w:rPr>
                <w:sz w:val="21"/>
              </w:rPr>
              <w:t>3.1 受益人</w:t>
            </w:r>
          </w:p>
        </w:tc>
        <w:tc>
          <w:tcPr>
            <w:tcW w:w="3538" w:type="dxa"/>
          </w:tcPr>
          <w:p>
            <w:pPr>
              <w:pStyle w:val="TableParagraph"/>
              <w:spacing w:line="259" w:lineRule="exact"/>
              <w:ind w:left="455"/>
              <w:rPr>
                <w:sz w:val="21"/>
              </w:rPr>
            </w:pPr>
            <w:r>
              <w:rPr>
                <w:sz w:val="21"/>
              </w:rPr>
              <w:t>8.2 我们合同解除权的限制</w:t>
            </w:r>
          </w:p>
        </w:tc>
        <w:tc>
          <w:tcPr>
            <w:tcW w:w="3477" w:type="dxa"/>
            <w:tcBorders>
              <w:right w:val="single" w:sz="4" w:space="0" w:color="000000"/>
            </w:tcBorders>
          </w:tcPr>
          <w:p>
            <w:pPr>
              <w:pStyle w:val="TableParagraph"/>
              <w:spacing w:line="259" w:lineRule="exact"/>
              <w:ind w:left="882"/>
              <w:rPr>
                <w:sz w:val="21"/>
              </w:rPr>
            </w:pPr>
            <w:r>
              <w:rPr>
                <w:sz w:val="21"/>
              </w:rPr>
              <w:t>异常</w:t>
            </w:r>
          </w:p>
        </w:tc>
      </w:tr>
      <w:tr>
        <w:trPr>
          <w:trHeight w:val="312" w:hRule="atLeast"/>
        </w:trPr>
        <w:tc>
          <w:tcPr>
            <w:tcW w:w="3256" w:type="dxa"/>
            <w:tcBorders>
              <w:left w:val="single" w:sz="4" w:space="0" w:color="000000"/>
            </w:tcBorders>
          </w:tcPr>
          <w:p>
            <w:pPr>
              <w:pStyle w:val="TableParagraph"/>
              <w:spacing w:line="259" w:lineRule="exact"/>
              <w:ind w:left="319"/>
              <w:rPr>
                <w:sz w:val="21"/>
              </w:rPr>
            </w:pPr>
            <w:r>
              <w:rPr>
                <w:sz w:val="21"/>
              </w:rPr>
              <w:t>3.2 保险事故通知</w:t>
            </w:r>
          </w:p>
        </w:tc>
        <w:tc>
          <w:tcPr>
            <w:tcW w:w="3538" w:type="dxa"/>
          </w:tcPr>
          <w:p>
            <w:pPr>
              <w:pStyle w:val="TableParagraph"/>
              <w:spacing w:line="259" w:lineRule="exact"/>
              <w:ind w:left="455"/>
              <w:rPr>
                <w:sz w:val="21"/>
              </w:rPr>
            </w:pPr>
            <w:r>
              <w:rPr>
                <w:sz w:val="21"/>
              </w:rPr>
              <w:t>8.3 年龄错误</w:t>
            </w:r>
          </w:p>
        </w:tc>
        <w:tc>
          <w:tcPr>
            <w:tcW w:w="3477" w:type="dxa"/>
            <w:tcBorders>
              <w:right w:val="single" w:sz="4" w:space="0" w:color="000000"/>
            </w:tcBorders>
          </w:tcPr>
          <w:p>
            <w:pPr>
              <w:pStyle w:val="TableParagraph"/>
              <w:spacing w:line="259" w:lineRule="exact"/>
              <w:ind w:left="359"/>
              <w:rPr>
                <w:sz w:val="21"/>
              </w:rPr>
            </w:pPr>
            <w:r>
              <w:rPr>
                <w:sz w:val="21"/>
              </w:rPr>
              <w:t>9.13 现金价值</w:t>
            </w:r>
          </w:p>
        </w:tc>
      </w:tr>
      <w:tr>
        <w:trPr>
          <w:trHeight w:val="311" w:hRule="atLeast"/>
        </w:trPr>
        <w:tc>
          <w:tcPr>
            <w:tcW w:w="3256" w:type="dxa"/>
            <w:tcBorders>
              <w:left w:val="single" w:sz="4" w:space="0" w:color="000000"/>
            </w:tcBorders>
          </w:tcPr>
          <w:p>
            <w:pPr>
              <w:pStyle w:val="TableParagraph"/>
              <w:spacing w:line="259" w:lineRule="exact"/>
              <w:ind w:left="319"/>
              <w:rPr>
                <w:sz w:val="21"/>
              </w:rPr>
            </w:pPr>
            <w:r>
              <w:rPr>
                <w:sz w:val="21"/>
              </w:rPr>
              <w:t>3.3 保险金申请</w:t>
            </w:r>
          </w:p>
        </w:tc>
        <w:tc>
          <w:tcPr>
            <w:tcW w:w="3538" w:type="dxa"/>
          </w:tcPr>
          <w:p>
            <w:pPr>
              <w:pStyle w:val="TableParagraph"/>
              <w:spacing w:line="259" w:lineRule="exact"/>
              <w:ind w:left="443"/>
              <w:rPr>
                <w:sz w:val="21"/>
              </w:rPr>
            </w:pPr>
            <w:r>
              <w:rPr>
                <w:sz w:val="21"/>
              </w:rPr>
              <w:t>8.4 合同内容变更</w:t>
            </w:r>
          </w:p>
        </w:tc>
        <w:tc>
          <w:tcPr>
            <w:tcW w:w="3477" w:type="dxa"/>
            <w:tcBorders>
              <w:right w:val="single" w:sz="4" w:space="0" w:color="000000"/>
            </w:tcBorders>
          </w:tcPr>
          <w:p>
            <w:pPr>
              <w:pStyle w:val="TableParagraph"/>
              <w:spacing w:line="259" w:lineRule="exact"/>
              <w:ind w:left="359"/>
              <w:rPr>
                <w:sz w:val="21"/>
              </w:rPr>
            </w:pPr>
            <w:r>
              <w:rPr>
                <w:sz w:val="21"/>
              </w:rPr>
              <w:t>9.14 医院</w:t>
            </w:r>
          </w:p>
        </w:tc>
      </w:tr>
      <w:tr>
        <w:trPr>
          <w:trHeight w:val="312" w:hRule="atLeast"/>
        </w:trPr>
        <w:tc>
          <w:tcPr>
            <w:tcW w:w="3256" w:type="dxa"/>
            <w:tcBorders>
              <w:left w:val="single" w:sz="4" w:space="0" w:color="000000"/>
            </w:tcBorders>
          </w:tcPr>
          <w:p>
            <w:pPr>
              <w:pStyle w:val="TableParagraph"/>
              <w:spacing w:line="259" w:lineRule="exact"/>
              <w:ind w:left="319"/>
              <w:rPr>
                <w:sz w:val="21"/>
              </w:rPr>
            </w:pPr>
            <w:r>
              <w:rPr>
                <w:sz w:val="21"/>
              </w:rPr>
              <w:t>3.4 失踪处理</w:t>
            </w:r>
          </w:p>
        </w:tc>
        <w:tc>
          <w:tcPr>
            <w:tcW w:w="3538" w:type="dxa"/>
          </w:tcPr>
          <w:p>
            <w:pPr>
              <w:pStyle w:val="TableParagraph"/>
              <w:spacing w:line="259" w:lineRule="exact"/>
              <w:ind w:left="455"/>
              <w:rPr>
                <w:sz w:val="21"/>
              </w:rPr>
            </w:pPr>
            <w:r>
              <w:rPr>
                <w:sz w:val="21"/>
              </w:rPr>
              <w:t>8.5 联系方式变更</w:t>
            </w:r>
          </w:p>
        </w:tc>
        <w:tc>
          <w:tcPr>
            <w:tcW w:w="3477" w:type="dxa"/>
            <w:tcBorders>
              <w:right w:val="single" w:sz="4" w:space="0" w:color="000000"/>
            </w:tcBorders>
          </w:tcPr>
          <w:p>
            <w:pPr>
              <w:pStyle w:val="TableParagraph"/>
              <w:spacing w:line="259" w:lineRule="exact"/>
              <w:ind w:left="359"/>
              <w:rPr>
                <w:sz w:val="21"/>
              </w:rPr>
            </w:pPr>
            <w:r>
              <w:rPr>
                <w:sz w:val="21"/>
              </w:rPr>
              <w:t>9.15 肢体机能完全丧失</w:t>
            </w:r>
          </w:p>
        </w:tc>
      </w:tr>
      <w:tr>
        <w:trPr>
          <w:trHeight w:val="311" w:hRule="atLeast"/>
        </w:trPr>
        <w:tc>
          <w:tcPr>
            <w:tcW w:w="3256" w:type="dxa"/>
            <w:tcBorders>
              <w:left w:val="single" w:sz="4" w:space="0" w:color="000000"/>
            </w:tcBorders>
          </w:tcPr>
          <w:p>
            <w:pPr>
              <w:pStyle w:val="TableParagraph"/>
              <w:spacing w:line="259" w:lineRule="exact"/>
              <w:ind w:left="319"/>
              <w:rPr>
                <w:sz w:val="21"/>
              </w:rPr>
            </w:pPr>
            <w:r>
              <w:rPr>
                <w:sz w:val="21"/>
              </w:rPr>
              <w:t>3.5 保险金的给付</w:t>
            </w:r>
          </w:p>
        </w:tc>
        <w:tc>
          <w:tcPr>
            <w:tcW w:w="3538" w:type="dxa"/>
          </w:tcPr>
          <w:p>
            <w:pPr>
              <w:pStyle w:val="TableParagraph"/>
              <w:spacing w:line="259" w:lineRule="exact"/>
              <w:ind w:left="443"/>
              <w:rPr>
                <w:sz w:val="21"/>
              </w:rPr>
            </w:pPr>
            <w:r>
              <w:rPr>
                <w:sz w:val="21"/>
              </w:rPr>
              <w:t>8.6 未还款项</w:t>
            </w:r>
          </w:p>
        </w:tc>
        <w:tc>
          <w:tcPr>
            <w:tcW w:w="3477" w:type="dxa"/>
            <w:tcBorders>
              <w:right w:val="single" w:sz="4" w:space="0" w:color="000000"/>
            </w:tcBorders>
          </w:tcPr>
          <w:p>
            <w:pPr>
              <w:pStyle w:val="TableParagraph"/>
              <w:spacing w:line="259" w:lineRule="exact"/>
              <w:ind w:left="359"/>
              <w:rPr>
                <w:sz w:val="21"/>
              </w:rPr>
            </w:pPr>
            <w:r>
              <w:rPr>
                <w:sz w:val="21"/>
              </w:rPr>
              <w:t>9.16 语言能力或咀嚼吞咽能力完</w:t>
            </w:r>
          </w:p>
        </w:tc>
      </w:tr>
      <w:tr>
        <w:trPr>
          <w:trHeight w:val="311" w:hRule="atLeast"/>
        </w:trPr>
        <w:tc>
          <w:tcPr>
            <w:tcW w:w="3256" w:type="dxa"/>
            <w:tcBorders>
              <w:left w:val="single" w:sz="4" w:space="0" w:color="000000"/>
            </w:tcBorders>
          </w:tcPr>
          <w:p>
            <w:pPr>
              <w:pStyle w:val="TableParagraph"/>
              <w:spacing w:line="259" w:lineRule="exact"/>
              <w:ind w:left="319"/>
              <w:rPr>
                <w:sz w:val="21"/>
              </w:rPr>
            </w:pPr>
            <w:r>
              <w:rPr>
                <w:sz w:val="21"/>
              </w:rPr>
              <w:t>3.6 诉讼时效</w:t>
            </w:r>
          </w:p>
        </w:tc>
        <w:tc>
          <w:tcPr>
            <w:tcW w:w="3538" w:type="dxa"/>
          </w:tcPr>
          <w:p>
            <w:pPr>
              <w:pStyle w:val="TableParagraph"/>
              <w:spacing w:line="259" w:lineRule="exact"/>
              <w:ind w:left="455"/>
              <w:rPr>
                <w:sz w:val="21"/>
              </w:rPr>
            </w:pPr>
            <w:r>
              <w:rPr>
                <w:sz w:val="21"/>
              </w:rPr>
              <w:t>8.7 效力终止</w:t>
            </w:r>
          </w:p>
        </w:tc>
        <w:tc>
          <w:tcPr>
            <w:tcW w:w="3477" w:type="dxa"/>
            <w:tcBorders>
              <w:right w:val="single" w:sz="4" w:space="0" w:color="000000"/>
            </w:tcBorders>
          </w:tcPr>
          <w:p>
            <w:pPr>
              <w:pStyle w:val="TableParagraph"/>
              <w:spacing w:line="259" w:lineRule="exact"/>
              <w:ind w:left="882"/>
              <w:rPr>
                <w:sz w:val="21"/>
              </w:rPr>
            </w:pPr>
            <w:r>
              <w:rPr>
                <w:sz w:val="21"/>
              </w:rPr>
              <w:t>全丧失</w:t>
            </w:r>
          </w:p>
        </w:tc>
      </w:tr>
      <w:tr>
        <w:trPr>
          <w:trHeight w:val="311" w:hRule="atLeast"/>
        </w:trPr>
        <w:tc>
          <w:tcPr>
            <w:tcW w:w="3256" w:type="dxa"/>
            <w:tcBorders>
              <w:left w:val="single" w:sz="4" w:space="0" w:color="000000"/>
            </w:tcBorders>
          </w:tcPr>
          <w:p>
            <w:pPr>
              <w:pStyle w:val="TableParagraph"/>
              <w:spacing w:line="259" w:lineRule="exact"/>
              <w:ind w:left="319"/>
              <w:rPr>
                <w:sz w:val="21"/>
              </w:rPr>
            </w:pPr>
            <w:r>
              <w:rPr>
                <w:sz w:val="21"/>
              </w:rPr>
              <w:t>3.7 司法鉴定</w:t>
            </w:r>
          </w:p>
        </w:tc>
        <w:tc>
          <w:tcPr>
            <w:tcW w:w="3538" w:type="dxa"/>
          </w:tcPr>
          <w:p>
            <w:pPr>
              <w:pStyle w:val="TableParagraph"/>
              <w:spacing w:line="259" w:lineRule="exact"/>
              <w:ind w:left="455"/>
              <w:rPr>
                <w:sz w:val="21"/>
              </w:rPr>
            </w:pPr>
            <w:r>
              <w:rPr>
                <w:sz w:val="21"/>
              </w:rPr>
              <w:t>8.8 争议处理</w:t>
            </w:r>
          </w:p>
        </w:tc>
        <w:tc>
          <w:tcPr>
            <w:tcW w:w="3477" w:type="dxa"/>
            <w:tcBorders>
              <w:right w:val="single" w:sz="4" w:space="0" w:color="000000"/>
            </w:tcBorders>
          </w:tcPr>
          <w:p>
            <w:pPr>
              <w:pStyle w:val="TableParagraph"/>
              <w:spacing w:line="259" w:lineRule="exact"/>
              <w:ind w:left="359"/>
              <w:rPr>
                <w:sz w:val="21"/>
              </w:rPr>
            </w:pPr>
            <w:r>
              <w:rPr>
                <w:sz w:val="21"/>
              </w:rPr>
              <w:t>9.17 六项基本日常生活活动</w:t>
            </w:r>
          </w:p>
        </w:tc>
      </w:tr>
      <w:tr>
        <w:trPr>
          <w:trHeight w:val="320" w:hRule="atLeast"/>
        </w:trPr>
        <w:tc>
          <w:tcPr>
            <w:tcW w:w="3256" w:type="dxa"/>
            <w:tcBorders>
              <w:left w:val="single" w:sz="4" w:space="0" w:color="000000"/>
            </w:tcBorders>
          </w:tcPr>
          <w:p>
            <w:pPr>
              <w:pStyle w:val="TableParagraph"/>
              <w:spacing w:line="259" w:lineRule="exact"/>
              <w:ind w:left="107"/>
              <w:rPr>
                <w:b/>
                <w:sz w:val="21"/>
              </w:rPr>
            </w:pPr>
            <w:r>
              <w:rPr>
                <w:b/>
                <w:sz w:val="21"/>
              </w:rPr>
              <w:t>4．如何交纳保险费</w:t>
            </w:r>
          </w:p>
        </w:tc>
        <w:tc>
          <w:tcPr>
            <w:tcW w:w="3538" w:type="dxa"/>
          </w:tcPr>
          <w:p>
            <w:pPr>
              <w:pStyle w:val="TableParagraph"/>
              <w:spacing w:line="259" w:lineRule="exact"/>
              <w:ind w:left="208"/>
              <w:rPr>
                <w:b/>
                <w:sz w:val="21"/>
              </w:rPr>
            </w:pPr>
            <w:r>
              <w:rPr>
                <w:b/>
                <w:sz w:val="21"/>
              </w:rPr>
              <w:t>9．释义</w:t>
            </w:r>
          </w:p>
        </w:tc>
        <w:tc>
          <w:tcPr>
            <w:tcW w:w="3477" w:type="dxa"/>
            <w:tcBorders>
              <w:right w:val="single" w:sz="4" w:space="0" w:color="000000"/>
            </w:tcBorders>
          </w:tcPr>
          <w:p>
            <w:pPr>
              <w:pStyle w:val="TableParagraph"/>
              <w:spacing w:line="259" w:lineRule="exact"/>
              <w:ind w:left="359"/>
              <w:rPr>
                <w:sz w:val="21"/>
              </w:rPr>
            </w:pPr>
            <w:r>
              <w:rPr>
                <w:sz w:val="21"/>
              </w:rPr>
              <w:t>9.18 永久不可逆</w:t>
            </w:r>
          </w:p>
        </w:tc>
      </w:tr>
    </w:tbl>
    <w:p>
      <w:pPr>
        <w:spacing w:after="0" w:line="259" w:lineRule="exact"/>
        <w:rPr>
          <w:sz w:val="21"/>
        </w:rPr>
        <w:sectPr>
          <w:type w:val="continuous"/>
          <w:pgSz w:w="11910" w:h="16840"/>
          <w:pgMar w:top="440" w:bottom="1080" w:left="680" w:right="440"/>
        </w:sectPr>
      </w:pPr>
    </w:p>
    <w:p>
      <w:pPr>
        <w:spacing w:line="534" w:lineRule="exact" w:before="0"/>
        <w:ind w:left="2659" w:right="2675" w:firstLine="0"/>
        <w:jc w:val="center"/>
        <w:rPr>
          <w:rFonts w:ascii="Microsoft JhengHei" w:eastAsia="Microsoft JhengHei" w:hint="eastAsia"/>
          <w:b/>
          <w:sz w:val="44"/>
        </w:rPr>
      </w:pPr>
      <w:r>
        <w:rPr>
          <w:rFonts w:ascii="Microsoft JhengHei" w:eastAsia="Microsoft JhengHei" w:hint="eastAsia"/>
          <w:b/>
          <w:w w:val="95"/>
          <w:sz w:val="44"/>
        </w:rPr>
        <w:t>长城人寿保险股份有限公司</w:t>
      </w:r>
    </w:p>
    <w:p>
      <w:pPr>
        <w:pStyle w:val="BodyText"/>
        <w:rPr>
          <w:rFonts w:ascii="Microsoft JhengHei"/>
          <w:b/>
          <w:sz w:val="39"/>
        </w:rPr>
      </w:pPr>
    </w:p>
    <w:p>
      <w:pPr>
        <w:spacing w:before="1"/>
        <w:ind w:left="2659" w:right="2669" w:firstLine="0"/>
        <w:jc w:val="center"/>
        <w:rPr>
          <w:rFonts w:ascii="微软雅黑" w:eastAsia="微软雅黑" w:hint="eastAsia"/>
          <w:b/>
          <w:sz w:val="30"/>
        </w:rPr>
      </w:pPr>
      <w:r>
        <w:rPr>
          <w:rFonts w:ascii="微软雅黑" w:eastAsia="微软雅黑" w:hint="eastAsia"/>
          <w:b/>
          <w:sz w:val="30"/>
        </w:rPr>
        <w:t>长城金福泰终身重大疾病保险条款</w:t>
      </w:r>
    </w:p>
    <w:p>
      <w:pPr>
        <w:pStyle w:val="BodyText"/>
        <w:spacing w:before="16"/>
        <w:rPr>
          <w:rFonts w:ascii="微软雅黑"/>
          <w:b/>
          <w:sz w:val="42"/>
        </w:rPr>
      </w:pPr>
    </w:p>
    <w:p>
      <w:pPr>
        <w:pStyle w:val="BodyText"/>
        <w:ind w:left="423"/>
      </w:pPr>
      <w:r>
        <w:rPr>
          <w:spacing w:val="-23"/>
          <w:w w:val="100"/>
        </w:rPr>
        <w:t>在本条款中，“您”指投保人，“我们”、“本公司”均指长城人寿保险股份有限公司。</w:t>
      </w:r>
    </w:p>
    <w:p>
      <w:pPr>
        <w:pStyle w:val="BodyText"/>
        <w:spacing w:before="9"/>
        <w:rPr>
          <w:sz w:val="2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83"/>
        <w:gridCol w:w="7616"/>
      </w:tblGrid>
      <w:tr>
        <w:trPr>
          <w:trHeight w:val="588" w:hRule="atLeast"/>
        </w:trPr>
        <w:tc>
          <w:tcPr>
            <w:tcW w:w="765" w:type="dxa"/>
            <w:tcBorders>
              <w:bottom w:val="single" w:sz="6" w:space="0" w:color="000000"/>
            </w:tcBorders>
          </w:tcPr>
          <w:p>
            <w:pPr>
              <w:pStyle w:val="TableParagraph"/>
              <w:spacing w:line="549" w:lineRule="exact"/>
              <w:ind w:left="110"/>
              <w:rPr>
                <w:rFonts w:ascii="Arial" w:hAnsi="Arial"/>
                <w:b/>
                <w:sz w:val="52"/>
              </w:rPr>
            </w:pPr>
            <w:r>
              <w:rPr>
                <w:rFonts w:ascii="Arial" w:hAnsi="Arial"/>
                <w:b/>
                <w:w w:val="119"/>
                <w:sz w:val="52"/>
              </w:rPr>
              <w:t></w:t>
            </w:r>
          </w:p>
        </w:tc>
        <w:tc>
          <w:tcPr>
            <w:tcW w:w="9399" w:type="dxa"/>
            <w:gridSpan w:val="2"/>
          </w:tcPr>
          <w:p>
            <w:pPr>
              <w:pStyle w:val="TableParagraph"/>
              <w:spacing w:before="49"/>
              <w:ind w:left="190"/>
              <w:rPr>
                <w:b/>
                <w:sz w:val="28"/>
              </w:rPr>
            </w:pPr>
            <w:r>
              <w:rPr>
                <w:b/>
                <w:w w:val="95"/>
                <w:sz w:val="28"/>
              </w:rPr>
              <w:t>您与我们的合同</w:t>
            </w:r>
          </w:p>
        </w:tc>
      </w:tr>
      <w:tr>
        <w:trPr>
          <w:trHeight w:val="1424" w:hRule="atLeast"/>
        </w:trPr>
        <w:tc>
          <w:tcPr>
            <w:tcW w:w="765" w:type="dxa"/>
            <w:tcBorders>
              <w:top w:val="single" w:sz="6" w:space="0" w:color="000000"/>
            </w:tcBorders>
          </w:tcPr>
          <w:p>
            <w:pPr>
              <w:pStyle w:val="TableParagraph"/>
              <w:spacing w:before="4"/>
              <w:ind w:left="0"/>
              <w:rPr>
                <w:sz w:val="15"/>
              </w:rPr>
            </w:pPr>
          </w:p>
          <w:p>
            <w:pPr>
              <w:pStyle w:val="TableParagraph"/>
              <w:ind w:left="110"/>
              <w:rPr>
                <w:b/>
                <w:sz w:val="21"/>
              </w:rPr>
            </w:pPr>
            <w:r>
              <w:rPr>
                <w:b/>
                <w:sz w:val="21"/>
              </w:rPr>
              <w:t>1.1</w:t>
            </w:r>
          </w:p>
        </w:tc>
        <w:tc>
          <w:tcPr>
            <w:tcW w:w="1783" w:type="dxa"/>
            <w:tcBorders>
              <w:top w:val="single" w:sz="6" w:space="0" w:color="000000"/>
            </w:tcBorders>
          </w:tcPr>
          <w:p>
            <w:pPr>
              <w:pStyle w:val="TableParagraph"/>
              <w:spacing w:before="4"/>
              <w:ind w:left="0"/>
              <w:rPr>
                <w:sz w:val="15"/>
              </w:rPr>
            </w:pPr>
          </w:p>
          <w:p>
            <w:pPr>
              <w:pStyle w:val="TableParagraph"/>
              <w:ind w:left="190"/>
              <w:rPr>
                <w:b/>
                <w:sz w:val="21"/>
              </w:rPr>
            </w:pPr>
            <w:r>
              <w:rPr>
                <w:b/>
                <w:sz w:val="21"/>
              </w:rPr>
              <w:t>合同构成</w:t>
            </w:r>
          </w:p>
        </w:tc>
        <w:tc>
          <w:tcPr>
            <w:tcW w:w="7616" w:type="dxa"/>
            <w:tcBorders>
              <w:top w:val="single" w:sz="6" w:space="0" w:color="000000"/>
            </w:tcBorders>
          </w:tcPr>
          <w:p>
            <w:pPr>
              <w:pStyle w:val="TableParagraph"/>
              <w:spacing w:before="11"/>
              <w:ind w:left="0"/>
              <w:rPr>
                <w:sz w:val="13"/>
              </w:rPr>
            </w:pPr>
          </w:p>
          <w:p>
            <w:pPr>
              <w:pStyle w:val="TableParagraph"/>
              <w:spacing w:line="237" w:lineRule="auto"/>
              <w:ind w:left="113" w:right="109"/>
              <w:jc w:val="both"/>
              <w:rPr>
                <w:sz w:val="21"/>
              </w:rPr>
            </w:pPr>
            <w:r>
              <w:rPr>
                <w:sz w:val="21"/>
              </w:rPr>
              <w:t>本保险条款、保险单或其他保险凭证、投保书、与保险合同有关的投保文件、合法有效的声明、批注、附贴批单、附加险合同、其他书面协议都是您与我们之间订立的保险合同的构成部分。</w:t>
            </w:r>
          </w:p>
          <w:p>
            <w:pPr>
              <w:pStyle w:val="TableParagraph"/>
              <w:spacing w:line="271" w:lineRule="exact"/>
              <w:ind w:left="113"/>
              <w:jc w:val="both"/>
              <w:rPr>
                <w:sz w:val="21"/>
              </w:rPr>
            </w:pPr>
            <w:r>
              <w:rPr>
                <w:sz w:val="21"/>
              </w:rPr>
              <w:t>“长城金福泰终身重大疾病保险合同”以下简称为“本主险合同”。</w:t>
            </w:r>
          </w:p>
        </w:tc>
      </w:tr>
      <w:tr>
        <w:trPr>
          <w:trHeight w:val="2714" w:hRule="atLeast"/>
        </w:trPr>
        <w:tc>
          <w:tcPr>
            <w:tcW w:w="765" w:type="dxa"/>
          </w:tcPr>
          <w:p>
            <w:pPr>
              <w:pStyle w:val="TableParagraph"/>
              <w:spacing w:before="91"/>
              <w:ind w:left="110"/>
              <w:rPr>
                <w:b/>
                <w:sz w:val="21"/>
              </w:rPr>
            </w:pPr>
            <w:r>
              <w:rPr>
                <w:b/>
                <w:sz w:val="21"/>
              </w:rPr>
              <w:t>1.2</w:t>
            </w:r>
          </w:p>
        </w:tc>
        <w:tc>
          <w:tcPr>
            <w:tcW w:w="1783" w:type="dxa"/>
          </w:tcPr>
          <w:p>
            <w:pPr>
              <w:pStyle w:val="TableParagraph"/>
              <w:spacing w:before="91"/>
              <w:ind w:left="190"/>
              <w:rPr>
                <w:b/>
                <w:sz w:val="21"/>
              </w:rPr>
            </w:pPr>
            <w:r>
              <w:rPr>
                <w:b/>
                <w:sz w:val="21"/>
              </w:rPr>
              <w:t>合同成立与生效</w:t>
            </w:r>
          </w:p>
        </w:tc>
        <w:tc>
          <w:tcPr>
            <w:tcW w:w="7616" w:type="dxa"/>
          </w:tcPr>
          <w:p>
            <w:pPr>
              <w:pStyle w:val="TableParagraph"/>
              <w:spacing w:line="273" w:lineRule="auto" w:before="91"/>
              <w:ind w:left="113" w:right="142"/>
              <w:jc w:val="both"/>
              <w:rPr>
                <w:sz w:val="21"/>
              </w:rPr>
            </w:pPr>
            <w:r>
              <w:rPr>
                <w:sz w:val="21"/>
              </w:rPr>
              <w:t>您提出保险申请、本公司同意承保，本主险合同成立，合同成立日期在保险单上载明。</w:t>
            </w:r>
          </w:p>
          <w:p>
            <w:pPr>
              <w:pStyle w:val="TableParagraph"/>
              <w:spacing w:line="273" w:lineRule="auto" w:before="7"/>
              <w:ind w:left="113" w:right="142"/>
              <w:jc w:val="both"/>
              <w:rPr>
                <w:sz w:val="21"/>
              </w:rPr>
            </w:pPr>
            <w:r>
              <w:rPr>
                <w:sz w:val="21"/>
              </w:rPr>
              <w:t>自本主险合同成立、本公司收取首期保险费并签发保险单的次日零时起本主险合同生效，具体生效日以保险单所载的日期为准。我们自生效日零时起开始承担本主险合同约定的保险责任。</w:t>
            </w:r>
          </w:p>
          <w:p>
            <w:pPr>
              <w:pStyle w:val="TableParagraph"/>
              <w:spacing w:line="273" w:lineRule="auto" w:before="7"/>
              <w:ind w:left="113"/>
              <w:rPr>
                <w:sz w:val="21"/>
              </w:rPr>
            </w:pPr>
            <w:r>
              <w:rPr>
                <w:spacing w:val="-7"/>
                <w:sz w:val="21"/>
              </w:rPr>
              <w:t>本主险合同生效日以后每年的对应日是保险单周年日。保险单年度、保险单月份、</w:t>
            </w:r>
            <w:r>
              <w:rPr>
                <w:spacing w:val="-5"/>
                <w:sz w:val="21"/>
              </w:rPr>
              <w:t>保险费到期日和保险单满期日均以该日期为基础计算。</w:t>
            </w:r>
          </w:p>
          <w:p>
            <w:pPr>
              <w:pStyle w:val="TableParagraph"/>
              <w:spacing w:before="7"/>
              <w:ind w:left="113"/>
              <w:jc w:val="both"/>
              <w:rPr>
                <w:sz w:val="21"/>
              </w:rPr>
            </w:pPr>
            <w:r>
              <w:rPr>
                <w:sz w:val="21"/>
              </w:rPr>
              <w:t>如果当月无对应的同一日，则以该月最后一日作为对应日。</w:t>
            </w:r>
          </w:p>
        </w:tc>
      </w:tr>
      <w:tr>
        <w:trPr>
          <w:trHeight w:val="1162" w:hRule="atLeast"/>
        </w:trPr>
        <w:tc>
          <w:tcPr>
            <w:tcW w:w="765" w:type="dxa"/>
          </w:tcPr>
          <w:p>
            <w:pPr>
              <w:pStyle w:val="TableParagraph"/>
              <w:spacing w:before="100"/>
              <w:ind w:left="110"/>
              <w:rPr>
                <w:b/>
                <w:sz w:val="21"/>
              </w:rPr>
            </w:pPr>
            <w:r>
              <w:rPr>
                <w:b/>
                <w:sz w:val="21"/>
              </w:rPr>
              <w:t>1.3</w:t>
            </w:r>
          </w:p>
        </w:tc>
        <w:tc>
          <w:tcPr>
            <w:tcW w:w="1783" w:type="dxa"/>
          </w:tcPr>
          <w:p>
            <w:pPr>
              <w:pStyle w:val="TableParagraph"/>
              <w:spacing w:before="100"/>
              <w:ind w:left="190"/>
              <w:rPr>
                <w:b/>
                <w:sz w:val="21"/>
              </w:rPr>
            </w:pPr>
            <w:r>
              <w:rPr>
                <w:b/>
                <w:sz w:val="21"/>
              </w:rPr>
              <w:t>投保年龄</w:t>
            </w:r>
          </w:p>
        </w:tc>
        <w:tc>
          <w:tcPr>
            <w:tcW w:w="7616" w:type="dxa"/>
          </w:tcPr>
          <w:p>
            <w:pPr>
              <w:pStyle w:val="TableParagraph"/>
              <w:spacing w:line="273" w:lineRule="auto" w:before="100"/>
              <w:ind w:left="113" w:right="147"/>
              <w:jc w:val="both"/>
              <w:rPr>
                <w:sz w:val="21"/>
              </w:rPr>
            </w:pPr>
            <w:r>
              <w:rPr>
                <w:spacing w:val="-3"/>
                <w:sz w:val="21"/>
              </w:rPr>
              <w:t>指投保时被保险人的年龄，投保年龄以周岁（</w:t>
            </w:r>
            <w:r>
              <w:rPr>
                <w:spacing w:val="-20"/>
                <w:sz w:val="21"/>
              </w:rPr>
              <w:t>见 </w:t>
            </w:r>
            <w:r>
              <w:rPr>
                <w:sz w:val="21"/>
              </w:rPr>
              <w:t>9.1）</w:t>
            </w:r>
            <w:r>
              <w:rPr>
                <w:spacing w:val="-3"/>
                <w:sz w:val="21"/>
              </w:rPr>
              <w:t>计算，本主险合同接受的</w:t>
            </w:r>
            <w:r>
              <w:rPr>
                <w:spacing w:val="-10"/>
                <w:sz w:val="21"/>
              </w:rPr>
              <w:t>被保险人为 </w:t>
            </w:r>
            <w:r>
              <w:rPr>
                <w:sz w:val="21"/>
              </w:rPr>
              <w:t>0</w:t>
            </w:r>
            <w:r>
              <w:rPr>
                <w:spacing w:val="-18"/>
                <w:sz w:val="21"/>
              </w:rPr>
              <w:t> 周岁</w:t>
            </w:r>
            <w:r>
              <w:rPr>
                <w:spacing w:val="-3"/>
                <w:sz w:val="21"/>
              </w:rPr>
              <w:t>（</w:t>
            </w:r>
            <w:r>
              <w:rPr>
                <w:spacing w:val="-12"/>
                <w:sz w:val="21"/>
              </w:rPr>
              <w:t>指出生满 </w:t>
            </w:r>
            <w:r>
              <w:rPr>
                <w:sz w:val="21"/>
              </w:rPr>
              <w:t>30</w:t>
            </w:r>
            <w:r>
              <w:rPr>
                <w:spacing w:val="-9"/>
                <w:sz w:val="21"/>
              </w:rPr>
              <w:t> 日且已健康出院的婴儿</w:t>
            </w:r>
            <w:r>
              <w:rPr>
                <w:spacing w:val="-3"/>
                <w:sz w:val="21"/>
              </w:rPr>
              <w:t>）</w:t>
            </w:r>
            <w:r>
              <w:rPr>
                <w:spacing w:val="-24"/>
                <w:sz w:val="21"/>
              </w:rPr>
              <w:t>至 </w:t>
            </w:r>
            <w:r>
              <w:rPr>
                <w:sz w:val="21"/>
              </w:rPr>
              <w:t>65</w:t>
            </w:r>
            <w:r>
              <w:rPr>
                <w:spacing w:val="-9"/>
                <w:sz w:val="21"/>
              </w:rPr>
              <w:t> 周岁。不同交费</w:t>
            </w:r>
            <w:r>
              <w:rPr>
                <w:spacing w:val="-5"/>
                <w:sz w:val="21"/>
              </w:rPr>
              <w:t>方式和交费期间所接受的投保年龄区间会有所不同。</w:t>
            </w:r>
          </w:p>
        </w:tc>
      </w:tr>
      <w:tr>
        <w:trPr>
          <w:trHeight w:val="2100" w:hRule="atLeast"/>
        </w:trPr>
        <w:tc>
          <w:tcPr>
            <w:tcW w:w="765" w:type="dxa"/>
          </w:tcPr>
          <w:p>
            <w:pPr>
              <w:pStyle w:val="TableParagraph"/>
              <w:spacing w:before="99"/>
              <w:ind w:left="110"/>
              <w:rPr>
                <w:b/>
                <w:sz w:val="21"/>
              </w:rPr>
            </w:pPr>
            <w:r>
              <w:rPr>
                <w:b/>
                <w:sz w:val="21"/>
              </w:rPr>
              <w:t>1.4</w:t>
            </w:r>
          </w:p>
        </w:tc>
        <w:tc>
          <w:tcPr>
            <w:tcW w:w="1783" w:type="dxa"/>
          </w:tcPr>
          <w:p>
            <w:pPr>
              <w:pStyle w:val="TableParagraph"/>
              <w:spacing w:before="99"/>
              <w:ind w:left="190"/>
              <w:rPr>
                <w:b/>
                <w:sz w:val="21"/>
              </w:rPr>
            </w:pPr>
            <w:r>
              <w:rPr>
                <w:b/>
                <w:sz w:val="21"/>
              </w:rPr>
              <w:t>犹豫期</w:t>
            </w:r>
          </w:p>
        </w:tc>
        <w:tc>
          <w:tcPr>
            <w:tcW w:w="7616" w:type="dxa"/>
          </w:tcPr>
          <w:p>
            <w:pPr>
              <w:pStyle w:val="TableParagraph"/>
              <w:spacing w:line="268" w:lineRule="auto" w:before="99"/>
              <w:ind w:left="113" w:right="3"/>
              <w:rPr>
                <w:b/>
                <w:i/>
                <w:sz w:val="22"/>
              </w:rPr>
            </w:pPr>
            <w:r>
              <w:rPr>
                <w:spacing w:val="-9"/>
                <w:sz w:val="21"/>
              </w:rPr>
              <w:t>自您签收本主险合同之日起，有 </w:t>
            </w:r>
            <w:r>
              <w:rPr>
                <w:sz w:val="21"/>
              </w:rPr>
              <w:t>10</w:t>
            </w:r>
            <w:r>
              <w:rPr>
                <w:spacing w:val="-11"/>
                <w:sz w:val="21"/>
              </w:rPr>
              <w:t> 日的犹豫期。在此期间请您认真审视本主险合</w:t>
            </w:r>
            <w:r>
              <w:rPr>
                <w:spacing w:val="-6"/>
                <w:sz w:val="21"/>
              </w:rPr>
              <w:t>同，如果您认为本主险合同与您的需求不相符，您可以在此期间提出解除本主险</w:t>
            </w:r>
            <w:r>
              <w:rPr>
                <w:spacing w:val="-7"/>
                <w:sz w:val="21"/>
              </w:rPr>
              <w:t>合同，我们扣除不超过人民币 </w:t>
            </w:r>
            <w:r>
              <w:rPr>
                <w:sz w:val="21"/>
              </w:rPr>
              <w:t>10</w:t>
            </w:r>
            <w:r>
              <w:rPr>
                <w:spacing w:val="-8"/>
                <w:sz w:val="21"/>
              </w:rPr>
              <w:t> 元的合同工本费后无息退还您所交纳的保险费。</w:t>
            </w:r>
            <w:r>
              <w:rPr>
                <w:spacing w:val="-5"/>
                <w:sz w:val="21"/>
              </w:rPr>
              <w:t>解除本主险合同时，您需要填写解除合同申请书，并提供您的保险合同及有效身</w:t>
            </w:r>
            <w:r>
              <w:rPr>
                <w:spacing w:val="-20"/>
                <w:w w:val="100"/>
                <w:sz w:val="21"/>
              </w:rPr>
              <w:t>份证件</w:t>
            </w:r>
            <w:r>
              <w:rPr>
                <w:w w:val="100"/>
                <w:sz w:val="21"/>
              </w:rPr>
              <w:t>（见</w:t>
            </w:r>
            <w:r>
              <w:rPr>
                <w:spacing w:val="-53"/>
                <w:sz w:val="21"/>
              </w:rPr>
              <w:t> </w:t>
            </w:r>
            <w:r>
              <w:rPr>
                <w:spacing w:val="-3"/>
                <w:w w:val="100"/>
                <w:sz w:val="21"/>
              </w:rPr>
              <w:t>9</w:t>
            </w:r>
            <w:r>
              <w:rPr>
                <w:w w:val="100"/>
                <w:sz w:val="21"/>
              </w:rPr>
              <w:t>.</w:t>
            </w:r>
            <w:r>
              <w:rPr>
                <w:spacing w:val="-1"/>
                <w:w w:val="100"/>
                <w:sz w:val="21"/>
              </w:rPr>
              <w:t>2</w:t>
            </w:r>
            <w:r>
              <w:rPr>
                <w:spacing w:val="-106"/>
                <w:w w:val="100"/>
                <w:sz w:val="21"/>
              </w:rPr>
              <w:t>）</w:t>
            </w:r>
            <w:r>
              <w:rPr>
                <w:spacing w:val="-51"/>
                <w:w w:val="100"/>
                <w:sz w:val="21"/>
              </w:rPr>
              <w:t>。</w:t>
            </w:r>
            <w:r>
              <w:rPr>
                <w:b/>
                <w:i/>
                <w:spacing w:val="-6"/>
                <w:w w:val="95"/>
                <w:sz w:val="22"/>
              </w:rPr>
              <w:t>自我们收到您解除合同的书面申请时起，本主险合同即被解除，</w:t>
            </w:r>
            <w:r>
              <w:rPr>
                <w:b/>
                <w:i/>
                <w:spacing w:val="-6"/>
                <w:w w:val="95"/>
                <w:sz w:val="22"/>
              </w:rPr>
              <w:t>对于合同解除前发生的保险事故，我们不承担保险责任。</w:t>
            </w:r>
          </w:p>
        </w:tc>
      </w:tr>
      <w:tr>
        <w:trPr>
          <w:trHeight w:val="531" w:hRule="atLeast"/>
        </w:trPr>
        <w:tc>
          <w:tcPr>
            <w:tcW w:w="765" w:type="dxa"/>
          </w:tcPr>
          <w:p>
            <w:pPr>
              <w:pStyle w:val="TableParagraph"/>
              <w:spacing w:before="100"/>
              <w:ind w:left="110"/>
              <w:rPr>
                <w:b/>
                <w:sz w:val="21"/>
              </w:rPr>
            </w:pPr>
            <w:r>
              <w:rPr>
                <w:b/>
                <w:sz w:val="21"/>
              </w:rPr>
              <w:t>1.5</w:t>
            </w:r>
          </w:p>
        </w:tc>
        <w:tc>
          <w:tcPr>
            <w:tcW w:w="1783" w:type="dxa"/>
          </w:tcPr>
          <w:p>
            <w:pPr>
              <w:pStyle w:val="TableParagraph"/>
              <w:spacing w:before="100"/>
              <w:ind w:left="190"/>
              <w:rPr>
                <w:b/>
                <w:sz w:val="21"/>
              </w:rPr>
            </w:pPr>
            <w:r>
              <w:rPr>
                <w:b/>
                <w:sz w:val="21"/>
              </w:rPr>
              <w:t>保险期间</w:t>
            </w:r>
          </w:p>
        </w:tc>
        <w:tc>
          <w:tcPr>
            <w:tcW w:w="7616" w:type="dxa"/>
          </w:tcPr>
          <w:p>
            <w:pPr>
              <w:pStyle w:val="TableParagraph"/>
              <w:spacing w:before="100"/>
              <w:ind w:left="113"/>
              <w:rPr>
                <w:sz w:val="21"/>
              </w:rPr>
            </w:pPr>
            <w:r>
              <w:rPr>
                <w:sz w:val="21"/>
              </w:rPr>
              <w:t>本主险合同的保险期间为终身，自本主险合同生效之日起算。</w:t>
            </w:r>
          </w:p>
        </w:tc>
      </w:tr>
      <w:tr>
        <w:trPr>
          <w:trHeight w:val="744" w:hRule="atLeast"/>
        </w:trPr>
        <w:tc>
          <w:tcPr>
            <w:tcW w:w="765" w:type="dxa"/>
            <w:tcBorders>
              <w:bottom w:val="single" w:sz="4" w:space="0" w:color="000000"/>
            </w:tcBorders>
          </w:tcPr>
          <w:p>
            <w:pPr>
              <w:pStyle w:val="TableParagraph"/>
              <w:spacing w:before="108"/>
              <w:ind w:left="110"/>
              <w:rPr>
                <w:rFonts w:ascii="Arial" w:hAnsi="Arial"/>
                <w:b/>
                <w:sz w:val="52"/>
              </w:rPr>
            </w:pPr>
            <w:r>
              <w:rPr>
                <w:rFonts w:ascii="Arial" w:hAnsi="Arial"/>
                <w:b/>
                <w:w w:val="119"/>
                <w:sz w:val="52"/>
              </w:rPr>
              <w:t></w:t>
            </w:r>
          </w:p>
        </w:tc>
        <w:tc>
          <w:tcPr>
            <w:tcW w:w="9399" w:type="dxa"/>
            <w:gridSpan w:val="2"/>
            <w:tcBorders>
              <w:bottom w:val="single" w:sz="4" w:space="0" w:color="000000"/>
            </w:tcBorders>
          </w:tcPr>
          <w:p>
            <w:pPr>
              <w:pStyle w:val="TableParagraph"/>
              <w:spacing w:before="206"/>
              <w:ind w:left="190"/>
              <w:rPr>
                <w:b/>
                <w:sz w:val="28"/>
              </w:rPr>
            </w:pPr>
            <w:r>
              <w:rPr>
                <w:b/>
                <w:w w:val="95"/>
                <w:sz w:val="28"/>
              </w:rPr>
              <w:t>我们提供的保障</w:t>
            </w:r>
          </w:p>
        </w:tc>
      </w:tr>
      <w:tr>
        <w:trPr>
          <w:trHeight w:val="954" w:hRule="atLeast"/>
        </w:trPr>
        <w:tc>
          <w:tcPr>
            <w:tcW w:w="765" w:type="dxa"/>
            <w:tcBorders>
              <w:top w:val="single" w:sz="4" w:space="0" w:color="000000"/>
            </w:tcBorders>
          </w:tcPr>
          <w:p>
            <w:pPr>
              <w:pStyle w:val="TableParagraph"/>
              <w:spacing w:before="7"/>
              <w:ind w:left="0"/>
              <w:rPr>
                <w:sz w:val="15"/>
              </w:rPr>
            </w:pPr>
          </w:p>
          <w:p>
            <w:pPr>
              <w:pStyle w:val="TableParagraph"/>
              <w:ind w:left="110"/>
              <w:rPr>
                <w:b/>
                <w:sz w:val="21"/>
              </w:rPr>
            </w:pPr>
            <w:r>
              <w:rPr>
                <w:b/>
                <w:sz w:val="21"/>
              </w:rPr>
              <w:t>2.1</w:t>
            </w:r>
          </w:p>
        </w:tc>
        <w:tc>
          <w:tcPr>
            <w:tcW w:w="1783" w:type="dxa"/>
            <w:tcBorders>
              <w:top w:val="single" w:sz="4" w:space="0" w:color="000000"/>
            </w:tcBorders>
          </w:tcPr>
          <w:p>
            <w:pPr>
              <w:pStyle w:val="TableParagraph"/>
              <w:spacing w:before="7"/>
              <w:ind w:left="0"/>
              <w:rPr>
                <w:sz w:val="15"/>
              </w:rPr>
            </w:pPr>
          </w:p>
          <w:p>
            <w:pPr>
              <w:pStyle w:val="TableParagraph"/>
              <w:ind w:left="190"/>
              <w:rPr>
                <w:b/>
                <w:sz w:val="21"/>
              </w:rPr>
            </w:pPr>
            <w:r>
              <w:rPr>
                <w:b/>
                <w:sz w:val="21"/>
              </w:rPr>
              <w:t>基本保险金额</w:t>
            </w:r>
          </w:p>
        </w:tc>
        <w:tc>
          <w:tcPr>
            <w:tcW w:w="7616" w:type="dxa"/>
            <w:tcBorders>
              <w:top w:val="single" w:sz="4" w:space="0" w:color="000000"/>
            </w:tcBorders>
          </w:tcPr>
          <w:p>
            <w:pPr>
              <w:pStyle w:val="TableParagraph"/>
              <w:spacing w:before="7"/>
              <w:ind w:left="0"/>
              <w:rPr>
                <w:sz w:val="15"/>
              </w:rPr>
            </w:pPr>
          </w:p>
          <w:p>
            <w:pPr>
              <w:pStyle w:val="TableParagraph"/>
              <w:spacing w:line="273" w:lineRule="auto"/>
              <w:ind w:left="113" w:right="142"/>
              <w:rPr>
                <w:sz w:val="21"/>
              </w:rPr>
            </w:pPr>
            <w:r>
              <w:rPr>
                <w:sz w:val="21"/>
              </w:rPr>
              <w:t>本主险合同的基本保险金额由您在投保时与我们约定并在保险单上载明。若该金额按照本主险合同约定的方式发生变更，则以变更后的金额为基本保险金额。</w:t>
            </w:r>
          </w:p>
        </w:tc>
      </w:tr>
      <w:tr>
        <w:trPr>
          <w:trHeight w:val="999" w:hRule="atLeast"/>
        </w:trPr>
        <w:tc>
          <w:tcPr>
            <w:tcW w:w="765" w:type="dxa"/>
          </w:tcPr>
          <w:p>
            <w:pPr>
              <w:pStyle w:val="TableParagraph"/>
              <w:spacing w:before="101"/>
              <w:ind w:left="110"/>
              <w:rPr>
                <w:b/>
                <w:sz w:val="21"/>
              </w:rPr>
            </w:pPr>
            <w:r>
              <w:rPr>
                <w:b/>
                <w:sz w:val="21"/>
              </w:rPr>
              <w:t>2.2</w:t>
            </w:r>
          </w:p>
        </w:tc>
        <w:tc>
          <w:tcPr>
            <w:tcW w:w="1783" w:type="dxa"/>
          </w:tcPr>
          <w:p>
            <w:pPr>
              <w:pStyle w:val="TableParagraph"/>
              <w:spacing w:line="273" w:lineRule="auto" w:before="101"/>
              <w:ind w:left="190" w:right="111"/>
              <w:rPr>
                <w:b/>
                <w:sz w:val="21"/>
              </w:rPr>
            </w:pPr>
            <w:r>
              <w:rPr>
                <w:b/>
                <w:sz w:val="21"/>
              </w:rPr>
              <w:t>未成年人身故保险金限制</w:t>
            </w:r>
          </w:p>
        </w:tc>
        <w:tc>
          <w:tcPr>
            <w:tcW w:w="7616" w:type="dxa"/>
          </w:tcPr>
          <w:p>
            <w:pPr>
              <w:pStyle w:val="TableParagraph"/>
              <w:spacing w:line="310" w:lineRule="atLeast" w:before="65"/>
              <w:ind w:left="113" w:right="142"/>
              <w:jc w:val="both"/>
              <w:rPr>
                <w:sz w:val="21"/>
              </w:rPr>
            </w:pPr>
            <w:r>
              <w:rPr>
                <w:sz w:val="21"/>
              </w:rPr>
              <w:t>为未成年人投保的人身保险，因被保险人身故给付的保险金总和不得超过国务院保险监督管理机构规定的限额，身故给付的保险金额总和约定也不得超过前述限额。</w:t>
            </w:r>
          </w:p>
        </w:tc>
      </w:tr>
    </w:tbl>
    <w:p>
      <w:pPr>
        <w:spacing w:after="0" w:line="310" w:lineRule="atLeast"/>
        <w:jc w:val="both"/>
        <w:rPr>
          <w:sz w:val="21"/>
        </w:rPr>
        <w:sectPr>
          <w:pgSz w:w="11910" w:h="16840"/>
          <w:pgMar w:header="0" w:footer="896" w:top="1240" w:bottom="1160" w:left="880" w:right="6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856"/>
        <w:gridCol w:w="7813"/>
      </w:tblGrid>
      <w:tr>
        <w:trPr>
          <w:trHeight w:val="370" w:hRule="atLeast"/>
        </w:trPr>
        <w:tc>
          <w:tcPr>
            <w:tcW w:w="781" w:type="dxa"/>
          </w:tcPr>
          <w:p>
            <w:pPr>
              <w:pStyle w:val="TableParagraph"/>
              <w:spacing w:line="211" w:lineRule="exact"/>
              <w:ind w:left="180" w:right="241"/>
              <w:jc w:val="center"/>
              <w:rPr>
                <w:b/>
                <w:sz w:val="21"/>
              </w:rPr>
            </w:pPr>
            <w:r>
              <w:rPr>
                <w:b/>
                <w:sz w:val="21"/>
              </w:rPr>
              <w:t>2.3</w:t>
            </w:r>
          </w:p>
        </w:tc>
        <w:tc>
          <w:tcPr>
            <w:tcW w:w="1856" w:type="dxa"/>
          </w:tcPr>
          <w:p>
            <w:pPr>
              <w:pStyle w:val="TableParagraph"/>
              <w:spacing w:line="211" w:lineRule="exact"/>
              <w:ind w:left="264"/>
              <w:rPr>
                <w:b/>
                <w:sz w:val="21"/>
              </w:rPr>
            </w:pPr>
            <w:r>
              <w:rPr>
                <w:b/>
                <w:sz w:val="21"/>
              </w:rPr>
              <w:t>保险责任</w:t>
            </w:r>
          </w:p>
        </w:tc>
        <w:tc>
          <w:tcPr>
            <w:tcW w:w="7813" w:type="dxa"/>
          </w:tcPr>
          <w:p>
            <w:pPr>
              <w:pStyle w:val="TableParagraph"/>
              <w:spacing w:line="211" w:lineRule="exact"/>
              <w:ind w:left="114"/>
              <w:rPr>
                <w:sz w:val="21"/>
              </w:rPr>
            </w:pPr>
            <w:r>
              <w:rPr>
                <w:sz w:val="21"/>
              </w:rPr>
              <w:t>在本主险合同有效期内，我们承担如下保险责任：</w:t>
            </w:r>
          </w:p>
        </w:tc>
      </w:tr>
      <w:tr>
        <w:trPr>
          <w:trHeight w:val="2103" w:hRule="atLeast"/>
        </w:trPr>
        <w:tc>
          <w:tcPr>
            <w:tcW w:w="781" w:type="dxa"/>
          </w:tcPr>
          <w:p>
            <w:pPr>
              <w:pStyle w:val="TableParagraph"/>
              <w:ind w:left="0"/>
              <w:rPr>
                <w:rFonts w:ascii="Times New Roman"/>
                <w:sz w:val="20"/>
              </w:rPr>
            </w:pPr>
          </w:p>
        </w:tc>
        <w:tc>
          <w:tcPr>
            <w:tcW w:w="1856" w:type="dxa"/>
          </w:tcPr>
          <w:p>
            <w:pPr>
              <w:pStyle w:val="TableParagraph"/>
              <w:spacing w:before="105"/>
              <w:ind w:left="264"/>
              <w:rPr>
                <w:rFonts w:ascii="楷体" w:eastAsia="楷体" w:hint="eastAsia"/>
                <w:b/>
                <w:sz w:val="21"/>
              </w:rPr>
            </w:pPr>
            <w:r>
              <w:rPr>
                <w:rFonts w:ascii="楷体" w:eastAsia="楷体" w:hint="eastAsia"/>
                <w:b/>
                <w:sz w:val="21"/>
              </w:rPr>
              <w:t>等待期</w:t>
            </w:r>
          </w:p>
        </w:tc>
        <w:tc>
          <w:tcPr>
            <w:tcW w:w="7813" w:type="dxa"/>
          </w:tcPr>
          <w:p>
            <w:pPr>
              <w:pStyle w:val="TableParagraph"/>
              <w:spacing w:line="266" w:lineRule="auto" w:before="94"/>
              <w:ind w:left="114" w:right="196"/>
              <w:rPr>
                <w:sz w:val="21"/>
              </w:rPr>
            </w:pPr>
            <w:r>
              <w:rPr>
                <w:b/>
                <w:i/>
                <w:spacing w:val="-7"/>
                <w:w w:val="95"/>
                <w:sz w:val="22"/>
              </w:rPr>
              <w:t>自本主险合同生效</w:t>
            </w:r>
            <w:r>
              <w:rPr>
                <w:b/>
                <w:i/>
                <w:w w:val="95"/>
                <w:sz w:val="22"/>
              </w:rPr>
              <w:t>（</w:t>
            </w:r>
            <w:r>
              <w:rPr>
                <w:b/>
                <w:i/>
                <w:spacing w:val="-2"/>
                <w:w w:val="95"/>
                <w:sz w:val="22"/>
              </w:rPr>
              <w:t>或最后复效</w:t>
            </w:r>
            <w:r>
              <w:rPr>
                <w:b/>
                <w:i/>
                <w:spacing w:val="-51"/>
                <w:w w:val="95"/>
                <w:sz w:val="22"/>
              </w:rPr>
              <w:t>）</w:t>
            </w:r>
            <w:r>
              <w:rPr>
                <w:b/>
                <w:i/>
                <w:spacing w:val="-11"/>
                <w:w w:val="95"/>
                <w:sz w:val="22"/>
              </w:rPr>
              <w:t>之日起 </w:t>
            </w:r>
            <w:r>
              <w:rPr>
                <w:b/>
                <w:i/>
                <w:w w:val="95"/>
                <w:sz w:val="22"/>
              </w:rPr>
              <w:t>180</w:t>
            </w:r>
            <w:r>
              <w:rPr>
                <w:b/>
                <w:i/>
                <w:spacing w:val="-33"/>
                <w:w w:val="95"/>
                <w:sz w:val="22"/>
              </w:rPr>
              <w:t> 日内</w:t>
            </w:r>
            <w:r>
              <w:rPr>
                <w:b/>
                <w:i/>
                <w:spacing w:val="-3"/>
                <w:w w:val="95"/>
                <w:sz w:val="22"/>
              </w:rPr>
              <w:t>（</w:t>
            </w:r>
            <w:r>
              <w:rPr>
                <w:b/>
                <w:i/>
                <w:spacing w:val="-15"/>
                <w:w w:val="95"/>
                <w:sz w:val="22"/>
              </w:rPr>
              <w:t>含第 </w:t>
            </w:r>
            <w:r>
              <w:rPr>
                <w:b/>
                <w:i/>
                <w:w w:val="95"/>
                <w:sz w:val="22"/>
              </w:rPr>
              <w:t>180</w:t>
            </w:r>
            <w:r>
              <w:rPr>
                <w:b/>
                <w:i/>
                <w:spacing w:val="-21"/>
                <w:w w:val="95"/>
                <w:sz w:val="22"/>
              </w:rPr>
              <w:t> 日</w:t>
            </w:r>
            <w:r>
              <w:rPr>
                <w:b/>
                <w:i/>
                <w:spacing w:val="-79"/>
                <w:w w:val="95"/>
                <w:sz w:val="22"/>
              </w:rPr>
              <w:t>）</w:t>
            </w:r>
            <w:r>
              <w:rPr>
                <w:b/>
                <w:i/>
                <w:spacing w:val="-12"/>
                <w:w w:val="95"/>
                <w:sz w:val="22"/>
              </w:rPr>
              <w:t>，被保险人身故、发生本主险合同约定的重大疾病（</w:t>
            </w:r>
            <w:r>
              <w:rPr>
                <w:b/>
                <w:i/>
                <w:spacing w:val="5"/>
                <w:w w:val="95"/>
                <w:sz w:val="22"/>
              </w:rPr>
              <w:t>见 </w:t>
            </w:r>
            <w:r>
              <w:rPr>
                <w:b/>
                <w:i/>
                <w:w w:val="95"/>
                <w:sz w:val="22"/>
              </w:rPr>
              <w:t>9.3）或因导致重大疾病的相关疾病就诊， </w:t>
            </w:r>
            <w:r>
              <w:rPr>
                <w:b/>
                <w:i/>
                <w:spacing w:val="-6"/>
                <w:w w:val="95"/>
                <w:sz w:val="22"/>
              </w:rPr>
              <w:t>我们不承担保险责任，但无息退还您已交本主险合同的保险费</w:t>
            </w:r>
            <w:r>
              <w:rPr>
                <w:spacing w:val="-8"/>
                <w:w w:val="95"/>
                <w:sz w:val="21"/>
              </w:rPr>
              <w:t>，本主险合同终止。</w:t>
            </w:r>
            <w:r>
              <w:rPr>
                <w:spacing w:val="-11"/>
                <w:sz w:val="21"/>
              </w:rPr>
              <w:t>这 </w:t>
            </w:r>
            <w:r>
              <w:rPr>
                <w:sz w:val="21"/>
              </w:rPr>
              <w:t>180</w:t>
            </w:r>
            <w:r>
              <w:rPr>
                <w:spacing w:val="-5"/>
                <w:sz w:val="21"/>
              </w:rPr>
              <w:t> 日的时间称为等待期；被保险人因意外伤害</w:t>
            </w:r>
            <w:r>
              <w:rPr>
                <w:sz w:val="21"/>
              </w:rPr>
              <w:t>（</w:t>
            </w:r>
            <w:r>
              <w:rPr>
                <w:spacing w:val="-9"/>
                <w:sz w:val="21"/>
              </w:rPr>
              <w:t>见 </w:t>
            </w:r>
            <w:r>
              <w:rPr>
                <w:sz w:val="21"/>
              </w:rPr>
              <w:t>9.4）</w:t>
            </w:r>
            <w:r>
              <w:rPr>
                <w:spacing w:val="-3"/>
                <w:sz w:val="21"/>
              </w:rPr>
              <w:t>事故发生上述任何一种情形的，无等待期。</w:t>
            </w:r>
          </w:p>
          <w:p>
            <w:pPr>
              <w:pStyle w:val="TableParagraph"/>
              <w:spacing w:before="14"/>
              <w:ind w:left="114"/>
              <w:rPr>
                <w:sz w:val="21"/>
              </w:rPr>
            </w:pPr>
            <w:r>
              <w:rPr>
                <w:sz w:val="21"/>
              </w:rPr>
              <w:t>如果在等待期后发生重大疾病或身故，我们按照下列方式给付保险金：</w:t>
            </w:r>
          </w:p>
        </w:tc>
      </w:tr>
      <w:tr>
        <w:trPr>
          <w:trHeight w:val="3659" w:hRule="atLeast"/>
        </w:trPr>
        <w:tc>
          <w:tcPr>
            <w:tcW w:w="781" w:type="dxa"/>
          </w:tcPr>
          <w:p>
            <w:pPr>
              <w:pStyle w:val="TableParagraph"/>
              <w:ind w:left="0"/>
              <w:rPr>
                <w:rFonts w:ascii="Times New Roman"/>
                <w:sz w:val="20"/>
              </w:rPr>
            </w:pPr>
          </w:p>
        </w:tc>
        <w:tc>
          <w:tcPr>
            <w:tcW w:w="1856" w:type="dxa"/>
          </w:tcPr>
          <w:p>
            <w:pPr>
              <w:pStyle w:val="TableParagraph"/>
              <w:spacing w:before="99"/>
              <w:ind w:left="264"/>
              <w:rPr>
                <w:rFonts w:ascii="楷体" w:eastAsia="楷体" w:hint="eastAsia"/>
                <w:b/>
                <w:sz w:val="21"/>
              </w:rPr>
            </w:pPr>
            <w:r>
              <w:rPr>
                <w:rFonts w:ascii="楷体" w:eastAsia="楷体" w:hint="eastAsia"/>
                <w:b/>
                <w:sz w:val="21"/>
              </w:rPr>
              <w:t>重大疾病保险金</w:t>
            </w:r>
          </w:p>
        </w:tc>
        <w:tc>
          <w:tcPr>
            <w:tcW w:w="7813" w:type="dxa"/>
          </w:tcPr>
          <w:p>
            <w:pPr>
              <w:pStyle w:val="TableParagraph"/>
              <w:spacing w:line="264" w:lineRule="auto" w:before="99"/>
              <w:ind w:left="114" w:right="305"/>
              <w:jc w:val="both"/>
              <w:rPr>
                <w:sz w:val="21"/>
              </w:rPr>
            </w:pPr>
            <w:r>
              <w:rPr>
                <w:spacing w:val="-3"/>
                <w:sz w:val="21"/>
              </w:rPr>
              <w:t>本主险合同有效期内，在被保险人年满十八周岁（不含十八周岁当日）</w:t>
            </w:r>
            <w:r>
              <w:rPr>
                <w:spacing w:val="-2"/>
                <w:sz w:val="21"/>
              </w:rPr>
              <w:t>前，经专科医生</w:t>
            </w:r>
            <w:r>
              <w:rPr>
                <w:spacing w:val="-3"/>
                <w:sz w:val="21"/>
              </w:rPr>
              <w:t>（</w:t>
            </w:r>
            <w:r>
              <w:rPr>
                <w:spacing w:val="-24"/>
                <w:sz w:val="21"/>
              </w:rPr>
              <w:t>见 </w:t>
            </w:r>
            <w:r>
              <w:rPr>
                <w:sz w:val="21"/>
              </w:rPr>
              <w:t>9.5）</w:t>
            </w:r>
            <w:r>
              <w:rPr>
                <w:spacing w:val="-3"/>
                <w:sz w:val="21"/>
              </w:rPr>
              <w:t>明确诊断初次罹患本主险合同约定的一种或多种重大疾病（</w:t>
            </w:r>
            <w:r>
              <w:rPr>
                <w:b/>
                <w:i/>
                <w:sz w:val="22"/>
              </w:rPr>
              <w:t>在</w:t>
            </w:r>
            <w:r>
              <w:rPr>
                <w:b/>
                <w:i/>
                <w:spacing w:val="-3"/>
                <w:w w:val="95"/>
                <w:sz w:val="22"/>
              </w:rPr>
              <w:t>本主险合同生效日之前已患的有关疾病或症状除外</w:t>
            </w:r>
            <w:r>
              <w:rPr>
                <w:spacing w:val="-100"/>
                <w:w w:val="95"/>
                <w:sz w:val="21"/>
              </w:rPr>
              <w:t>）</w:t>
            </w:r>
            <w:r>
              <w:rPr>
                <w:spacing w:val="-9"/>
                <w:w w:val="95"/>
                <w:sz w:val="21"/>
              </w:rPr>
              <w:t>，且自确诊之日起第 </w:t>
            </w:r>
            <w:r>
              <w:rPr>
                <w:w w:val="95"/>
                <w:sz w:val="21"/>
              </w:rPr>
              <w:t>15</w:t>
            </w:r>
            <w:r>
              <w:rPr>
                <w:spacing w:val="-31"/>
                <w:w w:val="95"/>
                <w:sz w:val="21"/>
              </w:rPr>
              <w:t> 日</w:t>
            </w:r>
            <w:r>
              <w:rPr>
                <w:spacing w:val="-3"/>
                <w:w w:val="95"/>
                <w:sz w:val="21"/>
              </w:rPr>
              <w:t>（</w:t>
            </w:r>
            <w:r>
              <w:rPr>
                <w:w w:val="95"/>
                <w:sz w:val="21"/>
              </w:rPr>
              <w:t>自</w:t>
            </w:r>
            <w:r>
              <w:rPr>
                <w:spacing w:val="-1"/>
                <w:sz w:val="21"/>
              </w:rPr>
              <w:t>然日</w:t>
            </w:r>
            <w:r>
              <w:rPr>
                <w:sz w:val="21"/>
              </w:rPr>
              <w:t>）</w:t>
            </w:r>
            <w:r>
              <w:rPr>
                <w:spacing w:val="-3"/>
                <w:sz w:val="21"/>
              </w:rPr>
              <w:t>仍生存，我们按保险单载明的基本保险金额向重大疾病保险金受益人给付</w:t>
            </w:r>
          </w:p>
          <w:p>
            <w:pPr>
              <w:pStyle w:val="TableParagraph"/>
              <w:spacing w:before="15"/>
              <w:ind w:left="114"/>
              <w:rPr>
                <w:sz w:val="21"/>
              </w:rPr>
            </w:pPr>
            <w:r>
              <w:rPr>
                <w:sz w:val="21"/>
              </w:rPr>
              <w:t>“重大疾病保险金”，本主险合同终止。</w:t>
            </w:r>
          </w:p>
          <w:p>
            <w:pPr>
              <w:pStyle w:val="TableParagraph"/>
              <w:spacing w:line="264" w:lineRule="auto" w:before="36"/>
              <w:ind w:left="114" w:right="329"/>
              <w:jc w:val="both"/>
              <w:rPr>
                <w:sz w:val="21"/>
              </w:rPr>
            </w:pPr>
            <w:r>
              <w:rPr>
                <w:spacing w:val="-3"/>
                <w:sz w:val="21"/>
              </w:rPr>
              <w:t>本主险合同有效期内，在被保险人年满十八周岁后</w:t>
            </w:r>
            <w:r>
              <w:rPr>
                <w:sz w:val="21"/>
              </w:rPr>
              <w:t>（</w:t>
            </w:r>
            <w:r>
              <w:rPr>
                <w:spacing w:val="-3"/>
                <w:sz w:val="21"/>
              </w:rPr>
              <w:t>含十八周岁当日</w:t>
            </w:r>
            <w:r>
              <w:rPr>
                <w:sz w:val="21"/>
              </w:rPr>
              <w:t>）</w:t>
            </w:r>
            <w:r>
              <w:rPr>
                <w:spacing w:val="-2"/>
                <w:sz w:val="21"/>
              </w:rPr>
              <w:t>，经专科</w:t>
            </w:r>
            <w:r>
              <w:rPr>
                <w:spacing w:val="-3"/>
                <w:w w:val="95"/>
                <w:sz w:val="21"/>
              </w:rPr>
              <w:t>医生明确诊断初次罹患本主险合同约定的一种或多种重大疾病（</w:t>
            </w:r>
            <w:r>
              <w:rPr>
                <w:b/>
                <w:i/>
                <w:spacing w:val="-1"/>
                <w:w w:val="95"/>
                <w:sz w:val="22"/>
              </w:rPr>
              <w:t>在本主险合同生  </w:t>
            </w:r>
            <w:r>
              <w:rPr>
                <w:b/>
                <w:i/>
                <w:spacing w:val="-3"/>
                <w:w w:val="95"/>
                <w:sz w:val="22"/>
              </w:rPr>
              <w:t>效日之前已患的有关疾病或症状除外</w:t>
            </w:r>
            <w:r>
              <w:rPr>
                <w:w w:val="95"/>
                <w:sz w:val="21"/>
              </w:rPr>
              <w:t>）</w:t>
            </w:r>
            <w:r>
              <w:rPr>
                <w:spacing w:val="-3"/>
                <w:w w:val="95"/>
                <w:sz w:val="21"/>
              </w:rPr>
              <w:t>，我们按保险单载明的基本保险金额向重 </w:t>
            </w:r>
            <w:r>
              <w:rPr>
                <w:spacing w:val="-3"/>
                <w:sz w:val="21"/>
              </w:rPr>
              <w:t>大疾病保险金受益人给付“重大疾病保险金”，本主险合同终止。</w:t>
            </w:r>
          </w:p>
          <w:p>
            <w:pPr>
              <w:pStyle w:val="TableParagraph"/>
              <w:spacing w:line="273" w:lineRule="auto" w:before="15"/>
              <w:ind w:left="114" w:right="338"/>
              <w:jc w:val="both"/>
              <w:rPr>
                <w:sz w:val="21"/>
              </w:rPr>
            </w:pPr>
            <w:r>
              <w:rPr>
                <w:sz w:val="21"/>
              </w:rPr>
              <w:t>保险期间内，被保险人经专科医生确诊初次罹患符合本主险合同约定的多种重大疾病的，仅以一次赔付为限，且最高给付金额为本主险合同的基本保险金额。</w:t>
            </w:r>
          </w:p>
        </w:tc>
      </w:tr>
      <w:tr>
        <w:trPr>
          <w:trHeight w:val="2099" w:hRule="atLeast"/>
        </w:trPr>
        <w:tc>
          <w:tcPr>
            <w:tcW w:w="781" w:type="dxa"/>
          </w:tcPr>
          <w:p>
            <w:pPr>
              <w:pStyle w:val="TableParagraph"/>
              <w:ind w:left="0"/>
              <w:rPr>
                <w:rFonts w:ascii="Times New Roman"/>
                <w:sz w:val="20"/>
              </w:rPr>
            </w:pPr>
          </w:p>
        </w:tc>
        <w:tc>
          <w:tcPr>
            <w:tcW w:w="1856" w:type="dxa"/>
          </w:tcPr>
          <w:p>
            <w:pPr>
              <w:pStyle w:val="TableParagraph"/>
              <w:spacing w:before="100"/>
              <w:ind w:left="264"/>
              <w:rPr>
                <w:rFonts w:ascii="楷体" w:eastAsia="楷体" w:hint="eastAsia"/>
                <w:b/>
                <w:sz w:val="21"/>
              </w:rPr>
            </w:pPr>
            <w:r>
              <w:rPr>
                <w:rFonts w:ascii="楷体" w:eastAsia="楷体" w:hint="eastAsia"/>
                <w:b/>
                <w:sz w:val="21"/>
              </w:rPr>
              <w:t>身故保险金</w:t>
            </w:r>
          </w:p>
        </w:tc>
        <w:tc>
          <w:tcPr>
            <w:tcW w:w="7813" w:type="dxa"/>
          </w:tcPr>
          <w:p>
            <w:pPr>
              <w:pStyle w:val="TableParagraph"/>
              <w:spacing w:line="273" w:lineRule="auto" w:before="100"/>
              <w:ind w:left="114" w:right="233"/>
              <w:rPr>
                <w:sz w:val="21"/>
              </w:rPr>
            </w:pPr>
            <w:r>
              <w:rPr>
                <w:spacing w:val="-3"/>
                <w:sz w:val="21"/>
              </w:rPr>
              <w:t>本主险合同有效期内，在被保险人年满十八周岁（不含十八周岁当日）</w:t>
            </w:r>
            <w:r>
              <w:rPr>
                <w:spacing w:val="-2"/>
                <w:sz w:val="21"/>
              </w:rPr>
              <w:t>前身故， </w:t>
            </w:r>
            <w:r>
              <w:rPr>
                <w:spacing w:val="-3"/>
                <w:w w:val="100"/>
                <w:sz w:val="21"/>
              </w:rPr>
              <w:t>我们按您累计已交纳的保险费（</w:t>
            </w:r>
            <w:r>
              <w:rPr>
                <w:spacing w:val="-2"/>
                <w:w w:val="100"/>
                <w:sz w:val="21"/>
              </w:rPr>
              <w:t>无息</w:t>
            </w:r>
            <w:r>
              <w:rPr>
                <w:w w:val="100"/>
                <w:sz w:val="21"/>
              </w:rPr>
              <w:t>）</w:t>
            </w:r>
            <w:r>
              <w:rPr>
                <w:spacing w:val="-9"/>
                <w:w w:val="100"/>
                <w:sz w:val="21"/>
              </w:rPr>
              <w:t>向身故保险金受益人给付“身故保险金”，</w:t>
            </w:r>
            <w:r>
              <w:rPr>
                <w:spacing w:val="-5"/>
                <w:sz w:val="21"/>
              </w:rPr>
              <w:t>本主险合同终止。</w:t>
            </w:r>
          </w:p>
          <w:p>
            <w:pPr>
              <w:pStyle w:val="TableParagraph"/>
              <w:spacing w:line="273" w:lineRule="auto" w:before="7"/>
              <w:ind w:left="114" w:right="197"/>
              <w:rPr>
                <w:sz w:val="21"/>
              </w:rPr>
            </w:pPr>
            <w:r>
              <w:rPr>
                <w:spacing w:val="-6"/>
                <w:sz w:val="21"/>
              </w:rPr>
              <w:t>在本主险合同有效期内，在被保险人年满十八周岁</w:t>
            </w:r>
            <w:r>
              <w:rPr>
                <w:sz w:val="21"/>
              </w:rPr>
              <w:t>（</w:t>
            </w:r>
            <w:r>
              <w:rPr>
                <w:spacing w:val="-3"/>
                <w:sz w:val="21"/>
              </w:rPr>
              <w:t>含十八周岁当日</w:t>
            </w:r>
            <w:r>
              <w:rPr>
                <w:spacing w:val="-22"/>
                <w:sz w:val="21"/>
              </w:rPr>
              <w:t>）</w:t>
            </w:r>
            <w:r>
              <w:rPr>
                <w:spacing w:val="-2"/>
                <w:sz w:val="21"/>
              </w:rPr>
              <w:t>后身故的， </w:t>
            </w:r>
            <w:r>
              <w:rPr>
                <w:spacing w:val="-9"/>
                <w:sz w:val="21"/>
              </w:rPr>
              <w:t>我们按保险单载明的基本保险金额向身故保险金受益人给付“身故保险金”，本主</w:t>
            </w:r>
            <w:r>
              <w:rPr>
                <w:spacing w:val="-5"/>
                <w:sz w:val="21"/>
              </w:rPr>
              <w:t>险合同终止。</w:t>
            </w:r>
          </w:p>
        </w:tc>
      </w:tr>
      <w:tr>
        <w:trPr>
          <w:trHeight w:val="5367" w:hRule="atLeast"/>
        </w:trPr>
        <w:tc>
          <w:tcPr>
            <w:tcW w:w="781" w:type="dxa"/>
          </w:tcPr>
          <w:p>
            <w:pPr>
              <w:pStyle w:val="TableParagraph"/>
              <w:spacing w:before="99"/>
              <w:ind w:left="180" w:right="241"/>
              <w:jc w:val="center"/>
              <w:rPr>
                <w:b/>
                <w:sz w:val="21"/>
              </w:rPr>
            </w:pPr>
            <w:r>
              <w:rPr>
                <w:b/>
                <w:sz w:val="21"/>
              </w:rPr>
              <w:t>2.4</w:t>
            </w:r>
          </w:p>
        </w:tc>
        <w:tc>
          <w:tcPr>
            <w:tcW w:w="1856" w:type="dxa"/>
          </w:tcPr>
          <w:p>
            <w:pPr>
              <w:pStyle w:val="TableParagraph"/>
              <w:spacing w:before="99"/>
              <w:ind w:left="264"/>
              <w:rPr>
                <w:rFonts w:ascii="黑体" w:eastAsia="黑体" w:hint="eastAsia"/>
                <w:b/>
                <w:sz w:val="21"/>
              </w:rPr>
            </w:pPr>
            <w:r>
              <w:rPr>
                <w:rFonts w:ascii="黑体" w:eastAsia="黑体" w:hint="eastAsia"/>
                <w:b/>
                <w:sz w:val="21"/>
              </w:rPr>
              <w:t>责任免除</w:t>
            </w:r>
          </w:p>
        </w:tc>
        <w:tc>
          <w:tcPr>
            <w:tcW w:w="7813" w:type="dxa"/>
          </w:tcPr>
          <w:p>
            <w:pPr>
              <w:pStyle w:val="TableParagraph"/>
              <w:spacing w:line="273" w:lineRule="auto" w:before="99"/>
              <w:ind w:left="114" w:right="303"/>
              <w:rPr>
                <w:rFonts w:ascii="黑体" w:eastAsia="黑体" w:hint="eastAsia"/>
                <w:b/>
                <w:sz w:val="21"/>
              </w:rPr>
            </w:pPr>
            <w:r>
              <w:rPr>
                <w:rFonts w:ascii="黑体" w:eastAsia="黑体" w:hint="eastAsia"/>
                <w:b/>
                <w:sz w:val="21"/>
              </w:rPr>
              <w:t>因下列情形之一，导致被保险人身故，或者导致被保险人发Th本主险合同约定的重大疾病的，我们不承担给付保险金的责任。</w:t>
            </w:r>
          </w:p>
          <w:p>
            <w:pPr>
              <w:pStyle w:val="TableParagraph"/>
              <w:numPr>
                <w:ilvl w:val="0"/>
                <w:numId w:val="2"/>
              </w:numPr>
              <w:tabs>
                <w:tab w:pos="536" w:val="left" w:leader="none"/>
              </w:tabs>
              <w:spacing w:line="240" w:lineRule="auto" w:before="7" w:after="0"/>
              <w:ind w:left="535" w:right="0" w:hanging="421"/>
              <w:jc w:val="left"/>
              <w:rPr>
                <w:rFonts w:ascii="黑体" w:eastAsia="黑体" w:hint="eastAsia"/>
                <w:b/>
                <w:sz w:val="21"/>
              </w:rPr>
            </w:pPr>
            <w:r>
              <w:rPr>
                <w:rFonts w:ascii="黑体" w:eastAsia="黑体" w:hint="eastAsia"/>
                <w:b/>
                <w:spacing w:val="-2"/>
                <w:sz w:val="21"/>
              </w:rPr>
              <w:t>投保人对被保险人的故意杀害、故意伤害；</w:t>
            </w:r>
          </w:p>
          <w:p>
            <w:pPr>
              <w:pStyle w:val="TableParagraph"/>
              <w:numPr>
                <w:ilvl w:val="0"/>
                <w:numId w:val="2"/>
              </w:numPr>
              <w:tabs>
                <w:tab w:pos="536" w:val="left" w:leader="none"/>
              </w:tabs>
              <w:spacing w:line="240" w:lineRule="auto" w:before="37" w:after="0"/>
              <w:ind w:left="535" w:right="0" w:hanging="421"/>
              <w:jc w:val="left"/>
              <w:rPr>
                <w:rFonts w:ascii="黑体" w:eastAsia="黑体" w:hint="eastAsia"/>
                <w:b/>
                <w:sz w:val="21"/>
              </w:rPr>
            </w:pPr>
            <w:r>
              <w:rPr>
                <w:rFonts w:ascii="黑体" w:eastAsia="黑体" w:hint="eastAsia"/>
                <w:b/>
                <w:spacing w:val="-3"/>
                <w:sz w:val="21"/>
              </w:rPr>
              <w:t>被保险人故意自伤、故意犯罪或抗拒依法采取的刑事强制措施；</w:t>
            </w:r>
          </w:p>
          <w:p>
            <w:pPr>
              <w:pStyle w:val="TableParagraph"/>
              <w:numPr>
                <w:ilvl w:val="0"/>
                <w:numId w:val="2"/>
              </w:numPr>
              <w:tabs>
                <w:tab w:pos="536" w:val="left" w:leader="none"/>
              </w:tabs>
              <w:spacing w:line="273" w:lineRule="auto" w:before="37" w:after="0"/>
              <w:ind w:left="535" w:right="305" w:hanging="421"/>
              <w:jc w:val="left"/>
              <w:rPr>
                <w:rFonts w:ascii="黑体" w:eastAsia="黑体" w:hint="eastAsia"/>
                <w:b/>
                <w:sz w:val="21"/>
              </w:rPr>
            </w:pPr>
            <w:r>
              <w:rPr>
                <w:rFonts w:ascii="黑体" w:eastAsia="黑体" w:hint="eastAsia"/>
                <w:b/>
                <w:spacing w:val="-5"/>
                <w:sz w:val="21"/>
              </w:rPr>
              <w:t>被保险人自本主险合同成立或者本主险合同效力恢复之日起 </w:t>
            </w:r>
            <w:r>
              <w:rPr>
                <w:rFonts w:ascii="黑体" w:eastAsia="黑体" w:hint="eastAsia"/>
                <w:b/>
                <w:sz w:val="21"/>
              </w:rPr>
              <w:t>2</w:t>
            </w:r>
            <w:r>
              <w:rPr>
                <w:rFonts w:ascii="黑体" w:eastAsia="黑体" w:hint="eastAsia"/>
                <w:b/>
                <w:spacing w:val="-8"/>
                <w:sz w:val="21"/>
              </w:rPr>
              <w:t> 年内自杀，但被保险人自杀时为无民事行为能力人的除外；</w:t>
            </w:r>
          </w:p>
          <w:p>
            <w:pPr>
              <w:pStyle w:val="TableParagraph"/>
              <w:numPr>
                <w:ilvl w:val="0"/>
                <w:numId w:val="2"/>
              </w:numPr>
              <w:tabs>
                <w:tab w:pos="536" w:val="left" w:leader="none"/>
              </w:tabs>
              <w:spacing w:line="240" w:lineRule="auto" w:before="7" w:after="0"/>
              <w:ind w:left="535" w:right="0" w:hanging="421"/>
              <w:jc w:val="left"/>
              <w:rPr>
                <w:rFonts w:ascii="黑体" w:eastAsia="黑体" w:hint="eastAsia"/>
                <w:b/>
                <w:sz w:val="21"/>
              </w:rPr>
            </w:pPr>
            <w:r>
              <w:rPr>
                <w:rFonts w:ascii="黑体" w:eastAsia="黑体" w:hint="eastAsia"/>
                <w:b/>
                <w:spacing w:val="-2"/>
                <w:sz w:val="21"/>
              </w:rPr>
              <w:t>被保险人服用、吸食或注射毒品</w:t>
            </w:r>
            <w:r>
              <w:rPr>
                <w:rFonts w:ascii="黑体" w:eastAsia="黑体" w:hint="eastAsia"/>
                <w:b/>
                <w:sz w:val="21"/>
              </w:rPr>
              <w:t>（</w:t>
            </w:r>
            <w:r>
              <w:rPr>
                <w:rFonts w:ascii="黑体" w:eastAsia="黑体" w:hint="eastAsia"/>
                <w:b/>
                <w:spacing w:val="-24"/>
                <w:sz w:val="21"/>
              </w:rPr>
              <w:t>见 </w:t>
            </w:r>
            <w:r>
              <w:rPr>
                <w:rFonts w:ascii="黑体" w:eastAsia="黑体" w:hint="eastAsia"/>
                <w:b/>
                <w:sz w:val="21"/>
              </w:rPr>
              <w:t>9.6）；</w:t>
            </w:r>
          </w:p>
          <w:p>
            <w:pPr>
              <w:pStyle w:val="TableParagraph"/>
              <w:numPr>
                <w:ilvl w:val="0"/>
                <w:numId w:val="2"/>
              </w:numPr>
              <w:tabs>
                <w:tab w:pos="536" w:val="left" w:leader="none"/>
              </w:tabs>
              <w:spacing w:line="240" w:lineRule="auto" w:before="36" w:after="0"/>
              <w:ind w:left="535" w:right="0" w:hanging="421"/>
              <w:jc w:val="left"/>
              <w:rPr>
                <w:rFonts w:ascii="黑体" w:eastAsia="黑体" w:hint="eastAsia"/>
                <w:b/>
                <w:sz w:val="21"/>
              </w:rPr>
            </w:pPr>
            <w:r>
              <w:rPr>
                <w:rFonts w:ascii="黑体" w:eastAsia="黑体" w:hint="eastAsia"/>
                <w:b/>
                <w:spacing w:val="-3"/>
                <w:sz w:val="21"/>
              </w:rPr>
              <w:t>被保险人酒后驾驶</w:t>
            </w:r>
            <w:r>
              <w:rPr>
                <w:rFonts w:ascii="黑体" w:eastAsia="黑体" w:hint="eastAsia"/>
                <w:b/>
                <w:sz w:val="21"/>
              </w:rPr>
              <w:t>（</w:t>
            </w:r>
            <w:r>
              <w:rPr>
                <w:rFonts w:ascii="黑体" w:eastAsia="黑体" w:hint="eastAsia"/>
                <w:b/>
                <w:spacing w:val="-23"/>
                <w:sz w:val="21"/>
              </w:rPr>
              <w:t>见 </w:t>
            </w:r>
            <w:r>
              <w:rPr>
                <w:rFonts w:ascii="黑体" w:eastAsia="黑体" w:hint="eastAsia"/>
                <w:b/>
                <w:spacing w:val="-8"/>
                <w:sz w:val="21"/>
              </w:rPr>
              <w:t>9.7）</w:t>
            </w:r>
            <w:r>
              <w:rPr>
                <w:rFonts w:ascii="黑体" w:eastAsia="黑体" w:hint="eastAsia"/>
                <w:b/>
                <w:spacing w:val="-5"/>
                <w:sz w:val="21"/>
              </w:rPr>
              <w:t>，无合法有效驾驶证驾驶</w:t>
            </w:r>
            <w:r>
              <w:rPr>
                <w:rFonts w:ascii="黑体" w:eastAsia="黑体" w:hint="eastAsia"/>
                <w:b/>
                <w:sz w:val="21"/>
              </w:rPr>
              <w:t>（</w:t>
            </w:r>
            <w:r>
              <w:rPr>
                <w:rFonts w:ascii="黑体" w:eastAsia="黑体" w:hint="eastAsia"/>
                <w:b/>
                <w:spacing w:val="-23"/>
                <w:sz w:val="21"/>
              </w:rPr>
              <w:t>见 </w:t>
            </w:r>
            <w:r>
              <w:rPr>
                <w:rFonts w:ascii="黑体" w:eastAsia="黑体" w:hint="eastAsia"/>
                <w:b/>
                <w:spacing w:val="-5"/>
                <w:sz w:val="21"/>
              </w:rPr>
              <w:t>9.8）</w:t>
            </w:r>
            <w:r>
              <w:rPr>
                <w:rFonts w:ascii="黑体" w:eastAsia="黑体" w:hint="eastAsia"/>
                <w:b/>
                <w:spacing w:val="-6"/>
                <w:sz w:val="21"/>
              </w:rPr>
              <w:t>机动车</w:t>
            </w:r>
            <w:r>
              <w:rPr>
                <w:rFonts w:ascii="黑体" w:eastAsia="黑体" w:hint="eastAsia"/>
                <w:b/>
                <w:sz w:val="21"/>
              </w:rPr>
              <w:t>（见</w:t>
            </w:r>
          </w:p>
          <w:p>
            <w:pPr>
              <w:pStyle w:val="TableParagraph"/>
              <w:spacing w:before="36"/>
              <w:ind w:left="535"/>
              <w:rPr>
                <w:rFonts w:ascii="黑体" w:eastAsia="黑体" w:hint="eastAsia"/>
                <w:b/>
                <w:sz w:val="21"/>
              </w:rPr>
            </w:pPr>
            <w:r>
              <w:rPr>
                <w:rFonts w:ascii="黑体" w:eastAsia="黑体" w:hint="eastAsia"/>
                <w:b/>
                <w:sz w:val="21"/>
              </w:rPr>
              <w:t>9.9），或驾驶无有效行驶证（见 9.10）的机动车；</w:t>
            </w:r>
          </w:p>
          <w:p>
            <w:pPr>
              <w:pStyle w:val="TableParagraph"/>
              <w:numPr>
                <w:ilvl w:val="0"/>
                <w:numId w:val="3"/>
              </w:numPr>
              <w:tabs>
                <w:tab w:pos="536" w:val="left" w:leader="none"/>
              </w:tabs>
              <w:spacing w:line="240" w:lineRule="auto" w:before="36" w:after="0"/>
              <w:ind w:left="535" w:right="0" w:hanging="421"/>
              <w:jc w:val="left"/>
              <w:rPr>
                <w:rFonts w:ascii="黑体" w:eastAsia="黑体" w:hint="eastAsia"/>
                <w:b/>
                <w:sz w:val="21"/>
              </w:rPr>
            </w:pPr>
            <w:r>
              <w:rPr>
                <w:rFonts w:ascii="黑体" w:eastAsia="黑体" w:hint="eastAsia"/>
                <w:b/>
                <w:spacing w:val="-2"/>
                <w:sz w:val="21"/>
              </w:rPr>
              <w:t>战争、军事冲突、暴乱或武装叛乱；</w:t>
            </w:r>
          </w:p>
          <w:p>
            <w:pPr>
              <w:pStyle w:val="TableParagraph"/>
              <w:numPr>
                <w:ilvl w:val="0"/>
                <w:numId w:val="3"/>
              </w:numPr>
              <w:tabs>
                <w:tab w:pos="536" w:val="left" w:leader="none"/>
              </w:tabs>
              <w:spacing w:line="240" w:lineRule="auto" w:before="36" w:after="0"/>
              <w:ind w:left="535" w:right="0" w:hanging="421"/>
              <w:jc w:val="left"/>
              <w:rPr>
                <w:rFonts w:ascii="黑体" w:eastAsia="黑体" w:hint="eastAsia"/>
                <w:b/>
                <w:sz w:val="21"/>
              </w:rPr>
            </w:pPr>
            <w:r>
              <w:rPr>
                <w:rFonts w:ascii="黑体" w:eastAsia="黑体" w:hint="eastAsia"/>
                <w:b/>
                <w:spacing w:val="-2"/>
                <w:sz w:val="21"/>
              </w:rPr>
              <w:t>核爆炸、核辐射或核污染；</w:t>
            </w:r>
          </w:p>
          <w:p>
            <w:pPr>
              <w:pStyle w:val="TableParagraph"/>
              <w:numPr>
                <w:ilvl w:val="0"/>
                <w:numId w:val="3"/>
              </w:numPr>
              <w:tabs>
                <w:tab w:pos="536" w:val="left" w:leader="none"/>
              </w:tabs>
              <w:spacing w:line="240" w:lineRule="auto" w:before="36" w:after="0"/>
              <w:ind w:left="535" w:right="0" w:hanging="421"/>
              <w:jc w:val="left"/>
              <w:rPr>
                <w:rFonts w:ascii="黑体" w:eastAsia="黑体" w:hint="eastAsia"/>
                <w:b/>
                <w:sz w:val="21"/>
              </w:rPr>
            </w:pPr>
            <w:r>
              <w:rPr>
                <w:rFonts w:ascii="黑体" w:eastAsia="黑体" w:hint="eastAsia"/>
                <w:b/>
                <w:sz w:val="21"/>
              </w:rPr>
              <w:t>遗传性疾病（</w:t>
            </w:r>
            <w:r>
              <w:rPr>
                <w:rFonts w:ascii="黑体" w:eastAsia="黑体" w:hint="eastAsia"/>
                <w:b/>
                <w:spacing w:val="-26"/>
                <w:sz w:val="21"/>
              </w:rPr>
              <w:t>见 </w:t>
            </w:r>
            <w:r>
              <w:rPr>
                <w:rFonts w:ascii="黑体" w:eastAsia="黑体" w:hint="eastAsia"/>
                <w:b/>
                <w:sz w:val="21"/>
              </w:rPr>
              <w:t>9.11）</w:t>
            </w:r>
            <w:r>
              <w:rPr>
                <w:rFonts w:ascii="黑体" w:eastAsia="黑体" w:hint="eastAsia"/>
                <w:b/>
                <w:spacing w:val="-2"/>
                <w:sz w:val="21"/>
              </w:rPr>
              <w:t>，先天性畸形、变形或染色体异常</w:t>
            </w:r>
            <w:r>
              <w:rPr>
                <w:rFonts w:ascii="黑体" w:eastAsia="黑体" w:hint="eastAsia"/>
                <w:b/>
                <w:sz w:val="21"/>
              </w:rPr>
              <w:t>（</w:t>
            </w:r>
            <w:r>
              <w:rPr>
                <w:rFonts w:ascii="黑体" w:eastAsia="黑体" w:hint="eastAsia"/>
                <w:b/>
                <w:spacing w:val="-26"/>
                <w:sz w:val="21"/>
              </w:rPr>
              <w:t>见 </w:t>
            </w:r>
            <w:r>
              <w:rPr>
                <w:rFonts w:ascii="黑体" w:eastAsia="黑体" w:hint="eastAsia"/>
                <w:b/>
                <w:sz w:val="21"/>
              </w:rPr>
              <w:t>9.12）。</w:t>
            </w:r>
          </w:p>
          <w:p>
            <w:pPr>
              <w:pStyle w:val="TableParagraph"/>
              <w:spacing w:before="8"/>
              <w:ind w:left="0"/>
              <w:rPr>
                <w:sz w:val="26"/>
              </w:rPr>
            </w:pPr>
          </w:p>
          <w:p>
            <w:pPr>
              <w:pStyle w:val="TableParagraph"/>
              <w:spacing w:line="273" w:lineRule="auto"/>
              <w:ind w:left="114" w:right="200"/>
              <w:rPr>
                <w:rFonts w:ascii="黑体" w:eastAsia="黑体" w:hint="eastAsia"/>
                <w:b/>
                <w:sz w:val="21"/>
              </w:rPr>
            </w:pPr>
            <w:r>
              <w:rPr>
                <w:rFonts w:ascii="黑体" w:eastAsia="黑体" w:hint="eastAsia"/>
                <w:b/>
                <w:w w:val="100"/>
                <w:sz w:val="21"/>
              </w:rPr>
              <w:t>发Th上述</w:t>
            </w:r>
            <w:r>
              <w:rPr>
                <w:rFonts w:ascii="黑体" w:eastAsia="黑体" w:hint="eastAsia"/>
                <w:b/>
                <w:spacing w:val="-101"/>
                <w:w w:val="100"/>
                <w:sz w:val="21"/>
              </w:rPr>
              <w:t>第</w:t>
            </w:r>
            <w:r>
              <w:rPr>
                <w:rFonts w:ascii="黑体" w:eastAsia="黑体" w:hint="eastAsia"/>
                <w:b/>
                <w:w w:val="100"/>
                <w:sz w:val="21"/>
              </w:rPr>
              <w:t>（</w:t>
            </w:r>
            <w:r>
              <w:rPr>
                <w:rFonts w:ascii="黑体" w:eastAsia="黑体" w:hint="eastAsia"/>
                <w:b/>
                <w:w w:val="99"/>
                <w:sz w:val="21"/>
              </w:rPr>
              <w:t>1</w:t>
            </w:r>
            <w:r>
              <w:rPr>
                <w:rFonts w:ascii="黑体" w:eastAsia="黑体" w:hint="eastAsia"/>
                <w:b/>
                <w:spacing w:val="-101"/>
                <w:w w:val="100"/>
                <w:sz w:val="21"/>
              </w:rPr>
              <w:t>）</w:t>
            </w:r>
            <w:r>
              <w:rPr>
                <w:rFonts w:ascii="黑体" w:eastAsia="黑体" w:hint="eastAsia"/>
                <w:b/>
                <w:spacing w:val="-3"/>
                <w:w w:val="100"/>
                <w:sz w:val="21"/>
              </w:rPr>
              <w:t>项情形导致被保险人身故或者罹患本主险合同约定的重大疾病的，</w:t>
            </w:r>
            <w:r>
              <w:rPr>
                <w:rFonts w:ascii="黑体" w:eastAsia="黑体" w:hint="eastAsia"/>
                <w:b/>
                <w:spacing w:val="-3"/>
                <w:sz w:val="21"/>
              </w:rPr>
              <w:t>本主险合同终止，您已交足两年以上保险费的，我们向其他权利人退还本主险合同的现金价值（</w:t>
            </w:r>
            <w:r>
              <w:rPr>
                <w:rFonts w:ascii="黑体" w:eastAsia="黑体" w:hint="eastAsia"/>
                <w:b/>
                <w:spacing w:val="-29"/>
                <w:sz w:val="21"/>
              </w:rPr>
              <w:t>见 </w:t>
            </w:r>
            <w:r>
              <w:rPr>
                <w:rFonts w:ascii="黑体" w:eastAsia="黑体" w:hint="eastAsia"/>
                <w:b/>
                <w:sz w:val="21"/>
              </w:rPr>
              <w:t>9.13）</w:t>
            </w:r>
            <w:r>
              <w:rPr>
                <w:rFonts w:ascii="黑体" w:eastAsia="黑体" w:hint="eastAsia"/>
                <w:b/>
                <w:spacing w:val="-3"/>
                <w:sz w:val="21"/>
              </w:rPr>
              <w:t>。</w:t>
            </w:r>
          </w:p>
          <w:p>
            <w:pPr>
              <w:pStyle w:val="TableParagraph"/>
              <w:spacing w:line="255" w:lineRule="exact" w:before="7"/>
              <w:ind w:left="114"/>
              <w:rPr>
                <w:rFonts w:ascii="黑体" w:eastAsia="黑体" w:hint="eastAsia"/>
                <w:b/>
                <w:sz w:val="21"/>
              </w:rPr>
            </w:pPr>
            <w:r>
              <w:rPr>
                <w:rFonts w:ascii="黑体" w:eastAsia="黑体" w:hint="eastAsia"/>
                <w:b/>
                <w:sz w:val="21"/>
              </w:rPr>
              <w:t>发Th上述其他情形导致被保险人身故或者罹患本主险合同约定的重大疾病的，本</w:t>
            </w:r>
          </w:p>
        </w:tc>
      </w:tr>
    </w:tbl>
    <w:p>
      <w:pPr>
        <w:spacing w:after="0" w:line="255" w:lineRule="exact"/>
        <w:rPr>
          <w:rFonts w:ascii="黑体" w:eastAsia="黑体" w:hint="eastAsia"/>
          <w:sz w:val="21"/>
        </w:rPr>
        <w:sectPr>
          <w:pgSz w:w="11910" w:h="16840"/>
          <w:pgMar w:header="0" w:footer="896" w:top="1500" w:bottom="1080" w:left="780" w:right="4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83"/>
        <w:gridCol w:w="7616"/>
      </w:tblGrid>
      <w:tr>
        <w:trPr>
          <w:trHeight w:val="332" w:hRule="atLeast"/>
        </w:trPr>
        <w:tc>
          <w:tcPr>
            <w:tcW w:w="765" w:type="dxa"/>
          </w:tcPr>
          <w:p>
            <w:pPr>
              <w:pStyle w:val="TableParagraph"/>
              <w:ind w:left="0"/>
              <w:rPr>
                <w:rFonts w:ascii="Times New Roman"/>
                <w:sz w:val="20"/>
              </w:rPr>
            </w:pPr>
          </w:p>
        </w:tc>
        <w:tc>
          <w:tcPr>
            <w:tcW w:w="1783" w:type="dxa"/>
          </w:tcPr>
          <w:p>
            <w:pPr>
              <w:pStyle w:val="TableParagraph"/>
              <w:ind w:left="0"/>
              <w:rPr>
                <w:rFonts w:ascii="Times New Roman"/>
                <w:sz w:val="20"/>
              </w:rPr>
            </w:pPr>
          </w:p>
        </w:tc>
        <w:tc>
          <w:tcPr>
            <w:tcW w:w="7616" w:type="dxa"/>
          </w:tcPr>
          <w:p>
            <w:pPr>
              <w:pStyle w:val="TableParagraph"/>
              <w:spacing w:line="211" w:lineRule="exact"/>
              <w:ind w:left="113"/>
              <w:rPr>
                <w:rFonts w:ascii="黑体" w:eastAsia="黑体" w:hint="eastAsia"/>
                <w:b/>
                <w:sz w:val="21"/>
              </w:rPr>
            </w:pPr>
            <w:r>
              <w:rPr>
                <w:rFonts w:ascii="黑体" w:eastAsia="黑体" w:hint="eastAsia"/>
                <w:b/>
                <w:sz w:val="21"/>
              </w:rPr>
              <w:t>主险合同终止，我们向您退还本主险合同的现金价值。</w:t>
            </w:r>
          </w:p>
        </w:tc>
      </w:tr>
      <w:tr>
        <w:trPr>
          <w:trHeight w:val="708" w:hRule="atLeast"/>
        </w:trPr>
        <w:tc>
          <w:tcPr>
            <w:tcW w:w="765" w:type="dxa"/>
            <w:tcBorders>
              <w:bottom w:val="single" w:sz="4" w:space="0" w:color="000000"/>
            </w:tcBorders>
          </w:tcPr>
          <w:p>
            <w:pPr>
              <w:pStyle w:val="TableParagraph"/>
              <w:spacing w:before="72"/>
              <w:ind w:left="110"/>
              <w:rPr>
                <w:rFonts w:ascii="Arial" w:hAnsi="Arial"/>
                <w:b/>
                <w:sz w:val="52"/>
              </w:rPr>
            </w:pPr>
            <w:r>
              <w:rPr>
                <w:rFonts w:ascii="Arial" w:hAnsi="Arial"/>
                <w:b/>
                <w:w w:val="119"/>
                <w:sz w:val="52"/>
              </w:rPr>
              <w:t></w:t>
            </w:r>
          </w:p>
        </w:tc>
        <w:tc>
          <w:tcPr>
            <w:tcW w:w="9399" w:type="dxa"/>
            <w:gridSpan w:val="2"/>
            <w:tcBorders>
              <w:bottom w:val="single" w:sz="4" w:space="0" w:color="000000"/>
            </w:tcBorders>
          </w:tcPr>
          <w:p>
            <w:pPr>
              <w:pStyle w:val="TableParagraph"/>
              <w:spacing w:before="170"/>
              <w:ind w:left="190"/>
              <w:rPr>
                <w:b/>
                <w:sz w:val="28"/>
              </w:rPr>
            </w:pPr>
            <w:r>
              <w:rPr>
                <w:b/>
                <w:w w:val="95"/>
                <w:sz w:val="28"/>
              </w:rPr>
              <w:t>如何申请领取保险金</w:t>
            </w:r>
          </w:p>
        </w:tc>
      </w:tr>
      <w:tr>
        <w:trPr>
          <w:trHeight w:val="5637" w:hRule="atLeast"/>
        </w:trPr>
        <w:tc>
          <w:tcPr>
            <w:tcW w:w="765" w:type="dxa"/>
            <w:tcBorders>
              <w:top w:val="single" w:sz="4" w:space="0" w:color="000000"/>
            </w:tcBorders>
          </w:tcPr>
          <w:p>
            <w:pPr>
              <w:pStyle w:val="TableParagraph"/>
              <w:spacing w:before="7"/>
              <w:ind w:left="0"/>
              <w:rPr>
                <w:sz w:val="15"/>
              </w:rPr>
            </w:pPr>
          </w:p>
          <w:p>
            <w:pPr>
              <w:pStyle w:val="TableParagraph"/>
              <w:ind w:left="110"/>
              <w:rPr>
                <w:b/>
                <w:sz w:val="21"/>
              </w:rPr>
            </w:pPr>
            <w:r>
              <w:rPr>
                <w:b/>
                <w:sz w:val="21"/>
              </w:rPr>
              <w:t>3.1</w:t>
            </w:r>
          </w:p>
        </w:tc>
        <w:tc>
          <w:tcPr>
            <w:tcW w:w="1783" w:type="dxa"/>
            <w:tcBorders>
              <w:top w:val="single" w:sz="4" w:space="0" w:color="000000"/>
            </w:tcBorders>
          </w:tcPr>
          <w:p>
            <w:pPr>
              <w:pStyle w:val="TableParagraph"/>
              <w:spacing w:before="7"/>
              <w:ind w:left="0"/>
              <w:rPr>
                <w:sz w:val="15"/>
              </w:rPr>
            </w:pPr>
          </w:p>
          <w:p>
            <w:pPr>
              <w:pStyle w:val="TableParagraph"/>
              <w:ind w:left="190"/>
              <w:rPr>
                <w:b/>
                <w:sz w:val="21"/>
              </w:rPr>
            </w:pPr>
            <w:r>
              <w:rPr>
                <w:b/>
                <w:sz w:val="21"/>
              </w:rPr>
              <w:t>受益人</w:t>
            </w:r>
          </w:p>
        </w:tc>
        <w:tc>
          <w:tcPr>
            <w:tcW w:w="7616" w:type="dxa"/>
            <w:tcBorders>
              <w:top w:val="single" w:sz="4" w:space="0" w:color="000000"/>
            </w:tcBorders>
          </w:tcPr>
          <w:p>
            <w:pPr>
              <w:pStyle w:val="TableParagraph"/>
              <w:spacing w:before="7"/>
              <w:ind w:left="0"/>
              <w:rPr>
                <w:sz w:val="15"/>
              </w:rPr>
            </w:pPr>
          </w:p>
          <w:p>
            <w:pPr>
              <w:pStyle w:val="TableParagraph"/>
              <w:spacing w:line="273" w:lineRule="auto"/>
              <w:ind w:left="113" w:right="109"/>
              <w:jc w:val="both"/>
              <w:rPr>
                <w:sz w:val="21"/>
              </w:rPr>
            </w:pPr>
            <w:r>
              <w:rPr>
                <w:sz w:val="21"/>
              </w:rPr>
              <w:t>您或者被保险人可以指定一人或多人为身故保险金的受益人。身故保险金受益人为多人时，可以确定受益顺序和受益份额；如果没有确定份额，各受益人按照相等份额享有受益权。</w:t>
            </w:r>
          </w:p>
          <w:p>
            <w:pPr>
              <w:pStyle w:val="TableParagraph"/>
              <w:spacing w:before="7"/>
              <w:ind w:left="113"/>
              <w:rPr>
                <w:sz w:val="21"/>
              </w:rPr>
            </w:pPr>
            <w:r>
              <w:rPr>
                <w:sz w:val="21"/>
              </w:rPr>
              <w:t>本主险合同重大疾病保险金受益人为被保险人本人。</w:t>
            </w:r>
          </w:p>
          <w:p>
            <w:pPr>
              <w:pStyle w:val="TableParagraph"/>
              <w:spacing w:line="273" w:lineRule="auto" w:before="36"/>
              <w:ind w:left="113"/>
              <w:rPr>
                <w:sz w:val="21"/>
              </w:rPr>
            </w:pPr>
            <w:r>
              <w:rPr>
                <w:spacing w:val="-10"/>
                <w:sz w:val="21"/>
              </w:rPr>
              <w:t>经被保险人同意，您或者被保险人在被保险人身故前可以变更身故保险金受益人， </w:t>
            </w:r>
            <w:r>
              <w:rPr>
                <w:spacing w:val="-5"/>
                <w:sz w:val="21"/>
              </w:rPr>
              <w:t>但是需要书面通知我们。我们收到变更身故保险金受益人的书面通知后，将及时</w:t>
            </w:r>
            <w:r>
              <w:rPr>
                <w:spacing w:val="-4"/>
                <w:sz w:val="21"/>
              </w:rPr>
              <w:t>在保险单上批注。被保险人为无民事行为能力人或者限制民事行为能力人的，可</w:t>
            </w:r>
            <w:r>
              <w:rPr>
                <w:spacing w:val="-3"/>
                <w:sz w:val="21"/>
              </w:rPr>
              <w:t>以由其监护人指定和变更保险金受益人。</w:t>
            </w:r>
          </w:p>
          <w:p>
            <w:pPr>
              <w:pStyle w:val="TableParagraph"/>
              <w:spacing w:line="273" w:lineRule="auto" w:before="7"/>
              <w:ind w:left="113" w:right="142"/>
              <w:rPr>
                <w:sz w:val="21"/>
              </w:rPr>
            </w:pPr>
            <w:r>
              <w:rPr>
                <w:sz w:val="21"/>
              </w:rPr>
              <w:t>被保险人身故后，遇有下列情形之一的，保险金作为被保险人的遗产，由我们依照《中华人民共和国继承法》的规定履行给付保险金的义务：</w:t>
            </w:r>
          </w:p>
          <w:p>
            <w:pPr>
              <w:pStyle w:val="TableParagraph"/>
              <w:numPr>
                <w:ilvl w:val="0"/>
                <w:numId w:val="4"/>
              </w:numPr>
              <w:tabs>
                <w:tab w:pos="746" w:val="left" w:leader="none"/>
              </w:tabs>
              <w:spacing w:line="240" w:lineRule="auto" w:before="7" w:after="0"/>
              <w:ind w:left="745" w:right="0" w:hanging="631"/>
              <w:jc w:val="left"/>
              <w:rPr>
                <w:sz w:val="21"/>
              </w:rPr>
            </w:pPr>
            <w:r>
              <w:rPr>
                <w:spacing w:val="-3"/>
                <w:sz w:val="21"/>
              </w:rPr>
              <w:t>没有指定受益人，或者受益人指定不明无法确定的；</w:t>
            </w:r>
          </w:p>
          <w:p>
            <w:pPr>
              <w:pStyle w:val="TableParagraph"/>
              <w:numPr>
                <w:ilvl w:val="0"/>
                <w:numId w:val="4"/>
              </w:numPr>
              <w:tabs>
                <w:tab w:pos="746" w:val="left" w:leader="none"/>
              </w:tabs>
              <w:spacing w:line="240" w:lineRule="auto" w:before="36" w:after="0"/>
              <w:ind w:left="745" w:right="0" w:hanging="631"/>
              <w:jc w:val="left"/>
              <w:rPr>
                <w:sz w:val="21"/>
              </w:rPr>
            </w:pPr>
            <w:r>
              <w:rPr>
                <w:spacing w:val="-3"/>
                <w:sz w:val="21"/>
              </w:rPr>
              <w:t>受益人先于被保险人身故，没有其他受益人的；</w:t>
            </w:r>
          </w:p>
          <w:p>
            <w:pPr>
              <w:pStyle w:val="TableParagraph"/>
              <w:numPr>
                <w:ilvl w:val="0"/>
                <w:numId w:val="4"/>
              </w:numPr>
              <w:tabs>
                <w:tab w:pos="746" w:val="left" w:leader="none"/>
              </w:tabs>
              <w:spacing w:line="240" w:lineRule="auto" w:before="36" w:after="0"/>
              <w:ind w:left="745" w:right="0" w:hanging="631"/>
              <w:jc w:val="left"/>
              <w:rPr>
                <w:sz w:val="21"/>
              </w:rPr>
            </w:pPr>
            <w:r>
              <w:rPr>
                <w:spacing w:val="-3"/>
                <w:sz w:val="21"/>
              </w:rPr>
              <w:t>受益人依法丧失受益权或者放弃受益权，没有其他受益人的。</w:t>
            </w:r>
          </w:p>
          <w:p>
            <w:pPr>
              <w:pStyle w:val="TableParagraph"/>
              <w:spacing w:line="273" w:lineRule="auto" w:before="36"/>
              <w:ind w:left="113" w:right="142"/>
              <w:rPr>
                <w:sz w:val="21"/>
              </w:rPr>
            </w:pPr>
            <w:r>
              <w:rPr>
                <w:sz w:val="21"/>
              </w:rPr>
              <w:t>受益人与被保险人在同一事件中身故，且不能确定身故顺序的，推定受益人身故在先。</w:t>
            </w:r>
          </w:p>
          <w:p>
            <w:pPr>
              <w:pStyle w:val="TableParagraph"/>
              <w:spacing w:line="259" w:lineRule="auto"/>
              <w:ind w:left="113" w:right="121"/>
              <w:rPr>
                <w:b/>
                <w:i/>
                <w:sz w:val="22"/>
              </w:rPr>
            </w:pPr>
            <w:r>
              <w:rPr>
                <w:b/>
                <w:i/>
                <w:w w:val="95"/>
                <w:sz w:val="22"/>
              </w:rPr>
              <w:t>受益人故意造成被保险人身故、疾病的，或者故意杀害被保险人未遂的，该受益人丧失受益权。</w:t>
            </w:r>
          </w:p>
        </w:tc>
      </w:tr>
      <w:tr>
        <w:trPr>
          <w:trHeight w:val="2412" w:hRule="atLeast"/>
        </w:trPr>
        <w:tc>
          <w:tcPr>
            <w:tcW w:w="765" w:type="dxa"/>
          </w:tcPr>
          <w:p>
            <w:pPr>
              <w:pStyle w:val="TableParagraph"/>
              <w:spacing w:before="101"/>
              <w:ind w:left="110"/>
              <w:rPr>
                <w:b/>
                <w:sz w:val="21"/>
              </w:rPr>
            </w:pPr>
            <w:r>
              <w:rPr>
                <w:b/>
                <w:sz w:val="21"/>
              </w:rPr>
              <w:t>3.2</w:t>
            </w:r>
          </w:p>
        </w:tc>
        <w:tc>
          <w:tcPr>
            <w:tcW w:w="1783" w:type="dxa"/>
          </w:tcPr>
          <w:p>
            <w:pPr>
              <w:pStyle w:val="TableParagraph"/>
              <w:spacing w:before="101"/>
              <w:ind w:left="190"/>
              <w:rPr>
                <w:b/>
                <w:sz w:val="21"/>
              </w:rPr>
            </w:pPr>
            <w:r>
              <w:rPr>
                <w:b/>
                <w:sz w:val="21"/>
              </w:rPr>
              <w:t>保险事故通知</w:t>
            </w:r>
          </w:p>
        </w:tc>
        <w:tc>
          <w:tcPr>
            <w:tcW w:w="7616" w:type="dxa"/>
          </w:tcPr>
          <w:p>
            <w:pPr>
              <w:pStyle w:val="TableParagraph"/>
              <w:spacing w:line="273" w:lineRule="auto" w:before="101"/>
              <w:ind w:left="113" w:right="108"/>
              <w:rPr>
                <w:sz w:val="21"/>
              </w:rPr>
            </w:pPr>
            <w:r>
              <w:rPr>
                <w:spacing w:val="-11"/>
                <w:sz w:val="21"/>
              </w:rPr>
              <w:t>您、被保险人、被保险人的监护人或受益人应在知道保险事故发生之日起 </w:t>
            </w:r>
            <w:r>
              <w:rPr>
                <w:sz w:val="21"/>
              </w:rPr>
              <w:t>10</w:t>
            </w:r>
            <w:r>
              <w:rPr>
                <w:spacing w:val="-15"/>
                <w:sz w:val="21"/>
              </w:rPr>
              <w:t> 日内</w:t>
            </w:r>
            <w:r>
              <w:rPr>
                <w:spacing w:val="-1"/>
                <w:sz w:val="21"/>
              </w:rPr>
              <w:t>通知我们。</w:t>
            </w:r>
          </w:p>
          <w:p>
            <w:pPr>
              <w:pStyle w:val="TableParagraph"/>
              <w:spacing w:line="266" w:lineRule="auto"/>
              <w:ind w:left="113" w:right="3"/>
              <w:rPr>
                <w:sz w:val="21"/>
              </w:rPr>
            </w:pPr>
            <w:r>
              <w:rPr>
                <w:b/>
                <w:i/>
                <w:spacing w:val="-10"/>
                <w:w w:val="95"/>
                <w:sz w:val="22"/>
              </w:rPr>
              <w:t>如果您、被保险人、被保险人的监护人或受益人故意或者因重大过失未及时通知， </w:t>
            </w:r>
            <w:r>
              <w:rPr>
                <w:b/>
                <w:i/>
                <w:spacing w:val="-9"/>
                <w:w w:val="95"/>
                <w:sz w:val="22"/>
              </w:rPr>
              <w:t>致使保险事故的性质、原因、损失程度等难以确定的，我们对无法确定的部分， </w:t>
            </w:r>
            <w:r>
              <w:rPr>
                <w:b/>
                <w:i/>
                <w:spacing w:val="-9"/>
                <w:sz w:val="22"/>
              </w:rPr>
              <w:t>不承担给付保险金的责任，</w:t>
            </w:r>
            <w:r>
              <w:rPr>
                <w:spacing w:val="-3"/>
                <w:sz w:val="21"/>
              </w:rPr>
              <w:t>但我们通过其他途径已经及时知道或者应当及时知道保险事故发生或者虽未及时通知但不影响本公司确定保险事故的性质、原因、损失程度的除外。</w:t>
            </w:r>
          </w:p>
        </w:tc>
      </w:tr>
      <w:tr>
        <w:trPr>
          <w:trHeight w:val="527" w:hRule="atLeast"/>
        </w:trPr>
        <w:tc>
          <w:tcPr>
            <w:tcW w:w="765" w:type="dxa"/>
          </w:tcPr>
          <w:p>
            <w:pPr>
              <w:pStyle w:val="TableParagraph"/>
              <w:spacing w:before="100"/>
              <w:ind w:left="110"/>
              <w:rPr>
                <w:b/>
                <w:sz w:val="21"/>
              </w:rPr>
            </w:pPr>
            <w:r>
              <w:rPr>
                <w:b/>
                <w:sz w:val="21"/>
              </w:rPr>
              <w:t>3.3</w:t>
            </w:r>
          </w:p>
        </w:tc>
        <w:tc>
          <w:tcPr>
            <w:tcW w:w="1783" w:type="dxa"/>
          </w:tcPr>
          <w:p>
            <w:pPr>
              <w:pStyle w:val="TableParagraph"/>
              <w:spacing w:before="100"/>
              <w:ind w:left="190"/>
              <w:rPr>
                <w:b/>
                <w:sz w:val="21"/>
              </w:rPr>
            </w:pPr>
            <w:r>
              <w:rPr>
                <w:b/>
                <w:sz w:val="21"/>
              </w:rPr>
              <w:t>保险金申请</w:t>
            </w:r>
          </w:p>
        </w:tc>
        <w:tc>
          <w:tcPr>
            <w:tcW w:w="7616" w:type="dxa"/>
          </w:tcPr>
          <w:p>
            <w:pPr>
              <w:pStyle w:val="TableParagraph"/>
              <w:spacing w:before="100"/>
              <w:ind w:left="113"/>
              <w:rPr>
                <w:sz w:val="21"/>
              </w:rPr>
            </w:pPr>
            <w:r>
              <w:rPr>
                <w:sz w:val="21"/>
              </w:rPr>
              <w:t>在申请保险金时，请按照下列方式办理：</w:t>
            </w:r>
          </w:p>
        </w:tc>
      </w:tr>
      <w:tr>
        <w:trPr>
          <w:trHeight w:val="2148" w:hRule="atLeast"/>
        </w:trPr>
        <w:tc>
          <w:tcPr>
            <w:tcW w:w="765" w:type="dxa"/>
          </w:tcPr>
          <w:p>
            <w:pPr>
              <w:pStyle w:val="TableParagraph"/>
              <w:ind w:left="0"/>
              <w:rPr>
                <w:rFonts w:ascii="Times New Roman"/>
                <w:sz w:val="20"/>
              </w:rPr>
            </w:pPr>
          </w:p>
        </w:tc>
        <w:tc>
          <w:tcPr>
            <w:tcW w:w="1783" w:type="dxa"/>
          </w:tcPr>
          <w:p>
            <w:pPr>
              <w:pStyle w:val="TableParagraph"/>
              <w:spacing w:line="273" w:lineRule="auto" w:before="110"/>
              <w:ind w:left="190" w:right="113"/>
              <w:rPr>
                <w:rFonts w:ascii="楷体" w:eastAsia="楷体" w:hint="eastAsia"/>
                <w:b/>
                <w:sz w:val="21"/>
              </w:rPr>
            </w:pPr>
            <w:r>
              <w:rPr>
                <w:rFonts w:ascii="楷体" w:eastAsia="楷体" w:hint="eastAsia"/>
                <w:b/>
                <w:sz w:val="21"/>
              </w:rPr>
              <w:t>重大疾病保险金申请</w:t>
            </w:r>
          </w:p>
        </w:tc>
        <w:tc>
          <w:tcPr>
            <w:tcW w:w="7616" w:type="dxa"/>
          </w:tcPr>
          <w:p>
            <w:pPr>
              <w:pStyle w:val="TableParagraph"/>
              <w:spacing w:before="88"/>
              <w:ind w:left="113"/>
              <w:rPr>
                <w:sz w:val="21"/>
              </w:rPr>
            </w:pPr>
            <w:r>
              <w:rPr>
                <w:spacing w:val="-7"/>
                <w:sz w:val="21"/>
              </w:rPr>
              <w:t>由重大疾病保险金受益人或其监护人填写理赔申请书，并须提供下列证明和资料：</w:t>
            </w:r>
          </w:p>
          <w:p>
            <w:pPr>
              <w:pStyle w:val="TableParagraph"/>
              <w:numPr>
                <w:ilvl w:val="0"/>
                <w:numId w:val="5"/>
              </w:numPr>
              <w:tabs>
                <w:tab w:pos="679" w:val="left" w:leader="none"/>
              </w:tabs>
              <w:spacing w:line="240" w:lineRule="auto" w:before="20" w:after="0"/>
              <w:ind w:left="678" w:right="0" w:hanging="564"/>
              <w:jc w:val="left"/>
              <w:rPr>
                <w:sz w:val="21"/>
              </w:rPr>
            </w:pPr>
            <w:r>
              <w:rPr>
                <w:spacing w:val="-1"/>
                <w:sz w:val="21"/>
              </w:rPr>
              <w:t>保险合同；</w:t>
            </w:r>
          </w:p>
          <w:p>
            <w:pPr>
              <w:pStyle w:val="TableParagraph"/>
              <w:numPr>
                <w:ilvl w:val="0"/>
                <w:numId w:val="5"/>
              </w:numPr>
              <w:tabs>
                <w:tab w:pos="679" w:val="left" w:leader="none"/>
              </w:tabs>
              <w:spacing w:line="240" w:lineRule="auto" w:before="37" w:after="0"/>
              <w:ind w:left="678" w:right="0" w:hanging="564"/>
              <w:jc w:val="left"/>
              <w:rPr>
                <w:sz w:val="21"/>
              </w:rPr>
            </w:pPr>
            <w:r>
              <w:rPr>
                <w:spacing w:val="-3"/>
                <w:sz w:val="21"/>
              </w:rPr>
              <w:t>受益人或其监护人的有效身份证件以及能够证明监护关系的证明文件；</w:t>
            </w:r>
          </w:p>
          <w:p>
            <w:pPr>
              <w:pStyle w:val="TableParagraph"/>
              <w:numPr>
                <w:ilvl w:val="0"/>
                <w:numId w:val="5"/>
              </w:numPr>
              <w:tabs>
                <w:tab w:pos="679" w:val="left" w:leader="none"/>
              </w:tabs>
              <w:spacing w:line="273" w:lineRule="auto" w:before="37" w:after="0"/>
              <w:ind w:left="678" w:right="106" w:hanging="564"/>
              <w:jc w:val="left"/>
              <w:rPr>
                <w:sz w:val="21"/>
              </w:rPr>
            </w:pPr>
            <w:r>
              <w:rPr>
                <w:sz w:val="21"/>
              </w:rPr>
              <w:t>医院</w:t>
            </w:r>
            <w:r>
              <w:rPr>
                <w:spacing w:val="-3"/>
                <w:sz w:val="21"/>
              </w:rPr>
              <w:t>（</w:t>
            </w:r>
            <w:r>
              <w:rPr>
                <w:spacing w:val="12"/>
                <w:sz w:val="21"/>
              </w:rPr>
              <w:t>见 </w:t>
            </w:r>
            <w:r>
              <w:rPr>
                <w:sz w:val="21"/>
              </w:rPr>
              <w:t>9.14）</w:t>
            </w:r>
            <w:r>
              <w:rPr>
                <w:spacing w:val="-3"/>
                <w:sz w:val="21"/>
              </w:rPr>
              <w:t>出具的附有病理显微镜检查、血液检验及其他科学方法检验报告的被保险人疾病诊断证明；</w:t>
            </w:r>
          </w:p>
          <w:p>
            <w:pPr>
              <w:pStyle w:val="TableParagraph"/>
              <w:numPr>
                <w:ilvl w:val="0"/>
                <w:numId w:val="5"/>
              </w:numPr>
              <w:tabs>
                <w:tab w:pos="679" w:val="left" w:leader="none"/>
              </w:tabs>
              <w:spacing w:line="240" w:lineRule="auto" w:before="7" w:after="0"/>
              <w:ind w:left="678" w:right="0" w:hanging="564"/>
              <w:jc w:val="left"/>
              <w:rPr>
                <w:sz w:val="21"/>
              </w:rPr>
            </w:pPr>
            <w:r>
              <w:rPr>
                <w:spacing w:val="-3"/>
                <w:sz w:val="21"/>
              </w:rPr>
              <w:t>所能提供的与确认保险事故性质、原因等有关的其他证明和资料。</w:t>
            </w:r>
          </w:p>
        </w:tc>
      </w:tr>
      <w:tr>
        <w:trPr>
          <w:trHeight w:val="2012" w:hRule="atLeast"/>
        </w:trPr>
        <w:tc>
          <w:tcPr>
            <w:tcW w:w="765" w:type="dxa"/>
          </w:tcPr>
          <w:p>
            <w:pPr>
              <w:pStyle w:val="TableParagraph"/>
              <w:ind w:left="0"/>
              <w:rPr>
                <w:rFonts w:ascii="Times New Roman"/>
                <w:sz w:val="20"/>
              </w:rPr>
            </w:pPr>
          </w:p>
        </w:tc>
        <w:tc>
          <w:tcPr>
            <w:tcW w:w="1783" w:type="dxa"/>
          </w:tcPr>
          <w:p>
            <w:pPr>
              <w:pStyle w:val="TableParagraph"/>
              <w:spacing w:before="177"/>
              <w:ind w:left="190"/>
              <w:rPr>
                <w:rFonts w:ascii="楷体" w:eastAsia="楷体" w:hint="eastAsia"/>
                <w:b/>
                <w:sz w:val="21"/>
              </w:rPr>
            </w:pPr>
            <w:r>
              <w:rPr>
                <w:rFonts w:ascii="楷体" w:eastAsia="楷体" w:hint="eastAsia"/>
                <w:b/>
                <w:sz w:val="21"/>
              </w:rPr>
              <w:t>身故保险金申请</w:t>
            </w:r>
          </w:p>
        </w:tc>
        <w:tc>
          <w:tcPr>
            <w:tcW w:w="7616" w:type="dxa"/>
          </w:tcPr>
          <w:p>
            <w:pPr>
              <w:pStyle w:val="TableParagraph"/>
              <w:spacing w:before="177"/>
              <w:ind w:left="113"/>
              <w:rPr>
                <w:sz w:val="21"/>
              </w:rPr>
            </w:pPr>
            <w:r>
              <w:rPr>
                <w:sz w:val="21"/>
              </w:rPr>
              <w:t>由身故保险金受益人或其监护人填写理赔申请书，并须提供下列证明和资料：</w:t>
            </w:r>
          </w:p>
          <w:p>
            <w:pPr>
              <w:pStyle w:val="TableParagraph"/>
              <w:numPr>
                <w:ilvl w:val="0"/>
                <w:numId w:val="6"/>
              </w:numPr>
              <w:tabs>
                <w:tab w:pos="679" w:val="left" w:leader="none"/>
              </w:tabs>
              <w:spacing w:line="240" w:lineRule="auto" w:before="36" w:after="0"/>
              <w:ind w:left="678" w:right="0" w:hanging="564"/>
              <w:jc w:val="left"/>
              <w:rPr>
                <w:sz w:val="21"/>
              </w:rPr>
            </w:pPr>
            <w:r>
              <w:rPr>
                <w:spacing w:val="-1"/>
                <w:sz w:val="21"/>
              </w:rPr>
              <w:t>保险合同；</w:t>
            </w:r>
          </w:p>
          <w:p>
            <w:pPr>
              <w:pStyle w:val="TableParagraph"/>
              <w:numPr>
                <w:ilvl w:val="0"/>
                <w:numId w:val="6"/>
              </w:numPr>
              <w:tabs>
                <w:tab w:pos="679" w:val="left" w:leader="none"/>
              </w:tabs>
              <w:spacing w:line="240" w:lineRule="auto" w:before="36" w:after="0"/>
              <w:ind w:left="678" w:right="0" w:hanging="562"/>
              <w:jc w:val="left"/>
              <w:rPr>
                <w:sz w:val="21"/>
              </w:rPr>
            </w:pPr>
            <w:r>
              <w:rPr>
                <w:spacing w:val="-3"/>
                <w:sz w:val="21"/>
              </w:rPr>
              <w:t>受益人或其监护人的有效身份证件以及能够证明监护关系的证明文件；</w:t>
            </w:r>
          </w:p>
          <w:p>
            <w:pPr>
              <w:pStyle w:val="TableParagraph"/>
              <w:numPr>
                <w:ilvl w:val="0"/>
                <w:numId w:val="6"/>
              </w:numPr>
              <w:tabs>
                <w:tab w:pos="679" w:val="left" w:leader="none"/>
              </w:tabs>
              <w:spacing w:line="273" w:lineRule="auto" w:before="36" w:after="0"/>
              <w:ind w:left="678" w:right="209" w:hanging="564"/>
              <w:jc w:val="left"/>
              <w:rPr>
                <w:sz w:val="21"/>
              </w:rPr>
            </w:pPr>
            <w:r>
              <w:rPr>
                <w:spacing w:val="-3"/>
                <w:sz w:val="21"/>
              </w:rPr>
              <w:t>国家卫生行政部门认定的医疗机构、公安部门或其他相关机构出具的被保险人的死亡证明；</w:t>
            </w:r>
          </w:p>
          <w:p>
            <w:pPr>
              <w:pStyle w:val="TableParagraph"/>
              <w:numPr>
                <w:ilvl w:val="0"/>
                <w:numId w:val="6"/>
              </w:numPr>
              <w:tabs>
                <w:tab w:pos="679" w:val="left" w:leader="none"/>
              </w:tabs>
              <w:spacing w:line="255" w:lineRule="exact" w:before="7" w:after="0"/>
              <w:ind w:left="678" w:right="0" w:hanging="564"/>
              <w:jc w:val="left"/>
              <w:rPr>
                <w:sz w:val="21"/>
              </w:rPr>
            </w:pPr>
            <w:r>
              <w:rPr>
                <w:spacing w:val="-3"/>
                <w:sz w:val="21"/>
              </w:rPr>
              <w:t>所能提供的与确认保险事故性质、原因等有关的其他证明和资料。</w:t>
            </w:r>
          </w:p>
        </w:tc>
      </w:tr>
    </w:tbl>
    <w:p>
      <w:pPr>
        <w:spacing w:after="0" w:line="255" w:lineRule="exact"/>
        <w:jc w:val="left"/>
        <w:rPr>
          <w:sz w:val="21"/>
        </w:rPr>
        <w:sectPr>
          <w:pgSz w:w="11910" w:h="16840"/>
          <w:pgMar w:header="0" w:footer="896" w:top="1280" w:bottom="1080" w:left="880" w:right="6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670"/>
        <w:gridCol w:w="7723"/>
      </w:tblGrid>
      <w:tr>
        <w:trPr>
          <w:trHeight w:val="3808" w:hRule="atLeast"/>
        </w:trPr>
        <w:tc>
          <w:tcPr>
            <w:tcW w:w="765" w:type="dxa"/>
          </w:tcPr>
          <w:p>
            <w:pPr>
              <w:pStyle w:val="TableParagraph"/>
              <w:ind w:left="0"/>
              <w:rPr>
                <w:rFonts w:ascii="Times New Roman"/>
                <w:sz w:val="20"/>
              </w:rPr>
            </w:pPr>
          </w:p>
        </w:tc>
        <w:tc>
          <w:tcPr>
            <w:tcW w:w="1670" w:type="dxa"/>
          </w:tcPr>
          <w:p>
            <w:pPr>
              <w:pStyle w:val="TableParagraph"/>
              <w:ind w:left="0"/>
              <w:rPr>
                <w:rFonts w:ascii="Times New Roman"/>
                <w:sz w:val="20"/>
              </w:rPr>
            </w:pPr>
          </w:p>
        </w:tc>
        <w:tc>
          <w:tcPr>
            <w:tcW w:w="7723" w:type="dxa"/>
          </w:tcPr>
          <w:p>
            <w:pPr>
              <w:pStyle w:val="TableParagraph"/>
              <w:spacing w:line="211" w:lineRule="exact"/>
              <w:ind w:left="226"/>
              <w:rPr>
                <w:sz w:val="21"/>
              </w:rPr>
            </w:pPr>
            <w:r>
              <w:rPr>
                <w:sz w:val="21"/>
              </w:rPr>
              <w:t>保险金作为被保险人遗产时，必须提供可证明合法继承权的相关文件。</w:t>
            </w:r>
          </w:p>
          <w:p>
            <w:pPr>
              <w:pStyle w:val="TableParagraph"/>
              <w:spacing w:line="273" w:lineRule="auto" w:before="37"/>
              <w:ind w:left="226" w:right="136"/>
              <w:jc w:val="both"/>
              <w:rPr>
                <w:sz w:val="21"/>
              </w:rPr>
            </w:pPr>
            <w:r>
              <w:rPr>
                <w:sz w:val="21"/>
              </w:rPr>
              <w:t>如果受益人或其监护人委托他人代为申请，则除上述证明和资料外，受托人还应提供授权委托书、受托人的有效身份证件等相关证明文件。</w:t>
            </w:r>
          </w:p>
          <w:p>
            <w:pPr>
              <w:pStyle w:val="TableParagraph"/>
              <w:spacing w:line="273" w:lineRule="auto" w:before="7"/>
              <w:ind w:left="226" w:right="136"/>
              <w:jc w:val="both"/>
              <w:rPr>
                <w:sz w:val="21"/>
              </w:rPr>
            </w:pPr>
            <w:r>
              <w:rPr>
                <w:sz w:val="21"/>
              </w:rPr>
              <w:t>以上证明和资料不完整的，我们将及时一次性书面通知受益人或其监护人补充提供有关的证明和资料。</w:t>
            </w:r>
          </w:p>
          <w:p>
            <w:pPr>
              <w:pStyle w:val="TableParagraph"/>
              <w:spacing w:before="5"/>
              <w:ind w:left="0"/>
              <w:rPr>
                <w:sz w:val="24"/>
              </w:rPr>
            </w:pPr>
          </w:p>
          <w:p>
            <w:pPr>
              <w:pStyle w:val="TableParagraph"/>
              <w:spacing w:line="264" w:lineRule="auto"/>
              <w:ind w:left="226" w:right="115"/>
              <w:jc w:val="both"/>
              <w:rPr>
                <w:b/>
                <w:i/>
                <w:sz w:val="22"/>
              </w:rPr>
            </w:pPr>
            <w:r>
              <w:rPr>
                <w:spacing w:val="-2"/>
                <w:sz w:val="21"/>
              </w:rPr>
              <w:t>如被保险人发生</w:t>
            </w:r>
            <w:r>
              <w:rPr>
                <w:sz w:val="20"/>
              </w:rPr>
              <w:t>重大</w:t>
            </w:r>
            <w:r>
              <w:rPr>
                <w:spacing w:val="-3"/>
                <w:sz w:val="21"/>
              </w:rPr>
              <w:t>疾病或身故的，在申请本主险合同保险金时，我们有权根据实际情况，要求由我们指定或认可的医疗机构或我们指定的司法鉴定机构对被保</w:t>
            </w:r>
            <w:r>
              <w:rPr>
                <w:spacing w:val="-3"/>
                <w:w w:val="95"/>
                <w:sz w:val="21"/>
              </w:rPr>
              <w:t>险人进行身体检查、检验或对保险事故进行必要的鉴定。</w:t>
            </w:r>
            <w:r>
              <w:rPr>
                <w:b/>
                <w:i/>
                <w:spacing w:val="-2"/>
                <w:w w:val="95"/>
                <w:sz w:val="22"/>
              </w:rPr>
              <w:t>如被保险人拒绝检查、  </w:t>
            </w:r>
            <w:r>
              <w:rPr>
                <w:b/>
                <w:i/>
                <w:spacing w:val="-3"/>
                <w:w w:val="95"/>
                <w:sz w:val="22"/>
              </w:rPr>
              <w:t>检验或鉴定，或因您、被保险人或申请人的原因导致前述检查、检验、鉴定无法进行，或检查、检验、鉴定结果不符合本附加合同关于保险事故的约定，本公司不承担给付保险金的责任。</w:t>
            </w:r>
          </w:p>
        </w:tc>
      </w:tr>
      <w:tr>
        <w:trPr>
          <w:trHeight w:val="1785" w:hRule="atLeast"/>
        </w:trPr>
        <w:tc>
          <w:tcPr>
            <w:tcW w:w="765" w:type="dxa"/>
          </w:tcPr>
          <w:p>
            <w:pPr>
              <w:pStyle w:val="TableParagraph"/>
              <w:spacing w:before="98"/>
              <w:ind w:left="110"/>
              <w:rPr>
                <w:b/>
                <w:sz w:val="21"/>
              </w:rPr>
            </w:pPr>
            <w:r>
              <w:rPr>
                <w:b/>
                <w:sz w:val="21"/>
              </w:rPr>
              <w:t>3.4</w:t>
            </w:r>
          </w:p>
        </w:tc>
        <w:tc>
          <w:tcPr>
            <w:tcW w:w="1670" w:type="dxa"/>
          </w:tcPr>
          <w:p>
            <w:pPr>
              <w:pStyle w:val="TableParagraph"/>
              <w:spacing w:before="98"/>
              <w:ind w:left="190"/>
              <w:rPr>
                <w:b/>
                <w:sz w:val="21"/>
              </w:rPr>
            </w:pPr>
            <w:r>
              <w:rPr>
                <w:b/>
                <w:sz w:val="21"/>
              </w:rPr>
              <w:t>失踪处理</w:t>
            </w:r>
          </w:p>
        </w:tc>
        <w:tc>
          <w:tcPr>
            <w:tcW w:w="7723" w:type="dxa"/>
          </w:tcPr>
          <w:p>
            <w:pPr>
              <w:pStyle w:val="TableParagraph"/>
              <w:spacing w:line="273" w:lineRule="auto" w:before="98"/>
              <w:ind w:left="212" w:right="150"/>
              <w:jc w:val="both"/>
              <w:rPr>
                <w:sz w:val="21"/>
              </w:rPr>
            </w:pPr>
            <w:r>
              <w:rPr>
                <w:sz w:val="21"/>
              </w:rPr>
              <w:t>如果被保险人在保险期限内失踪，且后来被法院宣告死亡，我们按本主险合同的约定给付身故保险金，本主险合同终止。</w:t>
            </w:r>
          </w:p>
          <w:p>
            <w:pPr>
              <w:pStyle w:val="TableParagraph"/>
              <w:spacing w:line="273" w:lineRule="auto" w:before="7"/>
              <w:ind w:left="212" w:right="100"/>
              <w:jc w:val="both"/>
              <w:rPr>
                <w:sz w:val="21"/>
              </w:rPr>
            </w:pPr>
            <w:r>
              <w:rPr>
                <w:spacing w:val="-3"/>
                <w:sz w:val="21"/>
              </w:rPr>
              <w:t>如果被保险人在宣告死亡后重新出现或者受益人确知其没有死亡的，受益人应于</w:t>
            </w:r>
            <w:r>
              <w:rPr>
                <w:spacing w:val="-7"/>
                <w:sz w:val="21"/>
              </w:rPr>
              <w:t>知道或应当知道后 </w:t>
            </w:r>
            <w:r>
              <w:rPr>
                <w:sz w:val="21"/>
              </w:rPr>
              <w:t>30</w:t>
            </w:r>
            <w:r>
              <w:rPr>
                <w:spacing w:val="-11"/>
                <w:sz w:val="21"/>
              </w:rPr>
              <w:t> 日内向我们退还已给付的保险金，本主险合同的效力依法确定。</w:t>
            </w:r>
          </w:p>
        </w:tc>
      </w:tr>
      <w:tr>
        <w:trPr>
          <w:trHeight w:val="3659" w:hRule="atLeast"/>
        </w:trPr>
        <w:tc>
          <w:tcPr>
            <w:tcW w:w="765" w:type="dxa"/>
          </w:tcPr>
          <w:p>
            <w:pPr>
              <w:pStyle w:val="TableParagraph"/>
              <w:spacing w:before="100"/>
              <w:ind w:left="110"/>
              <w:rPr>
                <w:b/>
                <w:sz w:val="21"/>
              </w:rPr>
            </w:pPr>
            <w:r>
              <w:rPr>
                <w:b/>
                <w:sz w:val="21"/>
              </w:rPr>
              <w:t>3.5</w:t>
            </w:r>
          </w:p>
        </w:tc>
        <w:tc>
          <w:tcPr>
            <w:tcW w:w="1670" w:type="dxa"/>
          </w:tcPr>
          <w:p>
            <w:pPr>
              <w:pStyle w:val="TableParagraph"/>
              <w:spacing w:before="100"/>
              <w:ind w:left="190"/>
              <w:rPr>
                <w:b/>
                <w:sz w:val="21"/>
              </w:rPr>
            </w:pPr>
            <w:r>
              <w:rPr>
                <w:b/>
                <w:sz w:val="21"/>
              </w:rPr>
              <w:t>保险金的给付</w:t>
            </w:r>
          </w:p>
        </w:tc>
        <w:tc>
          <w:tcPr>
            <w:tcW w:w="7723" w:type="dxa"/>
          </w:tcPr>
          <w:p>
            <w:pPr>
              <w:pStyle w:val="TableParagraph"/>
              <w:spacing w:before="100"/>
              <w:ind w:left="226"/>
              <w:rPr>
                <w:sz w:val="21"/>
              </w:rPr>
            </w:pPr>
            <w:r>
              <w:rPr>
                <w:sz w:val="21"/>
              </w:rPr>
              <w:t>我们在收到受益人或其监护人的理赔申请书及有关证明和资料后，将在 5 日内作</w:t>
            </w:r>
          </w:p>
          <w:p>
            <w:pPr>
              <w:pStyle w:val="TableParagraph"/>
              <w:spacing w:before="36"/>
              <w:ind w:left="226"/>
              <w:rPr>
                <w:sz w:val="21"/>
              </w:rPr>
            </w:pPr>
            <w:r>
              <w:rPr>
                <w:sz w:val="21"/>
              </w:rPr>
              <w:t>出核定；情形复杂的，在 30 日内作出核定。</w:t>
            </w:r>
          </w:p>
          <w:p>
            <w:pPr>
              <w:pStyle w:val="TableParagraph"/>
              <w:spacing w:line="273" w:lineRule="auto" w:before="36"/>
              <w:ind w:left="226" w:right="102"/>
              <w:jc w:val="both"/>
              <w:rPr>
                <w:sz w:val="21"/>
              </w:rPr>
            </w:pPr>
            <w:r>
              <w:rPr>
                <w:sz w:val="21"/>
              </w:rPr>
              <w:t>对属于保险责任的，我们在与受益人或其监护人达成给付保险金的协议后 10 日内，履行给付保险金义务。</w:t>
            </w:r>
          </w:p>
          <w:p>
            <w:pPr>
              <w:pStyle w:val="TableParagraph"/>
              <w:spacing w:line="273" w:lineRule="auto" w:before="7"/>
              <w:ind w:left="226" w:right="100"/>
              <w:jc w:val="both"/>
              <w:rPr>
                <w:sz w:val="21"/>
              </w:rPr>
            </w:pPr>
            <w:r>
              <w:rPr>
                <w:sz w:val="21"/>
              </w:rPr>
              <w:t>我们未及时履行前款规定义务的，除支付保险金外，应当赔偿受益人或其监护人因此受到的损失。</w:t>
            </w:r>
          </w:p>
          <w:p>
            <w:pPr>
              <w:pStyle w:val="TableParagraph"/>
              <w:spacing w:line="273" w:lineRule="auto" w:before="7"/>
              <w:ind w:left="226" w:right="136"/>
              <w:jc w:val="both"/>
              <w:rPr>
                <w:sz w:val="21"/>
              </w:rPr>
            </w:pPr>
            <w:r>
              <w:rPr>
                <w:spacing w:val="-5"/>
                <w:sz w:val="21"/>
              </w:rPr>
              <w:t>对不属于保险责任的，我们自作出核定之日起 </w:t>
            </w:r>
            <w:r>
              <w:rPr>
                <w:sz w:val="21"/>
              </w:rPr>
              <w:t>3</w:t>
            </w:r>
            <w:r>
              <w:rPr>
                <w:spacing w:val="-7"/>
                <w:sz w:val="21"/>
              </w:rPr>
              <w:t> 日内向受益人或其监护人发出拒</w:t>
            </w:r>
            <w:r>
              <w:rPr>
                <w:spacing w:val="-5"/>
                <w:sz w:val="21"/>
              </w:rPr>
              <w:t>绝给付保险金通知书并说明理由。</w:t>
            </w:r>
          </w:p>
          <w:p>
            <w:pPr>
              <w:pStyle w:val="TableParagraph"/>
              <w:spacing w:line="273" w:lineRule="auto" w:before="7"/>
              <w:ind w:left="226" w:right="100"/>
              <w:jc w:val="both"/>
              <w:rPr>
                <w:sz w:val="21"/>
              </w:rPr>
            </w:pPr>
            <w:r>
              <w:rPr>
                <w:spacing w:val="-5"/>
                <w:sz w:val="21"/>
              </w:rPr>
              <w:t>我们在收到理赔申请书及有关证明和资料之日起 </w:t>
            </w:r>
            <w:r>
              <w:rPr>
                <w:sz w:val="21"/>
              </w:rPr>
              <w:t>60</w:t>
            </w:r>
            <w:r>
              <w:rPr>
                <w:spacing w:val="-12"/>
                <w:sz w:val="21"/>
              </w:rPr>
              <w:t> 日内，对给付保险金的数额不</w:t>
            </w:r>
            <w:r>
              <w:rPr>
                <w:spacing w:val="-6"/>
                <w:sz w:val="21"/>
              </w:rPr>
              <w:t>能确定的，根据已有证明和资料可以确定的数额先予支付；我们最终确定给付保</w:t>
            </w:r>
            <w:r>
              <w:rPr>
                <w:spacing w:val="-4"/>
                <w:sz w:val="21"/>
              </w:rPr>
              <w:t>险金的数额后，将支付相应的差额。</w:t>
            </w:r>
          </w:p>
        </w:tc>
      </w:tr>
      <w:tr>
        <w:trPr>
          <w:trHeight w:val="1163" w:hRule="atLeast"/>
        </w:trPr>
        <w:tc>
          <w:tcPr>
            <w:tcW w:w="765" w:type="dxa"/>
          </w:tcPr>
          <w:p>
            <w:pPr>
              <w:pStyle w:val="TableParagraph"/>
              <w:spacing w:before="99"/>
              <w:ind w:left="110"/>
              <w:rPr>
                <w:b/>
                <w:sz w:val="21"/>
              </w:rPr>
            </w:pPr>
            <w:r>
              <w:rPr>
                <w:b/>
                <w:sz w:val="21"/>
              </w:rPr>
              <w:t>3.6</w:t>
            </w:r>
          </w:p>
        </w:tc>
        <w:tc>
          <w:tcPr>
            <w:tcW w:w="1670" w:type="dxa"/>
          </w:tcPr>
          <w:p>
            <w:pPr>
              <w:pStyle w:val="TableParagraph"/>
              <w:spacing w:before="99"/>
              <w:ind w:left="190"/>
              <w:rPr>
                <w:b/>
                <w:sz w:val="21"/>
              </w:rPr>
            </w:pPr>
            <w:r>
              <w:rPr>
                <w:b/>
                <w:sz w:val="21"/>
              </w:rPr>
              <w:t>诉讼时效</w:t>
            </w:r>
          </w:p>
        </w:tc>
        <w:tc>
          <w:tcPr>
            <w:tcW w:w="7723" w:type="dxa"/>
          </w:tcPr>
          <w:p>
            <w:pPr>
              <w:pStyle w:val="TableParagraph"/>
              <w:spacing w:before="99"/>
              <w:ind w:left="226"/>
              <w:rPr>
                <w:sz w:val="21"/>
              </w:rPr>
            </w:pPr>
            <w:r>
              <w:rPr>
                <w:sz w:val="21"/>
              </w:rPr>
              <w:t>受益人对我们请求给付身故保险金的诉讼时效期间为 5 年，受益人对我们请求给</w:t>
            </w:r>
          </w:p>
          <w:p>
            <w:pPr>
              <w:pStyle w:val="TableParagraph"/>
              <w:spacing w:line="273" w:lineRule="auto" w:before="36"/>
              <w:ind w:left="226" w:right="138"/>
              <w:rPr>
                <w:sz w:val="21"/>
              </w:rPr>
            </w:pPr>
            <w:r>
              <w:rPr>
                <w:spacing w:val="-5"/>
                <w:sz w:val="21"/>
              </w:rPr>
              <w:t>付本主险合同约定的其他保险金的诉讼时效期间为 </w:t>
            </w:r>
            <w:r>
              <w:rPr>
                <w:sz w:val="21"/>
              </w:rPr>
              <w:t>2</w:t>
            </w:r>
            <w:r>
              <w:rPr>
                <w:spacing w:val="-7"/>
                <w:sz w:val="21"/>
              </w:rPr>
              <w:t> 年，自受益人知道或者应当</w:t>
            </w:r>
            <w:r>
              <w:rPr>
                <w:spacing w:val="-5"/>
                <w:sz w:val="21"/>
              </w:rPr>
              <w:t>知道保险事故发生之日起计算。</w:t>
            </w:r>
          </w:p>
        </w:tc>
      </w:tr>
      <w:tr>
        <w:trPr>
          <w:trHeight w:val="531" w:hRule="atLeast"/>
        </w:trPr>
        <w:tc>
          <w:tcPr>
            <w:tcW w:w="765" w:type="dxa"/>
          </w:tcPr>
          <w:p>
            <w:pPr>
              <w:pStyle w:val="TableParagraph"/>
              <w:spacing w:before="100"/>
              <w:ind w:left="110"/>
              <w:rPr>
                <w:b/>
                <w:sz w:val="21"/>
              </w:rPr>
            </w:pPr>
            <w:r>
              <w:rPr>
                <w:b/>
                <w:sz w:val="21"/>
              </w:rPr>
              <w:t>3.7</w:t>
            </w:r>
          </w:p>
        </w:tc>
        <w:tc>
          <w:tcPr>
            <w:tcW w:w="1670" w:type="dxa"/>
          </w:tcPr>
          <w:p>
            <w:pPr>
              <w:pStyle w:val="TableParagraph"/>
              <w:spacing w:before="100"/>
              <w:ind w:left="190"/>
              <w:rPr>
                <w:b/>
                <w:sz w:val="21"/>
              </w:rPr>
            </w:pPr>
            <w:r>
              <w:rPr>
                <w:b/>
                <w:sz w:val="21"/>
              </w:rPr>
              <w:t>司法鉴定</w:t>
            </w:r>
          </w:p>
        </w:tc>
        <w:tc>
          <w:tcPr>
            <w:tcW w:w="7723" w:type="dxa"/>
          </w:tcPr>
          <w:p>
            <w:pPr>
              <w:pStyle w:val="TableParagraph"/>
              <w:spacing w:before="100"/>
              <w:ind w:left="226"/>
              <w:rPr>
                <w:sz w:val="21"/>
              </w:rPr>
            </w:pPr>
            <w:r>
              <w:rPr>
                <w:sz w:val="21"/>
              </w:rPr>
              <w:t>若被保险人身故，我们有权要求司法鉴定机构对保险事故进行鉴定。</w:t>
            </w:r>
          </w:p>
        </w:tc>
      </w:tr>
      <w:tr>
        <w:trPr>
          <w:trHeight w:val="743" w:hRule="atLeast"/>
        </w:trPr>
        <w:tc>
          <w:tcPr>
            <w:tcW w:w="765" w:type="dxa"/>
            <w:tcBorders>
              <w:bottom w:val="single" w:sz="4" w:space="0" w:color="000000"/>
            </w:tcBorders>
          </w:tcPr>
          <w:p>
            <w:pPr>
              <w:pStyle w:val="TableParagraph"/>
              <w:spacing w:before="127"/>
              <w:ind w:left="110"/>
              <w:rPr>
                <w:rFonts w:ascii="Wingdings" w:hAnsi="Wingdings"/>
                <w:sz w:val="52"/>
              </w:rPr>
            </w:pPr>
            <w:r>
              <w:rPr>
                <w:rFonts w:ascii="Wingdings" w:hAnsi="Wingdings"/>
                <w:w w:val="84"/>
                <w:sz w:val="52"/>
              </w:rPr>
              <w:t></w:t>
            </w:r>
          </w:p>
        </w:tc>
        <w:tc>
          <w:tcPr>
            <w:tcW w:w="9393" w:type="dxa"/>
            <w:gridSpan w:val="2"/>
            <w:tcBorders>
              <w:bottom w:val="single" w:sz="4" w:space="0" w:color="000000"/>
            </w:tcBorders>
          </w:tcPr>
          <w:p>
            <w:pPr>
              <w:pStyle w:val="TableParagraph"/>
              <w:spacing w:before="205"/>
              <w:ind w:left="190"/>
              <w:rPr>
                <w:b/>
                <w:sz w:val="28"/>
              </w:rPr>
            </w:pPr>
            <w:r>
              <w:rPr>
                <w:b/>
                <w:w w:val="95"/>
                <w:sz w:val="28"/>
              </w:rPr>
              <w:t>如何交纳保险费</w:t>
            </w:r>
          </w:p>
        </w:tc>
      </w:tr>
      <w:tr>
        <w:trPr>
          <w:trHeight w:val="1269" w:hRule="atLeast"/>
        </w:trPr>
        <w:tc>
          <w:tcPr>
            <w:tcW w:w="765" w:type="dxa"/>
            <w:tcBorders>
              <w:top w:val="single" w:sz="4" w:space="0" w:color="000000"/>
            </w:tcBorders>
          </w:tcPr>
          <w:p>
            <w:pPr>
              <w:pStyle w:val="TableParagraph"/>
              <w:spacing w:before="9"/>
              <w:ind w:left="0"/>
              <w:rPr>
                <w:sz w:val="15"/>
              </w:rPr>
            </w:pPr>
          </w:p>
          <w:p>
            <w:pPr>
              <w:pStyle w:val="TableParagraph"/>
              <w:ind w:left="110"/>
              <w:rPr>
                <w:b/>
                <w:sz w:val="21"/>
              </w:rPr>
            </w:pPr>
            <w:r>
              <w:rPr>
                <w:b/>
                <w:sz w:val="21"/>
              </w:rPr>
              <w:t>4.1</w:t>
            </w:r>
          </w:p>
        </w:tc>
        <w:tc>
          <w:tcPr>
            <w:tcW w:w="1670" w:type="dxa"/>
            <w:tcBorders>
              <w:top w:val="single" w:sz="4" w:space="0" w:color="000000"/>
            </w:tcBorders>
          </w:tcPr>
          <w:p>
            <w:pPr>
              <w:pStyle w:val="TableParagraph"/>
              <w:spacing w:before="9"/>
              <w:ind w:left="0"/>
              <w:rPr>
                <w:sz w:val="15"/>
              </w:rPr>
            </w:pPr>
          </w:p>
          <w:p>
            <w:pPr>
              <w:pStyle w:val="TableParagraph"/>
              <w:ind w:left="190"/>
              <w:rPr>
                <w:b/>
                <w:sz w:val="21"/>
              </w:rPr>
            </w:pPr>
            <w:r>
              <w:rPr>
                <w:b/>
                <w:sz w:val="21"/>
              </w:rPr>
              <w:t>保险费的交纳</w:t>
            </w:r>
          </w:p>
        </w:tc>
        <w:tc>
          <w:tcPr>
            <w:tcW w:w="7723" w:type="dxa"/>
            <w:tcBorders>
              <w:top w:val="single" w:sz="4" w:space="0" w:color="000000"/>
            </w:tcBorders>
          </w:tcPr>
          <w:p>
            <w:pPr>
              <w:pStyle w:val="TableParagraph"/>
              <w:spacing w:before="9"/>
              <w:ind w:left="0"/>
              <w:rPr>
                <w:sz w:val="15"/>
              </w:rPr>
            </w:pPr>
          </w:p>
          <w:p>
            <w:pPr>
              <w:pStyle w:val="TableParagraph"/>
              <w:ind w:left="226"/>
              <w:rPr>
                <w:sz w:val="21"/>
              </w:rPr>
            </w:pPr>
            <w:r>
              <w:rPr>
                <w:sz w:val="21"/>
              </w:rPr>
              <w:t>本主险合同的交费方式和交费期间由您和我们约定并在保险单上载明。</w:t>
            </w:r>
          </w:p>
          <w:p>
            <w:pPr>
              <w:pStyle w:val="TableParagraph"/>
              <w:spacing w:line="273" w:lineRule="auto" w:before="36"/>
              <w:ind w:left="226" w:right="136"/>
              <w:rPr>
                <w:sz w:val="21"/>
              </w:rPr>
            </w:pPr>
            <w:r>
              <w:rPr>
                <w:sz w:val="21"/>
              </w:rPr>
              <w:t>分期交纳保险费的，在交纳首期保险费后，您应当按约定的交费日期交纳其余各期的保险费。</w:t>
            </w:r>
          </w:p>
        </w:tc>
      </w:tr>
      <w:tr>
        <w:trPr>
          <w:trHeight w:val="1312" w:hRule="atLeast"/>
        </w:trPr>
        <w:tc>
          <w:tcPr>
            <w:tcW w:w="765" w:type="dxa"/>
          </w:tcPr>
          <w:p>
            <w:pPr>
              <w:pStyle w:val="TableParagraph"/>
              <w:spacing w:before="100"/>
              <w:ind w:left="110"/>
              <w:rPr>
                <w:b/>
                <w:sz w:val="21"/>
              </w:rPr>
            </w:pPr>
            <w:r>
              <w:rPr>
                <w:b/>
                <w:sz w:val="21"/>
              </w:rPr>
              <w:t>4.2</w:t>
            </w:r>
          </w:p>
        </w:tc>
        <w:tc>
          <w:tcPr>
            <w:tcW w:w="1670" w:type="dxa"/>
          </w:tcPr>
          <w:p>
            <w:pPr>
              <w:pStyle w:val="TableParagraph"/>
              <w:spacing w:before="100"/>
              <w:ind w:left="190"/>
              <w:rPr>
                <w:b/>
                <w:sz w:val="21"/>
              </w:rPr>
            </w:pPr>
            <w:r>
              <w:rPr>
                <w:b/>
                <w:sz w:val="21"/>
              </w:rPr>
              <w:t>宽限期</w:t>
            </w:r>
          </w:p>
        </w:tc>
        <w:tc>
          <w:tcPr>
            <w:tcW w:w="7723" w:type="dxa"/>
          </w:tcPr>
          <w:p>
            <w:pPr>
              <w:pStyle w:val="TableParagraph"/>
              <w:spacing w:line="273" w:lineRule="auto" w:before="100"/>
              <w:ind w:left="226" w:right="136"/>
              <w:rPr>
                <w:sz w:val="21"/>
              </w:rPr>
            </w:pPr>
            <w:r>
              <w:rPr>
                <w:spacing w:val="-5"/>
                <w:sz w:val="21"/>
              </w:rPr>
              <w:t>如果您到期未交纳保险费，自保险单所约定的交费日的次日零时起 </w:t>
            </w:r>
            <w:r>
              <w:rPr>
                <w:sz w:val="21"/>
              </w:rPr>
              <w:t>60</w:t>
            </w:r>
            <w:r>
              <w:rPr>
                <w:spacing w:val="-12"/>
                <w:sz w:val="21"/>
              </w:rPr>
              <w:t> 日为宽限</w:t>
            </w:r>
            <w:r>
              <w:rPr>
                <w:spacing w:val="-3"/>
                <w:sz w:val="21"/>
              </w:rPr>
              <w:t>期。宽限期内发生的保险事故，我们仍会承担保险责任，但在给付保险金时会扣除您欠交的保险费。</w:t>
            </w:r>
          </w:p>
          <w:p>
            <w:pPr>
              <w:pStyle w:val="TableParagraph"/>
              <w:spacing w:line="255" w:lineRule="exact" w:before="7"/>
              <w:ind w:left="226"/>
              <w:rPr>
                <w:sz w:val="21"/>
              </w:rPr>
            </w:pPr>
            <w:r>
              <w:rPr>
                <w:sz w:val="21"/>
              </w:rPr>
              <w:t>如果您在宽限期结束之后仍未交纳保险费，除非本主险合同另有约定，否则本主</w:t>
            </w:r>
          </w:p>
        </w:tc>
      </w:tr>
    </w:tbl>
    <w:p>
      <w:pPr>
        <w:spacing w:after="0" w:line="255" w:lineRule="exact"/>
        <w:rPr>
          <w:sz w:val="21"/>
        </w:rPr>
        <w:sectPr>
          <w:pgSz w:w="11910" w:h="16840"/>
          <w:pgMar w:header="0" w:footer="896" w:top="1280" w:bottom="1080" w:left="880" w:right="6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83"/>
        <w:gridCol w:w="7611"/>
      </w:tblGrid>
      <w:tr>
        <w:trPr>
          <w:trHeight w:val="366" w:hRule="atLeast"/>
        </w:trPr>
        <w:tc>
          <w:tcPr>
            <w:tcW w:w="765" w:type="dxa"/>
          </w:tcPr>
          <w:p>
            <w:pPr>
              <w:pStyle w:val="TableParagraph"/>
              <w:ind w:left="0"/>
              <w:rPr>
                <w:rFonts w:ascii="Times New Roman"/>
                <w:sz w:val="20"/>
              </w:rPr>
            </w:pPr>
          </w:p>
        </w:tc>
        <w:tc>
          <w:tcPr>
            <w:tcW w:w="1783" w:type="dxa"/>
          </w:tcPr>
          <w:p>
            <w:pPr>
              <w:pStyle w:val="TableParagraph"/>
              <w:ind w:left="0"/>
              <w:rPr>
                <w:rFonts w:ascii="Times New Roman"/>
                <w:sz w:val="20"/>
              </w:rPr>
            </w:pPr>
          </w:p>
        </w:tc>
        <w:tc>
          <w:tcPr>
            <w:tcW w:w="7611" w:type="dxa"/>
          </w:tcPr>
          <w:p>
            <w:pPr>
              <w:pStyle w:val="TableParagraph"/>
              <w:spacing w:line="211" w:lineRule="exact"/>
              <w:ind w:left="113"/>
              <w:rPr>
                <w:sz w:val="21"/>
              </w:rPr>
            </w:pPr>
            <w:r>
              <w:rPr>
                <w:sz w:val="21"/>
              </w:rPr>
              <w:t>险合同自宽限期满的次日零时起效力中止。</w:t>
            </w:r>
          </w:p>
        </w:tc>
      </w:tr>
      <w:tr>
        <w:trPr>
          <w:trHeight w:val="743" w:hRule="atLeast"/>
        </w:trPr>
        <w:tc>
          <w:tcPr>
            <w:tcW w:w="765" w:type="dxa"/>
            <w:tcBorders>
              <w:bottom w:val="single" w:sz="4" w:space="0" w:color="000000"/>
            </w:tcBorders>
          </w:tcPr>
          <w:p>
            <w:pPr>
              <w:pStyle w:val="TableParagraph"/>
              <w:spacing w:before="127"/>
              <w:ind w:left="110"/>
              <w:rPr>
                <w:rFonts w:ascii="Wingdings" w:hAnsi="Wingdings"/>
                <w:sz w:val="52"/>
              </w:rPr>
            </w:pPr>
            <w:r>
              <w:rPr>
                <w:rFonts w:ascii="Wingdings" w:hAnsi="Wingdings"/>
                <w:w w:val="84"/>
                <w:sz w:val="52"/>
              </w:rPr>
              <w:t></w:t>
            </w:r>
          </w:p>
        </w:tc>
        <w:tc>
          <w:tcPr>
            <w:tcW w:w="9394" w:type="dxa"/>
            <w:gridSpan w:val="2"/>
            <w:tcBorders>
              <w:bottom w:val="single" w:sz="4" w:space="0" w:color="000000"/>
            </w:tcBorders>
          </w:tcPr>
          <w:p>
            <w:pPr>
              <w:pStyle w:val="TableParagraph"/>
              <w:spacing w:before="205"/>
              <w:ind w:left="190"/>
              <w:rPr>
                <w:b/>
                <w:sz w:val="28"/>
              </w:rPr>
            </w:pPr>
            <w:r>
              <w:rPr>
                <w:b/>
                <w:sz w:val="28"/>
              </w:rPr>
              <w:t>现金价值权益</w:t>
            </w:r>
          </w:p>
        </w:tc>
      </w:tr>
      <w:tr>
        <w:trPr>
          <w:trHeight w:val="999" w:hRule="atLeast"/>
        </w:trPr>
        <w:tc>
          <w:tcPr>
            <w:tcW w:w="765" w:type="dxa"/>
            <w:tcBorders>
              <w:top w:val="single" w:sz="4" w:space="0" w:color="000000"/>
            </w:tcBorders>
          </w:tcPr>
          <w:p>
            <w:pPr>
              <w:pStyle w:val="TableParagraph"/>
              <w:spacing w:before="9"/>
              <w:ind w:left="0"/>
              <w:rPr>
                <w:sz w:val="15"/>
              </w:rPr>
            </w:pPr>
          </w:p>
          <w:p>
            <w:pPr>
              <w:pStyle w:val="TableParagraph"/>
              <w:ind w:left="110"/>
              <w:rPr>
                <w:b/>
                <w:sz w:val="21"/>
              </w:rPr>
            </w:pPr>
            <w:r>
              <w:rPr>
                <w:b/>
                <w:sz w:val="21"/>
              </w:rPr>
              <w:t>5.1</w:t>
            </w:r>
          </w:p>
        </w:tc>
        <w:tc>
          <w:tcPr>
            <w:tcW w:w="1783" w:type="dxa"/>
            <w:tcBorders>
              <w:top w:val="single" w:sz="4" w:space="0" w:color="000000"/>
            </w:tcBorders>
          </w:tcPr>
          <w:p>
            <w:pPr>
              <w:pStyle w:val="TableParagraph"/>
              <w:spacing w:before="9"/>
              <w:ind w:left="0"/>
              <w:rPr>
                <w:sz w:val="15"/>
              </w:rPr>
            </w:pPr>
          </w:p>
          <w:p>
            <w:pPr>
              <w:pStyle w:val="TableParagraph"/>
              <w:ind w:left="190"/>
              <w:rPr>
                <w:b/>
                <w:sz w:val="21"/>
              </w:rPr>
            </w:pPr>
            <w:r>
              <w:rPr>
                <w:b/>
                <w:sz w:val="21"/>
              </w:rPr>
              <w:t>现金价值</w:t>
            </w:r>
          </w:p>
        </w:tc>
        <w:tc>
          <w:tcPr>
            <w:tcW w:w="7611" w:type="dxa"/>
            <w:tcBorders>
              <w:top w:val="single" w:sz="4" w:space="0" w:color="000000"/>
            </w:tcBorders>
          </w:tcPr>
          <w:p>
            <w:pPr>
              <w:pStyle w:val="TableParagraph"/>
              <w:spacing w:before="9"/>
              <w:ind w:left="0"/>
              <w:rPr>
                <w:sz w:val="15"/>
              </w:rPr>
            </w:pPr>
          </w:p>
          <w:p>
            <w:pPr>
              <w:pStyle w:val="TableParagraph"/>
              <w:spacing w:line="273" w:lineRule="auto"/>
              <w:ind w:left="113" w:right="101"/>
              <w:rPr>
                <w:sz w:val="21"/>
              </w:rPr>
            </w:pPr>
            <w:r>
              <w:rPr>
                <w:sz w:val="21"/>
              </w:rPr>
              <w:t>本主险合同保险单年度末的现金价值会在保险单上载明，保险单年度内的现金价值，您可以向我们咨询。</w:t>
            </w:r>
          </w:p>
        </w:tc>
      </w:tr>
      <w:tr>
        <w:trPr>
          <w:trHeight w:val="3069" w:hRule="atLeast"/>
        </w:trPr>
        <w:tc>
          <w:tcPr>
            <w:tcW w:w="765" w:type="dxa"/>
          </w:tcPr>
          <w:p>
            <w:pPr>
              <w:pStyle w:val="TableParagraph"/>
              <w:spacing w:before="142"/>
              <w:ind w:left="110"/>
              <w:rPr>
                <w:b/>
                <w:sz w:val="21"/>
              </w:rPr>
            </w:pPr>
            <w:r>
              <w:rPr>
                <w:b/>
                <w:sz w:val="21"/>
              </w:rPr>
              <w:t>5.2</w:t>
            </w:r>
          </w:p>
        </w:tc>
        <w:tc>
          <w:tcPr>
            <w:tcW w:w="1783" w:type="dxa"/>
          </w:tcPr>
          <w:p>
            <w:pPr>
              <w:pStyle w:val="TableParagraph"/>
              <w:spacing w:before="142"/>
              <w:ind w:left="190"/>
              <w:rPr>
                <w:b/>
                <w:sz w:val="21"/>
              </w:rPr>
            </w:pPr>
            <w:r>
              <w:rPr>
                <w:b/>
                <w:sz w:val="21"/>
              </w:rPr>
              <w:t>保险单借款</w:t>
            </w:r>
          </w:p>
        </w:tc>
        <w:tc>
          <w:tcPr>
            <w:tcW w:w="7611" w:type="dxa"/>
          </w:tcPr>
          <w:p>
            <w:pPr>
              <w:pStyle w:val="TableParagraph"/>
              <w:spacing w:line="273" w:lineRule="auto" w:before="142"/>
              <w:ind w:left="113" w:right="-15"/>
              <w:rPr>
                <w:sz w:val="21"/>
              </w:rPr>
            </w:pPr>
            <w:r>
              <w:rPr>
                <w:sz w:val="21"/>
              </w:rPr>
              <w:t>在本主险合同有效期内，且在本主险合同生效满一年后，经我们同意，您可以凭保险单向我们申请借款。借款金额不得超过借款时保险合同实际具有的现金价值</w:t>
            </w:r>
            <w:r>
              <w:rPr>
                <w:spacing w:val="-7"/>
                <w:sz w:val="21"/>
              </w:rPr>
              <w:t>扣除各项欠款后余额的 </w:t>
            </w:r>
            <w:r>
              <w:rPr>
                <w:spacing w:val="-4"/>
                <w:sz w:val="21"/>
              </w:rPr>
              <w:t>80％，每次借款期限最长不超过六个月，借款利率按我们</w:t>
            </w:r>
            <w:r>
              <w:rPr>
                <w:spacing w:val="-9"/>
                <w:sz w:val="21"/>
              </w:rPr>
              <w:t>当时确定的利率执行，并在借款协议中载明。借款本息应在借款到期前全部归还， 若您到期未能足额偿还借款本息，则您所欠的借款本金及利息将作为新的借款本</w:t>
            </w:r>
            <w:r>
              <w:rPr>
                <w:spacing w:val="-6"/>
                <w:sz w:val="21"/>
              </w:rPr>
              <w:t>金计息。</w:t>
            </w:r>
          </w:p>
          <w:p>
            <w:pPr>
              <w:pStyle w:val="TableParagraph"/>
              <w:spacing w:line="259" w:lineRule="auto"/>
              <w:ind w:left="113" w:right="104"/>
              <w:rPr>
                <w:b/>
                <w:i/>
                <w:sz w:val="22"/>
              </w:rPr>
            </w:pPr>
            <w:r>
              <w:rPr>
                <w:b/>
                <w:i/>
                <w:w w:val="95"/>
                <w:sz w:val="22"/>
              </w:rPr>
              <w:t>当未还借款本金及利息加上其他各项欠款达到保险合同实际具有的现金价值时， 保险合同效力即行中止。</w:t>
            </w:r>
          </w:p>
          <w:p>
            <w:pPr>
              <w:pStyle w:val="TableParagraph"/>
              <w:spacing w:before="22"/>
              <w:ind w:left="113"/>
              <w:rPr>
                <w:sz w:val="21"/>
              </w:rPr>
            </w:pPr>
            <w:r>
              <w:rPr>
                <w:sz w:val="21"/>
              </w:rPr>
              <w:t>本条中所称的“保险合同”包括本主险合同及其附加险合同。</w:t>
            </w:r>
          </w:p>
        </w:tc>
      </w:tr>
      <w:tr>
        <w:trPr>
          <w:trHeight w:val="743" w:hRule="atLeast"/>
        </w:trPr>
        <w:tc>
          <w:tcPr>
            <w:tcW w:w="765" w:type="dxa"/>
            <w:tcBorders>
              <w:bottom w:val="single" w:sz="4" w:space="0" w:color="000000"/>
            </w:tcBorders>
          </w:tcPr>
          <w:p>
            <w:pPr>
              <w:pStyle w:val="TableParagraph"/>
              <w:spacing w:before="127"/>
              <w:ind w:left="110"/>
              <w:rPr>
                <w:rFonts w:ascii="Wingdings" w:hAnsi="Wingdings"/>
                <w:sz w:val="52"/>
              </w:rPr>
            </w:pPr>
            <w:r>
              <w:rPr>
                <w:rFonts w:ascii="Wingdings" w:hAnsi="Wingdings"/>
                <w:w w:val="100"/>
                <w:sz w:val="52"/>
              </w:rPr>
              <w:t></w:t>
            </w:r>
          </w:p>
        </w:tc>
        <w:tc>
          <w:tcPr>
            <w:tcW w:w="9394" w:type="dxa"/>
            <w:gridSpan w:val="2"/>
            <w:tcBorders>
              <w:bottom w:val="single" w:sz="4" w:space="0" w:color="000000"/>
            </w:tcBorders>
          </w:tcPr>
          <w:p>
            <w:pPr>
              <w:pStyle w:val="TableParagraph"/>
              <w:spacing w:before="205"/>
              <w:ind w:left="190"/>
              <w:rPr>
                <w:b/>
                <w:sz w:val="28"/>
              </w:rPr>
            </w:pPr>
            <w:r>
              <w:rPr>
                <w:b/>
                <w:w w:val="95"/>
                <w:sz w:val="28"/>
              </w:rPr>
              <w:t>合同效力的中止及恢复</w:t>
            </w:r>
          </w:p>
        </w:tc>
      </w:tr>
      <w:tr>
        <w:trPr>
          <w:trHeight w:val="644" w:hRule="atLeast"/>
        </w:trPr>
        <w:tc>
          <w:tcPr>
            <w:tcW w:w="765" w:type="dxa"/>
            <w:tcBorders>
              <w:top w:val="single" w:sz="4" w:space="0" w:color="000000"/>
            </w:tcBorders>
          </w:tcPr>
          <w:p>
            <w:pPr>
              <w:pStyle w:val="TableParagraph"/>
              <w:spacing w:before="9"/>
              <w:ind w:left="0"/>
              <w:rPr>
                <w:sz w:val="15"/>
              </w:rPr>
            </w:pPr>
          </w:p>
          <w:p>
            <w:pPr>
              <w:pStyle w:val="TableParagraph"/>
              <w:ind w:left="110"/>
              <w:rPr>
                <w:b/>
                <w:sz w:val="21"/>
              </w:rPr>
            </w:pPr>
            <w:r>
              <w:rPr>
                <w:b/>
                <w:sz w:val="21"/>
              </w:rPr>
              <w:t>6.1</w:t>
            </w:r>
          </w:p>
        </w:tc>
        <w:tc>
          <w:tcPr>
            <w:tcW w:w="1783" w:type="dxa"/>
            <w:tcBorders>
              <w:top w:val="single" w:sz="4" w:space="0" w:color="000000"/>
            </w:tcBorders>
          </w:tcPr>
          <w:p>
            <w:pPr>
              <w:pStyle w:val="TableParagraph"/>
              <w:spacing w:before="9"/>
              <w:ind w:left="0"/>
              <w:rPr>
                <w:sz w:val="15"/>
              </w:rPr>
            </w:pPr>
          </w:p>
          <w:p>
            <w:pPr>
              <w:pStyle w:val="TableParagraph"/>
              <w:ind w:left="190"/>
              <w:rPr>
                <w:b/>
                <w:sz w:val="21"/>
              </w:rPr>
            </w:pPr>
            <w:r>
              <w:rPr>
                <w:b/>
                <w:sz w:val="21"/>
              </w:rPr>
              <w:t>效力中止</w:t>
            </w:r>
          </w:p>
        </w:tc>
        <w:tc>
          <w:tcPr>
            <w:tcW w:w="7611" w:type="dxa"/>
            <w:tcBorders>
              <w:top w:val="single" w:sz="4" w:space="0" w:color="000000"/>
            </w:tcBorders>
          </w:tcPr>
          <w:p>
            <w:pPr>
              <w:pStyle w:val="TableParagraph"/>
              <w:spacing w:before="194"/>
              <w:ind w:left="113"/>
              <w:rPr>
                <w:b/>
                <w:i/>
                <w:sz w:val="22"/>
              </w:rPr>
            </w:pPr>
            <w:r>
              <w:rPr>
                <w:b/>
                <w:i/>
                <w:w w:val="95"/>
                <w:sz w:val="22"/>
              </w:rPr>
              <w:t>在本主险合同效力中止期间，我们不承担保险责任。</w:t>
            </w:r>
          </w:p>
        </w:tc>
      </w:tr>
      <w:tr>
        <w:trPr>
          <w:trHeight w:val="1778" w:hRule="atLeast"/>
        </w:trPr>
        <w:tc>
          <w:tcPr>
            <w:tcW w:w="765" w:type="dxa"/>
          </w:tcPr>
          <w:p>
            <w:pPr>
              <w:pStyle w:val="TableParagraph"/>
              <w:spacing w:before="99"/>
              <w:ind w:left="110"/>
              <w:rPr>
                <w:b/>
                <w:sz w:val="21"/>
              </w:rPr>
            </w:pPr>
            <w:r>
              <w:rPr>
                <w:b/>
                <w:sz w:val="21"/>
              </w:rPr>
              <w:t>6.2</w:t>
            </w:r>
          </w:p>
        </w:tc>
        <w:tc>
          <w:tcPr>
            <w:tcW w:w="1783" w:type="dxa"/>
          </w:tcPr>
          <w:p>
            <w:pPr>
              <w:pStyle w:val="TableParagraph"/>
              <w:spacing w:before="99"/>
              <w:ind w:left="190"/>
              <w:rPr>
                <w:b/>
                <w:sz w:val="21"/>
              </w:rPr>
            </w:pPr>
            <w:r>
              <w:rPr>
                <w:b/>
                <w:sz w:val="21"/>
              </w:rPr>
              <w:t>效力恢复</w:t>
            </w:r>
          </w:p>
        </w:tc>
        <w:tc>
          <w:tcPr>
            <w:tcW w:w="7611" w:type="dxa"/>
          </w:tcPr>
          <w:p>
            <w:pPr>
              <w:pStyle w:val="TableParagraph"/>
              <w:spacing w:line="273" w:lineRule="auto" w:before="99"/>
              <w:ind w:left="113" w:right="98"/>
              <w:jc w:val="both"/>
              <w:rPr>
                <w:sz w:val="21"/>
              </w:rPr>
            </w:pPr>
            <w:r>
              <w:rPr>
                <w:spacing w:val="-5"/>
                <w:sz w:val="21"/>
              </w:rPr>
              <w:t>本主险合同效力中止后 </w:t>
            </w:r>
            <w:r>
              <w:rPr>
                <w:sz w:val="21"/>
              </w:rPr>
              <w:t>2</w:t>
            </w:r>
            <w:r>
              <w:rPr>
                <w:spacing w:val="-5"/>
                <w:sz w:val="21"/>
              </w:rPr>
              <w:t> 年内，您可以申请恢复本主险合同效力。经我们与您协商并达成协议，在您补交保险费或偿还保险单借款本息之日起，本主险合同效力恢复。</w:t>
            </w:r>
          </w:p>
          <w:p>
            <w:pPr>
              <w:pStyle w:val="TableParagraph"/>
              <w:spacing w:line="273" w:lineRule="auto" w:before="8"/>
              <w:ind w:left="113" w:right="100"/>
              <w:jc w:val="both"/>
              <w:rPr>
                <w:sz w:val="21"/>
              </w:rPr>
            </w:pPr>
            <w:r>
              <w:rPr>
                <w:spacing w:val="-4"/>
                <w:sz w:val="21"/>
              </w:rPr>
              <w:t>自本主险合同效力中止之日起满 </w:t>
            </w:r>
            <w:r>
              <w:rPr>
                <w:sz w:val="21"/>
              </w:rPr>
              <w:t>2</w:t>
            </w:r>
            <w:r>
              <w:rPr>
                <w:spacing w:val="-5"/>
                <w:sz w:val="21"/>
              </w:rPr>
              <w:t> 年您和我们未达成协议的，我们有权解除本主</w:t>
            </w:r>
            <w:r>
              <w:rPr>
                <w:spacing w:val="-3"/>
                <w:sz w:val="21"/>
              </w:rPr>
              <w:t>险合同。我们解除本主险合同的，向您退还本主险合同效力中止日的现金价值。</w:t>
            </w:r>
          </w:p>
        </w:tc>
      </w:tr>
      <w:tr>
        <w:trPr>
          <w:trHeight w:val="744" w:hRule="atLeast"/>
        </w:trPr>
        <w:tc>
          <w:tcPr>
            <w:tcW w:w="765" w:type="dxa"/>
            <w:tcBorders>
              <w:bottom w:val="single" w:sz="4" w:space="0" w:color="000000"/>
            </w:tcBorders>
          </w:tcPr>
          <w:p>
            <w:pPr>
              <w:pStyle w:val="TableParagraph"/>
              <w:spacing w:before="108"/>
              <w:ind w:left="110"/>
              <w:rPr>
                <w:rFonts w:ascii="Arial" w:hAnsi="Arial"/>
                <w:b/>
                <w:sz w:val="52"/>
              </w:rPr>
            </w:pPr>
            <w:r>
              <w:rPr>
                <w:rFonts w:ascii="Arial" w:hAnsi="Arial"/>
                <w:b/>
                <w:w w:val="119"/>
                <w:sz w:val="52"/>
              </w:rPr>
              <w:t></w:t>
            </w:r>
          </w:p>
        </w:tc>
        <w:tc>
          <w:tcPr>
            <w:tcW w:w="9394" w:type="dxa"/>
            <w:gridSpan w:val="2"/>
            <w:tcBorders>
              <w:bottom w:val="single" w:sz="4" w:space="0" w:color="000000"/>
            </w:tcBorders>
          </w:tcPr>
          <w:p>
            <w:pPr>
              <w:pStyle w:val="TableParagraph"/>
              <w:spacing w:before="206"/>
              <w:ind w:left="190"/>
              <w:rPr>
                <w:b/>
                <w:sz w:val="28"/>
              </w:rPr>
            </w:pPr>
            <w:r>
              <w:rPr>
                <w:b/>
                <w:w w:val="95"/>
                <w:sz w:val="28"/>
              </w:rPr>
              <w:t>如何解除保险合同</w:t>
            </w:r>
          </w:p>
        </w:tc>
      </w:tr>
      <w:tr>
        <w:trPr>
          <w:trHeight w:val="3445" w:hRule="atLeast"/>
        </w:trPr>
        <w:tc>
          <w:tcPr>
            <w:tcW w:w="765" w:type="dxa"/>
            <w:tcBorders>
              <w:top w:val="single" w:sz="4" w:space="0" w:color="000000"/>
            </w:tcBorders>
          </w:tcPr>
          <w:p>
            <w:pPr>
              <w:pStyle w:val="TableParagraph"/>
              <w:spacing w:before="9"/>
              <w:ind w:left="0"/>
              <w:rPr>
                <w:sz w:val="15"/>
              </w:rPr>
            </w:pPr>
          </w:p>
          <w:p>
            <w:pPr>
              <w:pStyle w:val="TableParagraph"/>
              <w:ind w:left="110"/>
              <w:rPr>
                <w:b/>
                <w:sz w:val="21"/>
              </w:rPr>
            </w:pPr>
            <w:r>
              <w:rPr>
                <w:b/>
                <w:sz w:val="21"/>
              </w:rPr>
              <w:t>7.1</w:t>
            </w:r>
          </w:p>
        </w:tc>
        <w:tc>
          <w:tcPr>
            <w:tcW w:w="1783" w:type="dxa"/>
            <w:tcBorders>
              <w:top w:val="single" w:sz="4" w:space="0" w:color="000000"/>
            </w:tcBorders>
          </w:tcPr>
          <w:p>
            <w:pPr>
              <w:pStyle w:val="TableParagraph"/>
              <w:spacing w:before="9"/>
              <w:ind w:left="0"/>
              <w:rPr>
                <w:sz w:val="15"/>
              </w:rPr>
            </w:pPr>
          </w:p>
          <w:p>
            <w:pPr>
              <w:pStyle w:val="TableParagraph"/>
              <w:spacing w:line="273" w:lineRule="auto"/>
              <w:ind w:left="190" w:right="111"/>
              <w:rPr>
                <w:b/>
                <w:sz w:val="21"/>
              </w:rPr>
            </w:pPr>
            <w:r>
              <w:rPr>
                <w:b/>
                <w:sz w:val="21"/>
              </w:rPr>
              <w:t>您解除合同的手续及风险</w:t>
            </w:r>
          </w:p>
        </w:tc>
        <w:tc>
          <w:tcPr>
            <w:tcW w:w="7611" w:type="dxa"/>
            <w:tcBorders>
              <w:top w:val="single" w:sz="4" w:space="0" w:color="000000"/>
            </w:tcBorders>
          </w:tcPr>
          <w:p>
            <w:pPr>
              <w:pStyle w:val="TableParagraph"/>
              <w:spacing w:before="9"/>
              <w:ind w:left="0"/>
              <w:rPr>
                <w:sz w:val="15"/>
              </w:rPr>
            </w:pPr>
          </w:p>
          <w:p>
            <w:pPr>
              <w:pStyle w:val="TableParagraph"/>
              <w:spacing w:line="273" w:lineRule="auto"/>
              <w:ind w:left="113" w:right="137"/>
              <w:rPr>
                <w:sz w:val="21"/>
              </w:rPr>
            </w:pPr>
            <w:r>
              <w:rPr>
                <w:sz w:val="21"/>
              </w:rPr>
              <w:t>您在犹豫期后，可以书面通知要求解除本主险合同，并向我们提供下列证明和资料：</w:t>
            </w:r>
          </w:p>
          <w:p>
            <w:pPr>
              <w:pStyle w:val="TableParagraph"/>
              <w:numPr>
                <w:ilvl w:val="0"/>
                <w:numId w:val="7"/>
              </w:numPr>
              <w:tabs>
                <w:tab w:pos="746" w:val="left" w:leader="none"/>
              </w:tabs>
              <w:spacing w:line="240" w:lineRule="auto" w:before="8" w:after="0"/>
              <w:ind w:left="745" w:right="0" w:hanging="631"/>
              <w:jc w:val="left"/>
              <w:rPr>
                <w:sz w:val="21"/>
              </w:rPr>
            </w:pPr>
            <w:r>
              <w:rPr>
                <w:spacing w:val="-3"/>
                <w:sz w:val="21"/>
              </w:rPr>
              <w:t>保险合同原件；</w:t>
            </w:r>
          </w:p>
          <w:p>
            <w:pPr>
              <w:pStyle w:val="TableParagraph"/>
              <w:numPr>
                <w:ilvl w:val="0"/>
                <w:numId w:val="7"/>
              </w:numPr>
              <w:tabs>
                <w:tab w:pos="746" w:val="left" w:leader="none"/>
              </w:tabs>
              <w:spacing w:line="240" w:lineRule="auto" w:before="37" w:after="0"/>
              <w:ind w:left="745" w:right="0" w:hanging="631"/>
              <w:jc w:val="left"/>
              <w:rPr>
                <w:sz w:val="21"/>
              </w:rPr>
            </w:pPr>
            <w:r>
              <w:rPr>
                <w:spacing w:val="-3"/>
                <w:sz w:val="21"/>
              </w:rPr>
              <w:t>解除合同申请书；</w:t>
            </w:r>
          </w:p>
          <w:p>
            <w:pPr>
              <w:pStyle w:val="TableParagraph"/>
              <w:numPr>
                <w:ilvl w:val="0"/>
                <w:numId w:val="7"/>
              </w:numPr>
              <w:tabs>
                <w:tab w:pos="746" w:val="left" w:leader="none"/>
              </w:tabs>
              <w:spacing w:line="240" w:lineRule="auto" w:before="37" w:after="0"/>
              <w:ind w:left="745" w:right="0" w:hanging="631"/>
              <w:jc w:val="left"/>
              <w:rPr>
                <w:sz w:val="21"/>
              </w:rPr>
            </w:pPr>
            <w:r>
              <w:rPr>
                <w:spacing w:val="-3"/>
                <w:sz w:val="21"/>
              </w:rPr>
              <w:t>您的有效身份证件。</w:t>
            </w:r>
          </w:p>
          <w:p>
            <w:pPr>
              <w:pStyle w:val="TableParagraph"/>
              <w:spacing w:line="273" w:lineRule="auto" w:before="37"/>
              <w:ind w:left="113" w:right="103"/>
              <w:rPr>
                <w:sz w:val="21"/>
              </w:rPr>
            </w:pPr>
            <w:r>
              <w:rPr>
                <w:sz w:val="21"/>
              </w:rPr>
              <w:t>自我们收到解除合同申请书时起，本主险合同终止。我们在收到上述证明和资料之日起 30 日内向您退还本主险合同现金价值。</w:t>
            </w:r>
          </w:p>
          <w:p>
            <w:pPr>
              <w:pStyle w:val="TableParagraph"/>
              <w:spacing w:line="259" w:lineRule="auto"/>
              <w:ind w:left="113" w:right="101"/>
              <w:jc w:val="both"/>
              <w:rPr>
                <w:b/>
                <w:i/>
                <w:sz w:val="22"/>
              </w:rPr>
            </w:pPr>
            <w:r>
              <w:rPr>
                <w:b/>
                <w:i/>
                <w:w w:val="95"/>
                <w:sz w:val="22"/>
              </w:rPr>
              <w:t>您在犹豫期后解除本主险合同会遭受一定损失。但在被保险人或受益人已向您支付相当于本主险合同现金价值的款项并通知我们的情况下，您解除本主险合同应经被保险人或受益人同意。</w:t>
            </w:r>
          </w:p>
        </w:tc>
      </w:tr>
      <w:tr>
        <w:trPr>
          <w:trHeight w:val="742" w:hRule="atLeast"/>
        </w:trPr>
        <w:tc>
          <w:tcPr>
            <w:tcW w:w="765" w:type="dxa"/>
            <w:tcBorders>
              <w:bottom w:val="single" w:sz="4" w:space="0" w:color="000000"/>
            </w:tcBorders>
          </w:tcPr>
          <w:p>
            <w:pPr>
              <w:pStyle w:val="TableParagraph"/>
              <w:spacing w:before="106"/>
              <w:ind w:left="110"/>
              <w:rPr>
                <w:rFonts w:ascii="Arial" w:hAnsi="Arial"/>
                <w:b/>
                <w:sz w:val="52"/>
              </w:rPr>
            </w:pPr>
            <w:r>
              <w:rPr>
                <w:rFonts w:ascii="Arial" w:hAnsi="Arial"/>
                <w:b/>
                <w:w w:val="119"/>
                <w:sz w:val="52"/>
              </w:rPr>
              <w:t></w:t>
            </w:r>
          </w:p>
        </w:tc>
        <w:tc>
          <w:tcPr>
            <w:tcW w:w="9394" w:type="dxa"/>
            <w:gridSpan w:val="2"/>
            <w:tcBorders>
              <w:bottom w:val="single" w:sz="4" w:space="0" w:color="000000"/>
            </w:tcBorders>
          </w:tcPr>
          <w:p>
            <w:pPr>
              <w:pStyle w:val="TableParagraph"/>
              <w:spacing w:before="204"/>
              <w:ind w:left="190"/>
              <w:rPr>
                <w:b/>
                <w:sz w:val="28"/>
              </w:rPr>
            </w:pPr>
            <w:r>
              <w:rPr>
                <w:b/>
                <w:w w:val="95"/>
                <w:sz w:val="28"/>
              </w:rPr>
              <w:t>其他需要关注的事项</w:t>
            </w:r>
          </w:p>
        </w:tc>
      </w:tr>
      <w:tr>
        <w:trPr>
          <w:trHeight w:val="793" w:hRule="atLeast"/>
        </w:trPr>
        <w:tc>
          <w:tcPr>
            <w:tcW w:w="765" w:type="dxa"/>
            <w:tcBorders>
              <w:top w:val="single" w:sz="4" w:space="0" w:color="000000"/>
            </w:tcBorders>
          </w:tcPr>
          <w:p>
            <w:pPr>
              <w:pStyle w:val="TableParagraph"/>
              <w:spacing w:before="9"/>
              <w:ind w:left="0"/>
              <w:rPr>
                <w:sz w:val="15"/>
              </w:rPr>
            </w:pPr>
          </w:p>
          <w:p>
            <w:pPr>
              <w:pStyle w:val="TableParagraph"/>
              <w:spacing w:before="1"/>
              <w:ind w:left="110"/>
              <w:rPr>
                <w:b/>
                <w:sz w:val="21"/>
              </w:rPr>
            </w:pPr>
            <w:r>
              <w:rPr>
                <w:b/>
                <w:sz w:val="21"/>
              </w:rPr>
              <w:t>8.1</w:t>
            </w:r>
          </w:p>
        </w:tc>
        <w:tc>
          <w:tcPr>
            <w:tcW w:w="1783" w:type="dxa"/>
            <w:tcBorders>
              <w:top w:val="single" w:sz="4" w:space="0" w:color="000000"/>
            </w:tcBorders>
          </w:tcPr>
          <w:p>
            <w:pPr>
              <w:pStyle w:val="TableParagraph"/>
              <w:spacing w:line="310" w:lineRule="atLeast" w:before="171"/>
              <w:ind w:left="190" w:right="111"/>
              <w:rPr>
                <w:b/>
                <w:sz w:val="21"/>
              </w:rPr>
            </w:pPr>
            <w:r>
              <w:rPr>
                <w:b/>
                <w:sz w:val="21"/>
              </w:rPr>
              <w:t>明确说明与如实告知</w:t>
            </w:r>
          </w:p>
        </w:tc>
        <w:tc>
          <w:tcPr>
            <w:tcW w:w="7611" w:type="dxa"/>
            <w:tcBorders>
              <w:top w:val="single" w:sz="4" w:space="0" w:color="000000"/>
            </w:tcBorders>
          </w:tcPr>
          <w:p>
            <w:pPr>
              <w:pStyle w:val="TableParagraph"/>
              <w:spacing w:before="9"/>
              <w:ind w:left="0"/>
              <w:rPr>
                <w:sz w:val="15"/>
              </w:rPr>
            </w:pPr>
          </w:p>
          <w:p>
            <w:pPr>
              <w:pStyle w:val="TableParagraph"/>
              <w:spacing w:before="1"/>
              <w:ind w:left="113"/>
              <w:rPr>
                <w:sz w:val="21"/>
              </w:rPr>
            </w:pPr>
            <w:r>
              <w:rPr>
                <w:sz w:val="21"/>
              </w:rPr>
              <w:t>订立本主险合同时，我们应向您说明本主险合同的内容。</w:t>
            </w:r>
          </w:p>
          <w:p>
            <w:pPr>
              <w:pStyle w:val="TableParagraph"/>
              <w:spacing w:line="255" w:lineRule="exact" w:before="37"/>
              <w:ind w:left="113"/>
              <w:rPr>
                <w:sz w:val="21"/>
              </w:rPr>
            </w:pPr>
            <w:r>
              <w:rPr>
                <w:sz w:val="21"/>
              </w:rPr>
              <w:t>对保险条款中免除我们责任的条款，我们在订立本主险合同时应当在投保单、保</w:t>
            </w:r>
          </w:p>
        </w:tc>
      </w:tr>
    </w:tbl>
    <w:p>
      <w:pPr>
        <w:spacing w:after="0" w:line="255" w:lineRule="exact"/>
        <w:rPr>
          <w:sz w:val="21"/>
        </w:rPr>
        <w:sectPr>
          <w:pgSz w:w="11910" w:h="16840"/>
          <w:pgMar w:header="0" w:footer="896" w:top="1280" w:bottom="1080" w:left="880" w:right="6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856"/>
        <w:gridCol w:w="7815"/>
      </w:tblGrid>
      <w:tr>
        <w:trPr>
          <w:trHeight w:val="3807" w:hRule="atLeast"/>
        </w:trPr>
        <w:tc>
          <w:tcPr>
            <w:tcW w:w="781" w:type="dxa"/>
          </w:tcPr>
          <w:p>
            <w:pPr>
              <w:pStyle w:val="TableParagraph"/>
              <w:ind w:left="0"/>
              <w:rPr>
                <w:rFonts w:ascii="Times New Roman"/>
                <w:sz w:val="20"/>
              </w:rPr>
            </w:pPr>
          </w:p>
        </w:tc>
        <w:tc>
          <w:tcPr>
            <w:tcW w:w="1856" w:type="dxa"/>
          </w:tcPr>
          <w:p>
            <w:pPr>
              <w:pStyle w:val="TableParagraph"/>
              <w:ind w:left="0"/>
              <w:rPr>
                <w:rFonts w:ascii="Times New Roman"/>
                <w:sz w:val="20"/>
              </w:rPr>
            </w:pPr>
          </w:p>
        </w:tc>
        <w:tc>
          <w:tcPr>
            <w:tcW w:w="7815" w:type="dxa"/>
          </w:tcPr>
          <w:p>
            <w:pPr>
              <w:pStyle w:val="TableParagraph"/>
              <w:spacing w:line="211" w:lineRule="exact"/>
              <w:ind w:left="114"/>
              <w:rPr>
                <w:sz w:val="21"/>
              </w:rPr>
            </w:pPr>
            <w:r>
              <w:rPr>
                <w:sz w:val="21"/>
              </w:rPr>
              <w:t>险单或者其他保险凭证上作出足以引起您注意的提示，并对该条款的内容以书面</w:t>
            </w:r>
          </w:p>
          <w:p>
            <w:pPr>
              <w:pStyle w:val="TableParagraph"/>
              <w:spacing w:line="273" w:lineRule="auto" w:before="37"/>
              <w:ind w:left="114" w:right="199"/>
              <w:rPr>
                <w:sz w:val="21"/>
              </w:rPr>
            </w:pPr>
            <w:r>
              <w:rPr>
                <w:spacing w:val="-8"/>
                <w:sz w:val="21"/>
              </w:rPr>
              <w:t>或者口头形式向您作出明确说明，未作提示或者明确说明的，该条款不产生效力。</w:t>
            </w:r>
            <w:r>
              <w:rPr>
                <w:spacing w:val="-5"/>
                <w:sz w:val="21"/>
              </w:rPr>
              <w:t>我们就您和被保险人的有关情况提出询问，您应当如实告知。</w:t>
            </w:r>
          </w:p>
          <w:p>
            <w:pPr>
              <w:pStyle w:val="TableParagraph"/>
              <w:spacing w:line="259" w:lineRule="auto"/>
              <w:ind w:left="114" w:right="320"/>
              <w:jc w:val="both"/>
              <w:rPr>
                <w:b/>
                <w:i/>
                <w:sz w:val="22"/>
              </w:rPr>
            </w:pPr>
            <w:r>
              <w:rPr>
                <w:b/>
                <w:i/>
                <w:w w:val="95"/>
                <w:sz w:val="22"/>
              </w:rPr>
              <w:t>如果您故意或者因重大过失未履行前款规定的如实告知义务，足以影响我们决定是否同意承保或者提高保险费率的，我们有权解除本主险合同。</w:t>
            </w:r>
          </w:p>
          <w:p>
            <w:pPr>
              <w:pStyle w:val="TableParagraph"/>
              <w:spacing w:line="259" w:lineRule="auto" w:before="11"/>
              <w:ind w:left="114" w:right="319"/>
              <w:jc w:val="both"/>
              <w:rPr>
                <w:b/>
                <w:i/>
                <w:sz w:val="22"/>
              </w:rPr>
            </w:pPr>
            <w:r>
              <w:rPr>
                <w:b/>
                <w:i/>
                <w:w w:val="95"/>
                <w:sz w:val="22"/>
              </w:rPr>
              <w:t>如果您故意不履行如实告知义务，对于本主险合同解除前发生的保险事故，我们不承担给付保险金的责任，并不退还保险费。</w:t>
            </w:r>
          </w:p>
          <w:p>
            <w:pPr>
              <w:pStyle w:val="TableParagraph"/>
              <w:spacing w:line="259" w:lineRule="auto" w:before="6"/>
              <w:ind w:left="114" w:right="319"/>
              <w:jc w:val="both"/>
              <w:rPr>
                <w:b/>
                <w:i/>
                <w:sz w:val="22"/>
              </w:rPr>
            </w:pPr>
            <w:r>
              <w:rPr>
                <w:b/>
                <w:i/>
                <w:w w:val="95"/>
                <w:sz w:val="22"/>
              </w:rPr>
              <w:t>如果您因重大过失未履行如实告知义务，对保险事故的发生有严重影响的，对于本主险合同解除前发生的保险事故，我们不承担给付保险金的责任，但应当退还保险费。</w:t>
            </w:r>
          </w:p>
          <w:p>
            <w:pPr>
              <w:pStyle w:val="TableParagraph"/>
              <w:spacing w:line="273" w:lineRule="auto" w:before="17"/>
              <w:ind w:left="114" w:right="340"/>
              <w:jc w:val="both"/>
              <w:rPr>
                <w:sz w:val="21"/>
              </w:rPr>
            </w:pPr>
            <w:r>
              <w:rPr>
                <w:sz w:val="21"/>
              </w:rPr>
              <w:t>我们在本主险合同订立时已经知道您未如实告知的情况的，我们不得解除本主险合同；发生保险事故的，我们承担给付保险金的责任。</w:t>
            </w:r>
          </w:p>
        </w:tc>
      </w:tr>
      <w:tr>
        <w:trPr>
          <w:trHeight w:val="1162" w:hRule="atLeast"/>
        </w:trPr>
        <w:tc>
          <w:tcPr>
            <w:tcW w:w="781" w:type="dxa"/>
          </w:tcPr>
          <w:p>
            <w:pPr>
              <w:pStyle w:val="TableParagraph"/>
              <w:spacing w:before="99"/>
              <w:ind w:left="180" w:right="242"/>
              <w:jc w:val="center"/>
              <w:rPr>
                <w:b/>
                <w:sz w:val="21"/>
              </w:rPr>
            </w:pPr>
            <w:r>
              <w:rPr>
                <w:b/>
                <w:sz w:val="21"/>
              </w:rPr>
              <w:t>8.2</w:t>
            </w:r>
          </w:p>
        </w:tc>
        <w:tc>
          <w:tcPr>
            <w:tcW w:w="1856" w:type="dxa"/>
          </w:tcPr>
          <w:p>
            <w:pPr>
              <w:pStyle w:val="TableParagraph"/>
              <w:spacing w:line="273" w:lineRule="auto" w:before="99"/>
              <w:ind w:left="264" w:right="111"/>
              <w:rPr>
                <w:b/>
                <w:sz w:val="21"/>
              </w:rPr>
            </w:pPr>
            <w:r>
              <w:rPr>
                <w:b/>
                <w:sz w:val="21"/>
              </w:rPr>
              <w:t>我们合同解除权的限制</w:t>
            </w:r>
          </w:p>
        </w:tc>
        <w:tc>
          <w:tcPr>
            <w:tcW w:w="7815" w:type="dxa"/>
          </w:tcPr>
          <w:p>
            <w:pPr>
              <w:pStyle w:val="TableParagraph"/>
              <w:spacing w:before="99"/>
              <w:ind w:left="114"/>
              <w:rPr>
                <w:sz w:val="21"/>
              </w:rPr>
            </w:pPr>
            <w:r>
              <w:rPr>
                <w:spacing w:val="-16"/>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6"/>
              <w:ind w:left="114" w:right="340"/>
              <w:rPr>
                <w:sz w:val="21"/>
              </w:rPr>
            </w:pPr>
            <w:r>
              <w:rPr>
                <w:spacing w:val="-6"/>
                <w:sz w:val="21"/>
              </w:rPr>
              <w:t>自本主险合同成立之日起超过 </w:t>
            </w:r>
            <w:r>
              <w:rPr>
                <w:sz w:val="21"/>
              </w:rPr>
              <w:t>2</w:t>
            </w:r>
            <w:r>
              <w:rPr>
                <w:spacing w:val="-8"/>
                <w:sz w:val="21"/>
              </w:rPr>
              <w:t> 年的，我们不得解除合同；发生保险事故的，我</w:t>
            </w:r>
            <w:r>
              <w:rPr>
                <w:spacing w:val="-5"/>
                <w:sz w:val="21"/>
              </w:rPr>
              <w:t>们承担给付保险金的责任。</w:t>
            </w:r>
          </w:p>
        </w:tc>
      </w:tr>
      <w:tr>
        <w:trPr>
          <w:trHeight w:val="3711" w:hRule="atLeast"/>
        </w:trPr>
        <w:tc>
          <w:tcPr>
            <w:tcW w:w="781" w:type="dxa"/>
          </w:tcPr>
          <w:p>
            <w:pPr>
              <w:pStyle w:val="TableParagraph"/>
              <w:spacing w:before="100"/>
              <w:ind w:left="180" w:right="241"/>
              <w:jc w:val="center"/>
              <w:rPr>
                <w:b/>
                <w:sz w:val="21"/>
              </w:rPr>
            </w:pPr>
            <w:r>
              <w:rPr>
                <w:b/>
                <w:sz w:val="21"/>
              </w:rPr>
              <w:t>8.3</w:t>
            </w:r>
          </w:p>
        </w:tc>
        <w:tc>
          <w:tcPr>
            <w:tcW w:w="1856" w:type="dxa"/>
          </w:tcPr>
          <w:p>
            <w:pPr>
              <w:pStyle w:val="TableParagraph"/>
              <w:spacing w:before="100"/>
              <w:ind w:left="264"/>
              <w:rPr>
                <w:b/>
                <w:sz w:val="21"/>
              </w:rPr>
            </w:pPr>
            <w:r>
              <w:rPr>
                <w:b/>
                <w:sz w:val="21"/>
              </w:rPr>
              <w:t>年龄错误</w:t>
            </w:r>
          </w:p>
        </w:tc>
        <w:tc>
          <w:tcPr>
            <w:tcW w:w="7815" w:type="dxa"/>
          </w:tcPr>
          <w:p>
            <w:pPr>
              <w:pStyle w:val="TableParagraph"/>
              <w:spacing w:line="273" w:lineRule="auto" w:before="100"/>
              <w:ind w:left="114" w:right="341"/>
              <w:rPr>
                <w:sz w:val="21"/>
              </w:rPr>
            </w:pPr>
            <w:r>
              <w:rPr>
                <w:sz w:val="21"/>
              </w:rPr>
              <w:t>您在申请投保时，应将与有效身份证件相符的被保险人的出生日期在投保书上填明，如果发生错误按照下列方式办理：</w:t>
            </w:r>
          </w:p>
          <w:p>
            <w:pPr>
              <w:pStyle w:val="TableParagraph"/>
              <w:numPr>
                <w:ilvl w:val="0"/>
                <w:numId w:val="8"/>
              </w:numPr>
              <w:tabs>
                <w:tab w:pos="747" w:val="left" w:leader="none"/>
              </w:tabs>
              <w:spacing w:line="259" w:lineRule="auto" w:before="0" w:after="0"/>
              <w:ind w:left="765" w:right="305" w:hanging="651"/>
              <w:jc w:val="both"/>
              <w:rPr>
                <w:b/>
                <w:i/>
                <w:sz w:val="22"/>
              </w:rPr>
            </w:pPr>
            <w:r>
              <w:rPr>
                <w:b/>
                <w:i/>
                <w:spacing w:val="-3"/>
                <w:w w:val="95"/>
                <w:sz w:val="22"/>
              </w:rPr>
              <w:t>您申报的被保险人年龄不真实，并且其真实年龄不符合本主险合同约定投</w:t>
            </w:r>
            <w:r>
              <w:rPr>
                <w:b/>
                <w:i/>
                <w:spacing w:val="-5"/>
                <w:w w:val="95"/>
                <w:sz w:val="22"/>
              </w:rPr>
              <w:t>保年龄限制的，在保险事故发生之前我们有权解除合同。我们行使合同解</w:t>
            </w:r>
            <w:r>
              <w:rPr>
                <w:b/>
                <w:i/>
                <w:spacing w:val="-4"/>
                <w:w w:val="95"/>
                <w:sz w:val="22"/>
              </w:rPr>
              <w:t>除权适用“我们合同解除权的限制”的规定。对于解除合同的，我们向您退还本主险合同的现金价值。</w:t>
            </w:r>
          </w:p>
          <w:p>
            <w:pPr>
              <w:pStyle w:val="TableParagraph"/>
              <w:numPr>
                <w:ilvl w:val="0"/>
                <w:numId w:val="8"/>
              </w:numPr>
              <w:tabs>
                <w:tab w:pos="747" w:val="left" w:leader="none"/>
              </w:tabs>
              <w:spacing w:line="259" w:lineRule="auto" w:before="11" w:after="0"/>
              <w:ind w:left="768" w:right="307" w:hanging="654"/>
              <w:jc w:val="both"/>
              <w:rPr>
                <w:b/>
                <w:i/>
                <w:sz w:val="22"/>
              </w:rPr>
            </w:pPr>
            <w:r>
              <w:rPr>
                <w:b/>
                <w:i/>
                <w:spacing w:val="-3"/>
                <w:w w:val="95"/>
                <w:sz w:val="22"/>
              </w:rPr>
              <w:t>您申报的被保险人年龄不真实，致使您支付的保险费少于应交保险费的， </w:t>
            </w:r>
            <w:r>
              <w:rPr>
                <w:b/>
                <w:i/>
                <w:spacing w:val="-5"/>
                <w:w w:val="95"/>
                <w:sz w:val="22"/>
              </w:rPr>
              <w:t>我们有权更正并要求您补交保险费。若已经发生保险事故，在给付保险金时按实交保险费和应交保险费的比例给付。</w:t>
            </w:r>
          </w:p>
          <w:p>
            <w:pPr>
              <w:pStyle w:val="TableParagraph"/>
              <w:numPr>
                <w:ilvl w:val="0"/>
                <w:numId w:val="8"/>
              </w:numPr>
              <w:tabs>
                <w:tab w:pos="747" w:val="left" w:leader="none"/>
              </w:tabs>
              <w:spacing w:line="273" w:lineRule="auto" w:before="18" w:after="0"/>
              <w:ind w:left="768" w:right="340" w:hanging="654"/>
              <w:jc w:val="both"/>
              <w:rPr>
                <w:sz w:val="21"/>
              </w:rPr>
            </w:pPr>
            <w:r>
              <w:rPr>
                <w:spacing w:val="-3"/>
                <w:sz w:val="21"/>
              </w:rPr>
              <w:t>您申报的被保险人年龄不真实，致使您支付的保险费多于应交保险费的， 我们会将多收的保险费无息退还给您。</w:t>
            </w:r>
          </w:p>
        </w:tc>
      </w:tr>
      <w:tr>
        <w:trPr>
          <w:trHeight w:val="1214" w:hRule="atLeast"/>
        </w:trPr>
        <w:tc>
          <w:tcPr>
            <w:tcW w:w="781" w:type="dxa"/>
          </w:tcPr>
          <w:p>
            <w:pPr>
              <w:pStyle w:val="TableParagraph"/>
              <w:spacing w:before="152"/>
              <w:ind w:left="180" w:right="241"/>
              <w:jc w:val="center"/>
              <w:rPr>
                <w:b/>
                <w:sz w:val="21"/>
              </w:rPr>
            </w:pPr>
            <w:r>
              <w:rPr>
                <w:b/>
                <w:sz w:val="21"/>
              </w:rPr>
              <w:t>8.4</w:t>
            </w:r>
          </w:p>
        </w:tc>
        <w:tc>
          <w:tcPr>
            <w:tcW w:w="1856" w:type="dxa"/>
          </w:tcPr>
          <w:p>
            <w:pPr>
              <w:pStyle w:val="TableParagraph"/>
              <w:spacing w:before="152"/>
              <w:ind w:left="264"/>
              <w:rPr>
                <w:b/>
                <w:sz w:val="21"/>
              </w:rPr>
            </w:pPr>
            <w:r>
              <w:rPr>
                <w:b/>
                <w:sz w:val="21"/>
              </w:rPr>
              <w:t>合同内容变更</w:t>
            </w:r>
          </w:p>
        </w:tc>
        <w:tc>
          <w:tcPr>
            <w:tcW w:w="7815" w:type="dxa"/>
          </w:tcPr>
          <w:p>
            <w:pPr>
              <w:pStyle w:val="TableParagraph"/>
              <w:spacing w:line="273" w:lineRule="auto" w:before="152"/>
              <w:ind w:left="114" w:right="196"/>
              <w:rPr>
                <w:sz w:val="21"/>
              </w:rPr>
            </w:pPr>
            <w:r>
              <w:rPr>
                <w:spacing w:val="-8"/>
                <w:sz w:val="21"/>
              </w:rPr>
              <w:t>在本主险合同有效期内，经您与我们协商一致，可以变更本主险合同的有关内容。</w:t>
            </w:r>
            <w:r>
              <w:rPr>
                <w:spacing w:val="-5"/>
                <w:sz w:val="21"/>
              </w:rPr>
              <w:t>变更本主险合同的，由我们对保险合同批注或者出具批单，或者由您与我们订立</w:t>
            </w:r>
            <w:r>
              <w:rPr>
                <w:spacing w:val="-4"/>
                <w:sz w:val="21"/>
              </w:rPr>
              <w:t>书面的变更协议。</w:t>
            </w:r>
          </w:p>
        </w:tc>
      </w:tr>
      <w:tr>
        <w:trPr>
          <w:trHeight w:val="1475" w:hRule="atLeast"/>
        </w:trPr>
        <w:tc>
          <w:tcPr>
            <w:tcW w:w="781" w:type="dxa"/>
          </w:tcPr>
          <w:p>
            <w:pPr>
              <w:pStyle w:val="TableParagraph"/>
              <w:spacing w:before="99"/>
              <w:ind w:left="180" w:right="241"/>
              <w:jc w:val="center"/>
              <w:rPr>
                <w:b/>
                <w:sz w:val="21"/>
              </w:rPr>
            </w:pPr>
            <w:r>
              <w:rPr>
                <w:b/>
                <w:sz w:val="21"/>
              </w:rPr>
              <w:t>8.5</w:t>
            </w:r>
          </w:p>
        </w:tc>
        <w:tc>
          <w:tcPr>
            <w:tcW w:w="1856" w:type="dxa"/>
          </w:tcPr>
          <w:p>
            <w:pPr>
              <w:pStyle w:val="TableParagraph"/>
              <w:spacing w:before="99"/>
              <w:ind w:left="264"/>
              <w:rPr>
                <w:b/>
                <w:sz w:val="21"/>
              </w:rPr>
            </w:pPr>
            <w:r>
              <w:rPr>
                <w:b/>
                <w:sz w:val="21"/>
              </w:rPr>
              <w:t>联系方式变更</w:t>
            </w:r>
          </w:p>
        </w:tc>
        <w:tc>
          <w:tcPr>
            <w:tcW w:w="7815" w:type="dxa"/>
          </w:tcPr>
          <w:p>
            <w:pPr>
              <w:pStyle w:val="TableParagraph"/>
              <w:spacing w:line="273" w:lineRule="auto" w:before="99"/>
              <w:ind w:left="114" w:right="196"/>
              <w:rPr>
                <w:sz w:val="21"/>
              </w:rPr>
            </w:pPr>
            <w:r>
              <w:rPr>
                <w:spacing w:val="-3"/>
                <w:sz w:val="21"/>
              </w:rPr>
              <w:t>为了保障您的合法权益，您的住所、通讯地址或电话等联系方式变更时，请及时以书面形式或双方认可的其他形式通知我们。若您未以书面形式或双方认可的其</w:t>
            </w:r>
            <w:r>
              <w:rPr>
                <w:spacing w:val="-10"/>
                <w:sz w:val="21"/>
              </w:rPr>
              <w:t>他形式通知我们，我们按本主险合同载明的最后住所或联系地址发送的有关通知， </w:t>
            </w:r>
            <w:r>
              <w:rPr>
                <w:spacing w:val="-5"/>
                <w:sz w:val="21"/>
              </w:rPr>
              <w:t>均视为已送达给您。</w:t>
            </w:r>
          </w:p>
        </w:tc>
      </w:tr>
      <w:tr>
        <w:trPr>
          <w:trHeight w:val="850" w:hRule="atLeast"/>
        </w:trPr>
        <w:tc>
          <w:tcPr>
            <w:tcW w:w="781" w:type="dxa"/>
          </w:tcPr>
          <w:p>
            <w:pPr>
              <w:pStyle w:val="TableParagraph"/>
              <w:spacing w:before="100"/>
              <w:ind w:left="180" w:right="241"/>
              <w:jc w:val="center"/>
              <w:rPr>
                <w:b/>
                <w:sz w:val="21"/>
              </w:rPr>
            </w:pPr>
            <w:r>
              <w:rPr>
                <w:b/>
                <w:sz w:val="21"/>
              </w:rPr>
              <w:t>8.6</w:t>
            </w:r>
          </w:p>
        </w:tc>
        <w:tc>
          <w:tcPr>
            <w:tcW w:w="1856" w:type="dxa"/>
          </w:tcPr>
          <w:p>
            <w:pPr>
              <w:pStyle w:val="TableParagraph"/>
              <w:spacing w:before="100"/>
              <w:ind w:left="264"/>
              <w:rPr>
                <w:b/>
                <w:sz w:val="21"/>
              </w:rPr>
            </w:pPr>
            <w:r>
              <w:rPr>
                <w:b/>
                <w:sz w:val="21"/>
              </w:rPr>
              <w:t>未还款项</w:t>
            </w:r>
          </w:p>
        </w:tc>
        <w:tc>
          <w:tcPr>
            <w:tcW w:w="7815" w:type="dxa"/>
          </w:tcPr>
          <w:p>
            <w:pPr>
              <w:pStyle w:val="TableParagraph"/>
              <w:spacing w:line="273" w:lineRule="auto" w:before="100"/>
              <w:ind w:left="114" w:right="340"/>
              <w:rPr>
                <w:sz w:val="21"/>
              </w:rPr>
            </w:pPr>
            <w:r>
              <w:rPr>
                <w:sz w:val="21"/>
              </w:rPr>
              <w:t>我们在给付各项保险金、退还现金价值或退还保险费时，如果您有欠交的保险费或其他未还清款项，我们会在扣除上述欠款后给付。</w:t>
            </w:r>
          </w:p>
        </w:tc>
      </w:tr>
      <w:tr>
        <w:trPr>
          <w:trHeight w:val="1622" w:hRule="atLeast"/>
        </w:trPr>
        <w:tc>
          <w:tcPr>
            <w:tcW w:w="781" w:type="dxa"/>
          </w:tcPr>
          <w:p>
            <w:pPr>
              <w:pStyle w:val="TableParagraph"/>
              <w:spacing w:before="99"/>
              <w:ind w:left="180" w:right="241"/>
              <w:jc w:val="center"/>
              <w:rPr>
                <w:b/>
                <w:sz w:val="21"/>
              </w:rPr>
            </w:pPr>
            <w:r>
              <w:rPr>
                <w:b/>
                <w:sz w:val="21"/>
              </w:rPr>
              <w:t>8.7</w:t>
            </w:r>
          </w:p>
        </w:tc>
        <w:tc>
          <w:tcPr>
            <w:tcW w:w="1856" w:type="dxa"/>
          </w:tcPr>
          <w:p>
            <w:pPr>
              <w:pStyle w:val="TableParagraph"/>
              <w:spacing w:before="99"/>
              <w:ind w:left="264"/>
              <w:rPr>
                <w:b/>
                <w:sz w:val="21"/>
              </w:rPr>
            </w:pPr>
            <w:r>
              <w:rPr>
                <w:b/>
                <w:sz w:val="21"/>
              </w:rPr>
              <w:t>效力终止</w:t>
            </w:r>
          </w:p>
        </w:tc>
        <w:tc>
          <w:tcPr>
            <w:tcW w:w="7815" w:type="dxa"/>
          </w:tcPr>
          <w:p>
            <w:pPr>
              <w:pStyle w:val="TableParagraph"/>
              <w:spacing w:before="99"/>
              <w:ind w:left="114"/>
              <w:rPr>
                <w:sz w:val="21"/>
              </w:rPr>
            </w:pPr>
            <w:r>
              <w:rPr>
                <w:sz w:val="21"/>
              </w:rPr>
              <w:t>发生下列情况之一时，本主险合同效力终止：</w:t>
            </w:r>
          </w:p>
          <w:p>
            <w:pPr>
              <w:pStyle w:val="TableParagraph"/>
              <w:numPr>
                <w:ilvl w:val="0"/>
                <w:numId w:val="9"/>
              </w:numPr>
              <w:tabs>
                <w:tab w:pos="836" w:val="left" w:leader="none"/>
              </w:tabs>
              <w:spacing w:line="240" w:lineRule="auto" w:before="36" w:after="0"/>
              <w:ind w:left="835" w:right="0" w:hanging="721"/>
              <w:jc w:val="left"/>
              <w:rPr>
                <w:sz w:val="21"/>
              </w:rPr>
            </w:pPr>
            <w:r>
              <w:rPr>
                <w:spacing w:val="-3"/>
                <w:sz w:val="21"/>
              </w:rPr>
              <w:t>被保险人身故或初次罹患本主险合同约定的重大疾病；</w:t>
            </w:r>
          </w:p>
          <w:p>
            <w:pPr>
              <w:pStyle w:val="TableParagraph"/>
              <w:numPr>
                <w:ilvl w:val="0"/>
                <w:numId w:val="9"/>
              </w:numPr>
              <w:tabs>
                <w:tab w:pos="836" w:val="left" w:leader="none"/>
              </w:tabs>
              <w:spacing w:line="240" w:lineRule="auto" w:before="36" w:after="0"/>
              <w:ind w:left="835" w:right="0" w:hanging="721"/>
              <w:jc w:val="left"/>
              <w:rPr>
                <w:sz w:val="21"/>
              </w:rPr>
            </w:pPr>
            <w:r>
              <w:rPr>
                <w:spacing w:val="-3"/>
                <w:sz w:val="21"/>
              </w:rPr>
              <w:t>您申请解除本主险合同；</w:t>
            </w:r>
          </w:p>
          <w:p>
            <w:pPr>
              <w:pStyle w:val="TableParagraph"/>
              <w:numPr>
                <w:ilvl w:val="0"/>
                <w:numId w:val="9"/>
              </w:numPr>
              <w:tabs>
                <w:tab w:pos="836" w:val="left" w:leader="none"/>
              </w:tabs>
              <w:spacing w:line="240" w:lineRule="auto" w:before="37" w:after="0"/>
              <w:ind w:left="835" w:right="0" w:hanging="721"/>
              <w:jc w:val="left"/>
              <w:rPr>
                <w:sz w:val="21"/>
              </w:rPr>
            </w:pPr>
            <w:r>
              <w:rPr>
                <w:spacing w:val="-6"/>
                <w:sz w:val="21"/>
              </w:rPr>
              <w:t>自本主险合同效力中止之日起满 </w:t>
            </w:r>
            <w:r>
              <w:rPr>
                <w:sz w:val="21"/>
              </w:rPr>
              <w:t>2</w:t>
            </w:r>
            <w:r>
              <w:rPr>
                <w:spacing w:val="-8"/>
                <w:sz w:val="21"/>
              </w:rPr>
              <w:t> 年双方未达成复效协议；</w:t>
            </w:r>
          </w:p>
          <w:p>
            <w:pPr>
              <w:pStyle w:val="TableParagraph"/>
              <w:numPr>
                <w:ilvl w:val="0"/>
                <w:numId w:val="9"/>
              </w:numPr>
              <w:tabs>
                <w:tab w:pos="836" w:val="left" w:leader="none"/>
              </w:tabs>
              <w:spacing w:line="255" w:lineRule="exact" w:before="37" w:after="0"/>
              <w:ind w:left="835" w:right="0" w:hanging="721"/>
              <w:jc w:val="left"/>
              <w:rPr>
                <w:sz w:val="21"/>
              </w:rPr>
            </w:pPr>
            <w:r>
              <w:rPr>
                <w:spacing w:val="-3"/>
                <w:sz w:val="21"/>
              </w:rPr>
              <w:t>其他导致本主险合同效力终止的情形。</w:t>
            </w:r>
          </w:p>
        </w:tc>
      </w:tr>
    </w:tbl>
    <w:p>
      <w:pPr>
        <w:spacing w:after="0" w:line="255" w:lineRule="exact"/>
        <w:jc w:val="left"/>
        <w:rPr>
          <w:sz w:val="21"/>
        </w:rPr>
        <w:sectPr>
          <w:pgSz w:w="11910" w:h="16840"/>
          <w:pgMar w:header="0" w:footer="896" w:top="1280" w:bottom="1080" w:left="780" w:right="4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670"/>
        <w:gridCol w:w="7728"/>
      </w:tblGrid>
      <w:tr>
        <w:trPr>
          <w:trHeight w:val="566" w:hRule="atLeast"/>
        </w:trPr>
        <w:tc>
          <w:tcPr>
            <w:tcW w:w="765" w:type="dxa"/>
          </w:tcPr>
          <w:p>
            <w:pPr>
              <w:pStyle w:val="TableParagraph"/>
              <w:spacing w:line="211" w:lineRule="exact"/>
              <w:ind w:left="110"/>
              <w:rPr>
                <w:b/>
                <w:sz w:val="21"/>
              </w:rPr>
            </w:pPr>
            <w:r>
              <w:rPr>
                <w:b/>
                <w:sz w:val="21"/>
              </w:rPr>
              <w:t>8.8</w:t>
            </w:r>
          </w:p>
        </w:tc>
        <w:tc>
          <w:tcPr>
            <w:tcW w:w="1670" w:type="dxa"/>
          </w:tcPr>
          <w:p>
            <w:pPr>
              <w:pStyle w:val="TableParagraph"/>
              <w:spacing w:line="211" w:lineRule="exact"/>
              <w:ind w:left="190"/>
              <w:rPr>
                <w:b/>
                <w:sz w:val="21"/>
              </w:rPr>
            </w:pPr>
            <w:r>
              <w:rPr>
                <w:b/>
                <w:sz w:val="21"/>
              </w:rPr>
              <w:t>争议处理</w:t>
            </w:r>
          </w:p>
        </w:tc>
        <w:tc>
          <w:tcPr>
            <w:tcW w:w="7728" w:type="dxa"/>
          </w:tcPr>
          <w:p>
            <w:pPr>
              <w:pStyle w:val="TableParagraph"/>
              <w:spacing w:line="211" w:lineRule="exact"/>
              <w:ind w:left="226"/>
              <w:rPr>
                <w:sz w:val="21"/>
              </w:rPr>
            </w:pPr>
            <w:r>
              <w:rPr>
                <w:sz w:val="21"/>
              </w:rPr>
              <w:t>本主险合同履行过程中，双方发生争议不能协商解决的，可以向被告住所地人民</w:t>
            </w:r>
          </w:p>
          <w:p>
            <w:pPr>
              <w:pStyle w:val="TableParagraph"/>
              <w:spacing w:before="37"/>
              <w:ind w:left="226"/>
              <w:rPr>
                <w:sz w:val="21"/>
              </w:rPr>
            </w:pPr>
            <w:r>
              <w:rPr>
                <w:sz w:val="21"/>
              </w:rPr>
              <w:t>法院提起诉讼。</w:t>
            </w:r>
          </w:p>
        </w:tc>
      </w:tr>
      <w:tr>
        <w:trPr>
          <w:trHeight w:val="630" w:hRule="atLeast"/>
        </w:trPr>
        <w:tc>
          <w:tcPr>
            <w:tcW w:w="765" w:type="dxa"/>
            <w:tcBorders>
              <w:bottom w:val="single" w:sz="4" w:space="0" w:color="000000"/>
            </w:tcBorders>
          </w:tcPr>
          <w:p>
            <w:pPr>
              <w:pStyle w:val="TableParagraph"/>
              <w:spacing w:line="592" w:lineRule="exact"/>
              <w:ind w:left="110"/>
              <w:rPr>
                <w:rFonts w:ascii="Arial" w:hAnsi="Arial"/>
                <w:b/>
                <w:sz w:val="52"/>
              </w:rPr>
            </w:pPr>
            <w:r>
              <w:rPr>
                <w:rFonts w:ascii="Arial" w:hAnsi="Arial"/>
                <w:b/>
                <w:w w:val="119"/>
                <w:sz w:val="52"/>
              </w:rPr>
              <w:t></w:t>
            </w:r>
          </w:p>
        </w:tc>
        <w:tc>
          <w:tcPr>
            <w:tcW w:w="1670" w:type="dxa"/>
            <w:tcBorders>
              <w:bottom w:val="single" w:sz="4" w:space="0" w:color="000000"/>
            </w:tcBorders>
          </w:tcPr>
          <w:p>
            <w:pPr>
              <w:pStyle w:val="TableParagraph"/>
              <w:spacing w:before="92"/>
              <w:ind w:left="190"/>
              <w:rPr>
                <w:b/>
                <w:sz w:val="28"/>
              </w:rPr>
            </w:pPr>
            <w:r>
              <w:rPr>
                <w:b/>
                <w:w w:val="95"/>
                <w:sz w:val="28"/>
              </w:rPr>
              <w:t>释义</w:t>
            </w:r>
          </w:p>
        </w:tc>
        <w:tc>
          <w:tcPr>
            <w:tcW w:w="7728" w:type="dxa"/>
            <w:tcBorders>
              <w:bottom w:val="single" w:sz="4" w:space="0" w:color="000000"/>
            </w:tcBorders>
          </w:tcPr>
          <w:p>
            <w:pPr>
              <w:pStyle w:val="TableParagraph"/>
              <w:ind w:left="0"/>
              <w:rPr>
                <w:rFonts w:ascii="Times New Roman"/>
                <w:sz w:val="20"/>
              </w:rPr>
            </w:pPr>
          </w:p>
        </w:tc>
      </w:tr>
      <w:tr>
        <w:trPr>
          <w:trHeight w:val="954" w:hRule="atLeast"/>
        </w:trPr>
        <w:tc>
          <w:tcPr>
            <w:tcW w:w="765" w:type="dxa"/>
            <w:tcBorders>
              <w:top w:val="single" w:sz="4" w:space="0" w:color="000000"/>
            </w:tcBorders>
          </w:tcPr>
          <w:p>
            <w:pPr>
              <w:pStyle w:val="TableParagraph"/>
              <w:spacing w:before="7"/>
              <w:ind w:left="0"/>
              <w:rPr>
                <w:sz w:val="15"/>
              </w:rPr>
            </w:pPr>
          </w:p>
          <w:p>
            <w:pPr>
              <w:pStyle w:val="TableParagraph"/>
              <w:ind w:left="110"/>
              <w:rPr>
                <w:b/>
                <w:sz w:val="21"/>
              </w:rPr>
            </w:pPr>
            <w:r>
              <w:rPr>
                <w:b/>
                <w:sz w:val="21"/>
              </w:rPr>
              <w:t>9.1</w:t>
            </w:r>
          </w:p>
        </w:tc>
        <w:tc>
          <w:tcPr>
            <w:tcW w:w="1670" w:type="dxa"/>
            <w:tcBorders>
              <w:top w:val="single" w:sz="4" w:space="0" w:color="000000"/>
            </w:tcBorders>
          </w:tcPr>
          <w:p>
            <w:pPr>
              <w:pStyle w:val="TableParagraph"/>
              <w:spacing w:before="7"/>
              <w:ind w:left="0"/>
              <w:rPr>
                <w:sz w:val="15"/>
              </w:rPr>
            </w:pPr>
          </w:p>
          <w:p>
            <w:pPr>
              <w:pStyle w:val="TableParagraph"/>
              <w:ind w:left="190"/>
              <w:rPr>
                <w:b/>
                <w:sz w:val="21"/>
              </w:rPr>
            </w:pPr>
            <w:r>
              <w:rPr>
                <w:b/>
                <w:sz w:val="21"/>
              </w:rPr>
              <w:t>周岁</w:t>
            </w:r>
          </w:p>
        </w:tc>
        <w:tc>
          <w:tcPr>
            <w:tcW w:w="7728" w:type="dxa"/>
            <w:tcBorders>
              <w:top w:val="single" w:sz="4" w:space="0" w:color="000000"/>
            </w:tcBorders>
          </w:tcPr>
          <w:p>
            <w:pPr>
              <w:pStyle w:val="TableParagraph"/>
              <w:spacing w:before="7"/>
              <w:ind w:left="0"/>
              <w:rPr>
                <w:sz w:val="15"/>
              </w:rPr>
            </w:pPr>
          </w:p>
          <w:p>
            <w:pPr>
              <w:pStyle w:val="TableParagraph"/>
              <w:spacing w:line="273" w:lineRule="auto"/>
              <w:ind w:left="226" w:right="141"/>
              <w:rPr>
                <w:sz w:val="21"/>
              </w:rPr>
            </w:pPr>
            <w:r>
              <w:rPr>
                <w:sz w:val="21"/>
              </w:rPr>
              <w:t>指按有效身份证件中记载的出生日期计算的年龄，自出生之日起为零周岁，每经过一年增加一岁，不足一年的不计。</w:t>
            </w:r>
          </w:p>
        </w:tc>
      </w:tr>
      <w:tr>
        <w:trPr>
          <w:trHeight w:val="850" w:hRule="atLeast"/>
        </w:trPr>
        <w:tc>
          <w:tcPr>
            <w:tcW w:w="765" w:type="dxa"/>
          </w:tcPr>
          <w:p>
            <w:pPr>
              <w:pStyle w:val="TableParagraph"/>
              <w:spacing w:before="100"/>
              <w:ind w:left="110"/>
              <w:rPr>
                <w:b/>
                <w:sz w:val="21"/>
              </w:rPr>
            </w:pPr>
            <w:r>
              <w:rPr>
                <w:b/>
                <w:sz w:val="21"/>
              </w:rPr>
              <w:t>9.2</w:t>
            </w:r>
          </w:p>
        </w:tc>
        <w:tc>
          <w:tcPr>
            <w:tcW w:w="1670" w:type="dxa"/>
          </w:tcPr>
          <w:p>
            <w:pPr>
              <w:pStyle w:val="TableParagraph"/>
              <w:spacing w:before="100"/>
              <w:ind w:left="190"/>
              <w:rPr>
                <w:b/>
                <w:sz w:val="21"/>
              </w:rPr>
            </w:pPr>
            <w:r>
              <w:rPr>
                <w:b/>
                <w:sz w:val="21"/>
              </w:rPr>
              <w:t>有效身份证件</w:t>
            </w:r>
          </w:p>
        </w:tc>
        <w:tc>
          <w:tcPr>
            <w:tcW w:w="7728" w:type="dxa"/>
          </w:tcPr>
          <w:p>
            <w:pPr>
              <w:pStyle w:val="TableParagraph"/>
              <w:spacing w:line="273" w:lineRule="auto" w:before="100"/>
              <w:ind w:left="226" w:right="141"/>
              <w:rPr>
                <w:sz w:val="21"/>
              </w:rPr>
            </w:pPr>
            <w:r>
              <w:rPr>
                <w:sz w:val="21"/>
              </w:rPr>
              <w:t>指由政府主管部门规定的证明其身份的证件，如：居民身份证、按规定可使用的有效护照、军官证、警官证、士兵证、居民户口簿（仅限未成年人）等证件。</w:t>
            </w:r>
          </w:p>
        </w:tc>
      </w:tr>
      <w:tr>
        <w:trPr>
          <w:trHeight w:val="539" w:hRule="atLeast"/>
        </w:trPr>
        <w:tc>
          <w:tcPr>
            <w:tcW w:w="765" w:type="dxa"/>
          </w:tcPr>
          <w:p>
            <w:pPr>
              <w:pStyle w:val="TableParagraph"/>
              <w:spacing w:before="99"/>
              <w:ind w:left="110"/>
              <w:rPr>
                <w:b/>
                <w:sz w:val="21"/>
              </w:rPr>
            </w:pPr>
            <w:r>
              <w:rPr>
                <w:b/>
                <w:sz w:val="21"/>
              </w:rPr>
              <w:t>9.3</w:t>
            </w:r>
          </w:p>
        </w:tc>
        <w:tc>
          <w:tcPr>
            <w:tcW w:w="1670" w:type="dxa"/>
          </w:tcPr>
          <w:p>
            <w:pPr>
              <w:pStyle w:val="TableParagraph"/>
              <w:spacing w:before="99"/>
              <w:ind w:left="190"/>
              <w:rPr>
                <w:b/>
                <w:sz w:val="21"/>
              </w:rPr>
            </w:pPr>
            <w:r>
              <w:rPr>
                <w:b/>
                <w:sz w:val="21"/>
              </w:rPr>
              <w:t>重大疾病</w:t>
            </w:r>
          </w:p>
        </w:tc>
        <w:tc>
          <w:tcPr>
            <w:tcW w:w="7728" w:type="dxa"/>
          </w:tcPr>
          <w:p>
            <w:pPr>
              <w:pStyle w:val="TableParagraph"/>
              <w:spacing w:before="99"/>
              <w:ind w:left="212"/>
              <w:rPr>
                <w:sz w:val="21"/>
              </w:rPr>
            </w:pPr>
            <w:r>
              <w:rPr>
                <w:sz w:val="21"/>
              </w:rPr>
              <w:t>指下面列出的 81 种重大疾病</w:t>
            </w:r>
          </w:p>
        </w:tc>
      </w:tr>
      <w:tr>
        <w:trPr>
          <w:trHeight w:val="3660" w:hRule="atLeast"/>
        </w:trPr>
        <w:tc>
          <w:tcPr>
            <w:tcW w:w="765" w:type="dxa"/>
          </w:tcPr>
          <w:p>
            <w:pPr>
              <w:pStyle w:val="TableParagraph"/>
              <w:ind w:left="0"/>
              <w:rPr>
                <w:rFonts w:ascii="Times New Roman"/>
                <w:sz w:val="20"/>
              </w:rPr>
            </w:pPr>
          </w:p>
        </w:tc>
        <w:tc>
          <w:tcPr>
            <w:tcW w:w="1670" w:type="dxa"/>
          </w:tcPr>
          <w:p>
            <w:pPr>
              <w:pStyle w:val="TableParagraph"/>
              <w:spacing w:before="101"/>
              <w:ind w:left="190"/>
              <w:rPr>
                <w:rFonts w:ascii="楷体" w:eastAsia="楷体" w:hint="eastAsia"/>
                <w:b/>
                <w:sz w:val="21"/>
              </w:rPr>
            </w:pPr>
            <w:r>
              <w:rPr>
                <w:rFonts w:ascii="楷体" w:eastAsia="楷体" w:hint="eastAsia"/>
                <w:b/>
                <w:sz w:val="21"/>
              </w:rPr>
              <w:t>恶性肿瘤</w:t>
            </w:r>
          </w:p>
        </w:tc>
        <w:tc>
          <w:tcPr>
            <w:tcW w:w="7728" w:type="dxa"/>
          </w:tcPr>
          <w:p>
            <w:pPr>
              <w:pStyle w:val="TableParagraph"/>
              <w:spacing w:line="273" w:lineRule="auto" w:before="101"/>
              <w:ind w:left="212" w:right="-15"/>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 临床诊断属于世界卫生组织《疾病和有关健康问题的国际统计分类》（ICD-10） </w:t>
            </w:r>
            <w:r>
              <w:rPr>
                <w:spacing w:val="-5"/>
                <w:sz w:val="21"/>
              </w:rPr>
              <w:t>的恶性肿瘤范畴。</w:t>
            </w:r>
          </w:p>
          <w:p>
            <w:pPr>
              <w:pStyle w:val="TableParagraph"/>
              <w:spacing w:line="284" w:lineRule="exact"/>
              <w:ind w:left="212"/>
              <w:rPr>
                <w:b/>
                <w:i/>
                <w:sz w:val="22"/>
              </w:rPr>
            </w:pPr>
            <w:r>
              <w:rPr>
                <w:b/>
                <w:i/>
                <w:w w:val="95"/>
                <w:sz w:val="22"/>
              </w:rPr>
              <w:t>下列疾病不在保障范围内：</w:t>
            </w:r>
          </w:p>
          <w:p>
            <w:pPr>
              <w:pStyle w:val="TableParagraph"/>
              <w:numPr>
                <w:ilvl w:val="0"/>
                <w:numId w:val="10"/>
              </w:numPr>
              <w:tabs>
                <w:tab w:pos="847" w:val="left" w:leader="none"/>
              </w:tabs>
              <w:spacing w:line="240" w:lineRule="auto" w:before="24" w:after="0"/>
              <w:ind w:left="846" w:right="0" w:hanging="634"/>
              <w:jc w:val="left"/>
              <w:rPr>
                <w:b/>
                <w:i/>
                <w:sz w:val="22"/>
              </w:rPr>
            </w:pPr>
            <w:r>
              <w:rPr>
                <w:b/>
                <w:i/>
                <w:w w:val="95"/>
                <w:sz w:val="22"/>
              </w:rPr>
              <w:t>原位癌；</w:t>
            </w:r>
          </w:p>
          <w:p>
            <w:pPr>
              <w:pStyle w:val="TableParagraph"/>
              <w:numPr>
                <w:ilvl w:val="0"/>
                <w:numId w:val="10"/>
              </w:numPr>
              <w:tabs>
                <w:tab w:pos="847" w:val="left" w:leader="none"/>
              </w:tabs>
              <w:spacing w:line="240" w:lineRule="auto" w:before="24" w:after="0"/>
              <w:ind w:left="846" w:right="0" w:hanging="634"/>
              <w:jc w:val="left"/>
              <w:rPr>
                <w:b/>
                <w:i/>
                <w:sz w:val="22"/>
              </w:rPr>
            </w:pPr>
            <w:r>
              <w:rPr>
                <w:b/>
                <w:i/>
                <w:spacing w:val="-12"/>
                <w:w w:val="95"/>
                <w:sz w:val="22"/>
              </w:rPr>
              <w:t>相当于 </w:t>
            </w:r>
            <w:r>
              <w:rPr>
                <w:b/>
                <w:i/>
                <w:w w:val="95"/>
                <w:sz w:val="22"/>
              </w:rPr>
              <w:t>Binet</w:t>
            </w:r>
            <w:r>
              <w:rPr>
                <w:b/>
                <w:i/>
                <w:spacing w:val="-17"/>
                <w:w w:val="95"/>
                <w:sz w:val="22"/>
              </w:rPr>
              <w:t> 分期方案 </w:t>
            </w:r>
            <w:r>
              <w:rPr>
                <w:b/>
                <w:i/>
                <w:w w:val="95"/>
                <w:sz w:val="22"/>
              </w:rPr>
              <w:t>A</w:t>
            </w:r>
            <w:r>
              <w:rPr>
                <w:b/>
                <w:i/>
                <w:spacing w:val="-7"/>
                <w:w w:val="95"/>
                <w:sz w:val="22"/>
              </w:rPr>
              <w:t> 期程度的慢性淋巴细胞白血病；</w:t>
            </w:r>
          </w:p>
          <w:p>
            <w:pPr>
              <w:pStyle w:val="TableParagraph"/>
              <w:numPr>
                <w:ilvl w:val="0"/>
                <w:numId w:val="10"/>
              </w:numPr>
              <w:tabs>
                <w:tab w:pos="847" w:val="left" w:leader="none"/>
              </w:tabs>
              <w:spacing w:line="240" w:lineRule="auto" w:before="24" w:after="0"/>
              <w:ind w:left="846" w:right="0" w:hanging="634"/>
              <w:jc w:val="left"/>
              <w:rPr>
                <w:b/>
                <w:i/>
                <w:sz w:val="22"/>
              </w:rPr>
            </w:pPr>
            <w:r>
              <w:rPr>
                <w:b/>
                <w:i/>
                <w:spacing w:val="-13"/>
                <w:w w:val="95"/>
                <w:sz w:val="22"/>
              </w:rPr>
              <w:t>相当于 </w:t>
            </w:r>
            <w:r>
              <w:rPr>
                <w:b/>
                <w:i/>
                <w:w w:val="95"/>
                <w:sz w:val="22"/>
              </w:rPr>
              <w:t>Ann</w:t>
            </w:r>
            <w:r>
              <w:rPr>
                <w:b/>
                <w:i/>
                <w:spacing w:val="7"/>
                <w:w w:val="95"/>
                <w:sz w:val="22"/>
              </w:rPr>
              <w:t> </w:t>
            </w:r>
            <w:r>
              <w:rPr>
                <w:b/>
                <w:i/>
                <w:w w:val="95"/>
                <w:sz w:val="22"/>
              </w:rPr>
              <w:t>Arbor</w:t>
            </w:r>
            <w:r>
              <w:rPr>
                <w:b/>
                <w:i/>
                <w:spacing w:val="-18"/>
                <w:w w:val="95"/>
                <w:sz w:val="22"/>
              </w:rPr>
              <w:t> 分期方案 </w:t>
            </w:r>
            <w:r>
              <w:rPr>
                <w:b/>
                <w:i/>
                <w:w w:val="95"/>
                <w:sz w:val="22"/>
              </w:rPr>
              <w:t>I</w:t>
            </w:r>
            <w:r>
              <w:rPr>
                <w:b/>
                <w:i/>
                <w:spacing w:val="-8"/>
                <w:w w:val="95"/>
                <w:sz w:val="22"/>
              </w:rPr>
              <w:t> 期程度的何杰金氏病；</w:t>
            </w:r>
          </w:p>
          <w:p>
            <w:pPr>
              <w:pStyle w:val="TableParagraph"/>
              <w:numPr>
                <w:ilvl w:val="0"/>
                <w:numId w:val="10"/>
              </w:numPr>
              <w:tabs>
                <w:tab w:pos="847" w:val="left" w:leader="none"/>
              </w:tabs>
              <w:spacing w:line="240" w:lineRule="auto" w:before="24" w:after="0"/>
              <w:ind w:left="846" w:right="0" w:hanging="634"/>
              <w:jc w:val="left"/>
              <w:rPr>
                <w:b/>
                <w:i/>
                <w:sz w:val="22"/>
              </w:rPr>
            </w:pPr>
            <w:r>
              <w:rPr>
                <w:b/>
                <w:i/>
                <w:w w:val="95"/>
                <w:sz w:val="22"/>
              </w:rPr>
              <w:t>皮肤癌（</w:t>
            </w:r>
            <w:r>
              <w:rPr>
                <w:b/>
                <w:i/>
                <w:spacing w:val="-3"/>
                <w:w w:val="95"/>
                <w:sz w:val="22"/>
              </w:rPr>
              <w:t>不包括恶性黑色素瘤及已发生转移的皮肤癌</w:t>
            </w:r>
            <w:r>
              <w:rPr>
                <w:b/>
                <w:i/>
                <w:w w:val="95"/>
                <w:sz w:val="22"/>
              </w:rPr>
              <w:t>）；</w:t>
            </w:r>
          </w:p>
          <w:p>
            <w:pPr>
              <w:pStyle w:val="TableParagraph"/>
              <w:numPr>
                <w:ilvl w:val="0"/>
                <w:numId w:val="10"/>
              </w:numPr>
              <w:tabs>
                <w:tab w:pos="847" w:val="left" w:leader="none"/>
              </w:tabs>
              <w:spacing w:line="240" w:lineRule="auto" w:before="23" w:after="0"/>
              <w:ind w:left="846" w:right="0" w:hanging="634"/>
              <w:jc w:val="left"/>
              <w:rPr>
                <w:b/>
                <w:i/>
                <w:sz w:val="22"/>
              </w:rPr>
            </w:pPr>
            <w:r>
              <w:rPr>
                <w:b/>
                <w:i/>
                <w:w w:val="95"/>
                <w:position w:val="1"/>
                <w:sz w:val="22"/>
              </w:rPr>
              <w:t>TNM</w:t>
            </w:r>
            <w:r>
              <w:rPr>
                <w:b/>
                <w:i/>
                <w:spacing w:val="-18"/>
                <w:w w:val="95"/>
                <w:position w:val="1"/>
                <w:sz w:val="22"/>
              </w:rPr>
              <w:t> 分期为 </w:t>
            </w:r>
            <w:r>
              <w:rPr>
                <w:b/>
                <w:i/>
                <w:w w:val="95"/>
                <w:position w:val="1"/>
                <w:sz w:val="22"/>
              </w:rPr>
              <w:t>T</w:t>
            </w:r>
            <w:r>
              <w:rPr>
                <w:b/>
                <w:i/>
                <w:w w:val="95"/>
                <w:sz w:val="11"/>
              </w:rPr>
              <w:t>1</w:t>
            </w:r>
            <w:r>
              <w:rPr>
                <w:b/>
                <w:i/>
                <w:w w:val="95"/>
                <w:position w:val="1"/>
                <w:sz w:val="22"/>
              </w:rPr>
              <w:t>N</w:t>
            </w:r>
            <w:r>
              <w:rPr>
                <w:b/>
                <w:i/>
                <w:w w:val="95"/>
                <w:sz w:val="11"/>
              </w:rPr>
              <w:t>0</w:t>
            </w:r>
            <w:r>
              <w:rPr>
                <w:b/>
                <w:i/>
                <w:w w:val="95"/>
                <w:position w:val="1"/>
                <w:sz w:val="22"/>
              </w:rPr>
              <w:t>M</w:t>
            </w:r>
            <w:r>
              <w:rPr>
                <w:b/>
                <w:i/>
                <w:w w:val="95"/>
                <w:sz w:val="11"/>
              </w:rPr>
              <w:t>0</w:t>
            </w:r>
            <w:r>
              <w:rPr>
                <w:b/>
                <w:i/>
                <w:spacing w:val="-18"/>
                <w:w w:val="95"/>
                <w:sz w:val="11"/>
              </w:rPr>
              <w:t> </w:t>
            </w:r>
            <w:r>
              <w:rPr>
                <w:b/>
                <w:i/>
                <w:spacing w:val="-3"/>
                <w:w w:val="95"/>
                <w:position w:val="1"/>
                <w:sz w:val="22"/>
              </w:rPr>
              <w:t>期或更轻分期的前列腺癌；</w:t>
            </w:r>
          </w:p>
          <w:p>
            <w:pPr>
              <w:pStyle w:val="TableParagraph"/>
              <w:numPr>
                <w:ilvl w:val="0"/>
                <w:numId w:val="10"/>
              </w:numPr>
              <w:tabs>
                <w:tab w:pos="847" w:val="left" w:leader="none"/>
              </w:tabs>
              <w:spacing w:line="240" w:lineRule="auto" w:before="24" w:after="0"/>
              <w:ind w:left="846" w:right="0" w:hanging="634"/>
              <w:jc w:val="left"/>
              <w:rPr>
                <w:b/>
                <w:i/>
                <w:sz w:val="22"/>
              </w:rPr>
            </w:pPr>
            <w:r>
              <w:rPr>
                <w:b/>
                <w:i/>
                <w:spacing w:val="-3"/>
                <w:w w:val="95"/>
                <w:sz w:val="22"/>
              </w:rPr>
              <w:t>感染艾滋病病毒或患艾滋病期间所患恶性肿瘤。</w:t>
            </w:r>
          </w:p>
        </w:tc>
      </w:tr>
      <w:tr>
        <w:trPr>
          <w:trHeight w:val="2409" w:hRule="atLeast"/>
        </w:trPr>
        <w:tc>
          <w:tcPr>
            <w:tcW w:w="765" w:type="dxa"/>
          </w:tcPr>
          <w:p>
            <w:pPr>
              <w:pStyle w:val="TableParagraph"/>
              <w:ind w:left="0"/>
              <w:rPr>
                <w:rFonts w:ascii="Times New Roman"/>
                <w:sz w:val="20"/>
              </w:rPr>
            </w:pPr>
          </w:p>
        </w:tc>
        <w:tc>
          <w:tcPr>
            <w:tcW w:w="1670" w:type="dxa"/>
          </w:tcPr>
          <w:p>
            <w:pPr>
              <w:pStyle w:val="TableParagraph"/>
              <w:spacing w:before="98"/>
              <w:ind w:left="190"/>
              <w:rPr>
                <w:rFonts w:ascii="楷体" w:eastAsia="楷体" w:hint="eastAsia"/>
                <w:b/>
                <w:sz w:val="21"/>
              </w:rPr>
            </w:pPr>
            <w:r>
              <w:rPr>
                <w:rFonts w:ascii="楷体" w:eastAsia="楷体" w:hint="eastAsia"/>
                <w:b/>
                <w:sz w:val="21"/>
              </w:rPr>
              <w:t>急性心肌梗塞</w:t>
            </w:r>
          </w:p>
        </w:tc>
        <w:tc>
          <w:tcPr>
            <w:tcW w:w="7728" w:type="dxa"/>
          </w:tcPr>
          <w:p>
            <w:pPr>
              <w:pStyle w:val="TableParagraph"/>
              <w:spacing w:line="273" w:lineRule="auto" w:before="98"/>
              <w:ind w:left="212" w:right="106"/>
              <w:rPr>
                <w:sz w:val="21"/>
              </w:rPr>
            </w:pPr>
            <w:r>
              <w:rPr>
                <w:sz w:val="21"/>
              </w:rPr>
              <w:t>指因冠状动脉阻塞导致的相应区域供血不足造成部分心肌坏死。须满足下列至少三项条件：</w:t>
            </w:r>
          </w:p>
          <w:p>
            <w:pPr>
              <w:pStyle w:val="TableParagraph"/>
              <w:numPr>
                <w:ilvl w:val="0"/>
                <w:numId w:val="11"/>
              </w:numPr>
              <w:tabs>
                <w:tab w:pos="845" w:val="left" w:leader="none"/>
              </w:tabs>
              <w:spacing w:line="240" w:lineRule="auto" w:before="7" w:after="0"/>
              <w:ind w:left="849" w:right="0" w:hanging="637"/>
              <w:jc w:val="left"/>
              <w:rPr>
                <w:sz w:val="21"/>
              </w:rPr>
            </w:pPr>
            <w:r>
              <w:rPr>
                <w:spacing w:val="-3"/>
                <w:sz w:val="21"/>
              </w:rPr>
              <w:t>典型临床表现，例如急性胸痛等；</w:t>
            </w:r>
          </w:p>
          <w:p>
            <w:pPr>
              <w:pStyle w:val="TableParagraph"/>
              <w:numPr>
                <w:ilvl w:val="0"/>
                <w:numId w:val="11"/>
              </w:numPr>
              <w:tabs>
                <w:tab w:pos="845" w:val="left" w:leader="none"/>
              </w:tabs>
              <w:spacing w:line="240" w:lineRule="auto" w:before="37" w:after="0"/>
              <w:ind w:left="849" w:right="0" w:hanging="637"/>
              <w:jc w:val="left"/>
              <w:rPr>
                <w:sz w:val="21"/>
              </w:rPr>
            </w:pPr>
            <w:r>
              <w:rPr>
                <w:spacing w:val="-3"/>
                <w:sz w:val="21"/>
              </w:rPr>
              <w:t>新近的心电图改变提示急性心肌梗塞；</w:t>
            </w:r>
          </w:p>
          <w:p>
            <w:pPr>
              <w:pStyle w:val="TableParagraph"/>
              <w:numPr>
                <w:ilvl w:val="0"/>
                <w:numId w:val="11"/>
              </w:numPr>
              <w:tabs>
                <w:tab w:pos="850" w:val="left" w:leader="none"/>
              </w:tabs>
              <w:spacing w:line="273" w:lineRule="auto" w:before="37" w:after="0"/>
              <w:ind w:left="849" w:right="105" w:hanging="637"/>
              <w:jc w:val="left"/>
              <w:rPr>
                <w:sz w:val="21"/>
              </w:rPr>
            </w:pPr>
            <w:r>
              <w:rPr>
                <w:sz w:val="21"/>
              </w:rPr>
              <w:t>心肌酶或肌钙蛋白有诊断意义的升高，或呈符合急性心肌梗塞的动态性变化；</w:t>
            </w:r>
          </w:p>
          <w:p>
            <w:pPr>
              <w:pStyle w:val="TableParagraph"/>
              <w:numPr>
                <w:ilvl w:val="0"/>
                <w:numId w:val="11"/>
              </w:numPr>
              <w:tabs>
                <w:tab w:pos="845" w:val="left" w:leader="none"/>
              </w:tabs>
              <w:spacing w:line="240" w:lineRule="auto" w:before="7" w:after="0"/>
              <w:ind w:left="849" w:right="0" w:hanging="637"/>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412" w:hRule="atLeast"/>
        </w:trPr>
        <w:tc>
          <w:tcPr>
            <w:tcW w:w="765" w:type="dxa"/>
          </w:tcPr>
          <w:p>
            <w:pPr>
              <w:pStyle w:val="TableParagraph"/>
              <w:ind w:left="0"/>
              <w:rPr>
                <w:rFonts w:ascii="Times New Roman"/>
                <w:sz w:val="20"/>
              </w:rPr>
            </w:pPr>
          </w:p>
        </w:tc>
        <w:tc>
          <w:tcPr>
            <w:tcW w:w="1670" w:type="dxa"/>
          </w:tcPr>
          <w:p>
            <w:pPr>
              <w:pStyle w:val="TableParagraph"/>
              <w:spacing w:before="100"/>
              <w:ind w:left="190"/>
              <w:rPr>
                <w:rFonts w:ascii="楷体" w:eastAsia="楷体" w:hint="eastAsia"/>
                <w:b/>
                <w:sz w:val="21"/>
              </w:rPr>
            </w:pPr>
            <w:r>
              <w:rPr>
                <w:rFonts w:ascii="楷体" w:eastAsia="楷体" w:hint="eastAsia"/>
                <w:b/>
                <w:sz w:val="21"/>
              </w:rPr>
              <w:t>脑中风后遗症</w:t>
            </w:r>
          </w:p>
        </w:tc>
        <w:tc>
          <w:tcPr>
            <w:tcW w:w="7728" w:type="dxa"/>
          </w:tcPr>
          <w:p>
            <w:pPr>
              <w:pStyle w:val="TableParagraph"/>
              <w:spacing w:line="273" w:lineRule="auto" w:before="100"/>
              <w:ind w:left="212" w:right="102"/>
              <w:jc w:val="both"/>
              <w:rPr>
                <w:sz w:val="21"/>
              </w:rPr>
            </w:pPr>
            <w:r>
              <w:rPr>
                <w:sz w:val="21"/>
              </w:rPr>
              <w:t>指因脑血管的突发病变引起脑血管出血、栓塞或梗塞，并导致神经系统永久性的</w:t>
            </w:r>
            <w:r>
              <w:rPr>
                <w:spacing w:val="-4"/>
                <w:sz w:val="21"/>
              </w:rPr>
              <w:t>功能障碍。神经系统永久性的功能障碍，指疾病确诊 </w:t>
            </w:r>
            <w:r>
              <w:rPr>
                <w:sz w:val="21"/>
              </w:rPr>
              <w:t>180</w:t>
            </w:r>
            <w:r>
              <w:rPr>
                <w:spacing w:val="-4"/>
                <w:sz w:val="21"/>
              </w:rPr>
              <w:t> 天后，仍遗留下列一种</w:t>
            </w:r>
            <w:r>
              <w:rPr>
                <w:spacing w:val="-3"/>
                <w:sz w:val="21"/>
              </w:rPr>
              <w:t>或一种以上障碍：</w:t>
            </w:r>
          </w:p>
          <w:p>
            <w:pPr>
              <w:pStyle w:val="TableParagraph"/>
              <w:numPr>
                <w:ilvl w:val="0"/>
                <w:numId w:val="12"/>
              </w:numPr>
              <w:tabs>
                <w:tab w:pos="845" w:val="left" w:leader="none"/>
              </w:tabs>
              <w:spacing w:line="240" w:lineRule="auto" w:before="7" w:after="0"/>
              <w:ind w:left="212" w:right="0" w:firstLine="0"/>
              <w:jc w:val="left"/>
              <w:rPr>
                <w:sz w:val="21"/>
              </w:rPr>
            </w:pPr>
            <w:r>
              <w:rPr>
                <w:spacing w:val="-3"/>
                <w:sz w:val="21"/>
              </w:rPr>
              <w:t>一肢或一肢以上肢体机能完全丧失（</w:t>
            </w:r>
            <w:r>
              <w:rPr>
                <w:spacing w:val="-18"/>
                <w:sz w:val="21"/>
              </w:rPr>
              <w:t>见 </w:t>
            </w:r>
            <w:r>
              <w:rPr>
                <w:sz w:val="21"/>
              </w:rPr>
              <w:t>9.15）；</w:t>
            </w:r>
          </w:p>
          <w:p>
            <w:pPr>
              <w:pStyle w:val="TableParagraph"/>
              <w:numPr>
                <w:ilvl w:val="0"/>
                <w:numId w:val="12"/>
              </w:numPr>
              <w:tabs>
                <w:tab w:pos="845" w:val="left" w:leader="none"/>
              </w:tabs>
              <w:spacing w:line="240" w:lineRule="auto" w:before="37" w:after="0"/>
              <w:ind w:left="212" w:right="0" w:firstLine="0"/>
              <w:jc w:val="left"/>
              <w:rPr>
                <w:sz w:val="21"/>
              </w:rPr>
            </w:pPr>
            <w:r>
              <w:rPr>
                <w:spacing w:val="-3"/>
                <w:sz w:val="21"/>
              </w:rPr>
              <w:t>语言能力或咀嚼吞咽能力完全丧失（</w:t>
            </w:r>
            <w:r>
              <w:rPr>
                <w:spacing w:val="-17"/>
                <w:sz w:val="21"/>
              </w:rPr>
              <w:t>见 </w:t>
            </w:r>
            <w:r>
              <w:rPr>
                <w:sz w:val="21"/>
              </w:rPr>
              <w:t>9.16）；</w:t>
            </w:r>
          </w:p>
          <w:p>
            <w:pPr>
              <w:pStyle w:val="TableParagraph"/>
              <w:numPr>
                <w:ilvl w:val="0"/>
                <w:numId w:val="12"/>
              </w:numPr>
              <w:tabs>
                <w:tab w:pos="845" w:val="left" w:leader="none"/>
              </w:tabs>
              <w:spacing w:line="273" w:lineRule="auto" w:before="37" w:after="0"/>
              <w:ind w:left="212" w:right="105" w:firstLine="0"/>
              <w:jc w:val="left"/>
              <w:rPr>
                <w:sz w:val="21"/>
              </w:rPr>
            </w:pPr>
            <w:r>
              <w:rPr>
                <w:spacing w:val="-3"/>
                <w:sz w:val="21"/>
              </w:rPr>
              <w:t>自主生活能力完全丧失，无法独立完成六项基本日常生活活动（</w:t>
            </w:r>
            <w:r>
              <w:rPr>
                <w:spacing w:val="-14"/>
                <w:sz w:val="21"/>
              </w:rPr>
              <w:t>见 </w:t>
            </w:r>
            <w:r>
              <w:rPr>
                <w:sz w:val="21"/>
              </w:rPr>
              <w:t>9.17） </w:t>
            </w:r>
            <w:r>
              <w:rPr>
                <w:spacing w:val="-3"/>
                <w:sz w:val="21"/>
              </w:rPr>
              <w:t>中的三项或三项以上。</w:t>
            </w:r>
          </w:p>
        </w:tc>
      </w:tr>
      <w:tr>
        <w:trPr>
          <w:trHeight w:val="1787" w:hRule="atLeast"/>
        </w:trPr>
        <w:tc>
          <w:tcPr>
            <w:tcW w:w="765" w:type="dxa"/>
          </w:tcPr>
          <w:p>
            <w:pPr>
              <w:pStyle w:val="TableParagraph"/>
              <w:ind w:left="0"/>
              <w:rPr>
                <w:rFonts w:ascii="Times New Roman"/>
                <w:sz w:val="20"/>
              </w:rPr>
            </w:pPr>
          </w:p>
        </w:tc>
        <w:tc>
          <w:tcPr>
            <w:tcW w:w="1670" w:type="dxa"/>
          </w:tcPr>
          <w:p>
            <w:pPr>
              <w:pStyle w:val="TableParagraph"/>
              <w:spacing w:line="273" w:lineRule="auto" w:before="100"/>
              <w:ind w:left="190" w:right="210"/>
              <w:jc w:val="both"/>
              <w:rPr>
                <w:rFonts w:ascii="楷体" w:eastAsia="楷体" w:hint="eastAsia"/>
                <w:b/>
                <w:sz w:val="21"/>
              </w:rPr>
            </w:pPr>
            <w:r>
              <w:rPr>
                <w:rFonts w:ascii="楷体" w:eastAsia="楷体" w:hint="eastAsia"/>
                <w:b/>
                <w:sz w:val="21"/>
              </w:rPr>
              <w:t>重大器官移植术或造血干细胞移植术</w:t>
            </w:r>
          </w:p>
        </w:tc>
        <w:tc>
          <w:tcPr>
            <w:tcW w:w="7728" w:type="dxa"/>
          </w:tcPr>
          <w:p>
            <w:pPr>
              <w:pStyle w:val="TableParagraph"/>
              <w:spacing w:line="273" w:lineRule="auto" w:before="100"/>
              <w:ind w:left="212" w:right="106"/>
              <w:jc w:val="both"/>
              <w:rPr>
                <w:sz w:val="21"/>
              </w:rPr>
            </w:pPr>
            <w:r>
              <w:rPr>
                <w:sz w:val="21"/>
              </w:rPr>
              <w:t>重大器官移植术，指因相应器官功能衰竭，已经实施了肾脏、肝脏、心脏或肺脏的异体移植手术。</w:t>
            </w:r>
          </w:p>
          <w:p>
            <w:pPr>
              <w:pStyle w:val="TableParagraph"/>
              <w:spacing w:line="273" w:lineRule="auto" w:before="7"/>
              <w:ind w:left="212" w:right="15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374" w:hRule="atLeast"/>
        </w:trPr>
        <w:tc>
          <w:tcPr>
            <w:tcW w:w="765" w:type="dxa"/>
          </w:tcPr>
          <w:p>
            <w:pPr>
              <w:pStyle w:val="TableParagraph"/>
              <w:ind w:left="0"/>
              <w:rPr>
                <w:rFonts w:ascii="Times New Roman"/>
                <w:sz w:val="20"/>
              </w:rPr>
            </w:pPr>
          </w:p>
        </w:tc>
        <w:tc>
          <w:tcPr>
            <w:tcW w:w="1670" w:type="dxa"/>
          </w:tcPr>
          <w:p>
            <w:pPr>
              <w:pStyle w:val="TableParagraph"/>
              <w:spacing w:line="255" w:lineRule="exact" w:before="99"/>
              <w:ind w:left="190"/>
              <w:rPr>
                <w:rFonts w:ascii="楷体" w:eastAsia="楷体" w:hint="eastAsia"/>
                <w:b/>
                <w:sz w:val="21"/>
              </w:rPr>
            </w:pPr>
            <w:r>
              <w:rPr>
                <w:rFonts w:ascii="楷体" w:eastAsia="楷体" w:hint="eastAsia"/>
                <w:b/>
                <w:sz w:val="21"/>
              </w:rPr>
              <w:t>冠状动脉搭桥</w:t>
            </w:r>
          </w:p>
        </w:tc>
        <w:tc>
          <w:tcPr>
            <w:tcW w:w="7728" w:type="dxa"/>
          </w:tcPr>
          <w:p>
            <w:pPr>
              <w:pStyle w:val="TableParagraph"/>
              <w:spacing w:line="255" w:lineRule="exact" w:before="99"/>
              <w:ind w:left="212"/>
              <w:rPr>
                <w:sz w:val="21"/>
              </w:rPr>
            </w:pPr>
            <w:r>
              <w:rPr>
                <w:sz w:val="21"/>
              </w:rPr>
              <w:t>指为治疗严重的冠心病，实际实施了开胸进行的冠状动脉血管旁路移植的手术。</w:t>
            </w:r>
          </w:p>
        </w:tc>
      </w:tr>
    </w:tbl>
    <w:p>
      <w:pPr>
        <w:spacing w:after="0" w:line="255" w:lineRule="exact"/>
        <w:rPr>
          <w:sz w:val="21"/>
        </w:rPr>
        <w:sectPr>
          <w:pgSz w:w="11910" w:h="16840"/>
          <w:pgMar w:header="0" w:footer="896" w:top="1280" w:bottom="1080" w:left="880" w:right="6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7820"/>
      </w:tblGrid>
      <w:tr>
        <w:trPr>
          <w:trHeight w:val="697" w:hRule="atLeast"/>
        </w:trPr>
        <w:tc>
          <w:tcPr>
            <w:tcW w:w="1785" w:type="dxa"/>
          </w:tcPr>
          <w:p>
            <w:pPr>
              <w:pStyle w:val="TableParagraph"/>
              <w:spacing w:line="212" w:lineRule="exact"/>
              <w:ind w:left="200"/>
              <w:rPr>
                <w:rFonts w:ascii="楷体" w:eastAsia="楷体" w:hint="eastAsia"/>
                <w:b/>
                <w:sz w:val="21"/>
              </w:rPr>
            </w:pPr>
            <w:r>
              <w:rPr>
                <w:rFonts w:ascii="楷体" w:eastAsia="楷体" w:hint="eastAsia"/>
                <w:b/>
                <w:sz w:val="21"/>
              </w:rPr>
              <w:t>术（或称冠状动</w:t>
            </w:r>
          </w:p>
          <w:p>
            <w:pPr>
              <w:pStyle w:val="TableParagraph"/>
              <w:spacing w:before="37"/>
              <w:ind w:left="200"/>
              <w:rPr>
                <w:rFonts w:ascii="楷体" w:eastAsia="楷体" w:hint="eastAsia"/>
                <w:b/>
                <w:sz w:val="21"/>
              </w:rPr>
            </w:pPr>
            <w:r>
              <w:rPr>
                <w:rFonts w:ascii="楷体" w:eastAsia="楷体" w:hint="eastAsia"/>
                <w:b/>
                <w:sz w:val="21"/>
              </w:rPr>
              <w:t>脉旁路移植术）</w:t>
            </w:r>
          </w:p>
        </w:tc>
        <w:tc>
          <w:tcPr>
            <w:tcW w:w="7820" w:type="dxa"/>
          </w:tcPr>
          <w:p>
            <w:pPr>
              <w:pStyle w:val="TableParagraph"/>
              <w:spacing w:line="213" w:lineRule="exact"/>
              <w:rPr>
                <w:b/>
                <w:i/>
                <w:sz w:val="22"/>
              </w:rPr>
            </w:pPr>
            <w:r>
              <w:rPr>
                <w:b/>
                <w:i/>
                <w:w w:val="95"/>
                <w:sz w:val="22"/>
              </w:rPr>
              <w:t>冠状动脉支架植入术、心导管球囊扩张术、激光射频技术及其它非开胸的介入手</w:t>
            </w:r>
          </w:p>
          <w:p>
            <w:pPr>
              <w:pStyle w:val="TableParagraph"/>
              <w:spacing w:before="24"/>
              <w:rPr>
                <w:b/>
                <w:i/>
                <w:sz w:val="22"/>
              </w:rPr>
            </w:pPr>
            <w:r>
              <w:rPr>
                <w:b/>
                <w:i/>
                <w:w w:val="95"/>
                <w:sz w:val="22"/>
              </w:rPr>
              <w:t>术、腔镜手术不在保障范围内。</w:t>
            </w:r>
          </w:p>
        </w:tc>
      </w:tr>
      <w:tr>
        <w:trPr>
          <w:trHeight w:val="1161" w:hRule="atLeast"/>
        </w:trPr>
        <w:tc>
          <w:tcPr>
            <w:tcW w:w="1785" w:type="dxa"/>
          </w:tcPr>
          <w:p>
            <w:pPr>
              <w:pStyle w:val="TableParagraph"/>
              <w:spacing w:line="273" w:lineRule="auto" w:before="89"/>
              <w:ind w:left="200" w:right="104"/>
              <w:rPr>
                <w:rFonts w:ascii="楷体" w:eastAsia="楷体" w:hint="eastAsia"/>
                <w:b/>
                <w:sz w:val="21"/>
              </w:rPr>
            </w:pPr>
            <w:r>
              <w:rPr>
                <w:rFonts w:ascii="楷体" w:eastAsia="楷体" w:hint="eastAsia"/>
                <w:b/>
                <w:sz w:val="21"/>
              </w:rPr>
              <w:t>终末期肾病（或称慢性肾功能 衰竭尿毒症期）</w:t>
            </w:r>
          </w:p>
        </w:tc>
        <w:tc>
          <w:tcPr>
            <w:tcW w:w="7820" w:type="dxa"/>
          </w:tcPr>
          <w:p>
            <w:pPr>
              <w:pStyle w:val="TableParagraph"/>
              <w:spacing w:line="273" w:lineRule="auto" w:before="89"/>
              <w:ind w:right="303"/>
              <w:rPr>
                <w:sz w:val="21"/>
              </w:rPr>
            </w:pPr>
            <w:r>
              <w:rPr>
                <w:spacing w:val="-8"/>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tc>
      </w:tr>
      <w:tr>
        <w:trPr>
          <w:trHeight w:val="850" w:hRule="atLeast"/>
        </w:trPr>
        <w:tc>
          <w:tcPr>
            <w:tcW w:w="1785" w:type="dxa"/>
          </w:tcPr>
          <w:p>
            <w:pPr>
              <w:pStyle w:val="TableParagraph"/>
              <w:spacing w:before="91"/>
              <w:ind w:left="200"/>
              <w:rPr>
                <w:rFonts w:ascii="楷体" w:eastAsia="楷体" w:hint="eastAsia"/>
                <w:b/>
                <w:sz w:val="21"/>
              </w:rPr>
            </w:pPr>
            <w:r>
              <w:rPr>
                <w:rFonts w:ascii="楷体" w:eastAsia="楷体" w:hint="eastAsia"/>
                <w:b/>
                <w:sz w:val="21"/>
              </w:rPr>
              <w:t>多个肢体缺失</w:t>
            </w:r>
          </w:p>
        </w:tc>
        <w:tc>
          <w:tcPr>
            <w:tcW w:w="7820" w:type="dxa"/>
          </w:tcPr>
          <w:p>
            <w:pPr>
              <w:pStyle w:val="TableParagraph"/>
              <w:spacing w:line="273" w:lineRule="auto" w:before="91"/>
              <w:ind w:right="353"/>
              <w:rPr>
                <w:sz w:val="21"/>
              </w:rPr>
            </w:pPr>
            <w:r>
              <w:rPr>
                <w:sz w:val="21"/>
              </w:rPr>
              <w:t>指因疾病或意外伤害导致两个或两个以上肢体自腕关节或踝关节近端（靠近躯干端）以上完全性断离。</w:t>
            </w:r>
          </w:p>
        </w:tc>
      </w:tr>
      <w:tr>
        <w:trPr>
          <w:trHeight w:val="2099" w:hRule="atLeast"/>
        </w:trPr>
        <w:tc>
          <w:tcPr>
            <w:tcW w:w="1785" w:type="dxa"/>
          </w:tcPr>
          <w:p>
            <w:pPr>
              <w:pStyle w:val="TableParagraph"/>
              <w:spacing w:line="273" w:lineRule="auto" w:before="90"/>
              <w:ind w:left="200" w:right="315"/>
              <w:rPr>
                <w:rFonts w:ascii="楷体" w:eastAsia="楷体" w:hint="eastAsia"/>
                <w:b/>
                <w:sz w:val="21"/>
              </w:rPr>
            </w:pPr>
            <w:r>
              <w:rPr>
                <w:rFonts w:ascii="楷体" w:eastAsia="楷体" w:hint="eastAsia"/>
                <w:b/>
                <w:sz w:val="21"/>
              </w:rPr>
              <w:t>急性或亚急性重症肝炎</w:t>
            </w:r>
          </w:p>
        </w:tc>
        <w:tc>
          <w:tcPr>
            <w:tcW w:w="7820" w:type="dxa"/>
          </w:tcPr>
          <w:p>
            <w:pPr>
              <w:pStyle w:val="TableParagraph"/>
              <w:spacing w:line="273" w:lineRule="auto" w:before="90"/>
              <w:ind w:right="304"/>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739" w:val="left" w:leader="none"/>
              </w:tabs>
              <w:spacing w:line="240" w:lineRule="auto" w:before="8" w:after="0"/>
              <w:ind w:left="738" w:right="0" w:hanging="632"/>
              <w:jc w:val="left"/>
              <w:rPr>
                <w:sz w:val="21"/>
              </w:rPr>
            </w:pPr>
            <w:r>
              <w:rPr>
                <w:spacing w:val="-3"/>
                <w:sz w:val="21"/>
              </w:rPr>
              <w:t>重度黄疸或黄疸迅速加重；</w:t>
            </w:r>
          </w:p>
          <w:p>
            <w:pPr>
              <w:pStyle w:val="TableParagraph"/>
              <w:numPr>
                <w:ilvl w:val="0"/>
                <w:numId w:val="13"/>
              </w:numPr>
              <w:tabs>
                <w:tab w:pos="739" w:val="left" w:leader="none"/>
              </w:tabs>
              <w:spacing w:line="240" w:lineRule="auto" w:before="37" w:after="0"/>
              <w:ind w:left="738" w:right="0" w:hanging="632"/>
              <w:jc w:val="left"/>
              <w:rPr>
                <w:sz w:val="21"/>
              </w:rPr>
            </w:pPr>
            <w:r>
              <w:rPr>
                <w:spacing w:val="-3"/>
                <w:sz w:val="21"/>
              </w:rPr>
              <w:t>肝性脑病；</w:t>
            </w:r>
          </w:p>
          <w:p>
            <w:pPr>
              <w:pStyle w:val="TableParagraph"/>
              <w:numPr>
                <w:ilvl w:val="0"/>
                <w:numId w:val="13"/>
              </w:numPr>
              <w:tabs>
                <w:tab w:pos="739" w:val="left" w:leader="none"/>
              </w:tabs>
              <w:spacing w:line="240" w:lineRule="auto" w:before="37" w:after="0"/>
              <w:ind w:left="738" w:right="0" w:hanging="632"/>
              <w:jc w:val="left"/>
              <w:rPr>
                <w:sz w:val="21"/>
              </w:rPr>
            </w:pPr>
            <w:r>
              <w:rPr>
                <w:sz w:val="21"/>
              </w:rPr>
              <w:t>B</w:t>
            </w:r>
            <w:r>
              <w:rPr>
                <w:spacing w:val="-7"/>
                <w:sz w:val="21"/>
              </w:rPr>
              <w:t> 超或其它影像学检查显示肝脏体积急速萎缩；</w:t>
            </w:r>
          </w:p>
          <w:p>
            <w:pPr>
              <w:pStyle w:val="TableParagraph"/>
              <w:numPr>
                <w:ilvl w:val="0"/>
                <w:numId w:val="13"/>
              </w:numPr>
              <w:tabs>
                <w:tab w:pos="739" w:val="left" w:leader="none"/>
              </w:tabs>
              <w:spacing w:line="240" w:lineRule="auto" w:before="37" w:after="0"/>
              <w:ind w:left="738" w:right="0" w:hanging="632"/>
              <w:jc w:val="left"/>
              <w:rPr>
                <w:sz w:val="21"/>
              </w:rPr>
            </w:pPr>
            <w:r>
              <w:rPr>
                <w:spacing w:val="-3"/>
                <w:sz w:val="21"/>
              </w:rPr>
              <w:t>肝功能指标进行性恶化。</w:t>
            </w:r>
          </w:p>
        </w:tc>
      </w:tr>
      <w:tr>
        <w:trPr>
          <w:trHeight w:val="2099" w:hRule="atLeast"/>
        </w:trPr>
        <w:tc>
          <w:tcPr>
            <w:tcW w:w="1785" w:type="dxa"/>
          </w:tcPr>
          <w:p>
            <w:pPr>
              <w:pStyle w:val="TableParagraph"/>
              <w:spacing w:before="91"/>
              <w:ind w:left="200"/>
              <w:rPr>
                <w:rFonts w:ascii="楷体" w:eastAsia="楷体" w:hint="eastAsia"/>
                <w:b/>
                <w:sz w:val="21"/>
              </w:rPr>
            </w:pPr>
            <w:r>
              <w:rPr>
                <w:rFonts w:ascii="楷体" w:eastAsia="楷体" w:hint="eastAsia"/>
                <w:b/>
                <w:sz w:val="21"/>
              </w:rPr>
              <w:t>良性脑肿瘤</w:t>
            </w:r>
          </w:p>
        </w:tc>
        <w:tc>
          <w:tcPr>
            <w:tcW w:w="7820" w:type="dxa"/>
          </w:tcPr>
          <w:p>
            <w:pPr>
              <w:pStyle w:val="TableParagraph"/>
              <w:spacing w:line="273" w:lineRule="auto" w:before="91"/>
              <w:ind w:right="197"/>
              <w:jc w:val="both"/>
              <w:rPr>
                <w:sz w:val="21"/>
              </w:rPr>
            </w:pPr>
            <w:r>
              <w:rPr>
                <w:spacing w:val="-8"/>
                <w:sz w:val="21"/>
              </w:rPr>
              <w:t>指脑的良性肿瘤，已经引起颅内压增高，临床表现为视神经乳头水肿、精神症状、</w:t>
            </w:r>
            <w:r>
              <w:rPr>
                <w:spacing w:val="-22"/>
                <w:w w:val="100"/>
                <w:sz w:val="21"/>
              </w:rPr>
              <w:t>癫痫及运动感觉障碍等，并危及生命。须由头颅断层扫描</w:t>
            </w:r>
            <w:r>
              <w:rPr>
                <w:spacing w:val="-1"/>
                <w:w w:val="100"/>
                <w:sz w:val="21"/>
              </w:rPr>
              <w:t>（</w:t>
            </w:r>
            <w:r>
              <w:rPr>
                <w:spacing w:val="-3"/>
                <w:w w:val="100"/>
                <w:sz w:val="21"/>
              </w:rPr>
              <w:t>C</w:t>
            </w:r>
            <w:r>
              <w:rPr>
                <w:w w:val="100"/>
                <w:sz w:val="21"/>
              </w:rPr>
              <w:t>T</w:t>
            </w:r>
            <w:r>
              <w:rPr>
                <w:spacing w:val="-108"/>
                <w:w w:val="100"/>
                <w:sz w:val="21"/>
              </w:rPr>
              <w:t>）</w:t>
            </w:r>
            <w:r>
              <w:rPr>
                <w:spacing w:val="-29"/>
                <w:w w:val="100"/>
                <w:sz w:val="21"/>
              </w:rPr>
              <w:t>、核磁共振检查</w:t>
            </w:r>
            <w:r>
              <w:rPr>
                <w:spacing w:val="-3"/>
                <w:w w:val="100"/>
                <w:sz w:val="21"/>
              </w:rPr>
              <w:t>（</w:t>
            </w:r>
            <w:r>
              <w:rPr>
                <w:w w:val="100"/>
                <w:sz w:val="21"/>
              </w:rPr>
              <w:t>MR</w:t>
            </w:r>
            <w:r>
              <w:rPr>
                <w:spacing w:val="-3"/>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739" w:val="left" w:leader="none"/>
              </w:tabs>
              <w:spacing w:line="240" w:lineRule="auto" w:before="7" w:after="0"/>
              <w:ind w:left="738" w:right="0" w:hanging="632"/>
              <w:jc w:val="both"/>
              <w:rPr>
                <w:sz w:val="21"/>
              </w:rPr>
            </w:pPr>
            <w:r>
              <w:rPr>
                <w:spacing w:val="-3"/>
                <w:sz w:val="21"/>
              </w:rPr>
              <w:t>实际实施了开颅进行的脑肿瘤完全切除或部分切除的手术；</w:t>
            </w:r>
          </w:p>
          <w:p>
            <w:pPr>
              <w:pStyle w:val="TableParagraph"/>
              <w:numPr>
                <w:ilvl w:val="0"/>
                <w:numId w:val="14"/>
              </w:numPr>
              <w:tabs>
                <w:tab w:pos="739" w:val="left" w:leader="none"/>
              </w:tabs>
              <w:spacing w:line="240" w:lineRule="auto" w:before="37" w:after="0"/>
              <w:ind w:left="738" w:right="0" w:hanging="632"/>
              <w:jc w:val="both"/>
              <w:rPr>
                <w:sz w:val="21"/>
              </w:rPr>
            </w:pPr>
            <w:r>
              <w:rPr>
                <w:spacing w:val="-3"/>
                <w:sz w:val="21"/>
              </w:rPr>
              <w:t>实际实施了对脑肿瘤进行的放射治疗。</w:t>
            </w:r>
          </w:p>
          <w:p>
            <w:pPr>
              <w:pStyle w:val="TableParagraph"/>
              <w:spacing w:before="25"/>
              <w:jc w:val="both"/>
              <w:rPr>
                <w:b/>
                <w:i/>
                <w:sz w:val="22"/>
              </w:rPr>
            </w:pPr>
            <w:r>
              <w:rPr>
                <w:b/>
                <w:i/>
                <w:w w:val="95"/>
                <w:sz w:val="22"/>
              </w:rPr>
              <w:t>脑垂体瘤、脑囊肿、脑血管性疾病不在保障范围内。</w:t>
            </w:r>
          </w:p>
        </w:tc>
      </w:tr>
      <w:tr>
        <w:trPr>
          <w:trHeight w:val="2099" w:hRule="atLeast"/>
        </w:trPr>
        <w:tc>
          <w:tcPr>
            <w:tcW w:w="1785" w:type="dxa"/>
          </w:tcPr>
          <w:p>
            <w:pPr>
              <w:pStyle w:val="TableParagraph"/>
              <w:spacing w:line="273" w:lineRule="auto" w:before="90"/>
              <w:ind w:left="200" w:right="315"/>
              <w:rPr>
                <w:rFonts w:ascii="楷体" w:eastAsia="楷体" w:hint="eastAsia"/>
                <w:b/>
                <w:sz w:val="21"/>
              </w:rPr>
            </w:pPr>
            <w:r>
              <w:rPr>
                <w:rFonts w:ascii="楷体" w:eastAsia="楷体" w:hint="eastAsia"/>
                <w:b/>
                <w:sz w:val="21"/>
              </w:rPr>
              <w:t>慢性肝功能衰竭失代偿期</w:t>
            </w:r>
          </w:p>
        </w:tc>
        <w:tc>
          <w:tcPr>
            <w:tcW w:w="7820" w:type="dxa"/>
          </w:tcPr>
          <w:p>
            <w:pPr>
              <w:pStyle w:val="TableParagraph"/>
              <w:spacing w:before="90"/>
              <w:rPr>
                <w:sz w:val="21"/>
              </w:rPr>
            </w:pPr>
            <w:r>
              <w:rPr>
                <w:sz w:val="21"/>
              </w:rPr>
              <w:t>指因慢性肝脏疾病导致肝功能衰竭。须满足下列全部条件：</w:t>
            </w:r>
          </w:p>
          <w:p>
            <w:pPr>
              <w:pStyle w:val="TableParagraph"/>
              <w:numPr>
                <w:ilvl w:val="0"/>
                <w:numId w:val="15"/>
              </w:numPr>
              <w:tabs>
                <w:tab w:pos="739" w:val="left" w:leader="none"/>
              </w:tabs>
              <w:spacing w:line="240" w:lineRule="auto" w:before="37" w:after="0"/>
              <w:ind w:left="738" w:right="0" w:hanging="632"/>
              <w:jc w:val="left"/>
              <w:rPr>
                <w:sz w:val="21"/>
              </w:rPr>
            </w:pPr>
            <w:r>
              <w:rPr>
                <w:spacing w:val="-3"/>
                <w:sz w:val="21"/>
              </w:rPr>
              <w:t>持续性黄疸；</w:t>
            </w:r>
          </w:p>
          <w:p>
            <w:pPr>
              <w:pStyle w:val="TableParagraph"/>
              <w:numPr>
                <w:ilvl w:val="0"/>
                <w:numId w:val="15"/>
              </w:numPr>
              <w:tabs>
                <w:tab w:pos="739" w:val="left" w:leader="none"/>
              </w:tabs>
              <w:spacing w:line="240" w:lineRule="auto" w:before="37" w:after="0"/>
              <w:ind w:left="738" w:right="0" w:hanging="632"/>
              <w:jc w:val="left"/>
              <w:rPr>
                <w:sz w:val="21"/>
              </w:rPr>
            </w:pPr>
            <w:r>
              <w:rPr>
                <w:spacing w:val="-2"/>
                <w:sz w:val="21"/>
              </w:rPr>
              <w:t>腹水；</w:t>
            </w:r>
          </w:p>
          <w:p>
            <w:pPr>
              <w:pStyle w:val="TableParagraph"/>
              <w:numPr>
                <w:ilvl w:val="0"/>
                <w:numId w:val="15"/>
              </w:numPr>
              <w:tabs>
                <w:tab w:pos="739" w:val="left" w:leader="none"/>
              </w:tabs>
              <w:spacing w:line="240" w:lineRule="auto" w:before="37" w:after="0"/>
              <w:ind w:left="738" w:right="0" w:hanging="632"/>
              <w:jc w:val="left"/>
              <w:rPr>
                <w:sz w:val="21"/>
              </w:rPr>
            </w:pPr>
            <w:r>
              <w:rPr>
                <w:spacing w:val="-3"/>
                <w:sz w:val="21"/>
              </w:rPr>
              <w:t>肝性脑病；</w:t>
            </w:r>
          </w:p>
          <w:p>
            <w:pPr>
              <w:pStyle w:val="TableParagraph"/>
              <w:numPr>
                <w:ilvl w:val="0"/>
                <w:numId w:val="15"/>
              </w:numPr>
              <w:tabs>
                <w:tab w:pos="739" w:val="left" w:leader="none"/>
              </w:tabs>
              <w:spacing w:line="240" w:lineRule="auto" w:before="37" w:after="0"/>
              <w:ind w:left="738" w:right="0" w:hanging="632"/>
              <w:jc w:val="left"/>
              <w:rPr>
                <w:sz w:val="21"/>
              </w:rPr>
            </w:pPr>
            <w:r>
              <w:rPr>
                <w:spacing w:val="-3"/>
                <w:sz w:val="21"/>
              </w:rPr>
              <w:t>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9" w:hRule="atLeast"/>
        </w:trPr>
        <w:tc>
          <w:tcPr>
            <w:tcW w:w="1785" w:type="dxa"/>
          </w:tcPr>
          <w:p>
            <w:pPr>
              <w:pStyle w:val="TableParagraph"/>
              <w:spacing w:line="273" w:lineRule="auto" w:before="91"/>
              <w:ind w:left="200" w:right="315"/>
              <w:rPr>
                <w:rFonts w:ascii="楷体" w:eastAsia="楷体" w:hint="eastAsia"/>
                <w:b/>
                <w:sz w:val="21"/>
              </w:rPr>
            </w:pPr>
            <w:r>
              <w:rPr>
                <w:rFonts w:ascii="楷体" w:eastAsia="楷体" w:hint="eastAsia"/>
                <w:b/>
                <w:sz w:val="21"/>
              </w:rPr>
              <w:t>脑炎后遗症或脑膜炎后遗症</w:t>
            </w:r>
          </w:p>
        </w:tc>
        <w:tc>
          <w:tcPr>
            <w:tcW w:w="7820" w:type="dxa"/>
          </w:tcPr>
          <w:p>
            <w:pPr>
              <w:pStyle w:val="TableParagraph"/>
              <w:spacing w:line="273" w:lineRule="auto" w:before="91"/>
              <w:ind w:right="304"/>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739" w:val="left" w:leader="none"/>
              </w:tabs>
              <w:spacing w:line="240" w:lineRule="auto" w:before="8" w:after="0"/>
              <w:ind w:left="106" w:right="0" w:firstLine="0"/>
              <w:jc w:val="left"/>
              <w:rPr>
                <w:sz w:val="21"/>
              </w:rPr>
            </w:pPr>
            <w:r>
              <w:rPr>
                <w:spacing w:val="-3"/>
                <w:sz w:val="21"/>
              </w:rPr>
              <w:t>一肢或一肢以上肢体机能完全丧失；</w:t>
            </w:r>
          </w:p>
          <w:p>
            <w:pPr>
              <w:pStyle w:val="TableParagraph"/>
              <w:numPr>
                <w:ilvl w:val="0"/>
                <w:numId w:val="16"/>
              </w:numPr>
              <w:tabs>
                <w:tab w:pos="739" w:val="left" w:leader="none"/>
              </w:tabs>
              <w:spacing w:line="240" w:lineRule="auto" w:before="38" w:after="0"/>
              <w:ind w:left="106" w:right="0" w:firstLine="0"/>
              <w:jc w:val="left"/>
              <w:rPr>
                <w:sz w:val="21"/>
              </w:rPr>
            </w:pPr>
            <w:r>
              <w:rPr>
                <w:spacing w:val="-3"/>
                <w:sz w:val="21"/>
              </w:rPr>
              <w:t>语言能力或咀嚼吞咽能力完全丧失；</w:t>
            </w:r>
          </w:p>
          <w:p>
            <w:pPr>
              <w:pStyle w:val="TableParagraph"/>
              <w:numPr>
                <w:ilvl w:val="0"/>
                <w:numId w:val="16"/>
              </w:numPr>
              <w:tabs>
                <w:tab w:pos="739" w:val="left" w:leader="none"/>
              </w:tabs>
              <w:spacing w:line="273" w:lineRule="auto" w:before="37" w:after="0"/>
              <w:ind w:left="106" w:right="353" w:firstLine="0"/>
              <w:jc w:val="left"/>
              <w:rPr>
                <w:sz w:val="21"/>
              </w:rPr>
            </w:pPr>
            <w:r>
              <w:rPr>
                <w:spacing w:val="-3"/>
                <w:sz w:val="21"/>
              </w:rPr>
              <w:t>自主生活能力完全丧失，无法独立完成六项基本日常生活活动中的三项或三项以上。</w:t>
            </w:r>
          </w:p>
        </w:tc>
      </w:tr>
      <w:tr>
        <w:trPr>
          <w:trHeight w:val="1475" w:hRule="atLeast"/>
        </w:trPr>
        <w:tc>
          <w:tcPr>
            <w:tcW w:w="1785" w:type="dxa"/>
          </w:tcPr>
          <w:p>
            <w:pPr>
              <w:pStyle w:val="TableParagraph"/>
              <w:spacing w:before="91"/>
              <w:ind w:left="200"/>
              <w:rPr>
                <w:rFonts w:ascii="楷体" w:eastAsia="楷体" w:hint="eastAsia"/>
                <w:b/>
                <w:sz w:val="21"/>
              </w:rPr>
            </w:pPr>
            <w:r>
              <w:rPr>
                <w:rFonts w:ascii="楷体" w:eastAsia="楷体" w:hint="eastAsia"/>
                <w:b/>
                <w:sz w:val="21"/>
              </w:rPr>
              <w:t>深度昏迷</w:t>
            </w:r>
          </w:p>
        </w:tc>
        <w:tc>
          <w:tcPr>
            <w:tcW w:w="7820" w:type="dxa"/>
          </w:tcPr>
          <w:p>
            <w:pPr>
              <w:pStyle w:val="TableParagraph"/>
              <w:spacing w:line="273" w:lineRule="auto" w:before="91"/>
              <w:ind w:right="302"/>
              <w:jc w:val="both"/>
              <w:rPr>
                <w:sz w:val="21"/>
              </w:rPr>
            </w:pPr>
            <w:r>
              <w:rPr>
                <w:sz w:val="21"/>
              </w:rPr>
              <w:t>指因疾病或意外伤害导致意识丧失,对外界刺激和体内需求均无反应,昏迷程度按</w:t>
            </w:r>
            <w:r>
              <w:rPr>
                <w:spacing w:val="-3"/>
                <w:sz w:val="21"/>
              </w:rPr>
              <w:t>照格拉斯哥昏迷分级</w:t>
            </w:r>
            <w:r>
              <w:rPr>
                <w:sz w:val="21"/>
              </w:rPr>
              <w:t>（Glasgow coma scale）</w:t>
            </w:r>
            <w:r>
              <w:rPr>
                <w:spacing w:val="-11"/>
                <w:sz w:val="21"/>
              </w:rPr>
              <w:t>结果为 </w:t>
            </w:r>
            <w:r>
              <w:rPr>
                <w:sz w:val="21"/>
              </w:rPr>
              <w:t>5</w:t>
            </w:r>
            <w:r>
              <w:rPr>
                <w:spacing w:val="-19"/>
                <w:sz w:val="21"/>
              </w:rPr>
              <w:t> 分或 </w:t>
            </w:r>
            <w:r>
              <w:rPr>
                <w:sz w:val="21"/>
              </w:rPr>
              <w:t>5</w:t>
            </w:r>
            <w:r>
              <w:rPr>
                <w:spacing w:val="-7"/>
                <w:sz w:val="21"/>
              </w:rPr>
              <w:t> 分以下，且已经持</w:t>
            </w:r>
            <w:r>
              <w:rPr>
                <w:spacing w:val="-8"/>
                <w:sz w:val="21"/>
              </w:rPr>
              <w:t>续使用呼吸机及其它生命维持系统 </w:t>
            </w:r>
            <w:r>
              <w:rPr>
                <w:sz w:val="21"/>
              </w:rPr>
              <w:t>96</w:t>
            </w:r>
            <w:r>
              <w:rPr>
                <w:spacing w:val="-10"/>
                <w:sz w:val="21"/>
              </w:rPr>
              <w:t> 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325" w:hRule="atLeast"/>
        </w:trPr>
        <w:tc>
          <w:tcPr>
            <w:tcW w:w="1785" w:type="dxa"/>
          </w:tcPr>
          <w:p>
            <w:pPr>
              <w:pStyle w:val="TableParagraph"/>
              <w:spacing w:before="89"/>
              <w:ind w:left="200"/>
              <w:rPr>
                <w:rFonts w:ascii="楷体" w:eastAsia="楷体" w:hint="eastAsia"/>
                <w:b/>
                <w:sz w:val="21"/>
              </w:rPr>
            </w:pPr>
            <w:r>
              <w:rPr>
                <w:rFonts w:ascii="楷体" w:eastAsia="楷体" w:hint="eastAsia"/>
                <w:b/>
                <w:sz w:val="21"/>
              </w:rPr>
              <w:t>双耳失聪</w:t>
            </w:r>
          </w:p>
        </w:tc>
        <w:tc>
          <w:tcPr>
            <w:tcW w:w="7820" w:type="dxa"/>
          </w:tcPr>
          <w:p>
            <w:pPr>
              <w:pStyle w:val="TableParagraph"/>
              <w:spacing w:before="89"/>
              <w:rPr>
                <w:sz w:val="21"/>
              </w:rPr>
            </w:pPr>
            <w:r>
              <w:rPr>
                <w:sz w:val="21"/>
              </w:rPr>
              <w:t>指因疾病或意外伤害导致双耳听力永久不可逆（见 9.18）性丧失，在 500 赫兹、</w:t>
            </w:r>
          </w:p>
          <w:p>
            <w:pPr>
              <w:pStyle w:val="TableParagraph"/>
              <w:spacing w:line="273" w:lineRule="auto" w:before="36"/>
              <w:ind w:right="305"/>
              <w:rPr>
                <w:sz w:val="21"/>
              </w:rPr>
            </w:pPr>
            <w:r>
              <w:rPr>
                <w:sz w:val="21"/>
              </w:rPr>
              <w:t>1000</w:t>
            </w:r>
            <w:r>
              <w:rPr>
                <w:spacing w:val="-20"/>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p>
            <w:pPr>
              <w:pStyle w:val="TableParagraph"/>
              <w:spacing w:line="288" w:lineRule="exact"/>
              <w:rPr>
                <w:b/>
                <w:i/>
                <w:sz w:val="22"/>
              </w:rPr>
            </w:pPr>
            <w:r>
              <w:rPr>
                <w:b/>
                <w:i/>
                <w:w w:val="95"/>
                <w:sz w:val="22"/>
              </w:rPr>
              <w:t>在 </w:t>
            </w:r>
            <w:r>
              <w:rPr>
                <w:rFonts w:ascii="Times New Roman" w:eastAsia="Times New Roman"/>
                <w:b/>
                <w:i/>
                <w:w w:val="95"/>
                <w:sz w:val="21"/>
              </w:rPr>
              <w:t>0 </w:t>
            </w:r>
            <w:r>
              <w:rPr>
                <w:b/>
                <w:i/>
                <w:w w:val="95"/>
                <w:sz w:val="22"/>
              </w:rPr>
              <w:t>周岁至 </w:t>
            </w:r>
            <w:r>
              <w:rPr>
                <w:rFonts w:ascii="Times New Roman" w:eastAsia="Times New Roman"/>
                <w:b/>
                <w:i/>
                <w:w w:val="95"/>
                <w:sz w:val="21"/>
              </w:rPr>
              <w:t>3 </w:t>
            </w:r>
            <w:r>
              <w:rPr>
                <w:b/>
                <w:i/>
                <w:w w:val="95"/>
                <w:sz w:val="22"/>
              </w:rPr>
              <w:t>周岁的保险单周年日期间，被保险人初患双耳失聪除外。</w:t>
            </w:r>
          </w:p>
        </w:tc>
      </w:tr>
    </w:tbl>
    <w:p>
      <w:pPr>
        <w:spacing w:after="0" w:line="288" w:lineRule="exact"/>
        <w:rPr>
          <w:sz w:val="22"/>
        </w:rPr>
        <w:sectPr>
          <w:pgSz w:w="11910" w:h="16840"/>
          <w:pgMar w:header="0" w:footer="896" w:top="1280" w:bottom="1080" w:left="1640" w:right="4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7926"/>
      </w:tblGrid>
      <w:tr>
        <w:trPr>
          <w:trHeight w:val="1934" w:hRule="atLeast"/>
        </w:trPr>
        <w:tc>
          <w:tcPr>
            <w:tcW w:w="1680" w:type="dxa"/>
          </w:tcPr>
          <w:p>
            <w:pPr>
              <w:pStyle w:val="TableParagraph"/>
              <w:spacing w:line="211" w:lineRule="exact"/>
              <w:ind w:left="200"/>
              <w:rPr>
                <w:rFonts w:ascii="楷体" w:eastAsia="楷体" w:hint="eastAsia"/>
                <w:b/>
                <w:sz w:val="21"/>
              </w:rPr>
            </w:pPr>
            <w:r>
              <w:rPr>
                <w:rFonts w:ascii="楷体" w:eastAsia="楷体" w:hint="eastAsia"/>
                <w:b/>
                <w:sz w:val="21"/>
              </w:rPr>
              <w:t>双目失明</w:t>
            </w:r>
          </w:p>
        </w:tc>
        <w:tc>
          <w:tcPr>
            <w:tcW w:w="7926" w:type="dxa"/>
          </w:tcPr>
          <w:p>
            <w:pPr>
              <w:pStyle w:val="TableParagraph"/>
              <w:spacing w:line="211" w:lineRule="exact"/>
              <w:ind w:left="211"/>
              <w:rPr>
                <w:sz w:val="21"/>
              </w:rPr>
            </w:pPr>
            <w:r>
              <w:rPr>
                <w:sz w:val="21"/>
              </w:rPr>
              <w:t>指因疾病或意外伤害导致双眼视力永久不可逆性丧失，双眼中较好眼须满足下列</w:t>
            </w:r>
          </w:p>
          <w:p>
            <w:pPr>
              <w:pStyle w:val="TableParagraph"/>
              <w:spacing w:before="37"/>
              <w:ind w:left="211"/>
              <w:rPr>
                <w:sz w:val="21"/>
              </w:rPr>
            </w:pPr>
            <w:r>
              <w:rPr>
                <w:sz w:val="21"/>
              </w:rPr>
              <w:t>至少一项条件：</w:t>
            </w:r>
          </w:p>
          <w:p>
            <w:pPr>
              <w:pStyle w:val="TableParagraph"/>
              <w:numPr>
                <w:ilvl w:val="0"/>
                <w:numId w:val="17"/>
              </w:numPr>
              <w:tabs>
                <w:tab w:pos="844" w:val="left" w:leader="none"/>
              </w:tabs>
              <w:spacing w:line="240" w:lineRule="auto" w:before="36" w:after="0"/>
              <w:ind w:left="834" w:right="0" w:hanging="623"/>
              <w:jc w:val="left"/>
              <w:rPr>
                <w:sz w:val="21"/>
              </w:rPr>
            </w:pPr>
            <w:r>
              <w:rPr>
                <w:spacing w:val="-3"/>
                <w:sz w:val="21"/>
              </w:rPr>
              <w:t>眼球缺失或摘除；</w:t>
            </w:r>
          </w:p>
          <w:p>
            <w:pPr>
              <w:pStyle w:val="TableParagraph"/>
              <w:numPr>
                <w:ilvl w:val="0"/>
                <w:numId w:val="17"/>
              </w:numPr>
              <w:tabs>
                <w:tab w:pos="844" w:val="left" w:leader="none"/>
              </w:tabs>
              <w:spacing w:line="273" w:lineRule="auto" w:before="36" w:after="0"/>
              <w:ind w:left="834" w:right="301" w:hanging="623"/>
              <w:jc w:val="left"/>
              <w:rPr>
                <w:sz w:val="21"/>
              </w:rPr>
            </w:pPr>
            <w:r>
              <w:rPr>
                <w:spacing w:val="-7"/>
                <w:sz w:val="21"/>
              </w:rPr>
              <w:t>矫正视力低于 </w:t>
            </w:r>
            <w:r>
              <w:rPr>
                <w:sz w:val="21"/>
              </w:rPr>
              <w:t>0.02（</w:t>
            </w:r>
            <w:r>
              <w:rPr>
                <w:spacing w:val="-3"/>
                <w:sz w:val="21"/>
              </w:rPr>
              <w:t>采用国际标准视力表，如果使用其它视力表应进行换算）；</w:t>
            </w:r>
          </w:p>
          <w:p>
            <w:pPr>
              <w:pStyle w:val="TableParagraph"/>
              <w:numPr>
                <w:ilvl w:val="0"/>
                <w:numId w:val="17"/>
              </w:numPr>
              <w:tabs>
                <w:tab w:pos="844" w:val="left" w:leader="none"/>
              </w:tabs>
              <w:spacing w:line="240" w:lineRule="auto" w:before="7" w:after="0"/>
              <w:ind w:left="834" w:right="0" w:hanging="623"/>
              <w:jc w:val="left"/>
              <w:rPr>
                <w:sz w:val="21"/>
              </w:rPr>
            </w:pPr>
            <w:r>
              <w:rPr>
                <w:spacing w:val="-10"/>
                <w:sz w:val="21"/>
              </w:rPr>
              <w:t>视野半径小于 </w:t>
            </w:r>
            <w:r>
              <w:rPr>
                <w:sz w:val="21"/>
              </w:rPr>
              <w:t>5</w:t>
            </w:r>
            <w:r>
              <w:rPr>
                <w:spacing w:val="-19"/>
                <w:sz w:val="21"/>
              </w:rPr>
              <w:t> 度。</w:t>
            </w:r>
          </w:p>
        </w:tc>
      </w:tr>
      <w:tr>
        <w:trPr>
          <w:trHeight w:val="1162" w:hRule="atLeast"/>
        </w:trPr>
        <w:tc>
          <w:tcPr>
            <w:tcW w:w="1680" w:type="dxa"/>
          </w:tcPr>
          <w:p>
            <w:pPr>
              <w:pStyle w:val="TableParagraph"/>
              <w:spacing w:before="99"/>
              <w:ind w:left="200"/>
              <w:rPr>
                <w:rFonts w:ascii="楷体" w:eastAsia="楷体" w:hint="eastAsia"/>
                <w:b/>
                <w:sz w:val="21"/>
              </w:rPr>
            </w:pPr>
            <w:r>
              <w:rPr>
                <w:rFonts w:ascii="楷体" w:eastAsia="楷体" w:hint="eastAsia"/>
                <w:b/>
                <w:sz w:val="21"/>
              </w:rPr>
              <w:t>瘫痪</w:t>
            </w:r>
          </w:p>
        </w:tc>
        <w:tc>
          <w:tcPr>
            <w:tcW w:w="7926" w:type="dxa"/>
          </w:tcPr>
          <w:p>
            <w:pPr>
              <w:pStyle w:val="TableParagraph"/>
              <w:spacing w:line="273" w:lineRule="auto" w:before="99"/>
              <w:ind w:left="211" w:right="354"/>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39" w:hRule="atLeast"/>
        </w:trPr>
        <w:tc>
          <w:tcPr>
            <w:tcW w:w="1680" w:type="dxa"/>
          </w:tcPr>
          <w:p>
            <w:pPr>
              <w:pStyle w:val="TableParagraph"/>
              <w:spacing w:before="100"/>
              <w:ind w:left="200"/>
              <w:rPr>
                <w:rFonts w:ascii="楷体" w:eastAsia="楷体" w:hint="eastAsia"/>
                <w:b/>
                <w:sz w:val="21"/>
              </w:rPr>
            </w:pPr>
            <w:r>
              <w:rPr>
                <w:rFonts w:ascii="楷体" w:eastAsia="楷体" w:hint="eastAsia"/>
                <w:b/>
                <w:sz w:val="21"/>
              </w:rPr>
              <w:t>心脏瓣膜手术</w:t>
            </w:r>
          </w:p>
        </w:tc>
        <w:tc>
          <w:tcPr>
            <w:tcW w:w="7926" w:type="dxa"/>
          </w:tcPr>
          <w:p>
            <w:pPr>
              <w:pStyle w:val="TableParagraph"/>
              <w:spacing w:before="100"/>
              <w:ind w:left="211"/>
              <w:rPr>
                <w:sz w:val="21"/>
              </w:rPr>
            </w:pPr>
            <w:r>
              <w:rPr>
                <w:sz w:val="21"/>
              </w:rPr>
              <w:t>指为治疗心脏瓣膜疾病，实际实施了开胸进行的心脏瓣膜置换或修复的手术。</w:t>
            </w:r>
          </w:p>
        </w:tc>
      </w:tr>
      <w:tr>
        <w:trPr>
          <w:trHeight w:val="2099" w:hRule="atLeast"/>
        </w:trPr>
        <w:tc>
          <w:tcPr>
            <w:tcW w:w="1680" w:type="dxa"/>
          </w:tcPr>
          <w:p>
            <w:pPr>
              <w:pStyle w:val="TableParagraph"/>
              <w:spacing w:line="273" w:lineRule="auto" w:before="99"/>
              <w:ind w:left="200" w:right="210"/>
              <w:rPr>
                <w:rFonts w:ascii="楷体" w:eastAsia="楷体" w:hint="eastAsia"/>
                <w:b/>
                <w:sz w:val="21"/>
              </w:rPr>
            </w:pPr>
            <w:r>
              <w:rPr>
                <w:rFonts w:ascii="楷体" w:eastAsia="楷体" w:hint="eastAsia"/>
                <w:b/>
                <w:sz w:val="21"/>
              </w:rPr>
              <w:t>严重阿尔茨海默病</w:t>
            </w:r>
          </w:p>
        </w:tc>
        <w:tc>
          <w:tcPr>
            <w:tcW w:w="7926" w:type="dxa"/>
          </w:tcPr>
          <w:p>
            <w:pPr>
              <w:pStyle w:val="TableParagraph"/>
              <w:spacing w:line="273" w:lineRule="auto" w:before="99"/>
              <w:ind w:left="211" w:right="304"/>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line="284" w:lineRule="exact"/>
              <w:ind w:left="211"/>
              <w:jc w:val="both"/>
              <w:rPr>
                <w:b/>
                <w:i/>
                <w:sz w:val="22"/>
              </w:rPr>
            </w:pPr>
            <w:r>
              <w:rPr>
                <w:b/>
                <w:i/>
                <w:w w:val="95"/>
                <w:sz w:val="22"/>
              </w:rPr>
              <w:t>神经官能症和精神疾病不在保障范围内。</w:t>
            </w:r>
          </w:p>
        </w:tc>
      </w:tr>
      <w:tr>
        <w:trPr>
          <w:trHeight w:val="2722" w:hRule="atLeast"/>
        </w:trPr>
        <w:tc>
          <w:tcPr>
            <w:tcW w:w="1680" w:type="dxa"/>
          </w:tcPr>
          <w:p>
            <w:pPr>
              <w:pStyle w:val="TableParagraph"/>
              <w:spacing w:before="100"/>
              <w:ind w:left="200"/>
              <w:rPr>
                <w:rFonts w:ascii="楷体" w:eastAsia="楷体" w:hint="eastAsia"/>
                <w:b/>
                <w:sz w:val="21"/>
              </w:rPr>
            </w:pPr>
            <w:r>
              <w:rPr>
                <w:rFonts w:ascii="楷体" w:eastAsia="楷体" w:hint="eastAsia"/>
                <w:b/>
                <w:sz w:val="21"/>
              </w:rPr>
              <w:t>严重脑损伤</w:t>
            </w:r>
          </w:p>
        </w:tc>
        <w:tc>
          <w:tcPr>
            <w:tcW w:w="7926" w:type="dxa"/>
          </w:tcPr>
          <w:p>
            <w:pPr>
              <w:pStyle w:val="TableParagraph"/>
              <w:spacing w:line="273" w:lineRule="auto" w:before="100"/>
              <w:ind w:left="211" w:right="198"/>
              <w:rPr>
                <w:sz w:val="21"/>
              </w:rPr>
            </w:pPr>
            <w:r>
              <w:rPr>
                <w:sz w:val="21"/>
              </w:rPr>
              <w:t>指因头部遭受机械性外力，引起脑重要部位损伤，导致神经系统永久性的功能障</w:t>
            </w:r>
            <w:r>
              <w:rPr>
                <w:spacing w:val="-12"/>
                <w:sz w:val="21"/>
              </w:rPr>
              <w:t>碍。须由头颅断层扫描</w:t>
            </w:r>
            <w:r>
              <w:rPr>
                <w:spacing w:val="-11"/>
                <w:sz w:val="21"/>
              </w:rPr>
              <w:t>（CT）</w:t>
            </w:r>
            <w:r>
              <w:rPr>
                <w:spacing w:val="-15"/>
                <w:sz w:val="21"/>
              </w:rPr>
              <w:t>、核磁共振检查</w:t>
            </w:r>
            <w:r>
              <w:rPr>
                <w:spacing w:val="-9"/>
                <w:sz w:val="21"/>
              </w:rPr>
              <w:t>（MRI）</w:t>
            </w:r>
            <w:r>
              <w:rPr>
                <w:spacing w:val="-7"/>
                <w:sz w:val="21"/>
              </w:rPr>
              <w:t>或正电子发射断层扫描</w:t>
            </w:r>
            <w:r>
              <w:rPr>
                <w:sz w:val="21"/>
              </w:rPr>
              <w:t>（PET） </w:t>
            </w:r>
            <w:r>
              <w:rPr>
                <w:spacing w:val="-4"/>
                <w:sz w:val="21"/>
              </w:rPr>
              <w:t>等影像学检查证实。神经系统永久性的功能障碍，指脑损伤 </w:t>
            </w:r>
            <w:r>
              <w:rPr>
                <w:sz w:val="21"/>
              </w:rPr>
              <w:t>180</w:t>
            </w:r>
            <w:r>
              <w:rPr>
                <w:spacing w:val="-6"/>
                <w:sz w:val="21"/>
              </w:rPr>
              <w:t> 天后，仍遗留下</w:t>
            </w:r>
            <w:r>
              <w:rPr>
                <w:spacing w:val="-4"/>
                <w:sz w:val="21"/>
              </w:rPr>
              <w:t>列一种或一种以上障碍：</w:t>
            </w:r>
          </w:p>
          <w:p>
            <w:pPr>
              <w:pStyle w:val="TableParagraph"/>
              <w:numPr>
                <w:ilvl w:val="0"/>
                <w:numId w:val="18"/>
              </w:numPr>
              <w:tabs>
                <w:tab w:pos="844" w:val="left" w:leader="none"/>
              </w:tabs>
              <w:spacing w:line="240" w:lineRule="auto" w:before="8" w:after="0"/>
              <w:ind w:left="211" w:right="0" w:firstLine="0"/>
              <w:jc w:val="left"/>
              <w:rPr>
                <w:sz w:val="21"/>
              </w:rPr>
            </w:pPr>
            <w:r>
              <w:rPr>
                <w:spacing w:val="-3"/>
                <w:sz w:val="21"/>
              </w:rPr>
              <w:t>一肢或一肢以上肢体机能完全丧失；</w:t>
            </w:r>
          </w:p>
          <w:p>
            <w:pPr>
              <w:pStyle w:val="TableParagraph"/>
              <w:numPr>
                <w:ilvl w:val="0"/>
                <w:numId w:val="18"/>
              </w:numPr>
              <w:tabs>
                <w:tab w:pos="844" w:val="left" w:leader="none"/>
              </w:tabs>
              <w:spacing w:line="240" w:lineRule="auto" w:before="37" w:after="0"/>
              <w:ind w:left="211" w:right="0" w:firstLine="0"/>
              <w:jc w:val="left"/>
              <w:rPr>
                <w:sz w:val="21"/>
              </w:rPr>
            </w:pPr>
            <w:r>
              <w:rPr>
                <w:spacing w:val="-3"/>
                <w:sz w:val="21"/>
              </w:rPr>
              <w:t>语言能力或咀嚼吞咽能力完全丧失；</w:t>
            </w:r>
          </w:p>
          <w:p>
            <w:pPr>
              <w:pStyle w:val="TableParagraph"/>
              <w:numPr>
                <w:ilvl w:val="0"/>
                <w:numId w:val="18"/>
              </w:numPr>
              <w:tabs>
                <w:tab w:pos="844" w:val="left" w:leader="none"/>
              </w:tabs>
              <w:spacing w:line="273" w:lineRule="auto" w:before="37" w:after="0"/>
              <w:ind w:left="211" w:right="354" w:firstLine="0"/>
              <w:jc w:val="left"/>
              <w:rPr>
                <w:sz w:val="21"/>
              </w:rPr>
            </w:pPr>
            <w:r>
              <w:rPr>
                <w:spacing w:val="-3"/>
                <w:sz w:val="21"/>
              </w:rPr>
              <w:t>自主生活能力完全丧失，无法独立完成六项基本日常生活活动中的三项或三项以上。</w:t>
            </w:r>
          </w:p>
        </w:tc>
      </w:tr>
      <w:tr>
        <w:trPr>
          <w:trHeight w:val="2100" w:hRule="atLeast"/>
        </w:trPr>
        <w:tc>
          <w:tcPr>
            <w:tcW w:w="1680" w:type="dxa"/>
          </w:tcPr>
          <w:p>
            <w:pPr>
              <w:pStyle w:val="TableParagraph"/>
              <w:spacing w:before="99"/>
              <w:ind w:left="200"/>
              <w:rPr>
                <w:rFonts w:ascii="楷体" w:eastAsia="楷体" w:hint="eastAsia"/>
                <w:b/>
                <w:sz w:val="21"/>
              </w:rPr>
            </w:pPr>
            <w:r>
              <w:rPr>
                <w:rFonts w:ascii="楷体" w:eastAsia="楷体" w:hint="eastAsia"/>
                <w:b/>
                <w:sz w:val="21"/>
              </w:rPr>
              <w:t>严重帕金森病</w:t>
            </w:r>
          </w:p>
        </w:tc>
        <w:tc>
          <w:tcPr>
            <w:tcW w:w="7926" w:type="dxa"/>
          </w:tcPr>
          <w:p>
            <w:pPr>
              <w:pStyle w:val="TableParagraph"/>
              <w:spacing w:line="273" w:lineRule="auto" w:before="99"/>
              <w:ind w:left="211" w:right="305"/>
              <w:rPr>
                <w:sz w:val="21"/>
              </w:rPr>
            </w:pPr>
            <w:r>
              <w:rPr>
                <w:sz w:val="21"/>
              </w:rPr>
              <w:t>是一种中枢神经系统的退行性疾病，临床表现为震颤麻痹、共济失调等。须满足下列全部条件：</w:t>
            </w:r>
          </w:p>
          <w:p>
            <w:pPr>
              <w:pStyle w:val="TableParagraph"/>
              <w:numPr>
                <w:ilvl w:val="0"/>
                <w:numId w:val="19"/>
              </w:numPr>
              <w:tabs>
                <w:tab w:pos="844" w:val="left" w:leader="none"/>
              </w:tabs>
              <w:spacing w:line="240" w:lineRule="auto" w:before="7" w:after="0"/>
              <w:ind w:left="834" w:right="0" w:hanging="623"/>
              <w:jc w:val="left"/>
              <w:rPr>
                <w:sz w:val="21"/>
              </w:rPr>
            </w:pPr>
            <w:r>
              <w:rPr>
                <w:spacing w:val="-3"/>
                <w:sz w:val="21"/>
              </w:rPr>
              <w:t>药物治疗无法控制病情；</w:t>
            </w:r>
          </w:p>
          <w:p>
            <w:pPr>
              <w:pStyle w:val="TableParagraph"/>
              <w:numPr>
                <w:ilvl w:val="0"/>
                <w:numId w:val="19"/>
              </w:numPr>
              <w:tabs>
                <w:tab w:pos="849" w:val="left" w:leader="none"/>
              </w:tabs>
              <w:spacing w:line="273" w:lineRule="auto" w:before="37" w:after="0"/>
              <w:ind w:left="834" w:right="303" w:hanging="623"/>
              <w:jc w:val="left"/>
              <w:rPr>
                <w:sz w:val="21"/>
              </w:rPr>
            </w:pPr>
            <w:r>
              <w:rPr>
                <w:sz w:val="21"/>
              </w:rPr>
              <w:t>自主生活能力完全丧失，无法独立完成六项基本日常生活活动中的三项或</w:t>
            </w:r>
            <w:r>
              <w:rPr>
                <w:spacing w:val="-1"/>
                <w:sz w:val="21"/>
              </w:rPr>
              <w:t>三项以上。</w:t>
            </w:r>
          </w:p>
          <w:p>
            <w:pPr>
              <w:pStyle w:val="TableParagraph"/>
              <w:spacing w:line="285" w:lineRule="exact"/>
              <w:ind w:left="211"/>
              <w:rPr>
                <w:b/>
                <w:i/>
                <w:sz w:val="22"/>
              </w:rPr>
            </w:pPr>
            <w:r>
              <w:rPr>
                <w:b/>
                <w:i/>
                <w:w w:val="95"/>
                <w:sz w:val="22"/>
              </w:rPr>
              <w:t>继发性帕金森综合征不在保障范围内。</w:t>
            </w:r>
          </w:p>
        </w:tc>
      </w:tr>
      <w:tr>
        <w:trPr>
          <w:trHeight w:val="851" w:hRule="atLeast"/>
        </w:trPr>
        <w:tc>
          <w:tcPr>
            <w:tcW w:w="1680" w:type="dxa"/>
          </w:tcPr>
          <w:p>
            <w:pPr>
              <w:pStyle w:val="TableParagraph"/>
              <w:spacing w:before="100"/>
              <w:ind w:left="200"/>
              <w:rPr>
                <w:rFonts w:ascii="楷体" w:hAnsi="楷体" w:eastAsia="楷体" w:hint="eastAsia"/>
                <w:b/>
                <w:sz w:val="21"/>
              </w:rPr>
            </w:pPr>
            <w:r>
              <w:rPr>
                <w:rFonts w:ascii="楷体" w:hAnsi="楷体" w:eastAsia="楷体" w:hint="eastAsia"/>
                <w:b/>
                <w:sz w:val="21"/>
              </w:rPr>
              <w:t>严重Ⅲ度烧伤</w:t>
            </w:r>
          </w:p>
        </w:tc>
        <w:tc>
          <w:tcPr>
            <w:tcW w:w="7926" w:type="dxa"/>
          </w:tcPr>
          <w:p>
            <w:pPr>
              <w:pStyle w:val="TableParagraph"/>
              <w:spacing w:line="273" w:lineRule="auto" w:before="100"/>
              <w:ind w:left="211" w:right="301"/>
              <w:rPr>
                <w:sz w:val="21"/>
              </w:rPr>
            </w:pPr>
            <w:r>
              <w:rPr>
                <w:spacing w:val="-8"/>
                <w:sz w:val="21"/>
              </w:rPr>
              <w:t>指烧伤程度为Ⅲ度，且Ⅲ度烧伤的面积达到全身体表面积的 </w:t>
            </w:r>
            <w:r>
              <w:rPr>
                <w:sz w:val="21"/>
              </w:rPr>
              <w:t>20%</w:t>
            </w:r>
            <w:r>
              <w:rPr>
                <w:spacing w:val="-20"/>
                <w:sz w:val="21"/>
              </w:rPr>
              <w:t>或 </w:t>
            </w:r>
            <w:r>
              <w:rPr>
                <w:sz w:val="21"/>
              </w:rPr>
              <w:t>20</w:t>
            </w:r>
            <w:r>
              <w:rPr>
                <w:spacing w:val="-6"/>
                <w:sz w:val="21"/>
              </w:rPr>
              <w:t>%以上。体表</w:t>
            </w:r>
            <w:r>
              <w:rPr>
                <w:spacing w:val="-4"/>
                <w:sz w:val="21"/>
              </w:rPr>
              <w:t>面积根据《中国新九分法》计算。</w:t>
            </w:r>
          </w:p>
        </w:tc>
      </w:tr>
      <w:tr>
        <w:trPr>
          <w:trHeight w:val="1162" w:hRule="atLeast"/>
        </w:trPr>
        <w:tc>
          <w:tcPr>
            <w:tcW w:w="1680" w:type="dxa"/>
          </w:tcPr>
          <w:p>
            <w:pPr>
              <w:pStyle w:val="TableParagraph"/>
              <w:spacing w:line="273" w:lineRule="auto" w:before="100"/>
              <w:ind w:left="200" w:right="210"/>
              <w:rPr>
                <w:rFonts w:ascii="楷体" w:eastAsia="楷体" w:hint="eastAsia"/>
                <w:b/>
                <w:sz w:val="21"/>
              </w:rPr>
            </w:pPr>
            <w:r>
              <w:rPr>
                <w:rFonts w:ascii="楷体" w:eastAsia="楷体" w:hint="eastAsia"/>
                <w:b/>
                <w:sz w:val="21"/>
              </w:rPr>
              <w:t>严重原发性肺动脉高压</w:t>
            </w:r>
          </w:p>
        </w:tc>
        <w:tc>
          <w:tcPr>
            <w:tcW w:w="7926" w:type="dxa"/>
          </w:tcPr>
          <w:p>
            <w:pPr>
              <w:pStyle w:val="TableParagraph"/>
              <w:spacing w:line="273" w:lineRule="auto" w:before="100"/>
              <w:ind w:left="211" w:right="301"/>
              <w:jc w:val="both"/>
              <w:rPr>
                <w:sz w:val="21"/>
              </w:rPr>
            </w:pPr>
            <w:r>
              <w:rPr>
                <w:spacing w:val="-3"/>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63" w:hRule="atLeast"/>
        </w:trPr>
        <w:tc>
          <w:tcPr>
            <w:tcW w:w="1680" w:type="dxa"/>
          </w:tcPr>
          <w:p>
            <w:pPr>
              <w:pStyle w:val="TableParagraph"/>
              <w:spacing w:line="273" w:lineRule="auto" w:before="99"/>
              <w:ind w:left="200" w:right="210"/>
              <w:rPr>
                <w:rFonts w:ascii="楷体" w:eastAsia="楷体" w:hint="eastAsia"/>
                <w:b/>
                <w:sz w:val="21"/>
              </w:rPr>
            </w:pPr>
            <w:r>
              <w:rPr>
                <w:rFonts w:ascii="楷体" w:eastAsia="楷体" w:hint="eastAsia"/>
                <w:b/>
                <w:sz w:val="21"/>
              </w:rPr>
              <w:t>严重运动神经元病</w:t>
            </w:r>
          </w:p>
        </w:tc>
        <w:tc>
          <w:tcPr>
            <w:tcW w:w="7926" w:type="dxa"/>
          </w:tcPr>
          <w:p>
            <w:pPr>
              <w:pStyle w:val="TableParagraph"/>
              <w:spacing w:line="273" w:lineRule="auto" w:before="99"/>
              <w:ind w:left="211" w:right="35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375" w:hRule="atLeast"/>
        </w:trPr>
        <w:tc>
          <w:tcPr>
            <w:tcW w:w="1680" w:type="dxa"/>
          </w:tcPr>
          <w:p>
            <w:pPr>
              <w:pStyle w:val="TableParagraph"/>
              <w:spacing w:line="255" w:lineRule="exact" w:before="100"/>
              <w:ind w:left="200"/>
              <w:rPr>
                <w:rFonts w:ascii="楷体" w:eastAsia="楷体" w:hint="eastAsia"/>
                <w:b/>
                <w:sz w:val="21"/>
              </w:rPr>
            </w:pPr>
            <w:r>
              <w:rPr>
                <w:rFonts w:ascii="楷体" w:eastAsia="楷体" w:hint="eastAsia"/>
                <w:b/>
                <w:sz w:val="21"/>
              </w:rPr>
              <w:t>语言能力丧失</w:t>
            </w:r>
          </w:p>
        </w:tc>
        <w:tc>
          <w:tcPr>
            <w:tcW w:w="7926" w:type="dxa"/>
          </w:tcPr>
          <w:p>
            <w:pPr>
              <w:pStyle w:val="TableParagraph"/>
              <w:spacing w:line="255" w:lineRule="exact" w:before="100"/>
              <w:ind w:left="211"/>
              <w:rPr>
                <w:sz w:val="21"/>
              </w:rPr>
            </w:pPr>
            <w:r>
              <w:rPr>
                <w:sz w:val="21"/>
              </w:rPr>
              <w:t>指因疾病或意外伤害导致完全丧失语言能力，经过积极治疗至少 12 个月（声带完</w:t>
            </w:r>
          </w:p>
        </w:tc>
      </w:tr>
    </w:tbl>
    <w:p>
      <w:pPr>
        <w:spacing w:after="0" w:line="255" w:lineRule="exact"/>
        <w:rPr>
          <w:sz w:val="21"/>
        </w:rPr>
        <w:sectPr>
          <w:pgSz w:w="11910" w:h="16840"/>
          <w:pgMar w:header="0" w:footer="896" w:top="1280" w:bottom="1080" w:left="1640" w:right="4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7716"/>
      </w:tblGrid>
      <w:tr>
        <w:trPr>
          <w:trHeight w:val="1006" w:hRule="atLeast"/>
        </w:trPr>
        <w:tc>
          <w:tcPr>
            <w:tcW w:w="1785" w:type="dxa"/>
          </w:tcPr>
          <w:p>
            <w:pPr>
              <w:pStyle w:val="TableParagraph"/>
              <w:ind w:left="0"/>
              <w:rPr>
                <w:rFonts w:ascii="Times New Roman"/>
                <w:sz w:val="20"/>
              </w:rPr>
            </w:pPr>
          </w:p>
        </w:tc>
        <w:tc>
          <w:tcPr>
            <w:tcW w:w="7716" w:type="dxa"/>
          </w:tcPr>
          <w:p>
            <w:pPr>
              <w:pStyle w:val="TableParagraph"/>
              <w:spacing w:line="211" w:lineRule="exact"/>
              <w:rPr>
                <w:sz w:val="21"/>
              </w:rPr>
            </w:pPr>
            <w:r>
              <w:rPr>
                <w:sz w:val="21"/>
              </w:rPr>
              <w:t>全切除不受此时间限制），仍无法通过现有医疗手段恢复。</w:t>
            </w:r>
          </w:p>
          <w:p>
            <w:pPr>
              <w:pStyle w:val="TableParagraph"/>
              <w:spacing w:before="37"/>
              <w:rPr>
                <w:sz w:val="21"/>
              </w:rPr>
            </w:pPr>
            <w:r>
              <w:rPr>
                <w:sz w:val="21"/>
              </w:rPr>
              <w:t>精神心理因素所致的语言能力丧失不在保障范围内。</w:t>
            </w:r>
          </w:p>
          <w:p>
            <w:pPr>
              <w:pStyle w:val="TableParagraph"/>
              <w:spacing w:before="25"/>
              <w:rPr>
                <w:b/>
                <w:i/>
                <w:sz w:val="22"/>
              </w:rPr>
            </w:pPr>
            <w:r>
              <w:rPr>
                <w:b/>
                <w:i/>
                <w:w w:val="95"/>
                <w:sz w:val="22"/>
              </w:rPr>
              <w:t>在 </w:t>
            </w:r>
            <w:r>
              <w:rPr>
                <w:rFonts w:ascii="Times New Roman" w:eastAsia="Times New Roman"/>
                <w:b/>
                <w:i/>
                <w:w w:val="95"/>
                <w:sz w:val="21"/>
              </w:rPr>
              <w:t>0 </w:t>
            </w:r>
            <w:r>
              <w:rPr>
                <w:b/>
                <w:i/>
                <w:w w:val="95"/>
                <w:sz w:val="22"/>
              </w:rPr>
              <w:t>周岁至 </w:t>
            </w:r>
            <w:r>
              <w:rPr>
                <w:rFonts w:ascii="Times New Roman" w:eastAsia="Times New Roman"/>
                <w:b/>
                <w:i/>
                <w:w w:val="95"/>
                <w:sz w:val="21"/>
              </w:rPr>
              <w:t>3 </w:t>
            </w:r>
            <w:r>
              <w:rPr>
                <w:b/>
                <w:i/>
                <w:w w:val="95"/>
                <w:sz w:val="22"/>
              </w:rPr>
              <w:t>周岁的保险单周年日期间，被保险人初患语言能力丧失除外。</w:t>
            </w:r>
          </w:p>
        </w:tc>
      </w:tr>
      <w:tr>
        <w:trPr>
          <w:trHeight w:val="2403" w:hRule="atLeast"/>
        </w:trPr>
        <w:tc>
          <w:tcPr>
            <w:tcW w:w="1785" w:type="dxa"/>
          </w:tcPr>
          <w:p>
            <w:pPr>
              <w:pStyle w:val="TableParagraph"/>
              <w:spacing w:line="273" w:lineRule="auto" w:before="91"/>
              <w:ind w:left="200" w:right="315"/>
              <w:rPr>
                <w:rFonts w:ascii="楷体" w:eastAsia="楷体" w:hint="eastAsia"/>
                <w:b/>
                <w:sz w:val="21"/>
              </w:rPr>
            </w:pPr>
            <w:r>
              <w:rPr>
                <w:rFonts w:ascii="楷体" w:eastAsia="楷体" w:hint="eastAsia"/>
                <w:b/>
                <w:sz w:val="21"/>
              </w:rPr>
              <w:t>重型再生障碍性贫血</w:t>
            </w:r>
          </w:p>
        </w:tc>
        <w:tc>
          <w:tcPr>
            <w:tcW w:w="7716" w:type="dxa"/>
          </w:tcPr>
          <w:p>
            <w:pPr>
              <w:pStyle w:val="TableParagraph"/>
              <w:spacing w:line="273" w:lineRule="auto" w:before="91"/>
              <w:ind w:right="198"/>
              <w:rPr>
                <w:sz w:val="21"/>
              </w:rPr>
            </w:pPr>
            <w:r>
              <w:rPr>
                <w:sz w:val="21"/>
              </w:rPr>
              <w:t>指因骨髓造血功能慢性持续性衰竭导致的贫血、中性粒细胞减少及血小板减少。须满足下列全部条件：</w:t>
            </w:r>
          </w:p>
          <w:p>
            <w:pPr>
              <w:pStyle w:val="TableParagraph"/>
              <w:numPr>
                <w:ilvl w:val="0"/>
                <w:numId w:val="20"/>
              </w:numPr>
              <w:tabs>
                <w:tab w:pos="739" w:val="left" w:leader="none"/>
              </w:tabs>
              <w:spacing w:line="240" w:lineRule="auto" w:before="7" w:after="0"/>
              <w:ind w:left="738" w:right="0" w:hanging="632"/>
              <w:jc w:val="left"/>
              <w:rPr>
                <w:sz w:val="21"/>
              </w:rPr>
            </w:pPr>
            <w:r>
              <w:rPr>
                <w:spacing w:val="-3"/>
                <w:sz w:val="21"/>
              </w:rPr>
              <w:t>骨髓穿刺检查或骨髓活检结果支持诊断；</w:t>
            </w:r>
          </w:p>
          <w:p>
            <w:pPr>
              <w:pStyle w:val="TableParagraph"/>
              <w:numPr>
                <w:ilvl w:val="0"/>
                <w:numId w:val="20"/>
              </w:numPr>
              <w:tabs>
                <w:tab w:pos="739" w:val="left" w:leader="none"/>
              </w:tabs>
              <w:spacing w:line="240" w:lineRule="auto" w:before="37" w:after="0"/>
              <w:ind w:left="738" w:right="0" w:hanging="632"/>
              <w:jc w:val="left"/>
              <w:rPr>
                <w:sz w:val="21"/>
              </w:rPr>
            </w:pPr>
            <w:r>
              <w:rPr>
                <w:spacing w:val="-3"/>
                <w:sz w:val="21"/>
              </w:rPr>
              <w:t>外周血象须具备以下三项条件：</w:t>
            </w:r>
          </w:p>
          <w:p>
            <w:pPr>
              <w:pStyle w:val="TableParagraph"/>
              <w:spacing w:before="37"/>
              <w:ind w:left="841"/>
              <w:rPr>
                <w:sz w:val="21"/>
              </w:rPr>
            </w:pPr>
            <w:r>
              <w:rPr>
                <w:sz w:val="21"/>
              </w:rPr>
              <w:t>① 中性粒细胞绝对值≤0.5×10</w:t>
            </w:r>
            <w:r>
              <w:rPr>
                <w:position w:val="11"/>
                <w:sz w:val="11"/>
              </w:rPr>
              <w:t>9</w:t>
            </w:r>
            <w:r>
              <w:rPr>
                <w:sz w:val="21"/>
              </w:rPr>
              <w:t>/L；</w:t>
            </w:r>
          </w:p>
          <w:p>
            <w:pPr>
              <w:pStyle w:val="TableParagraph"/>
              <w:spacing w:before="37"/>
              <w:ind w:left="841"/>
              <w:rPr>
                <w:sz w:val="21"/>
              </w:rPr>
            </w:pPr>
            <w:r>
              <w:rPr>
                <w:sz w:val="21"/>
              </w:rPr>
              <w:t>② 网织红细胞＜1%；</w:t>
            </w:r>
          </w:p>
          <w:p>
            <w:pPr>
              <w:pStyle w:val="TableParagraph"/>
              <w:spacing w:before="37"/>
              <w:ind w:left="841"/>
              <w:rPr>
                <w:sz w:val="21"/>
              </w:rPr>
            </w:pPr>
            <w:r>
              <w:rPr>
                <w:sz w:val="21"/>
              </w:rPr>
              <w:t>③ 血小板绝对值≤20×10</w:t>
            </w:r>
            <w:r>
              <w:rPr>
                <w:position w:val="11"/>
                <w:sz w:val="11"/>
              </w:rPr>
              <w:t>9</w:t>
            </w:r>
            <w:r>
              <w:rPr>
                <w:sz w:val="21"/>
              </w:rPr>
              <w:t>/L。</w:t>
            </w:r>
          </w:p>
        </w:tc>
      </w:tr>
      <w:tr>
        <w:trPr>
          <w:trHeight w:val="1475" w:hRule="atLeast"/>
        </w:trPr>
        <w:tc>
          <w:tcPr>
            <w:tcW w:w="1785" w:type="dxa"/>
          </w:tcPr>
          <w:p>
            <w:pPr>
              <w:pStyle w:val="TableParagraph"/>
              <w:spacing w:before="101"/>
              <w:ind w:left="200"/>
              <w:rPr>
                <w:rFonts w:ascii="楷体" w:eastAsia="楷体" w:hint="eastAsia"/>
                <w:b/>
                <w:sz w:val="21"/>
              </w:rPr>
            </w:pPr>
            <w:r>
              <w:rPr>
                <w:rFonts w:ascii="楷体" w:eastAsia="楷体" w:hint="eastAsia"/>
                <w:b/>
                <w:sz w:val="21"/>
              </w:rPr>
              <w:t>主动脉手术</w:t>
            </w:r>
          </w:p>
        </w:tc>
        <w:tc>
          <w:tcPr>
            <w:tcW w:w="7716" w:type="dxa"/>
          </w:tcPr>
          <w:p>
            <w:pPr>
              <w:pStyle w:val="TableParagraph"/>
              <w:spacing w:line="273" w:lineRule="auto" w:before="101"/>
              <w:ind w:right="20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84" w:lineRule="exact"/>
              <w:jc w:val="both"/>
              <w:rPr>
                <w:b/>
                <w:i/>
                <w:sz w:val="22"/>
              </w:rPr>
            </w:pPr>
            <w:r>
              <w:rPr>
                <w:b/>
                <w:i/>
                <w:w w:val="95"/>
                <w:sz w:val="22"/>
              </w:rPr>
              <w:t>动脉内血管成形术不在保障范围内。</w:t>
            </w:r>
          </w:p>
        </w:tc>
      </w:tr>
      <w:tr>
        <w:trPr>
          <w:trHeight w:val="537" w:hRule="atLeast"/>
        </w:trPr>
        <w:tc>
          <w:tcPr>
            <w:tcW w:w="9501" w:type="dxa"/>
            <w:gridSpan w:val="2"/>
          </w:tcPr>
          <w:p>
            <w:pPr>
              <w:pStyle w:val="TableParagraph"/>
              <w:spacing w:before="98"/>
              <w:ind w:left="200"/>
              <w:rPr>
                <w:sz w:val="21"/>
              </w:rPr>
            </w:pPr>
            <w:r>
              <w:rPr>
                <w:sz w:val="21"/>
              </w:rPr>
              <w:t>以上 25 种重大疾病是《重大疾病保险的疾病定义使用规范》列明的重大疾病。</w:t>
            </w:r>
          </w:p>
        </w:tc>
      </w:tr>
      <w:tr>
        <w:trPr>
          <w:trHeight w:val="851" w:hRule="atLeast"/>
        </w:trPr>
        <w:tc>
          <w:tcPr>
            <w:tcW w:w="1785" w:type="dxa"/>
          </w:tcPr>
          <w:p>
            <w:pPr>
              <w:pStyle w:val="TableParagraph"/>
              <w:spacing w:before="100"/>
              <w:ind w:left="200"/>
              <w:rPr>
                <w:rFonts w:ascii="楷体" w:eastAsia="楷体" w:hint="eastAsia"/>
                <w:b/>
                <w:sz w:val="21"/>
              </w:rPr>
            </w:pPr>
            <w:r>
              <w:rPr>
                <w:rFonts w:ascii="楷体" w:eastAsia="楷体" w:hint="eastAsia"/>
                <w:b/>
                <w:sz w:val="21"/>
              </w:rPr>
              <w:t>胰腺移植</w:t>
            </w:r>
          </w:p>
        </w:tc>
        <w:tc>
          <w:tcPr>
            <w:tcW w:w="7716" w:type="dxa"/>
          </w:tcPr>
          <w:p>
            <w:pPr>
              <w:pStyle w:val="TableParagraph"/>
              <w:spacing w:before="100"/>
              <w:rPr>
                <w:sz w:val="21"/>
              </w:rPr>
            </w:pPr>
            <w:r>
              <w:rPr>
                <w:sz w:val="21"/>
              </w:rPr>
              <w:t>指胰腺功能衰竭，已经实施了在全身麻醉下进行的胰腺的异体器官移植手术。</w:t>
            </w:r>
          </w:p>
          <w:p>
            <w:pPr>
              <w:pStyle w:val="TableParagraph"/>
              <w:spacing w:before="25"/>
              <w:rPr>
                <w:b/>
                <w:i/>
                <w:sz w:val="22"/>
              </w:rPr>
            </w:pPr>
            <w:r>
              <w:rPr>
                <w:b/>
                <w:i/>
                <w:w w:val="95"/>
                <w:sz w:val="22"/>
              </w:rPr>
              <w:t>单纯胰岛移植、部分胰腺组织或细胞的移植不在本保障范围内。</w:t>
            </w:r>
          </w:p>
        </w:tc>
      </w:tr>
      <w:tr>
        <w:trPr>
          <w:trHeight w:val="1162" w:hRule="atLeast"/>
        </w:trPr>
        <w:tc>
          <w:tcPr>
            <w:tcW w:w="1785" w:type="dxa"/>
          </w:tcPr>
          <w:p>
            <w:pPr>
              <w:pStyle w:val="TableParagraph"/>
              <w:spacing w:line="273" w:lineRule="auto" w:before="98"/>
              <w:ind w:left="200" w:right="105"/>
              <w:rPr>
                <w:rFonts w:ascii="楷体" w:eastAsia="楷体" w:hint="eastAsia"/>
                <w:b/>
                <w:sz w:val="21"/>
              </w:rPr>
            </w:pPr>
            <w:r>
              <w:rPr>
                <w:rFonts w:ascii="楷体" w:eastAsia="楷体" w:hint="eastAsia"/>
                <w:b/>
                <w:spacing w:val="-33"/>
                <w:sz w:val="21"/>
              </w:rPr>
              <w:t>埃 博 拉 病 毒 感染</w:t>
            </w:r>
          </w:p>
        </w:tc>
        <w:tc>
          <w:tcPr>
            <w:tcW w:w="7716" w:type="dxa"/>
          </w:tcPr>
          <w:p>
            <w:pPr>
              <w:pStyle w:val="TableParagraph"/>
              <w:spacing w:before="98"/>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1163" w:hRule="atLeast"/>
        </w:trPr>
        <w:tc>
          <w:tcPr>
            <w:tcW w:w="1785" w:type="dxa"/>
          </w:tcPr>
          <w:p>
            <w:pPr>
              <w:pStyle w:val="TableParagraph"/>
              <w:spacing w:line="273" w:lineRule="auto" w:before="100"/>
              <w:ind w:left="200" w:right="105"/>
              <w:rPr>
                <w:rFonts w:ascii="楷体" w:eastAsia="楷体" w:hint="eastAsia"/>
                <w:b/>
                <w:sz w:val="21"/>
              </w:rPr>
            </w:pPr>
            <w:r>
              <w:rPr>
                <w:rFonts w:ascii="楷体" w:eastAsia="楷体" w:hint="eastAsia"/>
                <w:b/>
                <w:spacing w:val="-33"/>
                <w:sz w:val="21"/>
              </w:rPr>
              <w:t>丝 虫 病 所 致 象皮肿</w:t>
            </w:r>
          </w:p>
        </w:tc>
        <w:tc>
          <w:tcPr>
            <w:tcW w:w="7716" w:type="dxa"/>
          </w:tcPr>
          <w:p>
            <w:pPr>
              <w:pStyle w:val="TableParagraph"/>
              <w:spacing w:line="273" w:lineRule="auto" w:before="100"/>
              <w:ind w:right="249"/>
              <w:jc w:val="both"/>
              <w:rPr>
                <w:sz w:val="21"/>
              </w:rPr>
            </w:pPr>
            <w:r>
              <w:rPr>
                <w:sz w:val="21"/>
              </w:rPr>
              <w:t>指末期丝虫病，按国际淋巴学会分级为三度淋巴液肿，其临床表现为肢体非凹陷性水肿伴畸形增大、硬皮症和疣状增生。此病症须经本公司认可的专科医生根据临床表现和微丝蚴的化验结果确诊。</w:t>
            </w:r>
          </w:p>
        </w:tc>
      </w:tr>
      <w:tr>
        <w:trPr>
          <w:trHeight w:val="1475" w:hRule="atLeast"/>
        </w:trPr>
        <w:tc>
          <w:tcPr>
            <w:tcW w:w="1785" w:type="dxa"/>
          </w:tcPr>
          <w:p>
            <w:pPr>
              <w:pStyle w:val="TableParagraph"/>
              <w:spacing w:line="273" w:lineRule="auto" w:before="100"/>
              <w:ind w:left="200" w:right="105"/>
              <w:rPr>
                <w:rFonts w:ascii="楷体" w:eastAsia="楷体" w:hint="eastAsia"/>
                <w:b/>
                <w:sz w:val="21"/>
              </w:rPr>
            </w:pPr>
            <w:r>
              <w:rPr>
                <w:rFonts w:ascii="楷体" w:eastAsia="楷体" w:hint="eastAsia"/>
                <w:b/>
                <w:spacing w:val="-33"/>
                <w:sz w:val="21"/>
              </w:rPr>
              <w:t>主 动 脉 夹 层 血肿</w:t>
            </w:r>
          </w:p>
        </w:tc>
        <w:tc>
          <w:tcPr>
            <w:tcW w:w="7716" w:type="dxa"/>
          </w:tcPr>
          <w:p>
            <w:pPr>
              <w:pStyle w:val="TableParagraph"/>
              <w:spacing w:line="273" w:lineRule="auto" w:before="100"/>
              <w:ind w:right="198"/>
              <w:jc w:val="both"/>
              <w:rPr>
                <w:sz w:val="21"/>
              </w:rPr>
            </w:pPr>
            <w:r>
              <w:rPr>
                <w:spacing w:val="-3"/>
                <w:sz w:val="21"/>
              </w:rPr>
              <w:t>是指主动脉壁在受到某些病理因素的破坏后，高速、高压的主动脉血流将其内膜撕裂，以致主动脉腔内的血流通过主动脉内膜的破裂口进入主动脉内壁而形成血</w:t>
            </w:r>
            <w:r>
              <w:rPr>
                <w:spacing w:val="-5"/>
                <w:w w:val="100"/>
                <w:sz w:val="21"/>
              </w:rPr>
              <w:t>肿。被保险人需通过</w:t>
            </w:r>
            <w:r>
              <w:rPr>
                <w:spacing w:val="-5"/>
                <w:sz w:val="21"/>
              </w:rPr>
              <w:t> </w:t>
            </w:r>
            <w:r>
              <w:rPr>
                <w:w w:val="100"/>
                <w:sz w:val="21"/>
              </w:rPr>
              <w:t>X</w:t>
            </w:r>
            <w:r>
              <w:rPr>
                <w:spacing w:val="-55"/>
                <w:sz w:val="21"/>
              </w:rPr>
              <w:t> </w:t>
            </w:r>
            <w:r>
              <w:rPr>
                <w:spacing w:val="-5"/>
                <w:w w:val="100"/>
                <w:sz w:val="21"/>
              </w:rPr>
              <w:t>线断层扫描</w:t>
            </w:r>
            <w:r>
              <w:rPr>
                <w:w w:val="100"/>
                <w:sz w:val="21"/>
              </w:rPr>
              <w:t>（CT</w:t>
            </w:r>
            <w:r>
              <w:rPr>
                <w:spacing w:val="-108"/>
                <w:w w:val="100"/>
                <w:sz w:val="21"/>
              </w:rPr>
              <w:t>）</w:t>
            </w:r>
            <w:r>
              <w:rPr>
                <w:spacing w:val="-6"/>
                <w:w w:val="100"/>
                <w:sz w:val="21"/>
              </w:rPr>
              <w:t>、磁共振扫描</w:t>
            </w:r>
            <w:r>
              <w:rPr>
                <w:spacing w:val="-1"/>
                <w:w w:val="100"/>
                <w:sz w:val="21"/>
              </w:rPr>
              <w:t>（</w:t>
            </w:r>
            <w:r>
              <w:rPr>
                <w:spacing w:val="-3"/>
                <w:w w:val="100"/>
                <w:sz w:val="21"/>
              </w:rPr>
              <w:t>M</w:t>
            </w:r>
            <w:r>
              <w:rPr>
                <w:w w:val="100"/>
                <w:sz w:val="21"/>
              </w:rPr>
              <w:t>RI</w:t>
            </w:r>
            <w:r>
              <w:rPr>
                <w:spacing w:val="-108"/>
                <w:w w:val="100"/>
                <w:sz w:val="21"/>
              </w:rPr>
              <w:t>）</w:t>
            </w:r>
            <w:r>
              <w:rPr>
                <w:spacing w:val="-4"/>
                <w:w w:val="100"/>
                <w:sz w:val="21"/>
              </w:rPr>
              <w:t>、磁共振血管检验法</w:t>
            </w:r>
          </w:p>
          <w:p>
            <w:pPr>
              <w:pStyle w:val="TableParagraph"/>
              <w:spacing w:before="7"/>
              <w:jc w:val="both"/>
              <w:rPr>
                <w:sz w:val="21"/>
              </w:rPr>
            </w:pPr>
            <w:r>
              <w:rPr>
                <w:sz w:val="21"/>
              </w:rPr>
              <w:t>（MRA）或血管扫描等检查，并且实施了胸腹切开的直视主动脉手术。</w:t>
            </w:r>
          </w:p>
        </w:tc>
      </w:tr>
      <w:tr>
        <w:trPr>
          <w:trHeight w:val="2411" w:hRule="atLeast"/>
        </w:trPr>
        <w:tc>
          <w:tcPr>
            <w:tcW w:w="1785" w:type="dxa"/>
          </w:tcPr>
          <w:p>
            <w:pPr>
              <w:pStyle w:val="TableParagraph"/>
              <w:spacing w:before="99"/>
              <w:ind w:left="200"/>
              <w:rPr>
                <w:rFonts w:ascii="楷体" w:eastAsia="楷体" w:hint="eastAsia"/>
                <w:b/>
                <w:sz w:val="21"/>
              </w:rPr>
            </w:pPr>
            <w:r>
              <w:rPr>
                <w:rFonts w:ascii="楷体" w:eastAsia="楷体" w:hint="eastAsia"/>
                <w:b/>
                <w:sz w:val="21"/>
              </w:rPr>
              <w:t>疯牛病</w:t>
            </w:r>
          </w:p>
        </w:tc>
        <w:tc>
          <w:tcPr>
            <w:tcW w:w="7716" w:type="dxa"/>
          </w:tcPr>
          <w:p>
            <w:pPr>
              <w:pStyle w:val="TableParagraph"/>
              <w:spacing w:before="99"/>
              <w:rPr>
                <w:sz w:val="21"/>
              </w:rPr>
            </w:pPr>
            <w:r>
              <w:rPr>
                <w:sz w:val="21"/>
              </w:rPr>
              <w:t>神经系统疾病及致命的成胶质状脑病，并有以下症状：</w:t>
            </w:r>
          </w:p>
          <w:p>
            <w:pPr>
              <w:pStyle w:val="TableParagraph"/>
              <w:numPr>
                <w:ilvl w:val="0"/>
                <w:numId w:val="21"/>
              </w:numPr>
              <w:tabs>
                <w:tab w:pos="530" w:val="left" w:leader="none"/>
              </w:tabs>
              <w:spacing w:line="240" w:lineRule="auto" w:before="36" w:after="0"/>
              <w:ind w:left="529" w:right="0" w:hanging="423"/>
              <w:jc w:val="left"/>
              <w:rPr>
                <w:sz w:val="21"/>
              </w:rPr>
            </w:pPr>
            <w:r>
              <w:rPr>
                <w:spacing w:val="-3"/>
                <w:sz w:val="21"/>
              </w:rPr>
              <w:t>不能控制的肌肉痉挛及震颤；</w:t>
            </w:r>
          </w:p>
          <w:p>
            <w:pPr>
              <w:pStyle w:val="TableParagraph"/>
              <w:numPr>
                <w:ilvl w:val="0"/>
                <w:numId w:val="21"/>
              </w:numPr>
              <w:tabs>
                <w:tab w:pos="530" w:val="left" w:leader="none"/>
              </w:tabs>
              <w:spacing w:line="240" w:lineRule="auto" w:before="36" w:after="0"/>
              <w:ind w:left="529" w:right="0" w:hanging="423"/>
              <w:jc w:val="left"/>
              <w:rPr>
                <w:sz w:val="21"/>
              </w:rPr>
            </w:pPr>
            <w:r>
              <w:rPr>
                <w:spacing w:val="-3"/>
                <w:sz w:val="21"/>
              </w:rPr>
              <w:t>逐渐痴呆；</w:t>
            </w:r>
          </w:p>
          <w:p>
            <w:pPr>
              <w:pStyle w:val="TableParagraph"/>
              <w:numPr>
                <w:ilvl w:val="0"/>
                <w:numId w:val="21"/>
              </w:numPr>
              <w:tabs>
                <w:tab w:pos="530" w:val="left" w:leader="none"/>
              </w:tabs>
              <w:spacing w:line="240" w:lineRule="auto" w:before="36" w:after="0"/>
              <w:ind w:left="529" w:right="0" w:hanging="423"/>
              <w:jc w:val="left"/>
              <w:rPr>
                <w:sz w:val="21"/>
              </w:rPr>
            </w:pPr>
            <w:r>
              <w:rPr>
                <w:spacing w:val="-3"/>
                <w:sz w:val="21"/>
              </w:rPr>
              <w:t>小脑功能不良，共济失调；</w:t>
            </w:r>
          </w:p>
          <w:p>
            <w:pPr>
              <w:pStyle w:val="TableParagraph"/>
              <w:numPr>
                <w:ilvl w:val="0"/>
                <w:numId w:val="21"/>
              </w:numPr>
              <w:tabs>
                <w:tab w:pos="530" w:val="left" w:leader="none"/>
              </w:tabs>
              <w:spacing w:line="240" w:lineRule="auto" w:before="36" w:after="0"/>
              <w:ind w:left="529" w:right="0" w:hanging="423"/>
              <w:jc w:val="left"/>
              <w:rPr>
                <w:sz w:val="21"/>
              </w:rPr>
            </w:pPr>
            <w:r>
              <w:rPr>
                <w:spacing w:val="-3"/>
                <w:sz w:val="21"/>
              </w:rPr>
              <w:t>手足徐动症；</w:t>
            </w:r>
          </w:p>
          <w:p>
            <w:pPr>
              <w:pStyle w:val="TableParagraph"/>
              <w:spacing w:line="273" w:lineRule="auto" w:before="36"/>
              <w:ind w:right="249"/>
              <w:rPr>
                <w:sz w:val="21"/>
              </w:rPr>
            </w:pPr>
            <w:r>
              <w:rPr>
                <w:sz w:val="21"/>
              </w:rPr>
              <w:t>诊断必须由神经科专科医生基于以下检查报告作出：脑电图、脑脊液报告、电脑断层扫描(CT)及核磁共振(MRI)。</w:t>
            </w:r>
          </w:p>
        </w:tc>
      </w:tr>
      <w:tr>
        <w:trPr>
          <w:trHeight w:val="1313" w:hRule="atLeast"/>
        </w:trPr>
        <w:tc>
          <w:tcPr>
            <w:tcW w:w="1785" w:type="dxa"/>
          </w:tcPr>
          <w:p>
            <w:pPr>
              <w:pStyle w:val="TableParagraph"/>
              <w:spacing w:line="273" w:lineRule="auto" w:before="100"/>
              <w:ind w:left="200" w:right="105"/>
              <w:rPr>
                <w:rFonts w:ascii="楷体" w:eastAsia="楷体" w:hint="eastAsia"/>
                <w:b/>
                <w:sz w:val="21"/>
              </w:rPr>
            </w:pPr>
            <w:r>
              <w:rPr>
                <w:rFonts w:ascii="楷体" w:eastAsia="楷体" w:hint="eastAsia"/>
                <w:b/>
                <w:spacing w:val="-33"/>
                <w:sz w:val="21"/>
              </w:rPr>
              <w:t>破 裂 脑 动 脉 瘤夹闭手术</w:t>
            </w:r>
          </w:p>
        </w:tc>
        <w:tc>
          <w:tcPr>
            <w:tcW w:w="7716" w:type="dxa"/>
          </w:tcPr>
          <w:p>
            <w:pPr>
              <w:pStyle w:val="TableParagraph"/>
              <w:spacing w:line="273" w:lineRule="auto" w:before="100"/>
              <w:ind w:right="249"/>
              <w:rPr>
                <w:sz w:val="21"/>
              </w:rPr>
            </w:pPr>
            <w:r>
              <w:rPr>
                <w:sz w:val="21"/>
              </w:rPr>
              <w:t>指因脑动脉瘤破裂造成蛛网膜下腔出血，被保险人实际接受了在全麻下进行的开颅动脉夹闭手术</w:t>
            </w:r>
          </w:p>
          <w:p>
            <w:pPr>
              <w:pStyle w:val="TableParagraph"/>
              <w:spacing w:line="312" w:lineRule="exact" w:before="3"/>
              <w:ind w:right="229"/>
              <w:rPr>
                <w:b/>
                <w:i/>
                <w:sz w:val="22"/>
              </w:rPr>
            </w:pPr>
            <w:r>
              <w:rPr>
                <w:b/>
                <w:i/>
                <w:w w:val="95"/>
                <w:sz w:val="22"/>
              </w:rPr>
              <w:t>脑动脉瘤（未破裂）预防性手术、颅骨打孔手术、动脉瘤栓塞手术、血管内手术及其他颅脑手术不在本保障范围内。</w:t>
            </w:r>
          </w:p>
        </w:tc>
      </w:tr>
    </w:tbl>
    <w:p>
      <w:pPr>
        <w:spacing w:after="0" w:line="312" w:lineRule="exact"/>
        <w:rPr>
          <w:sz w:val="22"/>
        </w:rPr>
        <w:sectPr>
          <w:pgSz w:w="11910" w:h="16840"/>
          <w:pgMar w:header="0" w:footer="896" w:top="1280" w:bottom="1080" w:left="1640" w:right="5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7821"/>
      </w:tblGrid>
      <w:tr>
        <w:trPr>
          <w:trHeight w:val="4119" w:hRule="atLeast"/>
        </w:trPr>
        <w:tc>
          <w:tcPr>
            <w:tcW w:w="1785" w:type="dxa"/>
          </w:tcPr>
          <w:p>
            <w:pPr>
              <w:pStyle w:val="TableParagraph"/>
              <w:spacing w:line="211" w:lineRule="exact"/>
              <w:ind w:left="200"/>
              <w:rPr>
                <w:rFonts w:ascii="楷体" w:eastAsia="楷体" w:hint="eastAsia"/>
                <w:b/>
                <w:sz w:val="21"/>
              </w:rPr>
            </w:pPr>
            <w:r>
              <w:rPr>
                <w:rFonts w:ascii="楷体" w:eastAsia="楷体" w:hint="eastAsia"/>
                <w:b/>
                <w:spacing w:val="-33"/>
                <w:sz w:val="21"/>
              </w:rPr>
              <w:t>经 输 血 导 致 的</w:t>
            </w:r>
          </w:p>
          <w:p>
            <w:pPr>
              <w:pStyle w:val="TableParagraph"/>
              <w:spacing w:line="273" w:lineRule="auto" w:before="37"/>
              <w:ind w:left="200" w:right="105"/>
              <w:rPr>
                <w:rFonts w:ascii="楷体" w:eastAsia="楷体" w:hint="eastAsia"/>
                <w:b/>
                <w:sz w:val="21"/>
              </w:rPr>
            </w:pPr>
            <w:r>
              <w:rPr>
                <w:rFonts w:ascii="楷体" w:eastAsia="楷体" w:hint="eastAsia"/>
                <w:b/>
                <w:spacing w:val="-33"/>
                <w:sz w:val="21"/>
              </w:rPr>
              <w:t>人 类 免 疫 缺 陷病毒感染</w:t>
            </w:r>
          </w:p>
        </w:tc>
        <w:tc>
          <w:tcPr>
            <w:tcW w:w="7821" w:type="dxa"/>
          </w:tcPr>
          <w:p>
            <w:pPr>
              <w:pStyle w:val="TableParagraph"/>
              <w:spacing w:line="211" w:lineRule="exact"/>
              <w:rPr>
                <w:sz w:val="21"/>
              </w:rPr>
            </w:pPr>
            <w:r>
              <w:rPr>
                <w:sz w:val="21"/>
              </w:rPr>
              <w:t>是指被保险人感染上人类免疫缺陷病毒并且符合下列所有条件：</w:t>
            </w:r>
          </w:p>
          <w:p>
            <w:pPr>
              <w:pStyle w:val="TableParagraph"/>
              <w:spacing w:line="273" w:lineRule="auto" w:before="37"/>
              <w:ind w:right="306"/>
              <w:rPr>
                <w:sz w:val="21"/>
              </w:rPr>
            </w:pPr>
            <w:r>
              <w:rPr>
                <w:spacing w:val="-7"/>
                <w:sz w:val="21"/>
              </w:rPr>
              <w:t>（1）</w:t>
            </w:r>
            <w:r>
              <w:rPr>
                <w:spacing w:val="-6"/>
                <w:sz w:val="21"/>
              </w:rPr>
              <w:t>在保障起始日或复效日之后，被保险人因治疗必需而接受输血，并且因输血</w:t>
            </w:r>
            <w:r>
              <w:rPr>
                <w:spacing w:val="-4"/>
                <w:sz w:val="21"/>
              </w:rPr>
              <w:t>而感染人类免疫缺陷病毒；</w:t>
            </w:r>
          </w:p>
          <w:p>
            <w:pPr>
              <w:pStyle w:val="TableParagraph"/>
              <w:spacing w:line="273" w:lineRule="auto" w:before="7"/>
              <w:ind w:right="251"/>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before="36"/>
              <w:rPr>
                <w:sz w:val="21"/>
              </w:rPr>
            </w:pPr>
            <w:r>
              <w:rPr>
                <w:sz w:val="21"/>
              </w:rPr>
              <w:t>（4）受感染的被保险人不是血友病患者；</w:t>
            </w:r>
          </w:p>
          <w:p>
            <w:pPr>
              <w:pStyle w:val="TableParagraph"/>
              <w:spacing w:line="259" w:lineRule="auto" w:before="25"/>
              <w:ind w:right="334"/>
              <w:rPr>
                <w:b/>
                <w:i/>
                <w:sz w:val="22"/>
              </w:rPr>
            </w:pPr>
            <w:r>
              <w:rPr>
                <w:b/>
                <w:i/>
                <w:w w:val="95"/>
                <w:sz w:val="22"/>
              </w:rPr>
              <w:t>在任何治愈艾滋病或阻止人类免疫缺陷病毒病毒作用的疗法被发现以后，或能防止艾滋病发生的医疗方法被研究出来以后，本保障将不再予以赔付。</w:t>
            </w:r>
          </w:p>
          <w:p>
            <w:pPr>
              <w:pStyle w:val="TableParagraph"/>
              <w:spacing w:line="259" w:lineRule="auto" w:before="6"/>
              <w:ind w:right="334"/>
              <w:rPr>
                <w:b/>
                <w:i/>
                <w:sz w:val="22"/>
              </w:rPr>
            </w:pPr>
            <w:r>
              <w:rPr>
                <w:b/>
                <w:i/>
                <w:w w:val="95"/>
                <w:sz w:val="22"/>
              </w:rPr>
              <w:t>任何因其他传播方式（包括：性传播或静脉注射毒品）导致的人类免疫缺陷病毒感染不在本附加合同保障范围内。</w:t>
            </w:r>
          </w:p>
          <w:p>
            <w:pPr>
              <w:pStyle w:val="TableParagraph"/>
              <w:spacing w:line="273" w:lineRule="auto" w:before="18"/>
              <w:ind w:right="354"/>
              <w:rPr>
                <w:sz w:val="21"/>
              </w:rPr>
            </w:pPr>
            <w:r>
              <w:rPr>
                <w:sz w:val="21"/>
              </w:rPr>
              <w:t>我们拥有获得使用被保险人的血液样本的权利和能够对这些样本进行独立检验的权利。</w:t>
            </w:r>
          </w:p>
        </w:tc>
      </w:tr>
      <w:tr>
        <w:trPr>
          <w:trHeight w:val="2411" w:hRule="atLeast"/>
        </w:trPr>
        <w:tc>
          <w:tcPr>
            <w:tcW w:w="1785" w:type="dxa"/>
          </w:tcPr>
          <w:p>
            <w:pPr>
              <w:pStyle w:val="TableParagraph"/>
              <w:spacing w:line="273" w:lineRule="auto" w:before="99"/>
              <w:ind w:left="200" w:right="105"/>
              <w:rPr>
                <w:rFonts w:ascii="楷体" w:eastAsia="楷体" w:hint="eastAsia"/>
                <w:b/>
                <w:sz w:val="21"/>
              </w:rPr>
            </w:pPr>
            <w:r>
              <w:rPr>
                <w:rFonts w:ascii="楷体" w:eastAsia="楷体" w:hint="eastAsia"/>
                <w:b/>
                <w:spacing w:val="-33"/>
                <w:sz w:val="21"/>
              </w:rPr>
              <w:t>原 发 性 硬 化 性胆管炎</w:t>
            </w:r>
          </w:p>
        </w:tc>
        <w:tc>
          <w:tcPr>
            <w:tcW w:w="7821" w:type="dxa"/>
          </w:tcPr>
          <w:p>
            <w:pPr>
              <w:pStyle w:val="TableParagraph"/>
              <w:spacing w:line="273" w:lineRule="auto" w:before="99"/>
              <w:ind w:right="354"/>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22"/>
              </w:numPr>
              <w:tabs>
                <w:tab w:pos="739" w:val="left" w:leader="none"/>
              </w:tabs>
              <w:spacing w:line="240" w:lineRule="auto" w:before="7" w:after="0"/>
              <w:ind w:left="738" w:right="0" w:hanging="632"/>
              <w:jc w:val="both"/>
              <w:rPr>
                <w:sz w:val="21"/>
              </w:rPr>
            </w:pPr>
            <w:r>
              <w:rPr>
                <w:spacing w:val="-5"/>
                <w:sz w:val="21"/>
              </w:rPr>
              <w:t>总胆红素和直接胆红素同时升高，血清 </w:t>
            </w:r>
            <w:r>
              <w:rPr>
                <w:sz w:val="21"/>
              </w:rPr>
              <w:t>ALP&gt;200U/L；</w:t>
            </w:r>
          </w:p>
          <w:p>
            <w:pPr>
              <w:pStyle w:val="TableParagraph"/>
              <w:numPr>
                <w:ilvl w:val="0"/>
                <w:numId w:val="22"/>
              </w:numPr>
              <w:tabs>
                <w:tab w:pos="739" w:val="left" w:leader="none"/>
              </w:tabs>
              <w:spacing w:line="240" w:lineRule="auto" w:before="37" w:after="0"/>
              <w:ind w:left="738" w:right="0" w:hanging="632"/>
              <w:jc w:val="both"/>
              <w:rPr>
                <w:sz w:val="21"/>
              </w:rPr>
            </w:pPr>
            <w:r>
              <w:rPr>
                <w:spacing w:val="-3"/>
                <w:sz w:val="21"/>
              </w:rPr>
              <w:t>持续性黄疸病史；</w:t>
            </w:r>
          </w:p>
          <w:p>
            <w:pPr>
              <w:pStyle w:val="TableParagraph"/>
              <w:numPr>
                <w:ilvl w:val="0"/>
                <w:numId w:val="22"/>
              </w:numPr>
              <w:tabs>
                <w:tab w:pos="739" w:val="left" w:leader="none"/>
              </w:tabs>
              <w:spacing w:line="240" w:lineRule="auto" w:before="37" w:after="0"/>
              <w:ind w:left="738" w:right="0" w:hanging="632"/>
              <w:jc w:val="both"/>
              <w:rPr>
                <w:sz w:val="21"/>
              </w:rPr>
            </w:pPr>
            <w:r>
              <w:rPr>
                <w:spacing w:val="-3"/>
                <w:sz w:val="21"/>
              </w:rPr>
              <w:t>出现胆汁性肝硬化或门脉高压。</w:t>
            </w:r>
          </w:p>
          <w:p>
            <w:pPr>
              <w:pStyle w:val="TableParagraph"/>
              <w:spacing w:before="25"/>
              <w:jc w:val="both"/>
              <w:rPr>
                <w:b/>
                <w:i/>
                <w:sz w:val="22"/>
              </w:rPr>
            </w:pPr>
            <w:r>
              <w:rPr>
                <w:b/>
                <w:i/>
                <w:w w:val="95"/>
                <w:sz w:val="22"/>
              </w:rPr>
              <w:t>因肿瘤或胆管损伤等继发性的硬化性胆管炎不在保障范围内。</w:t>
            </w:r>
          </w:p>
        </w:tc>
      </w:tr>
      <w:tr>
        <w:trPr>
          <w:trHeight w:val="3035" w:hRule="atLeast"/>
        </w:trPr>
        <w:tc>
          <w:tcPr>
            <w:tcW w:w="1785" w:type="dxa"/>
          </w:tcPr>
          <w:p>
            <w:pPr>
              <w:pStyle w:val="TableParagraph"/>
              <w:spacing w:line="273" w:lineRule="auto" w:before="100"/>
              <w:ind w:left="200" w:right="105"/>
              <w:jc w:val="both"/>
              <w:rPr>
                <w:rFonts w:ascii="楷体" w:eastAsia="楷体" w:hint="eastAsia"/>
                <w:b/>
                <w:sz w:val="21"/>
              </w:rPr>
            </w:pPr>
            <w:r>
              <w:rPr>
                <w:rFonts w:ascii="楷体" w:eastAsia="楷体" w:hint="eastAsia"/>
                <w:b/>
                <w:spacing w:val="-33"/>
                <w:sz w:val="21"/>
              </w:rPr>
              <w:t>特 发 性 慢 性 肾</w:t>
            </w:r>
            <w:r>
              <w:rPr>
                <w:rFonts w:ascii="楷体" w:eastAsia="楷体" w:hint="eastAsia"/>
                <w:b/>
                <w:spacing w:val="-34"/>
                <w:sz w:val="21"/>
              </w:rPr>
              <w:t>上 腺 皮 质 功 能减退</w:t>
            </w:r>
          </w:p>
        </w:tc>
        <w:tc>
          <w:tcPr>
            <w:tcW w:w="7821" w:type="dxa"/>
          </w:tcPr>
          <w:p>
            <w:pPr>
              <w:pStyle w:val="TableParagraph"/>
              <w:spacing w:line="273" w:lineRule="auto" w:before="100"/>
              <w:ind w:right="354"/>
              <w:jc w:val="both"/>
              <w:rPr>
                <w:sz w:val="21"/>
              </w:rPr>
            </w:pPr>
            <w:r>
              <w:rPr>
                <w:sz w:val="21"/>
              </w:rPr>
              <w:t>因为自身免疫功能紊乱，使肾上腺组织逐渐受损，而需要长期接受糖皮质激素及肾上腺皮质激素替代疗法。该病必须经内分泌专科医生确诊，并有以下报告作为证据：</w:t>
            </w:r>
          </w:p>
          <w:p>
            <w:pPr>
              <w:pStyle w:val="TableParagraph"/>
              <w:numPr>
                <w:ilvl w:val="0"/>
                <w:numId w:val="23"/>
              </w:numPr>
              <w:tabs>
                <w:tab w:pos="530" w:val="left" w:leader="none"/>
              </w:tabs>
              <w:spacing w:line="240" w:lineRule="auto" w:before="7" w:after="0"/>
              <w:ind w:left="529" w:right="0" w:hanging="423"/>
              <w:jc w:val="both"/>
              <w:rPr>
                <w:sz w:val="21"/>
              </w:rPr>
            </w:pPr>
            <w:r>
              <w:rPr>
                <w:spacing w:val="-3"/>
                <w:sz w:val="21"/>
              </w:rPr>
              <w:t>促肾上腺皮质激素(</w:t>
            </w:r>
            <w:r>
              <w:rPr>
                <w:spacing w:val="-1"/>
                <w:sz w:val="21"/>
              </w:rPr>
              <w:t>ACTH)</w:t>
            </w:r>
            <w:r>
              <w:rPr>
                <w:spacing w:val="-3"/>
                <w:sz w:val="21"/>
              </w:rPr>
              <w:t>刺激试验；</w:t>
            </w:r>
          </w:p>
          <w:p>
            <w:pPr>
              <w:pStyle w:val="TableParagraph"/>
              <w:numPr>
                <w:ilvl w:val="0"/>
                <w:numId w:val="23"/>
              </w:numPr>
              <w:tabs>
                <w:tab w:pos="530" w:val="left" w:leader="none"/>
              </w:tabs>
              <w:spacing w:line="240" w:lineRule="auto" w:before="36" w:after="0"/>
              <w:ind w:left="529" w:right="0" w:hanging="423"/>
              <w:jc w:val="both"/>
              <w:rPr>
                <w:sz w:val="21"/>
              </w:rPr>
            </w:pPr>
            <w:r>
              <w:rPr>
                <w:spacing w:val="-3"/>
                <w:sz w:val="21"/>
              </w:rPr>
              <w:t>胰岛素血糖减少测试；</w:t>
            </w:r>
          </w:p>
          <w:p>
            <w:pPr>
              <w:pStyle w:val="TableParagraph"/>
              <w:numPr>
                <w:ilvl w:val="0"/>
                <w:numId w:val="23"/>
              </w:numPr>
              <w:tabs>
                <w:tab w:pos="530" w:val="left" w:leader="none"/>
              </w:tabs>
              <w:spacing w:line="240" w:lineRule="auto" w:before="36" w:after="0"/>
              <w:ind w:left="529" w:right="0" w:hanging="423"/>
              <w:jc w:val="both"/>
              <w:rPr>
                <w:sz w:val="21"/>
              </w:rPr>
            </w:pPr>
            <w:r>
              <w:rPr>
                <w:spacing w:val="-3"/>
                <w:sz w:val="21"/>
              </w:rPr>
              <w:t>血浆促肾上腺皮质激素</w:t>
            </w:r>
            <w:r>
              <w:rPr>
                <w:sz w:val="21"/>
              </w:rPr>
              <w:t>(ACTH)</w:t>
            </w:r>
            <w:r>
              <w:rPr>
                <w:spacing w:val="-3"/>
                <w:sz w:val="21"/>
              </w:rPr>
              <w:t>水平测定；</w:t>
            </w:r>
          </w:p>
          <w:p>
            <w:pPr>
              <w:pStyle w:val="TableParagraph"/>
              <w:numPr>
                <w:ilvl w:val="0"/>
                <w:numId w:val="23"/>
              </w:numPr>
              <w:tabs>
                <w:tab w:pos="530" w:val="left" w:leader="none"/>
              </w:tabs>
              <w:spacing w:line="240" w:lineRule="auto" w:before="36" w:after="0"/>
              <w:ind w:left="529" w:right="0" w:hanging="423"/>
              <w:jc w:val="both"/>
              <w:rPr>
                <w:sz w:val="21"/>
              </w:rPr>
            </w:pPr>
            <w:r>
              <w:rPr>
                <w:spacing w:val="-3"/>
                <w:sz w:val="21"/>
              </w:rPr>
              <w:t>血浆肾素活性(</w:t>
            </w:r>
            <w:r>
              <w:rPr>
                <w:spacing w:val="-1"/>
                <w:sz w:val="21"/>
              </w:rPr>
              <w:t>PRA</w:t>
            </w:r>
            <w:r>
              <w:rPr>
                <w:spacing w:val="-3"/>
                <w:sz w:val="21"/>
              </w:rPr>
              <w:t>)测定</w:t>
            </w:r>
          </w:p>
          <w:p>
            <w:pPr>
              <w:pStyle w:val="TableParagraph"/>
              <w:spacing w:line="259" w:lineRule="auto" w:before="25"/>
              <w:ind w:right="334"/>
              <w:rPr>
                <w:b/>
                <w:i/>
                <w:sz w:val="22"/>
              </w:rPr>
            </w:pPr>
            <w:r>
              <w:rPr>
                <w:b/>
                <w:i/>
                <w:w w:val="95"/>
                <w:sz w:val="22"/>
              </w:rPr>
              <w:t>慢性肾上腺皮质功能衰竭只对由自身免疫功能紊乱引起的承担保险责任，其他原因引起的除外。</w:t>
            </w:r>
          </w:p>
        </w:tc>
      </w:tr>
      <w:tr>
        <w:trPr>
          <w:trHeight w:val="3970" w:hRule="atLeast"/>
        </w:trPr>
        <w:tc>
          <w:tcPr>
            <w:tcW w:w="1785" w:type="dxa"/>
          </w:tcPr>
          <w:p>
            <w:pPr>
              <w:pStyle w:val="TableParagraph"/>
              <w:spacing w:line="273" w:lineRule="auto" w:before="98"/>
              <w:ind w:left="200" w:right="105"/>
              <w:rPr>
                <w:rFonts w:ascii="楷体" w:eastAsia="楷体" w:hint="eastAsia"/>
                <w:b/>
                <w:sz w:val="21"/>
              </w:rPr>
            </w:pPr>
            <w:r>
              <w:rPr>
                <w:rFonts w:ascii="楷体" w:eastAsia="楷体" w:hint="eastAsia"/>
                <w:b/>
                <w:spacing w:val="-33"/>
                <w:sz w:val="21"/>
              </w:rPr>
              <w:t>系 统 性 红 斑 狼</w:t>
            </w:r>
            <w:r>
              <w:rPr>
                <w:rFonts w:ascii="楷体" w:eastAsia="楷体" w:hint="eastAsia"/>
                <w:b/>
                <w:spacing w:val="-21"/>
                <w:sz w:val="21"/>
              </w:rPr>
              <w:t>疮 － </w:t>
            </w:r>
            <w:r>
              <w:rPr>
                <w:rFonts w:ascii="楷体" w:eastAsia="楷体" w:hint="eastAsia"/>
                <w:b/>
                <w:spacing w:val="15"/>
                <w:sz w:val="21"/>
              </w:rPr>
              <w:t>（并发</w:t>
            </w:r>
            <w:r>
              <w:rPr>
                <w:rFonts w:ascii="楷体" w:eastAsia="楷体" w:hint="eastAsia"/>
                <w:b/>
                <w:sz w:val="21"/>
              </w:rPr>
              <w:t>）</w:t>
            </w:r>
          </w:p>
          <w:p>
            <w:pPr>
              <w:pStyle w:val="TableParagraph"/>
              <w:spacing w:line="273" w:lineRule="auto" w:before="7"/>
              <w:ind w:left="200" w:right="107"/>
              <w:rPr>
                <w:rFonts w:ascii="楷体" w:eastAsia="楷体" w:hint="eastAsia"/>
                <w:b/>
                <w:sz w:val="21"/>
              </w:rPr>
            </w:pPr>
            <w:r>
              <w:rPr>
                <w:rFonts w:ascii="楷体" w:eastAsia="楷体" w:hint="eastAsia"/>
                <w:b/>
                <w:sz w:val="21"/>
              </w:rPr>
              <w:t>III 型或以上狼疮性肾炎</w:t>
            </w:r>
          </w:p>
        </w:tc>
        <w:tc>
          <w:tcPr>
            <w:tcW w:w="7821" w:type="dxa"/>
          </w:tcPr>
          <w:p>
            <w:pPr>
              <w:pStyle w:val="TableParagraph"/>
              <w:spacing w:line="273" w:lineRule="auto" w:before="98"/>
              <w:ind w:right="354"/>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right="304"/>
              <w:jc w:val="both"/>
              <w:rPr>
                <w:sz w:val="21"/>
              </w:rPr>
            </w:pPr>
            <w:r>
              <w:rPr>
                <w:spacing w:val="-3"/>
                <w:sz w:val="21"/>
              </w:rPr>
              <w:t>本保单所指的系统性红斑狼疮仅限于累及肾脏</w:t>
            </w:r>
            <w:r>
              <w:rPr>
                <w:sz w:val="21"/>
              </w:rPr>
              <w:t>（</w:t>
            </w:r>
            <w:r>
              <w:rPr>
                <w:spacing w:val="-7"/>
                <w:sz w:val="21"/>
              </w:rPr>
              <w:t>经肾脏活检确认的，符合 </w:t>
            </w:r>
            <w:r>
              <w:rPr>
                <w:sz w:val="21"/>
              </w:rPr>
              <w:t>WHO</w:t>
            </w:r>
            <w:r>
              <w:rPr>
                <w:spacing w:val="10"/>
                <w:sz w:val="21"/>
              </w:rPr>
              <w:t> 诊</w:t>
            </w:r>
            <w:r>
              <w:rPr>
                <w:spacing w:val="-6"/>
                <w:sz w:val="21"/>
              </w:rPr>
              <w:t>断标准定义 </w:t>
            </w:r>
            <w:r>
              <w:rPr>
                <w:sz w:val="21"/>
              </w:rPr>
              <w:t>III</w:t>
            </w:r>
            <w:r>
              <w:rPr>
                <w:spacing w:val="-25"/>
                <w:sz w:val="21"/>
              </w:rPr>
              <w:t> 型至 </w:t>
            </w:r>
            <w:r>
              <w:rPr>
                <w:sz w:val="21"/>
              </w:rPr>
              <w:t>V</w:t>
            </w:r>
            <w:r>
              <w:rPr>
                <w:spacing w:val="-1"/>
                <w:sz w:val="21"/>
              </w:rPr>
              <w:t> 型狼疮性肾炎</w:t>
            </w:r>
            <w:r>
              <w:rPr>
                <w:sz w:val="21"/>
              </w:rPr>
              <w:t>）</w:t>
            </w:r>
            <w:r>
              <w:rPr>
                <w:spacing w:val="-3"/>
                <w:sz w:val="21"/>
              </w:rPr>
              <w:t>的系统性红斑狼疮。其他类型的红斑性狼疮，如盘状狼疮、仅累及血液及关节的狼疮不在本保单保障范围內。</w:t>
            </w:r>
          </w:p>
          <w:p>
            <w:pPr>
              <w:pStyle w:val="TableParagraph"/>
              <w:spacing w:line="273" w:lineRule="auto" w:before="7"/>
              <w:ind w:right="3926"/>
              <w:rPr>
                <w:sz w:val="21"/>
              </w:rPr>
            </w:pPr>
            <w:r>
              <w:rPr>
                <w:sz w:val="21"/>
              </w:rPr>
              <w:t>本病必须由免疫和风湿科专家医师确诊。世界卫生组织（WHO）狼疮性肾炎分型：</w:t>
            </w:r>
          </w:p>
          <w:p>
            <w:pPr>
              <w:pStyle w:val="TableParagraph"/>
              <w:numPr>
                <w:ilvl w:val="0"/>
                <w:numId w:val="24"/>
              </w:numPr>
              <w:tabs>
                <w:tab w:pos="319" w:val="left" w:leader="none"/>
              </w:tabs>
              <w:spacing w:line="240" w:lineRule="auto" w:before="7" w:after="0"/>
              <w:ind w:left="318" w:right="0" w:hanging="212"/>
              <w:jc w:val="both"/>
              <w:rPr>
                <w:sz w:val="21"/>
              </w:rPr>
            </w:pPr>
            <w:r>
              <w:rPr>
                <w:sz w:val="21"/>
              </w:rPr>
              <w:t>型</w:t>
            </w:r>
            <w:r>
              <w:rPr>
                <w:spacing w:val="-3"/>
                <w:sz w:val="21"/>
              </w:rPr>
              <w:t>（微小病变型</w:t>
            </w:r>
            <w:r>
              <w:rPr>
                <w:sz w:val="21"/>
              </w:rPr>
              <w:t>）</w:t>
            </w:r>
            <w:r>
              <w:rPr>
                <w:spacing w:val="-1"/>
                <w:sz w:val="21"/>
              </w:rPr>
              <w:t> 镜下阴性，尿液正常</w:t>
            </w:r>
          </w:p>
          <w:p>
            <w:pPr>
              <w:pStyle w:val="TableParagraph"/>
              <w:numPr>
                <w:ilvl w:val="0"/>
                <w:numId w:val="24"/>
              </w:numPr>
              <w:tabs>
                <w:tab w:pos="425" w:val="left" w:leader="none"/>
              </w:tabs>
              <w:spacing w:line="240" w:lineRule="auto" w:before="37" w:after="0"/>
              <w:ind w:left="424" w:right="0" w:hanging="318"/>
              <w:jc w:val="both"/>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TableParagraph"/>
              <w:numPr>
                <w:ilvl w:val="0"/>
                <w:numId w:val="24"/>
              </w:numPr>
              <w:tabs>
                <w:tab w:pos="530" w:val="left" w:leader="none"/>
              </w:tabs>
              <w:spacing w:line="240" w:lineRule="auto" w:before="37" w:after="0"/>
              <w:ind w:left="529" w:right="0" w:hanging="423"/>
              <w:jc w:val="both"/>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24"/>
              </w:numPr>
              <w:tabs>
                <w:tab w:pos="425" w:val="left" w:leader="none"/>
              </w:tabs>
              <w:spacing w:line="240" w:lineRule="auto" w:before="37" w:after="0"/>
              <w:ind w:left="424" w:right="0" w:hanging="318"/>
              <w:jc w:val="both"/>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TableParagraph"/>
              <w:numPr>
                <w:ilvl w:val="0"/>
                <w:numId w:val="24"/>
              </w:numPr>
              <w:tabs>
                <w:tab w:pos="319" w:val="left" w:leader="none"/>
              </w:tabs>
              <w:spacing w:line="240" w:lineRule="auto" w:before="37" w:after="0"/>
              <w:ind w:left="318" w:right="0" w:hanging="212"/>
              <w:jc w:val="both"/>
              <w:rPr>
                <w:sz w:val="21"/>
              </w:rPr>
            </w:pPr>
            <w:r>
              <w:rPr>
                <w:sz w:val="21"/>
              </w:rPr>
              <w:t>型</w:t>
            </w:r>
            <w:r>
              <w:rPr>
                <w:spacing w:val="-3"/>
                <w:sz w:val="21"/>
              </w:rPr>
              <w:t>（</w:t>
            </w:r>
            <w:r>
              <w:rPr>
                <w:spacing w:val="-2"/>
                <w:sz w:val="21"/>
              </w:rPr>
              <w:t>膜型</w:t>
            </w:r>
            <w:r>
              <w:rPr>
                <w:sz w:val="21"/>
              </w:rPr>
              <w:t>）</w:t>
            </w:r>
            <w:r>
              <w:rPr>
                <w:spacing w:val="-3"/>
                <w:sz w:val="21"/>
              </w:rPr>
              <w:t> 肾病综合征或重度蛋白尿</w:t>
            </w:r>
          </w:p>
        </w:tc>
      </w:tr>
      <w:tr>
        <w:trPr>
          <w:trHeight w:val="687" w:hRule="atLeast"/>
        </w:trPr>
        <w:tc>
          <w:tcPr>
            <w:tcW w:w="1785" w:type="dxa"/>
          </w:tcPr>
          <w:p>
            <w:pPr>
              <w:pStyle w:val="TableParagraph"/>
              <w:spacing w:line="310" w:lineRule="atLeast" w:before="65"/>
              <w:ind w:left="200" w:right="105"/>
              <w:rPr>
                <w:rFonts w:ascii="楷体" w:eastAsia="楷体" w:hint="eastAsia"/>
                <w:b/>
                <w:sz w:val="21"/>
              </w:rPr>
            </w:pPr>
            <w:r>
              <w:rPr>
                <w:rFonts w:ascii="楷体" w:eastAsia="楷体" w:hint="eastAsia"/>
                <w:b/>
                <w:spacing w:val="-33"/>
                <w:sz w:val="21"/>
              </w:rPr>
              <w:t>严 重 类 风 湿 性关节炎</w:t>
            </w:r>
          </w:p>
        </w:tc>
        <w:tc>
          <w:tcPr>
            <w:tcW w:w="7821" w:type="dxa"/>
          </w:tcPr>
          <w:p>
            <w:pPr>
              <w:pStyle w:val="TableParagraph"/>
              <w:spacing w:line="310" w:lineRule="atLeast" w:before="65"/>
              <w:ind w:right="198"/>
              <w:rPr>
                <w:sz w:val="21"/>
              </w:rPr>
            </w:pPr>
            <w:r>
              <w:rPr>
                <w:spacing w:val="-3"/>
                <w:sz w:val="21"/>
              </w:rPr>
              <w:t>类风湿性关节炎为广泛分布的慢性进行性多关节病变，表现为关节严重变形，侵 </w:t>
            </w:r>
            <w:r>
              <w:rPr>
                <w:spacing w:val="-4"/>
                <w:sz w:val="21"/>
              </w:rPr>
              <w:t>犯至少三个主要关节或关节组</w:t>
            </w:r>
            <w:r>
              <w:rPr>
                <w:sz w:val="21"/>
              </w:rPr>
              <w:t>（</w:t>
            </w:r>
            <w:r>
              <w:rPr>
                <w:spacing w:val="-6"/>
                <w:sz w:val="21"/>
              </w:rPr>
              <w:t>如：双手</w:t>
            </w:r>
            <w:r>
              <w:rPr>
                <w:spacing w:val="-3"/>
                <w:sz w:val="21"/>
              </w:rPr>
              <w:t>（多手指</w:t>
            </w:r>
            <w:r>
              <w:rPr>
                <w:spacing w:val="-8"/>
                <w:sz w:val="21"/>
              </w:rPr>
              <w:t>）</w:t>
            </w:r>
            <w:r>
              <w:rPr>
                <w:spacing w:val="-6"/>
                <w:sz w:val="21"/>
              </w:rPr>
              <w:t>关节、双足</w:t>
            </w:r>
            <w:r>
              <w:rPr>
                <w:sz w:val="21"/>
              </w:rPr>
              <w:t>（</w:t>
            </w:r>
            <w:r>
              <w:rPr>
                <w:spacing w:val="-3"/>
                <w:sz w:val="21"/>
              </w:rPr>
              <w:t>多足趾</w:t>
            </w:r>
            <w:r>
              <w:rPr>
                <w:spacing w:val="-10"/>
                <w:sz w:val="21"/>
              </w:rPr>
              <w:t>）</w:t>
            </w:r>
            <w:r>
              <w:rPr>
                <w:sz w:val="21"/>
              </w:rPr>
              <w:t>关节、</w:t>
            </w:r>
          </w:p>
        </w:tc>
      </w:tr>
    </w:tbl>
    <w:p>
      <w:pPr>
        <w:spacing w:after="0" w:line="310" w:lineRule="atLeast"/>
        <w:rPr>
          <w:sz w:val="21"/>
        </w:rPr>
        <w:sectPr>
          <w:pgSz w:w="11910" w:h="16840"/>
          <w:pgMar w:header="0" w:footer="896" w:top="1280" w:bottom="1080" w:left="1640" w:right="4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7795"/>
      </w:tblGrid>
      <w:tr>
        <w:trPr>
          <w:trHeight w:val="2246" w:hRule="atLeast"/>
        </w:trPr>
        <w:tc>
          <w:tcPr>
            <w:tcW w:w="1812" w:type="dxa"/>
          </w:tcPr>
          <w:p>
            <w:pPr>
              <w:pStyle w:val="TableParagraph"/>
              <w:ind w:left="0"/>
              <w:rPr>
                <w:rFonts w:ascii="Times New Roman"/>
                <w:sz w:val="20"/>
              </w:rPr>
            </w:pPr>
          </w:p>
        </w:tc>
        <w:tc>
          <w:tcPr>
            <w:tcW w:w="7795" w:type="dxa"/>
          </w:tcPr>
          <w:p>
            <w:pPr>
              <w:pStyle w:val="TableParagraph"/>
              <w:spacing w:line="211" w:lineRule="exact"/>
              <w:ind w:left="79"/>
              <w:rPr>
                <w:sz w:val="21"/>
              </w:rPr>
            </w:pPr>
            <w:r>
              <w:rPr>
                <w:spacing w:val="-6"/>
                <w:sz w:val="21"/>
              </w:rPr>
              <w:t>双腕关节、双膝关节和双髋关节</w:t>
            </w:r>
            <w:r>
              <w:rPr>
                <w:spacing w:val="-106"/>
                <w:sz w:val="21"/>
              </w:rPr>
              <w:t>）</w:t>
            </w:r>
            <w:r>
              <w:rPr>
                <w:spacing w:val="-7"/>
                <w:sz w:val="21"/>
              </w:rPr>
              <w:t>。类风湿性关节炎必须明确诊断并且已经达到类</w:t>
            </w:r>
          </w:p>
          <w:p>
            <w:pPr>
              <w:pStyle w:val="TableParagraph"/>
              <w:spacing w:line="273" w:lineRule="auto" w:before="37"/>
              <w:ind w:left="79" w:right="242"/>
              <w:rPr>
                <w:sz w:val="21"/>
              </w:rPr>
            </w:pPr>
            <w:r>
              <w:rPr>
                <w:sz w:val="21"/>
              </w:rPr>
              <w:t>风湿性关节炎功能分级 III 级以上的功能障碍（关节活动严重限制，不能完成大部分的日常工作和活动）并且满足下列全部条件：</w:t>
            </w:r>
          </w:p>
          <w:p>
            <w:pPr>
              <w:pStyle w:val="TableParagraph"/>
              <w:spacing w:before="7"/>
              <w:ind w:left="79"/>
              <w:rPr>
                <w:sz w:val="21"/>
              </w:rPr>
            </w:pPr>
            <w:r>
              <w:rPr>
                <w:sz w:val="21"/>
              </w:rPr>
              <w:t>（1）晨僵；</w:t>
            </w:r>
          </w:p>
          <w:p>
            <w:pPr>
              <w:pStyle w:val="TableParagraph"/>
              <w:spacing w:before="37"/>
              <w:ind w:left="79"/>
              <w:rPr>
                <w:sz w:val="21"/>
              </w:rPr>
            </w:pPr>
            <w:r>
              <w:rPr>
                <w:sz w:val="21"/>
              </w:rPr>
              <w:t>（2）对称性关节炎；</w:t>
            </w:r>
          </w:p>
          <w:p>
            <w:pPr>
              <w:pStyle w:val="TableParagraph"/>
              <w:spacing w:before="37"/>
              <w:ind w:left="79"/>
              <w:rPr>
                <w:sz w:val="21"/>
              </w:rPr>
            </w:pPr>
            <w:r>
              <w:rPr>
                <w:sz w:val="21"/>
              </w:rPr>
              <w:t>（3）类风湿性皮下结节；</w:t>
            </w:r>
          </w:p>
          <w:p>
            <w:pPr>
              <w:pStyle w:val="TableParagraph"/>
              <w:spacing w:before="37"/>
              <w:ind w:left="79"/>
              <w:rPr>
                <w:sz w:val="21"/>
              </w:rPr>
            </w:pPr>
            <w:r>
              <w:rPr>
                <w:sz w:val="21"/>
              </w:rPr>
              <w:t>（4）类风湿因子滴度升高。</w:t>
            </w:r>
          </w:p>
        </w:tc>
      </w:tr>
      <w:tr>
        <w:trPr>
          <w:trHeight w:val="1787" w:hRule="atLeast"/>
        </w:trPr>
        <w:tc>
          <w:tcPr>
            <w:tcW w:w="1812" w:type="dxa"/>
          </w:tcPr>
          <w:p>
            <w:pPr>
              <w:pStyle w:val="TableParagraph"/>
              <w:spacing w:line="273" w:lineRule="auto" w:before="99"/>
              <w:ind w:left="200" w:right="132"/>
              <w:rPr>
                <w:rFonts w:ascii="楷体" w:eastAsia="楷体" w:hint="eastAsia"/>
                <w:b/>
                <w:sz w:val="21"/>
              </w:rPr>
            </w:pPr>
            <w:r>
              <w:rPr>
                <w:rFonts w:ascii="楷体" w:eastAsia="楷体" w:hint="eastAsia"/>
                <w:b/>
                <w:spacing w:val="-33"/>
                <w:sz w:val="21"/>
              </w:rPr>
              <w:t>重 症 急 性 坏 死性筋膜炎</w:t>
            </w:r>
          </w:p>
        </w:tc>
        <w:tc>
          <w:tcPr>
            <w:tcW w:w="7795" w:type="dxa"/>
          </w:tcPr>
          <w:p>
            <w:pPr>
              <w:pStyle w:val="TableParagraph"/>
              <w:spacing w:before="99"/>
              <w:ind w:left="79"/>
              <w:rPr>
                <w:sz w:val="21"/>
              </w:rPr>
            </w:pPr>
            <w:r>
              <w:rPr>
                <w:sz w:val="21"/>
              </w:rPr>
              <w:t>坏死性筋膜炎的诊断须同时符合下列要求：</w:t>
            </w:r>
          </w:p>
          <w:p>
            <w:pPr>
              <w:pStyle w:val="TableParagraph"/>
              <w:numPr>
                <w:ilvl w:val="0"/>
                <w:numId w:val="25"/>
              </w:numPr>
              <w:tabs>
                <w:tab w:pos="712" w:val="left" w:leader="none"/>
              </w:tabs>
              <w:spacing w:line="240" w:lineRule="auto" w:before="36" w:after="0"/>
              <w:ind w:left="79" w:right="0" w:firstLine="0"/>
              <w:jc w:val="left"/>
              <w:rPr>
                <w:sz w:val="21"/>
              </w:rPr>
            </w:pPr>
            <w:r>
              <w:rPr>
                <w:spacing w:val="-3"/>
                <w:sz w:val="21"/>
              </w:rPr>
              <w:t>符合坏死性筋膜炎的一般临床表现；</w:t>
            </w:r>
          </w:p>
          <w:p>
            <w:pPr>
              <w:pStyle w:val="TableParagraph"/>
              <w:numPr>
                <w:ilvl w:val="0"/>
                <w:numId w:val="25"/>
              </w:numPr>
              <w:tabs>
                <w:tab w:pos="712" w:val="left" w:leader="none"/>
              </w:tabs>
              <w:spacing w:line="240" w:lineRule="auto" w:before="36" w:after="0"/>
              <w:ind w:left="79" w:right="0" w:firstLine="0"/>
              <w:jc w:val="left"/>
              <w:rPr>
                <w:sz w:val="21"/>
              </w:rPr>
            </w:pPr>
            <w:r>
              <w:rPr>
                <w:spacing w:val="-3"/>
                <w:sz w:val="21"/>
              </w:rPr>
              <w:t>细菌培养检出致病菌；</w:t>
            </w:r>
          </w:p>
          <w:p>
            <w:pPr>
              <w:pStyle w:val="TableParagraph"/>
              <w:numPr>
                <w:ilvl w:val="0"/>
                <w:numId w:val="25"/>
              </w:numPr>
              <w:tabs>
                <w:tab w:pos="686" w:val="left" w:leader="none"/>
              </w:tabs>
              <w:spacing w:line="273" w:lineRule="auto" w:before="36" w:after="0"/>
              <w:ind w:left="79" w:right="199" w:firstLine="0"/>
              <w:jc w:val="left"/>
              <w:rPr>
                <w:sz w:val="21"/>
              </w:rPr>
            </w:pPr>
            <w:r>
              <w:rPr>
                <w:spacing w:val="-5"/>
                <w:sz w:val="21"/>
              </w:rPr>
              <w:t>出现广泛性肌肉及软组织坏死，并导致身体受影响部位永久完全失去功能。</w:t>
            </w:r>
            <w:r>
              <w:rPr>
                <w:spacing w:val="-6"/>
                <w:sz w:val="21"/>
              </w:rPr>
              <w:t>所谓永久完全失去功能是指受影响部位的全部功能完全丧失超过 </w:t>
            </w:r>
            <w:r>
              <w:rPr>
                <w:sz w:val="21"/>
              </w:rPr>
              <w:t>180</w:t>
            </w:r>
            <w:r>
              <w:rPr>
                <w:spacing w:val="2"/>
                <w:sz w:val="21"/>
              </w:rPr>
              <w:t> 天者。</w:t>
            </w:r>
          </w:p>
        </w:tc>
      </w:tr>
      <w:tr>
        <w:trPr>
          <w:trHeight w:val="1475" w:hRule="atLeast"/>
        </w:trPr>
        <w:tc>
          <w:tcPr>
            <w:tcW w:w="1812" w:type="dxa"/>
          </w:tcPr>
          <w:p>
            <w:pPr>
              <w:pStyle w:val="TableParagraph"/>
              <w:spacing w:line="273" w:lineRule="auto" w:before="100"/>
              <w:ind w:left="200" w:right="132"/>
              <w:rPr>
                <w:rFonts w:ascii="楷体" w:eastAsia="楷体" w:hint="eastAsia"/>
                <w:b/>
                <w:sz w:val="21"/>
              </w:rPr>
            </w:pPr>
            <w:r>
              <w:rPr>
                <w:rFonts w:ascii="楷体" w:eastAsia="楷体" w:hint="eastAsia"/>
                <w:b/>
                <w:spacing w:val="-33"/>
                <w:sz w:val="21"/>
              </w:rPr>
              <w:t>急 性 坏 死 性 胰腺炎开腹手术</w:t>
            </w:r>
          </w:p>
        </w:tc>
        <w:tc>
          <w:tcPr>
            <w:tcW w:w="7795" w:type="dxa"/>
          </w:tcPr>
          <w:p>
            <w:pPr>
              <w:pStyle w:val="TableParagraph"/>
              <w:spacing w:line="273" w:lineRule="auto" w:before="100"/>
              <w:ind w:left="79" w:right="355"/>
              <w:rPr>
                <w:sz w:val="21"/>
              </w:rPr>
            </w:pPr>
            <w:r>
              <w:rPr>
                <w:sz w:val="21"/>
              </w:rPr>
              <w:t>指被保险人因为急性出血坏死性胰腺炎已经接受了外科开腹手术治疗，以进行坏死组织清除、坏死病灶切除或胰腺切除。</w:t>
            </w:r>
          </w:p>
          <w:p>
            <w:pPr>
              <w:pStyle w:val="TableParagraph"/>
              <w:spacing w:line="259" w:lineRule="auto"/>
              <w:ind w:left="79" w:right="545"/>
              <w:rPr>
                <w:b/>
                <w:i/>
                <w:sz w:val="22"/>
              </w:rPr>
            </w:pPr>
            <w:r>
              <w:rPr>
                <w:b/>
                <w:i/>
                <w:w w:val="95"/>
                <w:sz w:val="22"/>
              </w:rPr>
              <w:t>因饮酒所致的急性出血坏死性胰腺炎或经腹腔镜手术进行的治疗不在保障范围内。</w:t>
            </w:r>
          </w:p>
        </w:tc>
      </w:tr>
      <w:tr>
        <w:trPr>
          <w:trHeight w:val="3346" w:hRule="atLeast"/>
        </w:trPr>
        <w:tc>
          <w:tcPr>
            <w:tcW w:w="1812" w:type="dxa"/>
          </w:tcPr>
          <w:p>
            <w:pPr>
              <w:pStyle w:val="TableParagraph"/>
              <w:spacing w:before="98"/>
              <w:ind w:left="200"/>
              <w:rPr>
                <w:rFonts w:ascii="楷体" w:eastAsia="楷体" w:hint="eastAsia"/>
                <w:b/>
                <w:sz w:val="21"/>
              </w:rPr>
            </w:pPr>
            <w:r>
              <w:rPr>
                <w:rFonts w:ascii="楷体" w:eastAsia="楷体" w:hint="eastAsia"/>
                <w:b/>
                <w:sz w:val="21"/>
              </w:rPr>
              <w:t>系统性硬皮病</w:t>
            </w:r>
          </w:p>
        </w:tc>
        <w:tc>
          <w:tcPr>
            <w:tcW w:w="7795" w:type="dxa"/>
          </w:tcPr>
          <w:p>
            <w:pPr>
              <w:pStyle w:val="TableParagraph"/>
              <w:spacing w:line="273" w:lineRule="auto" w:before="98"/>
              <w:ind w:left="79" w:right="355"/>
              <w:jc w:val="both"/>
              <w:rPr>
                <w:sz w:val="21"/>
              </w:rPr>
            </w:pPr>
            <w:r>
              <w:rPr>
                <w:sz w:val="21"/>
              </w:rPr>
              <w:t>指一种全身性的胶原血管性疾病，可以导致皮肤、血管及内脏器官进行性弥漫性纤维化。诊断必须经活检及血清学检查证实，疾病必须是全身性，且须满足下列至少一项条件：</w:t>
            </w:r>
          </w:p>
          <w:p>
            <w:pPr>
              <w:pStyle w:val="TableParagraph"/>
              <w:numPr>
                <w:ilvl w:val="0"/>
                <w:numId w:val="26"/>
              </w:numPr>
              <w:tabs>
                <w:tab w:pos="712" w:val="left" w:leader="none"/>
              </w:tabs>
              <w:spacing w:line="240" w:lineRule="auto" w:before="7" w:after="0"/>
              <w:ind w:left="79" w:right="0" w:firstLine="0"/>
              <w:jc w:val="left"/>
              <w:rPr>
                <w:sz w:val="21"/>
              </w:rPr>
            </w:pPr>
            <w:r>
              <w:rPr>
                <w:spacing w:val="-3"/>
                <w:sz w:val="21"/>
              </w:rPr>
              <w:t>肺脏：肺部病变进而发展为肺间质纤维化和肺动脉高压；</w:t>
            </w:r>
          </w:p>
          <w:p>
            <w:pPr>
              <w:pStyle w:val="TableParagraph"/>
              <w:numPr>
                <w:ilvl w:val="0"/>
                <w:numId w:val="26"/>
              </w:numPr>
              <w:tabs>
                <w:tab w:pos="712" w:val="left" w:leader="none"/>
              </w:tabs>
              <w:spacing w:line="240" w:lineRule="auto" w:before="37" w:after="0"/>
              <w:ind w:left="79" w:right="0" w:firstLine="0"/>
              <w:jc w:val="left"/>
              <w:rPr>
                <w:sz w:val="21"/>
              </w:rPr>
            </w:pPr>
            <w:r>
              <w:rPr>
                <w:spacing w:val="-5"/>
                <w:sz w:val="21"/>
              </w:rPr>
              <w:t>心脏：心功能受损达到美国纽约心脏病学会心功能状态分级 </w:t>
            </w:r>
            <w:r>
              <w:rPr>
                <w:sz w:val="21"/>
              </w:rPr>
              <w:t>IV</w:t>
            </w:r>
            <w:r>
              <w:rPr>
                <w:spacing w:val="-13"/>
                <w:sz w:val="21"/>
              </w:rPr>
              <w:t> 级；</w:t>
            </w:r>
          </w:p>
          <w:p>
            <w:pPr>
              <w:pStyle w:val="TableParagraph"/>
              <w:numPr>
                <w:ilvl w:val="0"/>
                <w:numId w:val="26"/>
              </w:numPr>
              <w:tabs>
                <w:tab w:pos="712" w:val="left" w:leader="none"/>
              </w:tabs>
              <w:spacing w:line="273" w:lineRule="auto" w:before="36" w:after="0"/>
              <w:ind w:left="79" w:right="1195" w:firstLine="0"/>
              <w:jc w:val="left"/>
              <w:rPr>
                <w:sz w:val="21"/>
              </w:rPr>
            </w:pPr>
            <w:r>
              <w:rPr>
                <w:spacing w:val="-3"/>
                <w:sz w:val="21"/>
              </w:rPr>
              <w:t>肾脏：肾脏受损导致双肾功能慢性不可逆衰竭，达到尿毒症期。以下情况不在保障范围内：</w:t>
            </w:r>
          </w:p>
          <w:p>
            <w:pPr>
              <w:pStyle w:val="TableParagraph"/>
              <w:spacing w:before="7"/>
              <w:ind w:left="79"/>
              <w:jc w:val="both"/>
              <w:rPr>
                <w:sz w:val="21"/>
              </w:rPr>
            </w:pPr>
            <w:r>
              <w:rPr>
                <w:sz w:val="21"/>
              </w:rPr>
              <w:t>（1）局限性硬皮病（带状硬皮病或斑状损害）</w:t>
            </w:r>
          </w:p>
          <w:p>
            <w:pPr>
              <w:pStyle w:val="TableParagraph"/>
              <w:spacing w:before="37"/>
              <w:ind w:left="79"/>
              <w:jc w:val="both"/>
              <w:rPr>
                <w:sz w:val="21"/>
              </w:rPr>
            </w:pPr>
            <w:r>
              <w:rPr>
                <w:sz w:val="21"/>
              </w:rPr>
              <w:t>（2）嗜酸性筋膜炎</w:t>
            </w:r>
          </w:p>
          <w:p>
            <w:pPr>
              <w:pStyle w:val="TableParagraph"/>
              <w:spacing w:before="37"/>
              <w:ind w:left="79"/>
              <w:jc w:val="both"/>
              <w:rPr>
                <w:sz w:val="21"/>
              </w:rPr>
            </w:pPr>
            <w:r>
              <w:rPr>
                <w:sz w:val="21"/>
              </w:rPr>
              <w:t>（3）CREST 综合征</w:t>
            </w:r>
          </w:p>
        </w:tc>
      </w:tr>
      <w:tr>
        <w:trPr>
          <w:trHeight w:val="1163" w:hRule="atLeast"/>
        </w:trPr>
        <w:tc>
          <w:tcPr>
            <w:tcW w:w="1812" w:type="dxa"/>
          </w:tcPr>
          <w:p>
            <w:pPr>
              <w:pStyle w:val="TableParagraph"/>
              <w:spacing w:line="273" w:lineRule="auto" w:before="100"/>
              <w:ind w:left="200" w:right="132"/>
              <w:rPr>
                <w:rFonts w:ascii="楷体" w:eastAsia="楷体" w:hint="eastAsia"/>
                <w:b/>
                <w:sz w:val="21"/>
              </w:rPr>
            </w:pPr>
            <w:r>
              <w:rPr>
                <w:rFonts w:ascii="楷体" w:eastAsia="楷体" w:hint="eastAsia"/>
                <w:b/>
                <w:spacing w:val="-33"/>
                <w:sz w:val="21"/>
              </w:rPr>
              <w:t>慢 性 复 发 性 胰腺炎</w:t>
            </w:r>
          </w:p>
        </w:tc>
        <w:tc>
          <w:tcPr>
            <w:tcW w:w="7795" w:type="dxa"/>
          </w:tcPr>
          <w:p>
            <w:pPr>
              <w:pStyle w:val="TableParagraph"/>
              <w:spacing w:line="266" w:lineRule="auto" w:before="100"/>
              <w:ind w:left="79" w:right="355"/>
              <w:rPr>
                <w:b/>
                <w:i/>
                <w:sz w:val="22"/>
              </w:rPr>
            </w:pPr>
            <w:r>
              <w:rPr>
                <w:spacing w:val="-3"/>
                <w:sz w:val="21"/>
              </w:rPr>
              <w:t>胰腺炎反复发作超过三次以上并导致胰腺功能紊乱和营养不良，需要接受酶替代治疗。诊断必须有消化科专科医生确认并且有内窥镜逆行胰胆管造影所证实。 </w:t>
            </w:r>
            <w:r>
              <w:rPr>
                <w:b/>
                <w:i/>
                <w:spacing w:val="-3"/>
                <w:w w:val="95"/>
                <w:sz w:val="22"/>
              </w:rPr>
              <w:t>因酒精所致的慢性复发性胰腺炎除外。</w:t>
            </w:r>
          </w:p>
        </w:tc>
      </w:tr>
      <w:tr>
        <w:trPr>
          <w:trHeight w:val="1786" w:hRule="atLeast"/>
        </w:trPr>
        <w:tc>
          <w:tcPr>
            <w:tcW w:w="1812" w:type="dxa"/>
          </w:tcPr>
          <w:p>
            <w:pPr>
              <w:pStyle w:val="TableParagraph"/>
              <w:spacing w:line="273" w:lineRule="auto" w:before="99"/>
              <w:ind w:left="200" w:right="132"/>
              <w:rPr>
                <w:rFonts w:ascii="楷体" w:eastAsia="楷体" w:hint="eastAsia"/>
                <w:b/>
                <w:sz w:val="21"/>
              </w:rPr>
            </w:pPr>
            <w:r>
              <w:rPr>
                <w:rFonts w:ascii="楷体" w:eastAsia="楷体" w:hint="eastAsia"/>
                <w:b/>
                <w:spacing w:val="-33"/>
                <w:sz w:val="21"/>
              </w:rPr>
              <w:t>严 重 肌 营 养 不良症</w:t>
            </w:r>
          </w:p>
        </w:tc>
        <w:tc>
          <w:tcPr>
            <w:tcW w:w="7795" w:type="dxa"/>
          </w:tcPr>
          <w:p>
            <w:pPr>
              <w:pStyle w:val="TableParagraph"/>
              <w:spacing w:line="273" w:lineRule="auto" w:before="99"/>
              <w:ind w:left="79" w:right="355"/>
              <w:rPr>
                <w:sz w:val="21"/>
              </w:rPr>
            </w:pPr>
            <w:r>
              <w:rPr>
                <w:sz w:val="21"/>
              </w:rPr>
              <w:t>指一组原发于肌肉的遗传性疾病，临床表现为与神经系统无关的肌肉无力和肌肉萎缩。须满足下列全部条件：</w:t>
            </w:r>
          </w:p>
          <w:p>
            <w:pPr>
              <w:pStyle w:val="TableParagraph"/>
              <w:spacing w:before="8"/>
              <w:ind w:left="79"/>
              <w:rPr>
                <w:sz w:val="21"/>
              </w:rPr>
            </w:pPr>
            <w:r>
              <w:rPr>
                <w:sz w:val="21"/>
              </w:rPr>
              <w:t>（1）肌肉组织活检结果满足肌营养不良症的肌肉细胞变性、坏死等阳性改变；</w:t>
            </w:r>
          </w:p>
          <w:p>
            <w:pPr>
              <w:pStyle w:val="TableParagraph"/>
              <w:spacing w:line="273" w:lineRule="auto" w:before="37"/>
              <w:ind w:left="79" w:right="302"/>
              <w:rPr>
                <w:sz w:val="21"/>
              </w:rPr>
            </w:pPr>
            <w:r>
              <w:rPr>
                <w:spacing w:val="-9"/>
                <w:sz w:val="21"/>
              </w:rPr>
              <w:t>（2）</w:t>
            </w:r>
            <w:r>
              <w:rPr>
                <w:spacing w:val="-6"/>
                <w:sz w:val="21"/>
              </w:rPr>
              <w:t>自主生活能力严重丧失，无法独立完成六项基本日常生活活动中的三项或三</w:t>
            </w:r>
            <w:r>
              <w:rPr>
                <w:spacing w:val="-4"/>
                <w:sz w:val="21"/>
              </w:rPr>
              <w:t>项以上。</w:t>
            </w:r>
          </w:p>
        </w:tc>
      </w:tr>
      <w:tr>
        <w:trPr>
          <w:trHeight w:val="1163" w:hRule="atLeast"/>
        </w:trPr>
        <w:tc>
          <w:tcPr>
            <w:tcW w:w="1812" w:type="dxa"/>
          </w:tcPr>
          <w:p>
            <w:pPr>
              <w:pStyle w:val="TableParagraph"/>
              <w:spacing w:before="100"/>
              <w:ind w:left="200"/>
              <w:rPr>
                <w:rFonts w:ascii="楷体" w:eastAsia="楷体" w:hint="eastAsia"/>
                <w:b/>
                <w:sz w:val="21"/>
              </w:rPr>
            </w:pPr>
            <w:r>
              <w:rPr>
                <w:rFonts w:ascii="楷体" w:eastAsia="楷体" w:hint="eastAsia"/>
                <w:b/>
                <w:sz w:val="21"/>
              </w:rPr>
              <w:t>严 重 克 隆 病</w:t>
            </w:r>
          </w:p>
          <w:p>
            <w:pPr>
              <w:pStyle w:val="TableParagraph"/>
              <w:spacing w:before="36"/>
              <w:ind w:left="200"/>
              <w:rPr>
                <w:rFonts w:ascii="楷体" w:hAnsi="楷体" w:eastAsia="楷体" w:hint="eastAsia"/>
                <w:b/>
                <w:sz w:val="21"/>
              </w:rPr>
            </w:pPr>
            <w:r>
              <w:rPr>
                <w:rFonts w:ascii="楷体" w:hAnsi="楷体" w:eastAsia="楷体" w:hint="eastAsia"/>
                <w:b/>
                <w:sz w:val="21"/>
              </w:rPr>
              <w:t>（Crohn’s 病）</w:t>
            </w:r>
          </w:p>
        </w:tc>
        <w:tc>
          <w:tcPr>
            <w:tcW w:w="7795" w:type="dxa"/>
          </w:tcPr>
          <w:p>
            <w:pPr>
              <w:pStyle w:val="TableParagraph"/>
              <w:spacing w:line="273" w:lineRule="auto" w:before="100"/>
              <w:ind w:left="79" w:right="355"/>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2" w:hRule="atLeast"/>
        </w:trPr>
        <w:tc>
          <w:tcPr>
            <w:tcW w:w="1812" w:type="dxa"/>
          </w:tcPr>
          <w:p>
            <w:pPr>
              <w:pStyle w:val="TableParagraph"/>
              <w:spacing w:line="273" w:lineRule="auto" w:before="100"/>
              <w:ind w:left="200" w:right="132"/>
              <w:rPr>
                <w:rFonts w:ascii="楷体" w:eastAsia="楷体" w:hint="eastAsia"/>
                <w:b/>
                <w:sz w:val="21"/>
              </w:rPr>
            </w:pPr>
            <w:r>
              <w:rPr>
                <w:rFonts w:ascii="楷体" w:eastAsia="楷体" w:hint="eastAsia"/>
                <w:b/>
                <w:spacing w:val="-33"/>
                <w:sz w:val="21"/>
              </w:rPr>
              <w:t>严 重 溃 疡 性 结肠炎</w:t>
            </w:r>
          </w:p>
        </w:tc>
        <w:tc>
          <w:tcPr>
            <w:tcW w:w="7795" w:type="dxa"/>
          </w:tcPr>
          <w:p>
            <w:pPr>
              <w:pStyle w:val="TableParagraph"/>
              <w:spacing w:line="273" w:lineRule="auto" w:before="100"/>
              <w:ind w:left="79" w:right="355"/>
              <w:rPr>
                <w:sz w:val="21"/>
              </w:rPr>
            </w:pPr>
            <w:r>
              <w:rPr>
                <w:sz w:val="21"/>
              </w:rPr>
              <w:t>溃疡性结肠炎是指伴有致命性电解质紊乱的急性暴发性溃疡性结肠炎，病变累及全结肠，表现为严重的血便和系统性症状体征，治疗通常采取全结肠切除和回肠</w:t>
            </w:r>
          </w:p>
          <w:p>
            <w:pPr>
              <w:pStyle w:val="TableParagraph"/>
              <w:spacing w:line="312" w:lineRule="exact" w:before="3"/>
              <w:ind w:left="79" w:right="355"/>
              <w:rPr>
                <w:sz w:val="21"/>
              </w:rPr>
            </w:pPr>
            <w:r>
              <w:rPr>
                <w:sz w:val="21"/>
              </w:rPr>
              <w:t>造瘘术。溃疡性结肠炎必须根据组织病理学特点诊断，并且被保险人已经接受了结肠切除和回肠造瘘术。</w:t>
            </w:r>
          </w:p>
        </w:tc>
      </w:tr>
    </w:tbl>
    <w:p>
      <w:pPr>
        <w:spacing w:after="0" w:line="312" w:lineRule="exact"/>
        <w:rPr>
          <w:sz w:val="21"/>
        </w:rPr>
        <w:sectPr>
          <w:pgSz w:w="11910" w:h="16840"/>
          <w:pgMar w:header="0" w:footer="896" w:top="1280" w:bottom="1080" w:left="1640" w:right="4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7823"/>
      </w:tblGrid>
      <w:tr>
        <w:trPr>
          <w:trHeight w:val="999" w:hRule="atLeast"/>
        </w:trPr>
        <w:tc>
          <w:tcPr>
            <w:tcW w:w="1785" w:type="dxa"/>
          </w:tcPr>
          <w:p>
            <w:pPr>
              <w:pStyle w:val="TableParagraph"/>
              <w:spacing w:line="211" w:lineRule="exact"/>
              <w:ind w:left="200"/>
              <w:rPr>
                <w:rFonts w:ascii="楷体" w:eastAsia="楷体" w:hint="eastAsia"/>
                <w:b/>
                <w:sz w:val="21"/>
              </w:rPr>
            </w:pPr>
            <w:r>
              <w:rPr>
                <w:rFonts w:ascii="楷体" w:eastAsia="楷体" w:hint="eastAsia"/>
                <w:b/>
                <w:spacing w:val="-33"/>
                <w:sz w:val="21"/>
              </w:rPr>
              <w:t>溶 血 性 链 球 菌</w:t>
            </w:r>
          </w:p>
          <w:p>
            <w:pPr>
              <w:pStyle w:val="TableParagraph"/>
              <w:spacing w:before="37"/>
              <w:ind w:left="200"/>
              <w:rPr>
                <w:rFonts w:ascii="楷体" w:eastAsia="楷体" w:hint="eastAsia"/>
                <w:b/>
                <w:sz w:val="21"/>
              </w:rPr>
            </w:pPr>
            <w:r>
              <w:rPr>
                <w:rFonts w:ascii="楷体" w:eastAsia="楷体" w:hint="eastAsia"/>
                <w:b/>
                <w:sz w:val="21"/>
              </w:rPr>
              <w:t>引起的坏疽</w:t>
            </w:r>
          </w:p>
        </w:tc>
        <w:tc>
          <w:tcPr>
            <w:tcW w:w="7823" w:type="dxa"/>
          </w:tcPr>
          <w:p>
            <w:pPr>
              <w:pStyle w:val="TableParagraph"/>
              <w:spacing w:line="211" w:lineRule="exact"/>
              <w:rPr>
                <w:sz w:val="21"/>
              </w:rPr>
            </w:pPr>
            <w:r>
              <w:rPr>
                <w:sz w:val="21"/>
              </w:rPr>
              <w:t>包围肢体或躯干的浅筋膜和/或深筋膜受到溶血性链球菌的感染，病情在短时间内</w:t>
            </w:r>
          </w:p>
          <w:p>
            <w:pPr>
              <w:pStyle w:val="TableParagraph"/>
              <w:spacing w:line="273" w:lineRule="auto" w:before="37"/>
              <w:ind w:right="356"/>
              <w:rPr>
                <w:sz w:val="21"/>
              </w:rPr>
            </w:pPr>
            <w:r>
              <w:rPr>
                <w:sz w:val="21"/>
              </w:rPr>
              <w:t>急剧恶化，已经立刻进行了手术及清创术。最后的诊断必须由微生物或病理学专家进行相关检查后证实。</w:t>
            </w:r>
          </w:p>
        </w:tc>
      </w:tr>
      <w:tr>
        <w:trPr>
          <w:trHeight w:val="4283" w:hRule="atLeast"/>
        </w:trPr>
        <w:tc>
          <w:tcPr>
            <w:tcW w:w="1785" w:type="dxa"/>
          </w:tcPr>
          <w:p>
            <w:pPr>
              <w:pStyle w:val="TableParagraph"/>
              <w:spacing w:line="273" w:lineRule="auto" w:before="100"/>
              <w:ind w:left="200" w:right="105"/>
              <w:rPr>
                <w:rFonts w:ascii="楷体" w:eastAsia="楷体" w:hint="eastAsia"/>
                <w:b/>
                <w:sz w:val="21"/>
              </w:rPr>
            </w:pPr>
            <w:r>
              <w:rPr>
                <w:rFonts w:ascii="楷体" w:eastAsia="楷体" w:hint="eastAsia"/>
                <w:b/>
                <w:spacing w:val="-33"/>
                <w:sz w:val="21"/>
              </w:rPr>
              <w:t>因 职 业 关 系 导</w:t>
            </w:r>
            <w:r>
              <w:rPr>
                <w:rFonts w:ascii="楷体" w:eastAsia="楷体" w:hint="eastAsia"/>
                <w:b/>
                <w:spacing w:val="-40"/>
                <w:sz w:val="21"/>
              </w:rPr>
              <w:t>致的 </w:t>
            </w:r>
            <w:r>
              <w:rPr>
                <w:rFonts w:ascii="楷体" w:eastAsia="楷体" w:hint="eastAsia"/>
                <w:b/>
                <w:sz w:val="21"/>
              </w:rPr>
              <w:t>HIV</w:t>
            </w:r>
            <w:r>
              <w:rPr>
                <w:rFonts w:ascii="楷体" w:eastAsia="楷体" w:hint="eastAsia"/>
                <w:b/>
                <w:spacing w:val="-18"/>
                <w:sz w:val="21"/>
              </w:rPr>
              <w:t> 感染</w:t>
            </w:r>
          </w:p>
        </w:tc>
        <w:tc>
          <w:tcPr>
            <w:tcW w:w="7823" w:type="dxa"/>
          </w:tcPr>
          <w:p>
            <w:pPr>
              <w:pStyle w:val="TableParagraph"/>
              <w:spacing w:line="273" w:lineRule="auto" w:before="100"/>
              <w:ind w:right="356"/>
              <w:rPr>
                <w:sz w:val="21"/>
              </w:rPr>
            </w:pPr>
            <w:r>
              <w:rPr>
                <w:spacing w:val="-3"/>
                <w:sz w:val="21"/>
              </w:rPr>
              <w:t>被保险人在其常规职业工作过程中遭遇外伤，或职业需要处理血液或其它体液时</w:t>
            </w:r>
            <w:r>
              <w:rPr>
                <w:spacing w:val="-3"/>
                <w:w w:val="100"/>
                <w:sz w:val="21"/>
              </w:rPr>
              <w:t>感染上人类免疫缺陷病毒</w:t>
            </w:r>
            <w:r>
              <w:rPr>
                <w:w w:val="100"/>
                <w:sz w:val="21"/>
              </w:rPr>
              <w:t>（HIV</w:t>
            </w:r>
            <w:r>
              <w:rPr>
                <w:spacing w:val="-108"/>
                <w:w w:val="100"/>
                <w:sz w:val="21"/>
              </w:rPr>
              <w:t>）</w:t>
            </w:r>
            <w:r>
              <w:rPr>
                <w:spacing w:val="-3"/>
                <w:w w:val="100"/>
                <w:sz w:val="21"/>
              </w:rPr>
              <w:t>。必须满足下列全部条件：</w:t>
            </w:r>
          </w:p>
          <w:p>
            <w:pPr>
              <w:pStyle w:val="TableParagraph"/>
              <w:spacing w:line="273" w:lineRule="auto" w:before="7"/>
              <w:ind w:right="254"/>
              <w:rPr>
                <w:sz w:val="21"/>
              </w:rPr>
            </w:pPr>
            <w:r>
              <w:rPr>
                <w:sz w:val="21"/>
              </w:rPr>
              <w:t>（1）感染必须是在被保险人正在从事其职业工作中发生，该职业必须属于下列限定职业范围内的职业；</w:t>
            </w:r>
          </w:p>
          <w:p>
            <w:pPr>
              <w:pStyle w:val="TableParagraph"/>
              <w:spacing w:before="7"/>
              <w:rPr>
                <w:sz w:val="21"/>
              </w:rPr>
            </w:pPr>
            <w:r>
              <w:rPr>
                <w:sz w:val="21"/>
              </w:rPr>
              <w:t>（2）血清转化必须出现在事故发生后的 6 个月以内；</w:t>
            </w:r>
          </w:p>
          <w:p>
            <w:pPr>
              <w:pStyle w:val="TableParagraph"/>
              <w:spacing w:line="273" w:lineRule="auto" w:before="36"/>
              <w:ind w:right="198"/>
              <w:rPr>
                <w:sz w:val="21"/>
              </w:rPr>
            </w:pPr>
            <w:r>
              <w:rPr>
                <w:spacing w:val="-9"/>
                <w:sz w:val="21"/>
              </w:rPr>
              <w:t>（3）</w:t>
            </w:r>
            <w:r>
              <w:rPr>
                <w:spacing w:val="-6"/>
                <w:sz w:val="21"/>
              </w:rPr>
              <w:t>必须提供被保险人在所报事故后发生的 </w:t>
            </w:r>
            <w:r>
              <w:rPr>
                <w:sz w:val="21"/>
              </w:rPr>
              <w:t>5</w:t>
            </w:r>
            <w:r>
              <w:rPr>
                <w:spacing w:val="-10"/>
                <w:sz w:val="21"/>
              </w:rPr>
              <w:t> 天以内进行的检查报告，该报告必</w:t>
            </w:r>
            <w:r>
              <w:rPr>
                <w:spacing w:val="-8"/>
                <w:sz w:val="21"/>
              </w:rPr>
              <w:t>须显示被保险人血液人类免疫缺陷病毒</w:t>
            </w:r>
            <w:r>
              <w:rPr>
                <w:spacing w:val="-12"/>
                <w:sz w:val="21"/>
              </w:rPr>
              <w:t>（HIV）</w:t>
            </w:r>
            <w:r>
              <w:rPr>
                <w:spacing w:val="-2"/>
                <w:sz w:val="21"/>
              </w:rPr>
              <w:t>阴性和</w:t>
            </w:r>
            <w:r>
              <w:rPr>
                <w:sz w:val="21"/>
              </w:rPr>
              <w:t>/</w:t>
            </w:r>
            <w:r>
              <w:rPr>
                <w:spacing w:val="-9"/>
                <w:sz w:val="21"/>
              </w:rPr>
              <w:t>或人类免疫缺陷病毒</w:t>
            </w:r>
            <w:r>
              <w:rPr>
                <w:sz w:val="21"/>
              </w:rPr>
              <w:t>（HIV） </w:t>
            </w:r>
            <w:r>
              <w:rPr>
                <w:spacing w:val="-1"/>
                <w:sz w:val="21"/>
              </w:rPr>
              <w:t>抗体阴性；</w:t>
            </w:r>
          </w:p>
          <w:p>
            <w:pPr>
              <w:pStyle w:val="TableParagraph"/>
              <w:spacing w:before="7"/>
              <w:rPr>
                <w:sz w:val="21"/>
              </w:rPr>
            </w:pPr>
            <w:r>
              <w:rPr>
                <w:sz w:val="21"/>
              </w:rPr>
              <w:t>（4）必须在事故发生后的 12 个月内证实被保险人体内存在人类免疫缺陷病毒</w:t>
            </w:r>
          </w:p>
          <w:p>
            <w:pPr>
              <w:pStyle w:val="TableParagraph"/>
              <w:spacing w:line="273" w:lineRule="auto" w:before="37"/>
              <w:ind w:right="3721"/>
              <w:rPr>
                <w:sz w:val="21"/>
              </w:rPr>
            </w:pPr>
            <w:r>
              <w:rPr>
                <w:sz w:val="21"/>
              </w:rPr>
              <w:t>（HIV）或人类免疫缺陷病毒（HIV）抗体。限定职业：</w:t>
            </w:r>
          </w:p>
          <w:p>
            <w:pPr>
              <w:pStyle w:val="TableParagraph"/>
              <w:spacing w:line="273" w:lineRule="auto" w:before="8"/>
              <w:ind w:right="200"/>
              <w:rPr>
                <w:sz w:val="21"/>
              </w:rPr>
            </w:pPr>
            <w:r>
              <w:rPr>
                <w:spacing w:val="-8"/>
                <w:sz w:val="21"/>
              </w:rPr>
              <w:t>医生和牙科医生、护士、医院化验室工作人员、医院护工、医生助理和牙医助理、</w:t>
            </w:r>
            <w:r>
              <w:rPr>
                <w:spacing w:val="-5"/>
                <w:sz w:val="21"/>
              </w:rPr>
              <w:t>救护车工作人员、助产士、消防队员、警察、狱警</w:t>
            </w:r>
          </w:p>
        </w:tc>
      </w:tr>
      <w:tr>
        <w:trPr>
          <w:trHeight w:val="1787" w:hRule="atLeast"/>
        </w:trPr>
        <w:tc>
          <w:tcPr>
            <w:tcW w:w="1785" w:type="dxa"/>
          </w:tcPr>
          <w:p>
            <w:pPr>
              <w:pStyle w:val="TableParagraph"/>
              <w:spacing w:before="99"/>
              <w:ind w:left="200"/>
              <w:rPr>
                <w:rFonts w:ascii="楷体" w:eastAsia="楷体" w:hint="eastAsia"/>
                <w:b/>
                <w:sz w:val="21"/>
              </w:rPr>
            </w:pPr>
            <w:r>
              <w:rPr>
                <w:rFonts w:ascii="楷体" w:eastAsia="楷体" w:hint="eastAsia"/>
                <w:b/>
                <w:sz w:val="21"/>
              </w:rPr>
              <w:t>脊髓灰质炎</w:t>
            </w:r>
          </w:p>
        </w:tc>
        <w:tc>
          <w:tcPr>
            <w:tcW w:w="7823" w:type="dxa"/>
          </w:tcPr>
          <w:p>
            <w:pPr>
              <w:pStyle w:val="TableParagraph"/>
              <w:spacing w:line="273" w:lineRule="auto" w:before="99"/>
              <w:ind w:right="305"/>
              <w:jc w:val="both"/>
              <w:rPr>
                <w:sz w:val="21"/>
              </w:rPr>
            </w:pPr>
            <w:r>
              <w:rPr>
                <w:spacing w:val="-3"/>
                <w:sz w:val="21"/>
              </w:rPr>
              <w:t>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w:t>
            </w:r>
            <w:r>
              <w:rPr>
                <w:spacing w:val="-6"/>
                <w:sz w:val="21"/>
              </w:rPr>
              <w:t>能永久完全丧失，指疾病确诊 </w:t>
            </w:r>
            <w:r>
              <w:rPr>
                <w:sz w:val="21"/>
              </w:rPr>
              <w:t>180</w:t>
            </w:r>
            <w:r>
              <w:rPr>
                <w:spacing w:val="-3"/>
                <w:sz w:val="21"/>
              </w:rPr>
              <w:t> 天后，每肢三大关节中的两大关节仍然完全僵硬，或不能随意识活动。</w:t>
            </w:r>
          </w:p>
        </w:tc>
      </w:tr>
      <w:tr>
        <w:trPr>
          <w:trHeight w:val="1787" w:hRule="atLeast"/>
        </w:trPr>
        <w:tc>
          <w:tcPr>
            <w:tcW w:w="1785" w:type="dxa"/>
          </w:tcPr>
          <w:p>
            <w:pPr>
              <w:pStyle w:val="TableParagraph"/>
              <w:spacing w:before="100"/>
              <w:ind w:left="200"/>
              <w:rPr>
                <w:rFonts w:ascii="楷体" w:eastAsia="楷体" w:hint="eastAsia"/>
                <w:b/>
                <w:sz w:val="21"/>
              </w:rPr>
            </w:pPr>
            <w:r>
              <w:rPr>
                <w:rFonts w:ascii="楷体" w:eastAsia="楷体" w:hint="eastAsia"/>
                <w:b/>
                <w:sz w:val="21"/>
              </w:rPr>
              <w:t>植物人状态</w:t>
            </w:r>
          </w:p>
        </w:tc>
        <w:tc>
          <w:tcPr>
            <w:tcW w:w="7823" w:type="dxa"/>
          </w:tcPr>
          <w:p>
            <w:pPr>
              <w:pStyle w:val="TableParagraph"/>
              <w:spacing w:line="273" w:lineRule="auto" w:before="100"/>
              <w:ind w:right="202"/>
              <w:rPr>
                <w:sz w:val="21"/>
              </w:rPr>
            </w:pPr>
            <w:r>
              <w:rPr>
                <w:spacing w:val="-3"/>
                <w:sz w:val="21"/>
              </w:rPr>
              <w:t>指脑皮质广泛性坏死而导致对自身及周边的认知能力完全丧失,但脑干功能依然</w:t>
            </w:r>
            <w:r>
              <w:rPr>
                <w:w w:val="100"/>
                <w:sz w:val="21"/>
              </w:rPr>
              <w:t>存</w:t>
            </w:r>
            <w:r>
              <w:rPr>
                <w:spacing w:val="-15"/>
                <w:w w:val="100"/>
                <w:sz w:val="21"/>
              </w:rPr>
              <w:t>在。必须由神经专科医生明确诊断,并有头颅断层扫描</w:t>
            </w:r>
            <w:r>
              <w:rPr>
                <w:spacing w:val="-1"/>
                <w:w w:val="100"/>
                <w:sz w:val="21"/>
              </w:rPr>
              <w:t>（</w:t>
            </w:r>
            <w:r>
              <w:rPr>
                <w:spacing w:val="-3"/>
                <w:w w:val="100"/>
                <w:sz w:val="21"/>
              </w:rPr>
              <w:t>C</w:t>
            </w:r>
            <w:r>
              <w:rPr>
                <w:w w:val="100"/>
                <w:sz w:val="21"/>
              </w:rPr>
              <w:t>T</w:t>
            </w:r>
            <w:r>
              <w:rPr>
                <w:spacing w:val="-106"/>
                <w:w w:val="100"/>
                <w:sz w:val="21"/>
              </w:rPr>
              <w:t>）</w:t>
            </w:r>
            <w:r>
              <w:rPr>
                <w:spacing w:val="-29"/>
                <w:w w:val="100"/>
                <w:sz w:val="21"/>
              </w:rPr>
              <w:t>，核磁共振检查</w:t>
            </w:r>
            <w:r>
              <w:rPr>
                <w:spacing w:val="-1"/>
                <w:w w:val="100"/>
                <w:sz w:val="21"/>
              </w:rPr>
              <w:t>（</w:t>
            </w:r>
            <w:r>
              <w:rPr>
                <w:spacing w:val="-3"/>
                <w:w w:val="100"/>
                <w:sz w:val="21"/>
              </w:rPr>
              <w:t>M</w:t>
            </w:r>
            <w:r>
              <w:rPr>
                <w:w w:val="100"/>
                <w:sz w:val="21"/>
              </w:rPr>
              <w:t>R</w:t>
            </w:r>
            <w:r>
              <w:rPr>
                <w:spacing w:val="-3"/>
                <w:w w:val="100"/>
                <w:sz w:val="21"/>
              </w:rPr>
              <w:t>I</w:t>
            </w:r>
            <w:r>
              <w:rPr>
                <w:w w:val="100"/>
                <w:sz w:val="21"/>
              </w:rPr>
              <w:t>）</w:t>
            </w:r>
            <w:r>
              <w:rPr>
                <w:spacing w:val="-1"/>
                <w:sz w:val="21"/>
              </w:rPr>
              <w:t>或</w:t>
            </w:r>
            <w:r>
              <w:rPr>
                <w:spacing w:val="-3"/>
                <w:sz w:val="21"/>
              </w:rPr>
              <w:t>正电子发射断层扫描</w:t>
            </w:r>
            <w:r>
              <w:rPr>
                <w:spacing w:val="-1"/>
                <w:sz w:val="21"/>
              </w:rPr>
              <w:t>（PET）</w:t>
            </w:r>
            <w:r>
              <w:rPr>
                <w:spacing w:val="-3"/>
                <w:sz w:val="21"/>
              </w:rPr>
              <w:t>等影像学检查证实。</w:t>
            </w:r>
          </w:p>
          <w:p>
            <w:pPr>
              <w:pStyle w:val="TableParagraph"/>
              <w:spacing w:line="259" w:lineRule="auto"/>
              <w:ind w:right="276"/>
              <w:rPr>
                <w:b/>
                <w:i/>
                <w:sz w:val="22"/>
              </w:rPr>
            </w:pPr>
            <w:r>
              <w:rPr>
                <w:w w:val="95"/>
                <w:sz w:val="21"/>
              </w:rPr>
              <w:t>上述情况必须有至少一个月的病历记录加以证实。</w:t>
            </w:r>
            <w:r>
              <w:rPr>
                <w:b/>
                <w:i/>
                <w:w w:val="95"/>
                <w:sz w:val="22"/>
              </w:rPr>
              <w:t>由于酗酒或滥用药物所致的植 物人状态不在保障范围内。</w:t>
            </w:r>
          </w:p>
        </w:tc>
      </w:tr>
      <w:tr>
        <w:trPr>
          <w:trHeight w:val="2410" w:hRule="atLeast"/>
        </w:trPr>
        <w:tc>
          <w:tcPr>
            <w:tcW w:w="1785" w:type="dxa"/>
          </w:tcPr>
          <w:p>
            <w:pPr>
              <w:pStyle w:val="TableParagraph"/>
              <w:spacing w:before="98"/>
              <w:ind w:left="200"/>
              <w:rPr>
                <w:rFonts w:ascii="楷体" w:eastAsia="楷体" w:hint="eastAsia"/>
                <w:b/>
                <w:sz w:val="21"/>
              </w:rPr>
            </w:pPr>
            <w:r>
              <w:rPr>
                <w:rFonts w:ascii="楷体" w:eastAsia="楷体" w:hint="eastAsia"/>
                <w:b/>
                <w:sz w:val="21"/>
              </w:rPr>
              <w:t>严重 1 型糖尿病</w:t>
            </w:r>
          </w:p>
        </w:tc>
        <w:tc>
          <w:tcPr>
            <w:tcW w:w="7823" w:type="dxa"/>
          </w:tcPr>
          <w:p>
            <w:pPr>
              <w:pStyle w:val="TableParagraph"/>
              <w:spacing w:line="273" w:lineRule="auto" w:before="98"/>
              <w:ind w:right="356"/>
              <w:jc w:val="both"/>
              <w:rPr>
                <w:sz w:val="21"/>
              </w:rPr>
            </w:pPr>
            <w:r>
              <w:rPr>
                <w:spacing w:val="-10"/>
                <w:sz w:val="21"/>
              </w:rPr>
              <w:t>严重的 </w:t>
            </w:r>
            <w:r>
              <w:rPr>
                <w:sz w:val="21"/>
              </w:rPr>
              <w:t>1</w:t>
            </w:r>
            <w:r>
              <w:rPr>
                <w:spacing w:val="-7"/>
                <w:sz w:val="21"/>
              </w:rPr>
              <w:t> 型糖尿病为由于胰岛素分泌绝对不足引起的慢性血糖升高，且已经持续</w:t>
            </w:r>
            <w:r>
              <w:rPr>
                <w:spacing w:val="-9"/>
                <w:sz w:val="21"/>
              </w:rPr>
              <w:t>性地依赖外源性胰岛素维持 </w:t>
            </w:r>
            <w:r>
              <w:rPr>
                <w:sz w:val="21"/>
              </w:rPr>
              <w:t>180</w:t>
            </w:r>
            <w:r>
              <w:rPr>
                <w:spacing w:val="-11"/>
                <w:sz w:val="21"/>
              </w:rPr>
              <w:t> 日以上。须经血胰岛素测定、血 </w:t>
            </w:r>
            <w:r>
              <w:rPr>
                <w:sz w:val="21"/>
              </w:rPr>
              <w:t>C</w:t>
            </w:r>
            <w:r>
              <w:rPr>
                <w:spacing w:val="-16"/>
                <w:sz w:val="21"/>
              </w:rPr>
              <w:t> 肽测定或尿 </w:t>
            </w:r>
            <w:r>
              <w:rPr>
                <w:sz w:val="21"/>
              </w:rPr>
              <w:t>C </w:t>
            </w:r>
            <w:r>
              <w:rPr>
                <w:spacing w:val="-3"/>
                <w:sz w:val="21"/>
              </w:rPr>
              <w:t>肽测定，结果异常，并由内分泌科专科医生明确诊断。并须在本附加险合同有效</w:t>
            </w:r>
            <w:r>
              <w:rPr>
                <w:spacing w:val="-8"/>
                <w:sz w:val="21"/>
              </w:rPr>
              <w:t>期内，满足下述至少 </w:t>
            </w:r>
            <w:r>
              <w:rPr>
                <w:sz w:val="21"/>
              </w:rPr>
              <w:t>1</w:t>
            </w:r>
            <w:r>
              <w:rPr>
                <w:spacing w:val="-10"/>
                <w:sz w:val="21"/>
              </w:rPr>
              <w:t> 个条件：</w:t>
            </w:r>
          </w:p>
          <w:p>
            <w:pPr>
              <w:pStyle w:val="TableParagraph"/>
              <w:spacing w:before="7"/>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2101" w:hRule="atLeast"/>
        </w:trPr>
        <w:tc>
          <w:tcPr>
            <w:tcW w:w="1785" w:type="dxa"/>
          </w:tcPr>
          <w:p>
            <w:pPr>
              <w:pStyle w:val="TableParagraph"/>
              <w:spacing w:line="273" w:lineRule="auto" w:before="100"/>
              <w:ind w:left="200" w:right="105"/>
              <w:jc w:val="both"/>
              <w:rPr>
                <w:rFonts w:ascii="楷体" w:eastAsia="楷体" w:hint="eastAsia"/>
                <w:b/>
                <w:sz w:val="21"/>
              </w:rPr>
            </w:pPr>
            <w:r>
              <w:rPr>
                <w:rFonts w:ascii="楷体" w:eastAsia="楷体" w:hint="eastAsia"/>
                <w:b/>
                <w:spacing w:val="-33"/>
                <w:sz w:val="21"/>
              </w:rPr>
              <w:t>非 阿 尔 茨 海 默</w:t>
            </w:r>
            <w:r>
              <w:rPr>
                <w:rFonts w:ascii="楷体" w:eastAsia="楷体" w:hint="eastAsia"/>
                <w:b/>
                <w:spacing w:val="-34"/>
                <w:sz w:val="21"/>
              </w:rPr>
              <w:t>病 所 致 严 重 痴呆</w:t>
            </w:r>
          </w:p>
        </w:tc>
        <w:tc>
          <w:tcPr>
            <w:tcW w:w="7823" w:type="dxa"/>
          </w:tcPr>
          <w:p>
            <w:pPr>
              <w:pStyle w:val="TableParagraph"/>
              <w:spacing w:line="268" w:lineRule="auto" w:before="100"/>
              <w:ind w:right="347"/>
              <w:jc w:val="both"/>
              <w:rPr>
                <w:b/>
                <w:i/>
                <w:sz w:val="22"/>
              </w:rPr>
            </w:pPr>
            <w:r>
              <w:rPr>
                <w:spacing w:val="-3"/>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w:t>
            </w:r>
            <w:r>
              <w:rPr>
                <w:spacing w:val="-3"/>
                <w:w w:val="95"/>
                <w:sz w:val="21"/>
              </w:rPr>
              <w:t>整的临床、实验室和影像学检查结果证实。</w:t>
            </w:r>
            <w:r>
              <w:rPr>
                <w:b/>
                <w:i/>
                <w:spacing w:val="-2"/>
                <w:w w:val="95"/>
                <w:sz w:val="22"/>
              </w:rPr>
              <w:t>神经官能症和精神疾病不在保障范围 内。</w:t>
            </w:r>
          </w:p>
        </w:tc>
      </w:tr>
      <w:tr>
        <w:trPr>
          <w:trHeight w:val="686" w:hRule="atLeast"/>
        </w:trPr>
        <w:tc>
          <w:tcPr>
            <w:tcW w:w="1785" w:type="dxa"/>
          </w:tcPr>
          <w:p>
            <w:pPr>
              <w:pStyle w:val="TableParagraph"/>
              <w:spacing w:line="310" w:lineRule="atLeast" w:before="65"/>
              <w:ind w:left="200" w:right="105"/>
              <w:rPr>
                <w:rFonts w:ascii="楷体" w:eastAsia="楷体" w:hint="eastAsia"/>
                <w:b/>
                <w:sz w:val="21"/>
              </w:rPr>
            </w:pPr>
            <w:r>
              <w:rPr>
                <w:rFonts w:ascii="楷体" w:eastAsia="楷体" w:hint="eastAsia"/>
                <w:b/>
                <w:spacing w:val="-33"/>
                <w:sz w:val="21"/>
              </w:rPr>
              <w:t>严 重 冠 状 动 脉</w:t>
            </w:r>
            <w:r>
              <w:rPr>
                <w:rFonts w:ascii="楷体" w:eastAsia="楷体" w:hint="eastAsia"/>
                <w:b/>
                <w:spacing w:val="-34"/>
                <w:sz w:val="21"/>
              </w:rPr>
              <w:t>粥 样 硬 化 性 心</w:t>
            </w:r>
          </w:p>
        </w:tc>
        <w:tc>
          <w:tcPr>
            <w:tcW w:w="7823" w:type="dxa"/>
          </w:tcPr>
          <w:p>
            <w:pPr>
              <w:pStyle w:val="TableParagraph"/>
              <w:spacing w:line="310" w:lineRule="atLeast" w:before="65"/>
              <w:ind w:right="356"/>
              <w:rPr>
                <w:sz w:val="21"/>
              </w:rPr>
            </w:pPr>
            <w:r>
              <w:rPr>
                <w:sz w:val="21"/>
              </w:rPr>
              <w:t>指经冠状动脉造影检查明确诊断为主要血管严重狭窄性病变，须满足下列至少一项条件：</w:t>
            </w:r>
          </w:p>
        </w:tc>
      </w:tr>
    </w:tbl>
    <w:p>
      <w:pPr>
        <w:spacing w:after="0" w:line="310" w:lineRule="atLeast"/>
        <w:rPr>
          <w:sz w:val="21"/>
        </w:rPr>
        <w:sectPr>
          <w:pgSz w:w="11910" w:h="16840"/>
          <w:pgMar w:header="0" w:footer="896" w:top="1500" w:bottom="1080" w:left="1640" w:right="4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7763"/>
      </w:tblGrid>
      <w:tr>
        <w:trPr>
          <w:trHeight w:val="1935" w:hRule="atLeast"/>
        </w:trPr>
        <w:tc>
          <w:tcPr>
            <w:tcW w:w="1785" w:type="dxa"/>
          </w:tcPr>
          <w:p>
            <w:pPr>
              <w:pStyle w:val="TableParagraph"/>
              <w:spacing w:line="211" w:lineRule="exact"/>
              <w:ind w:left="200"/>
              <w:rPr>
                <w:rFonts w:ascii="楷体" w:eastAsia="楷体" w:hint="eastAsia"/>
                <w:b/>
                <w:sz w:val="21"/>
              </w:rPr>
            </w:pPr>
            <w:r>
              <w:rPr>
                <w:rFonts w:ascii="楷体" w:eastAsia="楷体" w:hint="eastAsia"/>
                <w:b/>
                <w:sz w:val="21"/>
              </w:rPr>
              <w:t>脏病</w:t>
            </w:r>
          </w:p>
        </w:tc>
        <w:tc>
          <w:tcPr>
            <w:tcW w:w="7763" w:type="dxa"/>
          </w:tcPr>
          <w:p>
            <w:pPr>
              <w:pStyle w:val="TableParagraph"/>
              <w:spacing w:line="211" w:lineRule="exact"/>
              <w:rPr>
                <w:sz w:val="21"/>
              </w:rPr>
            </w:pPr>
            <w:r>
              <w:rPr>
                <w:sz w:val="21"/>
              </w:rPr>
              <w:t>（1）左冠状动脉主干和右冠状动脉中，一支血管管腔堵塞 75%以上，另一支血管</w:t>
            </w:r>
          </w:p>
          <w:p>
            <w:pPr>
              <w:pStyle w:val="TableParagraph"/>
              <w:spacing w:before="37"/>
              <w:rPr>
                <w:sz w:val="21"/>
              </w:rPr>
            </w:pPr>
            <w:r>
              <w:rPr>
                <w:sz w:val="21"/>
              </w:rPr>
              <w:t>管腔堵塞 60%以上；</w:t>
            </w:r>
          </w:p>
          <w:p>
            <w:pPr>
              <w:pStyle w:val="TableParagraph"/>
              <w:spacing w:line="273" w:lineRule="auto" w:before="36"/>
              <w:ind w:right="183"/>
              <w:rPr>
                <w:sz w:val="21"/>
              </w:rPr>
            </w:pPr>
            <w:r>
              <w:rPr>
                <w:sz w:val="21"/>
              </w:rPr>
              <w:t>（2）左前降支、左旋支和右冠状动脉中，至少一支血管官腔堵塞 75%以上，其他两支血管官腔堵塞 60%以上。</w:t>
            </w:r>
          </w:p>
          <w:p>
            <w:pPr>
              <w:pStyle w:val="TableParagraph"/>
              <w:spacing w:line="259" w:lineRule="auto"/>
              <w:ind w:right="276"/>
              <w:rPr>
                <w:b/>
                <w:i/>
                <w:sz w:val="22"/>
              </w:rPr>
            </w:pPr>
            <w:r>
              <w:rPr>
                <w:b/>
                <w:i/>
                <w:w w:val="95"/>
                <w:sz w:val="22"/>
              </w:rPr>
              <w:t>左前降支的分支血管、左旋支的分支血管及右冠状动脉的分支血管的狭窄不作为本保障的衡量指标。</w:t>
            </w:r>
          </w:p>
        </w:tc>
      </w:tr>
      <w:tr>
        <w:trPr>
          <w:trHeight w:val="1786" w:hRule="atLeast"/>
        </w:trPr>
        <w:tc>
          <w:tcPr>
            <w:tcW w:w="1785" w:type="dxa"/>
          </w:tcPr>
          <w:p>
            <w:pPr>
              <w:pStyle w:val="TableParagraph"/>
              <w:spacing w:before="98"/>
              <w:ind w:left="200"/>
              <w:rPr>
                <w:rFonts w:ascii="楷体" w:eastAsia="楷体" w:hint="eastAsia"/>
                <w:b/>
                <w:sz w:val="21"/>
              </w:rPr>
            </w:pPr>
            <w:r>
              <w:rPr>
                <w:rFonts w:ascii="楷体" w:eastAsia="楷体" w:hint="eastAsia"/>
                <w:b/>
                <w:sz w:val="21"/>
              </w:rPr>
              <w:t>多发性硬化</w:t>
            </w:r>
          </w:p>
        </w:tc>
        <w:tc>
          <w:tcPr>
            <w:tcW w:w="7763" w:type="dxa"/>
          </w:tcPr>
          <w:p>
            <w:pPr>
              <w:pStyle w:val="TableParagraph"/>
              <w:spacing w:line="273" w:lineRule="auto" w:before="98"/>
              <w:ind w:right="244"/>
              <w:rPr>
                <w:sz w:val="21"/>
              </w:rPr>
            </w:pPr>
            <w:r>
              <w:rPr>
                <w:spacing w:val="-5"/>
                <w:sz w:val="21"/>
              </w:rPr>
              <w:t>被保险人因脑及脊髓内的脱髓鞘病变而出现神经系统多灶性</w:t>
            </w:r>
            <w:r>
              <w:rPr>
                <w:spacing w:val="-3"/>
                <w:sz w:val="21"/>
              </w:rPr>
              <w:t>（</w:t>
            </w:r>
            <w:r>
              <w:rPr>
                <w:spacing w:val="-2"/>
                <w:sz w:val="21"/>
              </w:rPr>
              <w:t>多发性</w:t>
            </w:r>
            <w:r>
              <w:rPr>
                <w:spacing w:val="-53"/>
                <w:sz w:val="21"/>
              </w:rPr>
              <w:t>）</w:t>
            </w:r>
            <w:r>
              <w:rPr>
                <w:spacing w:val="-20"/>
                <w:sz w:val="21"/>
              </w:rPr>
              <w:t>多时相</w:t>
            </w:r>
            <w:r>
              <w:rPr>
                <w:sz w:val="21"/>
              </w:rPr>
              <w:t>（至</w:t>
            </w:r>
            <w:r>
              <w:rPr>
                <w:spacing w:val="-19"/>
                <w:sz w:val="21"/>
              </w:rPr>
              <w:t>少 </w:t>
            </w:r>
            <w:r>
              <w:rPr>
                <w:sz w:val="21"/>
              </w:rPr>
              <w:t>6</w:t>
            </w:r>
            <w:r>
              <w:rPr>
                <w:spacing w:val="-2"/>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73" w:lineRule="auto" w:before="7"/>
              <w:ind w:right="197"/>
              <w:rPr>
                <w:sz w:val="21"/>
              </w:rPr>
            </w:pP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或正电子发射断层扫描</w:t>
            </w:r>
            <w:r>
              <w:rPr>
                <w:spacing w:val="-1"/>
                <w:w w:val="100"/>
                <w:sz w:val="21"/>
              </w:rPr>
              <w:t>（</w:t>
            </w:r>
            <w:r>
              <w:rPr>
                <w:w w:val="100"/>
                <w:sz w:val="21"/>
              </w:rPr>
              <w:t>PE</w:t>
            </w:r>
            <w:r>
              <w:rPr>
                <w:spacing w:val="-2"/>
                <w:w w:val="100"/>
                <w:sz w:val="21"/>
              </w:rPr>
              <w:t>T</w:t>
            </w:r>
            <w:r>
              <w:rPr>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sz w:val="21"/>
              </w:rPr>
              <w:t>180</w:t>
            </w:r>
            <w:r>
              <w:rPr>
                <w:spacing w:val="0"/>
                <w:sz w:val="21"/>
              </w:rPr>
              <w:t> 天。</w:t>
            </w:r>
          </w:p>
        </w:tc>
      </w:tr>
      <w:tr>
        <w:trPr>
          <w:trHeight w:val="3035" w:hRule="atLeast"/>
        </w:trPr>
        <w:tc>
          <w:tcPr>
            <w:tcW w:w="1785" w:type="dxa"/>
          </w:tcPr>
          <w:p>
            <w:pPr>
              <w:pStyle w:val="TableParagraph"/>
              <w:spacing w:line="273" w:lineRule="auto" w:before="101"/>
              <w:ind w:left="200" w:right="104"/>
              <w:rPr>
                <w:rFonts w:ascii="楷体" w:eastAsia="楷体" w:hint="eastAsia"/>
                <w:b/>
                <w:sz w:val="21"/>
              </w:rPr>
            </w:pPr>
            <w:r>
              <w:rPr>
                <w:rFonts w:ascii="楷体" w:eastAsia="楷体" w:hint="eastAsia"/>
                <w:b/>
                <w:sz w:val="21"/>
              </w:rPr>
              <w:t>全身性（型）重症肌无力</w:t>
            </w:r>
          </w:p>
        </w:tc>
        <w:tc>
          <w:tcPr>
            <w:tcW w:w="7763" w:type="dxa"/>
          </w:tcPr>
          <w:p>
            <w:pPr>
              <w:pStyle w:val="TableParagraph"/>
              <w:spacing w:line="273" w:lineRule="auto" w:before="101"/>
              <w:ind w:right="296"/>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本公司认可的神经科医师确诊。其诊断必须同时具有下列情况：</w:t>
            </w:r>
          </w:p>
          <w:p>
            <w:pPr>
              <w:pStyle w:val="TableParagraph"/>
              <w:numPr>
                <w:ilvl w:val="0"/>
                <w:numId w:val="27"/>
              </w:numPr>
              <w:tabs>
                <w:tab w:pos="739" w:val="left" w:leader="none"/>
              </w:tabs>
              <w:spacing w:line="240" w:lineRule="auto" w:before="8" w:after="0"/>
              <w:ind w:left="106" w:right="0" w:firstLine="0"/>
              <w:jc w:val="left"/>
              <w:rPr>
                <w:sz w:val="21"/>
              </w:rPr>
            </w:pPr>
            <w:r>
              <w:rPr>
                <w:spacing w:val="-3"/>
                <w:sz w:val="21"/>
              </w:rPr>
              <w:t>经药物、胸腺手术治疗一年以上无法控制病情，丧失正常工作能力；</w:t>
            </w:r>
          </w:p>
          <w:p>
            <w:pPr>
              <w:pStyle w:val="TableParagraph"/>
              <w:numPr>
                <w:ilvl w:val="0"/>
                <w:numId w:val="27"/>
              </w:numPr>
              <w:tabs>
                <w:tab w:pos="722" w:val="left" w:leader="none"/>
              </w:tabs>
              <w:spacing w:line="273" w:lineRule="auto" w:before="37" w:after="0"/>
              <w:ind w:left="106" w:right="245" w:firstLine="0"/>
              <w:jc w:val="both"/>
              <w:rPr>
                <w:sz w:val="21"/>
              </w:rPr>
            </w:pPr>
            <w:r>
              <w:rPr>
                <w:spacing w:val="-7"/>
                <w:sz w:val="21"/>
              </w:rPr>
              <w:t>出现眼睑下垂，或延髓肌受累引起的构音困难、进食呛咳,或由于肌无力累</w:t>
            </w:r>
            <w:r>
              <w:rPr>
                <w:spacing w:val="-5"/>
                <w:sz w:val="21"/>
              </w:rPr>
              <w:t>及延髓肌、呼吸肌而致机体呼吸功能不正常的危急状态即肌无力危象；</w:t>
            </w:r>
          </w:p>
          <w:p>
            <w:pPr>
              <w:pStyle w:val="TableParagraph"/>
              <w:numPr>
                <w:ilvl w:val="0"/>
                <w:numId w:val="27"/>
              </w:numPr>
              <w:tabs>
                <w:tab w:pos="739" w:val="left" w:leader="none"/>
              </w:tabs>
              <w:spacing w:line="273" w:lineRule="auto" w:before="7" w:after="0"/>
              <w:ind w:left="106" w:right="296" w:firstLine="0"/>
              <w:jc w:val="both"/>
              <w:rPr>
                <w:sz w:val="21"/>
              </w:rPr>
            </w:pPr>
            <w:r>
              <w:rPr>
                <w:spacing w:val="-3"/>
                <w:sz w:val="21"/>
              </w:rPr>
              <w:t>症状缓解、复发及恶化交替出现，临床接受新斯的明等抗胆碱酯酶药物治疗的病史。</w:t>
            </w:r>
          </w:p>
        </w:tc>
      </w:tr>
      <w:tr>
        <w:trPr>
          <w:trHeight w:val="2723" w:hRule="atLeast"/>
        </w:trPr>
        <w:tc>
          <w:tcPr>
            <w:tcW w:w="1785" w:type="dxa"/>
          </w:tcPr>
          <w:p>
            <w:pPr>
              <w:pStyle w:val="TableParagraph"/>
              <w:spacing w:before="99"/>
              <w:ind w:left="200"/>
              <w:rPr>
                <w:rFonts w:ascii="楷体" w:eastAsia="楷体" w:hint="eastAsia"/>
                <w:b/>
                <w:sz w:val="21"/>
              </w:rPr>
            </w:pPr>
            <w:r>
              <w:rPr>
                <w:rFonts w:ascii="楷体" w:eastAsia="楷体" w:hint="eastAsia"/>
                <w:b/>
                <w:sz w:val="21"/>
              </w:rPr>
              <w:t>严重心肌病</w:t>
            </w:r>
          </w:p>
        </w:tc>
        <w:tc>
          <w:tcPr>
            <w:tcW w:w="7763" w:type="dxa"/>
          </w:tcPr>
          <w:p>
            <w:pPr>
              <w:pStyle w:val="TableParagraph"/>
              <w:spacing w:line="273" w:lineRule="auto" w:before="99"/>
              <w:ind w:right="244"/>
              <w:jc w:val="both"/>
              <w:rPr>
                <w:sz w:val="21"/>
              </w:rPr>
            </w:pPr>
            <w:r>
              <w:rPr>
                <w:spacing w:val="-3"/>
                <w:sz w:val="21"/>
              </w:rPr>
              <w:t>指不明原因引起的一类心肌病变，包括原发性扩张型心肌病、原发性肥厚型心肌病及原发性限制型心肌病三种，病变必须已造成事实上心室功能障碍而出现明显</w:t>
            </w:r>
            <w:r>
              <w:rPr>
                <w:spacing w:val="-7"/>
                <w:sz w:val="21"/>
              </w:rPr>
              <w:t>的心功能衰竭</w:t>
            </w:r>
            <w:r>
              <w:rPr>
                <w:spacing w:val="-3"/>
                <w:sz w:val="21"/>
              </w:rPr>
              <w:t>（美国纽约心脏协会心功能分类标准心功能达四级</w:t>
            </w:r>
            <w:r>
              <w:rPr>
                <w:spacing w:val="-68"/>
                <w:sz w:val="21"/>
              </w:rPr>
              <w:t>）</w:t>
            </w:r>
            <w:r>
              <w:rPr>
                <w:spacing w:val="-12"/>
                <w:sz w:val="21"/>
              </w:rPr>
              <w:t>，且有相关住院</w:t>
            </w:r>
            <w:r>
              <w:rPr>
                <w:spacing w:val="-6"/>
                <w:sz w:val="21"/>
              </w:rPr>
              <w:t>医疗记录显示四级心功能衰竭状态持续至少一百八十天。</w:t>
            </w:r>
          </w:p>
          <w:p>
            <w:pPr>
              <w:pStyle w:val="TableParagraph"/>
              <w:spacing w:line="273" w:lineRule="auto" w:before="7"/>
              <w:ind w:right="296"/>
              <w:jc w:val="both"/>
              <w:rPr>
                <w:sz w:val="21"/>
              </w:rPr>
            </w:pPr>
            <w:r>
              <w:rPr>
                <w:sz w:val="21"/>
              </w:rPr>
              <w:t>本病须经专科医生明确诊断。继发于全身性疾病或其它器官系统疾病造成的心肌病变除外。</w:t>
            </w:r>
          </w:p>
          <w:p>
            <w:pPr>
              <w:pStyle w:val="TableParagraph"/>
              <w:spacing w:line="273" w:lineRule="auto" w:before="7"/>
              <w:ind w:right="296"/>
              <w:jc w:val="both"/>
              <w:rPr>
                <w:sz w:val="21"/>
              </w:rPr>
            </w:pPr>
            <w:r>
              <w:rPr>
                <w:sz w:val="21"/>
              </w:rPr>
              <w:t>美国纽约心脏协会分类标准心功能四级是指有医院的医疗记录显示病人不能进行任何活动，休息时仍有心悸、呼吸困难等心力衰竭表现。</w:t>
            </w:r>
          </w:p>
        </w:tc>
      </w:tr>
      <w:tr>
        <w:trPr>
          <w:trHeight w:val="2099" w:hRule="atLeast"/>
        </w:trPr>
        <w:tc>
          <w:tcPr>
            <w:tcW w:w="1785" w:type="dxa"/>
          </w:tcPr>
          <w:p>
            <w:pPr>
              <w:pStyle w:val="TableParagraph"/>
              <w:spacing w:line="273" w:lineRule="auto" w:before="100"/>
              <w:ind w:left="200" w:right="105"/>
              <w:jc w:val="both"/>
              <w:rPr>
                <w:rFonts w:ascii="楷体" w:eastAsia="楷体" w:hint="eastAsia"/>
                <w:b/>
                <w:sz w:val="21"/>
              </w:rPr>
            </w:pPr>
            <w:r>
              <w:rPr>
                <w:rFonts w:ascii="楷体" w:eastAsia="楷体" w:hint="eastAsia"/>
                <w:b/>
                <w:spacing w:val="-33"/>
                <w:sz w:val="21"/>
              </w:rPr>
              <w:t>慢 性 呼 吸 功 能</w:t>
            </w:r>
            <w:r>
              <w:rPr>
                <w:rFonts w:ascii="楷体" w:eastAsia="楷体" w:hint="eastAsia"/>
                <w:b/>
                <w:spacing w:val="-34"/>
                <w:sz w:val="21"/>
              </w:rPr>
              <w:t>衰 竭 终 末 期 肺病</w:t>
            </w:r>
          </w:p>
        </w:tc>
        <w:tc>
          <w:tcPr>
            <w:tcW w:w="7763" w:type="dxa"/>
          </w:tcPr>
          <w:p>
            <w:pPr>
              <w:pStyle w:val="TableParagraph"/>
              <w:spacing w:line="273" w:lineRule="auto" w:before="100"/>
              <w:ind w:right="296"/>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（1）动脉血氧分压（PaO2）&lt;50mmHg；</w:t>
            </w:r>
          </w:p>
          <w:p>
            <w:pPr>
              <w:pStyle w:val="TableParagraph"/>
              <w:spacing w:before="36"/>
              <w:rPr>
                <w:sz w:val="21"/>
              </w:rPr>
            </w:pPr>
            <w:r>
              <w:rPr>
                <w:sz w:val="21"/>
              </w:rPr>
              <w:t>（2）动脉血氧饱和度（Sa O2）&lt;80％；</w:t>
            </w:r>
          </w:p>
          <w:p>
            <w:pPr>
              <w:pStyle w:val="TableParagraph"/>
              <w:spacing w:before="36"/>
              <w:rPr>
                <w:sz w:val="21"/>
              </w:rPr>
            </w:pPr>
            <w:r>
              <w:rPr>
                <w:sz w:val="21"/>
              </w:rPr>
              <w:t>（3）因缺氧必须接受持续的输氧治疗。</w:t>
            </w:r>
          </w:p>
          <w:p>
            <w:pPr>
              <w:pStyle w:val="TableParagraph"/>
              <w:spacing w:before="36"/>
              <w:rPr>
                <w:sz w:val="21"/>
              </w:rPr>
            </w:pPr>
            <w:r>
              <w:rPr>
                <w:sz w:val="21"/>
              </w:rPr>
              <w:t>理赔时必须提供以上三项相应的证明文件或检查报告。</w:t>
            </w:r>
          </w:p>
        </w:tc>
      </w:tr>
      <w:tr>
        <w:trPr>
          <w:trHeight w:val="850" w:hRule="atLeast"/>
        </w:trPr>
        <w:tc>
          <w:tcPr>
            <w:tcW w:w="1785" w:type="dxa"/>
          </w:tcPr>
          <w:p>
            <w:pPr>
              <w:pStyle w:val="TableParagraph"/>
              <w:spacing w:before="99"/>
              <w:ind w:left="200"/>
              <w:rPr>
                <w:rFonts w:ascii="楷体" w:eastAsia="楷体" w:hint="eastAsia"/>
                <w:b/>
                <w:sz w:val="21"/>
              </w:rPr>
            </w:pPr>
            <w:r>
              <w:rPr>
                <w:rFonts w:ascii="楷体" w:eastAsia="楷体" w:hint="eastAsia"/>
                <w:b/>
                <w:sz w:val="21"/>
              </w:rPr>
              <w:t>严重心肌炎</w:t>
            </w:r>
          </w:p>
        </w:tc>
        <w:tc>
          <w:tcPr>
            <w:tcW w:w="7763" w:type="dxa"/>
          </w:tcPr>
          <w:p>
            <w:pPr>
              <w:pStyle w:val="TableParagraph"/>
              <w:spacing w:line="273" w:lineRule="auto" w:before="99"/>
              <w:ind w:right="296"/>
              <w:rPr>
                <w:sz w:val="21"/>
              </w:rPr>
            </w:pPr>
            <w:r>
              <w:rPr>
                <w:sz w:val="21"/>
              </w:rPr>
              <w:t>指心肌局限性或弥漫性的急性或慢性炎症病变，导致心脏功能障碍，达到纽约心脏学会心功能分级状态分级 IV 级，且需持续至少 90 天。</w:t>
            </w:r>
          </w:p>
        </w:tc>
      </w:tr>
      <w:tr>
        <w:trPr>
          <w:trHeight w:val="1623" w:hRule="atLeast"/>
        </w:trPr>
        <w:tc>
          <w:tcPr>
            <w:tcW w:w="1785" w:type="dxa"/>
          </w:tcPr>
          <w:p>
            <w:pPr>
              <w:pStyle w:val="TableParagraph"/>
              <w:spacing w:line="273" w:lineRule="auto" w:before="100"/>
              <w:ind w:left="200" w:right="105"/>
              <w:rPr>
                <w:rFonts w:ascii="楷体" w:eastAsia="楷体" w:hint="eastAsia"/>
                <w:b/>
                <w:sz w:val="21"/>
              </w:rPr>
            </w:pPr>
            <w:r>
              <w:rPr>
                <w:rFonts w:ascii="楷体" w:eastAsia="楷体" w:hint="eastAsia"/>
                <w:b/>
                <w:spacing w:val="-33"/>
                <w:sz w:val="21"/>
              </w:rPr>
              <w:t>肺 淋 巴 管 肌 瘤病</w:t>
            </w:r>
          </w:p>
        </w:tc>
        <w:tc>
          <w:tcPr>
            <w:tcW w:w="7763" w:type="dxa"/>
          </w:tcPr>
          <w:p>
            <w:pPr>
              <w:pStyle w:val="TableParagraph"/>
              <w:spacing w:line="273" w:lineRule="auto" w:before="100"/>
              <w:ind w:right="296"/>
              <w:rPr>
                <w:sz w:val="21"/>
              </w:rPr>
            </w:pPr>
            <w:r>
              <w:rPr>
                <w:sz w:val="21"/>
              </w:rPr>
              <w:t>肺淋巴管肌瘤病是一种弥漫性肺部疾病，主要病理改变为肺间质、支气管、血管和淋巴管内出现未成熟的平滑肌异常增生，同时需满足下列全部条件：</w:t>
            </w:r>
          </w:p>
          <w:p>
            <w:pPr>
              <w:pStyle w:val="TableParagraph"/>
              <w:spacing w:before="7"/>
              <w:rPr>
                <w:sz w:val="21"/>
              </w:rPr>
            </w:pPr>
            <w:r>
              <w:rPr>
                <w:sz w:val="21"/>
              </w:rPr>
              <w:t>(1）经组织病理学诊断；</w:t>
            </w:r>
          </w:p>
          <w:p>
            <w:pPr>
              <w:pStyle w:val="TableParagraph"/>
              <w:spacing w:before="37"/>
              <w:rPr>
                <w:sz w:val="21"/>
              </w:rPr>
            </w:pPr>
            <w:r>
              <w:rPr>
                <w:sz w:val="21"/>
              </w:rPr>
              <w:t>(2）CT 显示双肺弥漫性囊性改变；</w:t>
            </w:r>
          </w:p>
          <w:p>
            <w:pPr>
              <w:pStyle w:val="TableParagraph"/>
              <w:spacing w:line="255" w:lineRule="exact" w:before="36"/>
              <w:rPr>
                <w:sz w:val="21"/>
              </w:rPr>
            </w:pPr>
            <w:r>
              <w:rPr>
                <w:sz w:val="21"/>
              </w:rPr>
              <w:t>(3）休息时出现呼吸困难或并经本公司认可医院的专科医生认可有必要进行肺移</w:t>
            </w:r>
          </w:p>
        </w:tc>
      </w:tr>
    </w:tbl>
    <w:p>
      <w:pPr>
        <w:spacing w:after="0" w:line="255" w:lineRule="exact"/>
        <w:rPr>
          <w:sz w:val="21"/>
        </w:rPr>
        <w:sectPr>
          <w:pgSz w:w="11910" w:h="16840"/>
          <w:pgMar w:header="0" w:footer="896" w:top="1280" w:bottom="1080" w:left="1640" w:right="5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7821"/>
      </w:tblGrid>
      <w:tr>
        <w:trPr>
          <w:trHeight w:val="374" w:hRule="atLeast"/>
        </w:trPr>
        <w:tc>
          <w:tcPr>
            <w:tcW w:w="1785" w:type="dxa"/>
          </w:tcPr>
          <w:p>
            <w:pPr>
              <w:pStyle w:val="TableParagraph"/>
              <w:ind w:left="0"/>
              <w:rPr>
                <w:rFonts w:ascii="Times New Roman"/>
                <w:sz w:val="20"/>
              </w:rPr>
            </w:pPr>
          </w:p>
        </w:tc>
        <w:tc>
          <w:tcPr>
            <w:tcW w:w="7821" w:type="dxa"/>
          </w:tcPr>
          <w:p>
            <w:pPr>
              <w:pStyle w:val="TableParagraph"/>
              <w:spacing w:line="211" w:lineRule="exact"/>
              <w:rPr>
                <w:sz w:val="21"/>
              </w:rPr>
            </w:pPr>
            <w:r>
              <w:rPr>
                <w:sz w:val="21"/>
              </w:rPr>
              <w:t>植手术.</w:t>
            </w:r>
          </w:p>
        </w:tc>
      </w:tr>
      <w:tr>
        <w:trPr>
          <w:trHeight w:val="1162" w:hRule="atLeast"/>
        </w:trPr>
        <w:tc>
          <w:tcPr>
            <w:tcW w:w="1785" w:type="dxa"/>
          </w:tcPr>
          <w:p>
            <w:pPr>
              <w:pStyle w:val="TableParagraph"/>
              <w:spacing w:before="99"/>
              <w:ind w:left="200"/>
              <w:rPr>
                <w:rFonts w:ascii="楷体" w:eastAsia="楷体" w:hint="eastAsia"/>
                <w:b/>
                <w:sz w:val="21"/>
              </w:rPr>
            </w:pPr>
            <w:r>
              <w:rPr>
                <w:rFonts w:ascii="楷体" w:eastAsia="楷体" w:hint="eastAsia"/>
                <w:b/>
                <w:spacing w:val="-33"/>
                <w:sz w:val="21"/>
              </w:rPr>
              <w:t>侵 蚀 性 葡 萄 胎</w:t>
            </w:r>
          </w:p>
          <w:p>
            <w:pPr>
              <w:pStyle w:val="TableParagraph"/>
              <w:spacing w:line="273" w:lineRule="auto" w:before="36"/>
              <w:ind w:left="200" w:right="105"/>
              <w:rPr>
                <w:rFonts w:ascii="楷体" w:eastAsia="楷体" w:hint="eastAsia"/>
                <w:b/>
                <w:sz w:val="21"/>
              </w:rPr>
            </w:pPr>
            <w:r>
              <w:rPr>
                <w:rFonts w:ascii="楷体" w:eastAsia="楷体" w:hint="eastAsia"/>
                <w:b/>
                <w:sz w:val="21"/>
              </w:rPr>
              <w:t>（</w:t>
            </w:r>
            <w:r>
              <w:rPr>
                <w:rFonts w:ascii="楷体" w:eastAsia="楷体" w:hint="eastAsia"/>
                <w:b/>
                <w:spacing w:val="-36"/>
                <w:sz w:val="21"/>
              </w:rPr>
              <w:t> 或 称 恶 性 葡萄胎）</w:t>
            </w:r>
          </w:p>
        </w:tc>
        <w:tc>
          <w:tcPr>
            <w:tcW w:w="7821" w:type="dxa"/>
          </w:tcPr>
          <w:p>
            <w:pPr>
              <w:pStyle w:val="TableParagraph"/>
              <w:spacing w:line="273" w:lineRule="auto" w:before="99"/>
              <w:ind w:right="354"/>
              <w:rPr>
                <w:sz w:val="21"/>
              </w:rPr>
            </w:pPr>
            <w:r>
              <w:rPr>
                <w:sz w:val="21"/>
              </w:rPr>
              <w:t>该类疾病是指异常增生的绒毛组织浸润性生长浸入子宫肌层或转移至其他器官或组织的葡萄胎，并已经进行化疗或手术治疗的。</w:t>
            </w:r>
          </w:p>
        </w:tc>
      </w:tr>
      <w:tr>
        <w:trPr>
          <w:trHeight w:val="1787" w:hRule="atLeast"/>
        </w:trPr>
        <w:tc>
          <w:tcPr>
            <w:tcW w:w="1785" w:type="dxa"/>
          </w:tcPr>
          <w:p>
            <w:pPr>
              <w:pStyle w:val="TableParagraph"/>
              <w:spacing w:line="273" w:lineRule="auto" w:before="100"/>
              <w:ind w:left="200" w:right="105"/>
              <w:rPr>
                <w:rFonts w:ascii="楷体" w:hAnsi="楷体" w:eastAsia="楷体" w:hint="eastAsia"/>
                <w:b/>
                <w:sz w:val="21"/>
              </w:rPr>
            </w:pPr>
            <w:r>
              <w:rPr>
                <w:rFonts w:ascii="楷体" w:hAnsi="楷体" w:eastAsia="楷体" w:hint="eastAsia"/>
                <w:b/>
                <w:spacing w:val="-33"/>
                <w:sz w:val="21"/>
              </w:rPr>
              <w:t>Ⅲ 度 房 室 传 导阻滞</w:t>
            </w:r>
          </w:p>
        </w:tc>
        <w:tc>
          <w:tcPr>
            <w:tcW w:w="7821" w:type="dxa"/>
          </w:tcPr>
          <w:p>
            <w:pPr>
              <w:pStyle w:val="TableParagraph"/>
              <w:spacing w:line="273" w:lineRule="auto" w:before="100"/>
              <w:ind w:right="354"/>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(1)心电图显示房室搏动彼此独立，心室率&lt;50 次/分钟；</w:t>
            </w:r>
          </w:p>
          <w:p>
            <w:pPr>
              <w:pStyle w:val="TableParagraph"/>
              <w:spacing w:before="37"/>
              <w:rPr>
                <w:sz w:val="21"/>
              </w:rPr>
            </w:pPr>
            <w:r>
              <w:rPr>
                <w:sz w:val="21"/>
              </w:rPr>
              <w:t>(2)出现阿-斯综合征或心力衰竭的表现；</w:t>
            </w:r>
          </w:p>
          <w:p>
            <w:pPr>
              <w:pStyle w:val="TableParagraph"/>
              <w:spacing w:before="37"/>
              <w:rPr>
                <w:sz w:val="21"/>
              </w:rPr>
            </w:pPr>
            <w:r>
              <w:rPr>
                <w:sz w:val="21"/>
              </w:rPr>
              <w:t>(3)必须持续性依赖心脏起搏器维持心脏正常功能，且已经放置心脏起搏器。</w:t>
            </w:r>
          </w:p>
        </w:tc>
      </w:tr>
      <w:tr>
        <w:trPr>
          <w:trHeight w:val="3659" w:hRule="atLeast"/>
        </w:trPr>
        <w:tc>
          <w:tcPr>
            <w:tcW w:w="1785" w:type="dxa"/>
          </w:tcPr>
          <w:p>
            <w:pPr>
              <w:pStyle w:val="TableParagraph"/>
              <w:spacing w:line="273" w:lineRule="auto" w:before="99"/>
              <w:ind w:left="200" w:right="105"/>
              <w:rPr>
                <w:rFonts w:ascii="楷体" w:eastAsia="楷体" w:hint="eastAsia"/>
                <w:b/>
                <w:sz w:val="21"/>
              </w:rPr>
            </w:pPr>
            <w:r>
              <w:rPr>
                <w:rFonts w:ascii="楷体" w:eastAsia="楷体" w:hint="eastAsia"/>
                <w:b/>
                <w:spacing w:val="-33"/>
                <w:sz w:val="21"/>
              </w:rPr>
              <w:t>感 染 性 心 内 膜炎</w:t>
            </w:r>
          </w:p>
        </w:tc>
        <w:tc>
          <w:tcPr>
            <w:tcW w:w="7821" w:type="dxa"/>
          </w:tcPr>
          <w:p>
            <w:pPr>
              <w:pStyle w:val="TableParagraph"/>
              <w:spacing w:line="273" w:lineRule="auto" w:before="99"/>
              <w:ind w:right="354"/>
              <w:jc w:val="both"/>
              <w:rPr>
                <w:sz w:val="21"/>
              </w:rPr>
            </w:pPr>
            <w:r>
              <w:rPr>
                <w:sz w:val="21"/>
              </w:rPr>
              <w:t>指因细菌、真菌和其他微生物（如病毒、立克次体、衣原体、螺旋体等）直接感染而产生心瓣膜或心室壁内膜的炎症，须经心脏专科医生确诊，并符合以下所有条件：</w:t>
            </w:r>
          </w:p>
          <w:p>
            <w:pPr>
              <w:pStyle w:val="TableParagraph"/>
              <w:spacing w:before="7"/>
              <w:jc w:val="both"/>
              <w:rPr>
                <w:sz w:val="21"/>
              </w:rPr>
            </w:pPr>
            <w:r>
              <w:rPr>
                <w:sz w:val="21"/>
              </w:rPr>
              <w:t>（1）血液培养测试结果为阳性，并至少符合以下条件之一：</w:t>
            </w:r>
          </w:p>
          <w:p>
            <w:pPr>
              <w:pStyle w:val="TableParagraph"/>
              <w:numPr>
                <w:ilvl w:val="1"/>
                <w:numId w:val="28"/>
              </w:numPr>
              <w:tabs>
                <w:tab w:pos="478" w:val="left" w:leader="none"/>
              </w:tabs>
              <w:spacing w:line="240" w:lineRule="auto" w:before="37" w:after="0"/>
              <w:ind w:left="477" w:right="0" w:hanging="371"/>
              <w:jc w:val="both"/>
              <w:rPr>
                <w:sz w:val="21"/>
              </w:rPr>
            </w:pPr>
            <w:r>
              <w:rPr>
                <w:spacing w:val="-17"/>
                <w:sz w:val="21"/>
              </w:rPr>
              <w:t>微生物：在赘生物，栓塞的赘生物或心脏内脓肿培养或组织检查证实有微生物；</w:t>
            </w:r>
          </w:p>
          <w:p>
            <w:pPr>
              <w:pStyle w:val="TableParagraph"/>
              <w:numPr>
                <w:ilvl w:val="1"/>
                <w:numId w:val="28"/>
              </w:numPr>
              <w:tabs>
                <w:tab w:pos="478" w:val="left" w:leader="none"/>
              </w:tabs>
              <w:spacing w:line="240" w:lineRule="auto" w:before="37" w:after="0"/>
              <w:ind w:left="477" w:right="0" w:hanging="371"/>
              <w:jc w:val="both"/>
              <w:rPr>
                <w:sz w:val="21"/>
              </w:rPr>
            </w:pPr>
            <w:r>
              <w:rPr>
                <w:spacing w:val="-3"/>
                <w:sz w:val="21"/>
              </w:rPr>
              <w:t>病理性病灶：组织检查证实赘生物或心脏内脓肿有活动性心内膜炎；</w:t>
            </w:r>
          </w:p>
          <w:p>
            <w:pPr>
              <w:pStyle w:val="TableParagraph"/>
              <w:numPr>
                <w:ilvl w:val="1"/>
                <w:numId w:val="28"/>
              </w:numPr>
              <w:tabs>
                <w:tab w:pos="478" w:val="left" w:leader="none"/>
              </w:tabs>
              <w:spacing w:line="240" w:lineRule="auto" w:before="37" w:after="0"/>
              <w:ind w:left="477" w:right="0" w:hanging="371"/>
              <w:jc w:val="both"/>
              <w:rPr>
                <w:sz w:val="21"/>
              </w:rPr>
            </w:pPr>
            <w:r>
              <w:rPr>
                <w:spacing w:val="-3"/>
                <w:sz w:val="21"/>
              </w:rPr>
              <w:t>分别两次血液培养证实有典型的微生物且与心内膜炎符合；</w:t>
            </w:r>
          </w:p>
          <w:p>
            <w:pPr>
              <w:pStyle w:val="TableParagraph"/>
              <w:numPr>
                <w:ilvl w:val="1"/>
                <w:numId w:val="28"/>
              </w:numPr>
              <w:tabs>
                <w:tab w:pos="478" w:val="left" w:leader="none"/>
              </w:tabs>
              <w:spacing w:line="240" w:lineRule="auto" w:before="37" w:after="0"/>
              <w:ind w:left="477" w:right="0" w:hanging="371"/>
              <w:jc w:val="both"/>
              <w:rPr>
                <w:sz w:val="21"/>
              </w:rPr>
            </w:pPr>
            <w:r>
              <w:rPr>
                <w:spacing w:val="-3"/>
                <w:sz w:val="21"/>
              </w:rPr>
              <w:t>持续血液培养证实有微生物阳性反应，且与心内膜炎符合。</w:t>
            </w:r>
          </w:p>
          <w:p>
            <w:pPr>
              <w:pStyle w:val="TableParagraph"/>
              <w:spacing w:line="273" w:lineRule="auto" w:before="37"/>
              <w:ind w:right="303"/>
              <w:rPr>
                <w:sz w:val="21"/>
              </w:rPr>
            </w:pPr>
            <w:r>
              <w:rPr>
                <w:sz w:val="21"/>
              </w:rPr>
              <w:t>（2）</w:t>
            </w:r>
            <w:r>
              <w:rPr>
                <w:spacing w:val="-3"/>
                <w:sz w:val="21"/>
              </w:rPr>
              <w:t>心内膜炎引起中度心瓣膜关闭不全（</w:t>
            </w:r>
            <w:r>
              <w:rPr>
                <w:spacing w:val="-7"/>
                <w:sz w:val="21"/>
              </w:rPr>
              <w:t>指返流指数 </w:t>
            </w:r>
            <w:r>
              <w:rPr>
                <w:sz w:val="21"/>
              </w:rPr>
              <w:t>20</w:t>
            </w:r>
            <w:r>
              <w:rPr>
                <w:spacing w:val="-1"/>
                <w:sz w:val="21"/>
              </w:rPr>
              <w:t>%或以上</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p>
          <w:p>
            <w:pPr>
              <w:pStyle w:val="TableParagraph"/>
              <w:spacing w:before="7"/>
              <w:jc w:val="both"/>
              <w:rPr>
                <w:sz w:val="21"/>
              </w:rPr>
            </w:pPr>
            <w:r>
              <w:rPr>
                <w:sz w:val="21"/>
              </w:rPr>
              <w:t>（3）心内膜炎及心瓣膜损毁程度需经由心脏专科医生确诊。</w:t>
            </w:r>
          </w:p>
        </w:tc>
      </w:tr>
      <w:tr>
        <w:trPr>
          <w:trHeight w:val="1162" w:hRule="atLeast"/>
        </w:trPr>
        <w:tc>
          <w:tcPr>
            <w:tcW w:w="1785" w:type="dxa"/>
          </w:tcPr>
          <w:p>
            <w:pPr>
              <w:pStyle w:val="TableParagraph"/>
              <w:spacing w:before="101"/>
              <w:ind w:left="200"/>
              <w:rPr>
                <w:rFonts w:ascii="楷体" w:eastAsia="楷体" w:hint="eastAsia"/>
                <w:b/>
                <w:sz w:val="21"/>
              </w:rPr>
            </w:pPr>
            <w:r>
              <w:rPr>
                <w:rFonts w:ascii="楷体" w:eastAsia="楷体" w:hint="eastAsia"/>
                <w:b/>
                <w:sz w:val="21"/>
              </w:rPr>
              <w:t>肝豆状核变性</w:t>
            </w:r>
          </w:p>
        </w:tc>
        <w:tc>
          <w:tcPr>
            <w:tcW w:w="7821" w:type="dxa"/>
          </w:tcPr>
          <w:p>
            <w:pPr>
              <w:pStyle w:val="TableParagraph"/>
              <w:spacing w:line="273" w:lineRule="auto" w:before="101"/>
              <w:ind w:right="354"/>
              <w:jc w:val="both"/>
              <w:rPr>
                <w:sz w:val="21"/>
              </w:rPr>
            </w:pPr>
            <w:r>
              <w:rPr>
                <w:sz w:val="21"/>
              </w:rPr>
              <w:t>肝豆状核变性是一种可能危及生命的铜代谢疾病，以铜沉积造成的渐进性肝功能损害及╱或神经功能恶化为特征。必须由本公司认可医院的专科注册医生通过肝脏活组织检查结果确定诊断并配合螯合剂治疗持续至少 6 个月。</w:t>
            </w:r>
          </w:p>
        </w:tc>
      </w:tr>
      <w:tr>
        <w:trPr>
          <w:trHeight w:val="2723" w:hRule="atLeast"/>
        </w:trPr>
        <w:tc>
          <w:tcPr>
            <w:tcW w:w="1785" w:type="dxa"/>
          </w:tcPr>
          <w:p>
            <w:pPr>
              <w:pStyle w:val="TableParagraph"/>
              <w:spacing w:before="99"/>
              <w:ind w:left="200"/>
              <w:rPr>
                <w:rFonts w:ascii="楷体" w:eastAsia="楷体" w:hint="eastAsia"/>
                <w:b/>
                <w:sz w:val="21"/>
              </w:rPr>
            </w:pPr>
            <w:r>
              <w:rPr>
                <w:rFonts w:ascii="楷体" w:eastAsia="楷体" w:hint="eastAsia"/>
                <w:b/>
                <w:sz w:val="21"/>
              </w:rPr>
              <w:t>肺源性心脏病</w:t>
            </w:r>
          </w:p>
        </w:tc>
        <w:tc>
          <w:tcPr>
            <w:tcW w:w="7821" w:type="dxa"/>
          </w:tcPr>
          <w:p>
            <w:pPr>
              <w:pStyle w:val="TableParagraph"/>
              <w:spacing w:line="273" w:lineRule="auto" w:before="99"/>
              <w:ind w:right="354"/>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7"/>
              <w:rPr>
                <w:sz w:val="21"/>
              </w:rPr>
            </w:pPr>
            <w:r>
              <w:rPr>
                <w:w w:val="100"/>
                <w:sz w:val="21"/>
              </w:rPr>
              <w:t>（1</w:t>
            </w:r>
            <w:r>
              <w:rPr>
                <w:spacing w:val="-3"/>
                <w:w w:val="100"/>
                <w:sz w:val="21"/>
              </w:rPr>
              <w:t>）左心房压力增高（</w:t>
            </w:r>
            <w:r>
              <w:rPr>
                <w:spacing w:val="-2"/>
                <w:w w:val="100"/>
                <w:sz w:val="21"/>
              </w:rPr>
              <w:t>不低于</w:t>
            </w:r>
            <w:r>
              <w:rPr>
                <w:spacing w:val="-53"/>
                <w:sz w:val="21"/>
              </w:rPr>
              <w:t> </w:t>
            </w:r>
            <w:r>
              <w:rPr>
                <w:spacing w:val="-3"/>
                <w:w w:val="100"/>
                <w:sz w:val="21"/>
              </w:rPr>
              <w:t>2</w:t>
            </w:r>
            <w:r>
              <w:rPr>
                <w:w w:val="100"/>
                <w:sz w:val="21"/>
              </w:rPr>
              <w:t>0</w:t>
            </w:r>
            <w:r>
              <w:rPr>
                <w:spacing w:val="-53"/>
                <w:sz w:val="21"/>
              </w:rPr>
              <w:t> </w:t>
            </w:r>
            <w:r>
              <w:rPr>
                <w:spacing w:val="-2"/>
                <w:w w:val="100"/>
                <w:sz w:val="21"/>
              </w:rPr>
              <w:t>个单位</w:t>
            </w:r>
            <w:r>
              <w:rPr>
                <w:spacing w:val="-108"/>
                <w:w w:val="100"/>
                <w:sz w:val="21"/>
              </w:rPr>
              <w:t>）</w:t>
            </w:r>
            <w:r>
              <w:rPr>
                <w:w w:val="100"/>
                <w:sz w:val="21"/>
              </w:rPr>
              <w:t>；</w:t>
            </w:r>
          </w:p>
          <w:p>
            <w:pPr>
              <w:pStyle w:val="TableParagraph"/>
              <w:spacing w:before="37"/>
              <w:rPr>
                <w:sz w:val="21"/>
              </w:rPr>
            </w:pPr>
            <w:r>
              <w:rPr>
                <w:w w:val="100"/>
                <w:sz w:val="21"/>
              </w:rPr>
              <w:t>（2</w:t>
            </w:r>
            <w:r>
              <w:rPr>
                <w:spacing w:val="-3"/>
                <w:w w:val="100"/>
                <w:sz w:val="21"/>
              </w:rPr>
              <w:t>）肺血管阻力高于正常值</w:t>
            </w:r>
            <w:r>
              <w:rPr>
                <w:spacing w:val="-53"/>
                <w:sz w:val="21"/>
              </w:rPr>
              <w:t> </w:t>
            </w:r>
            <w:r>
              <w:rPr>
                <w:w w:val="100"/>
                <w:sz w:val="21"/>
              </w:rPr>
              <w:t>3</w:t>
            </w:r>
            <w:r>
              <w:rPr>
                <w:spacing w:val="-52"/>
                <w:sz w:val="21"/>
              </w:rPr>
              <w:t> </w:t>
            </w:r>
            <w:r>
              <w:rPr>
                <w:spacing w:val="-3"/>
                <w:w w:val="100"/>
                <w:sz w:val="21"/>
              </w:rPr>
              <w:t>个单位</w:t>
            </w:r>
            <w:r>
              <w:rPr>
                <w:spacing w:val="-1"/>
                <w:w w:val="100"/>
                <w:sz w:val="21"/>
              </w:rPr>
              <w:t>（</w:t>
            </w:r>
            <w:r>
              <w:rPr>
                <w:w w:val="100"/>
                <w:sz w:val="21"/>
              </w:rPr>
              <w:t>P</w:t>
            </w:r>
            <w:r>
              <w:rPr>
                <w:spacing w:val="-3"/>
                <w:w w:val="100"/>
                <w:sz w:val="21"/>
              </w:rPr>
              <w:t>u</w:t>
            </w:r>
            <w:r>
              <w:rPr>
                <w:w w:val="100"/>
                <w:sz w:val="21"/>
              </w:rPr>
              <w:t>lmo</w:t>
            </w:r>
            <w:r>
              <w:rPr>
                <w:spacing w:val="-3"/>
                <w:w w:val="100"/>
                <w:sz w:val="21"/>
              </w:rPr>
              <w:t>n</w:t>
            </w:r>
            <w:r>
              <w:rPr>
                <w:w w:val="100"/>
                <w:sz w:val="21"/>
              </w:rPr>
              <w:t>ary</w:t>
            </w:r>
            <w:r>
              <w:rPr>
                <w:spacing w:val="-2"/>
                <w:sz w:val="21"/>
              </w:rPr>
              <w:t> </w:t>
            </w:r>
            <w:r>
              <w:rPr>
                <w:spacing w:val="-3"/>
                <w:w w:val="100"/>
                <w:sz w:val="21"/>
              </w:rPr>
              <w:t>R</w:t>
            </w:r>
            <w:r>
              <w:rPr>
                <w:w w:val="100"/>
                <w:sz w:val="21"/>
              </w:rPr>
              <w:t>esist</w:t>
            </w:r>
            <w:r>
              <w:rPr>
                <w:spacing w:val="-3"/>
                <w:w w:val="100"/>
                <w:sz w:val="21"/>
              </w:rPr>
              <w:t>a</w:t>
            </w:r>
            <w:r>
              <w:rPr>
                <w:w w:val="100"/>
                <w:sz w:val="21"/>
              </w:rPr>
              <w:t>nce</w:t>
            </w:r>
            <w:r>
              <w:rPr>
                <w:spacing w:val="-108"/>
                <w:w w:val="100"/>
                <w:sz w:val="21"/>
              </w:rPr>
              <w:t>）；</w:t>
            </w:r>
          </w:p>
          <w:p>
            <w:pPr>
              <w:pStyle w:val="TableParagraph"/>
              <w:spacing w:before="37"/>
              <w:rPr>
                <w:sz w:val="21"/>
              </w:rPr>
            </w:pPr>
            <w:r>
              <w:rPr>
                <w:sz w:val="21"/>
              </w:rPr>
              <w:t>（3）肺动脉血压不低于 40 毫米汞柱；</w:t>
            </w:r>
          </w:p>
          <w:p>
            <w:pPr>
              <w:pStyle w:val="TableParagraph"/>
              <w:spacing w:before="37"/>
              <w:rPr>
                <w:sz w:val="21"/>
              </w:rPr>
            </w:pPr>
            <w:r>
              <w:rPr>
                <w:sz w:val="21"/>
              </w:rPr>
              <w:t>（4）肺动脉楔压不低于 6 毫米汞柱；</w:t>
            </w:r>
          </w:p>
          <w:p>
            <w:pPr>
              <w:pStyle w:val="TableParagraph"/>
              <w:spacing w:before="38"/>
              <w:rPr>
                <w:sz w:val="21"/>
              </w:rPr>
            </w:pPr>
            <w:r>
              <w:rPr>
                <w:sz w:val="21"/>
              </w:rPr>
              <w:t>（5）右心室心脏舒张期末压力不低于 8 毫米汞柱；</w:t>
            </w:r>
          </w:p>
          <w:p>
            <w:pPr>
              <w:pStyle w:val="TableParagraph"/>
              <w:spacing w:before="37"/>
              <w:rPr>
                <w:sz w:val="21"/>
              </w:rPr>
            </w:pPr>
            <w:r>
              <w:rPr>
                <w:sz w:val="21"/>
              </w:rPr>
              <w:t>（6）右心室过度肥大、扩张，出现右心衰竭和呼吸困难。</w:t>
            </w:r>
          </w:p>
        </w:tc>
      </w:tr>
      <w:tr>
        <w:trPr>
          <w:trHeight w:val="2099" w:hRule="atLeast"/>
        </w:trPr>
        <w:tc>
          <w:tcPr>
            <w:tcW w:w="1785" w:type="dxa"/>
          </w:tcPr>
          <w:p>
            <w:pPr>
              <w:pStyle w:val="TableParagraph"/>
              <w:spacing w:before="100"/>
              <w:ind w:left="200"/>
              <w:rPr>
                <w:rFonts w:ascii="楷体" w:eastAsia="楷体" w:hint="eastAsia"/>
                <w:b/>
                <w:sz w:val="21"/>
              </w:rPr>
            </w:pPr>
            <w:r>
              <w:rPr>
                <w:rFonts w:ascii="楷体" w:eastAsia="楷体" w:hint="eastAsia"/>
                <w:b/>
                <w:sz w:val="21"/>
              </w:rPr>
              <w:t>肾髓质囊性病</w:t>
            </w:r>
          </w:p>
        </w:tc>
        <w:tc>
          <w:tcPr>
            <w:tcW w:w="7821" w:type="dxa"/>
          </w:tcPr>
          <w:p>
            <w:pPr>
              <w:pStyle w:val="TableParagraph"/>
              <w:spacing w:before="100"/>
              <w:rPr>
                <w:sz w:val="21"/>
              </w:rPr>
            </w:pPr>
            <w:r>
              <w:rPr>
                <w:sz w:val="21"/>
              </w:rPr>
              <w:t>肾髓质囊性病的诊断须同时符合下列要求：</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（2）肾功能衰竭；</w:t>
            </w:r>
          </w:p>
          <w:p>
            <w:pPr>
              <w:pStyle w:val="TableParagraph"/>
              <w:spacing w:before="36"/>
              <w:rPr>
                <w:sz w:val="21"/>
              </w:rPr>
            </w:pPr>
            <w:r>
              <w:rPr>
                <w:sz w:val="21"/>
              </w:rPr>
              <w:t>（3）诊断须由肾组织活检确定。</w:t>
            </w:r>
          </w:p>
          <w:p>
            <w:pPr>
              <w:pStyle w:val="TableParagraph"/>
              <w:spacing w:line="273" w:lineRule="auto" w:before="36"/>
              <w:ind w:right="354"/>
              <w:rPr>
                <w:sz w:val="21"/>
              </w:rPr>
            </w:pPr>
            <w:r>
              <w:rPr>
                <w:sz w:val="21"/>
              </w:rPr>
              <w:t>我们承担本项疾病责任不受本附加合同第八条“责任免除”中“遗传性疾病，先天性畸形、变形或染色体异常”的限制。</w:t>
            </w:r>
          </w:p>
        </w:tc>
      </w:tr>
      <w:tr>
        <w:trPr>
          <w:trHeight w:val="1313" w:hRule="atLeast"/>
        </w:trPr>
        <w:tc>
          <w:tcPr>
            <w:tcW w:w="1785" w:type="dxa"/>
          </w:tcPr>
          <w:p>
            <w:pPr>
              <w:pStyle w:val="TableParagraph"/>
              <w:spacing w:line="273" w:lineRule="auto" w:before="100"/>
              <w:ind w:left="200" w:right="105"/>
              <w:rPr>
                <w:rFonts w:ascii="楷体" w:eastAsia="楷体" w:hint="eastAsia"/>
                <w:b/>
                <w:sz w:val="21"/>
              </w:rPr>
            </w:pPr>
            <w:r>
              <w:rPr>
                <w:rFonts w:ascii="楷体" w:eastAsia="楷体" w:hint="eastAsia"/>
                <w:b/>
                <w:spacing w:val="-33"/>
                <w:sz w:val="21"/>
              </w:rPr>
              <w:t>严 重 继 发 性 肺动脉高压</w:t>
            </w:r>
          </w:p>
        </w:tc>
        <w:tc>
          <w:tcPr>
            <w:tcW w:w="7821" w:type="dxa"/>
          </w:tcPr>
          <w:p>
            <w:pPr>
              <w:pStyle w:val="TableParagraph"/>
              <w:spacing w:line="273" w:lineRule="auto" w:before="100"/>
              <w:ind w:right="301"/>
              <w:jc w:val="both"/>
              <w:rPr>
                <w:sz w:val="21"/>
              </w:rPr>
            </w:pPr>
            <w:r>
              <w:rPr>
                <w:spacing w:val="-3"/>
                <w:sz w:val="21"/>
              </w:rPr>
              <w:t>继发性肺动脉压力持续增高，导致右心室肥厚，已经造成永久不可逆性的体力活</w:t>
            </w:r>
            <w:r>
              <w:rPr>
                <w:spacing w:val="-9"/>
                <w:sz w:val="21"/>
              </w:rPr>
              <w:t>动能力受限，达到美国纽约心脏病学会心功能状态分级 </w:t>
            </w:r>
            <w:r>
              <w:rPr>
                <w:sz w:val="21"/>
              </w:rPr>
              <w:t>IV</w:t>
            </w:r>
            <w:r>
              <w:rPr>
                <w:spacing w:val="-10"/>
                <w:sz w:val="21"/>
              </w:rPr>
              <w:t> 级。诊断需要由心脏科</w:t>
            </w:r>
            <w:r>
              <w:rPr>
                <w:spacing w:val="-6"/>
                <w:sz w:val="21"/>
              </w:rPr>
              <w:t>专家确诊，并且心导管检查报告显示静息状态下肺动脉平均压超过 </w:t>
            </w:r>
            <w:r>
              <w:rPr>
                <w:sz w:val="21"/>
              </w:rPr>
              <w:t>30mmHg。</w:t>
            </w:r>
          </w:p>
          <w:p>
            <w:pPr>
              <w:pStyle w:val="TableParagraph"/>
              <w:spacing w:line="264" w:lineRule="exact"/>
              <w:jc w:val="both"/>
              <w:rPr>
                <w:b/>
                <w:i/>
                <w:sz w:val="22"/>
              </w:rPr>
            </w:pPr>
            <w:r>
              <w:rPr>
                <w:b/>
                <w:i/>
                <w:w w:val="95"/>
                <w:sz w:val="22"/>
              </w:rPr>
              <w:t>所有先天性心脏疾病直接或间接引起的肺动脉高压也不在保障责任范围内。</w:t>
            </w:r>
          </w:p>
        </w:tc>
      </w:tr>
    </w:tbl>
    <w:p>
      <w:pPr>
        <w:spacing w:after="0" w:line="264" w:lineRule="exact"/>
        <w:jc w:val="both"/>
        <w:rPr>
          <w:sz w:val="22"/>
        </w:rPr>
        <w:sectPr>
          <w:pgSz w:w="11910" w:h="16840"/>
          <w:pgMar w:header="0" w:footer="896" w:top="1280" w:bottom="1080" w:left="1640" w:right="4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5"/>
        <w:gridCol w:w="7823"/>
      </w:tblGrid>
      <w:tr>
        <w:trPr>
          <w:trHeight w:val="1623" w:hRule="atLeast"/>
        </w:trPr>
        <w:tc>
          <w:tcPr>
            <w:tcW w:w="1785" w:type="dxa"/>
          </w:tcPr>
          <w:p>
            <w:pPr>
              <w:pStyle w:val="TableParagraph"/>
              <w:spacing w:line="211" w:lineRule="exact"/>
              <w:ind w:left="200"/>
              <w:rPr>
                <w:rFonts w:ascii="楷体" w:eastAsia="楷体" w:hint="eastAsia"/>
                <w:b/>
                <w:sz w:val="21"/>
              </w:rPr>
            </w:pPr>
            <w:r>
              <w:rPr>
                <w:rFonts w:ascii="楷体" w:eastAsia="楷体" w:hint="eastAsia"/>
                <w:b/>
                <w:spacing w:val="-33"/>
                <w:sz w:val="21"/>
              </w:rPr>
              <w:t>进 行 性 核 上 性</w:t>
            </w:r>
          </w:p>
          <w:p>
            <w:pPr>
              <w:pStyle w:val="TableParagraph"/>
              <w:spacing w:before="37"/>
              <w:ind w:left="200"/>
              <w:rPr>
                <w:rFonts w:ascii="楷体" w:eastAsia="楷体" w:hint="eastAsia"/>
                <w:b/>
                <w:sz w:val="21"/>
              </w:rPr>
            </w:pPr>
            <w:r>
              <w:rPr>
                <w:rFonts w:ascii="楷体" w:eastAsia="楷体" w:hint="eastAsia"/>
                <w:b/>
                <w:sz w:val="21"/>
              </w:rPr>
              <w:t>麻痹</w:t>
            </w:r>
          </w:p>
        </w:tc>
        <w:tc>
          <w:tcPr>
            <w:tcW w:w="7823" w:type="dxa"/>
          </w:tcPr>
          <w:p>
            <w:pPr>
              <w:pStyle w:val="TableParagraph"/>
              <w:spacing w:line="211" w:lineRule="exact"/>
              <w:rPr>
                <w:sz w:val="21"/>
              </w:rPr>
            </w:pPr>
            <w:r>
              <w:rPr>
                <w:sz w:val="21"/>
              </w:rPr>
              <w:t>一种隐袭起病、逐渐加重的神经系统变性疾病。本疾病必须由本公司认可的医院</w:t>
            </w:r>
          </w:p>
          <w:p>
            <w:pPr>
              <w:pStyle w:val="TableParagraph"/>
              <w:spacing w:before="37"/>
              <w:rPr>
                <w:sz w:val="21"/>
              </w:rPr>
            </w:pPr>
            <w:r>
              <w:rPr>
                <w:sz w:val="21"/>
              </w:rPr>
              <w:t>的神经科专科医生确诊，并须满足下列所有条件：</w:t>
            </w:r>
          </w:p>
          <w:p>
            <w:pPr>
              <w:pStyle w:val="TableParagraph"/>
              <w:numPr>
                <w:ilvl w:val="0"/>
                <w:numId w:val="29"/>
              </w:numPr>
              <w:tabs>
                <w:tab w:pos="739" w:val="left" w:leader="none"/>
              </w:tabs>
              <w:spacing w:line="240" w:lineRule="auto" w:before="37" w:after="0"/>
              <w:ind w:left="738" w:right="0" w:hanging="632"/>
              <w:jc w:val="left"/>
              <w:rPr>
                <w:sz w:val="21"/>
              </w:rPr>
            </w:pPr>
            <w:r>
              <w:rPr>
                <w:spacing w:val="-3"/>
                <w:sz w:val="21"/>
              </w:rPr>
              <w:t>步态共济失调；</w:t>
            </w:r>
          </w:p>
          <w:p>
            <w:pPr>
              <w:pStyle w:val="TableParagraph"/>
              <w:numPr>
                <w:ilvl w:val="0"/>
                <w:numId w:val="29"/>
              </w:numPr>
              <w:tabs>
                <w:tab w:pos="739" w:val="left" w:leader="none"/>
              </w:tabs>
              <w:spacing w:line="240" w:lineRule="auto" w:before="37" w:after="0"/>
              <w:ind w:left="738" w:right="0" w:hanging="632"/>
              <w:jc w:val="left"/>
              <w:rPr>
                <w:sz w:val="21"/>
              </w:rPr>
            </w:pPr>
            <w:r>
              <w:rPr>
                <w:spacing w:val="-3"/>
                <w:sz w:val="21"/>
              </w:rPr>
              <w:t>对称性眼球垂直运动障碍；</w:t>
            </w:r>
          </w:p>
          <w:p>
            <w:pPr>
              <w:pStyle w:val="TableParagraph"/>
              <w:numPr>
                <w:ilvl w:val="0"/>
                <w:numId w:val="29"/>
              </w:numPr>
              <w:tabs>
                <w:tab w:pos="739" w:val="left" w:leader="none"/>
              </w:tabs>
              <w:spacing w:line="240" w:lineRule="auto" w:before="37" w:after="0"/>
              <w:ind w:left="738" w:right="0" w:hanging="632"/>
              <w:jc w:val="left"/>
              <w:rPr>
                <w:sz w:val="21"/>
              </w:rPr>
            </w:pPr>
            <w:r>
              <w:rPr>
                <w:spacing w:val="-3"/>
                <w:sz w:val="21"/>
              </w:rPr>
              <w:t>假性球麻痹，表现为构音障碍和吞咽困难。</w:t>
            </w:r>
          </w:p>
        </w:tc>
      </w:tr>
      <w:tr>
        <w:trPr>
          <w:trHeight w:val="1162" w:hRule="atLeast"/>
        </w:trPr>
        <w:tc>
          <w:tcPr>
            <w:tcW w:w="1785" w:type="dxa"/>
          </w:tcPr>
          <w:p>
            <w:pPr>
              <w:pStyle w:val="TableParagraph"/>
              <w:spacing w:line="273" w:lineRule="auto" w:before="100"/>
              <w:ind w:left="200" w:right="105"/>
              <w:rPr>
                <w:rFonts w:ascii="楷体" w:eastAsia="楷体" w:hint="eastAsia"/>
                <w:b/>
                <w:sz w:val="21"/>
              </w:rPr>
            </w:pPr>
            <w:r>
              <w:rPr>
                <w:rFonts w:ascii="楷体" w:eastAsia="楷体" w:hint="eastAsia"/>
                <w:b/>
                <w:spacing w:val="-33"/>
                <w:sz w:val="21"/>
              </w:rPr>
              <w:t>失 去 一 肢 及 一眼</w:t>
            </w:r>
          </w:p>
        </w:tc>
        <w:tc>
          <w:tcPr>
            <w:tcW w:w="7823" w:type="dxa"/>
          </w:tcPr>
          <w:p>
            <w:pPr>
              <w:pStyle w:val="TableParagraph"/>
              <w:spacing w:before="100"/>
              <w:rPr>
                <w:sz w:val="21"/>
              </w:rPr>
            </w:pPr>
            <w:r>
              <w:rPr>
                <w:sz w:val="21"/>
              </w:rPr>
              <w:t>因疾病或受伤导致不可复原及永久性完全丧失：</w:t>
            </w:r>
          </w:p>
          <w:p>
            <w:pPr>
              <w:pStyle w:val="TableParagraph"/>
              <w:spacing w:before="36"/>
              <w:rPr>
                <w:sz w:val="21"/>
              </w:rPr>
            </w:pPr>
            <w:r>
              <w:rPr>
                <w:sz w:val="21"/>
              </w:rPr>
              <w:t>(一) 一眼视力，及；</w:t>
            </w:r>
          </w:p>
          <w:p>
            <w:pPr>
              <w:pStyle w:val="TableParagraph"/>
              <w:spacing w:before="36"/>
              <w:rPr>
                <w:sz w:val="21"/>
              </w:rPr>
            </w:pPr>
            <w:r>
              <w:rPr>
                <w:sz w:val="21"/>
              </w:rPr>
              <w:t>(二) 任何一肢于腕骨或踝骨部位或以上切断。</w:t>
            </w:r>
          </w:p>
        </w:tc>
      </w:tr>
      <w:tr>
        <w:trPr>
          <w:trHeight w:val="851" w:hRule="atLeast"/>
        </w:trPr>
        <w:tc>
          <w:tcPr>
            <w:tcW w:w="1785" w:type="dxa"/>
          </w:tcPr>
          <w:p>
            <w:pPr>
              <w:pStyle w:val="TableParagraph"/>
              <w:spacing w:before="99"/>
              <w:ind w:left="200"/>
              <w:rPr>
                <w:rFonts w:ascii="楷体" w:eastAsia="楷体" w:hint="eastAsia"/>
                <w:b/>
                <w:sz w:val="21"/>
              </w:rPr>
            </w:pPr>
            <w:r>
              <w:rPr>
                <w:rFonts w:ascii="楷体" w:eastAsia="楷体" w:hint="eastAsia"/>
                <w:b/>
                <w:sz w:val="21"/>
              </w:rPr>
              <w:t>嗜铬细胞瘤</w:t>
            </w:r>
          </w:p>
        </w:tc>
        <w:tc>
          <w:tcPr>
            <w:tcW w:w="7823" w:type="dxa"/>
          </w:tcPr>
          <w:p>
            <w:pPr>
              <w:pStyle w:val="TableParagraph"/>
              <w:spacing w:line="206" w:lineRule="auto" w:before="81"/>
              <w:ind w:right="356"/>
              <w:rPr>
                <w:sz w:val="21"/>
              </w:rPr>
            </w:pPr>
            <w:r>
              <w:rPr>
                <w:sz w:val="21"/>
              </w:rPr>
              <w:t>是指肾上腺或嗜铬外组织出现神经内分泌肿瘤，并分</w:t>
            </w:r>
            <w:r>
              <w:rPr>
                <w:rFonts w:ascii="Malgun Gothic" w:eastAsia="Malgun Gothic" w:hint="eastAsia"/>
                <w:sz w:val="21"/>
              </w:rPr>
              <w:t>泌</w:t>
            </w:r>
            <w:r>
              <w:rPr>
                <w:sz w:val="21"/>
              </w:rPr>
              <w:t>过多的儿茶酚胺类，需要确实进</w:t>
            </w:r>
            <w:r>
              <w:rPr>
                <w:rFonts w:ascii="Malgun Gothic" w:eastAsia="Malgun Gothic" w:hint="eastAsia"/>
                <w:sz w:val="21"/>
              </w:rPr>
              <w:t>行</w:t>
            </w:r>
            <w:r>
              <w:rPr>
                <w:sz w:val="21"/>
              </w:rPr>
              <w:t>手术以切除肿瘤。嗜铬细胞瘤的诊断必须由内分泌专科医生确定。</w:t>
            </w:r>
          </w:p>
        </w:tc>
      </w:tr>
      <w:tr>
        <w:trPr>
          <w:trHeight w:val="850" w:hRule="atLeast"/>
        </w:trPr>
        <w:tc>
          <w:tcPr>
            <w:tcW w:w="1785" w:type="dxa"/>
          </w:tcPr>
          <w:p>
            <w:pPr>
              <w:pStyle w:val="TableParagraph"/>
              <w:spacing w:before="100"/>
              <w:ind w:left="200"/>
              <w:rPr>
                <w:rFonts w:ascii="楷体" w:eastAsia="楷体" w:hint="eastAsia"/>
                <w:b/>
                <w:sz w:val="21"/>
              </w:rPr>
            </w:pPr>
            <w:r>
              <w:rPr>
                <w:rFonts w:ascii="楷体" w:eastAsia="楷体" w:hint="eastAsia"/>
                <w:b/>
                <w:sz w:val="21"/>
              </w:rPr>
              <w:t>小肠移植</w:t>
            </w:r>
          </w:p>
        </w:tc>
        <w:tc>
          <w:tcPr>
            <w:tcW w:w="7823" w:type="dxa"/>
          </w:tcPr>
          <w:p>
            <w:pPr>
              <w:pStyle w:val="TableParagraph"/>
              <w:spacing w:line="273" w:lineRule="auto" w:before="100"/>
              <w:ind w:right="198"/>
              <w:rPr>
                <w:sz w:val="21"/>
              </w:rPr>
            </w:pPr>
            <w:r>
              <w:rPr>
                <w:spacing w:val="-8"/>
                <w:sz w:val="21"/>
              </w:rPr>
              <w:t>指因肠道疾病或外伤，已经实施了在全身麻醉下进行的小肠的异体器官移植手术。</w:t>
            </w:r>
            <w:r>
              <w:rPr>
                <w:spacing w:val="-5"/>
                <w:sz w:val="21"/>
              </w:rPr>
              <w:t>此手术必须由专科医生认为是医学上必需的情况下进行。</w:t>
            </w:r>
          </w:p>
        </w:tc>
      </w:tr>
      <w:tr>
        <w:trPr>
          <w:trHeight w:val="1474" w:hRule="atLeast"/>
        </w:trPr>
        <w:tc>
          <w:tcPr>
            <w:tcW w:w="1785" w:type="dxa"/>
          </w:tcPr>
          <w:p>
            <w:pPr>
              <w:pStyle w:val="TableParagraph"/>
              <w:spacing w:before="99"/>
              <w:ind w:left="200"/>
              <w:rPr>
                <w:rFonts w:ascii="楷体" w:eastAsia="楷体" w:hint="eastAsia"/>
                <w:b/>
                <w:sz w:val="21"/>
              </w:rPr>
            </w:pPr>
            <w:r>
              <w:rPr>
                <w:rFonts w:ascii="楷体" w:eastAsia="楷体" w:hint="eastAsia"/>
                <w:b/>
                <w:sz w:val="21"/>
              </w:rPr>
              <w:t>颅脑手术</w:t>
            </w:r>
          </w:p>
        </w:tc>
        <w:tc>
          <w:tcPr>
            <w:tcW w:w="7823" w:type="dxa"/>
          </w:tcPr>
          <w:p>
            <w:pPr>
              <w:pStyle w:val="TableParagraph"/>
              <w:spacing w:line="273" w:lineRule="auto" w:before="99"/>
              <w:ind w:right="568"/>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line="284" w:lineRule="exact"/>
              <w:rPr>
                <w:b/>
                <w:i/>
                <w:sz w:val="22"/>
              </w:rPr>
            </w:pPr>
            <w:r>
              <w:rPr>
                <w:b/>
                <w:i/>
                <w:w w:val="95"/>
                <w:sz w:val="22"/>
              </w:rPr>
              <w:t>因外伤而实施的脑外科手术不在保障范围之内。</w:t>
            </w:r>
          </w:p>
          <w:p>
            <w:pPr>
              <w:pStyle w:val="TableParagraph"/>
              <w:spacing w:before="36"/>
              <w:rPr>
                <w:sz w:val="21"/>
              </w:rPr>
            </w:pPr>
            <w:r>
              <w:rPr>
                <w:sz w:val="21"/>
              </w:rPr>
              <w:t>理赔时必须提供由神经外科医生出具的诊断书及手术报告。</w:t>
            </w:r>
          </w:p>
        </w:tc>
      </w:tr>
      <w:tr>
        <w:trPr>
          <w:trHeight w:val="2724" w:hRule="atLeast"/>
        </w:trPr>
        <w:tc>
          <w:tcPr>
            <w:tcW w:w="1785" w:type="dxa"/>
          </w:tcPr>
          <w:p>
            <w:pPr>
              <w:pStyle w:val="TableParagraph"/>
              <w:spacing w:line="273" w:lineRule="auto" w:before="100"/>
              <w:ind w:left="200" w:right="105"/>
              <w:rPr>
                <w:rFonts w:ascii="楷体" w:eastAsia="楷体" w:hint="eastAsia"/>
                <w:b/>
                <w:sz w:val="21"/>
              </w:rPr>
            </w:pPr>
            <w:r>
              <w:rPr>
                <w:rFonts w:ascii="楷体" w:eastAsia="楷体" w:hint="eastAsia"/>
                <w:b/>
                <w:spacing w:val="-33"/>
                <w:sz w:val="21"/>
              </w:rPr>
              <w:t>严 重 自 身 免 疫性肝炎</w:t>
            </w:r>
          </w:p>
        </w:tc>
        <w:tc>
          <w:tcPr>
            <w:tcW w:w="7823" w:type="dxa"/>
          </w:tcPr>
          <w:p>
            <w:pPr>
              <w:pStyle w:val="TableParagraph"/>
              <w:spacing w:line="273" w:lineRule="auto" w:before="100"/>
              <w:ind w:right="356"/>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rPr>
                <w:sz w:val="21"/>
              </w:rPr>
            </w:pPr>
            <w:r>
              <w:rPr>
                <w:sz w:val="21"/>
              </w:rPr>
              <w:t>1）</w:t>
            </w:r>
            <w:r>
              <w:rPr>
                <w:spacing w:val="-3"/>
                <w:sz w:val="21"/>
              </w:rPr>
              <w:t>高</w:t>
            </w:r>
            <w:r>
              <w:rPr>
                <w:rFonts w:ascii="Arial" w:hAnsi="Arial" w:eastAsia="Arial"/>
                <w:sz w:val="21"/>
              </w:rPr>
              <w:t>γ</w:t>
            </w:r>
            <w:r>
              <w:rPr>
                <w:rFonts w:ascii="Arial" w:hAnsi="Arial" w:eastAsia="Arial"/>
                <w:spacing w:val="56"/>
                <w:sz w:val="21"/>
              </w:rPr>
              <w:t> </w:t>
            </w:r>
            <w:r>
              <w:rPr>
                <w:spacing w:val="-3"/>
                <w:sz w:val="21"/>
              </w:rPr>
              <w:t>球蛋白血症；</w:t>
            </w:r>
          </w:p>
          <w:p>
            <w:pPr>
              <w:pStyle w:val="TableParagraph"/>
              <w:spacing w:line="273" w:lineRule="auto" w:before="22"/>
              <w:ind w:right="202"/>
              <w:rPr>
                <w:sz w:val="21"/>
              </w:rPr>
            </w:pPr>
            <w:r>
              <w:rPr>
                <w:spacing w:val="-22"/>
                <w:sz w:val="21"/>
              </w:rPr>
              <w:t>2）</w:t>
            </w:r>
            <w:r>
              <w:rPr>
                <w:spacing w:val="-7"/>
                <w:sz w:val="21"/>
              </w:rPr>
              <w:t>血液中存在高水平的自身免疫抗体，如 </w:t>
            </w:r>
            <w:r>
              <w:rPr>
                <w:spacing w:val="-12"/>
                <w:sz w:val="21"/>
              </w:rPr>
              <w:t>ANA（</w:t>
            </w:r>
            <w:r>
              <w:rPr>
                <w:spacing w:val="-2"/>
                <w:sz w:val="21"/>
              </w:rPr>
              <w:t>抗核抗体</w:t>
            </w:r>
            <w:r>
              <w:rPr>
                <w:spacing w:val="-108"/>
                <w:sz w:val="21"/>
              </w:rPr>
              <w:t>）</w:t>
            </w:r>
            <w:r>
              <w:rPr>
                <w:spacing w:val="-41"/>
                <w:sz w:val="21"/>
              </w:rPr>
              <w:t>、</w:t>
            </w:r>
            <w:r>
              <w:rPr>
                <w:spacing w:val="-12"/>
                <w:sz w:val="21"/>
              </w:rPr>
              <w:t>SMA（</w:t>
            </w:r>
            <w:r>
              <w:rPr>
                <w:spacing w:val="-3"/>
                <w:sz w:val="21"/>
              </w:rPr>
              <w:t>抗平滑肌抗体</w:t>
            </w:r>
            <w:r>
              <w:rPr>
                <w:spacing w:val="-106"/>
                <w:sz w:val="21"/>
              </w:rPr>
              <w:t>）</w:t>
            </w:r>
            <w:r>
              <w:rPr>
                <w:sz w:val="21"/>
              </w:rPr>
              <w:t>、</w:t>
            </w:r>
            <w:r>
              <w:rPr>
                <w:spacing w:val="-25"/>
                <w:sz w:val="21"/>
              </w:rPr>
              <w:t>抗 </w:t>
            </w:r>
            <w:r>
              <w:rPr>
                <w:sz w:val="21"/>
              </w:rPr>
              <w:t>LKM1</w:t>
            </w:r>
            <w:r>
              <w:rPr>
                <w:spacing w:val="-12"/>
                <w:sz w:val="21"/>
              </w:rPr>
              <w:t> 抗体或抗</w:t>
            </w:r>
            <w:r>
              <w:rPr>
                <w:sz w:val="21"/>
              </w:rPr>
              <w:t>-SLA/LP</w:t>
            </w:r>
            <w:r>
              <w:rPr>
                <w:spacing w:val="-14"/>
                <w:sz w:val="21"/>
              </w:rPr>
              <w:t> 抗体；</w:t>
            </w:r>
          </w:p>
          <w:p>
            <w:pPr>
              <w:pStyle w:val="TableParagraph"/>
              <w:spacing w:before="7"/>
              <w:jc w:val="both"/>
              <w:rPr>
                <w:sz w:val="21"/>
              </w:rPr>
            </w:pPr>
            <w:r>
              <w:rPr>
                <w:sz w:val="21"/>
              </w:rPr>
              <w:t>3）肝脏活检证实免疫性肝炎；</w:t>
            </w:r>
          </w:p>
          <w:p>
            <w:pPr>
              <w:pStyle w:val="TableParagraph"/>
              <w:spacing w:before="36"/>
              <w:jc w:val="both"/>
              <w:rPr>
                <w:sz w:val="21"/>
              </w:rPr>
            </w:pPr>
            <w:r>
              <w:rPr>
                <w:sz w:val="21"/>
              </w:rPr>
              <w:t>4）临床已经出现腹水、食道静脉曲张和脾肿大等肝硬化表现。</w:t>
            </w:r>
          </w:p>
        </w:tc>
      </w:tr>
      <w:tr>
        <w:trPr>
          <w:trHeight w:val="3036" w:hRule="atLeast"/>
        </w:trPr>
        <w:tc>
          <w:tcPr>
            <w:tcW w:w="1785" w:type="dxa"/>
          </w:tcPr>
          <w:p>
            <w:pPr>
              <w:pStyle w:val="TableParagraph"/>
              <w:spacing w:before="100"/>
              <w:ind w:left="200"/>
              <w:rPr>
                <w:rFonts w:ascii="楷体" w:eastAsia="楷体" w:hint="eastAsia"/>
                <w:b/>
                <w:sz w:val="21"/>
              </w:rPr>
            </w:pPr>
            <w:r>
              <w:rPr>
                <w:rFonts w:ascii="楷体" w:eastAsia="楷体" w:hint="eastAsia"/>
                <w:b/>
                <w:sz w:val="21"/>
              </w:rPr>
              <w:t>骨髓纤维化</w:t>
            </w:r>
          </w:p>
        </w:tc>
        <w:tc>
          <w:tcPr>
            <w:tcW w:w="7823" w:type="dxa"/>
          </w:tcPr>
          <w:p>
            <w:pPr>
              <w:pStyle w:val="TableParagraph"/>
              <w:spacing w:line="273" w:lineRule="auto" w:before="100"/>
              <w:ind w:right="356"/>
              <w:jc w:val="both"/>
              <w:rPr>
                <w:sz w:val="21"/>
              </w:rPr>
            </w:pPr>
            <w:r>
              <w:rPr>
                <w:sz w:val="21"/>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TableParagraph"/>
              <w:spacing w:before="7"/>
              <w:jc w:val="both"/>
              <w:rPr>
                <w:sz w:val="21"/>
              </w:rPr>
            </w:pPr>
            <w:r>
              <w:rPr>
                <w:sz w:val="21"/>
              </w:rPr>
              <w:t>（1）血红蛋白&lt;100g/L；</w:t>
            </w:r>
          </w:p>
          <w:p>
            <w:pPr>
              <w:pStyle w:val="TableParagraph"/>
              <w:spacing w:before="37"/>
              <w:jc w:val="both"/>
              <w:rPr>
                <w:sz w:val="21"/>
              </w:rPr>
            </w:pPr>
            <w:r>
              <w:rPr>
                <w:sz w:val="21"/>
              </w:rPr>
              <w:t>（2）白细胞计数&gt;25*10</w:t>
            </w:r>
            <w:r>
              <w:rPr>
                <w:position w:val="11"/>
                <w:sz w:val="11"/>
              </w:rPr>
              <w:t>9</w:t>
            </w:r>
            <w:r>
              <w:rPr>
                <w:sz w:val="21"/>
              </w:rPr>
              <w:t>/L；</w:t>
            </w:r>
          </w:p>
          <w:p>
            <w:pPr>
              <w:pStyle w:val="TableParagraph"/>
              <w:spacing w:before="37"/>
              <w:jc w:val="both"/>
              <w:rPr>
                <w:sz w:val="21"/>
              </w:rPr>
            </w:pPr>
            <w:r>
              <w:rPr>
                <w:sz w:val="21"/>
              </w:rPr>
              <w:t>（3）外周血原始细胞≥ 1%；</w:t>
            </w:r>
          </w:p>
          <w:p>
            <w:pPr>
              <w:pStyle w:val="TableParagraph"/>
              <w:spacing w:before="37"/>
              <w:jc w:val="both"/>
              <w:rPr>
                <w:sz w:val="21"/>
              </w:rPr>
            </w:pPr>
            <w:r>
              <w:rPr>
                <w:sz w:val="21"/>
              </w:rPr>
              <w:t>（4）血小板计数&lt;100*10</w:t>
            </w:r>
            <w:r>
              <w:rPr>
                <w:position w:val="11"/>
                <w:sz w:val="11"/>
              </w:rPr>
              <w:t>9</w:t>
            </w:r>
            <w:r>
              <w:rPr>
                <w:sz w:val="21"/>
              </w:rPr>
              <w:t>/L。</w:t>
            </w:r>
          </w:p>
          <w:p>
            <w:pPr>
              <w:pStyle w:val="TableParagraph"/>
              <w:spacing w:before="25"/>
              <w:jc w:val="both"/>
              <w:rPr>
                <w:b/>
                <w:i/>
                <w:sz w:val="22"/>
              </w:rPr>
            </w:pPr>
            <w:r>
              <w:rPr>
                <w:b/>
                <w:i/>
                <w:w w:val="95"/>
                <w:sz w:val="22"/>
              </w:rPr>
              <w:t>任何其它病因导致的继发性骨髓纤维化不在保障范围内。</w:t>
            </w:r>
          </w:p>
        </w:tc>
      </w:tr>
      <w:tr>
        <w:trPr>
          <w:trHeight w:val="1786" w:hRule="atLeast"/>
        </w:trPr>
        <w:tc>
          <w:tcPr>
            <w:tcW w:w="1785" w:type="dxa"/>
          </w:tcPr>
          <w:p>
            <w:pPr>
              <w:pStyle w:val="TableParagraph"/>
              <w:spacing w:line="273" w:lineRule="auto" w:before="98"/>
              <w:ind w:left="200" w:right="105"/>
              <w:jc w:val="both"/>
              <w:rPr>
                <w:rFonts w:ascii="楷体" w:eastAsia="楷体" w:hint="eastAsia"/>
                <w:b/>
                <w:sz w:val="21"/>
              </w:rPr>
            </w:pPr>
            <w:r>
              <w:rPr>
                <w:rFonts w:ascii="楷体" w:eastAsia="楷体" w:hint="eastAsia"/>
                <w:b/>
                <w:spacing w:val="-33"/>
                <w:sz w:val="21"/>
              </w:rPr>
              <w:t>严 重 获 得 性 或</w:t>
            </w:r>
            <w:r>
              <w:rPr>
                <w:rFonts w:ascii="楷体" w:eastAsia="楷体" w:hint="eastAsia"/>
                <w:b/>
                <w:spacing w:val="-34"/>
                <w:sz w:val="21"/>
              </w:rPr>
              <w:t>继 发 性 肺 泡 蛋</w:t>
            </w:r>
            <w:r>
              <w:rPr>
                <w:rFonts w:ascii="楷体" w:eastAsia="楷体" w:hint="eastAsia"/>
                <w:b/>
                <w:spacing w:val="-1"/>
                <w:sz w:val="21"/>
              </w:rPr>
              <w:t>白质沉积症</w:t>
            </w:r>
          </w:p>
        </w:tc>
        <w:tc>
          <w:tcPr>
            <w:tcW w:w="7823" w:type="dxa"/>
          </w:tcPr>
          <w:p>
            <w:pPr>
              <w:pStyle w:val="TableParagraph"/>
              <w:spacing w:line="273" w:lineRule="auto" w:before="98"/>
              <w:ind w:right="356"/>
              <w:rPr>
                <w:sz w:val="21"/>
              </w:rPr>
            </w:pPr>
            <w:r>
              <w:rPr>
                <w:sz w:val="21"/>
              </w:rPr>
              <w:t>因获得性或继发性原因或导致双肺肺泡和细支气管腔内充满不可溶性富磷脂蛋白的疾病。理赔时须满足下列所有条件：</w:t>
            </w:r>
          </w:p>
          <w:p>
            <w:pPr>
              <w:pStyle w:val="TableParagraph"/>
              <w:spacing w:line="273" w:lineRule="auto" w:before="7"/>
              <w:ind w:right="251"/>
              <w:rPr>
                <w:sz w:val="21"/>
              </w:rPr>
            </w:pPr>
            <w:r>
              <w:rPr>
                <w:sz w:val="21"/>
              </w:rPr>
              <w:t>(1）支气管镜活检或开胸肺活检病理检查证实肺泡内充满有过碘酸雪夫（PAS）染色阳性的蛋白样物质；</w:t>
            </w:r>
          </w:p>
          <w:p>
            <w:pPr>
              <w:pStyle w:val="TableParagraph"/>
              <w:spacing w:before="8"/>
              <w:rPr>
                <w:sz w:val="21"/>
              </w:rPr>
            </w:pPr>
            <w:r>
              <w:rPr>
                <w:sz w:val="21"/>
              </w:rPr>
              <w:t>(2）被保人因中重度呼吸困难或低氧血症而实际已行全身麻醉下的全肺灌洗治疗。</w:t>
            </w:r>
          </w:p>
        </w:tc>
      </w:tr>
      <w:tr>
        <w:trPr>
          <w:trHeight w:val="375" w:hRule="atLeast"/>
        </w:trPr>
        <w:tc>
          <w:tcPr>
            <w:tcW w:w="1785" w:type="dxa"/>
          </w:tcPr>
          <w:p>
            <w:pPr>
              <w:pStyle w:val="TableParagraph"/>
              <w:spacing w:line="255" w:lineRule="exact" w:before="100"/>
              <w:ind w:left="200"/>
              <w:rPr>
                <w:rFonts w:ascii="楷体" w:eastAsia="楷体" w:hint="eastAsia"/>
                <w:b/>
                <w:sz w:val="21"/>
              </w:rPr>
            </w:pPr>
            <w:r>
              <w:rPr>
                <w:rFonts w:ascii="楷体" w:eastAsia="楷体" w:hint="eastAsia"/>
                <w:b/>
                <w:spacing w:val="-33"/>
                <w:sz w:val="21"/>
              </w:rPr>
              <w:t>严 重 慢 性 缩 窄</w:t>
            </w:r>
          </w:p>
        </w:tc>
        <w:tc>
          <w:tcPr>
            <w:tcW w:w="7823" w:type="dxa"/>
          </w:tcPr>
          <w:p>
            <w:pPr>
              <w:pStyle w:val="TableParagraph"/>
              <w:spacing w:line="255" w:lineRule="exact" w:before="100"/>
              <w:rPr>
                <w:sz w:val="21"/>
              </w:rPr>
            </w:pPr>
            <w:r>
              <w:rPr>
                <w:sz w:val="21"/>
              </w:rPr>
              <w:t>由于慢性心包炎症导致心包脏层和壁层广泛瘢痕粘连、增厚和钙化，心包腔闭塞，</w:t>
            </w:r>
          </w:p>
        </w:tc>
      </w:tr>
    </w:tbl>
    <w:p>
      <w:pPr>
        <w:spacing w:after="0" w:line="255" w:lineRule="exact"/>
        <w:rPr>
          <w:sz w:val="21"/>
        </w:rPr>
        <w:sectPr>
          <w:pgSz w:w="11910" w:h="16840"/>
          <w:pgMar w:header="0" w:footer="896" w:top="1500" w:bottom="1080" w:left="1640" w:right="4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7821"/>
      </w:tblGrid>
      <w:tr>
        <w:trPr>
          <w:trHeight w:val="2247" w:hRule="atLeast"/>
        </w:trPr>
        <w:tc>
          <w:tcPr>
            <w:tcW w:w="1680" w:type="dxa"/>
          </w:tcPr>
          <w:p>
            <w:pPr>
              <w:pStyle w:val="TableParagraph"/>
              <w:spacing w:line="211" w:lineRule="exact"/>
              <w:ind w:left="200"/>
              <w:rPr>
                <w:rFonts w:ascii="楷体" w:eastAsia="楷体" w:hint="eastAsia"/>
                <w:b/>
                <w:sz w:val="21"/>
              </w:rPr>
            </w:pPr>
            <w:r>
              <w:rPr>
                <w:rFonts w:ascii="楷体" w:eastAsia="楷体" w:hint="eastAsia"/>
                <w:b/>
                <w:sz w:val="21"/>
              </w:rPr>
              <w:t>性心包炎</w:t>
            </w:r>
          </w:p>
        </w:tc>
        <w:tc>
          <w:tcPr>
            <w:tcW w:w="7821" w:type="dxa"/>
          </w:tcPr>
          <w:p>
            <w:pPr>
              <w:pStyle w:val="TableParagraph"/>
              <w:spacing w:line="211" w:lineRule="exact"/>
              <w:ind w:left="211"/>
              <w:rPr>
                <w:sz w:val="21"/>
              </w:rPr>
            </w:pPr>
            <w:r>
              <w:rPr>
                <w:sz w:val="21"/>
              </w:rPr>
              <w:t>形成一个纤维瘢痕外壳，使心脏和大血管根部受压，阻碍心脏的舒张。</w:t>
            </w:r>
          </w:p>
          <w:p>
            <w:pPr>
              <w:pStyle w:val="TableParagraph"/>
              <w:spacing w:before="37"/>
              <w:ind w:left="211"/>
              <w:rPr>
                <w:sz w:val="21"/>
              </w:rPr>
            </w:pPr>
            <w:r>
              <w:rPr>
                <w:sz w:val="21"/>
              </w:rPr>
              <w:t>被保险人被明确诊断为慢性缩窄性心包炎且必须满足以下所有条件：</w:t>
            </w:r>
          </w:p>
          <w:p>
            <w:pPr>
              <w:pStyle w:val="TableParagraph"/>
              <w:spacing w:line="273" w:lineRule="auto" w:before="36"/>
              <w:ind w:left="211" w:right="254"/>
              <w:rPr>
                <w:sz w:val="21"/>
              </w:rPr>
            </w:pPr>
            <w:r>
              <w:rPr>
                <w:sz w:val="21"/>
              </w:rPr>
              <w:t>（1）</w:t>
            </w:r>
            <w:r>
              <w:rPr>
                <w:spacing w:val="-5"/>
                <w:sz w:val="21"/>
              </w:rPr>
              <w:t>新功能衰竭达到美国纽约心脏病学会心功能状态分级 </w:t>
            </w:r>
            <w:r>
              <w:rPr>
                <w:sz w:val="21"/>
              </w:rPr>
              <w:t>IV</w:t>
            </w:r>
            <w:r>
              <w:rPr>
                <w:spacing w:val="-15"/>
                <w:sz w:val="21"/>
              </w:rPr>
              <w:t> 级，并持续 </w:t>
            </w:r>
            <w:r>
              <w:rPr>
                <w:sz w:val="21"/>
              </w:rPr>
              <w:t>180</w:t>
            </w:r>
            <w:r>
              <w:rPr>
                <w:spacing w:val="-24"/>
                <w:sz w:val="21"/>
              </w:rPr>
              <w:t> 天以上；</w:t>
            </w:r>
          </w:p>
          <w:p>
            <w:pPr>
              <w:pStyle w:val="TableParagraph"/>
              <w:spacing w:line="273" w:lineRule="auto" w:before="7"/>
              <w:ind w:left="738" w:right="1197" w:hanging="527"/>
              <w:rPr>
                <w:sz w:val="21"/>
              </w:rPr>
            </w:pPr>
            <w:r>
              <w:rPr>
                <w:sz w:val="21"/>
              </w:rPr>
              <w:t>（2）实际接收了以下任何一种手术路径的心包剥脱或心包切除手术； 胸骨正中切口；双侧前胸切口；左前胸肋间切口。</w:t>
            </w:r>
          </w:p>
          <w:p>
            <w:pPr>
              <w:pStyle w:val="TableParagraph"/>
              <w:spacing w:line="284" w:lineRule="exact"/>
              <w:ind w:left="211"/>
              <w:rPr>
                <w:b/>
                <w:i/>
                <w:sz w:val="22"/>
              </w:rPr>
            </w:pPr>
            <w:r>
              <w:rPr>
                <w:b/>
                <w:i/>
                <w:w w:val="95"/>
                <w:sz w:val="22"/>
              </w:rPr>
              <w:t>经胸腔镜、胸壁打孔进行的手术、心包粘连松解手术不在保障范围内。</w:t>
            </w:r>
          </w:p>
        </w:tc>
      </w:tr>
      <w:tr>
        <w:trPr>
          <w:trHeight w:val="1162" w:hRule="atLeast"/>
        </w:trPr>
        <w:tc>
          <w:tcPr>
            <w:tcW w:w="1680" w:type="dxa"/>
          </w:tcPr>
          <w:p>
            <w:pPr>
              <w:pStyle w:val="TableParagraph"/>
              <w:spacing w:before="98"/>
              <w:ind w:left="200"/>
              <w:rPr>
                <w:rFonts w:ascii="楷体" w:eastAsia="楷体" w:hint="eastAsia"/>
                <w:b/>
                <w:sz w:val="21"/>
              </w:rPr>
            </w:pPr>
            <w:r>
              <w:rPr>
                <w:rFonts w:ascii="楷体" w:eastAsia="楷体" w:hint="eastAsia"/>
                <w:b/>
                <w:sz w:val="21"/>
              </w:rPr>
              <w:t>独立能力丧失</w:t>
            </w:r>
          </w:p>
        </w:tc>
        <w:tc>
          <w:tcPr>
            <w:tcW w:w="7821" w:type="dxa"/>
          </w:tcPr>
          <w:p>
            <w:pPr>
              <w:pStyle w:val="TableParagraph"/>
              <w:spacing w:line="273" w:lineRule="auto" w:before="98"/>
              <w:ind w:left="211" w:right="249"/>
              <w:jc w:val="both"/>
              <w:rPr>
                <w:sz w:val="21"/>
              </w:rPr>
            </w:pPr>
            <w:r>
              <w:rPr>
                <w:spacing w:val="-5"/>
                <w:sz w:val="21"/>
              </w:rPr>
              <w:t>指疾病或外伤造成被保险人至少持续 </w:t>
            </w:r>
            <w:r>
              <w:rPr>
                <w:sz w:val="21"/>
              </w:rPr>
              <w:t>6</w:t>
            </w:r>
            <w:r>
              <w:rPr>
                <w:spacing w:val="-7"/>
                <w:sz w:val="21"/>
              </w:rPr>
              <w:t> 个月以上完全无法独立完成六项基本日常</w:t>
            </w:r>
            <w:r>
              <w:rPr>
                <w:spacing w:val="-5"/>
                <w:sz w:val="21"/>
              </w:rPr>
              <w:t>生活活动中的三项或三项以上。被保险人的日常生活活动能力丧失必须是永久性的。</w:t>
            </w:r>
          </w:p>
        </w:tc>
      </w:tr>
      <w:tr>
        <w:trPr>
          <w:trHeight w:val="852" w:hRule="atLeast"/>
        </w:trPr>
        <w:tc>
          <w:tcPr>
            <w:tcW w:w="1680" w:type="dxa"/>
          </w:tcPr>
          <w:p>
            <w:pPr>
              <w:pStyle w:val="TableParagraph"/>
              <w:spacing w:before="101"/>
              <w:ind w:left="200"/>
              <w:rPr>
                <w:rFonts w:ascii="楷体" w:eastAsia="楷体" w:hint="eastAsia"/>
                <w:b/>
                <w:sz w:val="21"/>
              </w:rPr>
            </w:pPr>
            <w:r>
              <w:rPr>
                <w:rFonts w:ascii="楷体" w:eastAsia="楷体" w:hint="eastAsia"/>
                <w:b/>
                <w:sz w:val="21"/>
              </w:rPr>
              <w:t>胆道重建手术</w:t>
            </w:r>
          </w:p>
        </w:tc>
        <w:tc>
          <w:tcPr>
            <w:tcW w:w="7821" w:type="dxa"/>
          </w:tcPr>
          <w:p>
            <w:pPr>
              <w:pStyle w:val="TableParagraph"/>
              <w:spacing w:line="208" w:lineRule="auto" w:before="136"/>
              <w:ind w:left="211" w:right="249"/>
              <w:rPr>
                <w:b/>
                <w:i/>
                <w:sz w:val="22"/>
              </w:rPr>
            </w:pPr>
            <w:r>
              <w:rPr>
                <w:sz w:val="21"/>
              </w:rPr>
              <w:t>指因疾病或胆道创伤导致接受涉及胆总管小肠吻合术的胆道重建手术。手术必须</w:t>
            </w:r>
            <w:r>
              <w:rPr>
                <w:w w:val="95"/>
                <w:sz w:val="21"/>
              </w:rPr>
              <w:t>在专科医生认为是医疗所需的情况下进</w:t>
            </w:r>
            <w:r>
              <w:rPr>
                <w:rFonts w:ascii="Malgun Gothic" w:eastAsia="Malgun Gothic" w:hint="eastAsia"/>
                <w:w w:val="95"/>
                <w:sz w:val="21"/>
              </w:rPr>
              <w:t>行</w:t>
            </w:r>
            <w:r>
              <w:rPr>
                <w:w w:val="95"/>
                <w:sz w:val="21"/>
              </w:rPr>
              <w:t>。</w:t>
            </w:r>
            <w:r>
              <w:rPr>
                <w:b/>
                <w:i/>
                <w:w w:val="95"/>
                <w:sz w:val="22"/>
              </w:rPr>
              <w:t>胆道闭锁并</w:t>
            </w:r>
            <w:r>
              <w:rPr>
                <w:rFonts w:ascii="Malgun Gothic" w:eastAsia="Malgun Gothic" w:hint="eastAsia"/>
                <w:b/>
                <w:w w:val="95"/>
                <w:sz w:val="22"/>
              </w:rPr>
              <w:t>不</w:t>
            </w:r>
            <w:r>
              <w:rPr>
                <w:b/>
                <w:i/>
                <w:w w:val="95"/>
                <w:sz w:val="22"/>
              </w:rPr>
              <w:t>在保障范围内。</w:t>
            </w:r>
          </w:p>
        </w:tc>
      </w:tr>
      <w:tr>
        <w:trPr>
          <w:trHeight w:val="1785" w:hRule="atLeast"/>
        </w:trPr>
        <w:tc>
          <w:tcPr>
            <w:tcW w:w="1680" w:type="dxa"/>
          </w:tcPr>
          <w:p>
            <w:pPr>
              <w:pStyle w:val="TableParagraph"/>
              <w:spacing w:before="98"/>
              <w:ind w:left="200"/>
              <w:rPr>
                <w:rFonts w:ascii="楷体" w:eastAsia="楷体" w:hint="eastAsia"/>
                <w:b/>
                <w:sz w:val="21"/>
              </w:rPr>
            </w:pPr>
            <w:r>
              <w:rPr>
                <w:rFonts w:ascii="楷体" w:eastAsia="楷体" w:hint="eastAsia"/>
                <w:b/>
                <w:sz w:val="21"/>
              </w:rPr>
              <w:t>终末期疾病</w:t>
            </w:r>
          </w:p>
        </w:tc>
        <w:tc>
          <w:tcPr>
            <w:tcW w:w="7821" w:type="dxa"/>
          </w:tcPr>
          <w:p>
            <w:pPr>
              <w:pStyle w:val="TableParagraph"/>
              <w:spacing w:line="273" w:lineRule="auto" w:before="98"/>
              <w:ind w:left="211" w:right="249"/>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1475" w:hRule="atLeast"/>
        </w:trPr>
        <w:tc>
          <w:tcPr>
            <w:tcW w:w="1680" w:type="dxa"/>
          </w:tcPr>
          <w:p>
            <w:pPr>
              <w:pStyle w:val="TableParagraph"/>
              <w:spacing w:before="100"/>
              <w:ind w:left="200"/>
              <w:rPr>
                <w:rFonts w:ascii="楷体" w:eastAsia="楷体" w:hint="eastAsia"/>
                <w:b/>
                <w:sz w:val="21"/>
              </w:rPr>
            </w:pPr>
            <w:r>
              <w:rPr>
                <w:rFonts w:ascii="楷体" w:eastAsia="楷体" w:hint="eastAsia"/>
                <w:b/>
                <w:sz w:val="21"/>
              </w:rPr>
              <w:t>主动脉夹层瘤</w:t>
            </w:r>
          </w:p>
        </w:tc>
        <w:tc>
          <w:tcPr>
            <w:tcW w:w="7821" w:type="dxa"/>
          </w:tcPr>
          <w:p>
            <w:pPr>
              <w:pStyle w:val="TableParagraph"/>
              <w:spacing w:line="273" w:lineRule="auto" w:before="100"/>
              <w:ind w:left="211" w:right="249"/>
              <w:jc w:val="both"/>
              <w:rPr>
                <w:sz w:val="21"/>
              </w:rPr>
            </w:pPr>
            <w:r>
              <w:rPr>
                <w:sz w:val="21"/>
              </w:rPr>
              <w:t>指主动脉的内膜破裂导致血液流入主动脉壁中形成夹层动脉瘤。在本定义中，主动脉指胸主动脉及腹主动脉而非其旁支。诊断必须由专科医生及检验结果证实， 检验包括电脑扫描，磁共振扫描及磁共振血管造影或心导管检查的证明，并有必要进行紧急修补手术。</w:t>
            </w:r>
          </w:p>
        </w:tc>
      </w:tr>
      <w:tr>
        <w:trPr>
          <w:trHeight w:val="1786" w:hRule="atLeast"/>
        </w:trPr>
        <w:tc>
          <w:tcPr>
            <w:tcW w:w="1680" w:type="dxa"/>
          </w:tcPr>
          <w:p>
            <w:pPr>
              <w:pStyle w:val="TableParagraph"/>
              <w:spacing w:line="273" w:lineRule="auto" w:before="99"/>
              <w:ind w:left="200" w:right="210"/>
              <w:rPr>
                <w:rFonts w:ascii="楷体" w:eastAsia="楷体" w:hint="eastAsia"/>
                <w:b/>
                <w:sz w:val="21"/>
              </w:rPr>
            </w:pPr>
            <w:r>
              <w:rPr>
                <w:rFonts w:ascii="楷体" w:eastAsia="楷体" w:hint="eastAsia"/>
                <w:b/>
                <w:sz w:val="21"/>
              </w:rPr>
              <w:t>肌萎缩脊髓侧索硬化后遗症</w:t>
            </w:r>
          </w:p>
        </w:tc>
        <w:tc>
          <w:tcPr>
            <w:tcW w:w="7821" w:type="dxa"/>
          </w:tcPr>
          <w:p>
            <w:pPr>
              <w:pStyle w:val="TableParagraph"/>
              <w:spacing w:line="273" w:lineRule="auto" w:before="99"/>
              <w:ind w:left="211" w:right="199"/>
              <w:jc w:val="both"/>
              <w:rPr>
                <w:sz w:val="21"/>
              </w:rPr>
            </w:pPr>
            <w:r>
              <w:rPr>
                <w:spacing w:val="-3"/>
                <w:sz w:val="21"/>
              </w:rPr>
              <w:t>以肌肉无力及萎缩为特征，并有以下情况作为证明：脊髓前角细胞功能失调、可见的肌肉颤动、痉挛、过度活跃之深层肌腱反射和外部足底反射、影响皮质脊髓束、构音障碍及吞咽困难。必须由我们认可的医院专科医生以适当的神经肌肉检</w:t>
            </w:r>
            <w:r>
              <w:rPr>
                <w:spacing w:val="-6"/>
                <w:sz w:val="21"/>
              </w:rPr>
              <w:t>查如肌电图</w:t>
            </w:r>
            <w:r>
              <w:rPr>
                <w:spacing w:val="-4"/>
                <w:sz w:val="21"/>
              </w:rPr>
              <w:t>（EMG）</w:t>
            </w:r>
            <w:r>
              <w:rPr>
                <w:spacing w:val="-6"/>
                <w:sz w:val="21"/>
              </w:rPr>
              <w:t>证实。本疾病必须导致严重的生理功能损坏</w:t>
            </w:r>
            <w:r>
              <w:rPr>
                <w:spacing w:val="-3"/>
                <w:sz w:val="21"/>
              </w:rPr>
              <w:t>（由被保险人永久</w:t>
            </w:r>
            <w:r>
              <w:rPr>
                <w:spacing w:val="-7"/>
                <w:sz w:val="21"/>
              </w:rPr>
              <w:t>性无法独立完成最少 </w:t>
            </w:r>
            <w:r>
              <w:rPr>
                <w:sz w:val="21"/>
              </w:rPr>
              <w:t>3</w:t>
            </w:r>
            <w:r>
              <w:rPr>
                <w:spacing w:val="-8"/>
                <w:sz w:val="21"/>
              </w:rPr>
              <w:t> 项基本日常生活活动作为证明</w:t>
            </w:r>
            <w:r>
              <w:rPr>
                <w:spacing w:val="-106"/>
                <w:sz w:val="21"/>
              </w:rPr>
              <w:t>）</w:t>
            </w:r>
            <w:r>
              <w:rPr>
                <w:sz w:val="21"/>
              </w:rPr>
              <w:t>。</w:t>
            </w:r>
          </w:p>
        </w:tc>
      </w:tr>
      <w:tr>
        <w:trPr>
          <w:trHeight w:val="1788" w:hRule="atLeast"/>
        </w:trPr>
        <w:tc>
          <w:tcPr>
            <w:tcW w:w="1680" w:type="dxa"/>
          </w:tcPr>
          <w:p>
            <w:pPr>
              <w:pStyle w:val="TableParagraph"/>
              <w:spacing w:line="273" w:lineRule="auto" w:before="100"/>
              <w:ind w:left="200" w:right="210"/>
              <w:rPr>
                <w:rFonts w:ascii="楷体" w:eastAsia="楷体" w:hint="eastAsia"/>
                <w:b/>
                <w:sz w:val="21"/>
              </w:rPr>
            </w:pPr>
            <w:r>
              <w:rPr>
                <w:rFonts w:ascii="楷体" w:eastAsia="楷体" w:hint="eastAsia"/>
                <w:b/>
                <w:sz w:val="21"/>
              </w:rPr>
              <w:t>严重结核性脑膜炎</w:t>
            </w:r>
          </w:p>
        </w:tc>
        <w:tc>
          <w:tcPr>
            <w:tcW w:w="7821" w:type="dxa"/>
          </w:tcPr>
          <w:p>
            <w:pPr>
              <w:pStyle w:val="TableParagraph"/>
              <w:spacing w:before="100"/>
              <w:ind w:left="211"/>
              <w:rPr>
                <w:sz w:val="21"/>
              </w:rPr>
            </w:pPr>
            <w:r>
              <w:rPr>
                <w:sz w:val="21"/>
              </w:rPr>
              <w:t>由结核杆菌引起的脑膜和脊膜的非化脓性炎症性疾病。需满足以下全部条件：</w:t>
            </w:r>
          </w:p>
          <w:p>
            <w:pPr>
              <w:pStyle w:val="TableParagraph"/>
              <w:spacing w:before="36"/>
              <w:ind w:left="211"/>
              <w:rPr>
                <w:sz w:val="21"/>
              </w:rPr>
            </w:pPr>
            <w:r>
              <w:rPr>
                <w:sz w:val="21"/>
              </w:rPr>
              <w:t>（1）出现颅内压明显增高，表现头痛、呕吐和视乳头水肿；</w:t>
            </w:r>
          </w:p>
          <w:p>
            <w:pPr>
              <w:pStyle w:val="TableParagraph"/>
              <w:spacing w:before="37"/>
              <w:ind w:left="211"/>
              <w:rPr>
                <w:sz w:val="21"/>
              </w:rPr>
            </w:pPr>
            <w:r>
              <w:rPr>
                <w:sz w:val="21"/>
              </w:rPr>
              <w:t>（2）出现部分性、全身性癫痫发作或癫痫持续状态；</w:t>
            </w:r>
          </w:p>
          <w:p>
            <w:pPr>
              <w:pStyle w:val="TableParagraph"/>
              <w:spacing w:before="37"/>
              <w:ind w:left="211"/>
              <w:rPr>
                <w:sz w:val="21"/>
              </w:rPr>
            </w:pPr>
            <w:r>
              <w:rPr>
                <w:sz w:val="21"/>
              </w:rPr>
              <w:t>（3）昏睡或意识模糊；</w:t>
            </w:r>
          </w:p>
          <w:p>
            <w:pPr>
              <w:pStyle w:val="TableParagraph"/>
              <w:spacing w:before="37"/>
              <w:ind w:left="211"/>
              <w:rPr>
                <w:sz w:val="21"/>
              </w:rPr>
            </w:pPr>
            <w:r>
              <w:rPr>
                <w:sz w:val="21"/>
              </w:rPr>
              <w:t>（4）视力减退、复视和面神经麻痹。</w:t>
            </w:r>
          </w:p>
        </w:tc>
      </w:tr>
      <w:tr>
        <w:trPr>
          <w:trHeight w:val="999" w:hRule="atLeast"/>
        </w:trPr>
        <w:tc>
          <w:tcPr>
            <w:tcW w:w="1680" w:type="dxa"/>
          </w:tcPr>
          <w:p>
            <w:pPr>
              <w:pStyle w:val="TableParagraph"/>
              <w:spacing w:line="273" w:lineRule="auto" w:before="100"/>
              <w:ind w:left="200" w:right="210"/>
              <w:rPr>
                <w:rFonts w:ascii="楷体" w:eastAsia="楷体" w:hint="eastAsia"/>
                <w:b/>
                <w:sz w:val="21"/>
              </w:rPr>
            </w:pPr>
            <w:r>
              <w:rPr>
                <w:rFonts w:ascii="楷体" w:eastAsia="楷体" w:hint="eastAsia"/>
                <w:b/>
                <w:sz w:val="21"/>
              </w:rPr>
              <w:t>严重肠道疾病并发症</w:t>
            </w:r>
          </w:p>
        </w:tc>
        <w:tc>
          <w:tcPr>
            <w:tcW w:w="7821" w:type="dxa"/>
          </w:tcPr>
          <w:p>
            <w:pPr>
              <w:pStyle w:val="TableParagraph"/>
              <w:spacing w:before="100"/>
              <w:ind w:left="211"/>
              <w:rPr>
                <w:sz w:val="21"/>
              </w:rPr>
            </w:pPr>
            <w:r>
              <w:rPr>
                <w:sz w:val="21"/>
              </w:rPr>
              <w:t>严重肠道疾病或外伤导致小肠损害并发症，本疾病须满足以下所有条件：</w:t>
            </w:r>
          </w:p>
          <w:p>
            <w:pPr>
              <w:pStyle w:val="TableParagraph"/>
              <w:spacing w:before="36"/>
              <w:ind w:left="211"/>
              <w:rPr>
                <w:sz w:val="21"/>
              </w:rPr>
            </w:pPr>
            <w:r>
              <w:rPr>
                <w:sz w:val="21"/>
              </w:rPr>
              <w:t>（1）至少切除了三分之二小肠；</w:t>
            </w:r>
          </w:p>
          <w:p>
            <w:pPr>
              <w:pStyle w:val="TableParagraph"/>
              <w:spacing w:line="255" w:lineRule="exact" w:before="36"/>
              <w:ind w:left="211"/>
              <w:rPr>
                <w:sz w:val="21"/>
              </w:rPr>
            </w:pPr>
            <w:r>
              <w:rPr>
                <w:sz w:val="21"/>
              </w:rPr>
              <w:t>（2）完全场外营养支持三个月以上。</w:t>
            </w:r>
          </w:p>
        </w:tc>
      </w:tr>
    </w:tbl>
    <w:p>
      <w:pPr>
        <w:spacing w:after="0" w:line="255" w:lineRule="exact"/>
        <w:rPr>
          <w:sz w:val="21"/>
        </w:rPr>
        <w:sectPr>
          <w:pgSz w:w="11910" w:h="16840"/>
          <w:pgMar w:header="0" w:footer="896" w:top="1280" w:bottom="1080" w:left="164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743"/>
        <w:gridCol w:w="7823"/>
      </w:tblGrid>
      <w:tr>
        <w:trPr>
          <w:trHeight w:val="2558" w:hRule="atLeast"/>
        </w:trPr>
        <w:tc>
          <w:tcPr>
            <w:tcW w:w="781" w:type="dxa"/>
          </w:tcPr>
          <w:p>
            <w:pPr>
              <w:pStyle w:val="TableParagraph"/>
              <w:ind w:left="0"/>
              <w:rPr>
                <w:rFonts w:ascii="Times New Roman"/>
                <w:sz w:val="20"/>
              </w:rPr>
            </w:pPr>
          </w:p>
        </w:tc>
        <w:tc>
          <w:tcPr>
            <w:tcW w:w="1743" w:type="dxa"/>
          </w:tcPr>
          <w:p>
            <w:pPr>
              <w:pStyle w:val="TableParagraph"/>
              <w:spacing w:line="211" w:lineRule="exact"/>
              <w:ind w:left="264"/>
              <w:rPr>
                <w:rFonts w:ascii="楷体" w:eastAsia="楷体" w:hint="eastAsia"/>
                <w:b/>
                <w:sz w:val="21"/>
              </w:rPr>
            </w:pPr>
            <w:r>
              <w:rPr>
                <w:rFonts w:ascii="楷体" w:eastAsia="楷体" w:hint="eastAsia"/>
                <w:b/>
                <w:sz w:val="21"/>
              </w:rPr>
              <w:t>瑞氏综合症</w:t>
            </w:r>
          </w:p>
        </w:tc>
        <w:tc>
          <w:tcPr>
            <w:tcW w:w="7823" w:type="dxa"/>
          </w:tcPr>
          <w:p>
            <w:pPr>
              <w:pStyle w:val="TableParagraph"/>
              <w:spacing w:line="211" w:lineRule="exact"/>
              <w:ind w:left="213"/>
              <w:rPr>
                <w:sz w:val="21"/>
              </w:rPr>
            </w:pPr>
            <w:r>
              <w:rPr>
                <w:sz w:val="21"/>
              </w:rPr>
              <w:t>瑞氏综合症是线粒体功能障碍性疾病。导致脂肪代谢障碍，引起短链脂肪酸、血</w:t>
            </w:r>
          </w:p>
          <w:p>
            <w:pPr>
              <w:pStyle w:val="TableParagraph"/>
              <w:spacing w:line="273" w:lineRule="auto" w:before="37"/>
              <w:ind w:left="213" w:right="250"/>
              <w:rPr>
                <w:sz w:val="21"/>
              </w:rPr>
            </w:pPr>
            <w:r>
              <w:rPr>
                <w:sz w:val="21"/>
              </w:rPr>
              <w:t>氨升高，造成脑水肿。主要临床表现为急性发热、反复呕吐、惊厥及意识障碍等等。</w:t>
            </w:r>
          </w:p>
          <w:p>
            <w:pPr>
              <w:pStyle w:val="TableParagraph"/>
              <w:spacing w:line="273" w:lineRule="auto" w:before="7"/>
              <w:ind w:left="213" w:right="250"/>
              <w:rPr>
                <w:sz w:val="21"/>
              </w:rPr>
            </w:pPr>
            <w:r>
              <w:rPr>
                <w:sz w:val="21"/>
              </w:rPr>
              <w:t>肝脏活检是确诊的重要手段。瑞氏综合征需由三级医院的儿科专科医生确诊，并符合下列所有条件：</w:t>
            </w:r>
          </w:p>
          <w:p>
            <w:pPr>
              <w:pStyle w:val="TableParagraph"/>
              <w:spacing w:before="7"/>
              <w:ind w:left="213"/>
              <w:rPr>
                <w:sz w:val="21"/>
              </w:rPr>
            </w:pPr>
            <w:r>
              <w:rPr>
                <w:sz w:val="21"/>
              </w:rPr>
              <w:t>（一）有脑水肿和颅内压升高的脑脊液检查和影像学检查证据；</w:t>
            </w:r>
          </w:p>
          <w:p>
            <w:pPr>
              <w:pStyle w:val="TableParagraph"/>
              <w:spacing w:before="36"/>
              <w:ind w:left="213"/>
              <w:rPr>
                <w:sz w:val="21"/>
              </w:rPr>
            </w:pPr>
            <w:r>
              <w:rPr>
                <w:sz w:val="21"/>
              </w:rPr>
              <w:t>（二）血氨超过正常值的 3 倍；</w:t>
            </w:r>
          </w:p>
          <w:p>
            <w:pPr>
              <w:pStyle w:val="TableParagraph"/>
              <w:spacing w:before="36"/>
              <w:ind w:left="213"/>
              <w:rPr>
                <w:sz w:val="21"/>
              </w:rPr>
            </w:pPr>
            <w:r>
              <w:rPr>
                <w:sz w:val="21"/>
              </w:rPr>
              <w:t>（三）临床出现昏迷，病程至少达到疾病分期第 3 期。</w:t>
            </w:r>
          </w:p>
        </w:tc>
      </w:tr>
      <w:tr>
        <w:trPr>
          <w:trHeight w:val="2723" w:hRule="atLeast"/>
        </w:trPr>
        <w:tc>
          <w:tcPr>
            <w:tcW w:w="781" w:type="dxa"/>
          </w:tcPr>
          <w:p>
            <w:pPr>
              <w:pStyle w:val="TableParagraph"/>
              <w:ind w:left="0"/>
              <w:rPr>
                <w:rFonts w:ascii="Times New Roman"/>
                <w:sz w:val="20"/>
              </w:rPr>
            </w:pPr>
          </w:p>
        </w:tc>
        <w:tc>
          <w:tcPr>
            <w:tcW w:w="1743" w:type="dxa"/>
          </w:tcPr>
          <w:p>
            <w:pPr>
              <w:pStyle w:val="TableParagraph"/>
              <w:spacing w:line="273" w:lineRule="auto" w:before="99"/>
              <w:ind w:left="264" w:right="209"/>
              <w:rPr>
                <w:rFonts w:ascii="楷体" w:eastAsia="楷体" w:hint="eastAsia"/>
                <w:b/>
                <w:sz w:val="21"/>
              </w:rPr>
            </w:pPr>
            <w:r>
              <w:rPr>
                <w:rFonts w:ascii="楷体" w:eastAsia="楷体" w:hint="eastAsia"/>
                <w:b/>
                <w:sz w:val="21"/>
              </w:rPr>
              <w:t>严重骨髓异常增生综合征</w:t>
            </w:r>
          </w:p>
        </w:tc>
        <w:tc>
          <w:tcPr>
            <w:tcW w:w="7823" w:type="dxa"/>
          </w:tcPr>
          <w:p>
            <w:pPr>
              <w:pStyle w:val="TableParagraph"/>
              <w:spacing w:line="273" w:lineRule="auto" w:before="99"/>
              <w:ind w:left="213" w:right="197"/>
              <w:jc w:val="both"/>
              <w:rPr>
                <w:sz w:val="21"/>
              </w:rPr>
            </w:pPr>
            <w:r>
              <w:rPr>
                <w:spacing w:val="-6"/>
                <w:sz w:val="21"/>
              </w:rPr>
              <w:t>严重的骨髓异常增生综合征是指符合世界卫生组织</w:t>
            </w:r>
            <w:r>
              <w:rPr>
                <w:spacing w:val="-7"/>
                <w:sz w:val="21"/>
              </w:rPr>
              <w:t>（WHO）2008</w:t>
            </w:r>
            <w:r>
              <w:rPr>
                <w:spacing w:val="-5"/>
                <w:sz w:val="21"/>
              </w:rPr>
              <w:t> 年分型方案中的难</w:t>
            </w:r>
            <w:r>
              <w:rPr>
                <w:spacing w:val="-4"/>
                <w:w w:val="100"/>
                <w:sz w:val="21"/>
              </w:rPr>
              <w:t>治性贫血细胞减少伴原始细胞增多-</w:t>
            </w:r>
            <w:r>
              <w:rPr>
                <w:spacing w:val="-29"/>
                <w:w w:val="100"/>
                <w:sz w:val="21"/>
              </w:rPr>
              <w:t>1</w:t>
            </w:r>
            <w:r>
              <w:rPr>
                <w:w w:val="100"/>
                <w:sz w:val="21"/>
              </w:rPr>
              <w:t>（RA</w:t>
            </w:r>
            <w:r>
              <w:rPr>
                <w:spacing w:val="-3"/>
                <w:w w:val="100"/>
                <w:sz w:val="21"/>
              </w:rPr>
              <w:t>E</w:t>
            </w:r>
            <w:r>
              <w:rPr>
                <w:spacing w:val="-1"/>
                <w:w w:val="100"/>
                <w:sz w:val="21"/>
              </w:rPr>
              <w:t>B</w:t>
            </w:r>
            <w:r>
              <w:rPr>
                <w:w w:val="100"/>
                <w:sz w:val="21"/>
              </w:rPr>
              <w:t>-1</w:t>
            </w:r>
            <w:r>
              <w:rPr>
                <w:spacing w:val="-106"/>
                <w:w w:val="100"/>
                <w:sz w:val="21"/>
              </w:rPr>
              <w:t>）</w:t>
            </w:r>
            <w:r>
              <w:rPr>
                <w:spacing w:val="-7"/>
                <w:w w:val="100"/>
                <w:sz w:val="21"/>
              </w:rPr>
              <w:t>、难治性贫血细胞减少伴原始细胞增多-</w:t>
            </w:r>
            <w:r>
              <w:rPr>
                <w:spacing w:val="-3"/>
                <w:w w:val="100"/>
                <w:sz w:val="21"/>
              </w:rPr>
              <w:t>2</w:t>
            </w:r>
            <w:r>
              <w:rPr>
                <w:w w:val="100"/>
                <w:sz w:val="21"/>
              </w:rPr>
              <w:t>（R</w:t>
            </w:r>
            <w:r>
              <w:rPr>
                <w:spacing w:val="-3"/>
                <w:w w:val="100"/>
                <w:sz w:val="21"/>
              </w:rPr>
              <w:t>A</w:t>
            </w:r>
            <w:r>
              <w:rPr>
                <w:w w:val="100"/>
                <w:sz w:val="21"/>
              </w:rPr>
              <w:t>E</w:t>
            </w:r>
            <w:r>
              <w:rPr>
                <w:spacing w:val="-1"/>
                <w:w w:val="100"/>
                <w:sz w:val="21"/>
              </w:rPr>
              <w:t>B</w:t>
            </w:r>
            <w:r>
              <w:rPr>
                <w:w w:val="100"/>
                <w:sz w:val="21"/>
              </w:rPr>
              <w:t>-</w:t>
            </w:r>
            <w:r>
              <w:rPr>
                <w:spacing w:val="-3"/>
                <w:w w:val="100"/>
                <w:sz w:val="21"/>
              </w:rPr>
              <w:t>2</w:t>
            </w:r>
            <w:r>
              <w:rPr>
                <w:spacing w:val="-106"/>
                <w:w w:val="100"/>
                <w:sz w:val="21"/>
              </w:rPr>
              <w:t>）</w:t>
            </w:r>
            <w:r>
              <w:rPr>
                <w:w w:val="100"/>
                <w:sz w:val="21"/>
              </w:rPr>
              <w:t>、</w:t>
            </w:r>
            <w:r>
              <w:rPr>
                <w:spacing w:val="-3"/>
                <w:w w:val="100"/>
                <w:sz w:val="21"/>
              </w:rPr>
              <w:t>M</w:t>
            </w:r>
            <w:r>
              <w:rPr>
                <w:w w:val="100"/>
                <w:sz w:val="21"/>
              </w:rPr>
              <w:t>D</w:t>
            </w:r>
            <w:r>
              <w:rPr>
                <w:spacing w:val="-1"/>
                <w:w w:val="100"/>
                <w:sz w:val="21"/>
              </w:rPr>
              <w:t>S</w:t>
            </w:r>
            <w:r>
              <w:rPr>
                <w:spacing w:val="-2"/>
                <w:w w:val="100"/>
                <w:sz w:val="21"/>
              </w:rPr>
              <w:t>-未分类</w:t>
            </w:r>
            <w:r>
              <w:rPr>
                <w:spacing w:val="-3"/>
                <w:w w:val="100"/>
                <w:sz w:val="21"/>
              </w:rPr>
              <w:t>（</w:t>
            </w:r>
            <w:r>
              <w:rPr>
                <w:w w:val="100"/>
                <w:sz w:val="21"/>
              </w:rPr>
              <w:t>MDS</w:t>
            </w:r>
            <w:r>
              <w:rPr>
                <w:spacing w:val="-3"/>
                <w:w w:val="100"/>
                <w:sz w:val="21"/>
              </w:rPr>
              <w:t>-</w:t>
            </w:r>
            <w:r>
              <w:rPr>
                <w:w w:val="100"/>
                <w:sz w:val="21"/>
              </w:rPr>
              <w:t>U</w:t>
            </w:r>
            <w:r>
              <w:rPr>
                <w:spacing w:val="-106"/>
                <w:w w:val="100"/>
                <w:sz w:val="21"/>
              </w:rPr>
              <w:t>）</w:t>
            </w:r>
            <w:r>
              <w:rPr>
                <w:spacing w:val="-3"/>
                <w:w w:val="100"/>
                <w:sz w:val="21"/>
              </w:rPr>
              <w:t>、</w:t>
            </w:r>
            <w:r>
              <w:rPr>
                <w:w w:val="100"/>
                <w:sz w:val="21"/>
              </w:rPr>
              <w:t>MDS</w:t>
            </w:r>
            <w:r>
              <w:rPr>
                <w:spacing w:val="-55"/>
                <w:sz w:val="21"/>
              </w:rPr>
              <w:t> </w:t>
            </w:r>
            <w:r>
              <w:rPr>
                <w:spacing w:val="-2"/>
                <w:w w:val="100"/>
                <w:sz w:val="21"/>
              </w:rPr>
              <w:t>伴单纯</w:t>
            </w:r>
            <w:r>
              <w:rPr>
                <w:spacing w:val="-53"/>
                <w:sz w:val="21"/>
              </w:rPr>
              <w:t> </w:t>
            </w:r>
            <w:r>
              <w:rPr>
                <w:w w:val="100"/>
                <w:sz w:val="21"/>
              </w:rPr>
              <w:t>5q</w:t>
            </w:r>
            <w:r>
              <w:rPr>
                <w:spacing w:val="-3"/>
                <w:w w:val="100"/>
                <w:sz w:val="21"/>
              </w:rPr>
              <w:t>-，且需满足下列所有条</w:t>
            </w:r>
            <w:r>
              <w:rPr>
                <w:spacing w:val="-3"/>
                <w:sz w:val="21"/>
              </w:rPr>
              <w:t>件：</w:t>
            </w:r>
          </w:p>
          <w:p>
            <w:pPr>
              <w:pStyle w:val="TableParagraph"/>
              <w:numPr>
                <w:ilvl w:val="0"/>
                <w:numId w:val="30"/>
              </w:numPr>
              <w:tabs>
                <w:tab w:pos="845" w:val="left" w:leader="none"/>
              </w:tabs>
              <w:spacing w:line="273" w:lineRule="auto" w:before="7" w:after="0"/>
              <w:ind w:left="213" w:right="250" w:firstLine="0"/>
              <w:jc w:val="both"/>
              <w:rPr>
                <w:sz w:val="21"/>
              </w:rPr>
            </w:pPr>
            <w:r>
              <w:rPr>
                <w:spacing w:val="-3"/>
                <w:sz w:val="21"/>
              </w:rPr>
              <w:t>由我们认可的医院中设有专门血液病专科的公立三级甲等医院，血液病专科的主治级别以上的医师确诊；</w:t>
            </w:r>
          </w:p>
          <w:p>
            <w:pPr>
              <w:pStyle w:val="TableParagraph"/>
              <w:numPr>
                <w:ilvl w:val="0"/>
                <w:numId w:val="30"/>
              </w:numPr>
              <w:tabs>
                <w:tab w:pos="845" w:val="left" w:leader="none"/>
              </w:tabs>
              <w:spacing w:line="240" w:lineRule="auto" w:before="7" w:after="0"/>
              <w:ind w:left="213" w:right="0" w:firstLine="0"/>
              <w:jc w:val="both"/>
              <w:rPr>
                <w:sz w:val="21"/>
              </w:rPr>
            </w:pPr>
            <w:r>
              <w:rPr>
                <w:spacing w:val="-3"/>
                <w:sz w:val="21"/>
              </w:rPr>
              <w:t>骨髓穿刺或骨髓活检结果支持诊断；</w:t>
            </w:r>
          </w:p>
          <w:p>
            <w:pPr>
              <w:pStyle w:val="TableParagraph"/>
              <w:numPr>
                <w:ilvl w:val="0"/>
                <w:numId w:val="30"/>
              </w:numPr>
              <w:tabs>
                <w:tab w:pos="845" w:val="left" w:leader="none"/>
              </w:tabs>
              <w:spacing w:line="240" w:lineRule="auto" w:before="36" w:after="0"/>
              <w:ind w:left="213" w:right="0" w:firstLine="0"/>
              <w:jc w:val="both"/>
              <w:rPr>
                <w:sz w:val="21"/>
              </w:rPr>
            </w:pPr>
            <w:r>
              <w:rPr>
                <w:spacing w:val="-3"/>
                <w:sz w:val="21"/>
              </w:rPr>
              <w:t>被保险人已持续接受一个月以上的化疗或已接受骨髓移植治疗。</w:t>
            </w:r>
          </w:p>
        </w:tc>
      </w:tr>
      <w:tr>
        <w:trPr>
          <w:trHeight w:val="538" w:hRule="atLeast"/>
        </w:trPr>
        <w:tc>
          <w:tcPr>
            <w:tcW w:w="781" w:type="dxa"/>
          </w:tcPr>
          <w:p>
            <w:pPr>
              <w:pStyle w:val="TableParagraph"/>
              <w:spacing w:before="100"/>
              <w:ind w:left="180" w:right="241"/>
              <w:jc w:val="center"/>
              <w:rPr>
                <w:b/>
                <w:sz w:val="21"/>
              </w:rPr>
            </w:pPr>
            <w:r>
              <w:rPr>
                <w:b/>
                <w:sz w:val="21"/>
              </w:rPr>
              <w:t>9.4</w:t>
            </w:r>
          </w:p>
        </w:tc>
        <w:tc>
          <w:tcPr>
            <w:tcW w:w="1743" w:type="dxa"/>
          </w:tcPr>
          <w:p>
            <w:pPr>
              <w:pStyle w:val="TableParagraph"/>
              <w:spacing w:before="100"/>
              <w:ind w:left="264"/>
              <w:rPr>
                <w:b/>
                <w:sz w:val="21"/>
              </w:rPr>
            </w:pPr>
            <w:r>
              <w:rPr>
                <w:b/>
                <w:sz w:val="21"/>
              </w:rPr>
              <w:t>意外伤害</w:t>
            </w:r>
          </w:p>
        </w:tc>
        <w:tc>
          <w:tcPr>
            <w:tcW w:w="7823" w:type="dxa"/>
          </w:tcPr>
          <w:p>
            <w:pPr>
              <w:pStyle w:val="TableParagraph"/>
              <w:spacing w:before="100"/>
              <w:ind w:left="213"/>
              <w:rPr>
                <w:sz w:val="21"/>
              </w:rPr>
            </w:pPr>
            <w:r>
              <w:rPr>
                <w:sz w:val="21"/>
              </w:rPr>
              <w:t>指外来的、突发的、非本意的、非疾病的客观事件直接导致身体受到的伤害。</w:t>
            </w:r>
          </w:p>
        </w:tc>
      </w:tr>
      <w:tr>
        <w:trPr>
          <w:trHeight w:val="2411" w:hRule="atLeast"/>
        </w:trPr>
        <w:tc>
          <w:tcPr>
            <w:tcW w:w="781" w:type="dxa"/>
          </w:tcPr>
          <w:p>
            <w:pPr>
              <w:pStyle w:val="TableParagraph"/>
              <w:spacing w:before="99"/>
              <w:ind w:left="180" w:right="241"/>
              <w:jc w:val="center"/>
              <w:rPr>
                <w:b/>
                <w:sz w:val="21"/>
              </w:rPr>
            </w:pPr>
            <w:r>
              <w:rPr>
                <w:b/>
                <w:sz w:val="21"/>
              </w:rPr>
              <w:t>9.5</w:t>
            </w:r>
          </w:p>
        </w:tc>
        <w:tc>
          <w:tcPr>
            <w:tcW w:w="1743" w:type="dxa"/>
          </w:tcPr>
          <w:p>
            <w:pPr>
              <w:pStyle w:val="TableParagraph"/>
              <w:spacing w:before="99"/>
              <w:ind w:left="264"/>
              <w:rPr>
                <w:b/>
                <w:sz w:val="21"/>
              </w:rPr>
            </w:pPr>
            <w:r>
              <w:rPr>
                <w:b/>
                <w:sz w:val="21"/>
              </w:rPr>
              <w:t>专科医生</w:t>
            </w:r>
          </w:p>
        </w:tc>
        <w:tc>
          <w:tcPr>
            <w:tcW w:w="7823" w:type="dxa"/>
          </w:tcPr>
          <w:p>
            <w:pPr>
              <w:pStyle w:val="TableParagraph"/>
              <w:spacing w:before="99"/>
              <w:ind w:left="213"/>
              <w:rPr>
                <w:sz w:val="21"/>
              </w:rPr>
            </w:pPr>
            <w:r>
              <w:rPr>
                <w:sz w:val="21"/>
              </w:rPr>
              <w:t>专科医生应当同时满足以下四项资格条件：</w:t>
            </w:r>
          </w:p>
          <w:p>
            <w:pPr>
              <w:pStyle w:val="TableParagraph"/>
              <w:numPr>
                <w:ilvl w:val="0"/>
                <w:numId w:val="31"/>
              </w:numPr>
              <w:tabs>
                <w:tab w:pos="845" w:val="left" w:leader="none"/>
              </w:tabs>
              <w:spacing w:line="240" w:lineRule="auto" w:before="36" w:after="0"/>
              <w:ind w:left="845" w:right="0" w:hanging="632"/>
              <w:jc w:val="left"/>
              <w:rPr>
                <w:sz w:val="21"/>
              </w:rPr>
            </w:pPr>
            <w:r>
              <w:rPr>
                <w:spacing w:val="-3"/>
                <w:sz w:val="21"/>
              </w:rPr>
              <w:t>具有有效的中华人民共和国《医师资格证书》；</w:t>
            </w:r>
          </w:p>
          <w:p>
            <w:pPr>
              <w:pStyle w:val="TableParagraph"/>
              <w:numPr>
                <w:ilvl w:val="0"/>
                <w:numId w:val="31"/>
              </w:numPr>
              <w:tabs>
                <w:tab w:pos="845" w:val="left" w:leader="none"/>
              </w:tabs>
              <w:spacing w:line="273" w:lineRule="auto" w:before="36" w:after="0"/>
              <w:ind w:left="845" w:right="250" w:hanging="632"/>
              <w:jc w:val="left"/>
              <w:rPr>
                <w:sz w:val="21"/>
              </w:rPr>
            </w:pPr>
            <w:r>
              <w:rPr>
                <w:spacing w:val="-3"/>
                <w:sz w:val="21"/>
              </w:rPr>
              <w:t>具有有效的中华人民共和国《医师执业证书》，并按期到相关部门登记注册；</w:t>
            </w:r>
          </w:p>
          <w:p>
            <w:pPr>
              <w:pStyle w:val="TableParagraph"/>
              <w:numPr>
                <w:ilvl w:val="0"/>
                <w:numId w:val="31"/>
              </w:numPr>
              <w:tabs>
                <w:tab w:pos="845" w:val="left" w:leader="none"/>
              </w:tabs>
              <w:spacing w:line="273" w:lineRule="auto" w:before="7" w:after="0"/>
              <w:ind w:left="845" w:right="250" w:hanging="632"/>
              <w:jc w:val="left"/>
              <w:rPr>
                <w:sz w:val="21"/>
              </w:rPr>
            </w:pPr>
            <w:r>
              <w:rPr>
                <w:spacing w:val="-3"/>
                <w:sz w:val="21"/>
              </w:rPr>
              <w:t>具有有效的中华人民共和国主治医师或主治医师以上职称的《医师职称证书》；</w:t>
            </w:r>
          </w:p>
          <w:p>
            <w:pPr>
              <w:pStyle w:val="TableParagraph"/>
              <w:numPr>
                <w:ilvl w:val="0"/>
                <w:numId w:val="31"/>
              </w:numPr>
              <w:tabs>
                <w:tab w:pos="845" w:val="left" w:leader="none"/>
              </w:tabs>
              <w:spacing w:line="240" w:lineRule="auto" w:before="7" w:after="0"/>
              <w:ind w:left="845" w:right="0" w:hanging="632"/>
              <w:jc w:val="left"/>
              <w:rPr>
                <w:sz w:val="21"/>
              </w:rPr>
            </w:pPr>
            <w:r>
              <w:rPr>
                <w:spacing w:val="-3"/>
                <w:sz w:val="21"/>
              </w:rPr>
              <w:t>在二级或二级以上医院的相应科室从事临床工作三年以上。</w:t>
            </w:r>
          </w:p>
        </w:tc>
      </w:tr>
      <w:tr>
        <w:trPr>
          <w:trHeight w:val="1162" w:hRule="atLeast"/>
        </w:trPr>
        <w:tc>
          <w:tcPr>
            <w:tcW w:w="781" w:type="dxa"/>
          </w:tcPr>
          <w:p>
            <w:pPr>
              <w:pStyle w:val="TableParagraph"/>
              <w:spacing w:before="100"/>
              <w:ind w:left="180" w:right="241"/>
              <w:jc w:val="center"/>
              <w:rPr>
                <w:b/>
                <w:sz w:val="21"/>
              </w:rPr>
            </w:pPr>
            <w:r>
              <w:rPr>
                <w:b/>
                <w:sz w:val="21"/>
              </w:rPr>
              <w:t>9.6</w:t>
            </w:r>
          </w:p>
        </w:tc>
        <w:tc>
          <w:tcPr>
            <w:tcW w:w="1743" w:type="dxa"/>
          </w:tcPr>
          <w:p>
            <w:pPr>
              <w:pStyle w:val="TableParagraph"/>
              <w:spacing w:before="100"/>
              <w:ind w:left="264"/>
              <w:rPr>
                <w:b/>
                <w:sz w:val="21"/>
              </w:rPr>
            </w:pPr>
            <w:r>
              <w:rPr>
                <w:b/>
                <w:sz w:val="21"/>
              </w:rPr>
              <w:t>毒品</w:t>
            </w:r>
          </w:p>
        </w:tc>
        <w:tc>
          <w:tcPr>
            <w:tcW w:w="7823" w:type="dxa"/>
          </w:tcPr>
          <w:p>
            <w:pPr>
              <w:pStyle w:val="TableParagraph"/>
              <w:spacing w:line="273" w:lineRule="auto" w:before="100"/>
              <w:ind w:left="213" w:right="199"/>
              <w:jc w:val="both"/>
              <w:rPr>
                <w:sz w:val="21"/>
              </w:rPr>
            </w:pPr>
            <w:r>
              <w:rPr>
                <w:spacing w:val="-8"/>
                <w:sz w:val="21"/>
              </w:rPr>
              <w:t>指《中华人民共和国刑法》规定的鸦片、海洛因、甲基苯丙胺</w:t>
            </w:r>
            <w:r>
              <w:rPr>
                <w:sz w:val="21"/>
              </w:rPr>
              <w:t>（</w:t>
            </w:r>
            <w:r>
              <w:rPr>
                <w:spacing w:val="-2"/>
                <w:sz w:val="21"/>
              </w:rPr>
              <w:t>冰毒</w:t>
            </w:r>
            <w:r>
              <w:rPr>
                <w:spacing w:val="-108"/>
                <w:sz w:val="21"/>
              </w:rPr>
              <w:t>）</w:t>
            </w:r>
            <w:r>
              <w:rPr>
                <w:spacing w:val="-5"/>
                <w:sz w:val="21"/>
              </w:rPr>
              <w:t>、吗啡、大</w:t>
            </w:r>
            <w:r>
              <w:rPr>
                <w:spacing w:val="-4"/>
                <w:sz w:val="21"/>
              </w:rPr>
              <w:t>麻、可卡因以及国家规定管制的其他能够使人形成瘾癖的麻醉药品和精神药品， </w:t>
            </w:r>
            <w:r>
              <w:rPr>
                <w:spacing w:val="-3"/>
                <w:sz w:val="21"/>
              </w:rPr>
              <w:t>但不包括由医生开具并遵医嘱使用的用于治疗疾病但含有毒品成分的处方药品。</w:t>
            </w:r>
          </w:p>
        </w:tc>
      </w:tr>
      <w:tr>
        <w:trPr>
          <w:trHeight w:val="1163" w:hRule="atLeast"/>
        </w:trPr>
        <w:tc>
          <w:tcPr>
            <w:tcW w:w="781" w:type="dxa"/>
          </w:tcPr>
          <w:p>
            <w:pPr>
              <w:pStyle w:val="TableParagraph"/>
              <w:spacing w:before="99"/>
              <w:ind w:left="180" w:right="241"/>
              <w:jc w:val="center"/>
              <w:rPr>
                <w:b/>
                <w:sz w:val="21"/>
              </w:rPr>
            </w:pPr>
            <w:r>
              <w:rPr>
                <w:b/>
                <w:sz w:val="21"/>
              </w:rPr>
              <w:t>9.7</w:t>
            </w:r>
          </w:p>
        </w:tc>
        <w:tc>
          <w:tcPr>
            <w:tcW w:w="1743" w:type="dxa"/>
          </w:tcPr>
          <w:p>
            <w:pPr>
              <w:pStyle w:val="TableParagraph"/>
              <w:spacing w:before="99"/>
              <w:ind w:left="264"/>
              <w:rPr>
                <w:b/>
                <w:sz w:val="21"/>
              </w:rPr>
            </w:pPr>
            <w:r>
              <w:rPr>
                <w:b/>
                <w:sz w:val="21"/>
              </w:rPr>
              <w:t>酒后驾驶</w:t>
            </w:r>
          </w:p>
        </w:tc>
        <w:tc>
          <w:tcPr>
            <w:tcW w:w="7823" w:type="dxa"/>
          </w:tcPr>
          <w:p>
            <w:pPr>
              <w:pStyle w:val="TableParagraph"/>
              <w:spacing w:line="273" w:lineRule="auto" w:before="99"/>
              <w:ind w:left="213" w:right="25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724" w:hRule="atLeast"/>
        </w:trPr>
        <w:tc>
          <w:tcPr>
            <w:tcW w:w="781" w:type="dxa"/>
          </w:tcPr>
          <w:p>
            <w:pPr>
              <w:pStyle w:val="TableParagraph"/>
              <w:spacing w:before="100"/>
              <w:ind w:left="180" w:right="241"/>
              <w:jc w:val="center"/>
              <w:rPr>
                <w:b/>
                <w:sz w:val="21"/>
              </w:rPr>
            </w:pPr>
            <w:r>
              <w:rPr>
                <w:b/>
                <w:sz w:val="21"/>
              </w:rPr>
              <w:t>9.8</w:t>
            </w:r>
          </w:p>
        </w:tc>
        <w:tc>
          <w:tcPr>
            <w:tcW w:w="1743" w:type="dxa"/>
          </w:tcPr>
          <w:p>
            <w:pPr>
              <w:pStyle w:val="TableParagraph"/>
              <w:spacing w:line="273" w:lineRule="auto" w:before="100"/>
              <w:ind w:left="264" w:right="209"/>
              <w:rPr>
                <w:b/>
                <w:sz w:val="21"/>
              </w:rPr>
            </w:pPr>
            <w:r>
              <w:rPr>
                <w:b/>
                <w:sz w:val="21"/>
              </w:rPr>
              <w:t>无合法有效驾驶证驾驶</w:t>
            </w:r>
          </w:p>
        </w:tc>
        <w:tc>
          <w:tcPr>
            <w:tcW w:w="7823" w:type="dxa"/>
          </w:tcPr>
          <w:p>
            <w:pPr>
              <w:pStyle w:val="TableParagraph"/>
              <w:spacing w:before="100"/>
              <w:ind w:left="213"/>
              <w:rPr>
                <w:sz w:val="21"/>
              </w:rPr>
            </w:pPr>
            <w:r>
              <w:rPr>
                <w:sz w:val="21"/>
              </w:rPr>
              <w:t>指下列情形之一：</w:t>
            </w:r>
          </w:p>
          <w:p>
            <w:pPr>
              <w:pStyle w:val="TableParagraph"/>
              <w:numPr>
                <w:ilvl w:val="0"/>
                <w:numId w:val="32"/>
              </w:numPr>
              <w:tabs>
                <w:tab w:pos="934" w:val="left" w:leader="none"/>
              </w:tabs>
              <w:spacing w:line="240" w:lineRule="auto" w:before="36" w:after="0"/>
              <w:ind w:left="933" w:right="0" w:hanging="720"/>
              <w:jc w:val="left"/>
              <w:rPr>
                <w:sz w:val="21"/>
              </w:rPr>
            </w:pPr>
            <w:r>
              <w:rPr>
                <w:spacing w:val="-3"/>
                <w:sz w:val="21"/>
              </w:rPr>
              <w:t>未依法取得驾驶证资格；</w:t>
            </w:r>
          </w:p>
          <w:p>
            <w:pPr>
              <w:pStyle w:val="TableParagraph"/>
              <w:numPr>
                <w:ilvl w:val="0"/>
                <w:numId w:val="32"/>
              </w:numPr>
              <w:tabs>
                <w:tab w:pos="934" w:val="left" w:leader="none"/>
              </w:tabs>
              <w:spacing w:line="240" w:lineRule="auto" w:before="36" w:after="0"/>
              <w:ind w:left="933" w:right="0" w:hanging="720"/>
              <w:jc w:val="left"/>
              <w:rPr>
                <w:sz w:val="21"/>
              </w:rPr>
            </w:pPr>
            <w:r>
              <w:rPr>
                <w:spacing w:val="-3"/>
                <w:sz w:val="21"/>
              </w:rPr>
              <w:t>驾驶证被依法扣留期间驾驶；</w:t>
            </w:r>
          </w:p>
          <w:p>
            <w:pPr>
              <w:pStyle w:val="TableParagraph"/>
              <w:numPr>
                <w:ilvl w:val="0"/>
                <w:numId w:val="32"/>
              </w:numPr>
              <w:tabs>
                <w:tab w:pos="934" w:val="left" w:leader="none"/>
              </w:tabs>
              <w:spacing w:line="240" w:lineRule="auto" w:before="36" w:after="0"/>
              <w:ind w:left="933" w:right="0" w:hanging="720"/>
              <w:jc w:val="left"/>
              <w:rPr>
                <w:sz w:val="21"/>
              </w:rPr>
            </w:pPr>
            <w:r>
              <w:rPr>
                <w:spacing w:val="-3"/>
                <w:sz w:val="21"/>
              </w:rPr>
              <w:t>驾驶与驾驶证准驾车型不相符合的车辆；</w:t>
            </w:r>
          </w:p>
          <w:p>
            <w:pPr>
              <w:pStyle w:val="TableParagraph"/>
              <w:numPr>
                <w:ilvl w:val="0"/>
                <w:numId w:val="32"/>
              </w:numPr>
              <w:tabs>
                <w:tab w:pos="934" w:val="left" w:leader="none"/>
              </w:tabs>
              <w:spacing w:line="240" w:lineRule="auto" w:before="36" w:after="0"/>
              <w:ind w:left="933" w:right="0" w:hanging="720"/>
              <w:jc w:val="left"/>
              <w:rPr>
                <w:sz w:val="21"/>
              </w:rPr>
            </w:pPr>
            <w:r>
              <w:rPr>
                <w:spacing w:val="-3"/>
                <w:sz w:val="21"/>
              </w:rPr>
              <w:t>持未经审验或者超过有效期限的驾驶证驾驶；</w:t>
            </w:r>
          </w:p>
          <w:p>
            <w:pPr>
              <w:pStyle w:val="TableParagraph"/>
              <w:numPr>
                <w:ilvl w:val="0"/>
                <w:numId w:val="32"/>
              </w:numPr>
              <w:tabs>
                <w:tab w:pos="934" w:val="left" w:leader="none"/>
              </w:tabs>
              <w:spacing w:line="273" w:lineRule="auto" w:before="36" w:after="0"/>
              <w:ind w:left="933" w:right="197" w:hanging="720"/>
              <w:jc w:val="left"/>
              <w:rPr>
                <w:sz w:val="21"/>
              </w:rPr>
            </w:pPr>
            <w:r>
              <w:rPr>
                <w:spacing w:val="-6"/>
                <w:sz w:val="21"/>
              </w:rPr>
              <w:t>持学习驾驶证学习驾车时，无教练员随车指导，或不按指定时间、路线学</w:t>
            </w:r>
            <w:r>
              <w:rPr>
                <w:spacing w:val="-4"/>
                <w:sz w:val="21"/>
              </w:rPr>
              <w:t>习驾车；</w:t>
            </w:r>
          </w:p>
          <w:p>
            <w:pPr>
              <w:pStyle w:val="TableParagraph"/>
              <w:numPr>
                <w:ilvl w:val="0"/>
                <w:numId w:val="32"/>
              </w:numPr>
              <w:tabs>
                <w:tab w:pos="934" w:val="left" w:leader="none"/>
              </w:tabs>
              <w:spacing w:line="240" w:lineRule="auto" w:before="7" w:after="0"/>
              <w:ind w:left="933" w:right="0" w:hanging="720"/>
              <w:jc w:val="left"/>
              <w:rPr>
                <w:sz w:val="21"/>
              </w:rPr>
            </w:pPr>
            <w:r>
              <w:rPr>
                <w:spacing w:val="-3"/>
                <w:sz w:val="21"/>
              </w:rPr>
              <w:t>公安交通管理部门认定的其他无有效驾驶证驾驶的情况。</w:t>
            </w:r>
          </w:p>
        </w:tc>
      </w:tr>
      <w:tr>
        <w:trPr>
          <w:trHeight w:val="687" w:hRule="atLeast"/>
        </w:trPr>
        <w:tc>
          <w:tcPr>
            <w:tcW w:w="781" w:type="dxa"/>
          </w:tcPr>
          <w:p>
            <w:pPr>
              <w:pStyle w:val="TableParagraph"/>
              <w:spacing w:before="101"/>
              <w:ind w:left="180" w:right="241"/>
              <w:jc w:val="center"/>
              <w:rPr>
                <w:b/>
                <w:sz w:val="21"/>
              </w:rPr>
            </w:pPr>
            <w:r>
              <w:rPr>
                <w:b/>
                <w:sz w:val="21"/>
              </w:rPr>
              <w:t>9.9</w:t>
            </w:r>
          </w:p>
        </w:tc>
        <w:tc>
          <w:tcPr>
            <w:tcW w:w="1743" w:type="dxa"/>
          </w:tcPr>
          <w:p>
            <w:pPr>
              <w:pStyle w:val="TableParagraph"/>
              <w:spacing w:before="101"/>
              <w:ind w:left="264"/>
              <w:rPr>
                <w:b/>
                <w:sz w:val="21"/>
              </w:rPr>
            </w:pPr>
            <w:r>
              <w:rPr>
                <w:b/>
                <w:sz w:val="21"/>
              </w:rPr>
              <w:t>机动车</w:t>
            </w:r>
          </w:p>
        </w:tc>
        <w:tc>
          <w:tcPr>
            <w:tcW w:w="7823" w:type="dxa"/>
          </w:tcPr>
          <w:p>
            <w:pPr>
              <w:pStyle w:val="TableParagraph"/>
              <w:spacing w:line="310" w:lineRule="atLeast" w:before="65"/>
              <w:ind w:left="213" w:right="250"/>
              <w:rPr>
                <w:sz w:val="21"/>
              </w:rPr>
            </w:pPr>
            <w:r>
              <w:rPr>
                <w:sz w:val="21"/>
              </w:rPr>
              <w:t>指以动力装置驱动或者牵引，上道路行驶的供人员乘用或者用于运送物品以及进行工程专项作业的轮式车辆，以交通管理部门认定为准。</w:t>
            </w:r>
          </w:p>
        </w:tc>
      </w:tr>
    </w:tbl>
    <w:p>
      <w:pPr>
        <w:spacing w:after="0" w:line="310" w:lineRule="atLeast"/>
        <w:rPr>
          <w:sz w:val="21"/>
        </w:rPr>
        <w:sectPr>
          <w:pgSz w:w="11910" w:h="16840"/>
          <w:pgMar w:header="0" w:footer="896" w:top="1280" w:bottom="1080" w:left="780" w:right="5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796"/>
        <w:gridCol w:w="7822"/>
      </w:tblGrid>
      <w:tr>
        <w:trPr>
          <w:trHeight w:val="998" w:hRule="atLeast"/>
        </w:trPr>
        <w:tc>
          <w:tcPr>
            <w:tcW w:w="834" w:type="dxa"/>
          </w:tcPr>
          <w:p>
            <w:pPr>
              <w:pStyle w:val="TableParagraph"/>
              <w:spacing w:line="211" w:lineRule="exact"/>
              <w:ind w:left="180" w:right="189"/>
              <w:jc w:val="center"/>
              <w:rPr>
                <w:b/>
                <w:sz w:val="21"/>
              </w:rPr>
            </w:pPr>
            <w:r>
              <w:rPr>
                <w:b/>
                <w:sz w:val="21"/>
              </w:rPr>
              <w:t>9.10</w:t>
            </w:r>
          </w:p>
        </w:tc>
        <w:tc>
          <w:tcPr>
            <w:tcW w:w="1796" w:type="dxa"/>
          </w:tcPr>
          <w:p>
            <w:pPr>
              <w:pStyle w:val="TableParagraph"/>
              <w:spacing w:line="211" w:lineRule="exact"/>
              <w:ind w:left="211"/>
              <w:rPr>
                <w:b/>
                <w:sz w:val="21"/>
              </w:rPr>
            </w:pPr>
            <w:r>
              <w:rPr>
                <w:b/>
                <w:sz w:val="21"/>
              </w:rPr>
              <w:t>无有效行驶证</w:t>
            </w:r>
          </w:p>
        </w:tc>
        <w:tc>
          <w:tcPr>
            <w:tcW w:w="7822" w:type="dxa"/>
          </w:tcPr>
          <w:p>
            <w:pPr>
              <w:pStyle w:val="TableParagraph"/>
              <w:spacing w:line="211" w:lineRule="exact"/>
              <w:ind w:left="107"/>
              <w:rPr>
                <w:sz w:val="21"/>
              </w:rPr>
            </w:pPr>
            <w:r>
              <w:rPr>
                <w:sz w:val="21"/>
              </w:rPr>
              <w:t>指下列情形之一：</w:t>
            </w:r>
          </w:p>
          <w:p>
            <w:pPr>
              <w:pStyle w:val="TableParagraph"/>
              <w:numPr>
                <w:ilvl w:val="0"/>
                <w:numId w:val="33"/>
              </w:numPr>
              <w:tabs>
                <w:tab w:pos="739" w:val="left" w:leader="none"/>
              </w:tabs>
              <w:spacing w:line="240" w:lineRule="auto" w:before="37" w:after="0"/>
              <w:ind w:left="739" w:right="0" w:hanging="632"/>
              <w:jc w:val="left"/>
              <w:rPr>
                <w:sz w:val="21"/>
              </w:rPr>
            </w:pPr>
            <w:r>
              <w:rPr>
                <w:spacing w:val="-3"/>
                <w:sz w:val="21"/>
              </w:rPr>
              <w:t>机动车被依法注销登记的；</w:t>
            </w:r>
          </w:p>
          <w:p>
            <w:pPr>
              <w:pStyle w:val="TableParagraph"/>
              <w:numPr>
                <w:ilvl w:val="0"/>
                <w:numId w:val="33"/>
              </w:numPr>
              <w:tabs>
                <w:tab w:pos="739" w:val="left" w:leader="none"/>
              </w:tabs>
              <w:spacing w:line="240" w:lineRule="auto" w:before="36" w:after="0"/>
              <w:ind w:left="739" w:right="0" w:hanging="632"/>
              <w:jc w:val="left"/>
              <w:rPr>
                <w:sz w:val="21"/>
              </w:rPr>
            </w:pPr>
            <w:r>
              <w:rPr>
                <w:spacing w:val="-3"/>
                <w:sz w:val="21"/>
              </w:rPr>
              <w:t>未依法按时进行或通过机动车安全技术检验。</w:t>
            </w:r>
          </w:p>
        </w:tc>
      </w:tr>
      <w:tr>
        <w:trPr>
          <w:trHeight w:val="850" w:hRule="atLeast"/>
        </w:trPr>
        <w:tc>
          <w:tcPr>
            <w:tcW w:w="834" w:type="dxa"/>
          </w:tcPr>
          <w:p>
            <w:pPr>
              <w:pStyle w:val="TableParagraph"/>
              <w:spacing w:before="99"/>
              <w:ind w:left="180" w:right="189"/>
              <w:jc w:val="center"/>
              <w:rPr>
                <w:b/>
                <w:sz w:val="21"/>
              </w:rPr>
            </w:pPr>
            <w:r>
              <w:rPr>
                <w:b/>
                <w:sz w:val="21"/>
              </w:rPr>
              <w:t>9.11</w:t>
            </w:r>
          </w:p>
        </w:tc>
        <w:tc>
          <w:tcPr>
            <w:tcW w:w="1796" w:type="dxa"/>
          </w:tcPr>
          <w:p>
            <w:pPr>
              <w:pStyle w:val="TableParagraph"/>
              <w:spacing w:before="99"/>
              <w:ind w:left="211"/>
              <w:rPr>
                <w:b/>
                <w:sz w:val="21"/>
              </w:rPr>
            </w:pPr>
            <w:r>
              <w:rPr>
                <w:b/>
                <w:sz w:val="21"/>
              </w:rPr>
              <w:t>遗传性疾病</w:t>
            </w:r>
          </w:p>
        </w:tc>
        <w:tc>
          <w:tcPr>
            <w:tcW w:w="7822" w:type="dxa"/>
          </w:tcPr>
          <w:p>
            <w:pPr>
              <w:pStyle w:val="TableParagraph"/>
              <w:spacing w:line="273" w:lineRule="auto" w:before="99"/>
              <w:ind w:left="107" w:right="135"/>
              <w:rPr>
                <w:sz w:val="21"/>
              </w:rPr>
            </w:pPr>
            <w:r>
              <w:rPr>
                <w:sz w:val="21"/>
              </w:rPr>
              <w:t>指生殖细胞或受精卵的遗传物质（染色体和基因）发生突变或畸变所引起的疾病， 通常具有由亲代传至后代的垂直传递的特征。</w:t>
            </w:r>
          </w:p>
        </w:tc>
      </w:tr>
      <w:tr>
        <w:trPr>
          <w:trHeight w:val="1162" w:hRule="atLeast"/>
        </w:trPr>
        <w:tc>
          <w:tcPr>
            <w:tcW w:w="834" w:type="dxa"/>
          </w:tcPr>
          <w:p>
            <w:pPr>
              <w:pStyle w:val="TableParagraph"/>
              <w:spacing w:before="100"/>
              <w:ind w:left="180" w:right="189"/>
              <w:jc w:val="center"/>
              <w:rPr>
                <w:b/>
                <w:sz w:val="21"/>
              </w:rPr>
            </w:pPr>
            <w:r>
              <w:rPr>
                <w:b/>
                <w:sz w:val="21"/>
              </w:rPr>
              <w:t>9.12</w:t>
            </w:r>
          </w:p>
        </w:tc>
        <w:tc>
          <w:tcPr>
            <w:tcW w:w="1796" w:type="dxa"/>
          </w:tcPr>
          <w:p>
            <w:pPr>
              <w:pStyle w:val="TableParagraph"/>
              <w:spacing w:line="273" w:lineRule="auto" w:before="100"/>
              <w:ind w:left="211" w:right="104"/>
              <w:rPr>
                <w:b/>
                <w:sz w:val="21"/>
              </w:rPr>
            </w:pPr>
            <w:r>
              <w:rPr>
                <w:b/>
                <w:sz w:val="21"/>
              </w:rPr>
              <w:t>先天性畸形、变形或染色体异 常</w:t>
            </w:r>
          </w:p>
        </w:tc>
        <w:tc>
          <w:tcPr>
            <w:tcW w:w="7822" w:type="dxa"/>
          </w:tcPr>
          <w:p>
            <w:pPr>
              <w:pStyle w:val="TableParagraph"/>
              <w:spacing w:line="273" w:lineRule="auto" w:before="100"/>
              <w:ind w:left="107" w:right="199"/>
              <w:rPr>
                <w:sz w:val="21"/>
              </w:rPr>
            </w:pPr>
            <w:r>
              <w:rPr>
                <w:spacing w:val="-3"/>
                <w:sz w:val="21"/>
              </w:rPr>
              <w:t>指被保险人出生时就具有的畸形、变形或染色体异常。先天性畸形、变形和染色 </w:t>
            </w:r>
            <w:r>
              <w:rPr>
                <w:spacing w:val="-8"/>
                <w:sz w:val="21"/>
              </w:rPr>
              <w:t>体异常依照世界卫生组织《疾病和有关健康问题的国际统计分类</w:t>
            </w:r>
            <w:r>
              <w:rPr>
                <w:spacing w:val="-159"/>
                <w:sz w:val="21"/>
              </w:rPr>
              <w:t>》</w:t>
            </w:r>
            <w:r>
              <w:rPr>
                <w:spacing w:val="-8"/>
                <w:sz w:val="21"/>
              </w:rPr>
              <w:t>（ICD-10）</w:t>
            </w:r>
            <w:r>
              <w:rPr>
                <w:spacing w:val="-2"/>
                <w:sz w:val="21"/>
              </w:rPr>
              <w:t>确定。</w:t>
            </w:r>
          </w:p>
        </w:tc>
      </w:tr>
      <w:tr>
        <w:trPr>
          <w:trHeight w:val="851" w:hRule="atLeast"/>
        </w:trPr>
        <w:tc>
          <w:tcPr>
            <w:tcW w:w="834" w:type="dxa"/>
          </w:tcPr>
          <w:p>
            <w:pPr>
              <w:pStyle w:val="TableParagraph"/>
              <w:spacing w:before="99"/>
              <w:ind w:left="180" w:right="189"/>
              <w:jc w:val="center"/>
              <w:rPr>
                <w:b/>
                <w:sz w:val="21"/>
              </w:rPr>
            </w:pPr>
            <w:r>
              <w:rPr>
                <w:b/>
                <w:sz w:val="21"/>
              </w:rPr>
              <w:t>9.13</w:t>
            </w:r>
          </w:p>
        </w:tc>
        <w:tc>
          <w:tcPr>
            <w:tcW w:w="1796" w:type="dxa"/>
          </w:tcPr>
          <w:p>
            <w:pPr>
              <w:pStyle w:val="TableParagraph"/>
              <w:spacing w:before="99"/>
              <w:ind w:left="211"/>
              <w:rPr>
                <w:b/>
                <w:sz w:val="21"/>
              </w:rPr>
            </w:pPr>
            <w:r>
              <w:rPr>
                <w:b/>
                <w:sz w:val="21"/>
              </w:rPr>
              <w:t>现金价值</w:t>
            </w:r>
          </w:p>
        </w:tc>
        <w:tc>
          <w:tcPr>
            <w:tcW w:w="7822" w:type="dxa"/>
          </w:tcPr>
          <w:p>
            <w:pPr>
              <w:pStyle w:val="TableParagraph"/>
              <w:spacing w:line="273" w:lineRule="auto" w:before="99"/>
              <w:ind w:left="107" w:right="355"/>
              <w:rPr>
                <w:sz w:val="21"/>
              </w:rPr>
            </w:pPr>
            <w:r>
              <w:rPr>
                <w:sz w:val="21"/>
              </w:rPr>
              <w:t>指保险单所具有的价值，通常体现为解除合同时，根据精算原理计算的，由本公司退还的那部分金额。</w:t>
            </w:r>
          </w:p>
        </w:tc>
      </w:tr>
      <w:tr>
        <w:trPr>
          <w:trHeight w:val="850" w:hRule="atLeast"/>
        </w:trPr>
        <w:tc>
          <w:tcPr>
            <w:tcW w:w="834" w:type="dxa"/>
          </w:tcPr>
          <w:p>
            <w:pPr>
              <w:pStyle w:val="TableParagraph"/>
              <w:spacing w:before="100"/>
              <w:ind w:left="180" w:right="189"/>
              <w:jc w:val="center"/>
              <w:rPr>
                <w:b/>
                <w:sz w:val="21"/>
              </w:rPr>
            </w:pPr>
            <w:r>
              <w:rPr>
                <w:b/>
                <w:sz w:val="21"/>
              </w:rPr>
              <w:t>9.14</w:t>
            </w:r>
          </w:p>
        </w:tc>
        <w:tc>
          <w:tcPr>
            <w:tcW w:w="1796" w:type="dxa"/>
          </w:tcPr>
          <w:p>
            <w:pPr>
              <w:pStyle w:val="TableParagraph"/>
              <w:spacing w:before="100"/>
              <w:ind w:left="211"/>
              <w:rPr>
                <w:b/>
                <w:sz w:val="21"/>
              </w:rPr>
            </w:pPr>
            <w:r>
              <w:rPr>
                <w:b/>
                <w:sz w:val="21"/>
              </w:rPr>
              <w:t>医院</w:t>
            </w:r>
          </w:p>
        </w:tc>
        <w:tc>
          <w:tcPr>
            <w:tcW w:w="7822" w:type="dxa"/>
          </w:tcPr>
          <w:p>
            <w:pPr>
              <w:pStyle w:val="TableParagraph"/>
              <w:spacing w:line="273" w:lineRule="auto" w:before="100"/>
              <w:ind w:left="107" w:right="355"/>
              <w:rPr>
                <w:sz w:val="21"/>
              </w:rPr>
            </w:pPr>
            <w:r>
              <w:rPr>
                <w:sz w:val="21"/>
              </w:rPr>
              <w:t>指国家卫生行政部门的医院等级分类中的二级或二级以上的医院，但不包括主要为康复、护理、疗养、戒酒、戒毒或相类似的医疗机构。</w:t>
            </w:r>
          </w:p>
        </w:tc>
      </w:tr>
      <w:tr>
        <w:trPr>
          <w:trHeight w:val="850" w:hRule="atLeast"/>
        </w:trPr>
        <w:tc>
          <w:tcPr>
            <w:tcW w:w="834" w:type="dxa"/>
          </w:tcPr>
          <w:p>
            <w:pPr>
              <w:pStyle w:val="TableParagraph"/>
              <w:spacing w:before="99"/>
              <w:ind w:left="180" w:right="189"/>
              <w:jc w:val="center"/>
              <w:rPr>
                <w:b/>
                <w:sz w:val="21"/>
              </w:rPr>
            </w:pPr>
            <w:r>
              <w:rPr>
                <w:b/>
                <w:sz w:val="21"/>
              </w:rPr>
              <w:t>9.15</w:t>
            </w:r>
          </w:p>
        </w:tc>
        <w:tc>
          <w:tcPr>
            <w:tcW w:w="1796" w:type="dxa"/>
          </w:tcPr>
          <w:p>
            <w:pPr>
              <w:pStyle w:val="TableParagraph"/>
              <w:spacing w:line="273" w:lineRule="auto" w:before="99"/>
              <w:ind w:left="211" w:right="315"/>
              <w:rPr>
                <w:b/>
                <w:sz w:val="21"/>
              </w:rPr>
            </w:pPr>
            <w:r>
              <w:rPr>
                <w:b/>
                <w:sz w:val="21"/>
              </w:rPr>
              <w:t>肢体机能完全丧失</w:t>
            </w:r>
          </w:p>
        </w:tc>
        <w:tc>
          <w:tcPr>
            <w:tcW w:w="7822" w:type="dxa"/>
          </w:tcPr>
          <w:p>
            <w:pPr>
              <w:pStyle w:val="TableParagraph"/>
              <w:spacing w:line="273" w:lineRule="auto" w:before="99"/>
              <w:ind w:left="107" w:right="355"/>
              <w:rPr>
                <w:sz w:val="21"/>
              </w:rPr>
            </w:pPr>
            <w:r>
              <w:rPr>
                <w:sz w:val="21"/>
              </w:rPr>
              <w:t>指肢体的三大关节中的两大关节僵硬，或不能随意识活动。肢体是指包括肩关节的整个上肢或包括髋关节的整个下肢。</w:t>
            </w:r>
          </w:p>
        </w:tc>
      </w:tr>
      <w:tr>
        <w:trPr>
          <w:trHeight w:val="1476" w:hRule="atLeast"/>
        </w:trPr>
        <w:tc>
          <w:tcPr>
            <w:tcW w:w="834" w:type="dxa"/>
          </w:tcPr>
          <w:p>
            <w:pPr>
              <w:pStyle w:val="TableParagraph"/>
              <w:spacing w:before="100"/>
              <w:ind w:left="180" w:right="189"/>
              <w:jc w:val="center"/>
              <w:rPr>
                <w:b/>
                <w:sz w:val="21"/>
              </w:rPr>
            </w:pPr>
            <w:r>
              <w:rPr>
                <w:b/>
                <w:sz w:val="21"/>
              </w:rPr>
              <w:t>9.16</w:t>
            </w:r>
          </w:p>
        </w:tc>
        <w:tc>
          <w:tcPr>
            <w:tcW w:w="1796" w:type="dxa"/>
          </w:tcPr>
          <w:p>
            <w:pPr>
              <w:pStyle w:val="TableParagraph"/>
              <w:spacing w:line="273" w:lineRule="auto" w:before="100"/>
              <w:ind w:left="211" w:right="315"/>
              <w:jc w:val="both"/>
              <w:rPr>
                <w:b/>
                <w:sz w:val="21"/>
              </w:rPr>
            </w:pPr>
            <w:r>
              <w:rPr>
                <w:b/>
                <w:sz w:val="21"/>
              </w:rPr>
              <w:t>语言能力或咀嚼吞咽能力完全丧失</w:t>
            </w:r>
          </w:p>
        </w:tc>
        <w:tc>
          <w:tcPr>
            <w:tcW w:w="7822" w:type="dxa"/>
          </w:tcPr>
          <w:p>
            <w:pPr>
              <w:pStyle w:val="TableParagraph"/>
              <w:spacing w:line="273" w:lineRule="auto" w:before="100"/>
              <w:ind w:left="107" w:right="355"/>
              <w:rPr>
                <w:sz w:val="21"/>
              </w:rPr>
            </w:pPr>
            <w:r>
              <w:rPr>
                <w:spacing w:val="-3"/>
                <w:sz w:val="21"/>
              </w:rPr>
              <w:t>语言能力完全丧失，指无法发出四种语音</w:t>
            </w:r>
            <w:r>
              <w:rPr>
                <w:sz w:val="21"/>
              </w:rPr>
              <w:t>（</w:t>
            </w:r>
            <w:r>
              <w:rPr>
                <w:spacing w:val="-3"/>
                <w:sz w:val="21"/>
              </w:rPr>
              <w:t>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2411" w:hRule="atLeast"/>
        </w:trPr>
        <w:tc>
          <w:tcPr>
            <w:tcW w:w="834" w:type="dxa"/>
          </w:tcPr>
          <w:p>
            <w:pPr>
              <w:pStyle w:val="TableParagraph"/>
              <w:spacing w:before="101"/>
              <w:ind w:left="180" w:right="189"/>
              <w:jc w:val="center"/>
              <w:rPr>
                <w:b/>
                <w:sz w:val="21"/>
              </w:rPr>
            </w:pPr>
            <w:r>
              <w:rPr>
                <w:b/>
                <w:sz w:val="21"/>
              </w:rPr>
              <w:t>9.17</w:t>
            </w:r>
          </w:p>
        </w:tc>
        <w:tc>
          <w:tcPr>
            <w:tcW w:w="1796" w:type="dxa"/>
          </w:tcPr>
          <w:p>
            <w:pPr>
              <w:pStyle w:val="TableParagraph"/>
              <w:spacing w:line="273" w:lineRule="auto" w:before="101"/>
              <w:ind w:left="211" w:right="315"/>
              <w:rPr>
                <w:b/>
                <w:sz w:val="21"/>
              </w:rPr>
            </w:pPr>
            <w:r>
              <w:rPr>
                <w:b/>
                <w:sz w:val="21"/>
              </w:rPr>
              <w:t>六项基本日常生活活动</w:t>
            </w:r>
          </w:p>
        </w:tc>
        <w:tc>
          <w:tcPr>
            <w:tcW w:w="7822" w:type="dxa"/>
          </w:tcPr>
          <w:p>
            <w:pPr>
              <w:pStyle w:val="TableParagraph"/>
              <w:spacing w:before="101"/>
              <w:ind w:left="107"/>
              <w:rPr>
                <w:sz w:val="21"/>
              </w:rPr>
            </w:pPr>
            <w:r>
              <w:rPr>
                <w:sz w:val="21"/>
              </w:rPr>
              <w:t>六项基本日常生活活动是指：</w:t>
            </w:r>
          </w:p>
          <w:p>
            <w:pPr>
              <w:pStyle w:val="TableParagraph"/>
              <w:numPr>
                <w:ilvl w:val="0"/>
                <w:numId w:val="34"/>
              </w:numPr>
              <w:tabs>
                <w:tab w:pos="739" w:val="left" w:leader="none"/>
              </w:tabs>
              <w:spacing w:line="240" w:lineRule="auto" w:before="37" w:after="0"/>
              <w:ind w:left="739" w:right="0" w:hanging="632"/>
              <w:jc w:val="left"/>
              <w:rPr>
                <w:sz w:val="21"/>
              </w:rPr>
            </w:pPr>
            <w:r>
              <w:rPr>
                <w:spacing w:val="-3"/>
                <w:sz w:val="21"/>
              </w:rPr>
              <w:t>穿衣：自己能够穿衣及脱衣；</w:t>
            </w:r>
          </w:p>
          <w:p>
            <w:pPr>
              <w:pStyle w:val="TableParagraph"/>
              <w:numPr>
                <w:ilvl w:val="0"/>
                <w:numId w:val="34"/>
              </w:numPr>
              <w:tabs>
                <w:tab w:pos="739" w:val="left" w:leader="none"/>
              </w:tabs>
              <w:spacing w:line="240" w:lineRule="auto" w:before="37" w:after="0"/>
              <w:ind w:left="739" w:right="0" w:hanging="632"/>
              <w:jc w:val="left"/>
              <w:rPr>
                <w:sz w:val="21"/>
              </w:rPr>
            </w:pPr>
            <w:r>
              <w:rPr>
                <w:spacing w:val="-3"/>
                <w:sz w:val="21"/>
              </w:rPr>
              <w:t>移动：自己从一个房间到另一个房间；</w:t>
            </w:r>
          </w:p>
          <w:p>
            <w:pPr>
              <w:pStyle w:val="TableParagraph"/>
              <w:numPr>
                <w:ilvl w:val="0"/>
                <w:numId w:val="34"/>
              </w:numPr>
              <w:tabs>
                <w:tab w:pos="739" w:val="left" w:leader="none"/>
              </w:tabs>
              <w:spacing w:line="240" w:lineRule="auto" w:before="37" w:after="0"/>
              <w:ind w:left="739" w:right="0" w:hanging="632"/>
              <w:jc w:val="left"/>
              <w:rPr>
                <w:sz w:val="21"/>
              </w:rPr>
            </w:pPr>
            <w:r>
              <w:rPr>
                <w:spacing w:val="-3"/>
                <w:sz w:val="21"/>
              </w:rPr>
              <w:t>行动：自己上下床或上下轮椅；</w:t>
            </w:r>
          </w:p>
          <w:p>
            <w:pPr>
              <w:pStyle w:val="TableParagraph"/>
              <w:numPr>
                <w:ilvl w:val="0"/>
                <w:numId w:val="34"/>
              </w:numPr>
              <w:tabs>
                <w:tab w:pos="739" w:val="left" w:leader="none"/>
              </w:tabs>
              <w:spacing w:line="240" w:lineRule="auto" w:before="37" w:after="0"/>
              <w:ind w:left="739" w:right="0" w:hanging="632"/>
              <w:jc w:val="left"/>
              <w:rPr>
                <w:sz w:val="21"/>
              </w:rPr>
            </w:pPr>
            <w:r>
              <w:rPr>
                <w:spacing w:val="-3"/>
                <w:sz w:val="21"/>
              </w:rPr>
              <w:t>如厕：自己控制进行大小便；</w:t>
            </w:r>
          </w:p>
          <w:p>
            <w:pPr>
              <w:pStyle w:val="TableParagraph"/>
              <w:numPr>
                <w:ilvl w:val="0"/>
                <w:numId w:val="34"/>
              </w:numPr>
              <w:tabs>
                <w:tab w:pos="739" w:val="left" w:leader="none"/>
              </w:tabs>
              <w:spacing w:line="240" w:lineRule="auto" w:before="37" w:after="0"/>
              <w:ind w:left="739" w:right="0" w:hanging="632"/>
              <w:jc w:val="left"/>
              <w:rPr>
                <w:sz w:val="21"/>
              </w:rPr>
            </w:pPr>
            <w:r>
              <w:rPr>
                <w:spacing w:val="-3"/>
                <w:sz w:val="21"/>
              </w:rPr>
              <w:t>进食：自己从已准备好的碗或碟中取食物放入口中；</w:t>
            </w:r>
          </w:p>
          <w:p>
            <w:pPr>
              <w:pStyle w:val="TableParagraph"/>
              <w:numPr>
                <w:ilvl w:val="0"/>
                <w:numId w:val="34"/>
              </w:numPr>
              <w:tabs>
                <w:tab w:pos="739" w:val="left" w:leader="none"/>
              </w:tabs>
              <w:spacing w:line="240" w:lineRule="auto" w:before="37" w:after="0"/>
              <w:ind w:left="739" w:right="0" w:hanging="632"/>
              <w:jc w:val="left"/>
              <w:rPr>
                <w:sz w:val="21"/>
              </w:rPr>
            </w:pPr>
            <w:r>
              <w:rPr>
                <w:spacing w:val="-3"/>
                <w:sz w:val="21"/>
              </w:rPr>
              <w:t>洗澡：自己进行淋浴或盆浴。</w:t>
            </w:r>
          </w:p>
        </w:tc>
      </w:tr>
      <w:tr>
        <w:trPr>
          <w:trHeight w:val="686" w:hRule="atLeast"/>
        </w:trPr>
        <w:tc>
          <w:tcPr>
            <w:tcW w:w="834" w:type="dxa"/>
          </w:tcPr>
          <w:p>
            <w:pPr>
              <w:pStyle w:val="TableParagraph"/>
              <w:spacing w:before="99"/>
              <w:ind w:left="180" w:right="189"/>
              <w:jc w:val="center"/>
              <w:rPr>
                <w:b/>
                <w:sz w:val="21"/>
              </w:rPr>
            </w:pPr>
            <w:r>
              <w:rPr>
                <w:b/>
                <w:sz w:val="21"/>
              </w:rPr>
              <w:t>9.18</w:t>
            </w:r>
          </w:p>
        </w:tc>
        <w:tc>
          <w:tcPr>
            <w:tcW w:w="1796" w:type="dxa"/>
          </w:tcPr>
          <w:p>
            <w:pPr>
              <w:pStyle w:val="TableParagraph"/>
              <w:spacing w:before="99"/>
              <w:ind w:left="211"/>
              <w:rPr>
                <w:b/>
                <w:sz w:val="21"/>
              </w:rPr>
            </w:pPr>
            <w:r>
              <w:rPr>
                <w:b/>
                <w:sz w:val="21"/>
              </w:rPr>
              <w:t>永久不可逆</w:t>
            </w:r>
          </w:p>
        </w:tc>
        <w:tc>
          <w:tcPr>
            <w:tcW w:w="7822" w:type="dxa"/>
          </w:tcPr>
          <w:p>
            <w:pPr>
              <w:pStyle w:val="TableParagraph"/>
              <w:spacing w:line="310" w:lineRule="atLeast" w:before="64"/>
              <w:ind w:left="107" w:right="354"/>
              <w:rPr>
                <w:sz w:val="21"/>
              </w:rPr>
            </w:pPr>
            <w:r>
              <w:rPr>
                <w:spacing w:val="-5"/>
                <w:sz w:val="21"/>
              </w:rPr>
              <w:t>指自疾病确诊或意外伤害发生之日起，经过积极治疗 </w:t>
            </w:r>
            <w:r>
              <w:rPr>
                <w:sz w:val="21"/>
              </w:rPr>
              <w:t>180</w:t>
            </w:r>
            <w:r>
              <w:rPr>
                <w:spacing w:val="-7"/>
                <w:sz w:val="21"/>
              </w:rPr>
              <w:t> 天后，仍无法通过现有</w:t>
            </w:r>
            <w:r>
              <w:rPr>
                <w:spacing w:val="-5"/>
                <w:sz w:val="21"/>
              </w:rPr>
              <w:t>医疗手段恢复。</w:t>
            </w:r>
          </w:p>
        </w:tc>
      </w:tr>
    </w:tbl>
    <w:sectPr>
      <w:pgSz w:w="11910" w:h="16840"/>
      <w:pgMar w:header="0" w:footer="896" w:top="1280" w:bottom="1080" w:left="7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仿宋">
    <w:altName w:val="仿宋"/>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algun Gothic">
    <w:altName w:val="Malgun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6.410004pt;margin-top:782.139954pt;width:74.150pt;height:12pt;mso-position-horizontal-relative:page;mso-position-vertical-relative:page;z-index:-4535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3"/>
                    <w:sz w:val="18"/>
                  </w:rPr>
                  <w:t>页，共 </w:t>
                </w:r>
                <w:r>
                  <w:rPr>
                    <w:rFonts w:ascii="Times New Roman" w:eastAsia="Times New Roman"/>
                    <w:sz w:val="18"/>
                  </w:rPr>
                  <w:t>20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56" w:hanging="632"/>
      </w:pPr>
      <w:rPr>
        <w:rFonts w:hint="default"/>
      </w:rPr>
    </w:lvl>
    <w:lvl w:ilvl="3">
      <w:start w:val="0"/>
      <w:numFmt w:val="bullet"/>
      <w:lvlText w:val="•"/>
      <w:lvlJc w:val="left"/>
      <w:pPr>
        <w:ind w:left="2864" w:hanging="632"/>
      </w:pPr>
      <w:rPr>
        <w:rFonts w:hint="default"/>
      </w:rPr>
    </w:lvl>
    <w:lvl w:ilvl="4">
      <w:start w:val="0"/>
      <w:numFmt w:val="bullet"/>
      <w:lvlText w:val="•"/>
      <w:lvlJc w:val="left"/>
      <w:pPr>
        <w:ind w:left="3572" w:hanging="632"/>
      </w:pPr>
      <w:rPr>
        <w:rFonts w:hint="default"/>
      </w:rPr>
    </w:lvl>
    <w:lvl w:ilvl="5">
      <w:start w:val="0"/>
      <w:numFmt w:val="bullet"/>
      <w:lvlText w:val="•"/>
      <w:lvlJc w:val="left"/>
      <w:pPr>
        <w:ind w:left="4281" w:hanging="632"/>
      </w:pPr>
      <w:rPr>
        <w:rFonts w:hint="default"/>
      </w:rPr>
    </w:lvl>
    <w:lvl w:ilvl="6">
      <w:start w:val="0"/>
      <w:numFmt w:val="bullet"/>
      <w:lvlText w:val="•"/>
      <w:lvlJc w:val="left"/>
      <w:pPr>
        <w:ind w:left="4989" w:hanging="632"/>
      </w:pPr>
      <w:rPr>
        <w:rFonts w:hint="default"/>
      </w:rPr>
    </w:lvl>
    <w:lvl w:ilvl="7">
      <w:start w:val="0"/>
      <w:numFmt w:val="bullet"/>
      <w:lvlText w:val="•"/>
      <w:lvlJc w:val="left"/>
      <w:pPr>
        <w:ind w:left="5697" w:hanging="632"/>
      </w:pPr>
      <w:rPr>
        <w:rFonts w:hint="default"/>
      </w:rPr>
    </w:lvl>
    <w:lvl w:ilvl="8">
      <w:start w:val="0"/>
      <w:numFmt w:val="bullet"/>
      <w:lvlText w:val="•"/>
      <w:lvlJc w:val="left"/>
      <w:pPr>
        <w:ind w:left="6405" w:hanging="632"/>
      </w:pPr>
      <w:rPr>
        <w:rFonts w:hint="default"/>
      </w:rPr>
    </w:lvl>
  </w:abstractNum>
  <w:abstractNum w:abstractNumId="32">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56" w:hanging="632"/>
      </w:pPr>
      <w:rPr>
        <w:rFonts w:hint="default"/>
      </w:rPr>
    </w:lvl>
    <w:lvl w:ilvl="3">
      <w:start w:val="0"/>
      <w:numFmt w:val="bullet"/>
      <w:lvlText w:val="•"/>
      <w:lvlJc w:val="left"/>
      <w:pPr>
        <w:ind w:left="2864" w:hanging="632"/>
      </w:pPr>
      <w:rPr>
        <w:rFonts w:hint="default"/>
      </w:rPr>
    </w:lvl>
    <w:lvl w:ilvl="4">
      <w:start w:val="0"/>
      <w:numFmt w:val="bullet"/>
      <w:lvlText w:val="•"/>
      <w:lvlJc w:val="left"/>
      <w:pPr>
        <w:ind w:left="3572" w:hanging="632"/>
      </w:pPr>
      <w:rPr>
        <w:rFonts w:hint="default"/>
      </w:rPr>
    </w:lvl>
    <w:lvl w:ilvl="5">
      <w:start w:val="0"/>
      <w:numFmt w:val="bullet"/>
      <w:lvlText w:val="•"/>
      <w:lvlJc w:val="left"/>
      <w:pPr>
        <w:ind w:left="4281" w:hanging="632"/>
      </w:pPr>
      <w:rPr>
        <w:rFonts w:hint="default"/>
      </w:rPr>
    </w:lvl>
    <w:lvl w:ilvl="6">
      <w:start w:val="0"/>
      <w:numFmt w:val="bullet"/>
      <w:lvlText w:val="•"/>
      <w:lvlJc w:val="left"/>
      <w:pPr>
        <w:ind w:left="4989" w:hanging="632"/>
      </w:pPr>
      <w:rPr>
        <w:rFonts w:hint="default"/>
      </w:rPr>
    </w:lvl>
    <w:lvl w:ilvl="7">
      <w:start w:val="0"/>
      <w:numFmt w:val="bullet"/>
      <w:lvlText w:val="•"/>
      <w:lvlJc w:val="left"/>
      <w:pPr>
        <w:ind w:left="5697" w:hanging="632"/>
      </w:pPr>
      <w:rPr>
        <w:rFonts w:hint="default"/>
      </w:rPr>
    </w:lvl>
    <w:lvl w:ilvl="8">
      <w:start w:val="0"/>
      <w:numFmt w:val="bullet"/>
      <w:lvlText w:val="•"/>
      <w:lvlJc w:val="left"/>
      <w:pPr>
        <w:ind w:left="6405" w:hanging="632"/>
      </w:pPr>
      <w:rPr>
        <w:rFonts w:hint="default"/>
      </w:rPr>
    </w:lvl>
  </w:abstractNum>
  <w:abstractNum w:abstractNumId="31">
    <w:multiLevelType w:val="hybridMultilevel"/>
    <w:lvl w:ilvl="0">
      <w:start w:val="1"/>
      <w:numFmt w:val="decimal"/>
      <w:lvlText w:val="（%1）"/>
      <w:lvlJc w:val="left"/>
      <w:pPr>
        <w:ind w:left="933" w:hanging="721"/>
        <w:jc w:val="left"/>
      </w:pPr>
      <w:rPr>
        <w:rFonts w:hint="default" w:ascii="宋体" w:hAnsi="宋体" w:eastAsia="宋体" w:cs="宋体"/>
        <w:w w:val="100"/>
        <w:sz w:val="21"/>
        <w:szCs w:val="21"/>
      </w:rPr>
    </w:lvl>
    <w:lvl w:ilvl="1">
      <w:start w:val="0"/>
      <w:numFmt w:val="bullet"/>
      <w:lvlText w:val="•"/>
      <w:lvlJc w:val="left"/>
      <w:pPr>
        <w:ind w:left="1628" w:hanging="721"/>
      </w:pPr>
      <w:rPr>
        <w:rFonts w:hint="default"/>
      </w:rPr>
    </w:lvl>
    <w:lvl w:ilvl="2">
      <w:start w:val="0"/>
      <w:numFmt w:val="bullet"/>
      <w:lvlText w:val="•"/>
      <w:lvlJc w:val="left"/>
      <w:pPr>
        <w:ind w:left="2316" w:hanging="721"/>
      </w:pPr>
      <w:rPr>
        <w:rFonts w:hint="default"/>
      </w:rPr>
    </w:lvl>
    <w:lvl w:ilvl="3">
      <w:start w:val="0"/>
      <w:numFmt w:val="bullet"/>
      <w:lvlText w:val="•"/>
      <w:lvlJc w:val="left"/>
      <w:pPr>
        <w:ind w:left="3004" w:hanging="721"/>
      </w:pPr>
      <w:rPr>
        <w:rFonts w:hint="default"/>
      </w:rPr>
    </w:lvl>
    <w:lvl w:ilvl="4">
      <w:start w:val="0"/>
      <w:numFmt w:val="bullet"/>
      <w:lvlText w:val="•"/>
      <w:lvlJc w:val="left"/>
      <w:pPr>
        <w:ind w:left="3693"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69" w:hanging="721"/>
      </w:pPr>
      <w:rPr>
        <w:rFonts w:hint="default"/>
      </w:rPr>
    </w:lvl>
    <w:lvl w:ilvl="7">
      <w:start w:val="0"/>
      <w:numFmt w:val="bullet"/>
      <w:lvlText w:val="•"/>
      <w:lvlJc w:val="left"/>
      <w:pPr>
        <w:ind w:left="5758" w:hanging="721"/>
      </w:pPr>
      <w:rPr>
        <w:rFonts w:hint="default"/>
      </w:rPr>
    </w:lvl>
    <w:lvl w:ilvl="8">
      <w:start w:val="0"/>
      <w:numFmt w:val="bullet"/>
      <w:lvlText w:val="•"/>
      <w:lvlJc w:val="left"/>
      <w:pPr>
        <w:ind w:left="6446" w:hanging="721"/>
      </w:pPr>
      <w:rPr>
        <w:rFonts w:hint="default"/>
      </w:rPr>
    </w:lvl>
  </w:abstractNum>
  <w:abstractNum w:abstractNumId="30">
    <w:multiLevelType w:val="hybridMultilevel"/>
    <w:lvl w:ilvl="0">
      <w:start w:val="1"/>
      <w:numFmt w:val="decimal"/>
      <w:lvlText w:val="（%1）"/>
      <w:lvlJc w:val="left"/>
      <w:pPr>
        <w:ind w:left="845" w:hanging="632"/>
        <w:jc w:val="left"/>
      </w:pPr>
      <w:rPr>
        <w:rFonts w:hint="default" w:ascii="宋体" w:hAnsi="宋体" w:eastAsia="宋体" w:cs="宋体"/>
        <w:w w:val="100"/>
        <w:sz w:val="21"/>
        <w:szCs w:val="21"/>
      </w:rPr>
    </w:lvl>
    <w:lvl w:ilvl="1">
      <w:start w:val="0"/>
      <w:numFmt w:val="bullet"/>
      <w:lvlText w:val="•"/>
      <w:lvlJc w:val="left"/>
      <w:pPr>
        <w:ind w:left="1538" w:hanging="632"/>
      </w:pPr>
      <w:rPr>
        <w:rFonts w:hint="default"/>
      </w:rPr>
    </w:lvl>
    <w:lvl w:ilvl="2">
      <w:start w:val="0"/>
      <w:numFmt w:val="bullet"/>
      <w:lvlText w:val="•"/>
      <w:lvlJc w:val="left"/>
      <w:pPr>
        <w:ind w:left="2236" w:hanging="632"/>
      </w:pPr>
      <w:rPr>
        <w:rFonts w:hint="default"/>
      </w:rPr>
    </w:lvl>
    <w:lvl w:ilvl="3">
      <w:start w:val="0"/>
      <w:numFmt w:val="bullet"/>
      <w:lvlText w:val="•"/>
      <w:lvlJc w:val="left"/>
      <w:pPr>
        <w:ind w:left="2934" w:hanging="632"/>
      </w:pPr>
      <w:rPr>
        <w:rFonts w:hint="default"/>
      </w:rPr>
    </w:lvl>
    <w:lvl w:ilvl="4">
      <w:start w:val="0"/>
      <w:numFmt w:val="bullet"/>
      <w:lvlText w:val="•"/>
      <w:lvlJc w:val="left"/>
      <w:pPr>
        <w:ind w:left="3633" w:hanging="632"/>
      </w:pPr>
      <w:rPr>
        <w:rFonts w:hint="default"/>
      </w:rPr>
    </w:lvl>
    <w:lvl w:ilvl="5">
      <w:start w:val="0"/>
      <w:numFmt w:val="bullet"/>
      <w:lvlText w:val="•"/>
      <w:lvlJc w:val="left"/>
      <w:pPr>
        <w:ind w:left="4331" w:hanging="632"/>
      </w:pPr>
      <w:rPr>
        <w:rFonts w:hint="default"/>
      </w:rPr>
    </w:lvl>
    <w:lvl w:ilvl="6">
      <w:start w:val="0"/>
      <w:numFmt w:val="bullet"/>
      <w:lvlText w:val="•"/>
      <w:lvlJc w:val="left"/>
      <w:pPr>
        <w:ind w:left="5029" w:hanging="632"/>
      </w:pPr>
      <w:rPr>
        <w:rFonts w:hint="default"/>
      </w:rPr>
    </w:lvl>
    <w:lvl w:ilvl="7">
      <w:start w:val="0"/>
      <w:numFmt w:val="bullet"/>
      <w:lvlText w:val="•"/>
      <w:lvlJc w:val="left"/>
      <w:pPr>
        <w:ind w:left="5728" w:hanging="632"/>
      </w:pPr>
      <w:rPr>
        <w:rFonts w:hint="default"/>
      </w:rPr>
    </w:lvl>
    <w:lvl w:ilvl="8">
      <w:start w:val="0"/>
      <w:numFmt w:val="bullet"/>
      <w:lvlText w:val="•"/>
      <w:lvlJc w:val="left"/>
      <w:pPr>
        <w:ind w:left="6426" w:hanging="632"/>
      </w:pPr>
      <w:rPr>
        <w:rFonts w:hint="default"/>
      </w:rPr>
    </w:lvl>
  </w:abstractNum>
  <w:abstractNum w:abstractNumId="29">
    <w:multiLevelType w:val="hybridMultilevel"/>
    <w:lvl w:ilvl="0">
      <w:start w:val="1"/>
      <w:numFmt w:val="decimal"/>
      <w:lvlText w:val="（%1）"/>
      <w:lvlJc w:val="left"/>
      <w:pPr>
        <w:ind w:left="213" w:hanging="632"/>
        <w:jc w:val="left"/>
      </w:pPr>
      <w:rPr>
        <w:rFonts w:hint="default" w:ascii="宋体" w:hAnsi="宋体" w:eastAsia="宋体" w:cs="宋体"/>
        <w:w w:val="100"/>
        <w:sz w:val="21"/>
        <w:szCs w:val="21"/>
      </w:rPr>
    </w:lvl>
    <w:lvl w:ilvl="1">
      <w:start w:val="0"/>
      <w:numFmt w:val="bullet"/>
      <w:lvlText w:val="•"/>
      <w:lvlJc w:val="left"/>
      <w:pPr>
        <w:ind w:left="980" w:hanging="632"/>
      </w:pPr>
      <w:rPr>
        <w:rFonts w:hint="default"/>
      </w:rPr>
    </w:lvl>
    <w:lvl w:ilvl="2">
      <w:start w:val="0"/>
      <w:numFmt w:val="bullet"/>
      <w:lvlText w:val="•"/>
      <w:lvlJc w:val="left"/>
      <w:pPr>
        <w:ind w:left="1740" w:hanging="632"/>
      </w:pPr>
      <w:rPr>
        <w:rFonts w:hint="default"/>
      </w:rPr>
    </w:lvl>
    <w:lvl w:ilvl="3">
      <w:start w:val="0"/>
      <w:numFmt w:val="bullet"/>
      <w:lvlText w:val="•"/>
      <w:lvlJc w:val="left"/>
      <w:pPr>
        <w:ind w:left="2500" w:hanging="632"/>
      </w:pPr>
      <w:rPr>
        <w:rFonts w:hint="default"/>
      </w:rPr>
    </w:lvl>
    <w:lvl w:ilvl="4">
      <w:start w:val="0"/>
      <w:numFmt w:val="bullet"/>
      <w:lvlText w:val="•"/>
      <w:lvlJc w:val="left"/>
      <w:pPr>
        <w:ind w:left="3261" w:hanging="632"/>
      </w:pPr>
      <w:rPr>
        <w:rFonts w:hint="default"/>
      </w:rPr>
    </w:lvl>
    <w:lvl w:ilvl="5">
      <w:start w:val="0"/>
      <w:numFmt w:val="bullet"/>
      <w:lvlText w:val="•"/>
      <w:lvlJc w:val="left"/>
      <w:pPr>
        <w:ind w:left="4021" w:hanging="632"/>
      </w:pPr>
      <w:rPr>
        <w:rFonts w:hint="default"/>
      </w:rPr>
    </w:lvl>
    <w:lvl w:ilvl="6">
      <w:start w:val="0"/>
      <w:numFmt w:val="bullet"/>
      <w:lvlText w:val="•"/>
      <w:lvlJc w:val="left"/>
      <w:pPr>
        <w:ind w:left="4781" w:hanging="632"/>
      </w:pPr>
      <w:rPr>
        <w:rFonts w:hint="default"/>
      </w:rPr>
    </w:lvl>
    <w:lvl w:ilvl="7">
      <w:start w:val="0"/>
      <w:numFmt w:val="bullet"/>
      <w:lvlText w:val="•"/>
      <w:lvlJc w:val="left"/>
      <w:pPr>
        <w:ind w:left="5542" w:hanging="632"/>
      </w:pPr>
      <w:rPr>
        <w:rFonts w:hint="default"/>
      </w:rPr>
    </w:lvl>
    <w:lvl w:ilvl="8">
      <w:start w:val="0"/>
      <w:numFmt w:val="bullet"/>
      <w:lvlText w:val="•"/>
      <w:lvlJc w:val="left"/>
      <w:pPr>
        <w:ind w:left="6302" w:hanging="632"/>
      </w:pPr>
      <w:rPr>
        <w:rFonts w:hint="default"/>
      </w:rPr>
    </w:lvl>
  </w:abstractNum>
  <w:abstractNum w:abstractNumId="28">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56" w:hanging="632"/>
      </w:pPr>
      <w:rPr>
        <w:rFonts w:hint="default"/>
      </w:rPr>
    </w:lvl>
    <w:lvl w:ilvl="3">
      <w:start w:val="0"/>
      <w:numFmt w:val="bullet"/>
      <w:lvlText w:val="•"/>
      <w:lvlJc w:val="left"/>
      <w:pPr>
        <w:ind w:left="2864" w:hanging="632"/>
      </w:pPr>
      <w:rPr>
        <w:rFonts w:hint="default"/>
      </w:rPr>
    </w:lvl>
    <w:lvl w:ilvl="4">
      <w:start w:val="0"/>
      <w:numFmt w:val="bullet"/>
      <w:lvlText w:val="•"/>
      <w:lvlJc w:val="left"/>
      <w:pPr>
        <w:ind w:left="3573" w:hanging="632"/>
      </w:pPr>
      <w:rPr>
        <w:rFonts w:hint="default"/>
      </w:rPr>
    </w:lvl>
    <w:lvl w:ilvl="5">
      <w:start w:val="0"/>
      <w:numFmt w:val="bullet"/>
      <w:lvlText w:val="•"/>
      <w:lvlJc w:val="left"/>
      <w:pPr>
        <w:ind w:left="4281" w:hanging="632"/>
      </w:pPr>
      <w:rPr>
        <w:rFonts w:hint="default"/>
      </w:rPr>
    </w:lvl>
    <w:lvl w:ilvl="6">
      <w:start w:val="0"/>
      <w:numFmt w:val="bullet"/>
      <w:lvlText w:val="•"/>
      <w:lvlJc w:val="left"/>
      <w:pPr>
        <w:ind w:left="4989" w:hanging="632"/>
      </w:pPr>
      <w:rPr>
        <w:rFonts w:hint="default"/>
      </w:rPr>
    </w:lvl>
    <w:lvl w:ilvl="7">
      <w:start w:val="0"/>
      <w:numFmt w:val="bullet"/>
      <w:lvlText w:val="•"/>
      <w:lvlJc w:val="left"/>
      <w:pPr>
        <w:ind w:left="5698" w:hanging="632"/>
      </w:pPr>
      <w:rPr>
        <w:rFonts w:hint="default"/>
      </w:rPr>
    </w:lvl>
    <w:lvl w:ilvl="8">
      <w:start w:val="0"/>
      <w:numFmt w:val="bullet"/>
      <w:lvlText w:val="•"/>
      <w:lvlJc w:val="left"/>
      <w:pPr>
        <w:ind w:left="6406" w:hanging="632"/>
      </w:pPr>
      <w:rPr>
        <w:rFonts w:hint="default"/>
      </w:rPr>
    </w:lvl>
  </w:abstractNum>
  <w:abstractNum w:abstractNumId="27">
    <w:multiLevelType w:val="hybridMultilevel"/>
    <w:lvl w:ilvl="0">
      <w:start w:val="1"/>
      <w:numFmt w:val="decimal"/>
      <w:lvlText w:val="%1"/>
      <w:lvlJc w:val="left"/>
      <w:pPr>
        <w:ind w:left="477" w:hanging="371"/>
        <w:jc w:val="left"/>
      </w:pPr>
      <w:rPr>
        <w:rFonts w:hint="default"/>
      </w:rPr>
    </w:lvl>
    <w:lvl w:ilvl="1">
      <w:start w:val="1"/>
      <w:numFmt w:val="decimal"/>
      <w:lvlText w:val="%1.%2"/>
      <w:lvlJc w:val="left"/>
      <w:pPr>
        <w:ind w:left="477" w:hanging="371"/>
        <w:jc w:val="left"/>
      </w:pPr>
      <w:rPr>
        <w:rFonts w:hint="default" w:ascii="宋体" w:hAnsi="宋体" w:eastAsia="宋体" w:cs="宋体"/>
        <w:w w:val="100"/>
        <w:sz w:val="21"/>
        <w:szCs w:val="21"/>
      </w:rPr>
    </w:lvl>
    <w:lvl w:ilvl="2">
      <w:start w:val="0"/>
      <w:numFmt w:val="bullet"/>
      <w:lvlText w:val="•"/>
      <w:lvlJc w:val="left"/>
      <w:pPr>
        <w:ind w:left="1948" w:hanging="371"/>
      </w:pPr>
      <w:rPr>
        <w:rFonts w:hint="default"/>
      </w:rPr>
    </w:lvl>
    <w:lvl w:ilvl="3">
      <w:start w:val="0"/>
      <w:numFmt w:val="bullet"/>
      <w:lvlText w:val="•"/>
      <w:lvlJc w:val="left"/>
      <w:pPr>
        <w:ind w:left="2682" w:hanging="371"/>
      </w:pPr>
      <w:rPr>
        <w:rFonts w:hint="default"/>
      </w:rPr>
    </w:lvl>
    <w:lvl w:ilvl="4">
      <w:start w:val="0"/>
      <w:numFmt w:val="bullet"/>
      <w:lvlText w:val="•"/>
      <w:lvlJc w:val="left"/>
      <w:pPr>
        <w:ind w:left="3416" w:hanging="371"/>
      </w:pPr>
      <w:rPr>
        <w:rFonts w:hint="default"/>
      </w:rPr>
    </w:lvl>
    <w:lvl w:ilvl="5">
      <w:start w:val="0"/>
      <w:numFmt w:val="bullet"/>
      <w:lvlText w:val="•"/>
      <w:lvlJc w:val="left"/>
      <w:pPr>
        <w:ind w:left="4150" w:hanging="371"/>
      </w:pPr>
      <w:rPr>
        <w:rFonts w:hint="default"/>
      </w:rPr>
    </w:lvl>
    <w:lvl w:ilvl="6">
      <w:start w:val="0"/>
      <w:numFmt w:val="bullet"/>
      <w:lvlText w:val="•"/>
      <w:lvlJc w:val="left"/>
      <w:pPr>
        <w:ind w:left="4884" w:hanging="371"/>
      </w:pPr>
      <w:rPr>
        <w:rFonts w:hint="default"/>
      </w:rPr>
    </w:lvl>
    <w:lvl w:ilvl="7">
      <w:start w:val="0"/>
      <w:numFmt w:val="bullet"/>
      <w:lvlText w:val="•"/>
      <w:lvlJc w:val="left"/>
      <w:pPr>
        <w:ind w:left="5618" w:hanging="371"/>
      </w:pPr>
      <w:rPr>
        <w:rFonts w:hint="default"/>
      </w:rPr>
    </w:lvl>
    <w:lvl w:ilvl="8">
      <w:start w:val="0"/>
      <w:numFmt w:val="bullet"/>
      <w:lvlText w:val="•"/>
      <w:lvlJc w:val="left"/>
      <w:pPr>
        <w:ind w:left="6352" w:hanging="371"/>
      </w:pPr>
      <w:rPr>
        <w:rFonts w:hint="default"/>
      </w:rPr>
    </w:lvl>
  </w:abstractNum>
  <w:abstractNum w:abstractNumId="26">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866" w:hanging="632"/>
      </w:pPr>
      <w:rPr>
        <w:rFonts w:hint="default"/>
      </w:rPr>
    </w:lvl>
    <w:lvl w:ilvl="2">
      <w:start w:val="0"/>
      <w:numFmt w:val="bullet"/>
      <w:lvlText w:val="•"/>
      <w:lvlJc w:val="left"/>
      <w:pPr>
        <w:ind w:left="1632" w:hanging="632"/>
      </w:pPr>
      <w:rPr>
        <w:rFonts w:hint="default"/>
      </w:rPr>
    </w:lvl>
    <w:lvl w:ilvl="3">
      <w:start w:val="0"/>
      <w:numFmt w:val="bullet"/>
      <w:lvlText w:val="•"/>
      <w:lvlJc w:val="left"/>
      <w:pPr>
        <w:ind w:left="2398" w:hanging="632"/>
      </w:pPr>
      <w:rPr>
        <w:rFonts w:hint="default"/>
      </w:rPr>
    </w:lvl>
    <w:lvl w:ilvl="4">
      <w:start w:val="0"/>
      <w:numFmt w:val="bullet"/>
      <w:lvlText w:val="•"/>
      <w:lvlJc w:val="left"/>
      <w:pPr>
        <w:ind w:left="3165" w:hanging="632"/>
      </w:pPr>
      <w:rPr>
        <w:rFonts w:hint="default"/>
      </w:rPr>
    </w:lvl>
    <w:lvl w:ilvl="5">
      <w:start w:val="0"/>
      <w:numFmt w:val="bullet"/>
      <w:lvlText w:val="•"/>
      <w:lvlJc w:val="left"/>
      <w:pPr>
        <w:ind w:left="3931" w:hanging="632"/>
      </w:pPr>
      <w:rPr>
        <w:rFonts w:hint="default"/>
      </w:rPr>
    </w:lvl>
    <w:lvl w:ilvl="6">
      <w:start w:val="0"/>
      <w:numFmt w:val="bullet"/>
      <w:lvlText w:val="•"/>
      <w:lvlJc w:val="left"/>
      <w:pPr>
        <w:ind w:left="4697" w:hanging="632"/>
      </w:pPr>
      <w:rPr>
        <w:rFonts w:hint="default"/>
      </w:rPr>
    </w:lvl>
    <w:lvl w:ilvl="7">
      <w:start w:val="0"/>
      <w:numFmt w:val="bullet"/>
      <w:lvlText w:val="•"/>
      <w:lvlJc w:val="left"/>
      <w:pPr>
        <w:ind w:left="5464" w:hanging="632"/>
      </w:pPr>
      <w:rPr>
        <w:rFonts w:hint="default"/>
      </w:rPr>
    </w:lvl>
    <w:lvl w:ilvl="8">
      <w:start w:val="0"/>
      <w:numFmt w:val="bullet"/>
      <w:lvlText w:val="•"/>
      <w:lvlJc w:val="left"/>
      <w:pPr>
        <w:ind w:left="6230" w:hanging="632"/>
      </w:pPr>
      <w:rPr>
        <w:rFonts w:hint="default"/>
      </w:rPr>
    </w:lvl>
  </w:abstractNum>
  <w:abstractNum w:abstractNumId="25">
    <w:multiLevelType w:val="hybridMultilevel"/>
    <w:lvl w:ilvl="0">
      <w:start w:val="1"/>
      <w:numFmt w:val="decimal"/>
      <w:lvlText w:val="（%1）"/>
      <w:lvlJc w:val="left"/>
      <w:pPr>
        <w:ind w:left="79" w:hanging="632"/>
        <w:jc w:val="left"/>
      </w:pPr>
      <w:rPr>
        <w:rFonts w:hint="default" w:ascii="宋体" w:hAnsi="宋体" w:eastAsia="宋体" w:cs="宋体"/>
        <w:w w:val="100"/>
        <w:sz w:val="21"/>
        <w:szCs w:val="21"/>
      </w:rPr>
    </w:lvl>
    <w:lvl w:ilvl="1">
      <w:start w:val="0"/>
      <w:numFmt w:val="bullet"/>
      <w:lvlText w:val="•"/>
      <w:lvlJc w:val="left"/>
      <w:pPr>
        <w:ind w:left="851" w:hanging="632"/>
      </w:pPr>
      <w:rPr>
        <w:rFonts w:hint="default"/>
      </w:rPr>
    </w:lvl>
    <w:lvl w:ilvl="2">
      <w:start w:val="0"/>
      <w:numFmt w:val="bullet"/>
      <w:lvlText w:val="•"/>
      <w:lvlJc w:val="left"/>
      <w:pPr>
        <w:ind w:left="1623" w:hanging="632"/>
      </w:pPr>
      <w:rPr>
        <w:rFonts w:hint="default"/>
      </w:rPr>
    </w:lvl>
    <w:lvl w:ilvl="3">
      <w:start w:val="0"/>
      <w:numFmt w:val="bullet"/>
      <w:lvlText w:val="•"/>
      <w:lvlJc w:val="left"/>
      <w:pPr>
        <w:ind w:left="2394" w:hanging="632"/>
      </w:pPr>
      <w:rPr>
        <w:rFonts w:hint="default"/>
      </w:rPr>
    </w:lvl>
    <w:lvl w:ilvl="4">
      <w:start w:val="0"/>
      <w:numFmt w:val="bullet"/>
      <w:lvlText w:val="•"/>
      <w:lvlJc w:val="left"/>
      <w:pPr>
        <w:ind w:left="3166" w:hanging="632"/>
      </w:pPr>
      <w:rPr>
        <w:rFonts w:hint="default"/>
      </w:rPr>
    </w:lvl>
    <w:lvl w:ilvl="5">
      <w:start w:val="0"/>
      <w:numFmt w:val="bullet"/>
      <w:lvlText w:val="•"/>
      <w:lvlJc w:val="left"/>
      <w:pPr>
        <w:ind w:left="3937" w:hanging="632"/>
      </w:pPr>
      <w:rPr>
        <w:rFonts w:hint="default"/>
      </w:rPr>
    </w:lvl>
    <w:lvl w:ilvl="6">
      <w:start w:val="0"/>
      <w:numFmt w:val="bullet"/>
      <w:lvlText w:val="•"/>
      <w:lvlJc w:val="left"/>
      <w:pPr>
        <w:ind w:left="4709" w:hanging="632"/>
      </w:pPr>
      <w:rPr>
        <w:rFonts w:hint="default"/>
      </w:rPr>
    </w:lvl>
    <w:lvl w:ilvl="7">
      <w:start w:val="0"/>
      <w:numFmt w:val="bullet"/>
      <w:lvlText w:val="•"/>
      <w:lvlJc w:val="left"/>
      <w:pPr>
        <w:ind w:left="5480" w:hanging="632"/>
      </w:pPr>
      <w:rPr>
        <w:rFonts w:hint="default"/>
      </w:rPr>
    </w:lvl>
    <w:lvl w:ilvl="8">
      <w:start w:val="0"/>
      <w:numFmt w:val="bullet"/>
      <w:lvlText w:val="•"/>
      <w:lvlJc w:val="left"/>
      <w:pPr>
        <w:ind w:left="6252" w:hanging="632"/>
      </w:pPr>
      <w:rPr>
        <w:rFonts w:hint="default"/>
      </w:rPr>
    </w:lvl>
  </w:abstractNum>
  <w:abstractNum w:abstractNumId="24">
    <w:multiLevelType w:val="hybridMultilevel"/>
    <w:lvl w:ilvl="0">
      <w:start w:val="1"/>
      <w:numFmt w:val="decimal"/>
      <w:lvlText w:val="（%1）"/>
      <w:lvlJc w:val="left"/>
      <w:pPr>
        <w:ind w:left="79" w:hanging="632"/>
        <w:jc w:val="left"/>
      </w:pPr>
      <w:rPr>
        <w:rFonts w:hint="default" w:ascii="宋体" w:hAnsi="宋体" w:eastAsia="宋体" w:cs="宋体"/>
        <w:w w:val="100"/>
        <w:sz w:val="21"/>
        <w:szCs w:val="21"/>
      </w:rPr>
    </w:lvl>
    <w:lvl w:ilvl="1">
      <w:start w:val="0"/>
      <w:numFmt w:val="bullet"/>
      <w:lvlText w:val="•"/>
      <w:lvlJc w:val="left"/>
      <w:pPr>
        <w:ind w:left="851" w:hanging="632"/>
      </w:pPr>
      <w:rPr>
        <w:rFonts w:hint="default"/>
      </w:rPr>
    </w:lvl>
    <w:lvl w:ilvl="2">
      <w:start w:val="0"/>
      <w:numFmt w:val="bullet"/>
      <w:lvlText w:val="•"/>
      <w:lvlJc w:val="left"/>
      <w:pPr>
        <w:ind w:left="1623" w:hanging="632"/>
      </w:pPr>
      <w:rPr>
        <w:rFonts w:hint="default"/>
      </w:rPr>
    </w:lvl>
    <w:lvl w:ilvl="3">
      <w:start w:val="0"/>
      <w:numFmt w:val="bullet"/>
      <w:lvlText w:val="•"/>
      <w:lvlJc w:val="left"/>
      <w:pPr>
        <w:ind w:left="2394" w:hanging="632"/>
      </w:pPr>
      <w:rPr>
        <w:rFonts w:hint="default"/>
      </w:rPr>
    </w:lvl>
    <w:lvl w:ilvl="4">
      <w:start w:val="0"/>
      <w:numFmt w:val="bullet"/>
      <w:lvlText w:val="•"/>
      <w:lvlJc w:val="left"/>
      <w:pPr>
        <w:ind w:left="3166" w:hanging="632"/>
      </w:pPr>
      <w:rPr>
        <w:rFonts w:hint="default"/>
      </w:rPr>
    </w:lvl>
    <w:lvl w:ilvl="5">
      <w:start w:val="0"/>
      <w:numFmt w:val="bullet"/>
      <w:lvlText w:val="•"/>
      <w:lvlJc w:val="left"/>
      <w:pPr>
        <w:ind w:left="3937" w:hanging="632"/>
      </w:pPr>
      <w:rPr>
        <w:rFonts w:hint="default"/>
      </w:rPr>
    </w:lvl>
    <w:lvl w:ilvl="6">
      <w:start w:val="0"/>
      <w:numFmt w:val="bullet"/>
      <w:lvlText w:val="•"/>
      <w:lvlJc w:val="left"/>
      <w:pPr>
        <w:ind w:left="4709" w:hanging="632"/>
      </w:pPr>
      <w:rPr>
        <w:rFonts w:hint="default"/>
      </w:rPr>
    </w:lvl>
    <w:lvl w:ilvl="7">
      <w:start w:val="0"/>
      <w:numFmt w:val="bullet"/>
      <w:lvlText w:val="•"/>
      <w:lvlJc w:val="left"/>
      <w:pPr>
        <w:ind w:left="5480" w:hanging="632"/>
      </w:pPr>
      <w:rPr>
        <w:rFonts w:hint="default"/>
      </w:rPr>
    </w:lvl>
    <w:lvl w:ilvl="8">
      <w:start w:val="0"/>
      <w:numFmt w:val="bullet"/>
      <w:lvlText w:val="•"/>
      <w:lvlJc w:val="left"/>
      <w:pPr>
        <w:ind w:left="6252" w:hanging="632"/>
      </w:pPr>
      <w:rPr>
        <w:rFonts w:hint="default"/>
      </w:rPr>
    </w:lvl>
  </w:abstractNum>
  <w:abstractNum w:abstractNumId="23">
    <w:multiLevelType w:val="hybridMultilevel"/>
    <w:lvl w:ilvl="0">
      <w:start w:val="1"/>
      <w:numFmt w:val="upperRoman"/>
      <w:lvlText w:val="%1"/>
      <w:lvlJc w:val="left"/>
      <w:pPr>
        <w:ind w:left="318" w:hanging="212"/>
        <w:jc w:val="left"/>
      </w:pPr>
      <w:rPr>
        <w:rFonts w:hint="default" w:ascii="宋体" w:hAnsi="宋体" w:eastAsia="宋体" w:cs="宋体"/>
        <w:w w:val="100"/>
        <w:sz w:val="21"/>
        <w:szCs w:val="21"/>
      </w:rPr>
    </w:lvl>
    <w:lvl w:ilvl="1">
      <w:start w:val="0"/>
      <w:numFmt w:val="bullet"/>
      <w:lvlText w:val="•"/>
      <w:lvlJc w:val="left"/>
      <w:pPr>
        <w:ind w:left="1070" w:hanging="212"/>
      </w:pPr>
      <w:rPr>
        <w:rFonts w:hint="default"/>
      </w:rPr>
    </w:lvl>
    <w:lvl w:ilvl="2">
      <w:start w:val="0"/>
      <w:numFmt w:val="bullet"/>
      <w:lvlText w:val="•"/>
      <w:lvlJc w:val="left"/>
      <w:pPr>
        <w:ind w:left="1820" w:hanging="212"/>
      </w:pPr>
      <w:rPr>
        <w:rFonts w:hint="default"/>
      </w:rPr>
    </w:lvl>
    <w:lvl w:ilvl="3">
      <w:start w:val="0"/>
      <w:numFmt w:val="bullet"/>
      <w:lvlText w:val="•"/>
      <w:lvlJc w:val="left"/>
      <w:pPr>
        <w:ind w:left="2570" w:hanging="212"/>
      </w:pPr>
      <w:rPr>
        <w:rFonts w:hint="default"/>
      </w:rPr>
    </w:lvl>
    <w:lvl w:ilvl="4">
      <w:start w:val="0"/>
      <w:numFmt w:val="bullet"/>
      <w:lvlText w:val="•"/>
      <w:lvlJc w:val="left"/>
      <w:pPr>
        <w:ind w:left="3320" w:hanging="212"/>
      </w:pPr>
      <w:rPr>
        <w:rFonts w:hint="default"/>
      </w:rPr>
    </w:lvl>
    <w:lvl w:ilvl="5">
      <w:start w:val="0"/>
      <w:numFmt w:val="bullet"/>
      <w:lvlText w:val="•"/>
      <w:lvlJc w:val="left"/>
      <w:pPr>
        <w:ind w:left="4070" w:hanging="212"/>
      </w:pPr>
      <w:rPr>
        <w:rFonts w:hint="default"/>
      </w:rPr>
    </w:lvl>
    <w:lvl w:ilvl="6">
      <w:start w:val="0"/>
      <w:numFmt w:val="bullet"/>
      <w:lvlText w:val="•"/>
      <w:lvlJc w:val="left"/>
      <w:pPr>
        <w:ind w:left="4820" w:hanging="212"/>
      </w:pPr>
      <w:rPr>
        <w:rFonts w:hint="default"/>
      </w:rPr>
    </w:lvl>
    <w:lvl w:ilvl="7">
      <w:start w:val="0"/>
      <w:numFmt w:val="bullet"/>
      <w:lvlText w:val="•"/>
      <w:lvlJc w:val="left"/>
      <w:pPr>
        <w:ind w:left="5570" w:hanging="212"/>
      </w:pPr>
      <w:rPr>
        <w:rFonts w:hint="default"/>
      </w:rPr>
    </w:lvl>
    <w:lvl w:ilvl="8">
      <w:start w:val="0"/>
      <w:numFmt w:val="bullet"/>
      <w:lvlText w:val="•"/>
      <w:lvlJc w:val="left"/>
      <w:pPr>
        <w:ind w:left="6320" w:hanging="212"/>
      </w:pPr>
      <w:rPr>
        <w:rFonts w:hint="default"/>
      </w:rPr>
    </w:lvl>
  </w:abstractNum>
  <w:abstractNum w:abstractNumId="22">
    <w:multiLevelType w:val="hybridMultilevel"/>
    <w:lvl w:ilvl="0">
      <w:start w:val="1"/>
      <w:numFmt w:val="decimal"/>
      <w:lvlText w:val="(%1)"/>
      <w:lvlJc w:val="left"/>
      <w:pPr>
        <w:ind w:left="529" w:hanging="423"/>
        <w:jc w:val="left"/>
      </w:pPr>
      <w:rPr>
        <w:rFonts w:hint="default" w:ascii="宋体" w:hAnsi="宋体" w:eastAsia="宋体" w:cs="宋体"/>
        <w:w w:val="100"/>
        <w:sz w:val="21"/>
        <w:szCs w:val="21"/>
      </w:rPr>
    </w:lvl>
    <w:lvl w:ilvl="1">
      <w:start w:val="0"/>
      <w:numFmt w:val="bullet"/>
      <w:lvlText w:val="•"/>
      <w:lvlJc w:val="left"/>
      <w:pPr>
        <w:ind w:left="1250" w:hanging="423"/>
      </w:pPr>
      <w:rPr>
        <w:rFonts w:hint="default"/>
      </w:rPr>
    </w:lvl>
    <w:lvl w:ilvl="2">
      <w:start w:val="0"/>
      <w:numFmt w:val="bullet"/>
      <w:lvlText w:val="•"/>
      <w:lvlJc w:val="left"/>
      <w:pPr>
        <w:ind w:left="1980" w:hanging="423"/>
      </w:pPr>
      <w:rPr>
        <w:rFonts w:hint="default"/>
      </w:rPr>
    </w:lvl>
    <w:lvl w:ilvl="3">
      <w:start w:val="0"/>
      <w:numFmt w:val="bullet"/>
      <w:lvlText w:val="•"/>
      <w:lvlJc w:val="left"/>
      <w:pPr>
        <w:ind w:left="2710" w:hanging="423"/>
      </w:pPr>
      <w:rPr>
        <w:rFonts w:hint="default"/>
      </w:rPr>
    </w:lvl>
    <w:lvl w:ilvl="4">
      <w:start w:val="0"/>
      <w:numFmt w:val="bullet"/>
      <w:lvlText w:val="•"/>
      <w:lvlJc w:val="left"/>
      <w:pPr>
        <w:ind w:left="3440" w:hanging="423"/>
      </w:pPr>
      <w:rPr>
        <w:rFonts w:hint="default"/>
      </w:rPr>
    </w:lvl>
    <w:lvl w:ilvl="5">
      <w:start w:val="0"/>
      <w:numFmt w:val="bullet"/>
      <w:lvlText w:val="•"/>
      <w:lvlJc w:val="left"/>
      <w:pPr>
        <w:ind w:left="4170" w:hanging="423"/>
      </w:pPr>
      <w:rPr>
        <w:rFonts w:hint="default"/>
      </w:rPr>
    </w:lvl>
    <w:lvl w:ilvl="6">
      <w:start w:val="0"/>
      <w:numFmt w:val="bullet"/>
      <w:lvlText w:val="•"/>
      <w:lvlJc w:val="left"/>
      <w:pPr>
        <w:ind w:left="4900" w:hanging="423"/>
      </w:pPr>
      <w:rPr>
        <w:rFonts w:hint="default"/>
      </w:rPr>
    </w:lvl>
    <w:lvl w:ilvl="7">
      <w:start w:val="0"/>
      <w:numFmt w:val="bullet"/>
      <w:lvlText w:val="•"/>
      <w:lvlJc w:val="left"/>
      <w:pPr>
        <w:ind w:left="5630" w:hanging="423"/>
      </w:pPr>
      <w:rPr>
        <w:rFonts w:hint="default"/>
      </w:rPr>
    </w:lvl>
    <w:lvl w:ilvl="8">
      <w:start w:val="0"/>
      <w:numFmt w:val="bullet"/>
      <w:lvlText w:val="•"/>
      <w:lvlJc w:val="left"/>
      <w:pPr>
        <w:ind w:left="6360" w:hanging="423"/>
      </w:pPr>
      <w:rPr>
        <w:rFonts w:hint="default"/>
      </w:rPr>
    </w:lvl>
  </w:abstractNum>
  <w:abstractNum w:abstractNumId="21">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56" w:hanging="632"/>
      </w:pPr>
      <w:rPr>
        <w:rFonts w:hint="default"/>
      </w:rPr>
    </w:lvl>
    <w:lvl w:ilvl="3">
      <w:start w:val="0"/>
      <w:numFmt w:val="bullet"/>
      <w:lvlText w:val="•"/>
      <w:lvlJc w:val="left"/>
      <w:pPr>
        <w:ind w:left="2864" w:hanging="632"/>
      </w:pPr>
      <w:rPr>
        <w:rFonts w:hint="default"/>
      </w:rPr>
    </w:lvl>
    <w:lvl w:ilvl="4">
      <w:start w:val="0"/>
      <w:numFmt w:val="bullet"/>
      <w:lvlText w:val="•"/>
      <w:lvlJc w:val="left"/>
      <w:pPr>
        <w:ind w:left="3572" w:hanging="632"/>
      </w:pPr>
      <w:rPr>
        <w:rFonts w:hint="default"/>
      </w:rPr>
    </w:lvl>
    <w:lvl w:ilvl="5">
      <w:start w:val="0"/>
      <w:numFmt w:val="bullet"/>
      <w:lvlText w:val="•"/>
      <w:lvlJc w:val="left"/>
      <w:pPr>
        <w:ind w:left="4280" w:hanging="632"/>
      </w:pPr>
      <w:rPr>
        <w:rFonts w:hint="default"/>
      </w:rPr>
    </w:lvl>
    <w:lvl w:ilvl="6">
      <w:start w:val="0"/>
      <w:numFmt w:val="bullet"/>
      <w:lvlText w:val="•"/>
      <w:lvlJc w:val="left"/>
      <w:pPr>
        <w:ind w:left="4988" w:hanging="632"/>
      </w:pPr>
      <w:rPr>
        <w:rFonts w:hint="default"/>
      </w:rPr>
    </w:lvl>
    <w:lvl w:ilvl="7">
      <w:start w:val="0"/>
      <w:numFmt w:val="bullet"/>
      <w:lvlText w:val="•"/>
      <w:lvlJc w:val="left"/>
      <w:pPr>
        <w:ind w:left="5696" w:hanging="632"/>
      </w:pPr>
      <w:rPr>
        <w:rFonts w:hint="default"/>
      </w:rPr>
    </w:lvl>
    <w:lvl w:ilvl="8">
      <w:start w:val="0"/>
      <w:numFmt w:val="bullet"/>
      <w:lvlText w:val="•"/>
      <w:lvlJc w:val="left"/>
      <w:pPr>
        <w:ind w:left="6404" w:hanging="632"/>
      </w:pPr>
      <w:rPr>
        <w:rFonts w:hint="default"/>
      </w:rPr>
    </w:lvl>
  </w:abstractNum>
  <w:abstractNum w:abstractNumId="20">
    <w:multiLevelType w:val="hybridMultilevel"/>
    <w:lvl w:ilvl="0">
      <w:start w:val="1"/>
      <w:numFmt w:val="decimal"/>
      <w:lvlText w:val="(%1)"/>
      <w:lvlJc w:val="left"/>
      <w:pPr>
        <w:ind w:left="529" w:hanging="423"/>
        <w:jc w:val="left"/>
      </w:pPr>
      <w:rPr>
        <w:rFonts w:hint="default" w:ascii="宋体" w:hAnsi="宋体" w:eastAsia="宋体" w:cs="宋体"/>
        <w:w w:val="100"/>
        <w:sz w:val="21"/>
        <w:szCs w:val="21"/>
      </w:rPr>
    </w:lvl>
    <w:lvl w:ilvl="1">
      <w:start w:val="0"/>
      <w:numFmt w:val="bullet"/>
      <w:lvlText w:val="•"/>
      <w:lvlJc w:val="left"/>
      <w:pPr>
        <w:ind w:left="1239" w:hanging="423"/>
      </w:pPr>
      <w:rPr>
        <w:rFonts w:hint="default"/>
      </w:rPr>
    </w:lvl>
    <w:lvl w:ilvl="2">
      <w:start w:val="0"/>
      <w:numFmt w:val="bullet"/>
      <w:lvlText w:val="•"/>
      <w:lvlJc w:val="left"/>
      <w:pPr>
        <w:ind w:left="1959" w:hanging="423"/>
      </w:pPr>
      <w:rPr>
        <w:rFonts w:hint="default"/>
      </w:rPr>
    </w:lvl>
    <w:lvl w:ilvl="3">
      <w:start w:val="0"/>
      <w:numFmt w:val="bullet"/>
      <w:lvlText w:val="•"/>
      <w:lvlJc w:val="left"/>
      <w:pPr>
        <w:ind w:left="2678" w:hanging="423"/>
      </w:pPr>
      <w:rPr>
        <w:rFonts w:hint="default"/>
      </w:rPr>
    </w:lvl>
    <w:lvl w:ilvl="4">
      <w:start w:val="0"/>
      <w:numFmt w:val="bullet"/>
      <w:lvlText w:val="•"/>
      <w:lvlJc w:val="left"/>
      <w:pPr>
        <w:ind w:left="3398" w:hanging="423"/>
      </w:pPr>
      <w:rPr>
        <w:rFonts w:hint="default"/>
      </w:rPr>
    </w:lvl>
    <w:lvl w:ilvl="5">
      <w:start w:val="0"/>
      <w:numFmt w:val="bullet"/>
      <w:lvlText w:val="•"/>
      <w:lvlJc w:val="left"/>
      <w:pPr>
        <w:ind w:left="4118" w:hanging="423"/>
      </w:pPr>
      <w:rPr>
        <w:rFonts w:hint="default"/>
      </w:rPr>
    </w:lvl>
    <w:lvl w:ilvl="6">
      <w:start w:val="0"/>
      <w:numFmt w:val="bullet"/>
      <w:lvlText w:val="•"/>
      <w:lvlJc w:val="left"/>
      <w:pPr>
        <w:ind w:left="4837" w:hanging="423"/>
      </w:pPr>
      <w:rPr>
        <w:rFonts w:hint="default"/>
      </w:rPr>
    </w:lvl>
    <w:lvl w:ilvl="7">
      <w:start w:val="0"/>
      <w:numFmt w:val="bullet"/>
      <w:lvlText w:val="•"/>
      <w:lvlJc w:val="left"/>
      <w:pPr>
        <w:ind w:left="5557" w:hanging="423"/>
      </w:pPr>
      <w:rPr>
        <w:rFonts w:hint="default"/>
      </w:rPr>
    </w:lvl>
    <w:lvl w:ilvl="8">
      <w:start w:val="0"/>
      <w:numFmt w:val="bullet"/>
      <w:lvlText w:val="•"/>
      <w:lvlJc w:val="left"/>
      <w:pPr>
        <w:ind w:left="6276" w:hanging="423"/>
      </w:pPr>
      <w:rPr>
        <w:rFonts w:hint="default"/>
      </w:rPr>
    </w:lvl>
  </w:abstractNum>
  <w:abstractNum w:abstractNumId="19">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37" w:hanging="632"/>
      </w:pPr>
      <w:rPr>
        <w:rFonts w:hint="default"/>
      </w:rPr>
    </w:lvl>
    <w:lvl w:ilvl="2">
      <w:start w:val="0"/>
      <w:numFmt w:val="bullet"/>
      <w:lvlText w:val="•"/>
      <w:lvlJc w:val="left"/>
      <w:pPr>
        <w:ind w:left="2135" w:hanging="632"/>
      </w:pPr>
      <w:rPr>
        <w:rFonts w:hint="default"/>
      </w:rPr>
    </w:lvl>
    <w:lvl w:ilvl="3">
      <w:start w:val="0"/>
      <w:numFmt w:val="bullet"/>
      <w:lvlText w:val="•"/>
      <w:lvlJc w:val="left"/>
      <w:pPr>
        <w:ind w:left="2832" w:hanging="632"/>
      </w:pPr>
      <w:rPr>
        <w:rFonts w:hint="default"/>
      </w:rPr>
    </w:lvl>
    <w:lvl w:ilvl="4">
      <w:start w:val="0"/>
      <w:numFmt w:val="bullet"/>
      <w:lvlText w:val="•"/>
      <w:lvlJc w:val="left"/>
      <w:pPr>
        <w:ind w:left="3530" w:hanging="632"/>
      </w:pPr>
      <w:rPr>
        <w:rFonts w:hint="default"/>
      </w:rPr>
    </w:lvl>
    <w:lvl w:ilvl="5">
      <w:start w:val="0"/>
      <w:numFmt w:val="bullet"/>
      <w:lvlText w:val="•"/>
      <w:lvlJc w:val="left"/>
      <w:pPr>
        <w:ind w:left="4228" w:hanging="632"/>
      </w:pPr>
      <w:rPr>
        <w:rFonts w:hint="default"/>
      </w:rPr>
    </w:lvl>
    <w:lvl w:ilvl="6">
      <w:start w:val="0"/>
      <w:numFmt w:val="bullet"/>
      <w:lvlText w:val="•"/>
      <w:lvlJc w:val="left"/>
      <w:pPr>
        <w:ind w:left="4925" w:hanging="632"/>
      </w:pPr>
      <w:rPr>
        <w:rFonts w:hint="default"/>
      </w:rPr>
    </w:lvl>
    <w:lvl w:ilvl="7">
      <w:start w:val="0"/>
      <w:numFmt w:val="bullet"/>
      <w:lvlText w:val="•"/>
      <w:lvlJc w:val="left"/>
      <w:pPr>
        <w:ind w:left="5623" w:hanging="632"/>
      </w:pPr>
      <w:rPr>
        <w:rFonts w:hint="default"/>
      </w:rPr>
    </w:lvl>
    <w:lvl w:ilvl="8">
      <w:start w:val="0"/>
      <w:numFmt w:val="bullet"/>
      <w:lvlText w:val="•"/>
      <w:lvlJc w:val="left"/>
      <w:pPr>
        <w:ind w:left="6320" w:hanging="632"/>
      </w:pPr>
      <w:rPr>
        <w:rFonts w:hint="default"/>
      </w:rPr>
    </w:lvl>
  </w:abstractNum>
  <w:abstractNum w:abstractNumId="18">
    <w:multiLevelType w:val="hybridMultilevel"/>
    <w:lvl w:ilvl="0">
      <w:start w:val="1"/>
      <w:numFmt w:val="decimal"/>
      <w:lvlText w:val="（%1）"/>
      <w:lvlJc w:val="left"/>
      <w:pPr>
        <w:ind w:left="834" w:hanging="632"/>
        <w:jc w:val="left"/>
      </w:pPr>
      <w:rPr>
        <w:rFonts w:hint="default" w:ascii="宋体" w:hAnsi="宋体" w:eastAsia="宋体" w:cs="宋体"/>
        <w:w w:val="100"/>
        <w:sz w:val="21"/>
        <w:szCs w:val="21"/>
      </w:rPr>
    </w:lvl>
    <w:lvl w:ilvl="1">
      <w:start w:val="0"/>
      <w:numFmt w:val="bullet"/>
      <w:lvlText w:val="•"/>
      <w:lvlJc w:val="left"/>
      <w:pPr>
        <w:ind w:left="1548" w:hanging="632"/>
      </w:pPr>
      <w:rPr>
        <w:rFonts w:hint="default"/>
      </w:rPr>
    </w:lvl>
    <w:lvl w:ilvl="2">
      <w:start w:val="0"/>
      <w:numFmt w:val="bullet"/>
      <w:lvlText w:val="•"/>
      <w:lvlJc w:val="left"/>
      <w:pPr>
        <w:ind w:left="2257" w:hanging="632"/>
      </w:pPr>
      <w:rPr>
        <w:rFonts w:hint="default"/>
      </w:rPr>
    </w:lvl>
    <w:lvl w:ilvl="3">
      <w:start w:val="0"/>
      <w:numFmt w:val="bullet"/>
      <w:lvlText w:val="•"/>
      <w:lvlJc w:val="left"/>
      <w:pPr>
        <w:ind w:left="2965" w:hanging="632"/>
      </w:pPr>
      <w:rPr>
        <w:rFonts w:hint="default"/>
      </w:rPr>
    </w:lvl>
    <w:lvl w:ilvl="4">
      <w:start w:val="0"/>
      <w:numFmt w:val="bullet"/>
      <w:lvlText w:val="•"/>
      <w:lvlJc w:val="left"/>
      <w:pPr>
        <w:ind w:left="3674" w:hanging="632"/>
      </w:pPr>
      <w:rPr>
        <w:rFonts w:hint="default"/>
      </w:rPr>
    </w:lvl>
    <w:lvl w:ilvl="5">
      <w:start w:val="0"/>
      <w:numFmt w:val="bullet"/>
      <w:lvlText w:val="•"/>
      <w:lvlJc w:val="left"/>
      <w:pPr>
        <w:ind w:left="4383" w:hanging="632"/>
      </w:pPr>
      <w:rPr>
        <w:rFonts w:hint="default"/>
      </w:rPr>
    </w:lvl>
    <w:lvl w:ilvl="6">
      <w:start w:val="0"/>
      <w:numFmt w:val="bullet"/>
      <w:lvlText w:val="•"/>
      <w:lvlJc w:val="left"/>
      <w:pPr>
        <w:ind w:left="5091" w:hanging="632"/>
      </w:pPr>
      <w:rPr>
        <w:rFonts w:hint="default"/>
      </w:rPr>
    </w:lvl>
    <w:lvl w:ilvl="7">
      <w:start w:val="0"/>
      <w:numFmt w:val="bullet"/>
      <w:lvlText w:val="•"/>
      <w:lvlJc w:val="left"/>
      <w:pPr>
        <w:ind w:left="5800" w:hanging="632"/>
      </w:pPr>
      <w:rPr>
        <w:rFonts w:hint="default"/>
      </w:rPr>
    </w:lvl>
    <w:lvl w:ilvl="8">
      <w:start w:val="0"/>
      <w:numFmt w:val="bullet"/>
      <w:lvlText w:val="•"/>
      <w:lvlJc w:val="left"/>
      <w:pPr>
        <w:ind w:left="6508" w:hanging="632"/>
      </w:pPr>
      <w:rPr>
        <w:rFonts w:hint="default"/>
      </w:rPr>
    </w:lvl>
  </w:abstractNum>
  <w:abstractNum w:abstractNumId="17">
    <w:multiLevelType w:val="hybridMultilevel"/>
    <w:lvl w:ilvl="0">
      <w:start w:val="1"/>
      <w:numFmt w:val="decimal"/>
      <w:lvlText w:val="（%1）"/>
      <w:lvlJc w:val="left"/>
      <w:pPr>
        <w:ind w:left="211" w:hanging="632"/>
        <w:jc w:val="left"/>
      </w:pPr>
      <w:rPr>
        <w:rFonts w:hint="default" w:ascii="宋体" w:hAnsi="宋体" w:eastAsia="宋体" w:cs="宋体"/>
        <w:w w:val="100"/>
        <w:sz w:val="21"/>
        <w:szCs w:val="21"/>
      </w:rPr>
    </w:lvl>
    <w:lvl w:ilvl="1">
      <w:start w:val="0"/>
      <w:numFmt w:val="bullet"/>
      <w:lvlText w:val="•"/>
      <w:lvlJc w:val="left"/>
      <w:pPr>
        <w:ind w:left="990" w:hanging="632"/>
      </w:pPr>
      <w:rPr>
        <w:rFonts w:hint="default"/>
      </w:rPr>
    </w:lvl>
    <w:lvl w:ilvl="2">
      <w:start w:val="0"/>
      <w:numFmt w:val="bullet"/>
      <w:lvlText w:val="•"/>
      <w:lvlJc w:val="left"/>
      <w:pPr>
        <w:ind w:left="1761" w:hanging="632"/>
      </w:pPr>
      <w:rPr>
        <w:rFonts w:hint="default"/>
      </w:rPr>
    </w:lvl>
    <w:lvl w:ilvl="3">
      <w:start w:val="0"/>
      <w:numFmt w:val="bullet"/>
      <w:lvlText w:val="•"/>
      <w:lvlJc w:val="left"/>
      <w:pPr>
        <w:ind w:left="2531" w:hanging="632"/>
      </w:pPr>
      <w:rPr>
        <w:rFonts w:hint="default"/>
      </w:rPr>
    </w:lvl>
    <w:lvl w:ilvl="4">
      <w:start w:val="0"/>
      <w:numFmt w:val="bullet"/>
      <w:lvlText w:val="•"/>
      <w:lvlJc w:val="left"/>
      <w:pPr>
        <w:ind w:left="3302" w:hanging="632"/>
      </w:pPr>
      <w:rPr>
        <w:rFonts w:hint="default"/>
      </w:rPr>
    </w:lvl>
    <w:lvl w:ilvl="5">
      <w:start w:val="0"/>
      <w:numFmt w:val="bullet"/>
      <w:lvlText w:val="•"/>
      <w:lvlJc w:val="left"/>
      <w:pPr>
        <w:ind w:left="4073" w:hanging="632"/>
      </w:pPr>
      <w:rPr>
        <w:rFonts w:hint="default"/>
      </w:rPr>
    </w:lvl>
    <w:lvl w:ilvl="6">
      <w:start w:val="0"/>
      <w:numFmt w:val="bullet"/>
      <w:lvlText w:val="•"/>
      <w:lvlJc w:val="left"/>
      <w:pPr>
        <w:ind w:left="4843" w:hanging="632"/>
      </w:pPr>
      <w:rPr>
        <w:rFonts w:hint="default"/>
      </w:rPr>
    </w:lvl>
    <w:lvl w:ilvl="7">
      <w:start w:val="0"/>
      <w:numFmt w:val="bullet"/>
      <w:lvlText w:val="•"/>
      <w:lvlJc w:val="left"/>
      <w:pPr>
        <w:ind w:left="5614" w:hanging="632"/>
      </w:pPr>
      <w:rPr>
        <w:rFonts w:hint="default"/>
      </w:rPr>
    </w:lvl>
    <w:lvl w:ilvl="8">
      <w:start w:val="0"/>
      <w:numFmt w:val="bullet"/>
      <w:lvlText w:val="•"/>
      <w:lvlJc w:val="left"/>
      <w:pPr>
        <w:ind w:left="6384" w:hanging="632"/>
      </w:pPr>
      <w:rPr>
        <w:rFonts w:hint="default"/>
      </w:rPr>
    </w:lvl>
  </w:abstractNum>
  <w:abstractNum w:abstractNumId="16">
    <w:multiLevelType w:val="hybridMultilevel"/>
    <w:lvl w:ilvl="0">
      <w:start w:val="1"/>
      <w:numFmt w:val="decimal"/>
      <w:lvlText w:val="（%1）"/>
      <w:lvlJc w:val="left"/>
      <w:pPr>
        <w:ind w:left="834" w:hanging="632"/>
        <w:jc w:val="left"/>
      </w:pPr>
      <w:rPr>
        <w:rFonts w:hint="default" w:ascii="宋体" w:hAnsi="宋体" w:eastAsia="宋体" w:cs="宋体"/>
        <w:w w:val="100"/>
        <w:sz w:val="21"/>
        <w:szCs w:val="21"/>
      </w:rPr>
    </w:lvl>
    <w:lvl w:ilvl="1">
      <w:start w:val="0"/>
      <w:numFmt w:val="bullet"/>
      <w:lvlText w:val="•"/>
      <w:lvlJc w:val="left"/>
      <w:pPr>
        <w:ind w:left="1548" w:hanging="632"/>
      </w:pPr>
      <w:rPr>
        <w:rFonts w:hint="default"/>
      </w:rPr>
    </w:lvl>
    <w:lvl w:ilvl="2">
      <w:start w:val="0"/>
      <w:numFmt w:val="bullet"/>
      <w:lvlText w:val="•"/>
      <w:lvlJc w:val="left"/>
      <w:pPr>
        <w:ind w:left="2257" w:hanging="632"/>
      </w:pPr>
      <w:rPr>
        <w:rFonts w:hint="default"/>
      </w:rPr>
    </w:lvl>
    <w:lvl w:ilvl="3">
      <w:start w:val="0"/>
      <w:numFmt w:val="bullet"/>
      <w:lvlText w:val="•"/>
      <w:lvlJc w:val="left"/>
      <w:pPr>
        <w:ind w:left="2965" w:hanging="632"/>
      </w:pPr>
      <w:rPr>
        <w:rFonts w:hint="default"/>
      </w:rPr>
    </w:lvl>
    <w:lvl w:ilvl="4">
      <w:start w:val="0"/>
      <w:numFmt w:val="bullet"/>
      <w:lvlText w:val="•"/>
      <w:lvlJc w:val="left"/>
      <w:pPr>
        <w:ind w:left="3674" w:hanging="632"/>
      </w:pPr>
      <w:rPr>
        <w:rFonts w:hint="default"/>
      </w:rPr>
    </w:lvl>
    <w:lvl w:ilvl="5">
      <w:start w:val="0"/>
      <w:numFmt w:val="bullet"/>
      <w:lvlText w:val="•"/>
      <w:lvlJc w:val="left"/>
      <w:pPr>
        <w:ind w:left="4383" w:hanging="632"/>
      </w:pPr>
      <w:rPr>
        <w:rFonts w:hint="default"/>
      </w:rPr>
    </w:lvl>
    <w:lvl w:ilvl="6">
      <w:start w:val="0"/>
      <w:numFmt w:val="bullet"/>
      <w:lvlText w:val="•"/>
      <w:lvlJc w:val="left"/>
      <w:pPr>
        <w:ind w:left="5091" w:hanging="632"/>
      </w:pPr>
      <w:rPr>
        <w:rFonts w:hint="default"/>
      </w:rPr>
    </w:lvl>
    <w:lvl w:ilvl="7">
      <w:start w:val="0"/>
      <w:numFmt w:val="bullet"/>
      <w:lvlText w:val="•"/>
      <w:lvlJc w:val="left"/>
      <w:pPr>
        <w:ind w:left="5800" w:hanging="632"/>
      </w:pPr>
      <w:rPr>
        <w:rFonts w:hint="default"/>
      </w:rPr>
    </w:lvl>
    <w:lvl w:ilvl="8">
      <w:start w:val="0"/>
      <w:numFmt w:val="bullet"/>
      <w:lvlText w:val="•"/>
      <w:lvlJc w:val="left"/>
      <w:pPr>
        <w:ind w:left="6508" w:hanging="632"/>
      </w:pPr>
      <w:rPr>
        <w:rFonts w:hint="default"/>
      </w:rPr>
    </w:lvl>
  </w:abstractNum>
  <w:abstractNum w:abstractNumId="15">
    <w:multiLevelType w:val="hybridMultilevel"/>
    <w:lvl w:ilvl="0">
      <w:start w:val="1"/>
      <w:numFmt w:val="decimal"/>
      <w:lvlText w:val="（%1）"/>
      <w:lvlJc w:val="left"/>
      <w:pPr>
        <w:ind w:left="106" w:hanging="632"/>
        <w:jc w:val="left"/>
      </w:pPr>
      <w:rPr>
        <w:rFonts w:hint="default" w:ascii="宋体" w:hAnsi="宋体" w:eastAsia="宋体" w:cs="宋体"/>
        <w:w w:val="100"/>
        <w:sz w:val="21"/>
        <w:szCs w:val="21"/>
      </w:rPr>
    </w:lvl>
    <w:lvl w:ilvl="1">
      <w:start w:val="0"/>
      <w:numFmt w:val="bullet"/>
      <w:lvlText w:val="•"/>
      <w:lvlJc w:val="left"/>
      <w:pPr>
        <w:ind w:left="872" w:hanging="632"/>
      </w:pPr>
      <w:rPr>
        <w:rFonts w:hint="default"/>
      </w:rPr>
    </w:lvl>
    <w:lvl w:ilvl="2">
      <w:start w:val="0"/>
      <w:numFmt w:val="bullet"/>
      <w:lvlText w:val="•"/>
      <w:lvlJc w:val="left"/>
      <w:pPr>
        <w:ind w:left="1644" w:hanging="632"/>
      </w:pPr>
      <w:rPr>
        <w:rFonts w:hint="default"/>
      </w:rPr>
    </w:lvl>
    <w:lvl w:ilvl="3">
      <w:start w:val="0"/>
      <w:numFmt w:val="bullet"/>
      <w:lvlText w:val="•"/>
      <w:lvlJc w:val="left"/>
      <w:pPr>
        <w:ind w:left="2416" w:hanging="632"/>
      </w:pPr>
      <w:rPr>
        <w:rFonts w:hint="default"/>
      </w:rPr>
    </w:lvl>
    <w:lvl w:ilvl="4">
      <w:start w:val="0"/>
      <w:numFmt w:val="bullet"/>
      <w:lvlText w:val="•"/>
      <w:lvlJc w:val="left"/>
      <w:pPr>
        <w:ind w:left="3188" w:hanging="632"/>
      </w:pPr>
      <w:rPr>
        <w:rFonts w:hint="default"/>
      </w:rPr>
    </w:lvl>
    <w:lvl w:ilvl="5">
      <w:start w:val="0"/>
      <w:numFmt w:val="bullet"/>
      <w:lvlText w:val="•"/>
      <w:lvlJc w:val="left"/>
      <w:pPr>
        <w:ind w:left="3960" w:hanging="632"/>
      </w:pPr>
      <w:rPr>
        <w:rFonts w:hint="default"/>
      </w:rPr>
    </w:lvl>
    <w:lvl w:ilvl="6">
      <w:start w:val="0"/>
      <w:numFmt w:val="bullet"/>
      <w:lvlText w:val="•"/>
      <w:lvlJc w:val="left"/>
      <w:pPr>
        <w:ind w:left="4732" w:hanging="632"/>
      </w:pPr>
      <w:rPr>
        <w:rFonts w:hint="default"/>
      </w:rPr>
    </w:lvl>
    <w:lvl w:ilvl="7">
      <w:start w:val="0"/>
      <w:numFmt w:val="bullet"/>
      <w:lvlText w:val="•"/>
      <w:lvlJc w:val="left"/>
      <w:pPr>
        <w:ind w:left="5504" w:hanging="632"/>
      </w:pPr>
      <w:rPr>
        <w:rFonts w:hint="default"/>
      </w:rPr>
    </w:lvl>
    <w:lvl w:ilvl="8">
      <w:start w:val="0"/>
      <w:numFmt w:val="bullet"/>
      <w:lvlText w:val="•"/>
      <w:lvlJc w:val="left"/>
      <w:pPr>
        <w:ind w:left="6276" w:hanging="632"/>
      </w:pPr>
      <w:rPr>
        <w:rFonts w:hint="default"/>
      </w:rPr>
    </w:lvl>
  </w:abstractNum>
  <w:abstractNum w:abstractNumId="14">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56" w:hanging="632"/>
      </w:pPr>
      <w:rPr>
        <w:rFonts w:hint="default"/>
      </w:rPr>
    </w:lvl>
    <w:lvl w:ilvl="3">
      <w:start w:val="0"/>
      <w:numFmt w:val="bullet"/>
      <w:lvlText w:val="•"/>
      <w:lvlJc w:val="left"/>
      <w:pPr>
        <w:ind w:left="2864" w:hanging="632"/>
      </w:pPr>
      <w:rPr>
        <w:rFonts w:hint="default"/>
      </w:rPr>
    </w:lvl>
    <w:lvl w:ilvl="4">
      <w:start w:val="0"/>
      <w:numFmt w:val="bullet"/>
      <w:lvlText w:val="•"/>
      <w:lvlJc w:val="left"/>
      <w:pPr>
        <w:ind w:left="3572" w:hanging="632"/>
      </w:pPr>
      <w:rPr>
        <w:rFonts w:hint="default"/>
      </w:rPr>
    </w:lvl>
    <w:lvl w:ilvl="5">
      <w:start w:val="0"/>
      <w:numFmt w:val="bullet"/>
      <w:lvlText w:val="•"/>
      <w:lvlJc w:val="left"/>
      <w:pPr>
        <w:ind w:left="4280" w:hanging="632"/>
      </w:pPr>
      <w:rPr>
        <w:rFonts w:hint="default"/>
      </w:rPr>
    </w:lvl>
    <w:lvl w:ilvl="6">
      <w:start w:val="0"/>
      <w:numFmt w:val="bullet"/>
      <w:lvlText w:val="•"/>
      <w:lvlJc w:val="left"/>
      <w:pPr>
        <w:ind w:left="4988" w:hanging="632"/>
      </w:pPr>
      <w:rPr>
        <w:rFonts w:hint="default"/>
      </w:rPr>
    </w:lvl>
    <w:lvl w:ilvl="7">
      <w:start w:val="0"/>
      <w:numFmt w:val="bullet"/>
      <w:lvlText w:val="•"/>
      <w:lvlJc w:val="left"/>
      <w:pPr>
        <w:ind w:left="5696" w:hanging="632"/>
      </w:pPr>
      <w:rPr>
        <w:rFonts w:hint="default"/>
      </w:rPr>
    </w:lvl>
    <w:lvl w:ilvl="8">
      <w:start w:val="0"/>
      <w:numFmt w:val="bullet"/>
      <w:lvlText w:val="•"/>
      <w:lvlJc w:val="left"/>
      <w:pPr>
        <w:ind w:left="6404" w:hanging="632"/>
      </w:pPr>
      <w:rPr>
        <w:rFonts w:hint="default"/>
      </w:rPr>
    </w:lvl>
  </w:abstractNum>
  <w:abstractNum w:abstractNumId="13">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56" w:hanging="632"/>
      </w:pPr>
      <w:rPr>
        <w:rFonts w:hint="default"/>
      </w:rPr>
    </w:lvl>
    <w:lvl w:ilvl="3">
      <w:start w:val="0"/>
      <w:numFmt w:val="bullet"/>
      <w:lvlText w:val="•"/>
      <w:lvlJc w:val="left"/>
      <w:pPr>
        <w:ind w:left="2864" w:hanging="632"/>
      </w:pPr>
      <w:rPr>
        <w:rFonts w:hint="default"/>
      </w:rPr>
    </w:lvl>
    <w:lvl w:ilvl="4">
      <w:start w:val="0"/>
      <w:numFmt w:val="bullet"/>
      <w:lvlText w:val="•"/>
      <w:lvlJc w:val="left"/>
      <w:pPr>
        <w:ind w:left="3572" w:hanging="632"/>
      </w:pPr>
      <w:rPr>
        <w:rFonts w:hint="default"/>
      </w:rPr>
    </w:lvl>
    <w:lvl w:ilvl="5">
      <w:start w:val="0"/>
      <w:numFmt w:val="bullet"/>
      <w:lvlText w:val="•"/>
      <w:lvlJc w:val="left"/>
      <w:pPr>
        <w:ind w:left="4280" w:hanging="632"/>
      </w:pPr>
      <w:rPr>
        <w:rFonts w:hint="default"/>
      </w:rPr>
    </w:lvl>
    <w:lvl w:ilvl="6">
      <w:start w:val="0"/>
      <w:numFmt w:val="bullet"/>
      <w:lvlText w:val="•"/>
      <w:lvlJc w:val="left"/>
      <w:pPr>
        <w:ind w:left="4988" w:hanging="632"/>
      </w:pPr>
      <w:rPr>
        <w:rFonts w:hint="default"/>
      </w:rPr>
    </w:lvl>
    <w:lvl w:ilvl="7">
      <w:start w:val="0"/>
      <w:numFmt w:val="bullet"/>
      <w:lvlText w:val="•"/>
      <w:lvlJc w:val="left"/>
      <w:pPr>
        <w:ind w:left="5696" w:hanging="632"/>
      </w:pPr>
      <w:rPr>
        <w:rFonts w:hint="default"/>
      </w:rPr>
    </w:lvl>
    <w:lvl w:ilvl="8">
      <w:start w:val="0"/>
      <w:numFmt w:val="bullet"/>
      <w:lvlText w:val="•"/>
      <w:lvlJc w:val="left"/>
      <w:pPr>
        <w:ind w:left="6404" w:hanging="632"/>
      </w:pPr>
      <w:rPr>
        <w:rFonts w:hint="default"/>
      </w:rPr>
    </w:lvl>
  </w:abstractNum>
  <w:abstractNum w:abstractNumId="12">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56" w:hanging="632"/>
      </w:pPr>
      <w:rPr>
        <w:rFonts w:hint="default"/>
      </w:rPr>
    </w:lvl>
    <w:lvl w:ilvl="3">
      <w:start w:val="0"/>
      <w:numFmt w:val="bullet"/>
      <w:lvlText w:val="•"/>
      <w:lvlJc w:val="left"/>
      <w:pPr>
        <w:ind w:left="2864" w:hanging="632"/>
      </w:pPr>
      <w:rPr>
        <w:rFonts w:hint="default"/>
      </w:rPr>
    </w:lvl>
    <w:lvl w:ilvl="4">
      <w:start w:val="0"/>
      <w:numFmt w:val="bullet"/>
      <w:lvlText w:val="•"/>
      <w:lvlJc w:val="left"/>
      <w:pPr>
        <w:ind w:left="3572" w:hanging="632"/>
      </w:pPr>
      <w:rPr>
        <w:rFonts w:hint="default"/>
      </w:rPr>
    </w:lvl>
    <w:lvl w:ilvl="5">
      <w:start w:val="0"/>
      <w:numFmt w:val="bullet"/>
      <w:lvlText w:val="•"/>
      <w:lvlJc w:val="left"/>
      <w:pPr>
        <w:ind w:left="4280" w:hanging="632"/>
      </w:pPr>
      <w:rPr>
        <w:rFonts w:hint="default"/>
      </w:rPr>
    </w:lvl>
    <w:lvl w:ilvl="6">
      <w:start w:val="0"/>
      <w:numFmt w:val="bullet"/>
      <w:lvlText w:val="•"/>
      <w:lvlJc w:val="left"/>
      <w:pPr>
        <w:ind w:left="4988" w:hanging="632"/>
      </w:pPr>
      <w:rPr>
        <w:rFonts w:hint="default"/>
      </w:rPr>
    </w:lvl>
    <w:lvl w:ilvl="7">
      <w:start w:val="0"/>
      <w:numFmt w:val="bullet"/>
      <w:lvlText w:val="•"/>
      <w:lvlJc w:val="left"/>
      <w:pPr>
        <w:ind w:left="5696" w:hanging="632"/>
      </w:pPr>
      <w:rPr>
        <w:rFonts w:hint="default"/>
      </w:rPr>
    </w:lvl>
    <w:lvl w:ilvl="8">
      <w:start w:val="0"/>
      <w:numFmt w:val="bullet"/>
      <w:lvlText w:val="•"/>
      <w:lvlJc w:val="left"/>
      <w:pPr>
        <w:ind w:left="6404" w:hanging="632"/>
      </w:pPr>
      <w:rPr>
        <w:rFonts w:hint="default"/>
      </w:rPr>
    </w:lvl>
  </w:abstractNum>
  <w:abstractNum w:abstractNumId="11">
    <w:multiLevelType w:val="hybridMultilevel"/>
    <w:lvl w:ilvl="0">
      <w:start w:val="1"/>
      <w:numFmt w:val="decimal"/>
      <w:lvlText w:val="（%1）"/>
      <w:lvlJc w:val="left"/>
      <w:pPr>
        <w:ind w:left="212" w:hanging="632"/>
        <w:jc w:val="left"/>
      </w:pPr>
      <w:rPr>
        <w:rFonts w:hint="default" w:ascii="宋体" w:hAnsi="宋体" w:eastAsia="宋体" w:cs="宋体"/>
        <w:w w:val="100"/>
        <w:sz w:val="21"/>
        <w:szCs w:val="21"/>
      </w:rPr>
    </w:lvl>
    <w:lvl w:ilvl="1">
      <w:start w:val="0"/>
      <w:numFmt w:val="bullet"/>
      <w:lvlText w:val="•"/>
      <w:lvlJc w:val="left"/>
      <w:pPr>
        <w:ind w:left="970" w:hanging="632"/>
      </w:pPr>
      <w:rPr>
        <w:rFonts w:hint="default"/>
      </w:rPr>
    </w:lvl>
    <w:lvl w:ilvl="2">
      <w:start w:val="0"/>
      <w:numFmt w:val="bullet"/>
      <w:lvlText w:val="•"/>
      <w:lvlJc w:val="left"/>
      <w:pPr>
        <w:ind w:left="1721" w:hanging="632"/>
      </w:pPr>
      <w:rPr>
        <w:rFonts w:hint="default"/>
      </w:rPr>
    </w:lvl>
    <w:lvl w:ilvl="3">
      <w:start w:val="0"/>
      <w:numFmt w:val="bullet"/>
      <w:lvlText w:val="•"/>
      <w:lvlJc w:val="left"/>
      <w:pPr>
        <w:ind w:left="2472" w:hanging="632"/>
      </w:pPr>
      <w:rPr>
        <w:rFonts w:hint="default"/>
      </w:rPr>
    </w:lvl>
    <w:lvl w:ilvl="4">
      <w:start w:val="0"/>
      <w:numFmt w:val="bullet"/>
      <w:lvlText w:val="•"/>
      <w:lvlJc w:val="left"/>
      <w:pPr>
        <w:ind w:left="3223" w:hanging="632"/>
      </w:pPr>
      <w:rPr>
        <w:rFonts w:hint="default"/>
      </w:rPr>
    </w:lvl>
    <w:lvl w:ilvl="5">
      <w:start w:val="0"/>
      <w:numFmt w:val="bullet"/>
      <w:lvlText w:val="•"/>
      <w:lvlJc w:val="left"/>
      <w:pPr>
        <w:ind w:left="3974" w:hanging="632"/>
      </w:pPr>
      <w:rPr>
        <w:rFonts w:hint="default"/>
      </w:rPr>
    </w:lvl>
    <w:lvl w:ilvl="6">
      <w:start w:val="0"/>
      <w:numFmt w:val="bullet"/>
      <w:lvlText w:val="•"/>
      <w:lvlJc w:val="left"/>
      <w:pPr>
        <w:ind w:left="4724" w:hanging="632"/>
      </w:pPr>
      <w:rPr>
        <w:rFonts w:hint="default"/>
      </w:rPr>
    </w:lvl>
    <w:lvl w:ilvl="7">
      <w:start w:val="0"/>
      <w:numFmt w:val="bullet"/>
      <w:lvlText w:val="•"/>
      <w:lvlJc w:val="left"/>
      <w:pPr>
        <w:ind w:left="5475" w:hanging="632"/>
      </w:pPr>
      <w:rPr>
        <w:rFonts w:hint="default"/>
      </w:rPr>
    </w:lvl>
    <w:lvl w:ilvl="8">
      <w:start w:val="0"/>
      <w:numFmt w:val="bullet"/>
      <w:lvlText w:val="•"/>
      <w:lvlJc w:val="left"/>
      <w:pPr>
        <w:ind w:left="6226" w:hanging="632"/>
      </w:pPr>
      <w:rPr>
        <w:rFonts w:hint="default"/>
      </w:rPr>
    </w:lvl>
  </w:abstractNum>
  <w:abstractNum w:abstractNumId="10">
    <w:multiLevelType w:val="hybridMultilevel"/>
    <w:lvl w:ilvl="0">
      <w:start w:val="1"/>
      <w:numFmt w:val="decimal"/>
      <w:lvlText w:val="（%1）"/>
      <w:lvlJc w:val="left"/>
      <w:pPr>
        <w:ind w:left="849" w:hanging="632"/>
        <w:jc w:val="left"/>
      </w:pPr>
      <w:rPr>
        <w:rFonts w:hint="default" w:ascii="宋体" w:hAnsi="宋体" w:eastAsia="宋体" w:cs="宋体"/>
        <w:w w:val="100"/>
        <w:sz w:val="21"/>
        <w:szCs w:val="21"/>
      </w:rPr>
    </w:lvl>
    <w:lvl w:ilvl="1">
      <w:start w:val="0"/>
      <w:numFmt w:val="bullet"/>
      <w:lvlText w:val="•"/>
      <w:lvlJc w:val="left"/>
      <w:pPr>
        <w:ind w:left="1528" w:hanging="632"/>
      </w:pPr>
      <w:rPr>
        <w:rFonts w:hint="default"/>
      </w:rPr>
    </w:lvl>
    <w:lvl w:ilvl="2">
      <w:start w:val="0"/>
      <w:numFmt w:val="bullet"/>
      <w:lvlText w:val="•"/>
      <w:lvlJc w:val="left"/>
      <w:pPr>
        <w:ind w:left="2217" w:hanging="632"/>
      </w:pPr>
      <w:rPr>
        <w:rFonts w:hint="default"/>
      </w:rPr>
    </w:lvl>
    <w:lvl w:ilvl="3">
      <w:start w:val="0"/>
      <w:numFmt w:val="bullet"/>
      <w:lvlText w:val="•"/>
      <w:lvlJc w:val="left"/>
      <w:pPr>
        <w:ind w:left="2906" w:hanging="632"/>
      </w:pPr>
      <w:rPr>
        <w:rFonts w:hint="default"/>
      </w:rPr>
    </w:lvl>
    <w:lvl w:ilvl="4">
      <w:start w:val="0"/>
      <w:numFmt w:val="bullet"/>
      <w:lvlText w:val="•"/>
      <w:lvlJc w:val="left"/>
      <w:pPr>
        <w:ind w:left="3595" w:hanging="632"/>
      </w:pPr>
      <w:rPr>
        <w:rFonts w:hint="default"/>
      </w:rPr>
    </w:lvl>
    <w:lvl w:ilvl="5">
      <w:start w:val="0"/>
      <w:numFmt w:val="bullet"/>
      <w:lvlText w:val="•"/>
      <w:lvlJc w:val="left"/>
      <w:pPr>
        <w:ind w:left="4284" w:hanging="632"/>
      </w:pPr>
      <w:rPr>
        <w:rFonts w:hint="default"/>
      </w:rPr>
    </w:lvl>
    <w:lvl w:ilvl="6">
      <w:start w:val="0"/>
      <w:numFmt w:val="bullet"/>
      <w:lvlText w:val="•"/>
      <w:lvlJc w:val="left"/>
      <w:pPr>
        <w:ind w:left="4972" w:hanging="632"/>
      </w:pPr>
      <w:rPr>
        <w:rFonts w:hint="default"/>
      </w:rPr>
    </w:lvl>
    <w:lvl w:ilvl="7">
      <w:start w:val="0"/>
      <w:numFmt w:val="bullet"/>
      <w:lvlText w:val="•"/>
      <w:lvlJc w:val="left"/>
      <w:pPr>
        <w:ind w:left="5661" w:hanging="632"/>
      </w:pPr>
      <w:rPr>
        <w:rFonts w:hint="default"/>
      </w:rPr>
    </w:lvl>
    <w:lvl w:ilvl="8">
      <w:start w:val="0"/>
      <w:numFmt w:val="bullet"/>
      <w:lvlText w:val="•"/>
      <w:lvlJc w:val="left"/>
      <w:pPr>
        <w:ind w:left="6350" w:hanging="632"/>
      </w:pPr>
      <w:rPr>
        <w:rFonts w:hint="default"/>
      </w:rPr>
    </w:lvl>
  </w:abstractNum>
  <w:abstractNum w:abstractNumId="9">
    <w:multiLevelType w:val="hybridMultilevel"/>
    <w:lvl w:ilvl="0">
      <w:start w:val="1"/>
      <w:numFmt w:val="decimal"/>
      <w:lvlText w:val="（%1）"/>
      <w:lvlJc w:val="left"/>
      <w:pPr>
        <w:ind w:left="846" w:hanging="635"/>
        <w:jc w:val="left"/>
      </w:pPr>
      <w:rPr>
        <w:rFonts w:hint="default" w:ascii="宋体" w:hAnsi="宋体" w:eastAsia="宋体" w:cs="宋体"/>
        <w:b/>
        <w:bCs/>
        <w:i/>
        <w:w w:val="95"/>
        <w:sz w:val="22"/>
        <w:szCs w:val="22"/>
      </w:rPr>
    </w:lvl>
    <w:lvl w:ilvl="1">
      <w:start w:val="0"/>
      <w:numFmt w:val="bullet"/>
      <w:lvlText w:val="•"/>
      <w:lvlJc w:val="left"/>
      <w:pPr>
        <w:ind w:left="1528" w:hanging="635"/>
      </w:pPr>
      <w:rPr>
        <w:rFonts w:hint="default"/>
      </w:rPr>
    </w:lvl>
    <w:lvl w:ilvl="2">
      <w:start w:val="0"/>
      <w:numFmt w:val="bullet"/>
      <w:lvlText w:val="•"/>
      <w:lvlJc w:val="left"/>
      <w:pPr>
        <w:ind w:left="2217" w:hanging="635"/>
      </w:pPr>
      <w:rPr>
        <w:rFonts w:hint="default"/>
      </w:rPr>
    </w:lvl>
    <w:lvl w:ilvl="3">
      <w:start w:val="0"/>
      <w:numFmt w:val="bullet"/>
      <w:lvlText w:val="•"/>
      <w:lvlJc w:val="left"/>
      <w:pPr>
        <w:ind w:left="2906" w:hanging="635"/>
      </w:pPr>
      <w:rPr>
        <w:rFonts w:hint="default"/>
      </w:rPr>
    </w:lvl>
    <w:lvl w:ilvl="4">
      <w:start w:val="0"/>
      <w:numFmt w:val="bullet"/>
      <w:lvlText w:val="•"/>
      <w:lvlJc w:val="left"/>
      <w:pPr>
        <w:ind w:left="3595" w:hanging="635"/>
      </w:pPr>
      <w:rPr>
        <w:rFonts w:hint="default"/>
      </w:rPr>
    </w:lvl>
    <w:lvl w:ilvl="5">
      <w:start w:val="0"/>
      <w:numFmt w:val="bullet"/>
      <w:lvlText w:val="•"/>
      <w:lvlJc w:val="left"/>
      <w:pPr>
        <w:ind w:left="4284" w:hanging="635"/>
      </w:pPr>
      <w:rPr>
        <w:rFonts w:hint="default"/>
      </w:rPr>
    </w:lvl>
    <w:lvl w:ilvl="6">
      <w:start w:val="0"/>
      <w:numFmt w:val="bullet"/>
      <w:lvlText w:val="•"/>
      <w:lvlJc w:val="left"/>
      <w:pPr>
        <w:ind w:left="4972" w:hanging="635"/>
      </w:pPr>
      <w:rPr>
        <w:rFonts w:hint="default"/>
      </w:rPr>
    </w:lvl>
    <w:lvl w:ilvl="7">
      <w:start w:val="0"/>
      <w:numFmt w:val="bullet"/>
      <w:lvlText w:val="•"/>
      <w:lvlJc w:val="left"/>
      <w:pPr>
        <w:ind w:left="5661" w:hanging="635"/>
      </w:pPr>
      <w:rPr>
        <w:rFonts w:hint="default"/>
      </w:rPr>
    </w:lvl>
    <w:lvl w:ilvl="8">
      <w:start w:val="0"/>
      <w:numFmt w:val="bullet"/>
      <w:lvlText w:val="•"/>
      <w:lvlJc w:val="left"/>
      <w:pPr>
        <w:ind w:left="6350" w:hanging="635"/>
      </w:pPr>
      <w:rPr>
        <w:rFonts w:hint="default"/>
      </w:rPr>
    </w:lvl>
  </w:abstractNum>
  <w:abstractNum w:abstractNumId="8">
    <w:multiLevelType w:val="hybridMultilevel"/>
    <w:lvl w:ilvl="0">
      <w:start w:val="1"/>
      <w:numFmt w:val="decimal"/>
      <w:lvlText w:val="（%1）"/>
      <w:lvlJc w:val="left"/>
      <w:pPr>
        <w:ind w:left="835" w:hanging="721"/>
        <w:jc w:val="left"/>
      </w:pPr>
      <w:rPr>
        <w:rFonts w:hint="default" w:ascii="宋体" w:hAnsi="宋体" w:eastAsia="宋体" w:cs="宋体"/>
        <w:w w:val="100"/>
        <w:sz w:val="21"/>
        <w:szCs w:val="21"/>
      </w:rPr>
    </w:lvl>
    <w:lvl w:ilvl="1">
      <w:start w:val="0"/>
      <w:numFmt w:val="bullet"/>
      <w:lvlText w:val="•"/>
      <w:lvlJc w:val="left"/>
      <w:pPr>
        <w:ind w:left="1537" w:hanging="721"/>
      </w:pPr>
      <w:rPr>
        <w:rFonts w:hint="default"/>
      </w:rPr>
    </w:lvl>
    <w:lvl w:ilvl="2">
      <w:start w:val="0"/>
      <w:numFmt w:val="bullet"/>
      <w:lvlText w:val="•"/>
      <w:lvlJc w:val="left"/>
      <w:pPr>
        <w:ind w:left="2235"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30" w:hanging="721"/>
      </w:pPr>
      <w:rPr>
        <w:rFonts w:hint="default"/>
      </w:rPr>
    </w:lvl>
    <w:lvl w:ilvl="5">
      <w:start w:val="0"/>
      <w:numFmt w:val="bullet"/>
      <w:lvlText w:val="•"/>
      <w:lvlJc w:val="left"/>
      <w:pPr>
        <w:ind w:left="4327" w:hanging="721"/>
      </w:pPr>
      <w:rPr>
        <w:rFonts w:hint="default"/>
      </w:rPr>
    </w:lvl>
    <w:lvl w:ilvl="6">
      <w:start w:val="0"/>
      <w:numFmt w:val="bullet"/>
      <w:lvlText w:val="•"/>
      <w:lvlJc w:val="left"/>
      <w:pPr>
        <w:ind w:left="5025" w:hanging="721"/>
      </w:pPr>
      <w:rPr>
        <w:rFonts w:hint="default"/>
      </w:rPr>
    </w:lvl>
    <w:lvl w:ilvl="7">
      <w:start w:val="0"/>
      <w:numFmt w:val="bullet"/>
      <w:lvlText w:val="•"/>
      <w:lvlJc w:val="left"/>
      <w:pPr>
        <w:ind w:left="5722" w:hanging="721"/>
      </w:pPr>
      <w:rPr>
        <w:rFonts w:hint="default"/>
      </w:rPr>
    </w:lvl>
    <w:lvl w:ilvl="8">
      <w:start w:val="0"/>
      <w:numFmt w:val="bullet"/>
      <w:lvlText w:val="•"/>
      <w:lvlJc w:val="left"/>
      <w:pPr>
        <w:ind w:left="6420" w:hanging="721"/>
      </w:pPr>
      <w:rPr>
        <w:rFonts w:hint="default"/>
      </w:rPr>
    </w:lvl>
  </w:abstractNum>
  <w:abstractNum w:abstractNumId="7">
    <w:multiLevelType w:val="hybridMultilevel"/>
    <w:lvl w:ilvl="0">
      <w:start w:val="1"/>
      <w:numFmt w:val="decimal"/>
      <w:lvlText w:val="（%1）"/>
      <w:lvlJc w:val="left"/>
      <w:pPr>
        <w:ind w:left="765" w:hanging="632"/>
        <w:jc w:val="left"/>
      </w:pPr>
      <w:rPr>
        <w:rFonts w:hint="default" w:ascii="宋体" w:hAnsi="宋体" w:eastAsia="宋体" w:cs="宋体"/>
        <w:w w:val="100"/>
        <w:sz w:val="21"/>
        <w:szCs w:val="21"/>
      </w:rPr>
    </w:lvl>
    <w:lvl w:ilvl="1">
      <w:start w:val="0"/>
      <w:numFmt w:val="bullet"/>
      <w:lvlText w:val="•"/>
      <w:lvlJc w:val="left"/>
      <w:pPr>
        <w:ind w:left="1465" w:hanging="632"/>
      </w:pPr>
      <w:rPr>
        <w:rFonts w:hint="default"/>
      </w:rPr>
    </w:lvl>
    <w:lvl w:ilvl="2">
      <w:start w:val="0"/>
      <w:numFmt w:val="bullet"/>
      <w:lvlText w:val="•"/>
      <w:lvlJc w:val="left"/>
      <w:pPr>
        <w:ind w:left="2171" w:hanging="632"/>
      </w:pPr>
      <w:rPr>
        <w:rFonts w:hint="default"/>
      </w:rPr>
    </w:lvl>
    <w:lvl w:ilvl="3">
      <w:start w:val="0"/>
      <w:numFmt w:val="bullet"/>
      <w:lvlText w:val="•"/>
      <w:lvlJc w:val="left"/>
      <w:pPr>
        <w:ind w:left="2876" w:hanging="632"/>
      </w:pPr>
      <w:rPr>
        <w:rFonts w:hint="default"/>
      </w:rPr>
    </w:lvl>
    <w:lvl w:ilvl="4">
      <w:start w:val="0"/>
      <w:numFmt w:val="bullet"/>
      <w:lvlText w:val="•"/>
      <w:lvlJc w:val="left"/>
      <w:pPr>
        <w:ind w:left="3582" w:hanging="632"/>
      </w:pPr>
      <w:rPr>
        <w:rFonts w:hint="default"/>
      </w:rPr>
    </w:lvl>
    <w:lvl w:ilvl="5">
      <w:start w:val="0"/>
      <w:numFmt w:val="bullet"/>
      <w:lvlText w:val="•"/>
      <w:lvlJc w:val="left"/>
      <w:pPr>
        <w:ind w:left="4287" w:hanging="632"/>
      </w:pPr>
      <w:rPr>
        <w:rFonts w:hint="default"/>
      </w:rPr>
    </w:lvl>
    <w:lvl w:ilvl="6">
      <w:start w:val="0"/>
      <w:numFmt w:val="bullet"/>
      <w:lvlText w:val="•"/>
      <w:lvlJc w:val="left"/>
      <w:pPr>
        <w:ind w:left="4993" w:hanging="632"/>
      </w:pPr>
      <w:rPr>
        <w:rFonts w:hint="default"/>
      </w:rPr>
    </w:lvl>
    <w:lvl w:ilvl="7">
      <w:start w:val="0"/>
      <w:numFmt w:val="bullet"/>
      <w:lvlText w:val="•"/>
      <w:lvlJc w:val="left"/>
      <w:pPr>
        <w:ind w:left="5698" w:hanging="632"/>
      </w:pPr>
      <w:rPr>
        <w:rFonts w:hint="default"/>
      </w:rPr>
    </w:lvl>
    <w:lvl w:ilvl="8">
      <w:start w:val="0"/>
      <w:numFmt w:val="bullet"/>
      <w:lvlText w:val="•"/>
      <w:lvlJc w:val="left"/>
      <w:pPr>
        <w:ind w:left="6404" w:hanging="632"/>
      </w:pPr>
      <w:rPr>
        <w:rFonts w:hint="default"/>
      </w:rPr>
    </w:lvl>
  </w:abstractNum>
  <w:abstractNum w:abstractNumId="6">
    <w:multiLevelType w:val="hybridMultilevel"/>
    <w:lvl w:ilvl="0">
      <w:start w:val="1"/>
      <w:numFmt w:val="decimal"/>
      <w:lvlText w:val="（%1）"/>
      <w:lvlJc w:val="left"/>
      <w:pPr>
        <w:ind w:left="745" w:hanging="632"/>
        <w:jc w:val="left"/>
      </w:pPr>
      <w:rPr>
        <w:rFonts w:hint="default" w:ascii="宋体" w:hAnsi="宋体" w:eastAsia="宋体" w:cs="宋体"/>
        <w:w w:val="100"/>
        <w:sz w:val="21"/>
        <w:szCs w:val="21"/>
      </w:rPr>
    </w:lvl>
    <w:lvl w:ilvl="1">
      <w:start w:val="0"/>
      <w:numFmt w:val="bullet"/>
      <w:lvlText w:val="•"/>
      <w:lvlJc w:val="left"/>
      <w:pPr>
        <w:ind w:left="1427" w:hanging="632"/>
      </w:pPr>
      <w:rPr>
        <w:rFonts w:hint="default"/>
      </w:rPr>
    </w:lvl>
    <w:lvl w:ilvl="2">
      <w:start w:val="0"/>
      <w:numFmt w:val="bullet"/>
      <w:lvlText w:val="•"/>
      <w:lvlJc w:val="left"/>
      <w:pPr>
        <w:ind w:left="2114" w:hanging="632"/>
      </w:pPr>
      <w:rPr>
        <w:rFonts w:hint="default"/>
      </w:rPr>
    </w:lvl>
    <w:lvl w:ilvl="3">
      <w:start w:val="0"/>
      <w:numFmt w:val="bullet"/>
      <w:lvlText w:val="•"/>
      <w:lvlJc w:val="left"/>
      <w:pPr>
        <w:ind w:left="2801" w:hanging="632"/>
      </w:pPr>
      <w:rPr>
        <w:rFonts w:hint="default"/>
      </w:rPr>
    </w:lvl>
    <w:lvl w:ilvl="4">
      <w:start w:val="0"/>
      <w:numFmt w:val="bullet"/>
      <w:lvlText w:val="•"/>
      <w:lvlJc w:val="left"/>
      <w:pPr>
        <w:ind w:left="3488" w:hanging="632"/>
      </w:pPr>
      <w:rPr>
        <w:rFonts w:hint="default"/>
      </w:rPr>
    </w:lvl>
    <w:lvl w:ilvl="5">
      <w:start w:val="0"/>
      <w:numFmt w:val="bullet"/>
      <w:lvlText w:val="•"/>
      <w:lvlJc w:val="left"/>
      <w:pPr>
        <w:ind w:left="4175" w:hanging="632"/>
      </w:pPr>
      <w:rPr>
        <w:rFonts w:hint="default"/>
      </w:rPr>
    </w:lvl>
    <w:lvl w:ilvl="6">
      <w:start w:val="0"/>
      <w:numFmt w:val="bullet"/>
      <w:lvlText w:val="•"/>
      <w:lvlJc w:val="left"/>
      <w:pPr>
        <w:ind w:left="4862" w:hanging="632"/>
      </w:pPr>
      <w:rPr>
        <w:rFonts w:hint="default"/>
      </w:rPr>
    </w:lvl>
    <w:lvl w:ilvl="7">
      <w:start w:val="0"/>
      <w:numFmt w:val="bullet"/>
      <w:lvlText w:val="•"/>
      <w:lvlJc w:val="left"/>
      <w:pPr>
        <w:ind w:left="5549" w:hanging="632"/>
      </w:pPr>
      <w:rPr>
        <w:rFonts w:hint="default"/>
      </w:rPr>
    </w:lvl>
    <w:lvl w:ilvl="8">
      <w:start w:val="0"/>
      <w:numFmt w:val="bullet"/>
      <w:lvlText w:val="•"/>
      <w:lvlJc w:val="left"/>
      <w:pPr>
        <w:ind w:left="6236" w:hanging="632"/>
      </w:pPr>
      <w:rPr>
        <w:rFonts w:hint="default"/>
      </w:rPr>
    </w:lvl>
  </w:abstractNum>
  <w:abstractNum w:abstractNumId="5">
    <w:multiLevelType w:val="hybridMultilevel"/>
    <w:lvl w:ilvl="0">
      <w:start w:val="1"/>
      <w:numFmt w:val="decimal"/>
      <w:lvlText w:val="（%1）"/>
      <w:lvlJc w:val="left"/>
      <w:pPr>
        <w:ind w:left="678" w:hanging="565"/>
        <w:jc w:val="left"/>
      </w:pPr>
      <w:rPr>
        <w:rFonts w:hint="default" w:ascii="宋体" w:hAnsi="宋体" w:eastAsia="宋体" w:cs="宋体"/>
        <w:w w:val="100"/>
        <w:sz w:val="21"/>
        <w:szCs w:val="21"/>
      </w:rPr>
    </w:lvl>
    <w:lvl w:ilvl="1">
      <w:start w:val="0"/>
      <w:numFmt w:val="bullet"/>
      <w:lvlText w:val="•"/>
      <w:lvlJc w:val="left"/>
      <w:pPr>
        <w:ind w:left="1373" w:hanging="565"/>
      </w:pPr>
      <w:rPr>
        <w:rFonts w:hint="default"/>
      </w:rPr>
    </w:lvl>
    <w:lvl w:ilvl="2">
      <w:start w:val="0"/>
      <w:numFmt w:val="bullet"/>
      <w:lvlText w:val="•"/>
      <w:lvlJc w:val="left"/>
      <w:pPr>
        <w:ind w:left="2067" w:hanging="565"/>
      </w:pPr>
      <w:rPr>
        <w:rFonts w:hint="default"/>
      </w:rPr>
    </w:lvl>
    <w:lvl w:ilvl="3">
      <w:start w:val="0"/>
      <w:numFmt w:val="bullet"/>
      <w:lvlText w:val="•"/>
      <w:lvlJc w:val="left"/>
      <w:pPr>
        <w:ind w:left="2760" w:hanging="565"/>
      </w:pPr>
      <w:rPr>
        <w:rFonts w:hint="default"/>
      </w:rPr>
    </w:lvl>
    <w:lvl w:ilvl="4">
      <w:start w:val="0"/>
      <w:numFmt w:val="bullet"/>
      <w:lvlText w:val="•"/>
      <w:lvlJc w:val="left"/>
      <w:pPr>
        <w:ind w:left="3454" w:hanging="565"/>
      </w:pPr>
      <w:rPr>
        <w:rFonts w:hint="default"/>
      </w:rPr>
    </w:lvl>
    <w:lvl w:ilvl="5">
      <w:start w:val="0"/>
      <w:numFmt w:val="bullet"/>
      <w:lvlText w:val="•"/>
      <w:lvlJc w:val="left"/>
      <w:pPr>
        <w:ind w:left="4148" w:hanging="565"/>
      </w:pPr>
      <w:rPr>
        <w:rFonts w:hint="default"/>
      </w:rPr>
    </w:lvl>
    <w:lvl w:ilvl="6">
      <w:start w:val="0"/>
      <w:numFmt w:val="bullet"/>
      <w:lvlText w:val="•"/>
      <w:lvlJc w:val="left"/>
      <w:pPr>
        <w:ind w:left="4841" w:hanging="565"/>
      </w:pPr>
      <w:rPr>
        <w:rFonts w:hint="default"/>
      </w:rPr>
    </w:lvl>
    <w:lvl w:ilvl="7">
      <w:start w:val="0"/>
      <w:numFmt w:val="bullet"/>
      <w:lvlText w:val="•"/>
      <w:lvlJc w:val="left"/>
      <w:pPr>
        <w:ind w:left="5535" w:hanging="565"/>
      </w:pPr>
      <w:rPr>
        <w:rFonts w:hint="default"/>
      </w:rPr>
    </w:lvl>
    <w:lvl w:ilvl="8">
      <w:start w:val="0"/>
      <w:numFmt w:val="bullet"/>
      <w:lvlText w:val="•"/>
      <w:lvlJc w:val="left"/>
      <w:pPr>
        <w:ind w:left="6228" w:hanging="565"/>
      </w:pPr>
      <w:rPr>
        <w:rFonts w:hint="default"/>
      </w:rPr>
    </w:lvl>
  </w:abstractNum>
  <w:abstractNum w:abstractNumId="4">
    <w:multiLevelType w:val="hybridMultilevel"/>
    <w:lvl w:ilvl="0">
      <w:start w:val="1"/>
      <w:numFmt w:val="decimal"/>
      <w:lvlText w:val="（%1）"/>
      <w:lvlJc w:val="left"/>
      <w:pPr>
        <w:ind w:left="678" w:hanging="565"/>
        <w:jc w:val="left"/>
      </w:pPr>
      <w:rPr>
        <w:rFonts w:hint="default" w:ascii="宋体" w:hAnsi="宋体" w:eastAsia="宋体" w:cs="宋体"/>
        <w:w w:val="100"/>
        <w:sz w:val="21"/>
        <w:szCs w:val="21"/>
      </w:rPr>
    </w:lvl>
    <w:lvl w:ilvl="1">
      <w:start w:val="0"/>
      <w:numFmt w:val="bullet"/>
      <w:lvlText w:val="•"/>
      <w:lvlJc w:val="left"/>
      <w:pPr>
        <w:ind w:left="1373" w:hanging="565"/>
      </w:pPr>
      <w:rPr>
        <w:rFonts w:hint="default"/>
      </w:rPr>
    </w:lvl>
    <w:lvl w:ilvl="2">
      <w:start w:val="0"/>
      <w:numFmt w:val="bullet"/>
      <w:lvlText w:val="•"/>
      <w:lvlJc w:val="left"/>
      <w:pPr>
        <w:ind w:left="2067" w:hanging="565"/>
      </w:pPr>
      <w:rPr>
        <w:rFonts w:hint="default"/>
      </w:rPr>
    </w:lvl>
    <w:lvl w:ilvl="3">
      <w:start w:val="0"/>
      <w:numFmt w:val="bullet"/>
      <w:lvlText w:val="•"/>
      <w:lvlJc w:val="left"/>
      <w:pPr>
        <w:ind w:left="2760" w:hanging="565"/>
      </w:pPr>
      <w:rPr>
        <w:rFonts w:hint="default"/>
      </w:rPr>
    </w:lvl>
    <w:lvl w:ilvl="4">
      <w:start w:val="0"/>
      <w:numFmt w:val="bullet"/>
      <w:lvlText w:val="•"/>
      <w:lvlJc w:val="left"/>
      <w:pPr>
        <w:ind w:left="3454" w:hanging="565"/>
      </w:pPr>
      <w:rPr>
        <w:rFonts w:hint="default"/>
      </w:rPr>
    </w:lvl>
    <w:lvl w:ilvl="5">
      <w:start w:val="0"/>
      <w:numFmt w:val="bullet"/>
      <w:lvlText w:val="•"/>
      <w:lvlJc w:val="left"/>
      <w:pPr>
        <w:ind w:left="4148" w:hanging="565"/>
      </w:pPr>
      <w:rPr>
        <w:rFonts w:hint="default"/>
      </w:rPr>
    </w:lvl>
    <w:lvl w:ilvl="6">
      <w:start w:val="0"/>
      <w:numFmt w:val="bullet"/>
      <w:lvlText w:val="•"/>
      <w:lvlJc w:val="left"/>
      <w:pPr>
        <w:ind w:left="4841" w:hanging="565"/>
      </w:pPr>
      <w:rPr>
        <w:rFonts w:hint="default"/>
      </w:rPr>
    </w:lvl>
    <w:lvl w:ilvl="7">
      <w:start w:val="0"/>
      <w:numFmt w:val="bullet"/>
      <w:lvlText w:val="•"/>
      <w:lvlJc w:val="left"/>
      <w:pPr>
        <w:ind w:left="5535" w:hanging="565"/>
      </w:pPr>
      <w:rPr>
        <w:rFonts w:hint="default"/>
      </w:rPr>
    </w:lvl>
    <w:lvl w:ilvl="8">
      <w:start w:val="0"/>
      <w:numFmt w:val="bullet"/>
      <w:lvlText w:val="•"/>
      <w:lvlJc w:val="left"/>
      <w:pPr>
        <w:ind w:left="6228" w:hanging="565"/>
      </w:pPr>
      <w:rPr>
        <w:rFonts w:hint="default"/>
      </w:rPr>
    </w:lvl>
  </w:abstractNum>
  <w:abstractNum w:abstractNumId="3">
    <w:multiLevelType w:val="hybridMultilevel"/>
    <w:lvl w:ilvl="0">
      <w:start w:val="1"/>
      <w:numFmt w:val="decimal"/>
      <w:lvlText w:val="（%1）"/>
      <w:lvlJc w:val="left"/>
      <w:pPr>
        <w:ind w:left="745" w:hanging="632"/>
        <w:jc w:val="left"/>
      </w:pPr>
      <w:rPr>
        <w:rFonts w:hint="default" w:ascii="宋体" w:hAnsi="宋体" w:eastAsia="宋体" w:cs="宋体"/>
        <w:w w:val="100"/>
        <w:sz w:val="21"/>
        <w:szCs w:val="21"/>
      </w:rPr>
    </w:lvl>
    <w:lvl w:ilvl="1">
      <w:start w:val="0"/>
      <w:numFmt w:val="bullet"/>
      <w:lvlText w:val="•"/>
      <w:lvlJc w:val="left"/>
      <w:pPr>
        <w:ind w:left="1427" w:hanging="632"/>
      </w:pPr>
      <w:rPr>
        <w:rFonts w:hint="default"/>
      </w:rPr>
    </w:lvl>
    <w:lvl w:ilvl="2">
      <w:start w:val="0"/>
      <w:numFmt w:val="bullet"/>
      <w:lvlText w:val="•"/>
      <w:lvlJc w:val="left"/>
      <w:pPr>
        <w:ind w:left="2115" w:hanging="632"/>
      </w:pPr>
      <w:rPr>
        <w:rFonts w:hint="default"/>
      </w:rPr>
    </w:lvl>
    <w:lvl w:ilvl="3">
      <w:start w:val="0"/>
      <w:numFmt w:val="bullet"/>
      <w:lvlText w:val="•"/>
      <w:lvlJc w:val="left"/>
      <w:pPr>
        <w:ind w:left="2802" w:hanging="632"/>
      </w:pPr>
      <w:rPr>
        <w:rFonts w:hint="default"/>
      </w:rPr>
    </w:lvl>
    <w:lvl w:ilvl="4">
      <w:start w:val="0"/>
      <w:numFmt w:val="bullet"/>
      <w:lvlText w:val="•"/>
      <w:lvlJc w:val="left"/>
      <w:pPr>
        <w:ind w:left="3490" w:hanging="632"/>
      </w:pPr>
      <w:rPr>
        <w:rFonts w:hint="default"/>
      </w:rPr>
    </w:lvl>
    <w:lvl w:ilvl="5">
      <w:start w:val="0"/>
      <w:numFmt w:val="bullet"/>
      <w:lvlText w:val="•"/>
      <w:lvlJc w:val="left"/>
      <w:pPr>
        <w:ind w:left="4178" w:hanging="632"/>
      </w:pPr>
      <w:rPr>
        <w:rFonts w:hint="default"/>
      </w:rPr>
    </w:lvl>
    <w:lvl w:ilvl="6">
      <w:start w:val="0"/>
      <w:numFmt w:val="bullet"/>
      <w:lvlText w:val="•"/>
      <w:lvlJc w:val="left"/>
      <w:pPr>
        <w:ind w:left="4865" w:hanging="632"/>
      </w:pPr>
      <w:rPr>
        <w:rFonts w:hint="default"/>
      </w:rPr>
    </w:lvl>
    <w:lvl w:ilvl="7">
      <w:start w:val="0"/>
      <w:numFmt w:val="bullet"/>
      <w:lvlText w:val="•"/>
      <w:lvlJc w:val="left"/>
      <w:pPr>
        <w:ind w:left="5553" w:hanging="632"/>
      </w:pPr>
      <w:rPr>
        <w:rFonts w:hint="default"/>
      </w:rPr>
    </w:lvl>
    <w:lvl w:ilvl="8">
      <w:start w:val="0"/>
      <w:numFmt w:val="bullet"/>
      <w:lvlText w:val="•"/>
      <w:lvlJc w:val="left"/>
      <w:pPr>
        <w:ind w:left="6240" w:hanging="632"/>
      </w:pPr>
      <w:rPr>
        <w:rFonts w:hint="default"/>
      </w:rPr>
    </w:lvl>
  </w:abstractNum>
  <w:abstractNum w:abstractNumId="2">
    <w:multiLevelType w:val="hybridMultilevel"/>
    <w:lvl w:ilvl="0">
      <w:start w:val="6"/>
      <w:numFmt w:val="decimal"/>
      <w:lvlText w:val="(%1)"/>
      <w:lvlJc w:val="left"/>
      <w:pPr>
        <w:ind w:left="535" w:hanging="421"/>
        <w:jc w:val="left"/>
      </w:pPr>
      <w:rPr>
        <w:rFonts w:hint="default" w:ascii="黑体" w:hAnsi="黑体" w:eastAsia="黑体" w:cs="黑体"/>
        <w:b/>
        <w:bCs/>
        <w:w w:val="99"/>
        <w:sz w:val="21"/>
        <w:szCs w:val="21"/>
      </w:rPr>
    </w:lvl>
    <w:lvl w:ilvl="1">
      <w:start w:val="0"/>
      <w:numFmt w:val="bullet"/>
      <w:lvlText w:val="•"/>
      <w:lvlJc w:val="left"/>
      <w:pPr>
        <w:ind w:left="1267" w:hanging="421"/>
      </w:pPr>
      <w:rPr>
        <w:rFonts w:hint="default"/>
      </w:rPr>
    </w:lvl>
    <w:lvl w:ilvl="2">
      <w:start w:val="0"/>
      <w:numFmt w:val="bullet"/>
      <w:lvlText w:val="•"/>
      <w:lvlJc w:val="left"/>
      <w:pPr>
        <w:ind w:left="1994" w:hanging="421"/>
      </w:pPr>
      <w:rPr>
        <w:rFonts w:hint="default"/>
      </w:rPr>
    </w:lvl>
    <w:lvl w:ilvl="3">
      <w:start w:val="0"/>
      <w:numFmt w:val="bullet"/>
      <w:lvlText w:val="•"/>
      <w:lvlJc w:val="left"/>
      <w:pPr>
        <w:ind w:left="2721" w:hanging="421"/>
      </w:pPr>
      <w:rPr>
        <w:rFonts w:hint="default"/>
      </w:rPr>
    </w:lvl>
    <w:lvl w:ilvl="4">
      <w:start w:val="0"/>
      <w:numFmt w:val="bullet"/>
      <w:lvlText w:val="•"/>
      <w:lvlJc w:val="left"/>
      <w:pPr>
        <w:ind w:left="3449" w:hanging="421"/>
      </w:pPr>
      <w:rPr>
        <w:rFonts w:hint="default"/>
      </w:rPr>
    </w:lvl>
    <w:lvl w:ilvl="5">
      <w:start w:val="0"/>
      <w:numFmt w:val="bullet"/>
      <w:lvlText w:val="•"/>
      <w:lvlJc w:val="left"/>
      <w:pPr>
        <w:ind w:left="4176" w:hanging="421"/>
      </w:pPr>
      <w:rPr>
        <w:rFonts w:hint="default"/>
      </w:rPr>
    </w:lvl>
    <w:lvl w:ilvl="6">
      <w:start w:val="0"/>
      <w:numFmt w:val="bullet"/>
      <w:lvlText w:val="•"/>
      <w:lvlJc w:val="left"/>
      <w:pPr>
        <w:ind w:left="4903" w:hanging="421"/>
      </w:pPr>
      <w:rPr>
        <w:rFonts w:hint="default"/>
      </w:rPr>
    </w:lvl>
    <w:lvl w:ilvl="7">
      <w:start w:val="0"/>
      <w:numFmt w:val="bullet"/>
      <w:lvlText w:val="•"/>
      <w:lvlJc w:val="left"/>
      <w:pPr>
        <w:ind w:left="5631" w:hanging="421"/>
      </w:pPr>
      <w:rPr>
        <w:rFonts w:hint="default"/>
      </w:rPr>
    </w:lvl>
    <w:lvl w:ilvl="8">
      <w:start w:val="0"/>
      <w:numFmt w:val="bullet"/>
      <w:lvlText w:val="•"/>
      <w:lvlJc w:val="left"/>
      <w:pPr>
        <w:ind w:left="6358" w:hanging="421"/>
      </w:pPr>
      <w:rPr>
        <w:rFonts w:hint="default"/>
      </w:rPr>
    </w:lvl>
  </w:abstractNum>
  <w:abstractNum w:abstractNumId="1">
    <w:multiLevelType w:val="hybridMultilevel"/>
    <w:lvl w:ilvl="0">
      <w:start w:val="1"/>
      <w:numFmt w:val="decimal"/>
      <w:lvlText w:val="(%1)"/>
      <w:lvlJc w:val="left"/>
      <w:pPr>
        <w:ind w:left="535" w:hanging="421"/>
        <w:jc w:val="left"/>
      </w:pPr>
      <w:rPr>
        <w:rFonts w:hint="default" w:ascii="黑体" w:hAnsi="黑体" w:eastAsia="黑体" w:cs="黑体"/>
        <w:b/>
        <w:bCs/>
        <w:w w:val="99"/>
        <w:sz w:val="21"/>
        <w:szCs w:val="21"/>
      </w:rPr>
    </w:lvl>
    <w:lvl w:ilvl="1">
      <w:start w:val="0"/>
      <w:numFmt w:val="bullet"/>
      <w:lvlText w:val="•"/>
      <w:lvlJc w:val="left"/>
      <w:pPr>
        <w:ind w:left="1267" w:hanging="421"/>
      </w:pPr>
      <w:rPr>
        <w:rFonts w:hint="default"/>
      </w:rPr>
    </w:lvl>
    <w:lvl w:ilvl="2">
      <w:start w:val="0"/>
      <w:numFmt w:val="bullet"/>
      <w:lvlText w:val="•"/>
      <w:lvlJc w:val="left"/>
      <w:pPr>
        <w:ind w:left="1994" w:hanging="421"/>
      </w:pPr>
      <w:rPr>
        <w:rFonts w:hint="default"/>
      </w:rPr>
    </w:lvl>
    <w:lvl w:ilvl="3">
      <w:start w:val="0"/>
      <w:numFmt w:val="bullet"/>
      <w:lvlText w:val="•"/>
      <w:lvlJc w:val="left"/>
      <w:pPr>
        <w:ind w:left="2721" w:hanging="421"/>
      </w:pPr>
      <w:rPr>
        <w:rFonts w:hint="default"/>
      </w:rPr>
    </w:lvl>
    <w:lvl w:ilvl="4">
      <w:start w:val="0"/>
      <w:numFmt w:val="bullet"/>
      <w:lvlText w:val="•"/>
      <w:lvlJc w:val="left"/>
      <w:pPr>
        <w:ind w:left="3449" w:hanging="421"/>
      </w:pPr>
      <w:rPr>
        <w:rFonts w:hint="default"/>
      </w:rPr>
    </w:lvl>
    <w:lvl w:ilvl="5">
      <w:start w:val="0"/>
      <w:numFmt w:val="bullet"/>
      <w:lvlText w:val="•"/>
      <w:lvlJc w:val="left"/>
      <w:pPr>
        <w:ind w:left="4176" w:hanging="421"/>
      </w:pPr>
      <w:rPr>
        <w:rFonts w:hint="default"/>
      </w:rPr>
    </w:lvl>
    <w:lvl w:ilvl="6">
      <w:start w:val="0"/>
      <w:numFmt w:val="bullet"/>
      <w:lvlText w:val="•"/>
      <w:lvlJc w:val="left"/>
      <w:pPr>
        <w:ind w:left="4903" w:hanging="421"/>
      </w:pPr>
      <w:rPr>
        <w:rFonts w:hint="default"/>
      </w:rPr>
    </w:lvl>
    <w:lvl w:ilvl="7">
      <w:start w:val="0"/>
      <w:numFmt w:val="bullet"/>
      <w:lvlText w:val="•"/>
      <w:lvlJc w:val="left"/>
      <w:pPr>
        <w:ind w:left="5631" w:hanging="421"/>
      </w:pPr>
      <w:rPr>
        <w:rFonts w:hint="default"/>
      </w:rPr>
    </w:lvl>
    <w:lvl w:ilvl="8">
      <w:start w:val="0"/>
      <w:numFmt w:val="bullet"/>
      <w:lvlText w:val="•"/>
      <w:lvlJc w:val="left"/>
      <w:pPr>
        <w:ind w:left="6358" w:hanging="421"/>
      </w:pPr>
      <w:rPr>
        <w:rFonts w:hint="default"/>
      </w:rPr>
    </w:lvl>
  </w:abstractNum>
  <w:abstractNum w:abstractNumId="0">
    <w:multiLevelType w:val="hybridMultilevel"/>
    <w:lvl w:ilvl="0">
      <w:start w:val="0"/>
      <w:numFmt w:val="bullet"/>
      <w:lvlText w:val=""/>
      <w:lvlJc w:val="left"/>
      <w:pPr>
        <w:ind w:left="1062" w:hanging="399"/>
      </w:pPr>
      <w:rPr>
        <w:rFonts w:hint="default" w:ascii="Wingdings" w:hAnsi="Wingdings" w:eastAsia="Wingdings" w:cs="Wingdings"/>
        <w:b/>
        <w:bCs/>
        <w:w w:val="100"/>
        <w:sz w:val="21"/>
        <w:szCs w:val="21"/>
      </w:rPr>
    </w:lvl>
    <w:lvl w:ilvl="1">
      <w:start w:val="0"/>
      <w:numFmt w:val="bullet"/>
      <w:lvlText w:val="•"/>
      <w:lvlJc w:val="left"/>
      <w:pPr>
        <w:ind w:left="2032" w:hanging="399"/>
      </w:pPr>
      <w:rPr>
        <w:rFonts w:hint="default"/>
      </w:rPr>
    </w:lvl>
    <w:lvl w:ilvl="2">
      <w:start w:val="0"/>
      <w:numFmt w:val="bullet"/>
      <w:lvlText w:val="•"/>
      <w:lvlJc w:val="left"/>
      <w:pPr>
        <w:ind w:left="3005" w:hanging="399"/>
      </w:pPr>
      <w:rPr>
        <w:rFonts w:hint="default"/>
      </w:rPr>
    </w:lvl>
    <w:lvl w:ilvl="3">
      <w:start w:val="0"/>
      <w:numFmt w:val="bullet"/>
      <w:lvlText w:val="•"/>
      <w:lvlJc w:val="left"/>
      <w:pPr>
        <w:ind w:left="3977" w:hanging="399"/>
      </w:pPr>
      <w:rPr>
        <w:rFonts w:hint="default"/>
      </w:rPr>
    </w:lvl>
    <w:lvl w:ilvl="4">
      <w:start w:val="0"/>
      <w:numFmt w:val="bullet"/>
      <w:lvlText w:val="•"/>
      <w:lvlJc w:val="left"/>
      <w:pPr>
        <w:ind w:left="4950" w:hanging="399"/>
      </w:pPr>
      <w:rPr>
        <w:rFonts w:hint="default"/>
      </w:rPr>
    </w:lvl>
    <w:lvl w:ilvl="5">
      <w:start w:val="0"/>
      <w:numFmt w:val="bullet"/>
      <w:lvlText w:val="•"/>
      <w:lvlJc w:val="left"/>
      <w:pPr>
        <w:ind w:left="5923" w:hanging="399"/>
      </w:pPr>
      <w:rPr>
        <w:rFonts w:hint="default"/>
      </w:rPr>
    </w:lvl>
    <w:lvl w:ilvl="6">
      <w:start w:val="0"/>
      <w:numFmt w:val="bullet"/>
      <w:lvlText w:val="•"/>
      <w:lvlJc w:val="left"/>
      <w:pPr>
        <w:ind w:left="6895" w:hanging="399"/>
      </w:pPr>
      <w:rPr>
        <w:rFonts w:hint="default"/>
      </w:rPr>
    </w:lvl>
    <w:lvl w:ilvl="7">
      <w:start w:val="0"/>
      <w:numFmt w:val="bullet"/>
      <w:lvlText w:val="•"/>
      <w:lvlJc w:val="left"/>
      <w:pPr>
        <w:ind w:left="7868" w:hanging="399"/>
      </w:pPr>
      <w:rPr>
        <w:rFonts w:hint="default"/>
      </w:rPr>
    </w:lvl>
    <w:lvl w:ilvl="8">
      <w:start w:val="0"/>
      <w:numFmt w:val="bullet"/>
      <w:lvlText w:val="•"/>
      <w:lvlJc w:val="left"/>
      <w:pPr>
        <w:ind w:left="8841" w:hanging="399"/>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9"/>
      <w:ind w:left="1062" w:hanging="398"/>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长城康福成人终身重大疾病保险</dc:title>
  <dcterms:created xsi:type="dcterms:W3CDTF">2018-10-20T02:47:20Z</dcterms:created>
  <dcterms:modified xsi:type="dcterms:W3CDTF">2018-10-20T02:47:20Z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2016-05-10T00:00:00Z</vt:filetime>
  </property>
  <property fmtid="{D5CDD505-2E9C-101B-9397-08002B2CF9AE}" pid="3" name="Creator">
    <vt:lpwstr>Microsoft® Office Word 2007</vt:lpwstr>
  </property>
  <property fmtid="{D5CDD505-2E9C-101B-9397-08002B2CF9AE}" pid="4" name="LastSaved">
    <vt:filetime>2018-10-19T00:00:00Z</vt:filetime>
  </property>
</Properties>
</file>