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91" w:lineRule="exact" w:before="0"/>
        <w:ind w:left="1679" w:right="0" w:firstLine="0"/>
        <w:jc w:val="left"/>
        <w:rPr>
          <w:sz w:val="44"/>
        </w:rPr>
      </w:pPr>
      <w:r>
        <w:rPr>
          <w:sz w:val="44"/>
        </w:rPr>
        <w:t>光大永明人寿保险有限公司</w:t>
      </w:r>
    </w:p>
    <w:p>
      <w:pPr>
        <w:spacing w:line="362" w:lineRule="exact" w:before="0"/>
        <w:ind w:left="1920" w:right="0" w:firstLine="0"/>
        <w:jc w:val="left"/>
        <w:rPr>
          <w:sz w:val="30"/>
        </w:rPr>
      </w:pPr>
      <w:r>
        <w:rPr>
          <w:sz w:val="30"/>
        </w:rPr>
        <w:t>光大永明瑞盈无忧定期重大疾病保险</w:t>
      </w:r>
    </w:p>
    <w:p>
      <w:pPr>
        <w:pStyle w:val="BodyText"/>
        <w:spacing w:before="10"/>
        <w:rPr>
          <w:sz w:val="28"/>
        </w:rPr>
      </w:pPr>
    </w:p>
    <w:p>
      <w:pPr>
        <w:spacing w:line="268" w:lineRule="auto" w:before="0"/>
        <w:ind w:left="137" w:right="165" w:firstLine="0"/>
        <w:jc w:val="left"/>
        <w:rPr>
          <w:sz w:val="24"/>
        </w:rPr>
      </w:pPr>
      <w:r>
        <w:rPr>
          <w:sz w:val="24"/>
        </w:rPr>
        <w:t>感谢您选择了光大永明人寿。为了帮助您更好地理解本条款，在阅读本条款前， 请您注意阅读提示和名词释义。</w:t>
      </w:r>
    </w:p>
    <w:p>
      <w:pPr>
        <w:pStyle w:val="BodyText"/>
        <w:spacing w:before="9"/>
        <w:rPr>
          <w:sz w:val="23"/>
        </w:rPr>
      </w:pPr>
    </w:p>
    <w:p>
      <w:pPr>
        <w:spacing w:before="0"/>
        <w:ind w:left="128" w:right="206" w:firstLine="0"/>
        <w:jc w:val="center"/>
        <w:rPr>
          <w:sz w:val="28"/>
        </w:rPr>
      </w:pPr>
      <w:r>
        <w:rPr/>
        <w:pict>
          <v:line style="position:absolute;mso-position-horizontal-relative:page;mso-position-vertical-relative:paragraph;z-index:0;mso-wrap-distance-left:0;mso-wrap-distance-right:0" from="88.379997pt,21.09189pt" to="510.659997pt,21.09189pt" stroked="true" strokeweight=".48pt" strokecolor="#000000">
            <v:stroke dashstyle="solid"/>
            <w10:wrap type="topAndBottom"/>
          </v:line>
        </w:pict>
      </w:r>
      <w:r>
        <w:rPr>
          <w:sz w:val="28"/>
        </w:rPr>
        <w:t>阅读提示</w:t>
      </w:r>
    </w:p>
    <w:p>
      <w:pPr>
        <w:spacing w:before="0"/>
        <w:ind w:left="129" w:right="206" w:firstLine="0"/>
        <w:jc w:val="center"/>
        <w:rPr>
          <w:sz w:val="24"/>
        </w:rPr>
      </w:pPr>
      <w:r>
        <w:rPr>
          <w:sz w:val="24"/>
        </w:rPr>
        <w:t>您所享有的重要权益</w:t>
      </w:r>
    </w:p>
    <w:p>
      <w:pPr>
        <w:pStyle w:val="BodyText"/>
        <w:tabs>
          <w:tab w:pos="7222" w:val="left" w:leader="none"/>
          <w:tab w:pos="7265" w:val="left" w:leader="none"/>
          <w:tab w:pos="7728" w:val="left" w:leader="none"/>
          <w:tab w:pos="8235" w:val="left" w:leader="none"/>
        </w:tabs>
        <w:spacing w:line="369" w:lineRule="auto" w:before="127"/>
        <w:ind w:left="245" w:right="206" w:hanging="44"/>
        <w:jc w:val="center"/>
        <w:rPr>
          <w:sz w:val="24"/>
        </w:rPr>
      </w:pPr>
      <w:r>
        <w:rPr/>
        <w:t>本合同所提供的保障</w:t>
      </w:r>
      <w:r>
        <w:rPr>
          <w:rFonts w:ascii="Times New Roman" w:hAnsi="Times New Roman" w:eastAsia="Times New Roman"/>
        </w:rPr>
        <w:t>…………………………………………………………….</w:t>
        <w:tab/>
      </w:r>
      <w:r>
        <w:rPr/>
        <w:t>第</w:t>
        <w:tab/>
        <w:t>七</w:t>
        <w:tab/>
        <w:t>条签收保险合同后十天内</w:t>
      </w:r>
      <w:r>
        <w:rPr>
          <w:spacing w:val="-74"/>
        </w:rPr>
        <w:t>，</w:t>
      </w:r>
      <w:r>
        <w:rPr/>
        <w:t>您可以要求退还保险费</w:t>
      </w:r>
      <w:r>
        <w:rPr>
          <w:rFonts w:ascii="Times New Roman" w:hAnsi="Times New Roman" w:eastAsia="Times New Roman"/>
        </w:rPr>
        <w:t>..........................…………….</w:t>
        <w:tab/>
        <w:tab/>
      </w:r>
      <w:r>
        <w:rPr>
          <w:spacing w:val="41"/>
        </w:rPr>
        <w:t>第二十三</w:t>
      </w:r>
      <w:r>
        <w:rPr/>
        <w:t>条 </w:t>
      </w:r>
      <w:r>
        <w:rPr>
          <w:sz w:val="24"/>
        </w:rPr>
        <w:t>您应当特别注意的事项</w:t>
      </w:r>
    </w:p>
    <w:p>
      <w:pPr>
        <w:pStyle w:val="BodyText"/>
        <w:tabs>
          <w:tab w:pos="7265" w:val="left" w:leader="none"/>
          <w:tab w:pos="7771" w:val="left" w:leader="none"/>
          <w:tab w:pos="8278" w:val="left" w:leader="none"/>
        </w:tabs>
        <w:spacing w:line="384" w:lineRule="auto" w:before="54"/>
        <w:ind w:left="245" w:right="206"/>
        <w:jc w:val="center"/>
      </w:pPr>
      <w:r>
        <w:rPr/>
        <w:t>如实告知的义务</w:t>
      </w:r>
      <w:r>
        <w:rPr>
          <w:rFonts w:ascii="Times New Roman" w:hAnsi="Times New Roman" w:eastAsia="Times New Roman"/>
        </w:rPr>
        <w:t>.............................................................................................……</w:t>
        <w:tab/>
      </w:r>
      <w:r>
        <w:rPr>
          <w:spacing w:val="41"/>
        </w:rPr>
        <w:t>第二十四</w:t>
      </w:r>
      <w:r>
        <w:rPr/>
        <w:t>条 在某些情况下</w:t>
      </w:r>
      <w:r>
        <w:rPr>
          <w:spacing w:val="-74"/>
        </w:rPr>
        <w:t>，</w:t>
      </w:r>
      <w:r>
        <w:rPr/>
        <w:t>我们不承担保险责任</w:t>
      </w:r>
      <w:r>
        <w:rPr>
          <w:rFonts w:ascii="Times New Roman" w:hAnsi="Times New Roman" w:eastAsia="Times New Roman"/>
        </w:rPr>
        <w:t>............................................................…...</w:t>
        <w:tab/>
      </w:r>
      <w:r>
        <w:rPr/>
        <w:t>第</w:t>
        <w:tab/>
        <w:t>八</w:t>
        <w:tab/>
        <w:t>条</w:t>
      </w:r>
    </w:p>
    <w:p>
      <w:pPr>
        <w:pStyle w:val="BodyText"/>
        <w:spacing w:line="384" w:lineRule="auto" w:before="34"/>
        <w:ind w:left="245" w:right="206"/>
        <w:jc w:val="both"/>
      </w:pPr>
      <w:r>
        <w:rPr>
          <w:spacing w:val="-9"/>
        </w:rPr>
        <w:t>发生保险事故后，您应该及时通知我们</w:t>
      </w:r>
      <w:r>
        <w:rPr>
          <w:rFonts w:ascii="Times New Roman" w:hAnsi="Times New Roman" w:eastAsia="Times New Roman"/>
        </w:rPr>
        <w:t>...............................................................  </w:t>
      </w:r>
      <w:r>
        <w:rPr>
          <w:spacing w:val="20"/>
        </w:rPr>
        <w:t>第  十  条如何申领保险金</w:t>
      </w:r>
      <w:r>
        <w:rPr>
          <w:rFonts w:ascii="Times New Roman" w:hAnsi="Times New Roman" w:eastAsia="Times New Roman"/>
          <w:spacing w:val="20"/>
        </w:rPr>
        <w:t>.............................................................................................……  </w:t>
      </w:r>
      <w:r>
        <w:rPr>
          <w:spacing w:val="5"/>
        </w:rPr>
        <w:t>第 十 一 条</w:t>
      </w:r>
      <w:r>
        <w:rPr>
          <w:spacing w:val="-3"/>
        </w:rPr>
        <w:t>您有解除合同的权利，请您慎重决定</w:t>
      </w:r>
      <w:r>
        <w:rPr>
          <w:rFonts w:ascii="Times New Roman" w:hAnsi="Times New Roman" w:eastAsia="Times New Roman"/>
        </w:rPr>
        <w:t>............................................................…...   </w:t>
      </w:r>
      <w:r>
        <w:rPr>
          <w:spacing w:val="32"/>
        </w:rPr>
        <w:t>第二十三条</w:t>
      </w:r>
      <w:r>
        <w:rPr>
          <w:spacing w:val="-62"/>
        </w:rPr>
        <w:t> </w:t>
      </w:r>
    </w:p>
    <w:p>
      <w:pPr>
        <w:pStyle w:val="BodyText"/>
        <w:spacing w:before="0"/>
        <w:rPr>
          <w:sz w:val="22"/>
        </w:rPr>
      </w:pPr>
    </w:p>
    <w:p>
      <w:pPr>
        <w:pStyle w:val="BodyText"/>
        <w:spacing w:before="5"/>
        <w:rPr>
          <w:sz w:val="23"/>
        </w:rPr>
      </w:pPr>
    </w:p>
    <w:p>
      <w:pPr>
        <w:spacing w:before="0"/>
        <w:ind w:left="128" w:right="206" w:firstLine="0"/>
        <w:jc w:val="center"/>
        <w:rPr>
          <w:sz w:val="28"/>
        </w:rPr>
      </w:pPr>
      <w:r>
        <w:rPr/>
        <w:pict>
          <v:line style="position:absolute;mso-position-horizontal-relative:page;mso-position-vertical-relative:paragraph;z-index:1048;mso-wrap-distance-left:0;mso-wrap-distance-right:0" from="89.879997pt,20.131851pt" to="514.199997pt,20.131851pt" stroked="true" strokeweight=".48pt" strokecolor="#000000">
            <v:stroke dashstyle="solid"/>
            <w10:wrap type="topAndBottom"/>
          </v:line>
        </w:pict>
      </w:r>
      <w:r>
        <w:rPr>
          <w:sz w:val="28"/>
        </w:rPr>
        <w:t>名词说明</w:t>
      </w:r>
    </w:p>
    <w:p>
      <w:pPr>
        <w:pStyle w:val="BodyText"/>
        <w:tabs>
          <w:tab w:pos="2031" w:val="left" w:leader="none"/>
        </w:tabs>
        <w:spacing w:before="5"/>
        <w:ind w:left="245"/>
        <w:jc w:val="both"/>
      </w:pPr>
      <w:r>
        <w:rPr/>
        <w:t>我们</w:t>
        <w:tab/>
        <w:t>：</w:t>
      </w:r>
      <w:r>
        <w:rPr>
          <w:spacing w:val="-80"/>
        </w:rPr>
        <w:t> </w:t>
      </w:r>
      <w:r>
        <w:rPr/>
        <w:t>指光大永明人寿保险有限公司。</w:t>
      </w:r>
    </w:p>
    <w:p>
      <w:pPr>
        <w:pStyle w:val="BodyText"/>
        <w:tabs>
          <w:tab w:pos="2031" w:val="left" w:leader="none"/>
        </w:tabs>
        <w:spacing w:before="75"/>
        <w:ind w:left="245"/>
        <w:jc w:val="both"/>
      </w:pPr>
      <w:r>
        <w:rPr/>
        <w:t>您</w:t>
        <w:tab/>
        <w:t>：</w:t>
      </w:r>
      <w:r>
        <w:rPr>
          <w:spacing w:val="-80"/>
        </w:rPr>
        <w:t> </w:t>
      </w:r>
      <w:r>
        <w:rPr/>
        <w:t>指投保人。</w:t>
      </w:r>
    </w:p>
    <w:p>
      <w:pPr>
        <w:pStyle w:val="BodyText"/>
        <w:spacing w:before="74"/>
        <w:ind w:left="245"/>
        <w:jc w:val="both"/>
      </w:pPr>
      <w:r>
        <w:rPr/>
        <w:t>保险条款        ： 指本条款。</w:t>
      </w:r>
    </w:p>
    <w:p>
      <w:pPr>
        <w:spacing w:after="0"/>
        <w:jc w:val="both"/>
        <w:sectPr>
          <w:footerReference w:type="default" r:id="rId5"/>
          <w:type w:val="continuous"/>
          <w:pgSz w:w="11900" w:h="16840"/>
          <w:pgMar w:footer="998" w:top="1260" w:bottom="1180" w:left="1660" w:right="1500"/>
          <w:pgNumType w:start="1"/>
        </w:sectPr>
      </w:pPr>
    </w:p>
    <w:p>
      <w:pPr>
        <w:spacing w:line="432" w:lineRule="exact" w:before="0"/>
        <w:ind w:left="3570" w:right="3550" w:firstLine="0"/>
        <w:jc w:val="center"/>
        <w:rPr>
          <w:rFonts w:ascii="黑体" w:eastAsia="黑体" w:hint="eastAsia"/>
          <w:sz w:val="36"/>
        </w:rPr>
      </w:pPr>
      <w:r>
        <w:rPr>
          <w:rFonts w:ascii="黑体" w:eastAsia="黑体" w:hint="eastAsia"/>
          <w:sz w:val="36"/>
        </w:rPr>
        <w:t>条款目录</w:t>
      </w:r>
    </w:p>
    <w:sdt>
      <w:sdtPr>
        <w:docPartObj>
          <w:docPartGallery w:val="Table of Contents"/>
          <w:docPartUnique/>
        </w:docPartObj>
      </w:sdtPr>
      <w:sdtEndPr/>
      <w:sdtContent>
        <w:p>
          <w:pPr>
            <w:pStyle w:val="TOC1"/>
            <w:tabs>
              <w:tab w:pos="1197" w:val="left" w:leader="none"/>
              <w:tab w:pos="8491" w:val="right" w:leader="dot"/>
            </w:tabs>
            <w:spacing w:before="429"/>
            <w:rPr>
              <w:rFonts w:ascii="Times New Roman" w:eastAsia="Times New Roman"/>
              <w:b/>
            </w:rPr>
          </w:pPr>
          <w:r>
            <w:fldChar w:fldCharType="begin"/>
          </w:r>
          <w:r>
            <w:instrText>TOC \o "1-2" \h \z \u </w:instrText>
          </w:r>
          <w:r>
            <w:fldChar w:fldCharType="separate"/>
          </w:r>
          <w:hyperlink w:history="true" w:anchor="_TOC_250035">
            <w:r>
              <w:rPr/>
              <w:t>第一部分</w:t>
              <w:tab/>
              <w:t>您与我们的合同</w:t>
              <w:tab/>
            </w:r>
            <w:r>
              <w:rPr>
                <w:rFonts w:ascii="Times New Roman" w:eastAsia="Times New Roman"/>
                <w:b/>
              </w:rPr>
              <w:t>1</w:t>
            </w:r>
          </w:hyperlink>
        </w:p>
        <w:p>
          <w:pPr>
            <w:pStyle w:val="TOC2"/>
            <w:tabs>
              <w:tab w:pos="1917" w:val="left" w:leader="none"/>
              <w:tab w:pos="8491" w:val="right" w:leader="dot"/>
            </w:tabs>
            <w:rPr>
              <w:rFonts w:ascii="Times New Roman" w:eastAsia="Times New Roman"/>
            </w:rPr>
          </w:pPr>
          <w:hyperlink w:history="true" w:anchor="_TOC_250034">
            <w:r>
              <w:rPr/>
              <w:t>第一条</w:t>
              <w:tab/>
              <w:t>保险合同的构成</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33">
            <w:r>
              <w:rPr/>
              <w:t>第二条</w:t>
              <w:tab/>
              <w:t>受益人的指定与变更</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32">
            <w:r>
              <w:rPr/>
              <w:t>第三条</w:t>
              <w:tab/>
              <w:t>保险责任的开始</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31">
            <w:r>
              <w:rPr/>
              <w:t>第四条</w:t>
              <w:tab/>
              <w:t>保险期间</w:t>
              <w:tab/>
            </w:r>
            <w:r>
              <w:rPr>
                <w:rFonts w:ascii="Times New Roman" w:eastAsia="Times New Roman"/>
              </w:rPr>
              <w:t>2</w:t>
            </w:r>
          </w:hyperlink>
        </w:p>
        <w:p>
          <w:pPr>
            <w:pStyle w:val="TOC2"/>
            <w:tabs>
              <w:tab w:pos="1917" w:val="left" w:leader="none"/>
              <w:tab w:pos="8491" w:val="right" w:leader="dot"/>
            </w:tabs>
            <w:rPr>
              <w:rFonts w:ascii="Times New Roman" w:eastAsia="Times New Roman"/>
            </w:rPr>
          </w:pPr>
          <w:hyperlink w:history="true" w:anchor="_TOC_250030">
            <w:r>
              <w:rPr/>
              <w:t>第五条</w:t>
              <w:tab/>
              <w:t>保险合同的中止</w:t>
              <w:tab/>
            </w:r>
            <w:r>
              <w:rPr>
                <w:rFonts w:ascii="Times New Roman" w:eastAsia="Times New Roman"/>
              </w:rPr>
              <w:t>2</w:t>
            </w:r>
          </w:hyperlink>
        </w:p>
        <w:p>
          <w:pPr>
            <w:pStyle w:val="TOC2"/>
            <w:tabs>
              <w:tab w:pos="1917" w:val="left" w:leader="none"/>
              <w:tab w:pos="8491" w:val="right" w:leader="dot"/>
            </w:tabs>
            <w:rPr>
              <w:rFonts w:ascii="Times New Roman" w:eastAsia="Times New Roman"/>
            </w:rPr>
          </w:pPr>
          <w:hyperlink w:history="true" w:anchor="_TOC_250029">
            <w:r>
              <w:rPr/>
              <w:t>第六条</w:t>
              <w:tab/>
              <w:t>保险合同的终止</w:t>
              <w:tab/>
            </w:r>
            <w:r>
              <w:rPr>
                <w:rFonts w:ascii="Times New Roman" w:eastAsia="Times New Roman"/>
              </w:rPr>
              <w:t>2</w:t>
            </w:r>
          </w:hyperlink>
        </w:p>
        <w:p>
          <w:pPr>
            <w:pStyle w:val="TOC1"/>
            <w:tabs>
              <w:tab w:pos="1197" w:val="left" w:leader="none"/>
              <w:tab w:pos="8491" w:val="right" w:leader="dot"/>
            </w:tabs>
            <w:rPr>
              <w:rFonts w:ascii="Times New Roman" w:eastAsia="Times New Roman"/>
              <w:b/>
            </w:rPr>
          </w:pPr>
          <w:hyperlink w:history="true" w:anchor="_TOC_250028">
            <w:r>
              <w:rPr/>
              <w:t>第二部分</w:t>
              <w:tab/>
              <w:t>我们提供的保障</w:t>
              <w:tab/>
            </w:r>
            <w:r>
              <w:rPr>
                <w:rFonts w:ascii="Times New Roman" w:eastAsia="Times New Roman"/>
                <w:b/>
              </w:rPr>
              <w:t>2</w:t>
            </w:r>
          </w:hyperlink>
        </w:p>
        <w:p>
          <w:pPr>
            <w:pStyle w:val="TOC2"/>
            <w:tabs>
              <w:tab w:pos="1917" w:val="left" w:leader="none"/>
              <w:tab w:pos="8491" w:val="right" w:leader="dot"/>
            </w:tabs>
            <w:rPr>
              <w:rFonts w:ascii="Times New Roman" w:eastAsia="Times New Roman"/>
            </w:rPr>
          </w:pPr>
          <w:hyperlink w:history="true" w:anchor="_TOC_250027">
            <w:r>
              <w:rPr/>
              <w:t>第七条</w:t>
              <w:tab/>
              <w:t>保险责任</w:t>
              <w:tab/>
            </w:r>
            <w:r>
              <w:rPr>
                <w:rFonts w:ascii="Times New Roman" w:eastAsia="Times New Roman"/>
              </w:rPr>
              <w:t>2</w:t>
            </w:r>
          </w:hyperlink>
        </w:p>
        <w:p>
          <w:pPr>
            <w:pStyle w:val="TOC2"/>
            <w:tabs>
              <w:tab w:pos="1917" w:val="left" w:leader="none"/>
              <w:tab w:pos="8491" w:val="right" w:leader="dot"/>
            </w:tabs>
            <w:rPr>
              <w:rFonts w:ascii="Times New Roman" w:eastAsia="Times New Roman"/>
            </w:rPr>
          </w:pPr>
          <w:hyperlink w:history="true" w:anchor="_TOC_250026">
            <w:r>
              <w:rPr/>
              <w:t>第八条</w:t>
              <w:tab/>
              <w:t>责任免除</w:t>
              <w:tab/>
            </w:r>
            <w:r>
              <w:rPr>
                <w:rFonts w:ascii="Times New Roman" w:eastAsia="Times New Roman"/>
              </w:rPr>
              <w:t>3</w:t>
            </w:r>
          </w:hyperlink>
        </w:p>
        <w:p>
          <w:pPr>
            <w:pStyle w:val="TOC2"/>
            <w:tabs>
              <w:tab w:pos="1917" w:val="left" w:leader="none"/>
              <w:tab w:pos="8491" w:val="right" w:leader="dot"/>
            </w:tabs>
            <w:rPr>
              <w:rFonts w:ascii="Times New Roman" w:eastAsia="Times New Roman"/>
            </w:rPr>
          </w:pPr>
          <w:hyperlink w:history="true" w:anchor="_TOC_250025">
            <w:r>
              <w:rPr/>
              <w:t>第九条</w:t>
              <w:tab/>
              <w:t>保险金额</w:t>
              <w:tab/>
            </w:r>
            <w:r>
              <w:rPr>
                <w:rFonts w:ascii="Times New Roman" w:eastAsia="Times New Roman"/>
              </w:rPr>
              <w:t>3</w:t>
            </w:r>
          </w:hyperlink>
        </w:p>
        <w:p>
          <w:pPr>
            <w:pStyle w:val="TOC1"/>
            <w:tabs>
              <w:tab w:pos="1197" w:val="left" w:leader="none"/>
              <w:tab w:pos="8490" w:val="right" w:leader="dot"/>
            </w:tabs>
            <w:rPr>
              <w:rFonts w:ascii="Times New Roman" w:eastAsia="Times New Roman"/>
              <w:b/>
            </w:rPr>
          </w:pPr>
          <w:hyperlink w:history="true" w:anchor="_TOC_250024">
            <w:r>
              <w:rPr/>
              <w:t>第三部分</w:t>
              <w:tab/>
              <w:t>如何领取保险金</w:t>
              <w:tab/>
            </w:r>
            <w:r>
              <w:rPr>
                <w:rFonts w:ascii="Times New Roman" w:eastAsia="Times New Roman"/>
                <w:b/>
              </w:rPr>
              <w:t>4</w:t>
            </w:r>
          </w:hyperlink>
        </w:p>
        <w:p>
          <w:pPr>
            <w:pStyle w:val="TOC2"/>
            <w:tabs>
              <w:tab w:pos="1917" w:val="left" w:leader="none"/>
              <w:tab w:pos="8491" w:val="right" w:leader="dot"/>
            </w:tabs>
            <w:rPr>
              <w:rFonts w:ascii="Times New Roman" w:eastAsia="Times New Roman"/>
            </w:rPr>
          </w:pPr>
          <w:hyperlink w:history="true" w:anchor="_TOC_250023">
            <w:r>
              <w:rPr/>
              <w:t>第十条</w:t>
              <w:tab/>
              <w:t>保险事故通知</w:t>
              <w:tab/>
            </w:r>
            <w:r>
              <w:rPr>
                <w:rFonts w:ascii="Times New Roman" w:eastAsia="Times New Roman"/>
              </w:rPr>
              <w:t>4</w:t>
            </w:r>
          </w:hyperlink>
        </w:p>
        <w:p>
          <w:pPr>
            <w:pStyle w:val="TOC2"/>
            <w:tabs>
              <w:tab w:pos="1917" w:val="left" w:leader="none"/>
              <w:tab w:pos="8491" w:val="right" w:leader="dot"/>
            </w:tabs>
            <w:rPr>
              <w:rFonts w:ascii="Times New Roman" w:eastAsia="Times New Roman"/>
            </w:rPr>
          </w:pPr>
          <w:hyperlink w:history="true" w:anchor="_TOC_250022">
            <w:r>
              <w:rPr/>
              <w:t>第十一条</w:t>
              <w:tab/>
              <w:t>保险金的申领</w:t>
              <w:tab/>
            </w:r>
            <w:r>
              <w:rPr>
                <w:rFonts w:ascii="Times New Roman" w:eastAsia="Times New Roman"/>
              </w:rPr>
              <w:t>4</w:t>
            </w:r>
          </w:hyperlink>
        </w:p>
        <w:p>
          <w:pPr>
            <w:pStyle w:val="TOC2"/>
            <w:tabs>
              <w:tab w:pos="1917" w:val="left" w:leader="none"/>
              <w:tab w:pos="8491" w:val="right" w:leader="dot"/>
            </w:tabs>
            <w:rPr>
              <w:rFonts w:ascii="Times New Roman" w:eastAsia="Times New Roman"/>
            </w:rPr>
          </w:pPr>
          <w:hyperlink w:history="true" w:anchor="_TOC_250021">
            <w:r>
              <w:rPr/>
              <w:t>第十二条</w:t>
              <w:tab/>
              <w:t>欠款的扣除</w:t>
              <w:tab/>
            </w:r>
            <w:r>
              <w:rPr>
                <w:rFonts w:ascii="Times New Roman" w:eastAsia="Times New Roman"/>
              </w:rPr>
              <w:t>5</w:t>
            </w:r>
          </w:hyperlink>
        </w:p>
        <w:p>
          <w:pPr>
            <w:pStyle w:val="TOC2"/>
            <w:tabs>
              <w:tab w:pos="1917" w:val="left" w:leader="none"/>
              <w:tab w:pos="8491" w:val="right" w:leader="dot"/>
            </w:tabs>
            <w:rPr>
              <w:rFonts w:ascii="Times New Roman" w:eastAsia="Times New Roman"/>
            </w:rPr>
          </w:pPr>
          <w:hyperlink w:history="true" w:anchor="_TOC_250020">
            <w:r>
              <w:rPr/>
              <w:t>第十三条</w:t>
              <w:tab/>
              <w:t>高度残疾鉴定</w:t>
              <w:tab/>
            </w:r>
            <w:r>
              <w:rPr>
                <w:rFonts w:ascii="Times New Roman" w:eastAsia="Times New Roman"/>
              </w:rPr>
              <w:t>5</w:t>
            </w:r>
          </w:hyperlink>
        </w:p>
        <w:p>
          <w:pPr>
            <w:pStyle w:val="TOC2"/>
            <w:tabs>
              <w:tab w:pos="1917" w:val="left" w:leader="none"/>
              <w:tab w:pos="8490" w:val="right" w:leader="dot"/>
            </w:tabs>
            <w:rPr>
              <w:rFonts w:ascii="Times New Roman" w:eastAsia="Times New Roman"/>
            </w:rPr>
          </w:pPr>
          <w:hyperlink w:history="true" w:anchor="_TOC_250019">
            <w:r>
              <w:rPr/>
              <w:t>第十四条</w:t>
              <w:tab/>
              <w:t>索赔时效</w:t>
              <w:tab/>
            </w:r>
            <w:r>
              <w:rPr>
                <w:rFonts w:ascii="Times New Roman" w:eastAsia="Times New Roman"/>
              </w:rPr>
              <w:t>5</w:t>
            </w:r>
          </w:hyperlink>
        </w:p>
        <w:p>
          <w:pPr>
            <w:pStyle w:val="TOC2"/>
            <w:tabs>
              <w:tab w:pos="1917" w:val="left" w:leader="none"/>
              <w:tab w:pos="8490" w:val="right" w:leader="dot"/>
            </w:tabs>
            <w:rPr>
              <w:rFonts w:ascii="Times New Roman" w:eastAsia="Times New Roman"/>
            </w:rPr>
          </w:pPr>
          <w:hyperlink w:history="true" w:anchor="_TOC_250018">
            <w:r>
              <w:rPr/>
              <w:t>第十五条</w:t>
              <w:tab/>
              <w:t>失踪处理</w:t>
              <w:tab/>
            </w:r>
            <w:r>
              <w:rPr>
                <w:rFonts w:ascii="Times New Roman" w:eastAsia="Times New Roman"/>
              </w:rPr>
              <w:t>5</w:t>
            </w:r>
          </w:hyperlink>
        </w:p>
        <w:p>
          <w:pPr>
            <w:pStyle w:val="TOC2"/>
            <w:tabs>
              <w:tab w:pos="1917" w:val="left" w:leader="none"/>
              <w:tab w:pos="8490" w:val="right" w:leader="dot"/>
            </w:tabs>
            <w:rPr>
              <w:rFonts w:ascii="Times New Roman" w:eastAsia="Times New Roman"/>
            </w:rPr>
          </w:pPr>
          <w:hyperlink w:history="true" w:anchor="_TOC_250017">
            <w:r>
              <w:rPr/>
              <w:t>第十六条</w:t>
              <w:tab/>
              <w:t>司法鉴定</w:t>
              <w:tab/>
            </w:r>
            <w:r>
              <w:rPr>
                <w:rFonts w:ascii="Times New Roman" w:eastAsia="Times New Roman"/>
              </w:rPr>
              <w:t>6</w:t>
            </w:r>
          </w:hyperlink>
        </w:p>
        <w:p>
          <w:pPr>
            <w:pStyle w:val="TOC1"/>
            <w:tabs>
              <w:tab w:pos="1197" w:val="left" w:leader="none"/>
              <w:tab w:pos="8490" w:val="right" w:leader="dot"/>
            </w:tabs>
            <w:rPr>
              <w:rFonts w:ascii="Times New Roman" w:eastAsia="Times New Roman"/>
              <w:b/>
            </w:rPr>
          </w:pPr>
          <w:hyperlink w:history="true" w:anchor="_TOC_250016">
            <w:r>
              <w:rPr/>
              <w:t>第四部分</w:t>
              <w:tab/>
              <w:t>保险费的交纳</w:t>
              <w:tab/>
            </w:r>
            <w:r>
              <w:rPr>
                <w:rFonts w:ascii="Times New Roman" w:eastAsia="Times New Roman"/>
                <w:b/>
              </w:rPr>
              <w:t>6</w:t>
            </w:r>
          </w:hyperlink>
        </w:p>
        <w:p>
          <w:pPr>
            <w:pStyle w:val="TOC2"/>
            <w:tabs>
              <w:tab w:pos="1917" w:val="left" w:leader="none"/>
              <w:tab w:pos="8491" w:val="right" w:leader="dot"/>
            </w:tabs>
            <w:rPr>
              <w:rFonts w:ascii="Times New Roman" w:eastAsia="Times New Roman"/>
            </w:rPr>
          </w:pPr>
          <w:hyperlink w:history="true" w:anchor="_TOC_250015">
            <w:r>
              <w:rPr/>
              <w:t>第十七条</w:t>
              <w:tab/>
              <w:t>保险费的交纳</w:t>
              <w:tab/>
            </w:r>
            <w:r>
              <w:rPr>
                <w:rFonts w:ascii="Times New Roman" w:eastAsia="Times New Roman"/>
              </w:rPr>
              <w:t>6</w:t>
            </w:r>
          </w:hyperlink>
        </w:p>
        <w:p>
          <w:pPr>
            <w:pStyle w:val="TOC2"/>
            <w:tabs>
              <w:tab w:pos="1917" w:val="left" w:leader="none"/>
              <w:tab w:pos="8490" w:val="right" w:leader="dot"/>
            </w:tabs>
            <w:rPr>
              <w:rFonts w:ascii="Times New Roman" w:eastAsia="Times New Roman"/>
            </w:rPr>
          </w:pPr>
          <w:hyperlink w:history="true" w:anchor="_TOC_250014">
            <w:r>
              <w:rPr/>
              <w:t>第十八条</w:t>
              <w:tab/>
              <w:t>宽限期</w:t>
              <w:tab/>
            </w:r>
            <w:r>
              <w:rPr>
                <w:rFonts w:ascii="Times New Roman" w:eastAsia="Times New Roman"/>
              </w:rPr>
              <w:t>6</w:t>
            </w:r>
          </w:hyperlink>
        </w:p>
        <w:p>
          <w:pPr>
            <w:pStyle w:val="TOC1"/>
            <w:tabs>
              <w:tab w:pos="1197" w:val="left" w:leader="none"/>
              <w:tab w:pos="8490" w:val="right" w:leader="dot"/>
            </w:tabs>
            <w:rPr>
              <w:rFonts w:ascii="Times New Roman" w:eastAsia="Times New Roman"/>
              <w:b/>
            </w:rPr>
          </w:pPr>
          <w:hyperlink w:history="true" w:anchor="_TOC_250013">
            <w:r>
              <w:rPr/>
              <w:t>第五部分</w:t>
              <w:tab/>
              <w:t>您所拥有的重要权益</w:t>
              <w:tab/>
            </w:r>
            <w:r>
              <w:rPr>
                <w:rFonts w:ascii="Times New Roman" w:eastAsia="Times New Roman"/>
                <w:b/>
              </w:rPr>
              <w:t>6</w:t>
            </w:r>
          </w:hyperlink>
        </w:p>
        <w:p>
          <w:pPr>
            <w:pStyle w:val="TOC2"/>
            <w:tabs>
              <w:tab w:pos="1917" w:val="left" w:leader="none"/>
              <w:tab w:pos="8491" w:val="right" w:leader="dot"/>
            </w:tabs>
            <w:rPr>
              <w:rFonts w:ascii="Times New Roman" w:eastAsia="Times New Roman"/>
            </w:rPr>
          </w:pPr>
          <w:hyperlink w:history="true" w:anchor="_TOC_250012">
            <w:r>
              <w:rPr/>
              <w:t>第十九条</w:t>
              <w:tab/>
              <w:t>保险费自动垫交</w:t>
              <w:tab/>
            </w:r>
            <w:r>
              <w:rPr>
                <w:rFonts w:ascii="Times New Roman" w:eastAsia="Times New Roman"/>
              </w:rPr>
              <w:t>6</w:t>
            </w:r>
          </w:hyperlink>
        </w:p>
        <w:p>
          <w:pPr>
            <w:pStyle w:val="TOC2"/>
            <w:tabs>
              <w:tab w:pos="1917" w:val="left" w:leader="none"/>
              <w:tab w:pos="8490" w:val="right" w:leader="dot"/>
            </w:tabs>
            <w:rPr>
              <w:rFonts w:ascii="Times New Roman" w:eastAsia="Times New Roman"/>
            </w:rPr>
          </w:pPr>
          <w:hyperlink w:history="true" w:anchor="_TOC_250011">
            <w:r>
              <w:rPr/>
              <w:t>第二十条</w:t>
              <w:tab/>
              <w:t>保险单借款</w:t>
              <w:tab/>
            </w:r>
            <w:r>
              <w:rPr>
                <w:rFonts w:ascii="Times New Roman" w:eastAsia="Times New Roman"/>
              </w:rPr>
              <w:t>7</w:t>
            </w:r>
          </w:hyperlink>
        </w:p>
        <w:p>
          <w:pPr>
            <w:pStyle w:val="TOC2"/>
            <w:tabs>
              <w:tab w:pos="8491" w:val="right" w:leader="dot"/>
            </w:tabs>
            <w:rPr>
              <w:rFonts w:ascii="Times New Roman" w:eastAsia="Times New Roman"/>
            </w:rPr>
          </w:pPr>
          <w:hyperlink w:history="true" w:anchor="_TOC_250010">
            <w:r>
              <w:rPr/>
              <w:t>第二十一条</w:t>
            </w:r>
            <w:r>
              <w:rPr>
                <w:spacing w:val="12"/>
              </w:rPr>
              <w:t> </w:t>
            </w:r>
            <w:r>
              <w:rPr/>
              <w:t>合同效力的恢复</w:t>
              <w:tab/>
            </w:r>
            <w:r>
              <w:rPr>
                <w:rFonts w:ascii="Times New Roman" w:eastAsia="Times New Roman"/>
              </w:rPr>
              <w:t>7</w:t>
            </w:r>
          </w:hyperlink>
        </w:p>
        <w:p>
          <w:pPr>
            <w:pStyle w:val="TOC2"/>
            <w:tabs>
              <w:tab w:pos="8490" w:val="right" w:leader="dot"/>
            </w:tabs>
            <w:rPr>
              <w:rFonts w:ascii="Times New Roman" w:eastAsia="Times New Roman"/>
            </w:rPr>
          </w:pPr>
          <w:hyperlink w:history="true" w:anchor="_TOC_250009">
            <w:r>
              <w:rPr/>
              <w:t>第二十二条</w:t>
            </w:r>
            <w:r>
              <w:rPr>
                <w:spacing w:val="12"/>
              </w:rPr>
              <w:t> </w:t>
            </w:r>
            <w:r>
              <w:rPr/>
              <w:t>合同内容变更</w:t>
              <w:tab/>
            </w:r>
            <w:r>
              <w:rPr>
                <w:rFonts w:ascii="Times New Roman" w:eastAsia="Times New Roman"/>
              </w:rPr>
              <w:t>7</w:t>
            </w:r>
          </w:hyperlink>
        </w:p>
        <w:p>
          <w:pPr>
            <w:pStyle w:val="TOC2"/>
            <w:tabs>
              <w:tab w:pos="8490" w:val="right" w:leader="dot"/>
            </w:tabs>
            <w:rPr>
              <w:rFonts w:ascii="Times New Roman" w:eastAsia="Times New Roman"/>
            </w:rPr>
          </w:pPr>
          <w:hyperlink w:history="true" w:anchor="_TOC_250008">
            <w:r>
              <w:rPr/>
              <w:t>第二十三条</w:t>
            </w:r>
            <w:r>
              <w:rPr>
                <w:spacing w:val="12"/>
              </w:rPr>
              <w:t> </w:t>
            </w:r>
            <w:r>
              <w:rPr/>
              <w:t>合同解除权</w:t>
              <w:tab/>
            </w:r>
            <w:r>
              <w:rPr>
                <w:rFonts w:ascii="Times New Roman" w:eastAsia="Times New Roman"/>
              </w:rPr>
              <w:t>7</w:t>
            </w:r>
          </w:hyperlink>
        </w:p>
        <w:p>
          <w:pPr>
            <w:pStyle w:val="TOC1"/>
            <w:tabs>
              <w:tab w:pos="1197" w:val="left" w:leader="none"/>
              <w:tab w:pos="8490" w:val="right" w:leader="dot"/>
            </w:tabs>
            <w:rPr>
              <w:rFonts w:ascii="Times New Roman" w:eastAsia="Times New Roman"/>
              <w:b/>
            </w:rPr>
          </w:pPr>
          <w:hyperlink w:history="true" w:anchor="_TOC_250007">
            <w:r>
              <w:rPr/>
              <w:t>第六部分</w:t>
              <w:tab/>
              <w:t>您必须了解的事项</w:t>
              <w:tab/>
            </w:r>
            <w:r>
              <w:rPr>
                <w:rFonts w:ascii="Times New Roman" w:eastAsia="Times New Roman"/>
                <w:b/>
              </w:rPr>
              <w:t>7</w:t>
            </w:r>
          </w:hyperlink>
        </w:p>
        <w:p>
          <w:pPr>
            <w:pStyle w:val="TOC2"/>
            <w:tabs>
              <w:tab w:pos="8490" w:val="right" w:leader="dot"/>
            </w:tabs>
            <w:rPr>
              <w:rFonts w:ascii="Times New Roman" w:eastAsia="Times New Roman"/>
            </w:rPr>
          </w:pPr>
          <w:hyperlink w:history="true" w:anchor="_TOC_250006">
            <w:r>
              <w:rPr/>
              <w:t>第二十四条</w:t>
            </w:r>
            <w:r>
              <w:rPr>
                <w:spacing w:val="12"/>
              </w:rPr>
              <w:t> </w:t>
            </w:r>
            <w:r>
              <w:rPr/>
              <w:t>告知义务</w:t>
              <w:tab/>
            </w:r>
            <w:r>
              <w:rPr>
                <w:rFonts w:ascii="Times New Roman" w:eastAsia="Times New Roman"/>
              </w:rPr>
              <w:t>7</w:t>
            </w:r>
          </w:hyperlink>
        </w:p>
        <w:p>
          <w:pPr>
            <w:pStyle w:val="TOC2"/>
            <w:tabs>
              <w:tab w:pos="8491" w:val="right" w:leader="dot"/>
            </w:tabs>
            <w:rPr>
              <w:rFonts w:ascii="Times New Roman" w:eastAsia="Times New Roman"/>
            </w:rPr>
          </w:pPr>
          <w:hyperlink w:history="true" w:anchor="_TOC_250005">
            <w:r>
              <w:rPr/>
              <w:t>第二十五条</w:t>
            </w:r>
            <w:r>
              <w:rPr>
                <w:spacing w:val="12"/>
              </w:rPr>
              <w:t> </w:t>
            </w:r>
            <w:r>
              <w:rPr/>
              <w:t>年龄计算及错误处理</w:t>
              <w:tab/>
            </w:r>
            <w:r>
              <w:rPr>
                <w:rFonts w:ascii="Times New Roman" w:eastAsia="Times New Roman"/>
              </w:rPr>
              <w:t>8</w:t>
            </w:r>
          </w:hyperlink>
        </w:p>
        <w:p>
          <w:pPr>
            <w:pStyle w:val="TOC2"/>
            <w:tabs>
              <w:tab w:pos="8491" w:val="right" w:leader="dot"/>
            </w:tabs>
            <w:rPr>
              <w:rFonts w:ascii="Times New Roman" w:eastAsia="Times New Roman"/>
            </w:rPr>
          </w:pPr>
          <w:hyperlink w:history="true" w:anchor="_TOC_250004">
            <w:r>
              <w:rPr/>
              <w:t>第二十六条</w:t>
            </w:r>
            <w:r>
              <w:rPr>
                <w:spacing w:val="12"/>
              </w:rPr>
              <w:t> </w:t>
            </w:r>
            <w:r>
              <w:rPr/>
              <w:t>住所或通讯地址变更</w:t>
              <w:tab/>
            </w:r>
            <w:r>
              <w:rPr>
                <w:rFonts w:ascii="Times New Roman" w:eastAsia="Times New Roman"/>
              </w:rPr>
              <w:t>8</w:t>
            </w:r>
          </w:hyperlink>
        </w:p>
        <w:p>
          <w:pPr>
            <w:pStyle w:val="TOC2"/>
            <w:tabs>
              <w:tab w:pos="8490" w:val="right" w:leader="dot"/>
            </w:tabs>
            <w:rPr>
              <w:rFonts w:ascii="Times New Roman" w:eastAsia="Times New Roman"/>
            </w:rPr>
          </w:pPr>
          <w:hyperlink w:history="true" w:anchor="_TOC_250003">
            <w:r>
              <w:rPr/>
              <w:t>第二十七条</w:t>
            </w:r>
            <w:r>
              <w:rPr>
                <w:spacing w:val="12"/>
              </w:rPr>
              <w:t> </w:t>
            </w:r>
            <w:r>
              <w:rPr/>
              <w:t>争议处理</w:t>
              <w:tab/>
            </w:r>
            <w:r>
              <w:rPr>
                <w:rFonts w:ascii="Times New Roman" w:eastAsia="Times New Roman"/>
              </w:rPr>
              <w:t>8</w:t>
            </w:r>
          </w:hyperlink>
        </w:p>
        <w:p>
          <w:pPr>
            <w:pStyle w:val="TOC1"/>
            <w:tabs>
              <w:tab w:pos="1197" w:val="left" w:leader="none"/>
              <w:tab w:pos="8490" w:val="right" w:leader="dot"/>
            </w:tabs>
            <w:rPr>
              <w:rFonts w:ascii="Times New Roman" w:eastAsia="Times New Roman"/>
              <w:b/>
            </w:rPr>
          </w:pPr>
          <w:hyperlink w:history="true" w:anchor="_TOC_250002">
            <w:r>
              <w:rPr/>
              <w:t>第七部分</w:t>
              <w:tab/>
              <w:t>其他事项</w:t>
              <w:tab/>
            </w:r>
            <w:r>
              <w:rPr>
                <w:rFonts w:ascii="Times New Roman" w:eastAsia="Times New Roman"/>
                <w:b/>
              </w:rPr>
              <w:t>8</w:t>
            </w:r>
          </w:hyperlink>
        </w:p>
        <w:p>
          <w:pPr>
            <w:pStyle w:val="TOC2"/>
            <w:tabs>
              <w:tab w:pos="8490" w:val="right" w:leader="dot"/>
            </w:tabs>
            <w:rPr>
              <w:rFonts w:ascii="Times New Roman" w:eastAsia="Times New Roman"/>
            </w:rPr>
          </w:pPr>
          <w:hyperlink w:history="true" w:anchor="_TOC_250001">
            <w:r>
              <w:rPr/>
              <w:t>第二十八条</w:t>
            </w:r>
            <w:r>
              <w:rPr>
                <w:spacing w:val="12"/>
              </w:rPr>
              <w:t> </w:t>
            </w:r>
            <w:r>
              <w:rPr/>
              <w:t>就医须知</w:t>
              <w:tab/>
            </w:r>
            <w:r>
              <w:rPr>
                <w:rFonts w:ascii="Times New Roman" w:eastAsia="Times New Roman"/>
              </w:rPr>
              <w:t>8</w:t>
            </w:r>
          </w:hyperlink>
        </w:p>
        <w:p>
          <w:pPr>
            <w:pStyle w:val="TOC1"/>
            <w:tabs>
              <w:tab w:pos="1197" w:val="left" w:leader="none"/>
              <w:tab w:pos="8490" w:val="right" w:leader="dot"/>
            </w:tabs>
            <w:rPr>
              <w:rFonts w:ascii="Times New Roman" w:eastAsia="Times New Roman"/>
              <w:b/>
            </w:rPr>
          </w:pPr>
          <w:hyperlink w:history="true" w:anchor="_TOC_250000">
            <w:r>
              <w:rPr/>
              <w:t>第八部分</w:t>
              <w:tab/>
              <w:t>名词释义</w:t>
              <w:tab/>
            </w:r>
            <w:r>
              <w:rPr>
                <w:rFonts w:ascii="Times New Roman" w:eastAsia="Times New Roman"/>
                <w:b/>
              </w:rPr>
              <w:t>8</w:t>
            </w:r>
          </w:hyperlink>
        </w:p>
        <w:p>
          <w:pPr/>
          <w:r>
            <w:fldChar w:fldCharType="end"/>
          </w:r>
        </w:p>
      </w:sdtContent>
    </w:sdt>
    <w:p>
      <w:pPr>
        <w:spacing w:after="0"/>
        <w:sectPr>
          <w:pgSz w:w="11900" w:h="16840"/>
          <w:pgMar w:header="0" w:footer="998" w:top="1500" w:bottom="1180" w:left="1680" w:right="1620"/>
        </w:sectPr>
      </w:pPr>
    </w:p>
    <w:p>
      <w:pPr>
        <w:pStyle w:val="BodyText"/>
        <w:spacing w:before="7"/>
        <w:rPr>
          <w:rFonts w:ascii="Times New Roman"/>
          <w:b/>
          <w:sz w:val="35"/>
        </w:rPr>
      </w:pPr>
    </w:p>
    <w:p>
      <w:pPr>
        <w:pStyle w:val="Heading1"/>
        <w:tabs>
          <w:tab w:pos="3675" w:val="left" w:leader="none"/>
        </w:tabs>
      </w:pPr>
      <w:bookmarkStart w:name="_TOC_250035" w:id="1"/>
      <w:bookmarkEnd w:id="1"/>
      <w:r>
        <w:rPr/>
        <w:t>第一部分</w:t>
        <w:tab/>
        <w:t>您与我们的合同</w:t>
      </w:r>
    </w:p>
    <w:p>
      <w:pPr>
        <w:pStyle w:val="BodyText"/>
        <w:rPr>
          <w:rFonts w:ascii="黑体"/>
          <w:sz w:val="35"/>
        </w:rPr>
      </w:pPr>
    </w:p>
    <w:p>
      <w:pPr>
        <w:pStyle w:val="Heading2"/>
      </w:pPr>
      <w:bookmarkStart w:name="_TOC_250034" w:id="2"/>
      <w:bookmarkEnd w:id="2"/>
      <w:r>
        <w:rPr/>
        <w:t>第一条 保险合同的构成</w:t>
      </w:r>
    </w:p>
    <w:p>
      <w:pPr>
        <w:pStyle w:val="BodyText"/>
        <w:spacing w:before="12"/>
        <w:rPr>
          <w:sz w:val="30"/>
        </w:rPr>
      </w:pPr>
    </w:p>
    <w:p>
      <w:pPr>
        <w:pStyle w:val="BodyText"/>
        <w:spacing w:line="256" w:lineRule="auto" w:before="1"/>
        <w:ind w:left="327" w:right="123" w:firstLine="420"/>
      </w:pPr>
      <w:r>
        <w:rPr/>
        <w:t>本保险合同（以下简称</w:t>
      </w:r>
      <w:r>
        <w:rPr>
          <w:rFonts w:ascii="Times New Roman" w:hAnsi="Times New Roman" w:eastAsia="Times New Roman"/>
        </w:rPr>
        <w:t>“</w:t>
      </w:r>
      <w:r>
        <w:rPr/>
        <w:t>本合同</w:t>
      </w:r>
      <w:r>
        <w:rPr>
          <w:rFonts w:ascii="Times New Roman" w:hAnsi="Times New Roman" w:eastAsia="Times New Roman"/>
        </w:rPr>
        <w:t>”</w:t>
      </w:r>
      <w:r>
        <w:rPr/>
        <w:t>）由保险单、保险条款、投保书，以及与本合同有关的投保文件、合法有效的声明、批注和其他书面协议共同构成。</w:t>
      </w:r>
    </w:p>
    <w:p>
      <w:pPr>
        <w:pStyle w:val="BodyText"/>
        <w:spacing w:before="1"/>
        <w:rPr>
          <w:sz w:val="28"/>
        </w:rPr>
      </w:pPr>
    </w:p>
    <w:p>
      <w:pPr>
        <w:pStyle w:val="Heading2"/>
      </w:pPr>
      <w:bookmarkStart w:name="_TOC_250033" w:id="3"/>
      <w:bookmarkEnd w:id="3"/>
      <w:r>
        <w:rPr/>
        <w:t>第二条 受益人的指定与变更</w:t>
      </w:r>
    </w:p>
    <w:p>
      <w:pPr>
        <w:pStyle w:val="BodyText"/>
        <w:spacing w:before="7"/>
        <w:rPr>
          <w:sz w:val="29"/>
        </w:rPr>
      </w:pPr>
    </w:p>
    <w:p>
      <w:pPr>
        <w:pStyle w:val="BodyText"/>
        <w:tabs>
          <w:tab w:pos="1257" w:val="left" w:leader="none"/>
        </w:tabs>
        <w:spacing w:before="0"/>
        <w:ind w:left="537"/>
      </w:pPr>
      <w:r>
        <w:rPr/>
        <w:t>一、</w:t>
        <w:tab/>
        <w:t>身故保险金受益人</w:t>
      </w:r>
    </w:p>
    <w:p>
      <w:pPr>
        <w:spacing w:line="259" w:lineRule="auto" w:before="9"/>
        <w:ind w:left="121" w:right="113" w:firstLine="420"/>
        <w:jc w:val="both"/>
        <w:rPr>
          <w:rFonts w:ascii="Times New Roman" w:eastAsia="Times New Roman"/>
          <w:sz w:val="22"/>
        </w:rPr>
      </w:pPr>
      <w:r>
        <w:rPr>
          <w:sz w:val="22"/>
        </w:rPr>
        <w:t>您或被保险人可指定一人或多人为身故保险金受益人。受益人为多人时，应确定受益顺序和受益份额；如果没有确定受益顺序和受益份额，各受益人按照相等份额享有受益权。在本合同有效期内，您或被保险人可以变更身故保险金受益人并书面通知我们， 我们收到变更受益人的书面通知后，应当在保险单上批注。变更后的身故保险金受益人自批注日起享有相应权益</w:t>
      </w:r>
      <w:r>
        <w:rPr>
          <w:rFonts w:ascii="Times New Roman" w:eastAsia="Times New Roman"/>
          <w:sz w:val="22"/>
        </w:rPr>
        <w:t>.</w:t>
      </w:r>
    </w:p>
    <w:p>
      <w:pPr>
        <w:pStyle w:val="BodyText"/>
        <w:spacing w:line="250" w:lineRule="exact" w:before="0"/>
        <w:ind w:left="537"/>
      </w:pPr>
      <w:r>
        <w:rPr/>
        <w:t>您在指定或变更受益人时，必须获得被保险人书面同意。如果被保险人为无民事行为能</w:t>
      </w:r>
    </w:p>
    <w:p>
      <w:pPr>
        <w:pStyle w:val="BodyText"/>
        <w:spacing w:before="18"/>
        <w:ind w:left="117"/>
      </w:pPr>
      <w:r>
        <w:rPr/>
        <w:t>力人或者限制民事行为能力人，可以由其监护人指定身故保险金受益人。</w:t>
      </w:r>
    </w:p>
    <w:p>
      <w:pPr>
        <w:pStyle w:val="BodyText"/>
        <w:spacing w:line="264" w:lineRule="auto" w:before="16"/>
        <w:ind w:left="117" w:right="81" w:firstLine="420"/>
      </w:pPr>
      <w:r>
        <w:rPr/>
        <w:t>未指定受益人、受益人先于被保险人身故或者受益人与被保险人在同一事件中身故，不能确定身故先后时间的，若无其他有效指定受益人，本合同应付的身故保险金视为被保险人的遗产。</w:t>
      </w:r>
    </w:p>
    <w:p>
      <w:pPr>
        <w:pStyle w:val="BodyText"/>
        <w:spacing w:line="271" w:lineRule="exact" w:before="0"/>
        <w:ind w:left="537"/>
      </w:pPr>
      <w:r>
        <w:rPr/>
        <w:t>因受益人变更引起的法律纠纷，我们不负任何责任。</w:t>
      </w:r>
    </w:p>
    <w:p>
      <w:pPr>
        <w:pStyle w:val="BodyText"/>
        <w:spacing w:before="4"/>
        <w:rPr>
          <w:sz w:val="18"/>
        </w:rPr>
      </w:pPr>
    </w:p>
    <w:p>
      <w:pPr>
        <w:pStyle w:val="BodyText"/>
        <w:tabs>
          <w:tab w:pos="1257" w:val="left" w:leader="none"/>
        </w:tabs>
        <w:spacing w:line="274" w:lineRule="exact" w:before="0"/>
        <w:ind w:left="537"/>
      </w:pPr>
      <w:r>
        <w:rPr/>
        <w:t>二、</w:t>
        <w:tab/>
        <w:t>其他保险金受益人</w:t>
      </w:r>
    </w:p>
    <w:p>
      <w:pPr>
        <w:pStyle w:val="BodyText"/>
        <w:spacing w:line="237" w:lineRule="auto" w:before="0"/>
        <w:ind w:left="117" w:right="81" w:firstLine="420"/>
      </w:pPr>
      <w:r>
        <w:rPr/>
        <w:t>其他保险金受益人是指身故保险金以外的保险金受益人，其他保险金受益人为被保险人本人。</w:t>
      </w:r>
    </w:p>
    <w:p>
      <w:pPr>
        <w:pStyle w:val="BodyText"/>
        <w:spacing w:before="8"/>
        <w:rPr>
          <w:sz w:val="27"/>
        </w:rPr>
      </w:pPr>
    </w:p>
    <w:p>
      <w:pPr>
        <w:pStyle w:val="Heading2"/>
      </w:pPr>
      <w:bookmarkStart w:name="_TOC_250032" w:id="4"/>
      <w:bookmarkEnd w:id="4"/>
      <w:r>
        <w:rPr/>
        <w:t>第三条 保险责任的开始</w:t>
      </w:r>
    </w:p>
    <w:p>
      <w:pPr>
        <w:pStyle w:val="BodyText"/>
        <w:spacing w:before="12"/>
        <w:rPr>
          <w:sz w:val="30"/>
        </w:rPr>
      </w:pPr>
    </w:p>
    <w:p>
      <w:pPr>
        <w:pStyle w:val="BodyText"/>
        <w:spacing w:line="264" w:lineRule="auto" w:before="0"/>
        <w:ind w:left="117" w:right="114" w:firstLine="420"/>
        <w:jc w:val="both"/>
      </w:pPr>
      <w:r>
        <w:rPr>
          <w:spacing w:val="-2"/>
        </w:rPr>
        <w:t>我们在收取首期保险费并同意承保后，将签发保险单作为保险凭证。我们自本合同生效</w:t>
      </w:r>
      <w:r>
        <w:rPr>
          <w:spacing w:val="-4"/>
        </w:rPr>
        <w:t>日即保险单所载的保险单生效日的零时起承担保险责任。保险单周年日</w:t>
      </w:r>
      <w:r>
        <w:rPr>
          <w:rFonts w:ascii="Times New Roman" w:eastAsia="Times New Roman"/>
          <w:vertAlign w:val="superscript"/>
        </w:rPr>
        <w:t>1</w:t>
      </w:r>
      <w:r>
        <w:rPr>
          <w:rFonts w:ascii="Times New Roman" w:eastAsia="Times New Roman"/>
          <w:vertAlign w:val="baseline"/>
        </w:rPr>
      </w:r>
      <w:r>
        <w:rPr>
          <w:spacing w:val="-8"/>
          <w:vertAlign w:val="baseline"/>
        </w:rPr>
        <w:t>、保险单年度、保险费到期日均以本合同生效日为基础计算。</w:t>
      </w:r>
    </w:p>
    <w:p>
      <w:pPr>
        <w:pStyle w:val="BodyText"/>
        <w:spacing w:line="273" w:lineRule="auto" w:before="15"/>
        <w:ind w:left="117" w:right="68" w:firstLine="420"/>
      </w:pPr>
      <w:r>
        <w:rPr/>
        <w:t>在我们签发保险单之前，如果您符合人身保险临时保险单生效条件，我们将依据人身保险临时保险单的约定承担保险责任。</w:t>
      </w:r>
    </w:p>
    <w:p>
      <w:pPr>
        <w:pStyle w:val="BodyText"/>
        <w:spacing w:line="273" w:lineRule="auto" w:before="7"/>
        <w:ind w:left="117" w:right="100" w:firstLine="420"/>
      </w:pPr>
      <w:r>
        <w:rPr/>
        <w:t>我们在收到您的投保申请之日起六十天内作出是否同意承保的书面决定。因不可抗力、您或被保险人的原因导致的延误除外。</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23"/>
        </w:rPr>
      </w:pPr>
      <w:r>
        <w:rPr/>
        <w:pict>
          <v:line style="position:absolute;mso-position-horizontal-relative:page;mso-position-vertical-relative:paragraph;z-index:1072;mso-wrap-distance-left:0;mso-wrap-distance-right:0" from="89.879997pt,17.561203pt" to="233.879997pt,17.561203pt" stroked="true" strokeweight=".54pt" strokecolor="#000000">
            <v:stroke dashstyle="solid"/>
            <w10:wrap type="topAndBottom"/>
          </v:line>
        </w:pict>
      </w:r>
    </w:p>
    <w:p>
      <w:pPr>
        <w:spacing w:line="234" w:lineRule="exact" w:before="30"/>
        <w:ind w:left="117" w:right="0" w:firstLine="0"/>
        <w:jc w:val="left"/>
        <w:rPr>
          <w:sz w:val="18"/>
        </w:rPr>
      </w:pPr>
      <w:r>
        <w:rPr>
          <w:rFonts w:ascii="Times New Roman" w:eastAsia="Times New Roman"/>
          <w:position w:val="8"/>
          <w:sz w:val="12"/>
        </w:rPr>
        <w:t>1</w:t>
      </w:r>
      <w:r>
        <w:rPr>
          <w:sz w:val="18"/>
        </w:rPr>
        <w:t>保险单周年日：本合同有效期内的每一个保险单年度内本合同生效日的对应日。第一个保险单周年日是指</w:t>
      </w:r>
    </w:p>
    <w:p>
      <w:pPr>
        <w:spacing w:line="234" w:lineRule="exact" w:before="0"/>
        <w:ind w:left="117" w:right="0" w:firstLine="0"/>
        <w:jc w:val="left"/>
        <w:rPr>
          <w:sz w:val="18"/>
        </w:rPr>
      </w:pPr>
      <w:r>
        <w:rPr>
          <w:sz w:val="18"/>
        </w:rPr>
        <w:t>保险单生效一年后的本合同生效日期的对应日。</w:t>
      </w:r>
    </w:p>
    <w:p>
      <w:pPr>
        <w:spacing w:after="0" w:line="234" w:lineRule="exact"/>
        <w:jc w:val="left"/>
        <w:rPr>
          <w:sz w:val="18"/>
        </w:rPr>
        <w:sectPr>
          <w:headerReference w:type="default" r:id="rId6"/>
          <w:footerReference w:type="default" r:id="rId7"/>
          <w:pgSz w:w="11900" w:h="16840"/>
          <w:pgMar w:header="896" w:footer="1008" w:top="1280" w:bottom="1200" w:left="1680" w:right="1600"/>
          <w:pgNumType w:start="1"/>
        </w:sectPr>
      </w:pPr>
    </w:p>
    <w:p>
      <w:pPr>
        <w:pStyle w:val="BodyText"/>
        <w:spacing w:before="1"/>
        <w:rPr>
          <w:sz w:val="16"/>
        </w:rPr>
      </w:pPr>
    </w:p>
    <w:p>
      <w:pPr>
        <w:pStyle w:val="Heading2"/>
        <w:spacing w:before="7"/>
      </w:pPr>
      <w:bookmarkStart w:name="_TOC_250031" w:id="5"/>
      <w:bookmarkEnd w:id="5"/>
      <w:r>
        <w:rPr/>
        <w:t>第四条 保险期间</w:t>
      </w:r>
    </w:p>
    <w:p>
      <w:pPr>
        <w:pStyle w:val="BodyText"/>
        <w:spacing w:before="6"/>
        <w:rPr>
          <w:sz w:val="29"/>
        </w:rPr>
      </w:pPr>
    </w:p>
    <w:p>
      <w:pPr>
        <w:pStyle w:val="BodyText"/>
        <w:spacing w:before="0"/>
        <w:ind w:left="537"/>
      </w:pPr>
      <w:r>
        <w:rPr/>
        <w:t>本合同的保险期间由您与我们约定，并在保险单上载明。</w:t>
      </w:r>
    </w:p>
    <w:p>
      <w:pPr>
        <w:pStyle w:val="BodyText"/>
        <w:spacing w:before="8"/>
        <w:rPr>
          <w:sz w:val="27"/>
        </w:rPr>
      </w:pPr>
    </w:p>
    <w:p>
      <w:pPr>
        <w:pStyle w:val="Heading2"/>
        <w:spacing w:before="1"/>
      </w:pPr>
      <w:bookmarkStart w:name="_TOC_250030" w:id="6"/>
      <w:bookmarkEnd w:id="6"/>
      <w:r>
        <w:rPr/>
        <w:t>第五条 保险合同的中止</w:t>
      </w:r>
    </w:p>
    <w:p>
      <w:pPr>
        <w:pStyle w:val="BodyText"/>
        <w:spacing w:before="7"/>
        <w:rPr>
          <w:sz w:val="29"/>
        </w:rPr>
      </w:pPr>
    </w:p>
    <w:p>
      <w:pPr>
        <w:pStyle w:val="BodyText"/>
        <w:spacing w:before="0"/>
        <w:ind w:left="537"/>
      </w:pPr>
      <w:r>
        <w:rPr>
          <w:spacing w:val="-7"/>
        </w:rPr>
        <w:t>若本合同因其他条款所列情况而导致效力中止，在效力中止期间，我们不承担保险责任。</w:t>
      </w:r>
    </w:p>
    <w:p>
      <w:pPr>
        <w:pStyle w:val="BodyText"/>
        <w:spacing w:before="10"/>
        <w:rPr>
          <w:sz w:val="29"/>
        </w:rPr>
      </w:pPr>
    </w:p>
    <w:p>
      <w:pPr>
        <w:pStyle w:val="Heading2"/>
      </w:pPr>
      <w:bookmarkStart w:name="_TOC_250029" w:id="7"/>
      <w:bookmarkEnd w:id="7"/>
      <w:r>
        <w:rPr/>
        <w:t>第六条 保险合同的终止</w:t>
      </w:r>
    </w:p>
    <w:p>
      <w:pPr>
        <w:pStyle w:val="BodyText"/>
        <w:spacing w:before="13"/>
        <w:rPr>
          <w:sz w:val="29"/>
        </w:rPr>
      </w:pPr>
    </w:p>
    <w:p>
      <w:pPr>
        <w:pStyle w:val="BodyText"/>
        <w:spacing w:before="0"/>
        <w:ind w:left="537"/>
      </w:pPr>
      <w:r>
        <w:rPr/>
        <w:t>发生下列情况之一时，本合同终止：</w:t>
      </w:r>
    </w:p>
    <w:p>
      <w:pPr>
        <w:pStyle w:val="ListParagraph"/>
        <w:numPr>
          <w:ilvl w:val="0"/>
          <w:numId w:val="1"/>
        </w:numPr>
        <w:tabs>
          <w:tab w:pos="957" w:val="left" w:leader="none"/>
          <w:tab w:pos="958" w:val="left" w:leader="none"/>
        </w:tabs>
        <w:spacing w:line="240" w:lineRule="auto" w:before="37" w:after="0"/>
        <w:ind w:left="957" w:right="0" w:hanging="420"/>
        <w:jc w:val="left"/>
        <w:rPr>
          <w:sz w:val="21"/>
        </w:rPr>
      </w:pPr>
      <w:r>
        <w:rPr>
          <w:sz w:val="21"/>
        </w:rPr>
        <w:t>您申请解除本合同；</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本合同因其他条款所列情况而效力中止，且未按【合同效力恢复】条款办理复效；</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被保险人身故或高度残疾；</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被保险人患本合同约定的重大疾病；</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本合同满期；</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因本合同其他条款所列情况而终止。</w:t>
      </w:r>
    </w:p>
    <w:p>
      <w:pPr>
        <w:pStyle w:val="BodyText"/>
        <w:spacing w:before="10"/>
        <w:rPr>
          <w:sz w:val="23"/>
        </w:rPr>
      </w:pPr>
    </w:p>
    <w:p>
      <w:pPr>
        <w:pStyle w:val="Heading1"/>
        <w:tabs>
          <w:tab w:pos="3675" w:val="left" w:leader="none"/>
        </w:tabs>
      </w:pPr>
      <w:bookmarkStart w:name="_TOC_250028" w:id="8"/>
      <w:bookmarkEnd w:id="8"/>
      <w:r>
        <w:rPr/>
        <w:t>第二部分</w:t>
        <w:tab/>
        <w:t>我们提供的保障</w:t>
      </w:r>
    </w:p>
    <w:p>
      <w:pPr>
        <w:pStyle w:val="BodyText"/>
        <w:rPr>
          <w:rFonts w:ascii="黑体"/>
          <w:sz w:val="35"/>
        </w:rPr>
      </w:pPr>
    </w:p>
    <w:p>
      <w:pPr>
        <w:pStyle w:val="Heading2"/>
      </w:pPr>
      <w:bookmarkStart w:name="_TOC_250027" w:id="9"/>
      <w:bookmarkEnd w:id="9"/>
      <w:r>
        <w:rPr/>
        <w:t>第七条 保险责任</w:t>
      </w:r>
    </w:p>
    <w:p>
      <w:pPr>
        <w:pStyle w:val="BodyText"/>
        <w:spacing w:before="0"/>
        <w:rPr>
          <w:sz w:val="31"/>
        </w:rPr>
      </w:pPr>
    </w:p>
    <w:p>
      <w:pPr>
        <w:pStyle w:val="BodyText"/>
        <w:spacing w:line="273" w:lineRule="auto" w:before="0"/>
        <w:ind w:left="537" w:right="3980"/>
      </w:pPr>
      <w:r>
        <w:rPr/>
        <w:t>在本合同有效期内，我们承担下列保险责任： 一、重大疾病保险金</w:t>
      </w:r>
    </w:p>
    <w:p>
      <w:pPr>
        <w:pStyle w:val="BodyText"/>
        <w:spacing w:line="273" w:lineRule="auto" w:before="7"/>
        <w:ind w:left="117" w:right="110" w:firstLine="420"/>
      </w:pPr>
      <w:r>
        <w:rPr>
          <w:spacing w:val="-1"/>
        </w:rPr>
        <w:t>被保险人经诊断于本合同生效</w:t>
      </w:r>
      <w:r>
        <w:rPr/>
        <w:t>（或复效</w:t>
      </w:r>
      <w:r>
        <w:rPr>
          <w:spacing w:val="-8"/>
        </w:rPr>
        <w:t>）</w:t>
      </w:r>
      <w:r>
        <w:rPr/>
        <w:t>一百八十天后初次患有本合同约定的重大疾病</w:t>
      </w:r>
      <w:r>
        <w:rPr>
          <w:spacing w:val="-11"/>
        </w:rPr>
        <w:t>中的一项或多项，并且被保险人仍生存时，我们按保险金额向被保险人支付重大疾病保险金。本合同根据以下所列情形进行处理：</w:t>
      </w:r>
    </w:p>
    <w:p>
      <w:pPr>
        <w:pStyle w:val="ListParagraph"/>
        <w:numPr>
          <w:ilvl w:val="0"/>
          <w:numId w:val="2"/>
        </w:numPr>
        <w:tabs>
          <w:tab w:pos="957" w:val="left" w:leader="none"/>
          <w:tab w:pos="958" w:val="left" w:leader="none"/>
        </w:tabs>
        <w:spacing w:line="256" w:lineRule="auto" w:before="7" w:after="0"/>
        <w:ind w:left="957" w:right="216" w:hanging="420"/>
        <w:jc w:val="left"/>
        <w:rPr>
          <w:rFonts w:ascii="Times New Roman" w:eastAsia="Times New Roman"/>
          <w:sz w:val="21"/>
        </w:rPr>
      </w:pPr>
      <w:r>
        <w:rPr>
          <w:spacing w:val="-1"/>
          <w:sz w:val="21"/>
        </w:rPr>
        <w:t>若被保险人患本合同约定的除恶性肿瘤以外的重大疾病，我们向被保险人支付重大疾病保险金，本合同终止。</w:t>
      </w:r>
    </w:p>
    <w:p>
      <w:pPr>
        <w:pStyle w:val="ListParagraph"/>
        <w:numPr>
          <w:ilvl w:val="0"/>
          <w:numId w:val="2"/>
        </w:numPr>
        <w:tabs>
          <w:tab w:pos="957" w:val="left" w:leader="none"/>
          <w:tab w:pos="958" w:val="left" w:leader="none"/>
        </w:tabs>
        <w:spacing w:line="259" w:lineRule="auto" w:before="22" w:after="0"/>
        <w:ind w:left="957" w:right="216" w:hanging="420"/>
        <w:jc w:val="left"/>
        <w:rPr>
          <w:rFonts w:ascii="Arial" w:eastAsia="Arial"/>
          <w:sz w:val="21"/>
        </w:rPr>
      </w:pPr>
      <w:r>
        <w:rPr>
          <w:rFonts w:ascii="Arial" w:eastAsia="Arial"/>
          <w:spacing w:val="-1"/>
          <w:sz w:val="21"/>
        </w:rPr>
        <w:t>.</w:t>
        <w:tab/>
      </w:r>
      <w:r>
        <w:rPr>
          <w:spacing w:val="-2"/>
          <w:sz w:val="21"/>
        </w:rPr>
        <w:t>若被保险人患有本合同约定的重大疾病中所列的恶性肿瘤，我们向被保险人支付重大疾病保险金，本合同终止。我们仍然提供癌症额外给付保险责任。</w:t>
      </w:r>
    </w:p>
    <w:p>
      <w:pPr>
        <w:pStyle w:val="BodyText"/>
        <w:spacing w:before="20"/>
        <w:ind w:left="537"/>
      </w:pPr>
      <w:r>
        <w:rPr/>
        <w:t>二、癌症额外给付</w:t>
      </w:r>
    </w:p>
    <w:p>
      <w:pPr>
        <w:pStyle w:val="BodyText"/>
        <w:spacing w:line="273" w:lineRule="auto" w:before="37"/>
        <w:ind w:left="117" w:right="169" w:firstLine="420"/>
      </w:pPr>
      <w:r>
        <w:rPr/>
        <w:t>当被保险人符合下列所有条件时，我们向被保险人支付本合同保险金额的百分之二十作为癌症额外给付，该项保险责任终止：</w:t>
      </w:r>
    </w:p>
    <w:p>
      <w:pPr>
        <w:pStyle w:val="ListParagraph"/>
        <w:numPr>
          <w:ilvl w:val="0"/>
          <w:numId w:val="3"/>
        </w:numPr>
        <w:tabs>
          <w:tab w:pos="957" w:val="left" w:leader="none"/>
          <w:tab w:pos="958" w:val="left" w:leader="none"/>
        </w:tabs>
        <w:spacing w:line="256" w:lineRule="auto" w:before="7" w:after="0"/>
        <w:ind w:left="957" w:right="216" w:hanging="420"/>
        <w:jc w:val="left"/>
        <w:rPr>
          <w:sz w:val="21"/>
        </w:rPr>
      </w:pPr>
      <w:r>
        <w:rPr>
          <w:spacing w:val="-1"/>
          <w:sz w:val="21"/>
        </w:rPr>
        <w:t>被保险人经诊断患有本合同约定的重大疾病中所列的恶性肿瘤，并且我们已批准并支付重大疾病保险金；</w:t>
      </w:r>
    </w:p>
    <w:p>
      <w:pPr>
        <w:pStyle w:val="ListParagraph"/>
        <w:numPr>
          <w:ilvl w:val="0"/>
          <w:numId w:val="3"/>
        </w:numPr>
        <w:tabs>
          <w:tab w:pos="957" w:val="left" w:leader="none"/>
          <w:tab w:pos="958" w:val="left" w:leader="none"/>
        </w:tabs>
        <w:spacing w:line="256" w:lineRule="auto" w:before="21" w:after="0"/>
        <w:ind w:left="957" w:right="216" w:hanging="420"/>
        <w:jc w:val="left"/>
        <w:rPr>
          <w:sz w:val="21"/>
        </w:rPr>
      </w:pPr>
      <w:r>
        <w:rPr>
          <w:spacing w:val="-1"/>
          <w:sz w:val="21"/>
        </w:rPr>
        <w:t>被保险人自患有本合同约定的重大疾病中所列的恶性肿瘤后生存三年</w:t>
      </w:r>
      <w:r>
        <w:rPr>
          <w:sz w:val="21"/>
        </w:rPr>
        <w:t>（以下称为癌症生存期</w:t>
      </w:r>
      <w:r>
        <w:rPr>
          <w:spacing w:val="-105"/>
          <w:sz w:val="21"/>
        </w:rPr>
        <w:t>）</w:t>
      </w:r>
      <w:r>
        <w:rPr>
          <w:sz w:val="21"/>
        </w:rPr>
        <w:t>；</w:t>
      </w:r>
    </w:p>
    <w:p>
      <w:pPr>
        <w:pStyle w:val="ListParagraph"/>
        <w:numPr>
          <w:ilvl w:val="0"/>
          <w:numId w:val="3"/>
        </w:numPr>
        <w:tabs>
          <w:tab w:pos="957" w:val="left" w:leader="none"/>
          <w:tab w:pos="958" w:val="left" w:leader="none"/>
        </w:tabs>
        <w:spacing w:line="256" w:lineRule="auto" w:before="21" w:after="0"/>
        <w:ind w:left="957" w:right="215" w:hanging="420"/>
        <w:jc w:val="left"/>
        <w:rPr>
          <w:sz w:val="21"/>
        </w:rPr>
      </w:pPr>
      <w:r>
        <w:rPr>
          <w:spacing w:val="-2"/>
          <w:sz w:val="21"/>
        </w:rPr>
        <w:t>癌症生存期结束后的三年内，被保险人经诊断患有本合同约定重大疾病中所列的恶性肿瘤。</w:t>
      </w:r>
    </w:p>
    <w:p>
      <w:pPr>
        <w:spacing w:after="0" w:line="256" w:lineRule="auto"/>
        <w:jc w:val="left"/>
        <w:rPr>
          <w:sz w:val="21"/>
        </w:rPr>
        <w:sectPr>
          <w:pgSz w:w="11900" w:h="16840"/>
          <w:pgMar w:header="896" w:footer="1008" w:top="1280" w:bottom="1200" w:left="1680" w:right="1500"/>
        </w:sectPr>
      </w:pPr>
    </w:p>
    <w:p>
      <w:pPr>
        <w:pStyle w:val="BodyText"/>
        <w:spacing w:before="133"/>
        <w:ind w:left="537"/>
      </w:pPr>
      <w:r>
        <w:rPr/>
        <w:t>三、身故保险金</w:t>
      </w:r>
    </w:p>
    <w:p>
      <w:pPr>
        <w:pStyle w:val="BodyText"/>
        <w:spacing w:line="264" w:lineRule="auto" w:before="36"/>
        <w:ind w:left="117" w:right="213" w:firstLine="419"/>
        <w:jc w:val="both"/>
      </w:pPr>
      <w:r>
        <w:rPr>
          <w:spacing w:val="-2"/>
        </w:rPr>
        <w:t>被保险人于本合同生效</w:t>
      </w:r>
      <w:r>
        <w:rPr/>
        <w:t>（或复效</w:t>
      </w:r>
      <w:r>
        <w:rPr>
          <w:spacing w:val="-17"/>
        </w:rPr>
        <w:t>）</w:t>
      </w:r>
      <w:r>
        <w:rPr/>
        <w:t>日起因意外伤害</w:t>
      </w:r>
      <w:r>
        <w:rPr>
          <w:rFonts w:ascii="Times New Roman" w:eastAsia="Times New Roman"/>
          <w:spacing w:val="-9"/>
          <w:vertAlign w:val="superscript"/>
        </w:rPr>
        <w:t>2</w:t>
      </w:r>
      <w:r>
        <w:rPr>
          <w:rFonts w:ascii="Times New Roman" w:eastAsia="Times New Roman"/>
          <w:spacing w:val="-9"/>
          <w:vertAlign w:val="baseline"/>
        </w:rPr>
      </w:r>
      <w:r>
        <w:rPr>
          <w:spacing w:val="-5"/>
          <w:vertAlign w:val="baseline"/>
        </w:rPr>
        <w:t>，或于本合同生效</w:t>
      </w:r>
      <w:r>
        <w:rPr>
          <w:vertAlign w:val="baseline"/>
        </w:rPr>
        <w:t>（或复效</w:t>
      </w:r>
      <w:r>
        <w:rPr>
          <w:spacing w:val="-17"/>
          <w:vertAlign w:val="baseline"/>
        </w:rPr>
        <w:t>）</w:t>
      </w:r>
      <w:r>
        <w:rPr>
          <w:vertAlign w:val="baseline"/>
        </w:rPr>
        <w:t>日起一</w:t>
      </w:r>
      <w:r>
        <w:rPr>
          <w:spacing w:val="-2"/>
          <w:vertAlign w:val="baseline"/>
        </w:rPr>
        <w:t>百八十天后因疾病导致身故，本合同终止。我们按保险金额向身故保险金受益人给付身故保险金。</w:t>
      </w:r>
    </w:p>
    <w:p>
      <w:pPr>
        <w:pStyle w:val="BodyText"/>
        <w:spacing w:before="15"/>
        <w:ind w:left="537"/>
      </w:pPr>
      <w:r>
        <w:rPr/>
        <w:t>四、高度残疾保险金</w:t>
      </w:r>
    </w:p>
    <w:p>
      <w:pPr>
        <w:pStyle w:val="BodyText"/>
        <w:spacing w:line="273" w:lineRule="auto" w:before="36"/>
        <w:ind w:left="117" w:right="214" w:firstLine="420"/>
        <w:jc w:val="both"/>
      </w:pPr>
      <w:r>
        <w:rPr>
          <w:spacing w:val="-1"/>
        </w:rPr>
        <w:t>被保险人于本合同生效</w:t>
      </w:r>
      <w:r>
        <w:rPr/>
        <w:t>（或复效</w:t>
      </w:r>
      <w:r>
        <w:rPr>
          <w:spacing w:val="-4"/>
        </w:rPr>
        <w:t>）</w:t>
      </w:r>
      <w:r>
        <w:rPr>
          <w:spacing w:val="-2"/>
        </w:rPr>
        <w:t>日起因意外伤害，或于本合同生效</w:t>
      </w:r>
      <w:r>
        <w:rPr/>
        <w:t>（或复效</w:t>
      </w:r>
      <w:r>
        <w:rPr>
          <w:spacing w:val="-4"/>
        </w:rPr>
        <w:t>）</w:t>
      </w:r>
      <w:r>
        <w:rPr/>
        <w:t>日起一</w:t>
      </w:r>
      <w:r>
        <w:rPr>
          <w:spacing w:val="-2"/>
        </w:rPr>
        <w:t>百八十天后因疾病导致高度残疾，本合同终止。我们按保险金额向被保险人给付高度残疾保险金。</w:t>
      </w:r>
    </w:p>
    <w:p>
      <w:pPr>
        <w:pStyle w:val="BodyText"/>
        <w:spacing w:before="7"/>
        <w:ind w:left="537"/>
      </w:pPr>
      <w:r>
        <w:rPr/>
        <w:t>五、保险费返还</w:t>
      </w:r>
    </w:p>
    <w:p>
      <w:pPr>
        <w:pStyle w:val="BodyText"/>
        <w:spacing w:line="237" w:lineRule="auto" w:before="19"/>
        <w:ind w:left="117" w:right="214" w:firstLine="420"/>
        <w:jc w:val="both"/>
      </w:pPr>
      <w:r>
        <w:rPr>
          <w:spacing w:val="-1"/>
        </w:rPr>
        <w:t>被保险人于本合同生效</w:t>
      </w:r>
      <w:r>
        <w:rPr/>
        <w:t>（或复效</w:t>
      </w:r>
      <w:r>
        <w:rPr>
          <w:spacing w:val="-5"/>
        </w:rPr>
        <w:t>）</w:t>
      </w:r>
      <w:r>
        <w:rPr>
          <w:spacing w:val="-1"/>
        </w:rPr>
        <w:t>日起一百八十天内，初次患有本合同约定的重大疾病</w:t>
      </w:r>
      <w:r>
        <w:rPr>
          <w:spacing w:val="-3"/>
        </w:rPr>
        <w:t>中的一项或多项或因疾病导致身故或高度残疾时，本合同终止。我们向您无息返还已交保险费（复效情况下返还最后一次申请复效时所交保险费</w:t>
      </w:r>
      <w:r>
        <w:rPr>
          <w:spacing w:val="-105"/>
        </w:rPr>
        <w:t>）</w:t>
      </w:r>
      <w:r>
        <w:rPr/>
        <w:t>。</w:t>
      </w:r>
    </w:p>
    <w:p>
      <w:pPr>
        <w:pStyle w:val="BodyText"/>
        <w:spacing w:before="9"/>
        <w:rPr>
          <w:sz w:val="27"/>
        </w:rPr>
      </w:pPr>
    </w:p>
    <w:p>
      <w:pPr>
        <w:pStyle w:val="Heading2"/>
        <w:ind w:left="115" w:right="6314"/>
        <w:jc w:val="center"/>
      </w:pPr>
      <w:bookmarkStart w:name="_TOC_250026" w:id="10"/>
      <w:bookmarkEnd w:id="10"/>
      <w:r>
        <w:rPr/>
        <w:t>第八条 责任免除</w:t>
      </w:r>
    </w:p>
    <w:p>
      <w:pPr>
        <w:pStyle w:val="BodyText"/>
        <w:spacing w:before="0"/>
        <w:rPr>
          <w:sz w:val="31"/>
        </w:rPr>
      </w:pPr>
    </w:p>
    <w:p>
      <w:pPr>
        <w:pStyle w:val="BodyText"/>
        <w:spacing w:before="0"/>
        <w:ind w:left="529"/>
        <w:rPr>
          <w:rFonts w:ascii="黑体" w:eastAsia="黑体" w:hint="eastAsia"/>
        </w:rPr>
      </w:pPr>
      <w:r>
        <w:rPr>
          <w:rFonts w:ascii="黑体" w:eastAsia="黑体" w:hint="eastAsia"/>
        </w:rPr>
        <w:t>因下列情形之一，导致被保险人患本合同约定的重大疾病的，我们不承担保险责任：</w:t>
      </w:r>
    </w:p>
    <w:p>
      <w:pPr>
        <w:pStyle w:val="ListParagraph"/>
        <w:numPr>
          <w:ilvl w:val="0"/>
          <w:numId w:val="4"/>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您或受益人对被保险人的故意行为；</w:t>
      </w:r>
    </w:p>
    <w:p>
      <w:pPr>
        <w:pStyle w:val="ListParagraph"/>
        <w:numPr>
          <w:ilvl w:val="0"/>
          <w:numId w:val="4"/>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被保险人犯罪、拒捕；</w:t>
      </w:r>
    </w:p>
    <w:p>
      <w:pPr>
        <w:pStyle w:val="ListParagraph"/>
        <w:numPr>
          <w:ilvl w:val="0"/>
          <w:numId w:val="4"/>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被保险人服用、吸食或注射毒品；</w:t>
      </w:r>
    </w:p>
    <w:p>
      <w:pPr>
        <w:pStyle w:val="ListParagraph"/>
        <w:numPr>
          <w:ilvl w:val="0"/>
          <w:numId w:val="4"/>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被保险人在本合同生效日起两年内或最后复效日起两年内自杀或故意自伤；</w:t>
      </w:r>
    </w:p>
    <w:p>
      <w:pPr>
        <w:pStyle w:val="ListParagraph"/>
        <w:numPr>
          <w:ilvl w:val="0"/>
          <w:numId w:val="4"/>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pacing w:val="-10"/>
          <w:sz w:val="21"/>
        </w:rPr>
        <w:t>被保险人酒后驾驶、无有效驾驶证件驾驶，或驾驶无有效行驶证件的机动交通工具；</w:t>
      </w:r>
    </w:p>
    <w:p>
      <w:pPr>
        <w:pStyle w:val="ListParagraph"/>
        <w:numPr>
          <w:ilvl w:val="0"/>
          <w:numId w:val="4"/>
        </w:numPr>
        <w:tabs>
          <w:tab w:pos="957" w:val="left" w:leader="none"/>
          <w:tab w:pos="958" w:val="left" w:leader="none"/>
        </w:tabs>
        <w:spacing w:line="259" w:lineRule="auto" w:before="22" w:after="0"/>
        <w:ind w:left="957" w:right="214" w:hanging="420"/>
        <w:jc w:val="left"/>
        <w:rPr>
          <w:rFonts w:ascii="黑体" w:eastAsia="黑体" w:hint="eastAsia"/>
          <w:sz w:val="21"/>
        </w:rPr>
      </w:pPr>
      <w:r>
        <w:rPr>
          <w:rFonts w:ascii="Arial" w:eastAsia="Arial"/>
          <w:sz w:val="21"/>
        </w:rPr>
        <w:t>.</w:t>
        <w:tab/>
      </w:r>
      <w:r>
        <w:rPr>
          <w:rFonts w:ascii="黑体" w:eastAsia="黑体" w:hint="eastAsia"/>
          <w:spacing w:val="-3"/>
          <w:sz w:val="21"/>
        </w:rPr>
        <w:t>被保险人感染艾滋病病毒或患艾滋病，但不包括【名词释义】中所定义的由输血或输液而感染艾滋病病毒；</w:t>
      </w:r>
    </w:p>
    <w:p>
      <w:pPr>
        <w:pStyle w:val="ListParagraph"/>
        <w:numPr>
          <w:ilvl w:val="0"/>
          <w:numId w:val="4"/>
        </w:numPr>
        <w:tabs>
          <w:tab w:pos="957" w:val="left" w:leader="none"/>
          <w:tab w:pos="958" w:val="left" w:leader="none"/>
        </w:tabs>
        <w:spacing w:line="240" w:lineRule="auto" w:before="20"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战争、军事行动、暴乱或武装叛乱；</w:t>
      </w:r>
    </w:p>
    <w:p>
      <w:pPr>
        <w:pStyle w:val="ListParagraph"/>
        <w:numPr>
          <w:ilvl w:val="0"/>
          <w:numId w:val="4"/>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核爆炸、核辐射或核污染。</w:t>
      </w:r>
    </w:p>
    <w:p>
      <w:pPr>
        <w:pStyle w:val="BodyText"/>
        <w:spacing w:before="22"/>
        <w:ind w:left="529"/>
        <w:rPr>
          <w:rFonts w:ascii="黑体" w:eastAsia="黑体" w:hint="eastAsia"/>
        </w:rPr>
      </w:pPr>
      <w:r>
        <w:rPr>
          <w:rFonts w:ascii="黑体" w:eastAsia="黑体" w:hint="eastAsia"/>
        </w:rPr>
        <w:t>因下列情形之一，导致被保险人身故或高度残疾的，我们不承担保险责任：</w:t>
      </w:r>
    </w:p>
    <w:p>
      <w:pPr>
        <w:pStyle w:val="ListParagraph"/>
        <w:numPr>
          <w:ilvl w:val="0"/>
          <w:numId w:val="5"/>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您或受益人对被保险人的故意行为；</w:t>
      </w:r>
    </w:p>
    <w:p>
      <w:pPr>
        <w:pStyle w:val="ListParagraph"/>
        <w:numPr>
          <w:ilvl w:val="0"/>
          <w:numId w:val="5"/>
        </w:numPr>
        <w:tabs>
          <w:tab w:pos="957" w:val="left" w:leader="none"/>
          <w:tab w:pos="958" w:val="left" w:leader="none"/>
        </w:tabs>
        <w:spacing w:line="240" w:lineRule="auto" w:before="21"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被保险人犯罪、拒捕；</w:t>
      </w:r>
    </w:p>
    <w:p>
      <w:pPr>
        <w:pStyle w:val="ListParagraph"/>
        <w:numPr>
          <w:ilvl w:val="0"/>
          <w:numId w:val="5"/>
        </w:numPr>
        <w:tabs>
          <w:tab w:pos="957" w:val="left" w:leader="none"/>
          <w:tab w:pos="958" w:val="left" w:leader="none"/>
        </w:tabs>
        <w:spacing w:line="240" w:lineRule="auto" w:before="21"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被保险人在本合同生效日起两年内或最后复效日起两年内自杀或故意自伤。</w:t>
      </w:r>
    </w:p>
    <w:p>
      <w:pPr>
        <w:pStyle w:val="BodyText"/>
        <w:spacing w:before="7"/>
        <w:rPr>
          <w:rFonts w:ascii="黑体"/>
          <w:sz w:val="26"/>
        </w:rPr>
      </w:pPr>
    </w:p>
    <w:p>
      <w:pPr>
        <w:pStyle w:val="BodyText"/>
        <w:spacing w:line="273" w:lineRule="auto" w:before="0"/>
        <w:ind w:left="109" w:right="109" w:firstLine="420"/>
        <w:rPr>
          <w:rFonts w:ascii="黑体" w:eastAsia="黑体" w:hint="eastAsia"/>
        </w:rPr>
      </w:pPr>
      <w:r>
        <w:rPr>
          <w:rFonts w:ascii="黑体" w:eastAsia="黑体" w:hint="eastAsia"/>
          <w:spacing w:val="-8"/>
        </w:rPr>
        <w:t>发生上述情形之一，本合同终止。除法律及本合同另有规定外，我们将按【合同解除权】第二款处理。</w:t>
      </w:r>
    </w:p>
    <w:p>
      <w:pPr>
        <w:pStyle w:val="BodyText"/>
        <w:spacing w:before="11"/>
        <w:rPr>
          <w:rFonts w:ascii="黑体"/>
          <w:sz w:val="26"/>
        </w:rPr>
      </w:pPr>
    </w:p>
    <w:p>
      <w:pPr>
        <w:pStyle w:val="Heading2"/>
        <w:ind w:left="115" w:right="6314"/>
        <w:jc w:val="center"/>
      </w:pPr>
      <w:bookmarkStart w:name="_TOC_250025" w:id="11"/>
      <w:bookmarkEnd w:id="11"/>
      <w:r>
        <w:rPr/>
        <w:t>第九条 保险金额</w:t>
      </w:r>
    </w:p>
    <w:p>
      <w:pPr>
        <w:pStyle w:val="BodyText"/>
        <w:spacing w:before="12"/>
        <w:rPr>
          <w:sz w:val="30"/>
        </w:rPr>
      </w:pPr>
    </w:p>
    <w:p>
      <w:pPr>
        <w:pStyle w:val="BodyText"/>
        <w:spacing w:before="1"/>
        <w:ind w:left="529"/>
      </w:pPr>
      <w:r>
        <w:rPr/>
        <w:t>本合同所称保险金额由您和我们约定，并在保险单或批注上载明。</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6"/>
        <w:rPr>
          <w:sz w:val="22"/>
        </w:rPr>
      </w:pPr>
      <w:r>
        <w:rPr/>
        <w:pict>
          <v:line style="position:absolute;mso-position-horizontal-relative:page;mso-position-vertical-relative:paragraph;z-index:1096;mso-wrap-distance-left:0;mso-wrap-distance-right:0" from="89.879997pt,16.952772pt" to="233.879997pt,16.952772pt" stroked="true" strokeweight=".54pt" strokecolor="#000000">
            <v:stroke dashstyle="solid"/>
            <w10:wrap type="topAndBottom"/>
          </v:line>
        </w:pict>
      </w:r>
    </w:p>
    <w:p>
      <w:pPr>
        <w:spacing w:line="234" w:lineRule="exact" w:before="30"/>
        <w:ind w:left="117" w:right="0" w:firstLine="0"/>
        <w:jc w:val="left"/>
        <w:rPr>
          <w:sz w:val="18"/>
        </w:rPr>
      </w:pPr>
      <w:r>
        <w:rPr>
          <w:rFonts w:ascii="Times New Roman" w:eastAsia="Times New Roman"/>
          <w:position w:val="8"/>
          <w:sz w:val="12"/>
        </w:rPr>
        <w:t>2</w:t>
      </w:r>
      <w:r>
        <w:rPr>
          <w:sz w:val="18"/>
        </w:rPr>
        <w:t>意外伤害指因遭受意外事故并以此为直接且单独原因导致的身体伤害。意外事故指外来的、非本意的、突</w:t>
      </w:r>
    </w:p>
    <w:p>
      <w:pPr>
        <w:spacing w:line="234" w:lineRule="exact" w:before="0"/>
        <w:ind w:left="117" w:right="0" w:firstLine="0"/>
        <w:jc w:val="left"/>
        <w:rPr>
          <w:sz w:val="18"/>
        </w:rPr>
      </w:pPr>
      <w:r>
        <w:rPr>
          <w:sz w:val="18"/>
        </w:rPr>
        <w:t>然的、剧烈的、非疾病的意外事件。</w:t>
      </w:r>
    </w:p>
    <w:p>
      <w:pPr>
        <w:spacing w:after="0" w:line="234" w:lineRule="exact"/>
        <w:jc w:val="left"/>
        <w:rPr>
          <w:sz w:val="18"/>
        </w:rPr>
        <w:sectPr>
          <w:pgSz w:w="11900" w:h="16840"/>
          <w:pgMar w:header="896" w:footer="1008" w:top="1280" w:bottom="1200" w:left="1680" w:right="1500"/>
        </w:sectPr>
      </w:pPr>
    </w:p>
    <w:p>
      <w:pPr>
        <w:pStyle w:val="BodyText"/>
        <w:spacing w:before="10"/>
        <w:rPr>
          <w:sz w:val="13"/>
        </w:rPr>
      </w:pPr>
    </w:p>
    <w:p>
      <w:pPr>
        <w:pStyle w:val="Heading1"/>
        <w:tabs>
          <w:tab w:pos="3675" w:val="left" w:leader="none"/>
        </w:tabs>
        <w:spacing w:line="461" w:lineRule="exact"/>
      </w:pPr>
      <w:bookmarkStart w:name="_TOC_250024" w:id="12"/>
      <w:bookmarkEnd w:id="12"/>
      <w:r>
        <w:rPr/>
        <w:t>第三部分</w:t>
        <w:tab/>
        <w:t>如何领取保险金</w:t>
      </w:r>
    </w:p>
    <w:p>
      <w:pPr>
        <w:pStyle w:val="BodyText"/>
        <w:rPr>
          <w:rFonts w:ascii="黑体"/>
          <w:sz w:val="35"/>
        </w:rPr>
      </w:pPr>
    </w:p>
    <w:p>
      <w:pPr>
        <w:pStyle w:val="Heading2"/>
      </w:pPr>
      <w:bookmarkStart w:name="_TOC_250023" w:id="13"/>
      <w:bookmarkEnd w:id="13"/>
      <w:r>
        <w:rPr/>
        <w:t>第十条 保险事故通知</w:t>
      </w:r>
    </w:p>
    <w:p>
      <w:pPr>
        <w:pStyle w:val="BodyText"/>
        <w:spacing w:before="12"/>
        <w:rPr>
          <w:sz w:val="30"/>
        </w:rPr>
      </w:pPr>
    </w:p>
    <w:p>
      <w:pPr>
        <w:pStyle w:val="BodyText"/>
        <w:spacing w:line="273" w:lineRule="auto" w:before="0"/>
        <w:ind w:left="109" w:right="110" w:firstLine="420"/>
      </w:pPr>
      <w:r>
        <w:rPr>
          <w:spacing w:val="-3"/>
        </w:rPr>
        <w:t>您、被保险人或受益人应于知道或应当知道保险事故发生之日起二十天内通知我们，如果由于通知延误导致必要证据丧失或事故性质、原因无法认定的，您、被保险人或受益人应</w:t>
      </w:r>
      <w:r>
        <w:rPr>
          <w:spacing w:val="-13"/>
        </w:rPr>
        <w:t>承担相应的责任；同时，因此致使我们增加的勘查、检验等项费用应从给付的保险金中扣除， 但因不可抗力导致延误的除外。</w:t>
      </w:r>
    </w:p>
    <w:p>
      <w:pPr>
        <w:pStyle w:val="BodyText"/>
        <w:spacing w:before="11"/>
        <w:rPr>
          <w:sz w:val="26"/>
        </w:rPr>
      </w:pPr>
    </w:p>
    <w:p>
      <w:pPr>
        <w:pStyle w:val="Heading2"/>
      </w:pPr>
      <w:bookmarkStart w:name="_TOC_250022" w:id="14"/>
      <w:bookmarkEnd w:id="14"/>
      <w:r>
        <w:rPr/>
        <w:t>第十一条保险金的申领</w:t>
      </w:r>
    </w:p>
    <w:p>
      <w:pPr>
        <w:pStyle w:val="BodyText"/>
        <w:spacing w:before="1"/>
        <w:rPr>
          <w:sz w:val="31"/>
        </w:rPr>
      </w:pPr>
    </w:p>
    <w:p>
      <w:pPr>
        <w:pStyle w:val="BodyText"/>
        <w:spacing w:before="0"/>
        <w:ind w:left="535"/>
      </w:pPr>
      <w:r>
        <w:rPr/>
        <w:t>一、重大疾病保险金</w:t>
      </w:r>
    </w:p>
    <w:p>
      <w:pPr>
        <w:pStyle w:val="BodyText"/>
        <w:spacing w:line="273" w:lineRule="auto" w:before="37"/>
        <w:ind w:left="109" w:right="170" w:firstLine="426"/>
      </w:pPr>
      <w:r>
        <w:rPr/>
        <w:t>若被保险人符合重大疾病保险金给付条件时，需填写保险金给付申请书并凭下列证明材料向我们申请理赔：</w:t>
      </w:r>
    </w:p>
    <w:p>
      <w:pPr>
        <w:pStyle w:val="ListParagraph"/>
        <w:numPr>
          <w:ilvl w:val="0"/>
          <w:numId w:val="6"/>
        </w:numPr>
        <w:tabs>
          <w:tab w:pos="957" w:val="left" w:leader="none"/>
          <w:tab w:pos="958" w:val="left" w:leader="none"/>
        </w:tabs>
        <w:spacing w:line="240" w:lineRule="auto" w:before="7" w:after="0"/>
        <w:ind w:left="537" w:right="0" w:firstLine="0"/>
        <w:jc w:val="left"/>
        <w:rPr>
          <w:sz w:val="21"/>
        </w:rPr>
      </w:pPr>
      <w:r>
        <w:rPr>
          <w:sz w:val="21"/>
        </w:rPr>
        <w:t>本合同；</w:t>
      </w:r>
    </w:p>
    <w:p>
      <w:pPr>
        <w:pStyle w:val="ListParagraph"/>
        <w:numPr>
          <w:ilvl w:val="0"/>
          <w:numId w:val="6"/>
        </w:numPr>
        <w:tabs>
          <w:tab w:pos="957" w:val="left" w:leader="none"/>
          <w:tab w:pos="958" w:val="left" w:leader="none"/>
        </w:tabs>
        <w:spacing w:line="240" w:lineRule="auto" w:before="20" w:after="0"/>
        <w:ind w:left="537" w:right="0" w:firstLine="0"/>
        <w:jc w:val="left"/>
        <w:rPr>
          <w:sz w:val="21"/>
        </w:rPr>
      </w:pPr>
      <w:r>
        <w:rPr>
          <w:sz w:val="21"/>
        </w:rPr>
        <w:t>被保险人的身份证明；</w:t>
      </w:r>
    </w:p>
    <w:p>
      <w:pPr>
        <w:pStyle w:val="ListParagraph"/>
        <w:numPr>
          <w:ilvl w:val="0"/>
          <w:numId w:val="6"/>
        </w:numPr>
        <w:tabs>
          <w:tab w:pos="957" w:val="left" w:leader="none"/>
          <w:tab w:pos="958" w:val="left" w:leader="none"/>
        </w:tabs>
        <w:spacing w:line="240" w:lineRule="auto" w:before="20" w:after="0"/>
        <w:ind w:left="537" w:right="0" w:firstLine="0"/>
        <w:jc w:val="left"/>
        <w:rPr>
          <w:sz w:val="21"/>
        </w:rPr>
      </w:pPr>
      <w:r>
        <w:rPr>
          <w:sz w:val="21"/>
        </w:rPr>
        <w:t>定点医疗机构的专科医生出具的医学诊断证明以及相关资料；</w:t>
      </w:r>
    </w:p>
    <w:p>
      <w:pPr>
        <w:pStyle w:val="ListParagraph"/>
        <w:numPr>
          <w:ilvl w:val="0"/>
          <w:numId w:val="6"/>
        </w:numPr>
        <w:tabs>
          <w:tab w:pos="957" w:val="left" w:leader="none"/>
          <w:tab w:pos="958" w:val="left" w:leader="none"/>
        </w:tabs>
        <w:spacing w:line="256" w:lineRule="auto" w:before="20" w:after="0"/>
        <w:ind w:left="537" w:right="2300" w:firstLine="0"/>
        <w:jc w:val="left"/>
        <w:rPr>
          <w:sz w:val="21"/>
        </w:rPr>
      </w:pPr>
      <w:r>
        <w:rPr>
          <w:sz w:val="21"/>
        </w:rPr>
        <w:t>我们所需且索赔权利人能够提供的与事故有关的其他材料。二、癌症额外给付</w:t>
      </w:r>
    </w:p>
    <w:p>
      <w:pPr>
        <w:pStyle w:val="BodyText"/>
        <w:spacing w:line="273" w:lineRule="auto" w:before="22"/>
        <w:ind w:left="117" w:right="169" w:firstLine="420"/>
      </w:pPr>
      <w:r>
        <w:rPr/>
        <w:t>若被保险人符合癌症额外给付的条件时，需填写保险金给付申请书并凭下列证明材料向我们申请理赔：</w:t>
      </w:r>
    </w:p>
    <w:p>
      <w:pPr>
        <w:pStyle w:val="ListParagraph"/>
        <w:numPr>
          <w:ilvl w:val="0"/>
          <w:numId w:val="7"/>
        </w:numPr>
        <w:tabs>
          <w:tab w:pos="957" w:val="left" w:leader="none"/>
          <w:tab w:pos="958" w:val="left" w:leader="none"/>
        </w:tabs>
        <w:spacing w:line="240" w:lineRule="auto" w:before="8" w:after="0"/>
        <w:ind w:left="537" w:right="0" w:firstLine="0"/>
        <w:jc w:val="left"/>
        <w:rPr>
          <w:sz w:val="21"/>
        </w:rPr>
      </w:pPr>
      <w:r>
        <w:rPr>
          <w:sz w:val="21"/>
        </w:rPr>
        <w:t>本合同；</w:t>
      </w:r>
    </w:p>
    <w:p>
      <w:pPr>
        <w:pStyle w:val="ListParagraph"/>
        <w:numPr>
          <w:ilvl w:val="0"/>
          <w:numId w:val="7"/>
        </w:numPr>
        <w:tabs>
          <w:tab w:pos="957" w:val="left" w:leader="none"/>
          <w:tab w:pos="958" w:val="left" w:leader="none"/>
        </w:tabs>
        <w:spacing w:line="240" w:lineRule="auto" w:before="21" w:after="0"/>
        <w:ind w:left="537" w:right="0" w:firstLine="0"/>
        <w:jc w:val="left"/>
        <w:rPr>
          <w:sz w:val="21"/>
        </w:rPr>
      </w:pPr>
      <w:r>
        <w:rPr>
          <w:sz w:val="21"/>
        </w:rPr>
        <w:t>被保险人的身份证明：</w:t>
      </w:r>
    </w:p>
    <w:p>
      <w:pPr>
        <w:pStyle w:val="ListParagraph"/>
        <w:numPr>
          <w:ilvl w:val="0"/>
          <w:numId w:val="7"/>
        </w:numPr>
        <w:tabs>
          <w:tab w:pos="957" w:val="left" w:leader="none"/>
          <w:tab w:pos="958" w:val="left" w:leader="none"/>
        </w:tabs>
        <w:spacing w:line="240" w:lineRule="auto" w:before="21" w:after="0"/>
        <w:ind w:left="537" w:right="0" w:firstLine="0"/>
        <w:jc w:val="left"/>
        <w:rPr>
          <w:sz w:val="21"/>
        </w:rPr>
      </w:pPr>
      <w:r>
        <w:rPr>
          <w:sz w:val="21"/>
        </w:rPr>
        <w:t>定点医疗机构的专科医生出具的医学诊断证明以及相关资料：</w:t>
      </w:r>
    </w:p>
    <w:p>
      <w:pPr>
        <w:pStyle w:val="ListParagraph"/>
        <w:numPr>
          <w:ilvl w:val="0"/>
          <w:numId w:val="7"/>
        </w:numPr>
        <w:tabs>
          <w:tab w:pos="957" w:val="left" w:leader="none"/>
          <w:tab w:pos="958" w:val="left" w:leader="none"/>
        </w:tabs>
        <w:spacing w:line="256" w:lineRule="auto" w:before="21" w:after="0"/>
        <w:ind w:left="537" w:right="2300" w:firstLine="0"/>
        <w:jc w:val="left"/>
        <w:rPr>
          <w:sz w:val="21"/>
        </w:rPr>
      </w:pPr>
      <w:r>
        <w:rPr>
          <w:sz w:val="21"/>
        </w:rPr>
        <w:t>我们所需且索赔权利人能够提供的与事故相关的其他材料。三、身故保险金</w:t>
      </w:r>
    </w:p>
    <w:p>
      <w:pPr>
        <w:pStyle w:val="BodyText"/>
        <w:spacing w:line="273" w:lineRule="auto" w:before="22"/>
        <w:ind w:left="117" w:right="168" w:firstLine="420"/>
      </w:pPr>
      <w:r>
        <w:rPr/>
        <w:t>若被保险人身故，索赔权利人需填写保险金给付申请书，并凭下列证明材料向我们申请理赔：</w:t>
      </w:r>
    </w:p>
    <w:p>
      <w:pPr>
        <w:pStyle w:val="ListParagraph"/>
        <w:numPr>
          <w:ilvl w:val="0"/>
          <w:numId w:val="8"/>
        </w:numPr>
        <w:tabs>
          <w:tab w:pos="957" w:val="left" w:leader="none"/>
          <w:tab w:pos="958" w:val="left" w:leader="none"/>
        </w:tabs>
        <w:spacing w:line="284" w:lineRule="exact" w:before="0" w:after="0"/>
        <w:ind w:left="957" w:right="0" w:hanging="420"/>
        <w:jc w:val="left"/>
        <w:rPr>
          <w:sz w:val="21"/>
        </w:rPr>
      </w:pPr>
      <w:r>
        <w:rPr>
          <w:sz w:val="21"/>
        </w:rPr>
        <w:t>本合同；</w:t>
      </w:r>
    </w:p>
    <w:p>
      <w:pPr>
        <w:pStyle w:val="ListParagraph"/>
        <w:numPr>
          <w:ilvl w:val="0"/>
          <w:numId w:val="8"/>
        </w:numPr>
        <w:tabs>
          <w:tab w:pos="957" w:val="left" w:leader="none"/>
          <w:tab w:pos="958" w:val="left" w:leader="none"/>
        </w:tabs>
        <w:spacing w:line="240" w:lineRule="auto" w:before="21" w:after="0"/>
        <w:ind w:left="957" w:right="0" w:hanging="420"/>
        <w:jc w:val="left"/>
        <w:rPr>
          <w:sz w:val="21"/>
        </w:rPr>
      </w:pPr>
      <w:r>
        <w:rPr>
          <w:sz w:val="21"/>
        </w:rPr>
        <w:t>索赔权利人的身份证明及索赔权利证明；</w:t>
      </w:r>
    </w:p>
    <w:p>
      <w:pPr>
        <w:pStyle w:val="ListParagraph"/>
        <w:numPr>
          <w:ilvl w:val="0"/>
          <w:numId w:val="8"/>
        </w:numPr>
        <w:tabs>
          <w:tab w:pos="957" w:val="left" w:leader="none"/>
          <w:tab w:pos="958" w:val="left" w:leader="none"/>
        </w:tabs>
        <w:spacing w:line="256" w:lineRule="auto" w:before="21" w:after="0"/>
        <w:ind w:left="957" w:right="207" w:hanging="420"/>
        <w:jc w:val="left"/>
        <w:rPr>
          <w:sz w:val="21"/>
        </w:rPr>
      </w:pPr>
      <w:r>
        <w:rPr>
          <w:spacing w:val="2"/>
          <w:sz w:val="21"/>
        </w:rPr>
        <w:t>定点医疗机构出具的被保险人医学死亡证明书或政府职能部门法医出具的尸体检</w:t>
      </w:r>
      <w:r>
        <w:rPr>
          <w:sz w:val="21"/>
        </w:rPr>
        <w:t>验报告；</w:t>
      </w:r>
    </w:p>
    <w:p>
      <w:pPr>
        <w:pStyle w:val="ListParagraph"/>
        <w:numPr>
          <w:ilvl w:val="0"/>
          <w:numId w:val="8"/>
        </w:numPr>
        <w:tabs>
          <w:tab w:pos="957" w:val="left" w:leader="none"/>
          <w:tab w:pos="958" w:val="left" w:leader="none"/>
        </w:tabs>
        <w:spacing w:line="240" w:lineRule="auto" w:before="22" w:after="0"/>
        <w:ind w:left="957" w:right="0" w:hanging="420"/>
        <w:jc w:val="left"/>
        <w:rPr>
          <w:sz w:val="21"/>
        </w:rPr>
      </w:pPr>
      <w:r>
        <w:rPr>
          <w:sz w:val="21"/>
        </w:rPr>
        <w:t>若被保险人为宣告死亡，索赔权利人须提供由法院出具的宣告死亡证明文件；</w:t>
      </w:r>
    </w:p>
    <w:p>
      <w:pPr>
        <w:pStyle w:val="ListParagraph"/>
        <w:numPr>
          <w:ilvl w:val="0"/>
          <w:numId w:val="8"/>
        </w:numPr>
        <w:tabs>
          <w:tab w:pos="957" w:val="left" w:leader="none"/>
          <w:tab w:pos="958" w:val="left" w:leader="none"/>
        </w:tabs>
        <w:spacing w:line="240" w:lineRule="auto" w:before="20" w:after="0"/>
        <w:ind w:left="957" w:right="0" w:hanging="420"/>
        <w:jc w:val="left"/>
        <w:rPr>
          <w:sz w:val="21"/>
        </w:rPr>
      </w:pPr>
      <w:r>
        <w:rPr>
          <w:sz w:val="21"/>
        </w:rPr>
        <w:t>被保险人的户籍注销证明；</w:t>
      </w:r>
    </w:p>
    <w:p>
      <w:pPr>
        <w:pStyle w:val="ListParagraph"/>
        <w:numPr>
          <w:ilvl w:val="0"/>
          <w:numId w:val="8"/>
        </w:numPr>
        <w:tabs>
          <w:tab w:pos="957" w:val="left" w:leader="none"/>
          <w:tab w:pos="958" w:val="left" w:leader="none"/>
        </w:tabs>
        <w:spacing w:line="268" w:lineRule="auto" w:before="20" w:after="0"/>
        <w:ind w:left="537" w:right="2300" w:firstLine="0"/>
        <w:jc w:val="left"/>
        <w:rPr>
          <w:sz w:val="21"/>
        </w:rPr>
      </w:pPr>
      <w:r>
        <w:rPr>
          <w:sz w:val="21"/>
        </w:rPr>
        <w:t>我们所需且索赔权利人能够提供的与事故有关的其他材料。四、高度残疾保险金</w:t>
      </w:r>
    </w:p>
    <w:p>
      <w:pPr>
        <w:pStyle w:val="BodyText"/>
        <w:spacing w:line="273" w:lineRule="auto" w:before="11"/>
        <w:ind w:left="117" w:right="168" w:firstLine="420"/>
      </w:pPr>
      <w:r>
        <w:rPr/>
        <w:t>若被保险人身体高度残疾，需填写保险金给付申请书，并凭下列证明材料向我们申请理赔：</w:t>
      </w:r>
    </w:p>
    <w:p>
      <w:pPr>
        <w:pStyle w:val="ListParagraph"/>
        <w:numPr>
          <w:ilvl w:val="0"/>
          <w:numId w:val="9"/>
        </w:numPr>
        <w:tabs>
          <w:tab w:pos="957" w:val="left" w:leader="none"/>
          <w:tab w:pos="958" w:val="left" w:leader="none"/>
        </w:tabs>
        <w:spacing w:line="284" w:lineRule="exact" w:before="0" w:after="0"/>
        <w:ind w:left="537" w:right="0" w:firstLine="0"/>
        <w:jc w:val="left"/>
        <w:rPr>
          <w:sz w:val="21"/>
        </w:rPr>
      </w:pPr>
      <w:r>
        <w:rPr>
          <w:sz w:val="21"/>
        </w:rPr>
        <w:t>本合同；</w:t>
      </w:r>
    </w:p>
    <w:p>
      <w:pPr>
        <w:pStyle w:val="ListParagraph"/>
        <w:numPr>
          <w:ilvl w:val="0"/>
          <w:numId w:val="9"/>
        </w:numPr>
        <w:tabs>
          <w:tab w:pos="957" w:val="left" w:leader="none"/>
          <w:tab w:pos="958" w:val="left" w:leader="none"/>
        </w:tabs>
        <w:spacing w:line="240" w:lineRule="auto" w:before="21" w:after="0"/>
        <w:ind w:left="537" w:right="0" w:firstLine="0"/>
        <w:jc w:val="left"/>
        <w:rPr>
          <w:sz w:val="21"/>
        </w:rPr>
      </w:pPr>
      <w:r>
        <w:rPr>
          <w:sz w:val="21"/>
        </w:rPr>
        <w:t>被保险人的身份证明；</w:t>
      </w:r>
    </w:p>
    <w:p>
      <w:pPr>
        <w:pStyle w:val="ListParagraph"/>
        <w:numPr>
          <w:ilvl w:val="0"/>
          <w:numId w:val="9"/>
        </w:numPr>
        <w:tabs>
          <w:tab w:pos="957" w:val="left" w:leader="none"/>
          <w:tab w:pos="958" w:val="left" w:leader="none"/>
        </w:tabs>
        <w:spacing w:line="240" w:lineRule="auto" w:before="20" w:after="0"/>
        <w:ind w:left="537" w:right="0" w:firstLine="0"/>
        <w:jc w:val="left"/>
        <w:rPr>
          <w:sz w:val="21"/>
        </w:rPr>
      </w:pPr>
      <w:r>
        <w:rPr>
          <w:sz w:val="21"/>
        </w:rPr>
        <w:t>定点医疗机构出具的医学诊断证明或政府职能部门法医出具的残疾鉴定书；</w:t>
      </w:r>
    </w:p>
    <w:p>
      <w:pPr>
        <w:spacing w:after="0" w:line="240" w:lineRule="auto"/>
        <w:jc w:val="left"/>
        <w:rPr>
          <w:sz w:val="21"/>
        </w:rPr>
        <w:sectPr>
          <w:pgSz w:w="11900" w:h="16840"/>
          <w:pgMar w:header="896" w:footer="1008" w:top="1280" w:bottom="1200" w:left="1680" w:right="1500"/>
        </w:sectPr>
      </w:pPr>
    </w:p>
    <w:p>
      <w:pPr>
        <w:pStyle w:val="ListParagraph"/>
        <w:numPr>
          <w:ilvl w:val="0"/>
          <w:numId w:val="9"/>
        </w:numPr>
        <w:tabs>
          <w:tab w:pos="957" w:val="left" w:leader="none"/>
          <w:tab w:pos="958" w:val="left" w:leader="none"/>
        </w:tabs>
        <w:spacing w:line="268" w:lineRule="auto" w:before="119" w:after="0"/>
        <w:ind w:left="537" w:right="2200" w:firstLine="0"/>
        <w:jc w:val="left"/>
        <w:rPr>
          <w:sz w:val="21"/>
        </w:rPr>
      </w:pPr>
      <w:r>
        <w:rPr>
          <w:sz w:val="21"/>
        </w:rPr>
        <w:t>我们所需且索赔权利人能够提供的与事故有关的其他材料。五、保险费返还</w:t>
      </w:r>
    </w:p>
    <w:p>
      <w:pPr>
        <w:pStyle w:val="BodyText"/>
        <w:spacing w:before="11"/>
        <w:ind w:left="537"/>
      </w:pPr>
      <w:r>
        <w:rPr/>
        <w:t>若被保险人符合保险费返还的条件，您需凭下列证明材料向我们申请保险费返还：</w:t>
      </w:r>
    </w:p>
    <w:p>
      <w:pPr>
        <w:pStyle w:val="ListParagraph"/>
        <w:numPr>
          <w:ilvl w:val="0"/>
          <w:numId w:val="10"/>
        </w:numPr>
        <w:tabs>
          <w:tab w:pos="957" w:val="left" w:leader="none"/>
          <w:tab w:pos="958" w:val="left" w:leader="none"/>
        </w:tabs>
        <w:spacing w:line="240" w:lineRule="auto" w:before="36" w:after="0"/>
        <w:ind w:left="957" w:right="0" w:hanging="420"/>
        <w:jc w:val="left"/>
        <w:rPr>
          <w:rFonts w:ascii="Courier New" w:eastAsia="Courier New"/>
          <w:sz w:val="21"/>
        </w:rPr>
      </w:pPr>
      <w:r>
        <w:rPr>
          <w:sz w:val="21"/>
        </w:rPr>
        <w:t>本合同；</w:t>
      </w:r>
    </w:p>
    <w:p>
      <w:pPr>
        <w:pStyle w:val="ListParagraph"/>
        <w:numPr>
          <w:ilvl w:val="0"/>
          <w:numId w:val="10"/>
        </w:numPr>
        <w:tabs>
          <w:tab w:pos="957" w:val="left" w:leader="none"/>
          <w:tab w:pos="958" w:val="left" w:leader="none"/>
        </w:tabs>
        <w:spacing w:line="242" w:lineRule="auto" w:before="3" w:after="0"/>
        <w:ind w:left="957" w:right="107" w:hanging="420"/>
        <w:jc w:val="left"/>
        <w:rPr>
          <w:rFonts w:ascii="Courier New" w:eastAsia="Courier New"/>
          <w:sz w:val="21"/>
        </w:rPr>
      </w:pPr>
      <w:r>
        <w:rPr>
          <w:spacing w:val="2"/>
          <w:sz w:val="21"/>
        </w:rPr>
        <w:t>被保险人身故或高度残疾证明或定点医疗机构的专科医生出具的医学诊断证明及</w:t>
      </w:r>
      <w:r>
        <w:rPr>
          <w:sz w:val="21"/>
        </w:rPr>
        <w:t>相关资料；</w:t>
      </w:r>
    </w:p>
    <w:p>
      <w:pPr>
        <w:pStyle w:val="ListParagraph"/>
        <w:numPr>
          <w:ilvl w:val="0"/>
          <w:numId w:val="10"/>
        </w:numPr>
        <w:tabs>
          <w:tab w:pos="957" w:val="left" w:leader="none"/>
          <w:tab w:pos="958" w:val="left" w:leader="none"/>
        </w:tabs>
        <w:spacing w:line="303" w:lineRule="exact" w:before="35" w:after="0"/>
        <w:ind w:left="957" w:right="0" w:hanging="420"/>
        <w:jc w:val="left"/>
        <w:rPr>
          <w:rFonts w:ascii="Courier New" w:eastAsia="Courier New"/>
          <w:sz w:val="21"/>
        </w:rPr>
      </w:pPr>
      <w:r>
        <w:rPr>
          <w:sz w:val="21"/>
        </w:rPr>
        <w:t>索赔权利人身份证明；</w:t>
      </w:r>
    </w:p>
    <w:p>
      <w:pPr>
        <w:pStyle w:val="ListParagraph"/>
        <w:numPr>
          <w:ilvl w:val="0"/>
          <w:numId w:val="10"/>
        </w:numPr>
        <w:tabs>
          <w:tab w:pos="957" w:val="left" w:leader="none"/>
          <w:tab w:pos="958" w:val="left" w:leader="none"/>
        </w:tabs>
        <w:spacing w:line="285" w:lineRule="exact" w:before="0" w:after="0"/>
        <w:ind w:left="957" w:right="0" w:hanging="420"/>
        <w:jc w:val="left"/>
        <w:rPr>
          <w:rFonts w:ascii="Times New Roman" w:eastAsia="Times New Roman"/>
          <w:sz w:val="21"/>
        </w:rPr>
      </w:pPr>
      <w:r>
        <w:rPr>
          <w:sz w:val="21"/>
        </w:rPr>
        <w:t>我们所需的并且索赔权利人能够提供的与事故有关的其他材料。</w:t>
      </w:r>
    </w:p>
    <w:p>
      <w:pPr>
        <w:pStyle w:val="BodyText"/>
        <w:spacing w:before="7"/>
        <w:rPr>
          <w:sz w:val="26"/>
        </w:rPr>
      </w:pPr>
    </w:p>
    <w:p>
      <w:pPr>
        <w:pStyle w:val="BodyText"/>
        <w:spacing w:line="273" w:lineRule="auto" w:before="0"/>
        <w:ind w:left="109" w:right="115" w:firstLine="420"/>
        <w:jc w:val="both"/>
      </w:pPr>
      <w:r>
        <w:rPr>
          <w:spacing w:val="-2"/>
        </w:rPr>
        <w:t>我们收到申请人保险金给付申请书及相应的证明材料后，对确属保险责任范围的，在与</w:t>
      </w:r>
      <w:r>
        <w:rPr>
          <w:spacing w:val="-4"/>
        </w:rPr>
        <w:t>申请人达成有关给付保险金数额的协议后十天内，履行给付保险金责任；对不属于保险责任范围的，向申请人发出拒绝给付保险金通知书。</w:t>
      </w:r>
    </w:p>
    <w:p>
      <w:pPr>
        <w:pStyle w:val="BodyText"/>
        <w:spacing w:line="273" w:lineRule="auto" w:before="7"/>
        <w:ind w:left="109" w:right="115" w:firstLine="420"/>
        <w:jc w:val="both"/>
      </w:pPr>
      <w:r>
        <w:rPr>
          <w:spacing w:val="-1"/>
        </w:rPr>
        <w:t>我们自收到申请人的保险金给付申请书及相应的证明材料之日起六十天内，对属于保险</w:t>
      </w:r>
      <w:r>
        <w:rPr>
          <w:spacing w:val="-3"/>
        </w:rPr>
        <w:t>责任而给付保险金的数额暂时不能确定的，根据已有的证明材料，按可以确定的最低数额先予支付，我们最终确定给付保险金数额后，再支付相应的差额。</w:t>
      </w:r>
    </w:p>
    <w:p>
      <w:pPr>
        <w:pStyle w:val="BodyText"/>
        <w:spacing w:before="12"/>
        <w:rPr>
          <w:sz w:val="26"/>
        </w:rPr>
      </w:pPr>
    </w:p>
    <w:p>
      <w:pPr>
        <w:pStyle w:val="Heading2"/>
        <w:tabs>
          <w:tab w:pos="1557" w:val="left" w:leader="none"/>
        </w:tabs>
      </w:pPr>
      <w:bookmarkStart w:name="_TOC_250021" w:id="15"/>
      <w:bookmarkEnd w:id="15"/>
      <w:r>
        <w:rPr/>
        <w:t>第十二条</w:t>
        <w:tab/>
        <w:t>欠款的扣除</w:t>
      </w:r>
    </w:p>
    <w:p>
      <w:pPr>
        <w:pStyle w:val="BodyText"/>
        <w:spacing w:before="7"/>
        <w:rPr>
          <w:sz w:val="29"/>
        </w:rPr>
      </w:pPr>
    </w:p>
    <w:p>
      <w:pPr>
        <w:pStyle w:val="BodyText"/>
        <w:spacing w:line="273" w:lineRule="auto" w:before="0"/>
        <w:ind w:left="117" w:right="141" w:firstLine="420"/>
        <w:jc w:val="both"/>
      </w:pPr>
      <w:r>
        <w:rPr>
          <w:spacing w:val="-3"/>
        </w:rPr>
        <w:t>我们给付各项保险金或退还现金价值时，如果您有尚未偿还的保险单借款或尚未交纳的保险费（包括本合同自动垫交的保险费</w:t>
      </w:r>
      <w:r>
        <w:rPr>
          <w:spacing w:val="-105"/>
        </w:rPr>
        <w:t>）</w:t>
      </w:r>
      <w:r>
        <w:rPr>
          <w:spacing w:val="-1"/>
        </w:rPr>
        <w:t>，我们将在扣除上述欠款及利息后再给付。</w:t>
      </w:r>
    </w:p>
    <w:p>
      <w:pPr>
        <w:pStyle w:val="BodyText"/>
        <w:spacing w:before="5"/>
        <w:rPr>
          <w:sz w:val="28"/>
        </w:rPr>
      </w:pPr>
    </w:p>
    <w:p>
      <w:pPr>
        <w:pStyle w:val="Heading2"/>
      </w:pPr>
      <w:bookmarkStart w:name="_TOC_250020" w:id="16"/>
      <w:bookmarkEnd w:id="16"/>
      <w:r>
        <w:rPr/>
        <w:t>第十三条高度残疾鉴定</w:t>
      </w:r>
    </w:p>
    <w:p>
      <w:pPr>
        <w:pStyle w:val="BodyText"/>
        <w:spacing w:before="7"/>
        <w:rPr>
          <w:sz w:val="29"/>
        </w:rPr>
      </w:pPr>
    </w:p>
    <w:p>
      <w:pPr>
        <w:pStyle w:val="BodyText"/>
        <w:spacing w:line="271" w:lineRule="auto" w:before="0"/>
        <w:ind w:left="117" w:right="141" w:firstLine="420"/>
        <w:jc w:val="both"/>
      </w:pPr>
      <w:r>
        <w:rPr>
          <w:spacing w:val="-3"/>
        </w:rPr>
        <w:t>被保险人身体高度残疾的鉴定，应在治疗结束之后，由定点医疗机构或者政府职能部门</w:t>
      </w:r>
      <w:r>
        <w:rPr>
          <w:spacing w:val="-8"/>
        </w:rPr>
        <w:t>的法医进行。如果自被保险人遭受意外伤害或被诊断患有疾病之日起一百八十天内治疗仍未结束，按第一百八十天的身体情况进行鉴定。</w:t>
      </w:r>
    </w:p>
    <w:p>
      <w:pPr>
        <w:pStyle w:val="BodyText"/>
        <w:spacing w:before="7"/>
        <w:rPr>
          <w:sz w:val="28"/>
        </w:rPr>
      </w:pPr>
    </w:p>
    <w:p>
      <w:pPr>
        <w:pStyle w:val="Heading2"/>
      </w:pPr>
      <w:bookmarkStart w:name="_TOC_250019" w:id="17"/>
      <w:bookmarkEnd w:id="17"/>
      <w:r>
        <w:rPr/>
        <w:t>第十四条索赔时效</w:t>
      </w:r>
    </w:p>
    <w:p>
      <w:pPr>
        <w:pStyle w:val="BodyText"/>
        <w:spacing w:before="8"/>
        <w:rPr>
          <w:sz w:val="29"/>
        </w:rPr>
      </w:pPr>
    </w:p>
    <w:p>
      <w:pPr>
        <w:pStyle w:val="BodyText"/>
        <w:spacing w:line="237" w:lineRule="auto" w:before="1"/>
        <w:ind w:left="117" w:right="141" w:firstLine="420"/>
        <w:jc w:val="both"/>
      </w:pPr>
      <w:r>
        <w:rPr>
          <w:spacing w:val="-2"/>
        </w:rPr>
        <w:t>本合同的索赔权利人自其知道或应当知道保险事故之日起五年内，享有向我们请求保险金的权利，超过五年不行使的，该权利消灭。</w:t>
      </w:r>
    </w:p>
    <w:p>
      <w:pPr>
        <w:pStyle w:val="BodyText"/>
        <w:spacing w:before="9"/>
        <w:rPr>
          <w:sz w:val="27"/>
        </w:rPr>
      </w:pPr>
    </w:p>
    <w:p>
      <w:pPr>
        <w:pStyle w:val="Heading2"/>
      </w:pPr>
      <w:bookmarkStart w:name="_TOC_250018" w:id="18"/>
      <w:bookmarkEnd w:id="18"/>
      <w:r>
        <w:rPr/>
        <w:t>第十五条失踪处理</w:t>
      </w:r>
    </w:p>
    <w:p>
      <w:pPr>
        <w:pStyle w:val="BodyText"/>
        <w:spacing w:before="9"/>
        <w:rPr>
          <w:sz w:val="29"/>
        </w:rPr>
      </w:pPr>
    </w:p>
    <w:p>
      <w:pPr>
        <w:pStyle w:val="BodyText"/>
        <w:spacing w:line="237" w:lineRule="auto" w:before="0"/>
        <w:ind w:left="117" w:right="141" w:firstLine="420"/>
        <w:jc w:val="both"/>
      </w:pPr>
      <w:r>
        <w:rPr>
          <w:spacing w:val="-3"/>
        </w:rPr>
        <w:t>如果被保险人在本合同有效期内下落不明，后经法院宣告死亡。我们以判决宣告日为被保险人身故日，并给付身故保险金。</w:t>
      </w:r>
    </w:p>
    <w:p>
      <w:pPr>
        <w:pStyle w:val="BodyText"/>
        <w:spacing w:line="237" w:lineRule="auto" w:before="0"/>
        <w:ind w:left="117" w:right="141" w:firstLine="420"/>
        <w:jc w:val="both"/>
      </w:pPr>
      <w:r>
        <w:rPr>
          <w:spacing w:val="-2"/>
        </w:rPr>
        <w:t>如果被保险人重新出现或者确知其没有死亡的，身故保险金受益人应于知道或应当知道被保险人生还后三十天内将领取的身故保险金退还给我们。</w:t>
      </w:r>
    </w:p>
    <w:p>
      <w:pPr>
        <w:spacing w:after="0" w:line="237" w:lineRule="auto"/>
        <w:jc w:val="both"/>
        <w:sectPr>
          <w:pgSz w:w="11900" w:h="16840"/>
          <w:pgMar w:header="896" w:footer="1008" w:top="1280" w:bottom="1200" w:left="1680" w:right="1600"/>
        </w:sectPr>
      </w:pPr>
    </w:p>
    <w:p>
      <w:pPr>
        <w:pStyle w:val="BodyText"/>
        <w:spacing w:before="1"/>
        <w:rPr>
          <w:sz w:val="16"/>
        </w:rPr>
      </w:pPr>
    </w:p>
    <w:p>
      <w:pPr>
        <w:pStyle w:val="Heading2"/>
        <w:spacing w:before="7"/>
      </w:pPr>
      <w:bookmarkStart w:name="_TOC_250017" w:id="19"/>
      <w:bookmarkEnd w:id="19"/>
      <w:r>
        <w:rPr/>
        <w:t>第十六条司法鉴定</w:t>
      </w:r>
    </w:p>
    <w:p>
      <w:pPr>
        <w:pStyle w:val="BodyText"/>
        <w:spacing w:before="9"/>
        <w:rPr>
          <w:sz w:val="29"/>
        </w:rPr>
      </w:pPr>
    </w:p>
    <w:p>
      <w:pPr>
        <w:pStyle w:val="BodyText"/>
        <w:spacing w:line="237" w:lineRule="auto" w:before="0"/>
        <w:ind w:left="117" w:right="141" w:firstLine="420"/>
        <w:jc w:val="both"/>
      </w:pPr>
      <w:r>
        <w:rPr>
          <w:spacing w:val="-4"/>
        </w:rPr>
        <w:t>如果被保险人身故，在必要时我们可要求司法鉴定机构对被保险人进行鉴定，以确定被保险人身故的原因。</w:t>
      </w:r>
    </w:p>
    <w:p>
      <w:pPr>
        <w:pStyle w:val="BodyText"/>
        <w:spacing w:before="5"/>
        <w:rPr>
          <w:sz w:val="22"/>
        </w:rPr>
      </w:pPr>
    </w:p>
    <w:p>
      <w:pPr>
        <w:pStyle w:val="Heading1"/>
        <w:tabs>
          <w:tab w:pos="3856" w:val="left" w:leader="none"/>
        </w:tabs>
        <w:ind w:left="1990"/>
      </w:pPr>
      <w:bookmarkStart w:name="_TOC_250016" w:id="20"/>
      <w:bookmarkEnd w:id="20"/>
      <w:r>
        <w:rPr/>
        <w:t>第四部分</w:t>
        <w:tab/>
        <w:t>保险费的交纳</w:t>
      </w:r>
    </w:p>
    <w:p>
      <w:pPr>
        <w:pStyle w:val="BodyText"/>
        <w:rPr>
          <w:rFonts w:ascii="黑体"/>
          <w:sz w:val="35"/>
        </w:rPr>
      </w:pPr>
    </w:p>
    <w:p>
      <w:pPr>
        <w:pStyle w:val="Heading2"/>
        <w:tabs>
          <w:tab w:pos="1557" w:val="left" w:leader="none"/>
        </w:tabs>
      </w:pPr>
      <w:bookmarkStart w:name="_TOC_250015" w:id="21"/>
      <w:bookmarkEnd w:id="21"/>
      <w:r>
        <w:rPr/>
        <w:t>第十七条</w:t>
        <w:tab/>
        <w:t>保险费的交纳</w:t>
      </w:r>
    </w:p>
    <w:p>
      <w:pPr>
        <w:pStyle w:val="BodyText"/>
        <w:spacing w:before="0"/>
        <w:rPr>
          <w:sz w:val="31"/>
        </w:rPr>
      </w:pPr>
    </w:p>
    <w:p>
      <w:pPr>
        <w:pStyle w:val="BodyText"/>
        <w:spacing w:line="273" w:lineRule="auto" w:before="0"/>
        <w:ind w:left="117" w:right="100" w:firstLine="420"/>
        <w:jc w:val="both"/>
      </w:pPr>
      <w:r>
        <w:rPr/>
        <w:t>本合同的交费方式由您与我们约定，并在保险单上载明。如果您选择分期交纳保险费， 在交纳首期保险费以后，您应按照约定在每个保险费到期日向我们交纳续期保险费。</w:t>
      </w:r>
    </w:p>
    <w:p>
      <w:pPr>
        <w:pStyle w:val="BodyText"/>
        <w:spacing w:before="12"/>
        <w:rPr>
          <w:sz w:val="26"/>
        </w:rPr>
      </w:pPr>
    </w:p>
    <w:p>
      <w:pPr>
        <w:pStyle w:val="Heading2"/>
        <w:tabs>
          <w:tab w:pos="1557" w:val="left" w:leader="none"/>
        </w:tabs>
      </w:pPr>
      <w:bookmarkStart w:name="_TOC_250014" w:id="22"/>
      <w:bookmarkEnd w:id="22"/>
      <w:r>
        <w:rPr/>
        <w:t>第十八条</w:t>
        <w:tab/>
        <w:t>宽限期</w:t>
      </w:r>
    </w:p>
    <w:p>
      <w:pPr>
        <w:pStyle w:val="BodyText"/>
        <w:spacing w:before="0"/>
        <w:rPr>
          <w:sz w:val="31"/>
        </w:rPr>
      </w:pPr>
    </w:p>
    <w:p>
      <w:pPr>
        <w:pStyle w:val="BodyText"/>
        <w:spacing w:line="273" w:lineRule="auto" w:before="0"/>
        <w:ind w:left="117" w:right="114" w:firstLine="420"/>
        <w:jc w:val="both"/>
      </w:pPr>
      <w:r>
        <w:rPr>
          <w:spacing w:val="-2"/>
        </w:rPr>
        <w:t>自交纳首期保险费后，每个保险费到期日次日起六十天为交付保险费的宽限期。宽限期</w:t>
      </w:r>
      <w:r>
        <w:rPr>
          <w:spacing w:val="-5"/>
        </w:rPr>
        <w:t>内发生保险事故，我们仍承担保险责任，但我们给付的保险金将扣除您未交纳的保险费。如果您没有选择保险费自动垫交，且在宽限期结束时，仍未交纳保险费，则自宽限期结束的次日起本合同效力中止。合同效力中止期间，我们不承担保险责任。</w:t>
      </w:r>
    </w:p>
    <w:p>
      <w:pPr>
        <w:pStyle w:val="BodyText"/>
        <w:spacing w:line="273" w:lineRule="auto" w:before="7"/>
        <w:ind w:left="117" w:right="114" w:firstLine="420"/>
        <w:jc w:val="both"/>
      </w:pPr>
      <w:r>
        <w:rPr>
          <w:spacing w:val="-2"/>
        </w:rPr>
        <w:t>您可以在宽限期结束前到本公司办理选择保险费自动垫交手续，我们将按【保险费自动垫交】条款处理。</w:t>
      </w:r>
    </w:p>
    <w:p>
      <w:pPr>
        <w:pStyle w:val="BodyText"/>
        <w:spacing w:before="8"/>
      </w:pPr>
    </w:p>
    <w:p>
      <w:pPr>
        <w:pStyle w:val="Heading1"/>
        <w:tabs>
          <w:tab w:pos="3314" w:val="left" w:leader="none"/>
        </w:tabs>
        <w:ind w:left="1448"/>
      </w:pPr>
      <w:bookmarkStart w:name="_TOC_250013" w:id="23"/>
      <w:bookmarkEnd w:id="23"/>
      <w:r>
        <w:rPr/>
        <w:t>第五部分</w:t>
        <w:tab/>
        <w:t>您所拥有的重要权益</w:t>
      </w:r>
    </w:p>
    <w:p>
      <w:pPr>
        <w:pStyle w:val="BodyText"/>
        <w:rPr>
          <w:rFonts w:ascii="黑体"/>
          <w:sz w:val="35"/>
        </w:rPr>
      </w:pPr>
    </w:p>
    <w:p>
      <w:pPr>
        <w:pStyle w:val="Heading2"/>
        <w:tabs>
          <w:tab w:pos="1557" w:val="left" w:leader="none"/>
        </w:tabs>
      </w:pPr>
      <w:bookmarkStart w:name="_TOC_250012" w:id="24"/>
      <w:bookmarkEnd w:id="24"/>
      <w:r>
        <w:rPr/>
        <w:t>第十九条</w:t>
        <w:tab/>
        <w:t>保险费自动垫交</w:t>
      </w:r>
    </w:p>
    <w:p>
      <w:pPr>
        <w:pStyle w:val="BodyText"/>
        <w:spacing w:before="1"/>
        <w:rPr>
          <w:sz w:val="31"/>
        </w:rPr>
      </w:pPr>
    </w:p>
    <w:p>
      <w:pPr>
        <w:pStyle w:val="BodyText"/>
        <w:spacing w:line="264" w:lineRule="auto" w:before="0"/>
        <w:ind w:left="117" w:right="113" w:firstLine="420"/>
        <w:jc w:val="both"/>
      </w:pPr>
      <w:r>
        <w:rPr>
          <w:spacing w:val="-2"/>
        </w:rPr>
        <w:t>如果您选择了保险费自动垫交，且在宽限期结束时您仍未交付保险费，我们将对本合同</w:t>
      </w:r>
      <w:r>
        <w:rPr>
          <w:spacing w:val="-8"/>
        </w:rPr>
        <w:t>及附加合同作保险费自动垫交处理。若当时本合同现金价值净值</w:t>
      </w:r>
      <w:r>
        <w:rPr>
          <w:rFonts w:ascii="Times New Roman" w:eastAsia="Times New Roman"/>
          <w:vertAlign w:val="superscript"/>
        </w:rPr>
        <w:t>3</w:t>
      </w:r>
      <w:r>
        <w:rPr>
          <w:rFonts w:ascii="Times New Roman" w:eastAsia="Times New Roman"/>
          <w:vertAlign w:val="baseline"/>
        </w:rPr>
      </w:r>
      <w:r>
        <w:rPr>
          <w:vertAlign w:val="baseline"/>
        </w:rPr>
        <w:t>与附加合同保险单现金价值净值</w:t>
      </w:r>
      <w:r>
        <w:rPr>
          <w:rFonts w:ascii="Times New Roman" w:eastAsia="Times New Roman"/>
          <w:vertAlign w:val="superscript"/>
        </w:rPr>
        <w:t>4</w:t>
      </w:r>
      <w:r>
        <w:rPr>
          <w:rFonts w:ascii="Times New Roman" w:eastAsia="Times New Roman"/>
          <w:vertAlign w:val="baseline"/>
        </w:rPr>
      </w:r>
      <w:r>
        <w:rPr>
          <w:spacing w:val="-5"/>
          <w:vertAlign w:val="baseline"/>
        </w:rPr>
        <w:t>之和足以垫交全部到期保险费，我们将同时自动垫交本合同及附加合同应交保险费，使</w:t>
      </w:r>
      <w:r>
        <w:rPr>
          <w:spacing w:val="-7"/>
          <w:vertAlign w:val="baseline"/>
        </w:rPr>
        <w:t>本合同及附加合同继续有效。在保险费自动垫交期间，我们将按我们定期公布的保险单借款利率</w:t>
      </w:r>
      <w:r>
        <w:rPr>
          <w:rFonts w:ascii="Times New Roman" w:eastAsia="Times New Roman"/>
          <w:spacing w:val="-7"/>
          <w:vertAlign w:val="superscript"/>
        </w:rPr>
        <w:t>5</w:t>
      </w:r>
      <w:r>
        <w:rPr>
          <w:rFonts w:ascii="Times New Roman" w:eastAsia="Times New Roman"/>
          <w:spacing w:val="-7"/>
          <w:vertAlign w:val="baseline"/>
        </w:rPr>
      </w:r>
      <w:r>
        <w:rPr>
          <w:spacing w:val="-13"/>
          <w:vertAlign w:val="baseline"/>
        </w:rPr>
        <w:t>计算保险费自动垫交的利息。若本合同现金价值净值与附加合同保险单现金价值净值之</w:t>
      </w:r>
      <w:r>
        <w:rPr>
          <w:spacing w:val="-14"/>
          <w:vertAlign w:val="baseline"/>
        </w:rPr>
        <w:t>和不足以垫交全部到期保险费，则按当时本合同现金价值净值与附加合同保险单现金价值净值之和折算可垫交天数，同样进行前述垫交处理。</w:t>
      </w:r>
    </w:p>
    <w:p>
      <w:pPr>
        <w:pStyle w:val="BodyText"/>
        <w:spacing w:line="273" w:lineRule="auto" w:before="15"/>
        <w:ind w:left="117" w:right="115" w:firstLine="420"/>
        <w:jc w:val="both"/>
      </w:pPr>
      <w:r>
        <w:rPr>
          <w:spacing w:val="-1"/>
        </w:rPr>
        <w:t>当本合同现金价值净值与附加合同保险单现金价值净值之和为零时，本合同及附加合同效力同时中止。</w:t>
      </w:r>
    </w:p>
    <w:p>
      <w:pPr>
        <w:pStyle w:val="BodyText"/>
        <w:spacing w:line="271" w:lineRule="auto" w:before="7"/>
        <w:ind w:left="117" w:right="115" w:firstLine="420"/>
        <w:jc w:val="both"/>
      </w:pPr>
      <w:r>
        <w:rPr>
          <w:spacing w:val="-1"/>
        </w:rPr>
        <w:t>您可以在宽限期结束前到本公司办理取消保险费自动垫交手续，则本合同自宽限期结束的次日起效力中止。</w:t>
      </w:r>
    </w:p>
    <w:p>
      <w:pPr>
        <w:pStyle w:val="BodyText"/>
        <w:spacing w:before="2"/>
        <w:rPr>
          <w:sz w:val="9"/>
        </w:rPr>
      </w:pPr>
      <w:r>
        <w:rPr/>
        <w:pict>
          <v:line style="position:absolute;mso-position-horizontal-relative:page;mso-position-vertical-relative:paragraph;z-index:1120;mso-wrap-distance-left:0;mso-wrap-distance-right:0" from="89.879997pt,8.284686pt" to="233.879997pt,8.284686pt" stroked="true" strokeweight=".54pt" strokecolor="#000000">
            <v:stroke dashstyle="solid"/>
            <w10:wrap type="topAndBottom"/>
          </v:line>
        </w:pict>
      </w:r>
    </w:p>
    <w:p>
      <w:pPr>
        <w:spacing w:line="234" w:lineRule="exact" w:before="30"/>
        <w:ind w:left="117" w:right="0" w:firstLine="0"/>
        <w:jc w:val="left"/>
        <w:rPr>
          <w:sz w:val="18"/>
        </w:rPr>
      </w:pPr>
      <w:r>
        <w:rPr>
          <w:rFonts w:ascii="Times New Roman" w:eastAsia="Times New Roman"/>
          <w:position w:val="8"/>
          <w:sz w:val="12"/>
        </w:rPr>
        <w:t>3</w:t>
      </w:r>
      <w:r>
        <w:rPr>
          <w:sz w:val="18"/>
        </w:rPr>
        <w:t>现金价值净值：本合同现金价值扣除保险单借款、垫交保险费及上述款项应付利息后的余额。</w:t>
      </w:r>
    </w:p>
    <w:p>
      <w:pPr>
        <w:spacing w:before="0"/>
        <w:ind w:left="117" w:right="116" w:hanging="1"/>
        <w:jc w:val="left"/>
        <w:rPr>
          <w:sz w:val="18"/>
        </w:rPr>
      </w:pPr>
      <w:r>
        <w:rPr>
          <w:rFonts w:ascii="Times New Roman" w:eastAsia="Times New Roman"/>
          <w:position w:val="8"/>
          <w:sz w:val="12"/>
        </w:rPr>
        <w:t>4 </w:t>
      </w:r>
      <w:r>
        <w:rPr>
          <w:spacing w:val="-4"/>
          <w:sz w:val="18"/>
        </w:rPr>
        <w:t>保险单现金价值净值：是指所有附加合同的保险单现金价值扣除保险单借款、垫交保险费及上述款项应付利息后的余额。</w:t>
      </w:r>
    </w:p>
    <w:p>
      <w:pPr>
        <w:spacing w:line="233" w:lineRule="exact" w:before="1"/>
        <w:ind w:left="117" w:right="0" w:firstLine="0"/>
        <w:jc w:val="left"/>
        <w:rPr>
          <w:sz w:val="18"/>
        </w:rPr>
      </w:pPr>
      <w:r>
        <w:rPr>
          <w:rFonts w:ascii="Times New Roman" w:eastAsia="Times New Roman"/>
          <w:position w:val="8"/>
          <w:sz w:val="12"/>
        </w:rPr>
        <w:t>5  </w:t>
      </w:r>
      <w:r>
        <w:rPr>
          <w:sz w:val="18"/>
        </w:rPr>
        <w:t>保险单借款利率：我们参照同期中国人民银行公布的一年期流动资金贷款法定利率制订，并定期公布。</w:t>
      </w:r>
    </w:p>
    <w:p>
      <w:pPr>
        <w:spacing w:after="0" w:line="233" w:lineRule="exact"/>
        <w:jc w:val="left"/>
        <w:rPr>
          <w:sz w:val="18"/>
        </w:rPr>
        <w:sectPr>
          <w:pgSz w:w="11900" w:h="16840"/>
          <w:pgMar w:header="896" w:footer="1008" w:top="1280" w:bottom="1200" w:left="1680" w:right="1600"/>
        </w:sectPr>
      </w:pPr>
    </w:p>
    <w:p>
      <w:pPr>
        <w:pStyle w:val="BodyText"/>
        <w:spacing w:before="1"/>
        <w:rPr>
          <w:sz w:val="16"/>
        </w:rPr>
      </w:pPr>
    </w:p>
    <w:p>
      <w:pPr>
        <w:pStyle w:val="Heading2"/>
        <w:tabs>
          <w:tab w:pos="1557" w:val="left" w:leader="none"/>
        </w:tabs>
        <w:spacing w:before="7"/>
      </w:pPr>
      <w:bookmarkStart w:name="_TOC_250011" w:id="25"/>
      <w:bookmarkEnd w:id="25"/>
      <w:r>
        <w:rPr/>
        <w:t>第二十条</w:t>
        <w:tab/>
        <w:t>保险单借款</w:t>
      </w:r>
    </w:p>
    <w:p>
      <w:pPr>
        <w:pStyle w:val="BodyText"/>
        <w:spacing w:before="7"/>
        <w:rPr>
          <w:sz w:val="29"/>
        </w:rPr>
      </w:pPr>
    </w:p>
    <w:p>
      <w:pPr>
        <w:pStyle w:val="BodyText"/>
        <w:spacing w:line="264" w:lineRule="auto" w:before="1"/>
        <w:ind w:left="117" w:right="191" w:firstLine="420"/>
        <w:jc w:val="both"/>
      </w:pPr>
      <w:r>
        <w:rPr>
          <w:spacing w:val="-2"/>
        </w:rPr>
        <w:t>在本合同有效期内，您可以书面形式向我们申请保险单借款。累积借款金额最高不得超</w:t>
      </w:r>
      <w:r>
        <w:rPr/>
        <w:t>过本合同当时现金价值净值与附加合同保险单现金价值净值之和的 </w:t>
      </w:r>
      <w:r>
        <w:rPr>
          <w:rFonts w:ascii="Times New Roman" w:eastAsia="Times New Roman"/>
        </w:rPr>
        <w:t>80%</w:t>
      </w:r>
      <w:r>
        <w:rPr/>
        <w:t>。在保险单借款期间，将按我们定期公布的保险单借款利率计算保险单借款利息。</w:t>
      </w:r>
    </w:p>
    <w:p>
      <w:pPr>
        <w:pStyle w:val="BodyText"/>
        <w:spacing w:line="273" w:lineRule="auto" w:before="16"/>
        <w:ind w:left="117" w:right="147" w:firstLine="422"/>
      </w:pPr>
      <w:r>
        <w:rPr/>
        <w:t>请您特别注意：当本合同现金价值净值与附加合同保险单现金价值净值之和为零时，本合同效力中止。</w:t>
      </w:r>
    </w:p>
    <w:p>
      <w:pPr>
        <w:pStyle w:val="BodyText"/>
        <w:spacing w:before="5"/>
        <w:rPr>
          <w:sz w:val="28"/>
        </w:rPr>
      </w:pPr>
    </w:p>
    <w:p>
      <w:pPr>
        <w:pStyle w:val="Heading2"/>
      </w:pPr>
      <w:bookmarkStart w:name="_TOC_250010" w:id="26"/>
      <w:bookmarkEnd w:id="26"/>
      <w:r>
        <w:rPr/>
        <w:t>第二十一条 合同效力的恢复</w:t>
      </w:r>
    </w:p>
    <w:p>
      <w:pPr>
        <w:pStyle w:val="BodyText"/>
        <w:spacing w:before="0"/>
        <w:rPr>
          <w:sz w:val="31"/>
        </w:rPr>
      </w:pPr>
    </w:p>
    <w:p>
      <w:pPr>
        <w:pStyle w:val="BodyText"/>
        <w:spacing w:line="273" w:lineRule="auto" w:before="0"/>
        <w:ind w:left="117" w:right="194" w:firstLine="420"/>
        <w:jc w:val="both"/>
      </w:pPr>
      <w:r>
        <w:rPr>
          <w:spacing w:val="-2"/>
        </w:rPr>
        <w:t>您可自本合同效力中止后两年内，填写复效申请书并按我们要求进行体检或提供被保险</w:t>
      </w:r>
      <w:r>
        <w:rPr>
          <w:spacing w:val="-4"/>
        </w:rPr>
        <w:t>人健康声明书，经我们审核通过，自您补交所欠保险费、借款及利息的次日零时起，本合同效力恢复。</w:t>
      </w:r>
    </w:p>
    <w:p>
      <w:pPr>
        <w:pStyle w:val="BodyText"/>
        <w:spacing w:before="7"/>
        <w:ind w:left="537"/>
      </w:pPr>
      <w:r>
        <w:rPr/>
        <w:t>您与我们在本合同效力中止之日起满两年，仍未达成复效协议的，本合同即自行终止。</w:t>
      </w:r>
    </w:p>
    <w:p>
      <w:pPr>
        <w:pStyle w:val="BodyText"/>
        <w:spacing w:before="2"/>
        <w:rPr>
          <w:sz w:val="29"/>
        </w:rPr>
      </w:pPr>
    </w:p>
    <w:p>
      <w:pPr>
        <w:pStyle w:val="Heading2"/>
      </w:pPr>
      <w:bookmarkStart w:name="_TOC_250009" w:id="27"/>
      <w:bookmarkEnd w:id="27"/>
      <w:r>
        <w:rPr/>
        <w:t>第二十二条 合同内容变更</w:t>
      </w:r>
    </w:p>
    <w:p>
      <w:pPr>
        <w:pStyle w:val="BodyText"/>
        <w:spacing w:before="8"/>
        <w:rPr>
          <w:sz w:val="29"/>
        </w:rPr>
      </w:pPr>
    </w:p>
    <w:p>
      <w:pPr>
        <w:pStyle w:val="BodyText"/>
        <w:spacing w:line="237" w:lineRule="auto" w:before="1"/>
        <w:ind w:left="537" w:right="116"/>
      </w:pPr>
      <w:r>
        <w:rPr>
          <w:spacing w:val="-12"/>
        </w:rPr>
        <w:t>在本合同有效期内，您可以申请变更本合同内容，经我们同意并在本合同上批注后生效。若被保险人身故，则我们不接受本合同任何内容的变更申请。</w:t>
      </w:r>
    </w:p>
    <w:p>
      <w:pPr>
        <w:pStyle w:val="BodyText"/>
        <w:spacing w:before="9"/>
        <w:rPr>
          <w:sz w:val="27"/>
        </w:rPr>
      </w:pPr>
    </w:p>
    <w:p>
      <w:pPr>
        <w:pStyle w:val="Heading2"/>
      </w:pPr>
      <w:bookmarkStart w:name="_TOC_250008" w:id="28"/>
      <w:bookmarkEnd w:id="28"/>
      <w:r>
        <w:rPr/>
        <w:t>第二十三条 合同解除权</w:t>
      </w:r>
    </w:p>
    <w:p>
      <w:pPr>
        <w:pStyle w:val="BodyText"/>
        <w:spacing w:before="9"/>
        <w:rPr>
          <w:sz w:val="29"/>
        </w:rPr>
      </w:pPr>
    </w:p>
    <w:p>
      <w:pPr>
        <w:pStyle w:val="BodyText"/>
        <w:spacing w:line="237" w:lineRule="auto" w:before="0"/>
        <w:ind w:left="117" w:right="116" w:firstLine="420"/>
      </w:pPr>
      <w:r>
        <w:rPr>
          <w:spacing w:val="-11"/>
        </w:rPr>
        <w:t>在本合同有效期内，您可以申请解除本合同。我们收到解除合同申请书时，本合同终止。</w:t>
      </w:r>
      <w:r>
        <w:rPr>
          <w:spacing w:val="-13"/>
        </w:rPr>
        <w:t>为了让您能够更清楚地了解相关的保险条款和内容，以及有更多的考虑时间，我们将您签收本合同之日起十天定义为犹豫期。</w:t>
      </w:r>
    </w:p>
    <w:p>
      <w:pPr>
        <w:pStyle w:val="BodyText"/>
        <w:spacing w:line="237" w:lineRule="auto" w:before="0"/>
        <w:ind w:left="117" w:right="194" w:firstLine="420"/>
      </w:pPr>
      <w:r>
        <w:rPr>
          <w:spacing w:val="-10"/>
        </w:rPr>
        <w:t>一、 您在犹豫期内要求解除本合同的，我们无息退还已收保险费，若被保险人经我们体检，须扣除体检费。</w:t>
      </w:r>
    </w:p>
    <w:p>
      <w:pPr>
        <w:pStyle w:val="BodyText"/>
        <w:spacing w:line="237" w:lineRule="auto" w:before="0"/>
        <w:ind w:left="117" w:right="196" w:firstLine="420"/>
      </w:pPr>
      <w:r>
        <w:rPr>
          <w:spacing w:val="-11"/>
        </w:rPr>
        <w:t>二、 您在犹豫期后要求解除本合同的，我们将于收到本条第三款所列证明材料后三十天内向您退还本合同终止时的现金价值。</w:t>
      </w:r>
    </w:p>
    <w:p>
      <w:pPr>
        <w:pStyle w:val="BodyText"/>
        <w:spacing w:line="271" w:lineRule="exact" w:before="0"/>
        <w:ind w:left="537"/>
      </w:pPr>
      <w:r>
        <w:rPr/>
        <w:t>三、 您要求解除本合同时，应提供下列证明材料：</w:t>
      </w:r>
    </w:p>
    <w:p>
      <w:pPr>
        <w:pStyle w:val="ListParagraph"/>
        <w:numPr>
          <w:ilvl w:val="0"/>
          <w:numId w:val="11"/>
        </w:numPr>
        <w:tabs>
          <w:tab w:pos="957" w:val="left" w:leader="none"/>
          <w:tab w:pos="958" w:val="left" w:leader="none"/>
        </w:tabs>
        <w:spacing w:line="280" w:lineRule="exact" w:before="0" w:after="0"/>
        <w:ind w:left="957" w:right="0" w:hanging="420"/>
        <w:jc w:val="left"/>
        <w:rPr>
          <w:sz w:val="21"/>
        </w:rPr>
      </w:pPr>
      <w:r>
        <w:rPr>
          <w:sz w:val="21"/>
        </w:rPr>
        <w:t>本合同；</w:t>
      </w:r>
    </w:p>
    <w:p>
      <w:pPr>
        <w:pStyle w:val="ListParagraph"/>
        <w:numPr>
          <w:ilvl w:val="0"/>
          <w:numId w:val="11"/>
        </w:numPr>
        <w:tabs>
          <w:tab w:pos="957" w:val="left" w:leader="none"/>
          <w:tab w:pos="958" w:val="left" w:leader="none"/>
        </w:tabs>
        <w:spacing w:line="272" w:lineRule="exact" w:before="0" w:after="0"/>
        <w:ind w:left="957" w:right="0" w:hanging="420"/>
        <w:jc w:val="left"/>
        <w:rPr>
          <w:sz w:val="21"/>
        </w:rPr>
      </w:pPr>
      <w:r>
        <w:rPr>
          <w:sz w:val="21"/>
        </w:rPr>
        <w:t>解除合同申请书；</w:t>
      </w:r>
    </w:p>
    <w:p>
      <w:pPr>
        <w:pStyle w:val="ListParagraph"/>
        <w:numPr>
          <w:ilvl w:val="0"/>
          <w:numId w:val="11"/>
        </w:numPr>
        <w:tabs>
          <w:tab w:pos="957" w:val="left" w:leader="none"/>
          <w:tab w:pos="958" w:val="left" w:leader="none"/>
        </w:tabs>
        <w:spacing w:line="282" w:lineRule="exact" w:before="0" w:after="0"/>
        <w:ind w:left="957" w:right="0" w:hanging="420"/>
        <w:jc w:val="left"/>
        <w:rPr>
          <w:sz w:val="21"/>
        </w:rPr>
      </w:pPr>
      <w:r>
        <w:rPr>
          <w:sz w:val="21"/>
        </w:rPr>
        <w:t>您的身份证明。</w:t>
      </w:r>
    </w:p>
    <w:p>
      <w:pPr>
        <w:pStyle w:val="BodyText"/>
        <w:spacing w:before="2"/>
      </w:pPr>
    </w:p>
    <w:p>
      <w:pPr>
        <w:pStyle w:val="Heading1"/>
        <w:tabs>
          <w:tab w:pos="3495" w:val="left" w:leader="none"/>
        </w:tabs>
        <w:spacing w:before="1"/>
        <w:ind w:left="1629"/>
      </w:pPr>
      <w:bookmarkStart w:name="_TOC_250007" w:id="29"/>
      <w:bookmarkEnd w:id="29"/>
      <w:r>
        <w:rPr/>
        <w:t>第六部分</w:t>
        <w:tab/>
        <w:t>您必须了解的事项</w:t>
      </w:r>
    </w:p>
    <w:p>
      <w:pPr>
        <w:pStyle w:val="BodyText"/>
        <w:rPr>
          <w:rFonts w:ascii="黑体"/>
          <w:sz w:val="35"/>
        </w:rPr>
      </w:pPr>
    </w:p>
    <w:p>
      <w:pPr>
        <w:pStyle w:val="Heading2"/>
        <w:spacing w:before="1"/>
      </w:pPr>
      <w:bookmarkStart w:name="_TOC_250006" w:id="30"/>
      <w:bookmarkEnd w:id="30"/>
      <w:r>
        <w:rPr/>
        <w:t>第二十四条 告知义务</w:t>
      </w:r>
    </w:p>
    <w:p>
      <w:pPr>
        <w:pStyle w:val="BodyText"/>
        <w:spacing w:before="9"/>
        <w:rPr>
          <w:sz w:val="29"/>
        </w:rPr>
      </w:pPr>
    </w:p>
    <w:p>
      <w:pPr>
        <w:pStyle w:val="BodyText"/>
        <w:spacing w:line="237" w:lineRule="auto" w:before="0"/>
        <w:ind w:left="117" w:right="161" w:firstLine="420"/>
      </w:pPr>
      <w:r>
        <w:rPr/>
        <w:t>订立本合同时，我们应当向您说明本合同的条款内容，特别是责任免除条款，并就您和被保险人的有关情况提出书面询问，您或被保险人应当如实告知。</w:t>
      </w:r>
    </w:p>
    <w:p>
      <w:pPr>
        <w:pStyle w:val="BodyText"/>
        <w:spacing w:line="272" w:lineRule="exact" w:before="0"/>
        <w:ind w:left="537"/>
      </w:pPr>
      <w:r>
        <w:rPr/>
        <w:t>订立本合同或您申请复效本合同时，如果您或被保险人故意隐瞒事实，不履行如实告知</w:t>
      </w:r>
    </w:p>
    <w:p>
      <w:pPr>
        <w:spacing w:after="0" w:line="272" w:lineRule="exact"/>
        <w:sectPr>
          <w:pgSz w:w="11900" w:h="16840"/>
          <w:pgMar w:header="896" w:footer="1008" w:top="1280" w:bottom="1200" w:left="1680" w:right="1520"/>
        </w:sectPr>
      </w:pPr>
    </w:p>
    <w:p>
      <w:pPr>
        <w:pStyle w:val="BodyText"/>
        <w:spacing w:line="237" w:lineRule="auto" w:before="116"/>
        <w:ind w:left="117" w:right="240"/>
      </w:pPr>
      <w:r>
        <w:rPr>
          <w:spacing w:val="-6"/>
        </w:rPr>
        <w:t>义务，我们可依法解除本合同。即使本合同解除前已发生保险事故，我们也不承担给付保险金的责任，并不退还已交保险费。</w:t>
      </w:r>
    </w:p>
    <w:p>
      <w:pPr>
        <w:pStyle w:val="BodyText"/>
        <w:spacing w:line="237" w:lineRule="auto" w:before="0"/>
        <w:ind w:left="117" w:right="200" w:firstLine="420"/>
        <w:jc w:val="both"/>
      </w:pPr>
      <w:r>
        <w:rPr/>
        <w:t>订立本合同或您申请复效本合同时，如果您或被保险人因过失未履行如实告知义务，足以影响我们决定是否同意承保或者提高保险费率的，我们可依法解除本合同。即使本合同解除前已发生保险事故，我们也不承担给付保险金的责任，我们将向您无息退还已交保险费。</w:t>
      </w:r>
    </w:p>
    <w:p>
      <w:pPr>
        <w:pStyle w:val="BodyText"/>
        <w:spacing w:before="9"/>
        <w:rPr>
          <w:sz w:val="27"/>
        </w:rPr>
      </w:pPr>
    </w:p>
    <w:p>
      <w:pPr>
        <w:pStyle w:val="Heading2"/>
      </w:pPr>
      <w:bookmarkStart w:name="_TOC_250005" w:id="31"/>
      <w:bookmarkEnd w:id="31"/>
      <w:r>
        <w:rPr/>
        <w:t>第二十五条 年龄计算及错误处理</w:t>
      </w:r>
    </w:p>
    <w:p>
      <w:pPr>
        <w:pStyle w:val="BodyText"/>
        <w:spacing w:before="8"/>
        <w:rPr>
          <w:sz w:val="29"/>
        </w:rPr>
      </w:pPr>
    </w:p>
    <w:p>
      <w:pPr>
        <w:pStyle w:val="BodyText"/>
        <w:spacing w:line="237" w:lineRule="auto" w:before="0"/>
        <w:ind w:left="117" w:right="241" w:firstLine="479"/>
        <w:jc w:val="both"/>
      </w:pPr>
      <w:r>
        <w:rPr>
          <w:spacing w:val="-4"/>
        </w:rPr>
        <w:t>被保险人的投保年龄为以法定证件载明的出生日期为基础计算的周岁年龄。您在申请投保时，应将被保险人的真实年龄在投保书上填明，若发生错误按下列规定办理：</w:t>
      </w:r>
    </w:p>
    <w:p>
      <w:pPr>
        <w:pStyle w:val="BodyText"/>
        <w:spacing w:line="230" w:lineRule="auto" w:before="8"/>
        <w:ind w:left="117" w:right="241" w:firstLine="479"/>
        <w:jc w:val="both"/>
      </w:pPr>
      <w:r>
        <w:rPr>
          <w:spacing w:val="-10"/>
        </w:rPr>
        <w:t>一、如果被保险人的真实投保年龄不符合本合同约定的投保年龄范围，我们可以解除本</w:t>
      </w:r>
      <w:r>
        <w:rPr>
          <w:spacing w:val="-9"/>
        </w:rPr>
        <w:t>合同，并向您无息退还保险费。但自本合同生效日起超过 </w:t>
      </w:r>
      <w:r>
        <w:rPr>
          <w:rFonts w:ascii="Times New Roman" w:eastAsia="Times New Roman"/>
        </w:rPr>
        <w:t>2 </w:t>
      </w:r>
      <w:r>
        <w:rPr>
          <w:spacing w:val="-4"/>
        </w:rPr>
        <w:t>年的，我们不得解除本合同，应依照本条第二、三款办理。</w:t>
      </w:r>
    </w:p>
    <w:p>
      <w:pPr>
        <w:pStyle w:val="BodyText"/>
        <w:spacing w:line="237" w:lineRule="auto" w:before="0"/>
        <w:ind w:left="117" w:right="241" w:firstLine="479"/>
        <w:jc w:val="both"/>
      </w:pPr>
      <w:r>
        <w:rPr>
          <w:spacing w:val="-9"/>
        </w:rPr>
        <w:t>二、您申报的被保险人年龄不真实，致使您实交保险费少于应交保险费的，我们有权审</w:t>
      </w:r>
      <w:r>
        <w:rPr>
          <w:spacing w:val="-11"/>
        </w:rPr>
        <w:t>核更正并要求您补交保险费和利息；若补交保险费和利息前已发生保险事故，我们按照实交保险费与应交保险费的比例给付保险金。</w:t>
      </w:r>
    </w:p>
    <w:p>
      <w:pPr>
        <w:pStyle w:val="BodyText"/>
        <w:spacing w:line="237" w:lineRule="auto" w:before="0"/>
        <w:ind w:left="117" w:right="241" w:firstLine="479"/>
        <w:jc w:val="both"/>
      </w:pPr>
      <w:r>
        <w:rPr>
          <w:spacing w:val="-9"/>
        </w:rPr>
        <w:t>三、您申报的被保险人年龄不真实，致使您实交保险费多于应交保险费的，我们将多收</w:t>
      </w:r>
      <w:r>
        <w:rPr>
          <w:spacing w:val="-1"/>
        </w:rPr>
        <w:t>的保险费无息退还您。</w:t>
      </w:r>
    </w:p>
    <w:p>
      <w:pPr>
        <w:pStyle w:val="BodyText"/>
        <w:spacing w:before="9"/>
        <w:rPr>
          <w:sz w:val="27"/>
        </w:rPr>
      </w:pPr>
    </w:p>
    <w:p>
      <w:pPr>
        <w:pStyle w:val="Heading2"/>
        <w:spacing w:before="1"/>
      </w:pPr>
      <w:bookmarkStart w:name="_TOC_250004" w:id="32"/>
      <w:bookmarkEnd w:id="32"/>
      <w:r>
        <w:rPr/>
        <w:t>第二十六条 住所或通讯地址变更</w:t>
      </w:r>
    </w:p>
    <w:p>
      <w:pPr>
        <w:pStyle w:val="BodyText"/>
        <w:spacing w:before="9"/>
        <w:rPr>
          <w:sz w:val="29"/>
        </w:rPr>
      </w:pPr>
    </w:p>
    <w:p>
      <w:pPr>
        <w:pStyle w:val="BodyText"/>
        <w:spacing w:line="237" w:lineRule="auto" w:before="0"/>
        <w:ind w:left="117" w:right="240" w:firstLine="420"/>
        <w:jc w:val="both"/>
      </w:pPr>
      <w:r>
        <w:rPr>
          <w:spacing w:val="-4"/>
        </w:rPr>
        <w:t>您的住所或通讯地址变更时，应及时通知我们。您未作前述通知的，我们按本合同载明的最后住所或通讯地址发送有关通知，均视为已通知您。</w:t>
      </w:r>
    </w:p>
    <w:p>
      <w:pPr>
        <w:pStyle w:val="BodyText"/>
        <w:spacing w:before="9"/>
        <w:rPr>
          <w:sz w:val="27"/>
        </w:rPr>
      </w:pPr>
    </w:p>
    <w:p>
      <w:pPr>
        <w:pStyle w:val="Heading2"/>
      </w:pPr>
      <w:bookmarkStart w:name="_TOC_250003" w:id="33"/>
      <w:bookmarkEnd w:id="33"/>
      <w:r>
        <w:rPr/>
        <w:t>第二十七条 争议处理</w:t>
      </w:r>
    </w:p>
    <w:p>
      <w:pPr>
        <w:pStyle w:val="BodyText"/>
        <w:spacing w:before="8"/>
        <w:rPr>
          <w:sz w:val="29"/>
        </w:rPr>
      </w:pPr>
    </w:p>
    <w:p>
      <w:pPr>
        <w:pStyle w:val="BodyText"/>
        <w:spacing w:line="237" w:lineRule="auto" w:before="0"/>
        <w:ind w:left="117" w:right="240" w:firstLine="420"/>
        <w:jc w:val="both"/>
      </w:pPr>
      <w:r>
        <w:rPr>
          <w:spacing w:val="-3"/>
        </w:rPr>
        <w:t>本合同履行过程中发生任何争议，双方应首先协商解决。若双方协商无效的，可以依法向人民法院提起诉讼。</w:t>
      </w:r>
    </w:p>
    <w:p>
      <w:pPr>
        <w:pStyle w:val="BodyText"/>
        <w:spacing w:before="5"/>
        <w:rPr>
          <w:sz w:val="22"/>
        </w:rPr>
      </w:pPr>
    </w:p>
    <w:p>
      <w:pPr>
        <w:pStyle w:val="Heading1"/>
        <w:tabs>
          <w:tab w:pos="4217" w:val="left" w:leader="none"/>
        </w:tabs>
        <w:ind w:left="2352"/>
      </w:pPr>
      <w:bookmarkStart w:name="_TOC_250002" w:id="34"/>
      <w:bookmarkEnd w:id="34"/>
      <w:r>
        <w:rPr/>
        <w:t>第七部分</w:t>
        <w:tab/>
        <w:t>其他事项</w:t>
      </w:r>
    </w:p>
    <w:p>
      <w:pPr>
        <w:pStyle w:val="BodyText"/>
        <w:rPr>
          <w:rFonts w:ascii="黑体"/>
          <w:sz w:val="35"/>
        </w:rPr>
      </w:pPr>
    </w:p>
    <w:p>
      <w:pPr>
        <w:pStyle w:val="Heading2"/>
      </w:pPr>
      <w:bookmarkStart w:name="_TOC_250001" w:id="35"/>
      <w:bookmarkEnd w:id="35"/>
      <w:r>
        <w:rPr/>
        <w:t>第二十八条 就医须知</w:t>
      </w:r>
    </w:p>
    <w:p>
      <w:pPr>
        <w:pStyle w:val="BodyText"/>
        <w:spacing w:before="0"/>
        <w:rPr>
          <w:sz w:val="31"/>
        </w:rPr>
      </w:pPr>
    </w:p>
    <w:p>
      <w:pPr>
        <w:pStyle w:val="BodyText"/>
        <w:spacing w:line="273" w:lineRule="auto" w:before="0"/>
        <w:ind w:left="117" w:right="110" w:firstLine="420"/>
      </w:pPr>
      <w:r>
        <w:rPr>
          <w:spacing w:val="-6"/>
        </w:rPr>
        <w:t>被保险人须在定点医疗机构接受治疗，但被保险人紧急抢救不受此限制，在病情稳定后， 应转入定点医疗机构继续治疗。</w:t>
      </w:r>
    </w:p>
    <w:p>
      <w:pPr>
        <w:pStyle w:val="BodyText"/>
        <w:spacing w:before="8"/>
      </w:pPr>
    </w:p>
    <w:p>
      <w:pPr>
        <w:pStyle w:val="Heading1"/>
        <w:tabs>
          <w:tab w:pos="4217" w:val="left" w:leader="none"/>
        </w:tabs>
        <w:ind w:left="2352"/>
      </w:pPr>
      <w:bookmarkStart w:name="_TOC_250000" w:id="36"/>
      <w:bookmarkEnd w:id="36"/>
      <w:r>
        <w:rPr/>
        <w:t>第八部分</w:t>
        <w:tab/>
        <w:t>名词释义</w:t>
      </w:r>
    </w:p>
    <w:p>
      <w:pPr>
        <w:pStyle w:val="BodyText"/>
        <w:spacing w:before="2"/>
        <w:rPr>
          <w:rFonts w:ascii="黑体"/>
          <w:sz w:val="27"/>
        </w:rPr>
      </w:pPr>
    </w:p>
    <w:p>
      <w:pPr>
        <w:pStyle w:val="BodyText"/>
        <w:spacing w:line="273" w:lineRule="auto" w:before="1"/>
        <w:ind w:left="539" w:right="169" w:hanging="423"/>
      </w:pPr>
      <w:r>
        <w:rPr/>
        <w:t>定点医疗机构：我们为被保险人提供多家不同层次的专业医疗机构名单，供被保险人在此范围内选择，定点医疗机构名单请见合同附件。</w:t>
      </w:r>
    </w:p>
    <w:p>
      <w:pPr>
        <w:pStyle w:val="BodyText"/>
        <w:spacing w:line="273" w:lineRule="auto" w:before="8"/>
        <w:ind w:left="537" w:right="3975" w:hanging="420"/>
      </w:pPr>
      <w:r>
        <w:rPr/>
        <w:t>身体高度残疾：指具有下列情况之一项或多项者： 一、 双目永久完全失明的（</w:t>
      </w:r>
      <w:r>
        <w:rPr>
          <w:spacing w:val="-27"/>
        </w:rPr>
        <w:t>注 </w:t>
      </w:r>
      <w:r>
        <w:rPr>
          <w:rFonts w:ascii="Times New Roman" w:eastAsia="Times New Roman"/>
          <w:spacing w:val="-1"/>
        </w:rPr>
        <w:t>1</w:t>
      </w:r>
      <w:r>
        <w:rPr>
          <w:spacing w:val="-105"/>
        </w:rPr>
        <w:t>）</w:t>
      </w:r>
      <w:r>
        <w:rPr/>
        <w:t>；</w:t>
      </w:r>
    </w:p>
    <w:p>
      <w:pPr>
        <w:spacing w:after="0" w:line="273" w:lineRule="auto"/>
        <w:sectPr>
          <w:pgSz w:w="11900" w:h="16840"/>
          <w:pgMar w:header="896" w:footer="1008" w:top="1280" w:bottom="1200" w:left="1680" w:right="1500"/>
        </w:sectPr>
      </w:pPr>
    </w:p>
    <w:p>
      <w:pPr>
        <w:pStyle w:val="BodyText"/>
        <w:spacing w:line="273" w:lineRule="auto" w:before="133"/>
        <w:ind w:left="537" w:right="1550"/>
        <w:jc w:val="both"/>
      </w:pPr>
      <w:r>
        <w:rPr/>
        <w:t>二、 两上肢腕关节以上（远端）或两下肢踝关节以上（远端）缺失的； 三、 一上肢腕关节以上（远端）及一下肢踝关节以上（远端）缺失的； 四、 一目永久完全失明及一上肢腕关节以上（远端）缺失的；</w:t>
      </w:r>
    </w:p>
    <w:p>
      <w:pPr>
        <w:pStyle w:val="BodyText"/>
        <w:spacing w:line="273" w:lineRule="auto" w:before="7"/>
        <w:ind w:left="537" w:right="2390"/>
      </w:pPr>
      <w:r>
        <w:rPr/>
        <w:t>五、 一目永久完全失明及一下肢踝关节以上（远端）缺失的； 六、 四肢关节机能永久完全丧失的（</w:t>
      </w:r>
      <w:r>
        <w:rPr>
          <w:spacing w:val="-27"/>
        </w:rPr>
        <w:t>注 </w:t>
      </w:r>
      <w:r>
        <w:rPr>
          <w:rFonts w:ascii="Times New Roman" w:eastAsia="Times New Roman"/>
          <w:spacing w:val="-1"/>
        </w:rPr>
        <w:t>2</w:t>
      </w:r>
      <w:r>
        <w:rPr/>
        <w:t>、</w:t>
      </w:r>
      <w:r>
        <w:rPr>
          <w:rFonts w:ascii="Times New Roman" w:eastAsia="Times New Roman"/>
          <w:spacing w:val="-1"/>
        </w:rPr>
        <w:t>5</w:t>
      </w:r>
      <w:r>
        <w:rPr>
          <w:spacing w:val="-105"/>
        </w:rPr>
        <w:t>）</w:t>
      </w:r>
      <w:r>
        <w:rPr/>
        <w:t>；</w:t>
      </w:r>
    </w:p>
    <w:p>
      <w:pPr>
        <w:pStyle w:val="BodyText"/>
        <w:spacing w:line="279" w:lineRule="exact" w:before="0"/>
        <w:ind w:left="537"/>
      </w:pPr>
      <w:r>
        <w:rPr/>
        <w:t>七、 咀嚼、吞咽机能永久完全丧失的（</w:t>
      </w:r>
      <w:r>
        <w:rPr>
          <w:spacing w:val="-27"/>
        </w:rPr>
        <w:t>注 </w:t>
      </w:r>
      <w:r>
        <w:rPr>
          <w:rFonts w:ascii="Times New Roman" w:eastAsia="Times New Roman"/>
          <w:spacing w:val="-1"/>
        </w:rPr>
        <w:t>3</w:t>
      </w:r>
      <w:r>
        <w:rPr>
          <w:spacing w:val="0"/>
        </w:rPr>
        <w:t>、</w:t>
      </w:r>
      <w:r>
        <w:rPr>
          <w:rFonts w:ascii="Times New Roman" w:eastAsia="Times New Roman"/>
          <w:spacing w:val="-1"/>
        </w:rPr>
        <w:t>5</w:t>
      </w:r>
      <w:r>
        <w:rPr>
          <w:spacing w:val="-105"/>
        </w:rPr>
        <w:t>）</w:t>
      </w:r>
      <w:r>
        <w:rPr/>
        <w:t>；</w:t>
      </w:r>
    </w:p>
    <w:p>
      <w:pPr>
        <w:pStyle w:val="BodyText"/>
        <w:spacing w:line="273" w:lineRule="auto" w:before="21"/>
        <w:ind w:left="1077" w:right="215" w:hanging="540"/>
      </w:pPr>
      <w:r>
        <w:rPr/>
        <w:t>八、 中枢神经系统机能或胸、腹部脏器机能极度障碍，永久完全丧失基本日常生活能</w:t>
      </w:r>
      <w:r>
        <w:rPr>
          <w:spacing w:val="-53"/>
        </w:rPr>
        <w:t>力。</w:t>
      </w:r>
      <w:r>
        <w:rPr/>
        <w:t>（</w:t>
      </w:r>
      <w:r>
        <w:rPr>
          <w:spacing w:val="-27"/>
        </w:rPr>
        <w:t>注 </w:t>
      </w:r>
      <w:r>
        <w:rPr>
          <w:rFonts w:ascii="Times New Roman" w:eastAsia="Times New Roman"/>
          <w:spacing w:val="-1"/>
        </w:rPr>
        <w:t>4</w:t>
      </w:r>
      <w:r>
        <w:rPr/>
        <w:t>、</w:t>
      </w:r>
      <w:r>
        <w:rPr>
          <w:rFonts w:ascii="Times New Roman" w:eastAsia="Times New Roman"/>
          <w:spacing w:val="-1"/>
        </w:rPr>
        <w:t>5</w:t>
      </w:r>
      <w:r>
        <w:rPr>
          <w:spacing w:val="-105"/>
        </w:rPr>
        <w:t>）</w:t>
      </w:r>
      <w:r>
        <w:rPr/>
        <w:t>。</w:t>
      </w:r>
    </w:p>
    <w:p>
      <w:pPr>
        <w:pStyle w:val="BodyText"/>
        <w:spacing w:line="249" w:lineRule="auto" w:before="0"/>
        <w:ind w:left="1108" w:right="214" w:hanging="421"/>
        <w:jc w:val="both"/>
      </w:pPr>
      <w:r>
        <w:rPr>
          <w:spacing w:val="5"/>
        </w:rPr>
        <w:t>注 </w:t>
      </w:r>
      <w:r>
        <w:rPr>
          <w:rFonts w:ascii="Courier New" w:eastAsia="Courier New"/>
        </w:rPr>
        <w:t>1</w:t>
      </w:r>
      <w:r>
        <w:rPr/>
        <w:t>：失明包括眼球缺失或摘除，或不能辨别明暗，或仅能辨别眼前手动者，最佳矫</w:t>
      </w:r>
      <w:r>
        <w:rPr>
          <w:spacing w:val="-3"/>
        </w:rPr>
        <w:t>正视力低于国际标准视力表 </w:t>
      </w:r>
      <w:r>
        <w:rPr>
          <w:rFonts w:ascii="Times New Roman" w:eastAsia="Times New Roman"/>
        </w:rPr>
        <w:t>0.02</w:t>
      </w:r>
      <w:r>
        <w:rPr>
          <w:spacing w:val="-5"/>
        </w:rPr>
        <w:t>，或视野半径小于 </w:t>
      </w:r>
      <w:r>
        <w:rPr>
          <w:rFonts w:ascii="Times New Roman" w:eastAsia="Times New Roman"/>
        </w:rPr>
        <w:t>5 </w:t>
      </w:r>
      <w:r>
        <w:rPr/>
        <w:t>度，并由专科医生出具医疗诊断证明。</w:t>
      </w:r>
    </w:p>
    <w:p>
      <w:pPr>
        <w:pStyle w:val="BodyText"/>
        <w:spacing w:before="40"/>
        <w:ind w:left="688"/>
      </w:pPr>
      <w:r>
        <w:rPr/>
        <w:t>注 </w:t>
      </w:r>
      <w:r>
        <w:rPr>
          <w:rFonts w:ascii="Courier New" w:eastAsia="Courier New"/>
        </w:rPr>
        <w:t>2</w:t>
      </w:r>
      <w:r>
        <w:rPr/>
        <w:t>：关节机能的丧失是指关节永久完全僵硬、麻痹或关节不能随意识活动。</w:t>
      </w:r>
    </w:p>
    <w:p>
      <w:pPr>
        <w:pStyle w:val="BodyText"/>
        <w:spacing w:line="242" w:lineRule="auto"/>
        <w:ind w:left="1108" w:right="214" w:hanging="421"/>
      </w:pPr>
      <w:r>
        <w:rPr/>
        <w:t>注 </w:t>
      </w:r>
      <w:r>
        <w:rPr>
          <w:rFonts w:ascii="Courier New" w:eastAsia="Courier New"/>
        </w:rPr>
        <w:t>3</w:t>
      </w:r>
      <w:r>
        <w:rPr/>
        <w:t>：咀嚼、吞咽机能的丧失是指由于牙齿以外的原因引起的器质或功能障碍，以致不能作咀嚼、吞咽运动，除流质食物外不能摄取或吞咽的状态。</w:t>
      </w:r>
    </w:p>
    <w:p>
      <w:pPr>
        <w:pStyle w:val="BodyText"/>
        <w:spacing w:line="242" w:lineRule="auto" w:before="35"/>
        <w:ind w:left="1108" w:right="109" w:hanging="420"/>
      </w:pPr>
      <w:r>
        <w:rPr>
          <w:spacing w:val="-10"/>
        </w:rPr>
        <w:t>注 </w:t>
      </w:r>
      <w:r>
        <w:rPr>
          <w:rFonts w:ascii="Courier New" w:eastAsia="Courier New"/>
          <w:spacing w:val="-7"/>
        </w:rPr>
        <w:t>4</w:t>
      </w:r>
      <w:r>
        <w:rPr>
          <w:spacing w:val="-7"/>
        </w:rPr>
        <w:t>：基本日常生活能力的丧失是指食物摄取、大小便始末、穿脱衣服、起居、步行、入浴等，皆不能自己为之，需要他人帮助。</w:t>
      </w:r>
    </w:p>
    <w:p>
      <w:pPr>
        <w:pStyle w:val="BodyText"/>
        <w:spacing w:line="242" w:lineRule="auto" w:before="35"/>
        <w:ind w:left="1108" w:right="214" w:hanging="421"/>
      </w:pPr>
      <w:r>
        <w:rPr/>
        <w:t>注 </w:t>
      </w:r>
      <w:r>
        <w:rPr>
          <w:rFonts w:ascii="Courier New" w:eastAsia="Courier New"/>
        </w:rPr>
        <w:t>5</w:t>
      </w:r>
      <w:r>
        <w:rPr/>
        <w:t>：永久完全丧失是指自以上情况发生之日起经过一百八十天的治疗后，机能仍然完全丧失，但眼球摘除等明显无法恢复之情况，不在此限。</w:t>
      </w:r>
    </w:p>
    <w:p>
      <w:pPr>
        <w:pStyle w:val="BodyText"/>
        <w:spacing w:line="256" w:lineRule="auto" w:before="35"/>
        <w:ind w:left="541" w:right="213" w:hanging="422"/>
        <w:jc w:val="both"/>
      </w:pPr>
      <w:r>
        <w:rPr>
          <w:spacing w:val="-6"/>
        </w:rPr>
        <w:t>专科医生：专科医生应当同时满足以下四项资格条件：</w:t>
      </w:r>
      <w:r>
        <w:rPr/>
        <w:t>（</w:t>
      </w:r>
      <w:r>
        <w:rPr>
          <w:rFonts w:ascii="Times New Roman" w:eastAsia="Times New Roman"/>
          <w:spacing w:val="-1"/>
        </w:rPr>
        <w:t>1</w:t>
      </w:r>
      <w:r>
        <w:rPr>
          <w:spacing w:val="-5"/>
        </w:rPr>
        <w:t>）</w:t>
      </w:r>
      <w:r>
        <w:rPr>
          <w:spacing w:val="-1"/>
        </w:rPr>
        <w:t>具有有效的中华人民共和国《医</w:t>
      </w:r>
      <w:r>
        <w:rPr>
          <w:spacing w:val="-32"/>
        </w:rPr>
        <w:t>师资格证书》；</w:t>
      </w:r>
      <w:r>
        <w:rPr/>
        <w:t>（</w:t>
      </w:r>
      <w:r>
        <w:rPr>
          <w:rFonts w:ascii="Times New Roman" w:eastAsia="Times New Roman"/>
          <w:spacing w:val="-1"/>
        </w:rPr>
        <w:t>2</w:t>
      </w:r>
      <w:r>
        <w:rPr>
          <w:spacing w:val="-5"/>
        </w:rPr>
        <w:t>）</w:t>
      </w:r>
      <w:r>
        <w:rPr>
          <w:spacing w:val="-7"/>
        </w:rPr>
        <w:t>具有有效的中华人民共和国《医师执业证书》，并按期到相关部门登</w:t>
      </w:r>
      <w:r>
        <w:rPr>
          <w:spacing w:val="-33"/>
        </w:rPr>
        <w:t>记注册；</w:t>
      </w:r>
      <w:r>
        <w:rPr/>
        <w:t>（</w:t>
      </w:r>
      <w:r>
        <w:rPr>
          <w:rFonts w:ascii="Times New Roman" w:eastAsia="Times New Roman"/>
          <w:spacing w:val="-1"/>
        </w:rPr>
        <w:t>3</w:t>
      </w:r>
      <w:r>
        <w:rPr>
          <w:spacing w:val="-7"/>
        </w:rPr>
        <w:t>）</w:t>
      </w:r>
      <w:r>
        <w:rPr>
          <w:spacing w:val="-1"/>
        </w:rPr>
        <w:t>具有有效的中华人民共和国主治医师或主治医师以上职称的《医师职称证</w:t>
      </w:r>
      <w:r>
        <w:rPr>
          <w:spacing w:val="-71"/>
        </w:rPr>
        <w:t>书》；</w:t>
      </w:r>
      <w:r>
        <w:rPr/>
        <w:t>（</w:t>
      </w:r>
      <w:r>
        <w:rPr>
          <w:rFonts w:ascii="Times New Roman" w:eastAsia="Times New Roman"/>
          <w:spacing w:val="-1"/>
        </w:rPr>
        <w:t>4</w:t>
      </w:r>
      <w:r>
        <w:rPr/>
        <w:t>）</w:t>
      </w:r>
      <w:r>
        <w:rPr>
          <w:spacing w:val="-1"/>
        </w:rPr>
        <w:t>在二级或二级以上医院的相应科室从事临床工作三年以上。</w:t>
      </w:r>
    </w:p>
    <w:p>
      <w:pPr>
        <w:pStyle w:val="BodyText"/>
        <w:spacing w:before="5"/>
        <w:ind w:left="117"/>
      </w:pPr>
      <w:r>
        <w:rPr/>
        <w:t>重大疾病：</w:t>
      </w:r>
    </w:p>
    <w:p>
      <w:pPr>
        <w:pStyle w:val="BodyText"/>
        <w:spacing w:line="273" w:lineRule="auto" w:before="37"/>
        <w:ind w:left="957" w:right="211" w:hanging="2"/>
      </w:pPr>
      <w:r>
        <w:rPr/>
        <w:t>被保险人发生符合以下疾病定义所述条件的疾病，应当由专科医生明确诊断。  </w:t>
      </w:r>
      <w:r>
        <w:rPr>
          <w:spacing w:val="-4"/>
        </w:rPr>
        <w:t>根据中国保险行业协会制定的《重大疾病保险的疾病定义使用规范》，本合同的重</w:t>
      </w:r>
    </w:p>
    <w:p>
      <w:pPr>
        <w:pStyle w:val="BodyText"/>
        <w:spacing w:line="273" w:lineRule="auto" w:before="7"/>
        <w:ind w:left="537" w:right="216"/>
      </w:pPr>
      <w:r>
        <w:rPr>
          <w:spacing w:val="-13"/>
        </w:rPr>
        <w:t>大疾病分为两种类型：《重大疾病保险的疾病定义使用规范》范围以内的疾病种类；《重大疾病保险的疾病定义使用规范》范围以外的疾病种类。</w:t>
      </w:r>
    </w:p>
    <w:p>
      <w:pPr>
        <w:pStyle w:val="BodyText"/>
        <w:spacing w:before="5"/>
        <w:rPr>
          <w:sz w:val="24"/>
        </w:rPr>
      </w:pPr>
    </w:p>
    <w:p>
      <w:pPr>
        <w:pStyle w:val="BodyText"/>
        <w:spacing w:before="0"/>
        <w:ind w:left="477"/>
      </w:pPr>
      <w:r>
        <w:rPr/>
        <w:t>一、《重大疾病保险的疾病定义使用规范》范围以内的疾病种类：</w:t>
      </w:r>
    </w:p>
    <w:p>
      <w:pPr>
        <w:pStyle w:val="BodyText"/>
        <w:tabs>
          <w:tab w:pos="1063" w:val="left" w:leader="none"/>
        </w:tabs>
        <w:spacing w:before="37"/>
        <w:ind w:left="477"/>
      </w:pPr>
      <w:r>
        <w:rPr>
          <w:rFonts w:ascii="Courier New" w:eastAsia="Courier New"/>
        </w:rPr>
        <w:t>1</w:t>
      </w:r>
      <w:r>
        <w:rPr/>
        <w:t>、</w:t>
        <w:tab/>
        <w:t>恶性肿瘤：</w:t>
      </w:r>
    </w:p>
    <w:p>
      <w:pPr>
        <w:pStyle w:val="BodyText"/>
        <w:spacing w:line="273" w:lineRule="auto"/>
        <w:ind w:left="476" w:right="157" w:firstLine="420"/>
        <w:jc w:val="both"/>
      </w:pPr>
      <w:r>
        <w:rPr/>
        <w:t>指恶性细胞不受控制的进行性增长和扩散，浸润和破坏周围正常组织，可以经血管淋巴管和体腔扩散转移到身体其它部位的疾病。经病理学检查结果明确诊断，临床诊断</w:t>
      </w:r>
      <w:r>
        <w:rPr>
          <w:w w:val="95"/>
        </w:rPr>
        <w:t>属于世界卫生组织《疾病和有关健康问题的国际统计分类》（</w:t>
      </w:r>
      <w:r>
        <w:rPr>
          <w:rFonts w:ascii="Courier New" w:eastAsia="Courier New"/>
          <w:w w:val="95"/>
        </w:rPr>
        <w:t>ICD-10</w:t>
      </w:r>
      <w:r>
        <w:rPr>
          <w:w w:val="95"/>
        </w:rPr>
        <w:t>）的恶性肿瘤范畴。</w:t>
      </w:r>
    </w:p>
    <w:p>
      <w:pPr>
        <w:pStyle w:val="BodyText"/>
        <w:spacing w:line="244" w:lineRule="exact" w:before="0"/>
        <w:ind w:left="896"/>
      </w:pPr>
      <w:r>
        <w:rPr/>
        <w:t>下列疾病不在保障范围内：</w:t>
      </w:r>
    </w:p>
    <w:p>
      <w:pPr>
        <w:pStyle w:val="BodyText"/>
        <w:spacing w:before="37"/>
        <w:ind w:left="837"/>
      </w:pPr>
      <w:r>
        <w:rPr>
          <w:w w:val="95"/>
        </w:rPr>
        <w:t>（</w:t>
      </w:r>
      <w:r>
        <w:rPr>
          <w:rFonts w:ascii="Courier New" w:eastAsia="Courier New"/>
          <w:w w:val="95"/>
        </w:rPr>
        <w:t>1</w:t>
      </w:r>
      <w:r>
        <w:rPr>
          <w:w w:val="95"/>
        </w:rPr>
        <w:t>）原位癌；</w:t>
      </w:r>
    </w:p>
    <w:p>
      <w:pPr>
        <w:pStyle w:val="BodyText"/>
        <w:ind w:left="837"/>
      </w:pPr>
      <w:r>
        <w:rPr>
          <w:w w:val="95"/>
        </w:rPr>
        <w:t>（</w:t>
      </w:r>
      <w:r>
        <w:rPr>
          <w:rFonts w:ascii="Courier New" w:eastAsia="Courier New"/>
          <w:w w:val="95"/>
        </w:rPr>
        <w:t>2</w:t>
      </w:r>
      <w:r>
        <w:rPr>
          <w:w w:val="95"/>
        </w:rPr>
        <w:t>）相当于 </w:t>
      </w:r>
      <w:r>
        <w:rPr>
          <w:rFonts w:ascii="Courier New" w:eastAsia="Courier New"/>
          <w:w w:val="95"/>
        </w:rPr>
        <w:t>Binet </w:t>
      </w:r>
      <w:r>
        <w:rPr>
          <w:w w:val="95"/>
        </w:rPr>
        <w:t>分期方案 </w:t>
      </w:r>
      <w:r>
        <w:rPr>
          <w:rFonts w:ascii="Courier New" w:eastAsia="Courier New"/>
          <w:w w:val="95"/>
        </w:rPr>
        <w:t>A </w:t>
      </w:r>
      <w:r>
        <w:rPr>
          <w:w w:val="95"/>
        </w:rPr>
        <w:t>期程度的慢性淋巴细胞白血病；</w:t>
      </w:r>
    </w:p>
    <w:p>
      <w:pPr>
        <w:pStyle w:val="BodyText"/>
        <w:ind w:left="837"/>
      </w:pPr>
      <w:r>
        <w:rPr>
          <w:spacing w:val="3"/>
          <w:w w:val="95"/>
        </w:rPr>
        <w:t>（</w:t>
      </w:r>
      <w:r>
        <w:rPr>
          <w:rFonts w:ascii="Courier New" w:eastAsia="Courier New"/>
          <w:spacing w:val="3"/>
          <w:w w:val="95"/>
        </w:rPr>
        <w:t>3</w:t>
      </w:r>
      <w:r>
        <w:rPr>
          <w:spacing w:val="3"/>
          <w:w w:val="95"/>
        </w:rPr>
        <w:t>）</w:t>
      </w:r>
      <w:r>
        <w:rPr>
          <w:spacing w:val="-10"/>
          <w:w w:val="95"/>
        </w:rPr>
        <w:t>相当于 </w:t>
      </w:r>
      <w:r>
        <w:rPr>
          <w:rFonts w:ascii="Courier New" w:eastAsia="Courier New"/>
          <w:w w:val="95"/>
        </w:rPr>
        <w:t>Ann Arbor</w:t>
      </w:r>
      <w:r>
        <w:rPr>
          <w:rFonts w:ascii="Courier New" w:eastAsia="Courier New"/>
          <w:spacing w:val="-60"/>
          <w:w w:val="95"/>
        </w:rPr>
        <w:t> </w:t>
      </w:r>
      <w:r>
        <w:rPr>
          <w:spacing w:val="-8"/>
          <w:w w:val="95"/>
        </w:rPr>
        <w:t>分期方案 </w:t>
      </w:r>
      <w:r>
        <w:rPr>
          <w:rFonts w:ascii="Courier New" w:eastAsia="Courier New"/>
          <w:w w:val="95"/>
        </w:rPr>
        <w:t>I</w:t>
      </w:r>
      <w:r>
        <w:rPr>
          <w:rFonts w:ascii="Courier New" w:eastAsia="Courier New"/>
          <w:spacing w:val="-60"/>
          <w:w w:val="95"/>
        </w:rPr>
        <w:t> </w:t>
      </w:r>
      <w:r>
        <w:rPr>
          <w:w w:val="95"/>
        </w:rPr>
        <w:t>期程度的何杰金氏病；</w:t>
      </w:r>
    </w:p>
    <w:p>
      <w:pPr>
        <w:pStyle w:val="BodyText"/>
        <w:ind w:left="837"/>
      </w:pPr>
      <w:r>
        <w:rPr/>
        <w:t>（</w:t>
      </w:r>
      <w:r>
        <w:rPr>
          <w:rFonts w:ascii="Courier New" w:eastAsia="Courier New"/>
          <w:spacing w:val="-1"/>
          <w:w w:val="83"/>
        </w:rPr>
        <w:t>4</w:t>
      </w:r>
      <w:r>
        <w:rPr>
          <w:spacing w:val="15"/>
        </w:rPr>
        <w:t>）</w:t>
      </w:r>
      <w:r>
        <w:rPr/>
        <w:t>皮肤癌（不包括恶性黑色素瘤及已发生转移的皮肤癌</w:t>
      </w:r>
      <w:r>
        <w:rPr>
          <w:spacing w:val="-105"/>
        </w:rPr>
        <w:t>）</w:t>
      </w:r>
      <w:r>
        <w:rPr/>
        <w:t>；</w:t>
      </w:r>
    </w:p>
    <w:p>
      <w:pPr>
        <w:pStyle w:val="BodyText"/>
        <w:ind w:left="837"/>
      </w:pPr>
      <w:r>
        <w:rPr>
          <w:w w:val="95"/>
          <w:position w:val="1"/>
        </w:rPr>
        <w:t>（</w:t>
      </w:r>
      <w:r>
        <w:rPr>
          <w:rFonts w:ascii="Courier New" w:eastAsia="Courier New"/>
          <w:w w:val="95"/>
          <w:position w:val="1"/>
        </w:rPr>
        <w:t>5</w:t>
      </w:r>
      <w:r>
        <w:rPr>
          <w:w w:val="95"/>
          <w:position w:val="1"/>
        </w:rPr>
        <w:t>）</w:t>
      </w:r>
      <w:r>
        <w:rPr>
          <w:rFonts w:ascii="Courier New" w:eastAsia="Courier New"/>
          <w:w w:val="95"/>
          <w:position w:val="1"/>
        </w:rPr>
        <w:t>TNM </w:t>
      </w:r>
      <w:r>
        <w:rPr>
          <w:w w:val="95"/>
          <w:position w:val="1"/>
        </w:rPr>
        <w:t>分期为 </w:t>
      </w:r>
      <w:r>
        <w:rPr>
          <w:rFonts w:ascii="Courier New" w:eastAsia="Courier New"/>
          <w:w w:val="95"/>
          <w:position w:val="1"/>
        </w:rPr>
        <w:t>T</w:t>
      </w:r>
      <w:r>
        <w:rPr>
          <w:rFonts w:ascii="Courier New" w:eastAsia="Courier New"/>
          <w:w w:val="95"/>
          <w:sz w:val="11"/>
        </w:rPr>
        <w:t>1</w:t>
      </w:r>
      <w:r>
        <w:rPr>
          <w:rFonts w:ascii="Courier New" w:eastAsia="Courier New"/>
          <w:w w:val="95"/>
          <w:position w:val="1"/>
        </w:rPr>
        <w:t>N</w:t>
      </w:r>
      <w:r>
        <w:rPr>
          <w:rFonts w:ascii="Courier New" w:eastAsia="Courier New"/>
          <w:w w:val="95"/>
          <w:sz w:val="11"/>
        </w:rPr>
        <w:t>0</w:t>
      </w:r>
      <w:r>
        <w:rPr>
          <w:rFonts w:ascii="Courier New" w:eastAsia="Courier New"/>
          <w:w w:val="95"/>
          <w:position w:val="1"/>
        </w:rPr>
        <w:t>M</w:t>
      </w:r>
      <w:r>
        <w:rPr>
          <w:rFonts w:ascii="Courier New" w:eastAsia="Courier New"/>
          <w:w w:val="95"/>
          <w:sz w:val="11"/>
        </w:rPr>
        <w:t>0 </w:t>
      </w:r>
      <w:r>
        <w:rPr>
          <w:w w:val="95"/>
          <w:position w:val="1"/>
        </w:rPr>
        <w:t>期或更轻分期的前列腺癌；</w:t>
      </w:r>
    </w:p>
    <w:p>
      <w:pPr>
        <w:pStyle w:val="BodyText"/>
        <w:ind w:left="837"/>
      </w:pPr>
      <w:r>
        <w:rPr>
          <w:w w:val="95"/>
        </w:rPr>
        <w:t>（</w:t>
      </w:r>
      <w:r>
        <w:rPr>
          <w:rFonts w:ascii="Courier New" w:eastAsia="Courier New"/>
          <w:w w:val="95"/>
        </w:rPr>
        <w:t>6</w:t>
      </w:r>
      <w:r>
        <w:rPr>
          <w:w w:val="95"/>
        </w:rPr>
        <w:t>）感染艾滋病病毒或患艾滋病期间所患恶性肿瘤。</w:t>
      </w:r>
    </w:p>
    <w:p>
      <w:pPr>
        <w:pStyle w:val="BodyText"/>
        <w:ind w:left="477"/>
      </w:pPr>
      <w:r>
        <w:rPr>
          <w:rFonts w:ascii="Courier New" w:eastAsia="Courier New"/>
        </w:rPr>
        <w:t>2</w:t>
      </w:r>
      <w:r>
        <w:rPr/>
        <w:t>、 急性心肌梗塞：</w:t>
      </w:r>
    </w:p>
    <w:p>
      <w:pPr>
        <w:pStyle w:val="BodyText"/>
        <w:spacing w:line="273" w:lineRule="auto"/>
        <w:ind w:left="476" w:right="216" w:firstLine="478"/>
        <w:jc w:val="both"/>
      </w:pPr>
      <w:r>
        <w:rPr>
          <w:spacing w:val="-1"/>
        </w:rPr>
        <w:t>指因冠状动脉阻塞导致的相应区域供血不足造成部分心肌坏死。须满足下列至少三项条件：</w:t>
      </w:r>
    </w:p>
    <w:p>
      <w:pPr>
        <w:spacing w:after="0" w:line="273" w:lineRule="auto"/>
        <w:jc w:val="both"/>
        <w:sectPr>
          <w:pgSz w:w="11900" w:h="16840"/>
          <w:pgMar w:header="896" w:footer="1008" w:top="1280" w:bottom="1200" w:left="1680" w:right="1500"/>
        </w:sectPr>
      </w:pPr>
    </w:p>
    <w:p>
      <w:pPr>
        <w:pStyle w:val="BodyText"/>
        <w:spacing w:before="133"/>
        <w:ind w:left="835"/>
      </w:pPr>
      <w:r>
        <w:rPr>
          <w:w w:val="95"/>
        </w:rPr>
        <w:t>（</w:t>
      </w:r>
      <w:r>
        <w:rPr>
          <w:rFonts w:ascii="Courier New" w:eastAsia="Courier New"/>
          <w:w w:val="95"/>
        </w:rPr>
        <w:t>1</w:t>
      </w:r>
      <w:r>
        <w:rPr>
          <w:w w:val="95"/>
        </w:rPr>
        <w:t>）典型临床表现，例如急性胸痛等；</w:t>
      </w:r>
    </w:p>
    <w:p>
      <w:pPr>
        <w:pStyle w:val="BodyText"/>
        <w:ind w:left="835"/>
      </w:pPr>
      <w:r>
        <w:rPr>
          <w:w w:val="95"/>
        </w:rPr>
        <w:t>（</w:t>
      </w:r>
      <w:r>
        <w:rPr>
          <w:rFonts w:ascii="Courier New" w:eastAsia="Courier New"/>
          <w:w w:val="95"/>
        </w:rPr>
        <w:t>2</w:t>
      </w:r>
      <w:r>
        <w:rPr>
          <w:w w:val="95"/>
        </w:rPr>
        <w:t>）新近的心电图改变提示急性心肌梗塞；</w:t>
      </w:r>
    </w:p>
    <w:p>
      <w:pPr>
        <w:pStyle w:val="BodyText"/>
        <w:ind w:left="835"/>
      </w:pPr>
      <w:r>
        <w:rPr>
          <w:w w:val="95"/>
        </w:rPr>
        <w:t>（</w:t>
      </w:r>
      <w:r>
        <w:rPr>
          <w:rFonts w:ascii="Courier New" w:eastAsia="Courier New"/>
          <w:w w:val="95"/>
        </w:rPr>
        <w:t>3</w:t>
      </w:r>
      <w:r>
        <w:rPr>
          <w:w w:val="95"/>
        </w:rPr>
        <w:t>）心肌酶或肌钙蛋白有诊断意义的升高，或呈符合急性心肌梗塞的动态性变化；</w:t>
      </w:r>
    </w:p>
    <w:p>
      <w:pPr>
        <w:pStyle w:val="BodyText"/>
        <w:ind w:left="835"/>
      </w:pPr>
      <w:r>
        <w:rPr>
          <w:w w:val="95"/>
        </w:rPr>
        <w:t>（</w:t>
      </w:r>
      <w:r>
        <w:rPr>
          <w:rFonts w:ascii="Courier New" w:eastAsia="Courier New"/>
          <w:w w:val="95"/>
        </w:rPr>
        <w:t>4</w:t>
      </w:r>
      <w:r>
        <w:rPr>
          <w:w w:val="95"/>
        </w:rPr>
        <w:t>）发病 </w:t>
      </w:r>
      <w:r>
        <w:rPr>
          <w:rFonts w:ascii="Courier New" w:eastAsia="Courier New"/>
          <w:w w:val="95"/>
        </w:rPr>
        <w:t>90 </w:t>
      </w:r>
      <w:r>
        <w:rPr>
          <w:w w:val="95"/>
        </w:rPr>
        <w:t>天后，经检查证实左心室功能降低，如左心室射血分数低于 </w:t>
      </w:r>
      <w:r>
        <w:rPr>
          <w:rFonts w:ascii="Courier New" w:eastAsia="Courier New"/>
          <w:w w:val="95"/>
        </w:rPr>
        <w:t>50%</w:t>
      </w:r>
      <w:r>
        <w:rPr>
          <w:w w:val="95"/>
        </w:rPr>
        <w:t>。</w:t>
      </w:r>
    </w:p>
    <w:p>
      <w:pPr>
        <w:pStyle w:val="BodyText"/>
        <w:ind w:left="477"/>
      </w:pPr>
      <w:r>
        <w:rPr>
          <w:rFonts w:ascii="Courier New" w:eastAsia="Courier New"/>
        </w:rPr>
        <w:t>3</w:t>
      </w:r>
      <w:r>
        <w:rPr/>
        <w:t>、 脑中风后遗症：</w:t>
      </w:r>
    </w:p>
    <w:p>
      <w:pPr>
        <w:pStyle w:val="BodyText"/>
        <w:spacing w:line="256" w:lineRule="auto"/>
        <w:ind w:left="476" w:right="214" w:firstLine="478"/>
        <w:jc w:val="both"/>
      </w:pPr>
      <w:r>
        <w:rPr>
          <w:spacing w:val="-2"/>
        </w:rPr>
        <w:t>指因脑血管的突发病变引起脑血管出血、栓塞或梗塞，并导致神经系统永久性的功</w:t>
      </w:r>
      <w:r>
        <w:rPr>
          <w:spacing w:val="-5"/>
        </w:rPr>
        <w:t>能障碍。神经系统永久性的功能障碍，指疾病确诊 </w:t>
      </w:r>
      <w:r>
        <w:rPr>
          <w:rFonts w:ascii="Courier New" w:eastAsia="Courier New"/>
        </w:rPr>
        <w:t>180</w:t>
      </w:r>
      <w:r>
        <w:rPr>
          <w:rFonts w:ascii="Courier New" w:eastAsia="Courier New"/>
          <w:spacing w:val="-83"/>
        </w:rPr>
        <w:t> </w:t>
      </w:r>
      <w:r>
        <w:rPr/>
        <w:t>天后，仍遗留下列一种或一种以上障碍：</w:t>
      </w:r>
    </w:p>
    <w:p>
      <w:pPr>
        <w:pStyle w:val="BodyText"/>
        <w:spacing w:before="22"/>
        <w:ind w:left="835"/>
      </w:pPr>
      <w:r>
        <w:rPr>
          <w:w w:val="95"/>
        </w:rPr>
        <w:t>（</w:t>
      </w:r>
      <w:r>
        <w:rPr>
          <w:rFonts w:ascii="Courier New" w:eastAsia="Courier New"/>
          <w:w w:val="95"/>
        </w:rPr>
        <w:t>1</w:t>
      </w:r>
      <w:r>
        <w:rPr>
          <w:w w:val="95"/>
        </w:rPr>
        <w:t>）一肢或一肢以上肢体机能完全丧失；</w:t>
      </w:r>
    </w:p>
    <w:p>
      <w:pPr>
        <w:pStyle w:val="BodyText"/>
        <w:ind w:left="835"/>
      </w:pPr>
      <w:r>
        <w:rPr>
          <w:w w:val="95"/>
        </w:rPr>
        <w:t>（</w:t>
      </w:r>
      <w:r>
        <w:rPr>
          <w:rFonts w:ascii="Courier New" w:eastAsia="Courier New"/>
          <w:w w:val="95"/>
        </w:rPr>
        <w:t>2</w:t>
      </w:r>
      <w:r>
        <w:rPr>
          <w:w w:val="95"/>
        </w:rPr>
        <w:t>）语言能力或咀嚼吞咽能力完全丧失；</w:t>
      </w:r>
    </w:p>
    <w:p>
      <w:pPr>
        <w:pStyle w:val="BodyText"/>
        <w:spacing w:line="242" w:lineRule="auto"/>
        <w:ind w:left="1400" w:right="216" w:hanging="566"/>
      </w:pPr>
      <w:r>
        <w:rPr>
          <w:w w:val="95"/>
        </w:rPr>
        <w:t>（</w:t>
      </w:r>
      <w:r>
        <w:rPr>
          <w:rFonts w:ascii="Courier New" w:eastAsia="Courier New"/>
          <w:w w:val="95"/>
        </w:rPr>
        <w:t>3</w:t>
      </w:r>
      <w:r>
        <w:rPr>
          <w:w w:val="95"/>
        </w:rPr>
        <w:t>）自主生活能力完全丧失，无法独立完成六项基本日常生活活动中的三项或三项  </w:t>
      </w:r>
      <w:r>
        <w:rPr/>
        <w:t>以上。</w:t>
      </w:r>
    </w:p>
    <w:p>
      <w:pPr>
        <w:pStyle w:val="BodyText"/>
        <w:spacing w:before="34"/>
        <w:ind w:left="477"/>
      </w:pPr>
      <w:r>
        <w:rPr>
          <w:rFonts w:ascii="Courier New" w:eastAsia="Courier New"/>
        </w:rPr>
        <w:t>4</w:t>
      </w:r>
      <w:r>
        <w:rPr/>
        <w:t>、 重大器官移植术或造血干细胞移植术：</w:t>
      </w:r>
    </w:p>
    <w:p>
      <w:pPr>
        <w:pStyle w:val="BodyText"/>
        <w:spacing w:line="273" w:lineRule="auto"/>
        <w:ind w:left="476" w:right="213"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before="7"/>
        <w:ind w:left="477"/>
      </w:pPr>
      <w:r>
        <w:rPr>
          <w:rFonts w:ascii="Courier New" w:eastAsia="Courier New"/>
          <w:w w:val="83"/>
        </w:rPr>
        <w:t>5</w:t>
      </w:r>
      <w:r>
        <w:rPr>
          <w:spacing w:val="-7"/>
        </w:rPr>
        <w:t>、  冠状动脉搭桥术</w:t>
      </w:r>
      <w:r>
        <w:rPr>
          <w:spacing w:val="0"/>
        </w:rPr>
        <w:t>（</w:t>
      </w:r>
      <w:r>
        <w:rPr/>
        <w:t>或称冠状动脉旁路移植术</w:t>
      </w:r>
      <w:r>
        <w:rPr>
          <w:spacing w:val="-106"/>
        </w:rPr>
        <w:t>）</w:t>
      </w:r>
      <w:r>
        <w:rPr/>
        <w:t>：</w:t>
      </w:r>
    </w:p>
    <w:p>
      <w:pPr>
        <w:pStyle w:val="BodyText"/>
        <w:spacing w:line="273" w:lineRule="auto"/>
        <w:ind w:left="896" w:right="110" w:firstLine="61"/>
      </w:pPr>
      <w:r>
        <w:rPr/>
        <w:t>指为治疗严重的冠心病，实际实施了开胸进行的冠状动脉血管旁路移植的手术。 </w:t>
      </w:r>
      <w:r>
        <w:rPr>
          <w:spacing w:val="-6"/>
        </w:rPr>
        <w:t>冠状动脉支架植入术、心导管球囊扩张术、激光射频技术及其它非开胸的介入手术、</w:t>
      </w:r>
    </w:p>
    <w:p>
      <w:pPr>
        <w:pStyle w:val="BodyText"/>
        <w:spacing w:before="8"/>
        <w:ind w:left="476"/>
      </w:pPr>
      <w:r>
        <w:rPr/>
        <w:t>腔镜手术不在保障范围内。</w:t>
      </w:r>
    </w:p>
    <w:p>
      <w:pPr>
        <w:pStyle w:val="BodyText"/>
        <w:spacing w:before="37"/>
        <w:ind w:left="477"/>
      </w:pPr>
      <w:r>
        <w:rPr>
          <w:rFonts w:ascii="Courier New" w:eastAsia="Courier New"/>
          <w:w w:val="83"/>
        </w:rPr>
        <w:t>6</w:t>
      </w:r>
      <w:r>
        <w:rPr>
          <w:spacing w:val="-7"/>
        </w:rPr>
        <w:t>、  终末期肾病</w:t>
      </w:r>
      <w:r>
        <w:rPr>
          <w:spacing w:val="0"/>
        </w:rPr>
        <w:t>（</w:t>
      </w:r>
      <w:r>
        <w:rPr/>
        <w:t>或称慢性肾功能衰竭尿毒症期</w:t>
      </w:r>
      <w:r>
        <w:rPr>
          <w:spacing w:val="-106"/>
        </w:rPr>
        <w:t>）</w:t>
      </w:r>
      <w:r>
        <w:rPr/>
        <w:t>：</w:t>
      </w:r>
    </w:p>
    <w:p>
      <w:pPr>
        <w:pStyle w:val="BodyText"/>
        <w:spacing w:line="242" w:lineRule="auto"/>
        <w:ind w:left="476" w:right="216" w:firstLine="478"/>
        <w:jc w:val="both"/>
      </w:pPr>
      <w:r>
        <w:rPr>
          <w:spacing w:val="-1"/>
        </w:rPr>
        <w:t>指双肾功能慢性不可逆性衰竭，达到尿毒症期，经诊断后已经进行了至少 </w:t>
      </w:r>
      <w:r>
        <w:rPr>
          <w:rFonts w:ascii="Courier New" w:eastAsia="Courier New"/>
        </w:rPr>
        <w:t>90</w:t>
      </w:r>
      <w:r>
        <w:rPr>
          <w:rFonts w:ascii="Courier New" w:eastAsia="Courier New"/>
          <w:spacing w:val="-50"/>
        </w:rPr>
        <w:t> </w:t>
      </w:r>
      <w:r>
        <w:rPr/>
        <w:t>天的规律性透析治疗或实施了肾脏移植手术。</w:t>
      </w:r>
    </w:p>
    <w:p>
      <w:pPr>
        <w:pStyle w:val="BodyText"/>
        <w:spacing w:before="34"/>
        <w:ind w:left="477"/>
      </w:pPr>
      <w:r>
        <w:rPr>
          <w:rFonts w:ascii="Courier New" w:eastAsia="Courier New"/>
        </w:rPr>
        <w:t>7</w:t>
      </w:r>
      <w:r>
        <w:rPr/>
        <w:t>、 多个肢体缺失：</w:t>
      </w:r>
    </w:p>
    <w:p>
      <w:pPr>
        <w:pStyle w:val="BodyText"/>
        <w:spacing w:line="273" w:lineRule="auto"/>
        <w:ind w:left="476" w:right="41" w:firstLine="420"/>
      </w:pPr>
      <w:r>
        <w:rPr/>
        <w:t>指因疾病或意外伤害导致两个或两个以上肢体自腕关节或踝关节近端（靠近躯干端） 以上完全性断离。</w:t>
      </w:r>
    </w:p>
    <w:p>
      <w:pPr>
        <w:pStyle w:val="BodyText"/>
        <w:spacing w:before="8"/>
        <w:ind w:left="477"/>
      </w:pPr>
      <w:r>
        <w:rPr>
          <w:rFonts w:ascii="Courier New" w:eastAsia="Courier New"/>
        </w:rPr>
        <w:t>8</w:t>
      </w:r>
      <w:r>
        <w:rPr/>
        <w:t>、 急性或亚急性重症肝炎：</w:t>
      </w:r>
    </w:p>
    <w:p>
      <w:pPr>
        <w:pStyle w:val="BodyText"/>
        <w:spacing w:line="273" w:lineRule="auto" w:before="4"/>
        <w:ind w:left="476" w:right="214" w:firstLine="478"/>
        <w:jc w:val="both"/>
      </w:pPr>
      <w:r>
        <w:rPr>
          <w:spacing w:val="-2"/>
        </w:rPr>
        <w:t>指因肝炎病毒感染引起肝脏组织弥漫性坏死，导致急性肝功能衰竭，且经血清学或病毒学检查证实，并须满足下列全部条件：</w:t>
      </w:r>
    </w:p>
    <w:p>
      <w:pPr>
        <w:pStyle w:val="BodyText"/>
        <w:spacing w:before="8"/>
        <w:ind w:left="835"/>
      </w:pPr>
      <w:r>
        <w:rPr>
          <w:w w:val="95"/>
        </w:rPr>
        <w:t>（</w:t>
      </w:r>
      <w:r>
        <w:rPr>
          <w:rFonts w:ascii="Courier New" w:eastAsia="Courier New"/>
          <w:w w:val="95"/>
        </w:rPr>
        <w:t>1</w:t>
      </w:r>
      <w:r>
        <w:rPr>
          <w:w w:val="95"/>
        </w:rPr>
        <w:t>）重度黄疸或黄疸迅速加重；</w:t>
      </w:r>
    </w:p>
    <w:p>
      <w:pPr>
        <w:pStyle w:val="BodyText"/>
        <w:ind w:left="835"/>
      </w:pPr>
      <w:r>
        <w:rPr>
          <w:w w:val="95"/>
        </w:rPr>
        <w:t>（</w:t>
      </w:r>
      <w:r>
        <w:rPr>
          <w:rFonts w:ascii="Courier New" w:eastAsia="Courier New"/>
          <w:w w:val="95"/>
        </w:rPr>
        <w:t>2</w:t>
      </w:r>
      <w:r>
        <w:rPr>
          <w:w w:val="95"/>
        </w:rPr>
        <w:t>）肝性脑病；</w:t>
      </w:r>
    </w:p>
    <w:p>
      <w:pPr>
        <w:pStyle w:val="BodyText"/>
        <w:ind w:left="835"/>
      </w:pPr>
      <w:r>
        <w:rPr>
          <w:w w:val="95"/>
        </w:rPr>
        <w:t>（</w:t>
      </w:r>
      <w:r>
        <w:rPr>
          <w:rFonts w:ascii="Courier New" w:eastAsia="Courier New"/>
          <w:w w:val="95"/>
        </w:rPr>
        <w:t>3</w:t>
      </w:r>
      <w:r>
        <w:rPr>
          <w:w w:val="95"/>
        </w:rPr>
        <w:t>）</w:t>
      </w:r>
      <w:r>
        <w:rPr>
          <w:rFonts w:ascii="Courier New" w:eastAsia="Courier New"/>
          <w:w w:val="95"/>
        </w:rPr>
        <w:t>B  </w:t>
      </w:r>
      <w:r>
        <w:rPr>
          <w:w w:val="95"/>
        </w:rPr>
        <w:t>超或其它影像学检查显示肝脏体积急速萎缩；</w:t>
      </w:r>
    </w:p>
    <w:p>
      <w:pPr>
        <w:pStyle w:val="BodyText"/>
        <w:ind w:left="835"/>
      </w:pPr>
      <w:r>
        <w:rPr>
          <w:w w:val="95"/>
        </w:rPr>
        <w:t>（</w:t>
      </w:r>
      <w:r>
        <w:rPr>
          <w:rFonts w:ascii="Courier New" w:eastAsia="Courier New"/>
          <w:w w:val="95"/>
        </w:rPr>
        <w:t>4</w:t>
      </w:r>
      <w:r>
        <w:rPr>
          <w:w w:val="95"/>
        </w:rPr>
        <w:t>）肝功能指标进行性恶化。</w:t>
      </w:r>
    </w:p>
    <w:p>
      <w:pPr>
        <w:pStyle w:val="BodyText"/>
        <w:ind w:left="477"/>
      </w:pPr>
      <w:r>
        <w:rPr>
          <w:rFonts w:ascii="Courier New" w:eastAsia="Courier New"/>
        </w:rPr>
        <w:t>9</w:t>
      </w:r>
      <w:r>
        <w:rPr/>
        <w:t>、 良性脑肿瘤：</w:t>
      </w:r>
    </w:p>
    <w:p>
      <w:pPr>
        <w:pStyle w:val="BodyText"/>
        <w:spacing w:line="256" w:lineRule="auto"/>
        <w:ind w:left="476" w:right="202" w:firstLine="478"/>
        <w:jc w:val="both"/>
      </w:pPr>
      <w:r>
        <w:rPr/>
        <w:t>指脑的良性肿瘤，已经引起颅内压增高，临床表现为视神经乳头水肿、精神症状、</w:t>
      </w:r>
      <w:r>
        <w:rPr>
          <w:spacing w:val="0"/>
        </w:rPr>
        <w:t>癫痫及运动感觉障碍等，并危及生命。须由头颅断层扫描</w:t>
      </w:r>
      <w:r>
        <w:rPr>
          <w:spacing w:val="1"/>
        </w:rPr>
        <w:t>（</w:t>
      </w:r>
      <w:r>
        <w:rPr>
          <w:rFonts w:ascii="Courier New" w:eastAsia="Courier New"/>
          <w:spacing w:val="-1"/>
          <w:w w:val="83"/>
        </w:rPr>
        <w:t>C</w:t>
      </w:r>
      <w:r>
        <w:rPr>
          <w:rFonts w:ascii="Courier New" w:eastAsia="Courier New"/>
          <w:w w:val="83"/>
        </w:rPr>
        <w:t>T</w:t>
      </w:r>
      <w:r>
        <w:rPr>
          <w:spacing w:val="-104"/>
        </w:rPr>
        <w:t>）</w:t>
      </w:r>
      <w:r>
        <w:rPr/>
        <w:t>、核磁共振检查</w:t>
      </w:r>
      <w:r>
        <w:rPr>
          <w:spacing w:val="1"/>
        </w:rPr>
        <w:t>（</w:t>
      </w:r>
      <w:r>
        <w:rPr>
          <w:rFonts w:ascii="Courier New" w:eastAsia="Courier New"/>
          <w:spacing w:val="-1"/>
          <w:w w:val="83"/>
        </w:rPr>
        <w:t>M</w:t>
      </w:r>
      <w:r>
        <w:rPr>
          <w:rFonts w:ascii="Courier New" w:eastAsia="Courier New"/>
          <w:w w:val="83"/>
        </w:rPr>
        <w:t>RI</w:t>
      </w:r>
      <w:r>
        <w:rPr/>
        <w:t>）</w:t>
      </w:r>
      <w:r>
        <w:rPr>
          <w:w w:val="95"/>
        </w:rPr>
        <w:t>或正电子发射断层扫描（</w:t>
      </w:r>
      <w:r>
        <w:rPr>
          <w:rFonts w:ascii="Courier New" w:eastAsia="Courier New"/>
          <w:w w:val="95"/>
        </w:rPr>
        <w:t>PET</w:t>
      </w:r>
      <w:r>
        <w:rPr>
          <w:w w:val="95"/>
        </w:rPr>
        <w:t>）等影像学检查证实，并须满足下列至少一项条件：</w:t>
      </w:r>
    </w:p>
    <w:p>
      <w:pPr>
        <w:pStyle w:val="BodyText"/>
        <w:spacing w:line="295" w:lineRule="exact" w:before="0"/>
        <w:ind w:left="837"/>
      </w:pPr>
      <w:r>
        <w:rPr>
          <w:w w:val="95"/>
        </w:rPr>
        <w:t>（</w:t>
      </w:r>
      <w:r>
        <w:rPr>
          <w:rFonts w:ascii="Courier New" w:eastAsia="Courier New"/>
          <w:w w:val="95"/>
        </w:rPr>
        <w:t>1</w:t>
      </w:r>
      <w:r>
        <w:rPr>
          <w:w w:val="95"/>
        </w:rPr>
        <w:t>）实际实施了开颅进行的脑肿瘤完全切除或部分切除的手术；</w:t>
      </w:r>
    </w:p>
    <w:p>
      <w:pPr>
        <w:pStyle w:val="BodyText"/>
        <w:spacing w:before="4"/>
        <w:ind w:left="837"/>
      </w:pPr>
      <w:r>
        <w:rPr>
          <w:w w:val="95"/>
        </w:rPr>
        <w:t>（</w:t>
      </w:r>
      <w:r>
        <w:rPr>
          <w:rFonts w:ascii="Courier New" w:eastAsia="Courier New"/>
          <w:w w:val="95"/>
        </w:rPr>
        <w:t>2</w:t>
      </w:r>
      <w:r>
        <w:rPr>
          <w:w w:val="95"/>
        </w:rPr>
        <w:t>）实际实施了对脑肿瘤进行的放射治疗。</w:t>
      </w:r>
    </w:p>
    <w:p>
      <w:pPr>
        <w:pStyle w:val="BodyText"/>
        <w:ind w:left="896"/>
      </w:pPr>
      <w:r>
        <w:rPr/>
        <w:t>脑垂体瘤、脑囊肿、脑血管性疾病不在保障范围内。</w:t>
      </w:r>
    </w:p>
    <w:p>
      <w:pPr>
        <w:pStyle w:val="BodyText"/>
        <w:spacing w:before="37"/>
        <w:ind w:left="477"/>
      </w:pPr>
      <w:r>
        <w:rPr>
          <w:rFonts w:ascii="Courier New" w:eastAsia="Courier New"/>
        </w:rPr>
        <w:t>10</w:t>
      </w:r>
      <w:r>
        <w:rPr/>
        <w:t>、 慢性肝功能衰竭失代偿期：</w:t>
      </w:r>
    </w:p>
    <w:p>
      <w:pPr>
        <w:pStyle w:val="BodyText"/>
        <w:ind w:left="957"/>
      </w:pPr>
      <w:r>
        <w:rPr/>
        <w:t>指因慢性肝脏疾病导致肝功能衰竭。须满足下列全部条件：</w:t>
      </w:r>
    </w:p>
    <w:p>
      <w:pPr>
        <w:spacing w:after="0"/>
        <w:sectPr>
          <w:pgSz w:w="11900" w:h="16840"/>
          <w:pgMar w:header="896" w:footer="1008" w:top="1280" w:bottom="1200" w:left="1680" w:right="1500"/>
        </w:sectPr>
      </w:pPr>
    </w:p>
    <w:p>
      <w:pPr>
        <w:pStyle w:val="BodyText"/>
        <w:spacing w:before="133"/>
        <w:ind w:left="837"/>
      </w:pPr>
      <w:r>
        <w:rPr>
          <w:w w:val="95"/>
        </w:rPr>
        <w:t>（</w:t>
      </w:r>
      <w:r>
        <w:rPr>
          <w:rFonts w:ascii="Courier New" w:eastAsia="Courier New"/>
          <w:w w:val="95"/>
        </w:rPr>
        <w:t>1</w:t>
      </w:r>
      <w:r>
        <w:rPr>
          <w:w w:val="95"/>
        </w:rPr>
        <w:t>）持续性黄疸；</w:t>
      </w:r>
    </w:p>
    <w:p>
      <w:pPr>
        <w:pStyle w:val="BodyText"/>
        <w:ind w:left="837"/>
      </w:pPr>
      <w:r>
        <w:rPr>
          <w:w w:val="95"/>
        </w:rPr>
        <w:t>（</w:t>
      </w:r>
      <w:r>
        <w:rPr>
          <w:rFonts w:ascii="Courier New" w:eastAsia="Courier New"/>
          <w:w w:val="95"/>
        </w:rPr>
        <w:t>2</w:t>
      </w:r>
      <w:r>
        <w:rPr>
          <w:w w:val="95"/>
        </w:rPr>
        <w:t>）腹水；</w:t>
      </w:r>
    </w:p>
    <w:p>
      <w:pPr>
        <w:pStyle w:val="BodyText"/>
        <w:ind w:left="837"/>
      </w:pPr>
      <w:r>
        <w:rPr>
          <w:w w:val="95"/>
        </w:rPr>
        <w:t>（</w:t>
      </w:r>
      <w:r>
        <w:rPr>
          <w:rFonts w:ascii="Courier New" w:eastAsia="Courier New"/>
          <w:w w:val="95"/>
        </w:rPr>
        <w:t>3</w:t>
      </w:r>
      <w:r>
        <w:rPr>
          <w:w w:val="95"/>
        </w:rPr>
        <w:t>）肝性脑病；</w:t>
      </w:r>
    </w:p>
    <w:p>
      <w:pPr>
        <w:pStyle w:val="BodyText"/>
        <w:spacing w:line="242" w:lineRule="auto"/>
        <w:ind w:left="957" w:right="2720" w:hanging="120"/>
      </w:pPr>
      <w:r>
        <w:rPr>
          <w:spacing w:val="3"/>
          <w:w w:val="95"/>
        </w:rPr>
        <w:t>（</w:t>
      </w:r>
      <w:r>
        <w:rPr>
          <w:rFonts w:ascii="Courier New" w:eastAsia="Courier New"/>
          <w:spacing w:val="3"/>
          <w:w w:val="95"/>
        </w:rPr>
        <w:t>4</w:t>
      </w:r>
      <w:r>
        <w:rPr>
          <w:spacing w:val="3"/>
          <w:w w:val="95"/>
        </w:rPr>
        <w:t>）</w:t>
      </w:r>
      <w:r>
        <w:rPr>
          <w:w w:val="95"/>
        </w:rPr>
        <w:t>充血性脾肿大伴脾功能亢进或食管胃底静脉曲张。 </w:t>
      </w:r>
      <w:r>
        <w:rPr/>
        <w:t>因酗酒或药物滥用导致的肝功能衰竭不在保障范围内。</w:t>
      </w:r>
    </w:p>
    <w:p>
      <w:pPr>
        <w:pStyle w:val="BodyText"/>
        <w:spacing w:before="35"/>
        <w:ind w:left="477"/>
      </w:pPr>
      <w:r>
        <w:rPr>
          <w:rFonts w:ascii="Courier New" w:eastAsia="Courier New"/>
        </w:rPr>
        <w:t>11</w:t>
      </w:r>
      <w:r>
        <w:rPr/>
        <w:t>、 脑炎后遗症或脑膜炎后遗症：</w:t>
      </w:r>
    </w:p>
    <w:p>
      <w:pPr>
        <w:pStyle w:val="BodyText"/>
        <w:spacing w:line="273" w:lineRule="auto"/>
        <w:ind w:left="476" w:right="216" w:firstLine="478"/>
      </w:pPr>
      <w:r>
        <w:rPr>
          <w:spacing w:val="-1"/>
        </w:rPr>
        <w:t>指因患脑炎或脑膜炎导致的神经系统永久性的功能障碍。神经系统永久性的功能障</w:t>
      </w:r>
      <w:r>
        <w:rPr>
          <w:spacing w:val="-12"/>
        </w:rPr>
        <w:t>碍，指疾病确诊 </w:t>
      </w:r>
      <w:r>
        <w:rPr>
          <w:rFonts w:ascii="Courier New" w:eastAsia="Courier New"/>
        </w:rPr>
        <w:t>180</w:t>
      </w:r>
      <w:r>
        <w:rPr>
          <w:rFonts w:ascii="Courier New" w:eastAsia="Courier New"/>
          <w:spacing w:val="-107"/>
        </w:rPr>
        <w:t> </w:t>
      </w:r>
      <w:r>
        <w:rPr/>
        <w:t>天后，仍遗留下列一种或一种以上障碍：</w:t>
      </w:r>
    </w:p>
    <w:p>
      <w:pPr>
        <w:pStyle w:val="BodyText"/>
        <w:spacing w:line="278" w:lineRule="exact" w:before="0"/>
        <w:ind w:left="837"/>
      </w:pPr>
      <w:r>
        <w:rPr>
          <w:w w:val="95"/>
        </w:rPr>
        <w:t>（</w:t>
      </w:r>
      <w:r>
        <w:rPr>
          <w:rFonts w:ascii="Courier New" w:eastAsia="Courier New"/>
          <w:w w:val="95"/>
        </w:rPr>
        <w:t>1</w:t>
      </w:r>
      <w:r>
        <w:rPr>
          <w:w w:val="95"/>
        </w:rPr>
        <w:t>）一肢或一肢以上肢体机能完全丧失；</w:t>
      </w:r>
    </w:p>
    <w:p>
      <w:pPr>
        <w:pStyle w:val="BodyText"/>
        <w:spacing w:before="4"/>
        <w:ind w:left="837"/>
      </w:pPr>
      <w:r>
        <w:rPr>
          <w:w w:val="95"/>
        </w:rPr>
        <w:t>（</w:t>
      </w:r>
      <w:r>
        <w:rPr>
          <w:rFonts w:ascii="Courier New" w:eastAsia="Courier New"/>
          <w:w w:val="95"/>
        </w:rPr>
        <w:t>2</w:t>
      </w:r>
      <w:r>
        <w:rPr>
          <w:w w:val="95"/>
        </w:rPr>
        <w:t>）语言能力或咀嚼吞咽能力完全丧失；</w:t>
      </w:r>
    </w:p>
    <w:p>
      <w:pPr>
        <w:pStyle w:val="BodyText"/>
        <w:spacing w:line="242" w:lineRule="auto"/>
        <w:ind w:left="1377" w:right="152" w:hanging="540"/>
      </w:pPr>
      <w:r>
        <w:rPr>
          <w:w w:val="95"/>
        </w:rPr>
        <w:t>（</w:t>
      </w:r>
      <w:r>
        <w:rPr>
          <w:rFonts w:ascii="Courier New" w:eastAsia="Courier New"/>
          <w:w w:val="95"/>
        </w:rPr>
        <w:t>3</w:t>
      </w:r>
      <w:r>
        <w:rPr>
          <w:w w:val="95"/>
        </w:rPr>
        <w:t>）自主生活能力完全丧失，无法独立完成六项基本日常生活活动中的三项或三项  </w:t>
      </w:r>
      <w:r>
        <w:rPr/>
        <w:t>以上。</w:t>
      </w:r>
    </w:p>
    <w:p>
      <w:pPr>
        <w:pStyle w:val="BodyText"/>
        <w:spacing w:before="34"/>
        <w:ind w:left="477"/>
      </w:pPr>
      <w:r>
        <w:rPr>
          <w:rFonts w:ascii="Courier New" w:eastAsia="Courier New"/>
          <w:w w:val="95"/>
        </w:rPr>
        <w:t>12</w:t>
      </w:r>
      <w:r>
        <w:rPr>
          <w:w w:val="95"/>
        </w:rPr>
        <w:t>、 深度昏迷：</w:t>
      </w:r>
    </w:p>
    <w:p>
      <w:pPr>
        <w:pStyle w:val="BodyText"/>
        <w:spacing w:line="242" w:lineRule="auto"/>
        <w:ind w:left="476" w:right="214" w:firstLine="478"/>
        <w:jc w:val="both"/>
      </w:pPr>
      <w:r>
        <w:rPr>
          <w:spacing w:val="2"/>
          <w:w w:val="95"/>
        </w:rPr>
        <w:t>指因疾病或意外伤害导致意识丧失</w:t>
      </w:r>
      <w:r>
        <w:rPr>
          <w:rFonts w:ascii="Courier New" w:eastAsia="Courier New"/>
          <w:spacing w:val="5"/>
          <w:w w:val="95"/>
        </w:rPr>
        <w:t>,</w:t>
      </w:r>
      <w:r>
        <w:rPr>
          <w:spacing w:val="2"/>
          <w:w w:val="95"/>
        </w:rPr>
        <w:t>对外界刺激和体内需求均无反应</w:t>
      </w:r>
      <w:r>
        <w:rPr>
          <w:rFonts w:ascii="Courier New" w:eastAsia="Courier New"/>
          <w:spacing w:val="5"/>
          <w:w w:val="95"/>
        </w:rPr>
        <w:t>,</w:t>
      </w:r>
      <w:r>
        <w:rPr>
          <w:spacing w:val="1"/>
          <w:w w:val="95"/>
        </w:rPr>
        <w:t>昏迷程度按  照格拉斯哥昏迷分级（</w:t>
      </w:r>
      <w:r>
        <w:rPr>
          <w:rFonts w:ascii="Courier New" w:eastAsia="Courier New"/>
          <w:spacing w:val="1"/>
          <w:w w:val="95"/>
        </w:rPr>
        <w:t>Glasgow</w:t>
      </w:r>
      <w:r>
        <w:rPr>
          <w:rFonts w:ascii="Courier New" w:eastAsia="Courier New"/>
          <w:spacing w:val="0"/>
          <w:w w:val="95"/>
        </w:rPr>
        <w:t> </w:t>
      </w:r>
      <w:r>
        <w:rPr>
          <w:rFonts w:ascii="Courier New" w:eastAsia="Courier New"/>
          <w:w w:val="95"/>
        </w:rPr>
        <w:t>coma scale</w:t>
      </w:r>
      <w:r>
        <w:rPr>
          <w:w w:val="95"/>
        </w:rPr>
        <w:t>）</w:t>
      </w:r>
      <w:r>
        <w:rPr>
          <w:spacing w:val="-9"/>
          <w:w w:val="95"/>
        </w:rPr>
        <w:t>结果为 </w:t>
      </w:r>
      <w:r>
        <w:rPr>
          <w:rFonts w:ascii="Courier New" w:eastAsia="Courier New"/>
          <w:w w:val="95"/>
        </w:rPr>
        <w:t>5</w:t>
      </w:r>
      <w:r>
        <w:rPr>
          <w:rFonts w:ascii="Courier New" w:eastAsia="Courier New"/>
          <w:spacing w:val="-57"/>
          <w:w w:val="95"/>
        </w:rPr>
        <w:t> </w:t>
      </w:r>
      <w:r>
        <w:rPr>
          <w:spacing w:val="-12"/>
          <w:w w:val="95"/>
        </w:rPr>
        <w:t>分或 </w:t>
      </w:r>
      <w:r>
        <w:rPr>
          <w:rFonts w:ascii="Courier New" w:eastAsia="Courier New"/>
          <w:w w:val="95"/>
        </w:rPr>
        <w:t>5</w:t>
      </w:r>
      <w:r>
        <w:rPr>
          <w:rFonts w:ascii="Courier New" w:eastAsia="Courier New"/>
          <w:spacing w:val="-55"/>
          <w:w w:val="95"/>
        </w:rPr>
        <w:t> </w:t>
      </w:r>
      <w:r>
        <w:rPr>
          <w:w w:val="95"/>
        </w:rPr>
        <w:t>分以下，且已经持续使用</w:t>
      </w:r>
      <w:r>
        <w:rPr>
          <w:spacing w:val="-6"/>
        </w:rPr>
        <w:t>呼吸机及其它生命维持系统 </w:t>
      </w:r>
      <w:r>
        <w:rPr>
          <w:rFonts w:ascii="Courier New" w:eastAsia="Courier New"/>
        </w:rPr>
        <w:t>96</w:t>
      </w:r>
      <w:r>
        <w:rPr>
          <w:rFonts w:ascii="Courier New" w:eastAsia="Courier New"/>
          <w:spacing w:val="-96"/>
        </w:rPr>
        <w:t> </w:t>
      </w:r>
      <w:r>
        <w:rPr/>
        <w:t>小时以上。</w:t>
      </w:r>
    </w:p>
    <w:p>
      <w:pPr>
        <w:pStyle w:val="BodyText"/>
        <w:spacing w:before="1"/>
        <w:ind w:left="896"/>
      </w:pPr>
      <w:r>
        <w:rPr/>
        <w:t>因酗酒或药物滥用导致的深度昏迷不在保障范围内。</w:t>
      </w:r>
    </w:p>
    <w:p>
      <w:pPr>
        <w:pStyle w:val="BodyText"/>
        <w:spacing w:before="37"/>
        <w:ind w:left="477"/>
      </w:pPr>
      <w:r>
        <w:rPr>
          <w:rFonts w:ascii="Courier New" w:eastAsia="Courier New"/>
          <w:w w:val="95"/>
        </w:rPr>
        <w:t>13</w:t>
      </w:r>
      <w:r>
        <w:rPr>
          <w:w w:val="95"/>
        </w:rPr>
        <w:t>、 双耳失聪：</w:t>
      </w:r>
    </w:p>
    <w:p>
      <w:pPr>
        <w:pStyle w:val="BodyText"/>
        <w:ind w:left="896"/>
        <w:rPr>
          <w:rFonts w:ascii="Courier New" w:eastAsia="Courier New"/>
        </w:rPr>
      </w:pPr>
      <w:r>
        <w:rPr>
          <w:spacing w:val="-4"/>
          <w:w w:val="95"/>
        </w:rPr>
        <w:t>指因疾病或意外伤害导致双耳听力永久不可逆性丧失，在</w:t>
      </w:r>
      <w:r>
        <w:rPr>
          <w:rFonts w:ascii="Courier New" w:eastAsia="Courier New"/>
          <w:w w:val="95"/>
        </w:rPr>
        <w:t>500 </w:t>
      </w:r>
      <w:r>
        <w:rPr>
          <w:spacing w:val="-35"/>
          <w:w w:val="95"/>
        </w:rPr>
        <w:t>赫兹、</w:t>
      </w:r>
      <w:r>
        <w:rPr>
          <w:rFonts w:ascii="Courier New" w:eastAsia="Courier New"/>
          <w:w w:val="95"/>
        </w:rPr>
        <w:t>1000 </w:t>
      </w:r>
      <w:r>
        <w:rPr>
          <w:spacing w:val="-2"/>
          <w:w w:val="95"/>
        </w:rPr>
        <w:t>赫兹和 </w:t>
      </w:r>
      <w:r>
        <w:rPr>
          <w:rFonts w:ascii="Courier New" w:eastAsia="Courier New"/>
          <w:w w:val="95"/>
        </w:rPr>
        <w:t>2000</w:t>
      </w:r>
    </w:p>
    <w:p>
      <w:pPr>
        <w:pStyle w:val="BodyText"/>
        <w:spacing w:line="242" w:lineRule="auto"/>
        <w:ind w:left="476" w:right="214"/>
      </w:pPr>
      <w:r>
        <w:rPr>
          <w:spacing w:val="-8"/>
        </w:rPr>
        <w:t>赫兹语音频率下，平均听阈大于 </w:t>
      </w:r>
      <w:r>
        <w:rPr>
          <w:rFonts w:ascii="Courier New" w:eastAsia="Courier New"/>
        </w:rPr>
        <w:t>90</w:t>
      </w:r>
      <w:r>
        <w:rPr>
          <w:rFonts w:ascii="Courier New" w:eastAsia="Courier New"/>
          <w:spacing w:val="-95"/>
        </w:rPr>
        <w:t> </w:t>
      </w:r>
      <w:r>
        <w:rPr>
          <w:spacing w:val="-7"/>
        </w:rPr>
        <w:t>分贝，且经纯音听力测试、声导抗检测或听觉诱发电位检测等证实。</w:t>
      </w:r>
    </w:p>
    <w:p>
      <w:pPr>
        <w:pStyle w:val="BodyText"/>
        <w:spacing w:before="35"/>
        <w:ind w:left="477"/>
      </w:pPr>
      <w:r>
        <w:rPr>
          <w:rFonts w:ascii="Courier New" w:eastAsia="Courier New"/>
          <w:w w:val="95"/>
        </w:rPr>
        <w:t>14</w:t>
      </w:r>
      <w:r>
        <w:rPr>
          <w:w w:val="95"/>
        </w:rPr>
        <w:t>、 双目失明：</w:t>
      </w:r>
    </w:p>
    <w:p>
      <w:pPr>
        <w:pStyle w:val="BodyText"/>
        <w:spacing w:line="273" w:lineRule="auto"/>
        <w:ind w:left="476" w:right="170" w:firstLine="478"/>
      </w:pPr>
      <w:r>
        <w:rPr/>
        <w:t>指因疾病或意外伤害导致双眼视力永久不可逆性丧失，双眼中较好眼须满足下列至少一项条件：</w:t>
      </w:r>
    </w:p>
    <w:p>
      <w:pPr>
        <w:pStyle w:val="BodyText"/>
        <w:spacing w:before="7"/>
        <w:ind w:left="837"/>
      </w:pPr>
      <w:r>
        <w:rPr>
          <w:w w:val="95"/>
        </w:rPr>
        <w:t>（</w:t>
      </w:r>
      <w:r>
        <w:rPr>
          <w:rFonts w:ascii="Courier New" w:eastAsia="Courier New"/>
          <w:w w:val="95"/>
        </w:rPr>
        <w:t>1</w:t>
      </w:r>
      <w:r>
        <w:rPr>
          <w:w w:val="95"/>
        </w:rPr>
        <w:t>）眼球缺失或摘除；</w:t>
      </w:r>
    </w:p>
    <w:p>
      <w:pPr>
        <w:pStyle w:val="BodyText"/>
        <w:ind w:left="837"/>
      </w:pPr>
      <w:r>
        <w:rPr/>
        <w:t>（</w:t>
      </w:r>
      <w:r>
        <w:rPr>
          <w:rFonts w:ascii="Courier New" w:eastAsia="Courier New"/>
          <w:spacing w:val="-1"/>
          <w:w w:val="83"/>
        </w:rPr>
        <w:t>2</w:t>
      </w:r>
      <w:r>
        <w:rPr>
          <w:spacing w:val="15"/>
        </w:rPr>
        <w:t>）</w:t>
      </w:r>
      <w:r>
        <w:rPr>
          <w:spacing w:val="-8"/>
        </w:rPr>
        <w:t>矫正视力低于 </w:t>
      </w:r>
      <w:r>
        <w:rPr>
          <w:rFonts w:ascii="Courier New" w:eastAsia="Courier New"/>
          <w:w w:val="83"/>
        </w:rPr>
        <w:t>0</w:t>
      </w:r>
      <w:r>
        <w:rPr>
          <w:rFonts w:ascii="Courier New" w:eastAsia="Courier New"/>
          <w:spacing w:val="-1"/>
          <w:w w:val="83"/>
        </w:rPr>
        <w:t>.</w:t>
      </w:r>
      <w:r>
        <w:rPr>
          <w:rFonts w:ascii="Courier New" w:eastAsia="Courier New"/>
          <w:w w:val="83"/>
        </w:rPr>
        <w:t>0</w:t>
      </w:r>
      <w:r>
        <w:rPr>
          <w:rFonts w:ascii="Courier New" w:eastAsia="Courier New"/>
          <w:spacing w:val="-35"/>
          <w:w w:val="83"/>
        </w:rPr>
        <w:t>2</w:t>
      </w:r>
      <w:r>
        <w:rPr/>
        <w:t>（</w:t>
      </w:r>
      <w:r>
        <w:rPr>
          <w:spacing w:val="-4"/>
        </w:rPr>
        <w:t>采用国际标准视力表，如果使用其它视力表应进行换算</w:t>
      </w:r>
      <w:r>
        <w:rPr>
          <w:spacing w:val="-105"/>
        </w:rPr>
        <w:t>）</w:t>
      </w:r>
      <w:r>
        <w:rPr/>
        <w:t>；</w:t>
      </w:r>
    </w:p>
    <w:p>
      <w:pPr>
        <w:pStyle w:val="BodyText"/>
        <w:ind w:left="837"/>
      </w:pPr>
      <w:r>
        <w:rPr>
          <w:spacing w:val="3"/>
        </w:rPr>
        <w:t>（</w:t>
      </w:r>
      <w:r>
        <w:rPr>
          <w:rFonts w:ascii="Courier New" w:eastAsia="Courier New"/>
          <w:spacing w:val="3"/>
        </w:rPr>
        <w:t>3</w:t>
      </w:r>
      <w:r>
        <w:rPr>
          <w:spacing w:val="3"/>
        </w:rPr>
        <w:t>）</w:t>
      </w:r>
      <w:r>
        <w:rPr>
          <w:spacing w:val="-11"/>
        </w:rPr>
        <w:t>视野半径小于 </w:t>
      </w:r>
      <w:r>
        <w:rPr>
          <w:rFonts w:ascii="Courier New" w:eastAsia="Courier New"/>
        </w:rPr>
        <w:t>5</w:t>
      </w:r>
      <w:r>
        <w:rPr>
          <w:rFonts w:ascii="Courier New" w:eastAsia="Courier New"/>
          <w:spacing w:val="-95"/>
        </w:rPr>
        <w:t> </w:t>
      </w:r>
      <w:r>
        <w:rPr/>
        <w:t>度。</w:t>
      </w:r>
    </w:p>
    <w:p>
      <w:pPr>
        <w:pStyle w:val="BodyText"/>
        <w:ind w:left="477"/>
      </w:pPr>
      <w:r>
        <w:rPr>
          <w:rFonts w:ascii="Courier New" w:eastAsia="Courier New"/>
          <w:w w:val="95"/>
        </w:rPr>
        <w:t>15</w:t>
      </w:r>
      <w:r>
        <w:rPr>
          <w:w w:val="95"/>
        </w:rPr>
        <w:t>、 瘫痪：</w:t>
      </w:r>
    </w:p>
    <w:p>
      <w:pPr>
        <w:pStyle w:val="BodyText"/>
        <w:spacing w:line="256" w:lineRule="auto"/>
        <w:ind w:left="476" w:right="213" w:firstLine="420"/>
        <w:jc w:val="both"/>
      </w:pPr>
      <w:r>
        <w:rPr/>
        <w:t>指因疾病或意外伤害导致两肢或两肢以上肢体机能永久完全丧失。肢体机能永久完</w:t>
      </w:r>
      <w:r>
        <w:rPr>
          <w:spacing w:val="-8"/>
        </w:rPr>
        <w:t>全丧失，指疾病确诊 </w:t>
      </w:r>
      <w:r>
        <w:rPr>
          <w:rFonts w:ascii="Courier New" w:eastAsia="Courier New"/>
        </w:rPr>
        <w:t>180</w:t>
      </w:r>
      <w:r>
        <w:rPr>
          <w:rFonts w:ascii="Courier New" w:eastAsia="Courier New"/>
          <w:spacing w:val="-94"/>
        </w:rPr>
        <w:t> </w:t>
      </w:r>
      <w:r>
        <w:rPr>
          <w:spacing w:val="-8"/>
        </w:rPr>
        <w:t>天后或意外伤害发生 </w:t>
      </w:r>
      <w:r>
        <w:rPr>
          <w:rFonts w:ascii="Courier New" w:eastAsia="Courier New"/>
        </w:rPr>
        <w:t>180</w:t>
      </w:r>
      <w:r>
        <w:rPr>
          <w:rFonts w:ascii="Courier New" w:eastAsia="Courier New"/>
          <w:spacing w:val="-94"/>
        </w:rPr>
        <w:t> </w:t>
      </w:r>
      <w:r>
        <w:rPr/>
        <w:t>天后，每肢三大关节中的两大关节仍然完全僵硬，或不能随意识活动。</w:t>
      </w:r>
    </w:p>
    <w:p>
      <w:pPr>
        <w:pStyle w:val="BodyText"/>
        <w:spacing w:before="22"/>
        <w:ind w:left="477"/>
      </w:pPr>
      <w:r>
        <w:rPr>
          <w:rFonts w:ascii="Courier New" w:eastAsia="Courier New"/>
        </w:rPr>
        <w:t>16</w:t>
      </w:r>
      <w:r>
        <w:rPr/>
        <w:t>、 心脏瓣膜手术：</w:t>
      </w:r>
    </w:p>
    <w:p>
      <w:pPr>
        <w:pStyle w:val="BodyText"/>
        <w:ind w:left="896"/>
      </w:pPr>
      <w:r>
        <w:rPr/>
        <w:t>指为治疗心脏瓣膜疾病，实际实施了开胸进行的心脏瓣膜置换或修复的手术。</w:t>
      </w:r>
    </w:p>
    <w:p>
      <w:pPr>
        <w:pStyle w:val="BodyText"/>
        <w:spacing w:before="36"/>
        <w:ind w:left="477"/>
      </w:pPr>
      <w:r>
        <w:rPr>
          <w:rFonts w:ascii="Courier New" w:eastAsia="Courier New"/>
        </w:rPr>
        <w:t>17</w:t>
      </w:r>
      <w:r>
        <w:rPr/>
        <w:t>、 严重阿尔茨海默病：</w:t>
      </w:r>
    </w:p>
    <w:p>
      <w:pPr>
        <w:pStyle w:val="BodyText"/>
        <w:spacing w:line="261" w:lineRule="auto"/>
        <w:ind w:left="476" w:right="157" w:firstLine="478"/>
        <w:jc w:val="both"/>
      </w:pPr>
      <w:r>
        <w:rPr>
          <w:spacing w:val="-2"/>
        </w:rPr>
        <w:t>指因大脑进行性、不可逆性改变导致智能严重衰退或丧失，临床表现为明显的认知能力障碍、行为异常和社交能力减退，其日常生活必须持续受到他人监护。须由头颅断层扫描（</w:t>
      </w:r>
      <w:r>
        <w:rPr>
          <w:rFonts w:ascii="Courier New" w:eastAsia="Courier New"/>
          <w:spacing w:val="-2"/>
          <w:w w:val="83"/>
        </w:rPr>
        <w:t>C</w:t>
      </w:r>
      <w:r>
        <w:rPr>
          <w:rFonts w:ascii="Courier New" w:eastAsia="Courier New"/>
          <w:spacing w:val="-1"/>
          <w:w w:val="83"/>
        </w:rPr>
        <w:t>T</w:t>
      </w:r>
      <w:r>
        <w:rPr>
          <w:spacing w:val="-106"/>
        </w:rPr>
        <w:t>）</w:t>
      </w:r>
      <w:r>
        <w:rPr/>
        <w:t>、核磁共振检查（</w:t>
      </w:r>
      <w:r>
        <w:rPr>
          <w:rFonts w:ascii="Courier New" w:eastAsia="Courier New"/>
          <w:w w:val="83"/>
        </w:rPr>
        <w:t>M</w:t>
      </w:r>
      <w:r>
        <w:rPr>
          <w:rFonts w:ascii="Courier New" w:eastAsia="Courier New"/>
          <w:spacing w:val="-1"/>
          <w:w w:val="83"/>
        </w:rPr>
        <w:t>RI</w:t>
      </w:r>
      <w:r>
        <w:rPr/>
        <w:t>）或正电子发射断层扫描（</w:t>
      </w:r>
      <w:r>
        <w:rPr>
          <w:rFonts w:ascii="Courier New" w:eastAsia="Courier New"/>
          <w:w w:val="83"/>
        </w:rPr>
        <w:t>P</w:t>
      </w:r>
      <w:r>
        <w:rPr>
          <w:rFonts w:ascii="Courier New" w:eastAsia="Courier New"/>
          <w:spacing w:val="-1"/>
          <w:w w:val="83"/>
        </w:rPr>
        <w:t>ET</w:t>
      </w:r>
      <w:r>
        <w:rPr/>
        <w:t>）等影像学检查证实，且自主生活能力完全丧失，无法独立完成六项基本日常生活活动中的三项或三项以上。</w:t>
      </w:r>
    </w:p>
    <w:p>
      <w:pPr>
        <w:pStyle w:val="BodyText"/>
        <w:spacing w:before="18"/>
        <w:ind w:left="896"/>
      </w:pPr>
      <w:r>
        <w:rPr/>
        <w:t>神经官能症和精神疾病不在保障范围内。</w:t>
      </w:r>
    </w:p>
    <w:p>
      <w:pPr>
        <w:pStyle w:val="BodyText"/>
        <w:spacing w:before="37"/>
        <w:ind w:left="477"/>
      </w:pPr>
      <w:r>
        <w:rPr>
          <w:rFonts w:ascii="Courier New" w:eastAsia="Courier New"/>
          <w:w w:val="95"/>
        </w:rPr>
        <w:t>18</w:t>
      </w:r>
      <w:r>
        <w:rPr>
          <w:w w:val="95"/>
        </w:rPr>
        <w:t>、 严重脑损伤：</w:t>
      </w:r>
    </w:p>
    <w:p>
      <w:pPr>
        <w:pStyle w:val="BodyText"/>
        <w:spacing w:line="256" w:lineRule="auto" w:before="4"/>
        <w:ind w:left="476" w:right="110" w:firstLine="478"/>
      </w:pPr>
      <w:r>
        <w:rPr>
          <w:spacing w:val="-8"/>
        </w:rPr>
        <w:t>指因头部遭受机械性外力，引起脑重要部位损伤，导致神经系统永久性的功能障碍。</w:t>
      </w:r>
      <w:r>
        <w:rPr>
          <w:spacing w:val="-9"/>
        </w:rPr>
        <w:t>须由头颅断层扫描</w:t>
      </w:r>
      <w:r>
        <w:rPr/>
        <w:t>（</w:t>
      </w:r>
      <w:r>
        <w:rPr>
          <w:rFonts w:ascii="Courier New" w:eastAsia="Courier New"/>
          <w:w w:val="83"/>
        </w:rPr>
        <w:t>C</w:t>
      </w:r>
      <w:r>
        <w:rPr>
          <w:rFonts w:ascii="Courier New" w:eastAsia="Courier New"/>
          <w:spacing w:val="-1"/>
          <w:w w:val="83"/>
        </w:rPr>
        <w:t>T</w:t>
      </w:r>
      <w:r>
        <w:rPr>
          <w:spacing w:val="-106"/>
        </w:rPr>
        <w:t>）</w:t>
      </w:r>
      <w:r>
        <w:rPr>
          <w:spacing w:val="-4"/>
        </w:rPr>
        <w:t>、核磁共振检查</w:t>
      </w:r>
      <w:r>
        <w:rPr/>
        <w:t>（</w:t>
      </w:r>
      <w:r>
        <w:rPr>
          <w:rFonts w:ascii="Courier New" w:eastAsia="Courier New"/>
          <w:w w:val="83"/>
        </w:rPr>
        <w:t>M</w:t>
      </w:r>
      <w:r>
        <w:rPr>
          <w:rFonts w:ascii="Courier New" w:eastAsia="Courier New"/>
          <w:spacing w:val="-1"/>
          <w:w w:val="83"/>
        </w:rPr>
        <w:t>RI</w:t>
      </w:r>
      <w:r>
        <w:rPr>
          <w:spacing w:val="-10"/>
        </w:rPr>
        <w:t>）</w:t>
      </w:r>
      <w:r>
        <w:rPr>
          <w:spacing w:val="-1"/>
        </w:rPr>
        <w:t>或正电子发射断层扫描</w:t>
      </w:r>
      <w:r>
        <w:rPr/>
        <w:t>（</w:t>
      </w:r>
      <w:r>
        <w:rPr>
          <w:rFonts w:ascii="Courier New" w:eastAsia="Courier New"/>
          <w:w w:val="83"/>
        </w:rPr>
        <w:t>P</w:t>
      </w:r>
      <w:r>
        <w:rPr>
          <w:rFonts w:ascii="Courier New" w:eastAsia="Courier New"/>
          <w:spacing w:val="-1"/>
          <w:w w:val="83"/>
        </w:rPr>
        <w:t>ET</w:t>
      </w:r>
      <w:r>
        <w:rPr>
          <w:spacing w:val="-10"/>
        </w:rPr>
        <w:t>）</w:t>
      </w:r>
      <w:r>
        <w:rPr/>
        <w:t>等影像学</w:t>
      </w:r>
      <w:r>
        <w:rPr>
          <w:spacing w:val="-3"/>
        </w:rPr>
        <w:t>检查证实。神经系统永久性的功能障碍，指脑损伤 </w:t>
      </w:r>
      <w:r>
        <w:rPr>
          <w:rFonts w:ascii="Courier New" w:eastAsia="Courier New"/>
        </w:rPr>
        <w:t>180</w:t>
      </w:r>
      <w:r>
        <w:rPr>
          <w:rFonts w:ascii="Courier New" w:eastAsia="Courier New"/>
          <w:spacing w:val="-84"/>
        </w:rPr>
        <w:t> </w:t>
      </w:r>
      <w:r>
        <w:rPr/>
        <w:t>天后，仍遗留下列一种或一种以</w:t>
      </w:r>
    </w:p>
    <w:p>
      <w:pPr>
        <w:spacing w:after="0" w:line="256" w:lineRule="auto"/>
        <w:sectPr>
          <w:pgSz w:w="11900" w:h="16840"/>
          <w:pgMar w:header="896" w:footer="1008" w:top="1280" w:bottom="1200" w:left="1680" w:right="1500"/>
        </w:sectPr>
      </w:pPr>
    </w:p>
    <w:p>
      <w:pPr>
        <w:pStyle w:val="BodyText"/>
        <w:spacing w:before="133"/>
        <w:ind w:left="476"/>
      </w:pPr>
      <w:r>
        <w:rPr/>
        <w:t>上障碍：</w:t>
      </w:r>
    </w:p>
    <w:p>
      <w:pPr>
        <w:pStyle w:val="BodyText"/>
        <w:spacing w:before="36"/>
        <w:ind w:left="837"/>
      </w:pPr>
      <w:r>
        <w:rPr>
          <w:w w:val="95"/>
        </w:rPr>
        <w:t>（</w:t>
      </w:r>
      <w:r>
        <w:rPr>
          <w:rFonts w:ascii="Courier New" w:eastAsia="Courier New"/>
          <w:w w:val="95"/>
        </w:rPr>
        <w:t>1</w:t>
      </w:r>
      <w:r>
        <w:rPr>
          <w:w w:val="95"/>
        </w:rPr>
        <w:t>）一肢或一肢以上肢体机能完全丧失；</w:t>
      </w:r>
    </w:p>
    <w:p>
      <w:pPr>
        <w:pStyle w:val="BodyText"/>
        <w:ind w:left="837"/>
      </w:pPr>
      <w:r>
        <w:rPr>
          <w:w w:val="95"/>
        </w:rPr>
        <w:t>（</w:t>
      </w:r>
      <w:r>
        <w:rPr>
          <w:rFonts w:ascii="Courier New" w:eastAsia="Courier New"/>
          <w:w w:val="95"/>
        </w:rPr>
        <w:t>2</w:t>
      </w:r>
      <w:r>
        <w:rPr>
          <w:w w:val="95"/>
        </w:rPr>
        <w:t>）语言能力或咀嚼吞咽能力完全丧失；</w:t>
      </w:r>
    </w:p>
    <w:p>
      <w:pPr>
        <w:pStyle w:val="BodyText"/>
        <w:spacing w:line="242" w:lineRule="auto"/>
        <w:ind w:left="1377" w:right="52" w:hanging="540"/>
      </w:pPr>
      <w:r>
        <w:rPr>
          <w:w w:val="95"/>
        </w:rPr>
        <w:t>（</w:t>
      </w:r>
      <w:r>
        <w:rPr>
          <w:rFonts w:ascii="Courier New" w:eastAsia="Courier New"/>
          <w:w w:val="95"/>
        </w:rPr>
        <w:t>3</w:t>
      </w:r>
      <w:r>
        <w:rPr>
          <w:w w:val="95"/>
        </w:rPr>
        <w:t>）自主生活能力完全丧失，无法独立完成六项基本日常生活活动中的三项或三项  </w:t>
      </w:r>
      <w:r>
        <w:rPr/>
        <w:t>以上。</w:t>
      </w:r>
    </w:p>
    <w:p>
      <w:pPr>
        <w:pStyle w:val="BodyText"/>
        <w:spacing w:before="34"/>
        <w:ind w:left="477"/>
      </w:pPr>
      <w:r>
        <w:rPr>
          <w:rFonts w:ascii="Courier New" w:eastAsia="Courier New"/>
        </w:rPr>
        <w:t>19</w:t>
      </w:r>
      <w:r>
        <w:rPr/>
        <w:t>、 严重帕金森病：</w:t>
      </w:r>
    </w:p>
    <w:p>
      <w:pPr>
        <w:pStyle w:val="BodyText"/>
        <w:spacing w:line="273" w:lineRule="auto"/>
        <w:ind w:left="476" w:right="70" w:firstLine="478"/>
      </w:pPr>
      <w:r>
        <w:rPr/>
        <w:t>是一种中枢神经系统的退行性疾病，临床表现为震颤麻痹、共济失调等。须满足下列全部条件：</w:t>
      </w:r>
    </w:p>
    <w:p>
      <w:pPr>
        <w:pStyle w:val="BodyText"/>
        <w:spacing w:before="7"/>
        <w:ind w:left="837"/>
      </w:pPr>
      <w:r>
        <w:rPr>
          <w:w w:val="95"/>
        </w:rPr>
        <w:t>（</w:t>
      </w:r>
      <w:r>
        <w:rPr>
          <w:rFonts w:ascii="Courier New" w:eastAsia="Courier New"/>
          <w:w w:val="95"/>
        </w:rPr>
        <w:t>1</w:t>
      </w:r>
      <w:r>
        <w:rPr>
          <w:w w:val="95"/>
        </w:rPr>
        <w:t>）药物治疗无法控制病情；</w:t>
      </w:r>
    </w:p>
    <w:p>
      <w:pPr>
        <w:pStyle w:val="BodyText"/>
        <w:spacing w:line="242" w:lineRule="auto"/>
        <w:ind w:left="1377" w:right="52" w:hanging="540"/>
      </w:pPr>
      <w:r>
        <w:rPr>
          <w:w w:val="95"/>
        </w:rPr>
        <w:t>（</w:t>
      </w:r>
      <w:r>
        <w:rPr>
          <w:rFonts w:ascii="Courier New" w:eastAsia="Courier New"/>
          <w:w w:val="95"/>
        </w:rPr>
        <w:t>2</w:t>
      </w:r>
      <w:r>
        <w:rPr>
          <w:w w:val="95"/>
        </w:rPr>
        <w:t>）自主生活能力完全丧失，无法独立完成六项基本日常生活活动中的三项或三项  </w:t>
      </w:r>
      <w:r>
        <w:rPr/>
        <w:t>以上。</w:t>
      </w:r>
    </w:p>
    <w:p>
      <w:pPr>
        <w:pStyle w:val="BodyText"/>
        <w:spacing w:before="35"/>
        <w:ind w:left="959"/>
      </w:pPr>
      <w:r>
        <w:rPr/>
        <w:t>继发性帕金森综合征不在保障范围内。</w:t>
      </w:r>
    </w:p>
    <w:p>
      <w:pPr>
        <w:pStyle w:val="BodyText"/>
        <w:spacing w:before="37"/>
        <w:ind w:left="477"/>
      </w:pPr>
      <w:r>
        <w:rPr>
          <w:rFonts w:ascii="Courier New" w:hAnsi="Courier New" w:eastAsia="Courier New"/>
        </w:rPr>
        <w:t>20</w:t>
      </w:r>
      <w:r>
        <w:rPr/>
        <w:t>、 严重Ⅲ度烧伤：</w:t>
      </w:r>
    </w:p>
    <w:p>
      <w:pPr>
        <w:pStyle w:val="BodyText"/>
        <w:spacing w:line="242" w:lineRule="auto"/>
        <w:ind w:left="476" w:right="116" w:firstLine="420"/>
      </w:pPr>
      <w:r>
        <w:rPr>
          <w:w w:val="95"/>
        </w:rPr>
        <w:t>指烧伤程度为Ⅲ度，且Ⅲ度烧伤的面积达到全身体表面积的 </w:t>
      </w:r>
      <w:r>
        <w:rPr>
          <w:rFonts w:ascii="Courier New" w:hAnsi="Courier New" w:eastAsia="Courier New"/>
          <w:w w:val="95"/>
        </w:rPr>
        <w:t>20</w:t>
      </w:r>
      <w:r>
        <w:rPr>
          <w:w w:val="95"/>
        </w:rPr>
        <w:t>％或 </w:t>
      </w:r>
      <w:r>
        <w:rPr>
          <w:rFonts w:ascii="Courier New" w:hAnsi="Courier New" w:eastAsia="Courier New"/>
          <w:w w:val="95"/>
        </w:rPr>
        <w:t>20</w:t>
      </w:r>
      <w:r>
        <w:rPr>
          <w:w w:val="95"/>
        </w:rPr>
        <w:t>％以上。体表</w:t>
      </w:r>
      <w:r>
        <w:rPr/>
        <w:t>面积根据《中国新九分法》计算。</w:t>
      </w:r>
    </w:p>
    <w:p>
      <w:pPr>
        <w:pStyle w:val="BodyText"/>
        <w:spacing w:before="34"/>
        <w:ind w:left="477"/>
      </w:pPr>
      <w:r>
        <w:rPr>
          <w:rFonts w:ascii="Courier New" w:eastAsia="Courier New"/>
        </w:rPr>
        <w:t>21</w:t>
      </w:r>
      <w:r>
        <w:rPr/>
        <w:t>、 严重原发性肺动脉高压：</w:t>
      </w:r>
    </w:p>
    <w:p>
      <w:pPr>
        <w:pStyle w:val="BodyText"/>
        <w:spacing w:line="256" w:lineRule="auto"/>
        <w:ind w:left="476" w:right="113" w:firstLine="420"/>
        <w:jc w:val="both"/>
      </w:pPr>
      <w:r>
        <w:rPr/>
        <w:t>指不明原因的肺动脉压力持续性增高，进行性发展而导致的慢性疾病，已经造成永</w:t>
      </w:r>
      <w:r>
        <w:rPr>
          <w:spacing w:val="-6"/>
        </w:rPr>
        <w:t>久不可逆性的体力活动能力受限，达到美国纽约心脏病学会心功能状态分级 </w:t>
      </w:r>
      <w:r>
        <w:rPr>
          <w:rFonts w:ascii="Courier New" w:eastAsia="Courier New"/>
        </w:rPr>
        <w:t>IV</w:t>
      </w:r>
      <w:r>
        <w:rPr>
          <w:rFonts w:ascii="Courier New" w:eastAsia="Courier New"/>
          <w:spacing w:val="-94"/>
        </w:rPr>
        <w:t> </w:t>
      </w:r>
      <w:r>
        <w:rPr>
          <w:spacing w:val="-9"/>
        </w:rPr>
        <w:t>级，且静</w:t>
      </w:r>
      <w:r>
        <w:rPr>
          <w:spacing w:val="-9"/>
          <w:w w:val="95"/>
        </w:rPr>
        <w:t>息状态下肺动脉平均压超过 </w:t>
      </w:r>
      <w:r>
        <w:rPr>
          <w:rFonts w:ascii="Courier New" w:eastAsia="Courier New"/>
          <w:w w:val="95"/>
        </w:rPr>
        <w:t>30mmHg</w:t>
      </w:r>
      <w:r>
        <w:rPr>
          <w:w w:val="95"/>
        </w:rPr>
        <w:t>。</w:t>
      </w:r>
    </w:p>
    <w:p>
      <w:pPr>
        <w:pStyle w:val="BodyText"/>
        <w:spacing w:line="295" w:lineRule="exact" w:before="0"/>
        <w:ind w:left="477"/>
      </w:pPr>
      <w:r>
        <w:rPr>
          <w:rFonts w:ascii="Courier New" w:eastAsia="Courier New"/>
        </w:rPr>
        <w:t>22</w:t>
      </w:r>
      <w:r>
        <w:rPr/>
        <w:t>、 严重运动神经元病：</w:t>
      </w:r>
    </w:p>
    <w:p>
      <w:pPr>
        <w:pStyle w:val="BodyText"/>
        <w:spacing w:line="273" w:lineRule="auto"/>
        <w:ind w:left="476" w:right="113"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7"/>
        <w:ind w:left="477"/>
      </w:pPr>
      <w:r>
        <w:rPr>
          <w:rFonts w:ascii="Courier New" w:eastAsia="Courier New"/>
        </w:rPr>
        <w:t>23</w:t>
      </w:r>
      <w:r>
        <w:rPr/>
        <w:t>、 语言能力丧失：</w:t>
      </w:r>
    </w:p>
    <w:p>
      <w:pPr>
        <w:pStyle w:val="BodyText"/>
        <w:spacing w:line="242" w:lineRule="auto"/>
        <w:ind w:left="476" w:right="53" w:firstLine="478"/>
      </w:pPr>
      <w:r>
        <w:rPr>
          <w:spacing w:val="-1"/>
        </w:rPr>
        <w:t>指因疾病或意外伤害导致完全丧失语言能力，经过积极治疗至少 </w:t>
      </w:r>
      <w:r>
        <w:rPr>
          <w:rFonts w:ascii="Courier New" w:eastAsia="Courier New"/>
        </w:rPr>
        <w:t>12 </w:t>
      </w:r>
      <w:r>
        <w:rPr/>
        <w:t>个月（声带完全切除不受此时间限制</w:t>
      </w:r>
      <w:r>
        <w:rPr>
          <w:spacing w:val="-106"/>
        </w:rPr>
        <w:t>）</w:t>
      </w:r>
      <w:r>
        <w:rPr/>
        <w:t>，仍无法通过现有医疗手段恢复。</w:t>
      </w:r>
    </w:p>
    <w:p>
      <w:pPr>
        <w:pStyle w:val="BodyText"/>
        <w:spacing w:before="34"/>
        <w:ind w:left="896"/>
      </w:pPr>
      <w:r>
        <w:rPr/>
        <w:t>精神心理因素所致的语言能力丧失不在保障范围内。</w:t>
      </w:r>
    </w:p>
    <w:p>
      <w:pPr>
        <w:pStyle w:val="BodyText"/>
        <w:spacing w:before="36"/>
        <w:ind w:left="477"/>
      </w:pPr>
      <w:r>
        <w:rPr>
          <w:rFonts w:ascii="Courier New" w:eastAsia="Courier New"/>
        </w:rPr>
        <w:t>24</w:t>
      </w:r>
      <w:r>
        <w:rPr/>
        <w:t>、 重型再生障碍性贫血：</w:t>
      </w:r>
    </w:p>
    <w:p>
      <w:pPr>
        <w:pStyle w:val="BodyText"/>
        <w:spacing w:line="273" w:lineRule="auto"/>
        <w:ind w:left="476" w:right="69" w:firstLine="478"/>
      </w:pPr>
      <w:r>
        <w:rPr/>
        <w:t>指因骨髓造血功能慢性持续性衰竭导致的贫血、中性粒细胞减少及血小板减少。须满足下列全部条件：</w:t>
      </w:r>
    </w:p>
    <w:p>
      <w:pPr>
        <w:pStyle w:val="BodyText"/>
        <w:spacing w:before="8"/>
        <w:ind w:left="896"/>
      </w:pPr>
      <w:r>
        <w:rPr>
          <w:w w:val="95"/>
        </w:rPr>
        <w:t>（</w:t>
      </w:r>
      <w:r>
        <w:rPr>
          <w:rFonts w:ascii="Courier New" w:eastAsia="Courier New"/>
          <w:w w:val="95"/>
        </w:rPr>
        <w:t>1</w:t>
      </w:r>
      <w:r>
        <w:rPr>
          <w:w w:val="95"/>
        </w:rPr>
        <w:t>）骨髓穿刺检查或骨髓活检结果支持诊断；</w:t>
      </w:r>
    </w:p>
    <w:p>
      <w:pPr>
        <w:pStyle w:val="BodyText"/>
        <w:ind w:left="896"/>
      </w:pPr>
      <w:r>
        <w:rPr>
          <w:w w:val="95"/>
        </w:rPr>
        <w:t>（</w:t>
      </w:r>
      <w:r>
        <w:rPr>
          <w:rFonts w:ascii="Courier New" w:eastAsia="Courier New"/>
          <w:w w:val="95"/>
        </w:rPr>
        <w:t>2</w:t>
      </w:r>
      <w:r>
        <w:rPr>
          <w:w w:val="95"/>
        </w:rPr>
        <w:t>）外周血象须具备以下三项条件：</w:t>
      </w:r>
    </w:p>
    <w:p>
      <w:pPr>
        <w:pStyle w:val="BodyText"/>
        <w:ind w:left="1316"/>
      </w:pPr>
      <w:r>
        <w:rPr>
          <w:w w:val="95"/>
        </w:rPr>
        <w:t>① 中性粒细胞绝对值≤</w:t>
      </w:r>
      <w:r>
        <w:rPr>
          <w:rFonts w:ascii="Courier New" w:hAnsi="Courier New" w:eastAsia="Courier New"/>
          <w:w w:val="95"/>
        </w:rPr>
        <w:t>0.5</w:t>
      </w:r>
      <w:r>
        <w:rPr>
          <w:w w:val="95"/>
        </w:rPr>
        <w:t>×</w:t>
      </w:r>
      <w:r>
        <w:rPr>
          <w:rFonts w:ascii="Courier New" w:hAnsi="Courier New" w:eastAsia="Courier New"/>
          <w:w w:val="95"/>
        </w:rPr>
        <w:t>10</w:t>
      </w:r>
      <w:r>
        <w:rPr>
          <w:rFonts w:ascii="Courier New" w:hAnsi="Courier New" w:eastAsia="Courier New"/>
          <w:w w:val="95"/>
          <w:position w:val="11"/>
          <w:sz w:val="11"/>
        </w:rPr>
        <w:t>9</w:t>
      </w:r>
      <w:r>
        <w:rPr>
          <w:rFonts w:ascii="Courier New" w:hAnsi="Courier New" w:eastAsia="Courier New"/>
          <w:w w:val="95"/>
        </w:rPr>
        <w:t>/L </w:t>
      </w:r>
      <w:r>
        <w:rPr>
          <w:w w:val="95"/>
        </w:rPr>
        <w:t>；</w:t>
      </w:r>
    </w:p>
    <w:p>
      <w:pPr>
        <w:pStyle w:val="BodyText"/>
        <w:spacing w:before="4"/>
        <w:ind w:left="1316"/>
      </w:pPr>
      <w:r>
        <w:rPr/>
        <w:t>② 网织红细胞＜</w:t>
      </w:r>
      <w:r>
        <w:rPr>
          <w:rFonts w:ascii="Courier New" w:hAnsi="Courier New" w:eastAsia="Courier New"/>
        </w:rPr>
        <w:t>1%</w:t>
      </w:r>
      <w:r>
        <w:rPr/>
        <w:t>；</w:t>
      </w:r>
    </w:p>
    <w:p>
      <w:pPr>
        <w:pStyle w:val="BodyText"/>
        <w:ind w:left="1304" w:right="4400"/>
        <w:jc w:val="center"/>
      </w:pPr>
      <w:r>
        <w:rPr>
          <w:w w:val="95"/>
        </w:rPr>
        <w:t>③ 血小板绝对值≤</w:t>
      </w:r>
      <w:r>
        <w:rPr>
          <w:rFonts w:ascii="Courier New" w:hAnsi="Courier New" w:eastAsia="Courier New"/>
          <w:w w:val="95"/>
        </w:rPr>
        <w:t>20</w:t>
      </w:r>
      <w:r>
        <w:rPr>
          <w:w w:val="95"/>
        </w:rPr>
        <w:t>×</w:t>
      </w:r>
      <w:r>
        <w:rPr>
          <w:rFonts w:ascii="Courier New" w:hAnsi="Courier New" w:eastAsia="Courier New"/>
          <w:w w:val="95"/>
        </w:rPr>
        <w:t>10</w:t>
      </w:r>
      <w:r>
        <w:rPr>
          <w:rFonts w:ascii="Courier New" w:hAnsi="Courier New" w:eastAsia="Courier New"/>
          <w:w w:val="95"/>
          <w:position w:val="11"/>
          <w:sz w:val="11"/>
        </w:rPr>
        <w:t>9</w:t>
      </w:r>
      <w:r>
        <w:rPr>
          <w:rFonts w:ascii="Courier New" w:hAnsi="Courier New" w:eastAsia="Courier New"/>
          <w:w w:val="95"/>
        </w:rPr>
        <w:t>/L</w:t>
      </w:r>
      <w:r>
        <w:rPr>
          <w:w w:val="95"/>
        </w:rPr>
        <w:t>。</w:t>
      </w:r>
    </w:p>
    <w:p>
      <w:pPr>
        <w:pStyle w:val="BodyText"/>
        <w:ind w:left="477"/>
      </w:pPr>
      <w:r>
        <w:rPr>
          <w:rFonts w:ascii="Courier New" w:eastAsia="Courier New"/>
          <w:w w:val="95"/>
        </w:rPr>
        <w:t>25</w:t>
      </w:r>
      <w:r>
        <w:rPr>
          <w:w w:val="95"/>
        </w:rPr>
        <w:t>、 主动脉手术：</w:t>
      </w:r>
    </w:p>
    <w:p>
      <w:pPr>
        <w:pStyle w:val="BodyText"/>
        <w:spacing w:line="273" w:lineRule="auto"/>
        <w:ind w:left="476" w:right="70" w:firstLine="478"/>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96"/>
      </w:pPr>
      <w:r>
        <w:rPr/>
        <w:t>动脉内血管成形术不在保障范围内。</w:t>
      </w:r>
    </w:p>
    <w:p>
      <w:pPr>
        <w:pStyle w:val="BodyText"/>
        <w:spacing w:before="8"/>
        <w:rPr>
          <w:sz w:val="26"/>
        </w:rPr>
      </w:pPr>
    </w:p>
    <w:p>
      <w:pPr>
        <w:pStyle w:val="BodyText"/>
        <w:spacing w:before="1"/>
        <w:ind w:left="477"/>
      </w:pPr>
      <w:r>
        <w:rPr/>
        <w:t>二、《重大疾病保险的疾病定义使用规范》范围以外的疾病种类：</w:t>
      </w:r>
    </w:p>
    <w:p>
      <w:pPr>
        <w:pStyle w:val="BodyText"/>
        <w:spacing w:before="37"/>
        <w:ind w:left="477"/>
      </w:pPr>
      <w:r>
        <w:rPr>
          <w:rFonts w:ascii="Courier New" w:eastAsia="Courier New"/>
        </w:rPr>
        <w:t>26</w:t>
      </w:r>
      <w:r>
        <w:rPr/>
        <w:t>、 原发性心肌病：</w:t>
      </w:r>
    </w:p>
    <w:p>
      <w:pPr>
        <w:pStyle w:val="BodyText"/>
        <w:ind w:left="896"/>
      </w:pPr>
      <w:r>
        <w:rPr/>
        <w:t>指经专科医生确诊被保险人因心肌病包括扩张型心肌病、肥厚型心肌病及限制型心</w:t>
      </w:r>
    </w:p>
    <w:p>
      <w:pPr>
        <w:spacing w:after="0"/>
        <w:sectPr>
          <w:pgSz w:w="11900" w:h="16840"/>
          <w:pgMar w:header="896" w:footer="1008" w:top="1280" w:bottom="1200" w:left="1680" w:right="1600"/>
        </w:sectPr>
      </w:pPr>
    </w:p>
    <w:p>
      <w:pPr>
        <w:pStyle w:val="BodyText"/>
        <w:spacing w:line="242" w:lineRule="auto" w:before="133"/>
        <w:ind w:left="476" w:right="216"/>
      </w:pPr>
      <w:r>
        <w:rPr>
          <w:w w:val="95"/>
        </w:rPr>
        <w:t>肌病而导致出现明显的心功能衰竭</w:t>
      </w:r>
      <w:r>
        <w:rPr>
          <w:rFonts w:ascii="Courier New" w:eastAsia="Courier New"/>
          <w:w w:val="95"/>
        </w:rPr>
        <w:t>(</w:t>
      </w:r>
      <w:r>
        <w:rPr>
          <w:w w:val="95"/>
        </w:rPr>
        <w:t>纽约心脏病协会分类标准心功能至少达四级</w:t>
      </w:r>
      <w:r>
        <w:rPr>
          <w:rFonts w:ascii="Courier New" w:eastAsia="Courier New"/>
          <w:w w:val="95"/>
        </w:rPr>
        <w:t>*)</w:t>
      </w:r>
      <w:r>
        <w:rPr>
          <w:spacing w:val="-20"/>
          <w:w w:val="95"/>
        </w:rPr>
        <w:t>。继发  </w:t>
      </w:r>
      <w:r>
        <w:rPr>
          <w:spacing w:val="-20"/>
        </w:rPr>
        <w:t>于酒精滥用性的心肌病不在此保障范围之内。</w:t>
      </w:r>
    </w:p>
    <w:p>
      <w:pPr>
        <w:pStyle w:val="BodyText"/>
        <w:spacing w:line="242" w:lineRule="auto" w:before="34"/>
        <w:ind w:left="476" w:right="41" w:firstLine="420"/>
      </w:pPr>
      <w:r>
        <w:rPr>
          <w:rFonts w:ascii="Courier New" w:eastAsia="Courier New"/>
        </w:rPr>
        <w:t>*</w:t>
      </w:r>
      <w:r>
        <w:rPr/>
        <w:t>纽约心脏病协会分类标准心功能四级是指尽管病人已进行了药物治疗及饮食调节， 但其在日常活动中仍出现心衰的症状，并且体检及实验室检查显示有心功能异常的证据。</w:t>
      </w:r>
    </w:p>
    <w:p>
      <w:pPr>
        <w:pStyle w:val="BodyText"/>
        <w:spacing w:before="34"/>
        <w:ind w:left="477"/>
      </w:pPr>
      <w:r>
        <w:rPr>
          <w:rFonts w:ascii="Courier New" w:eastAsia="Courier New"/>
        </w:rPr>
        <w:t>27</w:t>
      </w:r>
      <w:r>
        <w:rPr/>
        <w:t>、 脑动脉瘤开颅手术：</w:t>
      </w:r>
    </w:p>
    <w:p>
      <w:pPr>
        <w:pStyle w:val="BodyText"/>
        <w:ind w:left="896"/>
      </w:pPr>
      <w:r>
        <w:rPr/>
        <w:t>指确已进行开颅手术以夹闭、修复或切除脑动脉瘤。但不包括导管及血管内手术。</w:t>
      </w:r>
    </w:p>
    <w:p>
      <w:pPr>
        <w:pStyle w:val="BodyText"/>
        <w:spacing w:before="37"/>
        <w:ind w:left="477"/>
      </w:pPr>
      <w:r>
        <w:rPr>
          <w:rFonts w:ascii="Courier New" w:eastAsia="Courier New"/>
          <w:w w:val="95"/>
        </w:rPr>
        <w:t>28</w:t>
      </w:r>
      <w:r>
        <w:rPr>
          <w:w w:val="95"/>
        </w:rPr>
        <w:t>、 多发性硬化：</w:t>
      </w:r>
    </w:p>
    <w:p>
      <w:pPr>
        <w:pStyle w:val="BodyText"/>
        <w:spacing w:line="273" w:lineRule="auto"/>
        <w:ind w:left="476" w:right="213" w:firstLine="420"/>
      </w:pPr>
      <w:r>
        <w:rPr/>
        <w:t>指经诊断证实有典型中枢神经系统脱髓鞘病变及永久性神经功能障碍，且此不可逆</w:t>
      </w:r>
      <w:r>
        <w:rPr>
          <w:spacing w:val="-3"/>
        </w:rPr>
        <w:t>性神经功能障碍诊断需于第一次诊断 </w:t>
      </w:r>
      <w:r>
        <w:rPr>
          <w:rFonts w:ascii="Courier New" w:eastAsia="Courier New"/>
        </w:rPr>
        <w:t>6</w:t>
      </w:r>
      <w:r>
        <w:rPr>
          <w:rFonts w:ascii="Courier New" w:eastAsia="Courier New"/>
          <w:spacing w:val="-63"/>
        </w:rPr>
        <w:t> </w:t>
      </w:r>
      <w:r>
        <w:rPr/>
        <w:t>个月后做出方有效。诊断须由专科检查确定（由</w:t>
      </w:r>
    </w:p>
    <w:p>
      <w:pPr>
        <w:pStyle w:val="BodyText"/>
        <w:spacing w:line="278" w:lineRule="exact" w:before="0"/>
        <w:ind w:left="476"/>
      </w:pPr>
      <w:r>
        <w:rPr>
          <w:rFonts w:ascii="Courier New" w:eastAsia="Courier New"/>
          <w:w w:val="95"/>
        </w:rPr>
        <w:t>CT  </w:t>
      </w:r>
      <w:r>
        <w:rPr>
          <w:w w:val="95"/>
        </w:rPr>
        <w:t>检查或核磁共振等检查来确定有中枢神经系统的脱髓鞘病变）</w:t>
      </w:r>
    </w:p>
    <w:p>
      <w:pPr>
        <w:pStyle w:val="BodyText"/>
        <w:spacing w:before="4"/>
        <w:ind w:left="477"/>
      </w:pPr>
      <w:r>
        <w:rPr>
          <w:rFonts w:ascii="Courier New" w:eastAsia="Courier New"/>
        </w:rPr>
        <w:t>29</w:t>
      </w:r>
      <w:r>
        <w:rPr>
          <w:spacing w:val="-29"/>
        </w:rPr>
        <w:t>、 严重 </w:t>
      </w:r>
      <w:r>
        <w:rPr>
          <w:rFonts w:ascii="Courier New" w:eastAsia="Courier New"/>
        </w:rPr>
        <w:t>1</w:t>
      </w:r>
      <w:r>
        <w:rPr>
          <w:rFonts w:ascii="Courier New" w:eastAsia="Courier New"/>
          <w:spacing w:val="-92"/>
        </w:rPr>
        <w:t> </w:t>
      </w:r>
      <w:r>
        <w:rPr/>
        <w:t>型糖尿病：</w:t>
      </w:r>
    </w:p>
    <w:p>
      <w:pPr>
        <w:pStyle w:val="BodyText"/>
        <w:spacing w:line="273" w:lineRule="auto"/>
        <w:ind w:left="476" w:right="213" w:firstLine="420"/>
      </w:pPr>
      <w:r>
        <w:rPr/>
        <w:t>指严重的胰岛素缺乏和依赖外源性胰岛素以防止酮症酸中毒和保全生命。此病症须</w:t>
      </w:r>
      <w:r>
        <w:rPr>
          <w:spacing w:val="-4"/>
        </w:rPr>
        <w:t>由专科医生确诊并应用胰岛素治疗 </w:t>
      </w:r>
      <w:r>
        <w:rPr>
          <w:rFonts w:ascii="Courier New" w:eastAsia="Courier New"/>
        </w:rPr>
        <w:t>6</w:t>
      </w:r>
      <w:r>
        <w:rPr>
          <w:rFonts w:ascii="Courier New" w:eastAsia="Courier New"/>
          <w:spacing w:val="-85"/>
        </w:rPr>
        <w:t> </w:t>
      </w:r>
      <w:r>
        <w:rPr/>
        <w:t>个月以上。</w:t>
      </w:r>
    </w:p>
    <w:p>
      <w:pPr>
        <w:pStyle w:val="BodyText"/>
        <w:spacing w:line="278" w:lineRule="exact" w:before="0"/>
        <w:ind w:left="477"/>
      </w:pPr>
      <w:r>
        <w:rPr>
          <w:rFonts w:ascii="Courier New" w:eastAsia="Courier New"/>
        </w:rPr>
        <w:t>30</w:t>
      </w:r>
      <w:r>
        <w:rPr/>
        <w:t>、 由输血或输液而感染艾滋病病毒：</w:t>
      </w:r>
    </w:p>
    <w:p>
      <w:pPr>
        <w:pStyle w:val="BodyText"/>
        <w:spacing w:line="252" w:lineRule="auto" w:before="4"/>
        <w:ind w:left="475" w:right="215" w:firstLine="420"/>
        <w:jc w:val="both"/>
      </w:pPr>
      <w:r>
        <w:rPr>
          <w:spacing w:val="-2"/>
          <w:w w:val="95"/>
        </w:rPr>
        <w:t>艾滋病病毒指人类免疫缺陷病毒，英文缩写为</w:t>
      </w:r>
      <w:r>
        <w:rPr>
          <w:rFonts w:ascii="Courier New" w:eastAsia="Courier New"/>
          <w:w w:val="95"/>
        </w:rPr>
        <w:t>HIV</w:t>
      </w:r>
      <w:r>
        <w:rPr>
          <w:spacing w:val="-6"/>
          <w:w w:val="95"/>
        </w:rPr>
        <w:t>。艾滋病指人类免疫缺陷病毒引起  的获得性免疫缺陷综合征，英文缩写为</w:t>
      </w:r>
      <w:r>
        <w:rPr>
          <w:rFonts w:ascii="Courier New" w:eastAsia="Courier New"/>
          <w:spacing w:val="-6"/>
          <w:w w:val="95"/>
        </w:rPr>
        <w:t>AIDS</w:t>
      </w:r>
      <w:r>
        <w:rPr>
          <w:spacing w:val="-6"/>
          <w:w w:val="95"/>
        </w:rPr>
        <w:t>。在人体血液或其它样本中检测到艾滋病病  </w:t>
      </w:r>
      <w:r>
        <w:rPr>
          <w:spacing w:val="-6"/>
        </w:rPr>
        <w:t>毒或其抗体呈阳性，没有出现临床症状或体征的，为感染艾滋病病毒；如果同时出现了明显临床症状或体征的，为患艾滋病。</w:t>
      </w:r>
    </w:p>
    <w:p>
      <w:pPr>
        <w:pStyle w:val="BodyText"/>
        <w:spacing w:before="26"/>
        <w:ind w:left="895"/>
      </w:pPr>
      <w:r>
        <w:rPr/>
        <w:t>由输血或输液而感染艾滋病病毒的病症须同时满足以下条件：</w:t>
      </w:r>
    </w:p>
    <w:p>
      <w:pPr>
        <w:pStyle w:val="ListParagraph"/>
        <w:numPr>
          <w:ilvl w:val="0"/>
          <w:numId w:val="12"/>
        </w:numPr>
        <w:tabs>
          <w:tab w:pos="1378" w:val="left" w:leader="none"/>
        </w:tabs>
        <w:spacing w:line="242" w:lineRule="auto" w:before="36" w:after="0"/>
        <w:ind w:left="1377" w:right="214" w:hanging="360"/>
        <w:jc w:val="left"/>
        <w:rPr>
          <w:sz w:val="21"/>
        </w:rPr>
      </w:pPr>
      <w:r>
        <w:rPr>
          <w:spacing w:val="-1"/>
          <w:sz w:val="21"/>
        </w:rPr>
        <w:t>被保险人在本合同生效</w:t>
      </w:r>
      <w:r>
        <w:rPr>
          <w:sz w:val="21"/>
        </w:rPr>
        <w:t>（或复效</w:t>
      </w:r>
      <w:r>
        <w:rPr>
          <w:spacing w:val="-5"/>
          <w:sz w:val="21"/>
        </w:rPr>
        <w:t>）</w:t>
      </w:r>
      <w:r>
        <w:rPr>
          <w:spacing w:val="-1"/>
          <w:sz w:val="21"/>
        </w:rPr>
        <w:t>一百八十天后，在中华人民共和国司法管辖区范围内因医疗而接受输血或输液，并因该次输血或输液而感染上述病毒；</w:t>
      </w:r>
    </w:p>
    <w:p>
      <w:pPr>
        <w:pStyle w:val="ListParagraph"/>
        <w:numPr>
          <w:ilvl w:val="0"/>
          <w:numId w:val="12"/>
        </w:numPr>
        <w:tabs>
          <w:tab w:pos="1378" w:val="left" w:leader="none"/>
        </w:tabs>
        <w:spacing w:line="240" w:lineRule="auto" w:before="34" w:after="0"/>
        <w:ind w:left="1377" w:right="0" w:hanging="360"/>
        <w:jc w:val="left"/>
        <w:rPr>
          <w:sz w:val="21"/>
        </w:rPr>
      </w:pPr>
      <w:r>
        <w:rPr>
          <w:sz w:val="21"/>
        </w:rPr>
        <w:t>医疗机构确认该项输血或输液医疗行为是在该医疗机构进行的；</w:t>
      </w:r>
    </w:p>
    <w:p>
      <w:pPr>
        <w:pStyle w:val="ListParagraph"/>
        <w:numPr>
          <w:ilvl w:val="0"/>
          <w:numId w:val="12"/>
        </w:numPr>
        <w:tabs>
          <w:tab w:pos="1378" w:val="left" w:leader="none"/>
        </w:tabs>
        <w:spacing w:line="240" w:lineRule="auto" w:before="3" w:after="0"/>
        <w:ind w:left="1377" w:right="0" w:hanging="360"/>
        <w:jc w:val="left"/>
        <w:rPr>
          <w:sz w:val="21"/>
        </w:rPr>
      </w:pPr>
      <w:r>
        <w:rPr>
          <w:sz w:val="21"/>
        </w:rPr>
        <w:t>被保险人并非地中海贫血患者、血友病或再生障碍性贫血患者；</w:t>
      </w:r>
    </w:p>
    <w:p>
      <w:pPr>
        <w:pStyle w:val="BodyText"/>
        <w:spacing w:line="273" w:lineRule="auto"/>
        <w:ind w:left="476" w:right="213" w:firstLine="420"/>
      </w:pPr>
      <w:r>
        <w:rPr/>
        <w:t>如果感染前可能治愈、或者被保险人在感染前选择不接受有效的疫苗，保险公司不承担给付保险金的责任。</w:t>
      </w:r>
    </w:p>
    <w:p>
      <w:pPr>
        <w:pStyle w:val="BodyText"/>
        <w:spacing w:before="7"/>
        <w:ind w:left="477"/>
      </w:pPr>
      <w:r>
        <w:rPr>
          <w:rFonts w:ascii="Courier New" w:eastAsia="Courier New"/>
          <w:w w:val="95"/>
        </w:rPr>
        <w:t>31</w:t>
      </w:r>
      <w:r>
        <w:rPr>
          <w:w w:val="95"/>
        </w:rPr>
        <w:t>、  幼年类风湿性关节炎</w:t>
      </w:r>
      <w:r>
        <w:rPr>
          <w:rFonts w:ascii="Courier New" w:eastAsia="Courier New"/>
          <w:w w:val="95"/>
        </w:rPr>
        <w:t>-</w:t>
      </w:r>
      <w:r>
        <w:rPr>
          <w:w w:val="95"/>
        </w:rPr>
        <w:t>斯蒂尔病且已接受关节置换手术：</w:t>
      </w:r>
    </w:p>
    <w:p>
      <w:pPr>
        <w:pStyle w:val="BodyText"/>
        <w:spacing w:line="273" w:lineRule="auto"/>
        <w:ind w:left="657" w:right="59" w:firstLine="404"/>
      </w:pPr>
      <w:r>
        <w:rPr/>
        <w:t>指小儿时期的一种常见的结缔组织病，可有持续高热，慢性关节炎，皮肤、肌肉、肝、脾和淋巴结受累，类风湿因子阳性；是一种或一组以慢性滑囊炎和一些关节外症状为表现的疾病。此病症须由专科医生确诊并确已接受关节置换手术治疗。</w:t>
      </w:r>
    </w:p>
    <w:p>
      <w:pPr>
        <w:pStyle w:val="BodyText"/>
        <w:spacing w:before="7"/>
        <w:ind w:left="477"/>
      </w:pPr>
      <w:r>
        <w:rPr>
          <w:rFonts w:ascii="Courier New" w:eastAsia="Courier New"/>
        </w:rPr>
        <w:t>32</w:t>
      </w:r>
      <w:r>
        <w:rPr/>
        <w:t>、 急性坏死性胰腺炎：</w:t>
      </w:r>
    </w:p>
    <w:p>
      <w:pPr>
        <w:pStyle w:val="BodyText"/>
        <w:spacing w:line="273" w:lineRule="auto"/>
        <w:ind w:left="537" w:right="168" w:firstLine="420"/>
      </w:pPr>
      <w:r>
        <w:rPr/>
        <w:t>指由专科医生确诊为急性坏死性胰腺炎，需进行坏死组织清除、病灶切除或胰腺部分切除的手术治疗，但不包括因酒精中毒引起的急性坏死性胰腺炎。</w:t>
      </w:r>
    </w:p>
    <w:p>
      <w:pPr>
        <w:pStyle w:val="BodyText"/>
        <w:spacing w:before="7"/>
        <w:ind w:left="477"/>
      </w:pPr>
      <w:r>
        <w:rPr>
          <w:rFonts w:ascii="Courier New" w:eastAsia="Courier New"/>
        </w:rPr>
        <w:t>33</w:t>
      </w:r>
      <w:r>
        <w:rPr/>
        <w:t>、 严重的类风湿性关节炎：</w:t>
      </w:r>
    </w:p>
    <w:p>
      <w:pPr>
        <w:pStyle w:val="BodyText"/>
        <w:spacing w:line="273" w:lineRule="auto"/>
        <w:ind w:left="535" w:right="110" w:firstLine="420"/>
      </w:pPr>
      <w:r>
        <w:rPr>
          <w:spacing w:val="-8"/>
        </w:rPr>
        <w:t>广泛的关节损坏，临床上存在三个或三个以上下列关节的畸形：手、腕、肘、颈椎、</w:t>
      </w:r>
      <w:r>
        <w:rPr>
          <w:spacing w:val="-5"/>
        </w:rPr>
        <w:t>膝、踝、蹠－趾关节。并且由专科医生确认被保险人在无他人协助下无法独立完成以下</w:t>
      </w:r>
      <w:r>
        <w:rPr>
          <w:spacing w:val="-8"/>
        </w:rPr>
        <w:t>至少三项日常生活活动。上述畸形及功能异常须持续至少达 </w:t>
      </w:r>
      <w:r>
        <w:rPr>
          <w:rFonts w:ascii="Courier New" w:eastAsia="Courier New"/>
        </w:rPr>
        <w:t>180</w:t>
      </w:r>
      <w:r>
        <w:rPr>
          <w:rFonts w:ascii="Courier New" w:eastAsia="Courier New"/>
          <w:spacing w:val="-107"/>
        </w:rPr>
        <w:t> </w:t>
      </w:r>
      <w:r>
        <w:rPr/>
        <w:t>天。</w:t>
      </w:r>
    </w:p>
    <w:p>
      <w:pPr>
        <w:pStyle w:val="ListParagraph"/>
        <w:numPr>
          <w:ilvl w:val="0"/>
          <w:numId w:val="13"/>
        </w:numPr>
        <w:tabs>
          <w:tab w:pos="1198" w:val="left" w:leader="none"/>
        </w:tabs>
        <w:spacing w:line="278" w:lineRule="exact" w:before="0" w:after="0"/>
        <w:ind w:left="1197" w:right="0" w:hanging="360"/>
        <w:jc w:val="left"/>
        <w:rPr>
          <w:sz w:val="21"/>
        </w:rPr>
      </w:pPr>
      <w:r>
        <w:rPr>
          <w:spacing w:val="-1"/>
          <w:sz w:val="21"/>
        </w:rPr>
        <w:t>穿衣 自己能够穿衣及脱衣。</w:t>
      </w:r>
    </w:p>
    <w:p>
      <w:pPr>
        <w:pStyle w:val="ListParagraph"/>
        <w:numPr>
          <w:ilvl w:val="0"/>
          <w:numId w:val="13"/>
        </w:numPr>
        <w:tabs>
          <w:tab w:pos="1198" w:val="left" w:leader="none"/>
        </w:tabs>
        <w:spacing w:line="240" w:lineRule="auto" w:before="3" w:after="0"/>
        <w:ind w:left="1197" w:right="0" w:hanging="360"/>
        <w:jc w:val="left"/>
        <w:rPr>
          <w:sz w:val="21"/>
        </w:rPr>
      </w:pPr>
      <w:r>
        <w:rPr>
          <w:spacing w:val="-1"/>
          <w:sz w:val="21"/>
        </w:rPr>
        <w:t>移动 自己从一个房间到另一个房间。</w:t>
      </w:r>
    </w:p>
    <w:p>
      <w:pPr>
        <w:pStyle w:val="ListParagraph"/>
        <w:numPr>
          <w:ilvl w:val="0"/>
          <w:numId w:val="13"/>
        </w:numPr>
        <w:tabs>
          <w:tab w:pos="1198" w:val="left" w:leader="none"/>
        </w:tabs>
        <w:spacing w:line="240" w:lineRule="auto" w:before="3" w:after="0"/>
        <w:ind w:left="1197" w:right="0" w:hanging="360"/>
        <w:jc w:val="left"/>
        <w:rPr>
          <w:sz w:val="21"/>
        </w:rPr>
      </w:pPr>
      <w:r>
        <w:rPr>
          <w:spacing w:val="-1"/>
          <w:sz w:val="21"/>
        </w:rPr>
        <w:t>行动 自己上下床或上下轮椅。</w:t>
      </w:r>
    </w:p>
    <w:p>
      <w:pPr>
        <w:pStyle w:val="ListParagraph"/>
        <w:numPr>
          <w:ilvl w:val="0"/>
          <w:numId w:val="13"/>
        </w:numPr>
        <w:tabs>
          <w:tab w:pos="1198" w:val="left" w:leader="none"/>
        </w:tabs>
        <w:spacing w:line="240" w:lineRule="auto" w:before="3" w:after="0"/>
        <w:ind w:left="1197" w:right="0" w:hanging="360"/>
        <w:jc w:val="left"/>
        <w:rPr>
          <w:sz w:val="21"/>
        </w:rPr>
      </w:pPr>
      <w:r>
        <w:rPr>
          <w:spacing w:val="-1"/>
          <w:sz w:val="21"/>
        </w:rPr>
        <w:t>卫生 自己控制进行大小便。</w:t>
      </w:r>
    </w:p>
    <w:p>
      <w:pPr>
        <w:pStyle w:val="ListParagraph"/>
        <w:numPr>
          <w:ilvl w:val="0"/>
          <w:numId w:val="13"/>
        </w:numPr>
        <w:tabs>
          <w:tab w:pos="1198" w:val="left" w:leader="none"/>
        </w:tabs>
        <w:spacing w:line="240" w:lineRule="auto" w:before="3" w:after="0"/>
        <w:ind w:left="1197" w:right="0" w:hanging="360"/>
        <w:jc w:val="left"/>
        <w:rPr>
          <w:sz w:val="21"/>
        </w:rPr>
      </w:pPr>
      <w:r>
        <w:rPr>
          <w:spacing w:val="-5"/>
          <w:sz w:val="21"/>
        </w:rPr>
        <w:t>进食 自己从已准备好的碗</w:t>
      </w:r>
      <w:r>
        <w:rPr>
          <w:rFonts w:ascii="Courier New" w:eastAsia="Courier New"/>
          <w:sz w:val="21"/>
        </w:rPr>
        <w:t>/</w:t>
      </w:r>
      <w:r>
        <w:rPr>
          <w:sz w:val="21"/>
        </w:rPr>
        <w:t>碟中摄取食物放入口中。</w:t>
      </w:r>
    </w:p>
    <w:p>
      <w:pPr>
        <w:pStyle w:val="ListParagraph"/>
        <w:numPr>
          <w:ilvl w:val="0"/>
          <w:numId w:val="13"/>
        </w:numPr>
        <w:tabs>
          <w:tab w:pos="1198" w:val="left" w:leader="none"/>
        </w:tabs>
        <w:spacing w:line="240" w:lineRule="auto" w:before="3" w:after="0"/>
        <w:ind w:left="1197" w:right="0" w:hanging="360"/>
        <w:jc w:val="left"/>
        <w:rPr>
          <w:sz w:val="21"/>
        </w:rPr>
      </w:pPr>
      <w:r>
        <w:rPr>
          <w:spacing w:val="-1"/>
          <w:sz w:val="21"/>
        </w:rPr>
        <w:t>洗澡 自己进行淋浴或盆浴。</w:t>
      </w:r>
    </w:p>
    <w:p>
      <w:pPr>
        <w:pStyle w:val="BodyText"/>
        <w:ind w:left="477"/>
      </w:pPr>
      <w:r>
        <w:rPr>
          <w:rFonts w:ascii="Courier New" w:eastAsia="Courier New"/>
        </w:rPr>
        <w:t>34</w:t>
      </w:r>
      <w:r>
        <w:rPr/>
        <w:t>、 肌营养不良症：</w:t>
      </w:r>
    </w:p>
    <w:p>
      <w:pPr>
        <w:spacing w:after="0"/>
        <w:sectPr>
          <w:pgSz w:w="11900" w:h="16840"/>
          <w:pgMar w:header="896" w:footer="1008" w:top="1280" w:bottom="1200" w:left="1680" w:right="1500"/>
        </w:sectPr>
      </w:pPr>
    </w:p>
    <w:p>
      <w:pPr>
        <w:pStyle w:val="BodyText"/>
        <w:spacing w:line="273" w:lineRule="auto" w:before="133"/>
        <w:ind w:left="476" w:right="213" w:firstLine="420"/>
      </w:pPr>
      <w:r>
        <w:rPr/>
        <w:t>是一组原发于肌肉的遗传性疾病。主要临床特征为受累骨骼肌肉的无力和萎缩。经专科医生确认符合以下四项诊断指标中的三项：</w:t>
      </w:r>
    </w:p>
    <w:p>
      <w:pPr>
        <w:pStyle w:val="ListParagraph"/>
        <w:numPr>
          <w:ilvl w:val="0"/>
          <w:numId w:val="14"/>
        </w:numPr>
        <w:tabs>
          <w:tab w:pos="1198" w:val="left" w:leader="none"/>
        </w:tabs>
        <w:spacing w:line="240" w:lineRule="auto" w:before="7" w:after="0"/>
        <w:ind w:left="1197" w:right="0" w:hanging="360"/>
        <w:jc w:val="left"/>
        <w:rPr>
          <w:sz w:val="21"/>
        </w:rPr>
      </w:pPr>
      <w:r>
        <w:rPr>
          <w:sz w:val="21"/>
        </w:rPr>
        <w:t>家族史中有其他成员患相同疾病；</w:t>
      </w:r>
    </w:p>
    <w:p>
      <w:pPr>
        <w:pStyle w:val="ListParagraph"/>
        <w:numPr>
          <w:ilvl w:val="0"/>
          <w:numId w:val="14"/>
        </w:numPr>
        <w:tabs>
          <w:tab w:pos="1198" w:val="left" w:leader="none"/>
        </w:tabs>
        <w:spacing w:line="240" w:lineRule="auto" w:before="3" w:after="0"/>
        <w:ind w:left="1197" w:right="0" w:hanging="360"/>
        <w:jc w:val="left"/>
        <w:rPr>
          <w:sz w:val="21"/>
        </w:rPr>
      </w:pPr>
      <w:r>
        <w:rPr>
          <w:sz w:val="21"/>
        </w:rPr>
        <w:t>临床表现包括：无感觉神经紊乱，正常脑脊液及轻微腱反射的减退；</w:t>
      </w:r>
    </w:p>
    <w:p>
      <w:pPr>
        <w:pStyle w:val="ListParagraph"/>
        <w:numPr>
          <w:ilvl w:val="0"/>
          <w:numId w:val="14"/>
        </w:numPr>
        <w:tabs>
          <w:tab w:pos="1198" w:val="left" w:leader="none"/>
        </w:tabs>
        <w:spacing w:line="240" w:lineRule="auto" w:before="3" w:after="0"/>
        <w:ind w:left="1197" w:right="0" w:hanging="360"/>
        <w:jc w:val="left"/>
        <w:rPr>
          <w:sz w:val="21"/>
        </w:rPr>
      </w:pPr>
      <w:r>
        <w:rPr>
          <w:sz w:val="21"/>
        </w:rPr>
        <w:t>典型的肌电图；</w:t>
      </w:r>
    </w:p>
    <w:p>
      <w:pPr>
        <w:pStyle w:val="ListParagraph"/>
        <w:numPr>
          <w:ilvl w:val="0"/>
          <w:numId w:val="14"/>
        </w:numPr>
        <w:tabs>
          <w:tab w:pos="1198" w:val="left" w:leader="none"/>
        </w:tabs>
        <w:spacing w:line="240" w:lineRule="auto" w:before="3" w:after="0"/>
        <w:ind w:left="1197" w:right="0" w:hanging="360"/>
        <w:jc w:val="left"/>
        <w:rPr>
          <w:sz w:val="21"/>
        </w:rPr>
      </w:pPr>
      <w:r>
        <w:rPr>
          <w:sz w:val="21"/>
        </w:rPr>
        <w:t>临床推测必须有肌肉或组织检查加以证实。</w:t>
      </w:r>
    </w:p>
    <w:p>
      <w:pPr>
        <w:pStyle w:val="BodyText"/>
        <w:ind w:left="477"/>
      </w:pPr>
      <w:r>
        <w:rPr>
          <w:rFonts w:ascii="Courier New" w:eastAsia="Courier New"/>
        </w:rPr>
        <w:t>35</w:t>
      </w:r>
      <w:r>
        <w:rPr/>
        <w:t>、 系统性红斑狼疮性肾炎：</w:t>
      </w:r>
    </w:p>
    <w:p>
      <w:pPr>
        <w:pStyle w:val="BodyText"/>
        <w:spacing w:line="273" w:lineRule="auto"/>
        <w:ind w:left="476" w:right="261" w:firstLine="420"/>
      </w:pPr>
      <w:r>
        <w:rPr/>
        <w:t>指系统性红斑狼疮患者并发狼疮性肾炎而影响和损害肾脏功能，且肌酐清除率持续</w:t>
      </w:r>
      <w:r>
        <w:rPr>
          <w:w w:val="95"/>
        </w:rPr>
        <w:t>低于   </w:t>
      </w:r>
      <w:r>
        <w:rPr>
          <w:rFonts w:ascii="Courier New" w:eastAsia="Courier New"/>
          <w:w w:val="95"/>
        </w:rPr>
        <w:t>30ml/</w:t>
      </w:r>
      <w:r>
        <w:rPr>
          <w:w w:val="95"/>
        </w:rPr>
        <w:t>分。系统性红斑狼疮性肾炎的诊断必须经专科医生确诊，并满足下列条件：</w:t>
      </w:r>
    </w:p>
    <w:p>
      <w:pPr>
        <w:pStyle w:val="ListParagraph"/>
        <w:numPr>
          <w:ilvl w:val="1"/>
          <w:numId w:val="11"/>
        </w:numPr>
        <w:tabs>
          <w:tab w:pos="1377" w:val="left" w:leader="none"/>
          <w:tab w:pos="1378" w:val="left" w:leader="none"/>
        </w:tabs>
        <w:spacing w:line="278" w:lineRule="exact" w:before="0" w:after="0"/>
        <w:ind w:left="1377" w:right="0" w:hanging="655"/>
        <w:jc w:val="left"/>
        <w:rPr>
          <w:sz w:val="21"/>
        </w:rPr>
      </w:pPr>
      <w:r>
        <w:rPr>
          <w:sz w:val="21"/>
        </w:rPr>
        <w:t>临床表现至少具备下列条件的四个：</w:t>
      </w:r>
    </w:p>
    <w:p>
      <w:pPr>
        <w:pStyle w:val="ListParagraph"/>
        <w:numPr>
          <w:ilvl w:val="2"/>
          <w:numId w:val="11"/>
        </w:numPr>
        <w:tabs>
          <w:tab w:pos="1798" w:val="left" w:leader="none"/>
        </w:tabs>
        <w:spacing w:line="240" w:lineRule="auto" w:before="4" w:after="0"/>
        <w:ind w:left="1797" w:right="0" w:hanging="420"/>
        <w:jc w:val="left"/>
        <w:rPr>
          <w:sz w:val="21"/>
        </w:rPr>
      </w:pPr>
      <w:r>
        <w:rPr>
          <w:sz w:val="21"/>
        </w:rPr>
        <w:t>蝶形红斑或盘形红斑；</w:t>
      </w:r>
    </w:p>
    <w:p>
      <w:pPr>
        <w:pStyle w:val="ListParagraph"/>
        <w:numPr>
          <w:ilvl w:val="2"/>
          <w:numId w:val="11"/>
        </w:numPr>
        <w:tabs>
          <w:tab w:pos="1798" w:val="left" w:leader="none"/>
        </w:tabs>
        <w:spacing w:line="240" w:lineRule="auto" w:before="3" w:after="0"/>
        <w:ind w:left="1797" w:right="0" w:hanging="420"/>
        <w:jc w:val="left"/>
        <w:rPr>
          <w:sz w:val="21"/>
        </w:rPr>
      </w:pPr>
      <w:r>
        <w:rPr>
          <w:sz w:val="21"/>
        </w:rPr>
        <w:t>光敏感；</w:t>
      </w:r>
    </w:p>
    <w:p>
      <w:pPr>
        <w:pStyle w:val="ListParagraph"/>
        <w:numPr>
          <w:ilvl w:val="2"/>
          <w:numId w:val="11"/>
        </w:numPr>
        <w:tabs>
          <w:tab w:pos="1798" w:val="left" w:leader="none"/>
        </w:tabs>
        <w:spacing w:line="240" w:lineRule="auto" w:before="3" w:after="0"/>
        <w:ind w:left="1797" w:right="0" w:hanging="420"/>
        <w:jc w:val="left"/>
        <w:rPr>
          <w:sz w:val="21"/>
        </w:rPr>
      </w:pPr>
      <w:r>
        <w:rPr>
          <w:sz w:val="21"/>
        </w:rPr>
        <w:t>口鼻腔黏膜溃疡；</w:t>
      </w:r>
    </w:p>
    <w:p>
      <w:pPr>
        <w:pStyle w:val="ListParagraph"/>
        <w:numPr>
          <w:ilvl w:val="2"/>
          <w:numId w:val="11"/>
        </w:numPr>
        <w:tabs>
          <w:tab w:pos="1798" w:val="left" w:leader="none"/>
        </w:tabs>
        <w:spacing w:line="240" w:lineRule="auto" w:before="3" w:after="0"/>
        <w:ind w:left="1797" w:right="0" w:hanging="420"/>
        <w:jc w:val="left"/>
        <w:rPr>
          <w:sz w:val="21"/>
        </w:rPr>
      </w:pPr>
      <w:r>
        <w:rPr>
          <w:sz w:val="21"/>
        </w:rPr>
        <w:t>非畸形性关节炎或多关节痛；</w:t>
      </w:r>
    </w:p>
    <w:p>
      <w:pPr>
        <w:pStyle w:val="ListParagraph"/>
        <w:numPr>
          <w:ilvl w:val="2"/>
          <w:numId w:val="11"/>
        </w:numPr>
        <w:tabs>
          <w:tab w:pos="1798" w:val="left" w:leader="none"/>
        </w:tabs>
        <w:spacing w:line="240" w:lineRule="auto" w:before="3" w:after="0"/>
        <w:ind w:left="1797" w:right="0" w:hanging="420"/>
        <w:jc w:val="left"/>
        <w:rPr>
          <w:sz w:val="21"/>
        </w:rPr>
      </w:pPr>
      <w:r>
        <w:rPr>
          <w:sz w:val="21"/>
        </w:rPr>
        <w:t>胸膜炎或心包炎；</w:t>
      </w:r>
    </w:p>
    <w:p>
      <w:pPr>
        <w:pStyle w:val="ListParagraph"/>
        <w:numPr>
          <w:ilvl w:val="2"/>
          <w:numId w:val="11"/>
        </w:numPr>
        <w:tabs>
          <w:tab w:pos="1798" w:val="left" w:leader="none"/>
        </w:tabs>
        <w:spacing w:line="240" w:lineRule="auto" w:before="3" w:after="0"/>
        <w:ind w:left="1797" w:right="0" w:hanging="420"/>
        <w:jc w:val="left"/>
        <w:rPr>
          <w:sz w:val="21"/>
        </w:rPr>
      </w:pPr>
      <w:r>
        <w:rPr>
          <w:sz w:val="21"/>
        </w:rPr>
        <w:t>癫痫或精神症状；</w:t>
      </w:r>
    </w:p>
    <w:p>
      <w:pPr>
        <w:pStyle w:val="ListParagraph"/>
        <w:numPr>
          <w:ilvl w:val="2"/>
          <w:numId w:val="11"/>
        </w:numPr>
        <w:tabs>
          <w:tab w:pos="1798" w:val="left" w:leader="none"/>
        </w:tabs>
        <w:spacing w:line="240" w:lineRule="auto" w:before="3" w:after="0"/>
        <w:ind w:left="1797" w:right="0" w:hanging="420"/>
        <w:jc w:val="left"/>
        <w:rPr>
          <w:sz w:val="21"/>
        </w:rPr>
      </w:pPr>
      <w:r>
        <w:rPr>
          <w:w w:val="95"/>
          <w:sz w:val="21"/>
        </w:rPr>
        <w:t>血象异常</w:t>
      </w:r>
      <w:r>
        <w:rPr>
          <w:rFonts w:ascii="Courier New" w:hAnsi="Courier New" w:eastAsia="Courier New"/>
          <w:w w:val="95"/>
          <w:sz w:val="21"/>
        </w:rPr>
        <w:t>(</w:t>
      </w:r>
      <w:r>
        <w:rPr>
          <w:spacing w:val="-8"/>
          <w:w w:val="95"/>
          <w:sz w:val="21"/>
        </w:rPr>
        <w:t>白细胞小于 </w:t>
      </w:r>
      <w:r>
        <w:rPr>
          <w:rFonts w:ascii="Courier New" w:hAnsi="Courier New" w:eastAsia="Courier New"/>
          <w:w w:val="95"/>
          <w:sz w:val="21"/>
        </w:rPr>
        <w:t>4</w:t>
      </w:r>
      <w:r>
        <w:rPr>
          <w:w w:val="95"/>
          <w:sz w:val="21"/>
        </w:rPr>
        <w:t>×</w:t>
      </w:r>
      <w:r>
        <w:rPr>
          <w:rFonts w:ascii="Courier New" w:hAnsi="Courier New" w:eastAsia="Courier New"/>
          <w:w w:val="95"/>
          <w:sz w:val="21"/>
        </w:rPr>
        <w:t>10</w:t>
      </w:r>
      <w:r>
        <w:rPr>
          <w:rFonts w:ascii="Courier New" w:hAnsi="Courier New" w:eastAsia="Courier New"/>
          <w:w w:val="95"/>
          <w:position w:val="11"/>
          <w:sz w:val="11"/>
        </w:rPr>
        <w:t>9</w:t>
      </w:r>
      <w:r>
        <w:rPr>
          <w:rFonts w:ascii="Courier New" w:hAnsi="Courier New" w:eastAsia="Courier New"/>
          <w:w w:val="95"/>
          <w:sz w:val="21"/>
        </w:rPr>
        <w:t>/L</w:t>
      </w:r>
      <w:r>
        <w:rPr>
          <w:rFonts w:ascii="Courier New" w:hAnsi="Courier New" w:eastAsia="Courier New"/>
          <w:spacing w:val="-68"/>
          <w:w w:val="95"/>
          <w:sz w:val="21"/>
        </w:rPr>
        <w:t> </w:t>
      </w:r>
      <w:r>
        <w:rPr>
          <w:spacing w:val="-7"/>
          <w:w w:val="95"/>
          <w:sz w:val="21"/>
        </w:rPr>
        <w:t>或血小板小于 </w:t>
      </w:r>
      <w:r>
        <w:rPr>
          <w:rFonts w:ascii="Courier New" w:hAnsi="Courier New" w:eastAsia="Courier New"/>
          <w:w w:val="95"/>
          <w:sz w:val="21"/>
        </w:rPr>
        <w:t>100</w:t>
      </w:r>
      <w:r>
        <w:rPr>
          <w:w w:val="95"/>
          <w:sz w:val="21"/>
        </w:rPr>
        <w:t>×</w:t>
      </w:r>
      <w:r>
        <w:rPr>
          <w:rFonts w:ascii="Courier New" w:hAnsi="Courier New" w:eastAsia="Courier New"/>
          <w:w w:val="95"/>
          <w:sz w:val="21"/>
        </w:rPr>
        <w:t>10</w:t>
      </w:r>
      <w:r>
        <w:rPr>
          <w:rFonts w:ascii="Courier New" w:hAnsi="Courier New" w:eastAsia="Courier New"/>
          <w:w w:val="95"/>
          <w:position w:val="11"/>
          <w:sz w:val="11"/>
        </w:rPr>
        <w:t>9</w:t>
      </w:r>
      <w:r>
        <w:rPr>
          <w:rFonts w:ascii="Courier New" w:hAnsi="Courier New" w:eastAsia="Courier New"/>
          <w:w w:val="95"/>
          <w:sz w:val="21"/>
        </w:rPr>
        <w:t>/L</w:t>
      </w:r>
      <w:r>
        <w:rPr>
          <w:rFonts w:ascii="Courier New" w:hAnsi="Courier New" w:eastAsia="Courier New"/>
          <w:spacing w:val="-68"/>
          <w:w w:val="95"/>
          <w:sz w:val="21"/>
        </w:rPr>
        <w:t> </w:t>
      </w:r>
      <w:r>
        <w:rPr>
          <w:w w:val="95"/>
          <w:sz w:val="21"/>
        </w:rPr>
        <w:t>或溶血性贫血</w:t>
      </w:r>
      <w:r>
        <w:rPr>
          <w:rFonts w:ascii="Courier New" w:hAnsi="Courier New" w:eastAsia="Courier New"/>
          <w:w w:val="95"/>
          <w:sz w:val="21"/>
        </w:rPr>
        <w:t>)</w:t>
      </w:r>
      <w:r>
        <w:rPr>
          <w:w w:val="95"/>
          <w:sz w:val="21"/>
        </w:rPr>
        <w:t>。</w:t>
      </w:r>
    </w:p>
    <w:p>
      <w:pPr>
        <w:pStyle w:val="ListParagraph"/>
        <w:numPr>
          <w:ilvl w:val="1"/>
          <w:numId w:val="11"/>
        </w:numPr>
        <w:tabs>
          <w:tab w:pos="1377" w:val="left" w:leader="none"/>
          <w:tab w:pos="1378" w:val="left" w:leader="none"/>
        </w:tabs>
        <w:spacing w:line="240" w:lineRule="auto" w:before="3" w:after="0"/>
        <w:ind w:left="1377" w:right="0" w:hanging="655"/>
        <w:jc w:val="left"/>
        <w:rPr>
          <w:sz w:val="21"/>
        </w:rPr>
      </w:pPr>
      <w:r>
        <w:rPr>
          <w:sz w:val="21"/>
        </w:rPr>
        <w:t>检测结果至少具备下列条件的两个：</w:t>
      </w:r>
    </w:p>
    <w:p>
      <w:pPr>
        <w:pStyle w:val="ListParagraph"/>
        <w:numPr>
          <w:ilvl w:val="2"/>
          <w:numId w:val="11"/>
        </w:numPr>
        <w:tabs>
          <w:tab w:pos="1798" w:val="left" w:leader="none"/>
        </w:tabs>
        <w:spacing w:line="240" w:lineRule="auto" w:before="3" w:after="0"/>
        <w:ind w:left="1797" w:right="0" w:hanging="420"/>
        <w:jc w:val="left"/>
        <w:rPr>
          <w:sz w:val="21"/>
        </w:rPr>
      </w:pPr>
      <w:r>
        <w:rPr>
          <w:spacing w:val="-28"/>
          <w:w w:val="95"/>
          <w:sz w:val="21"/>
        </w:rPr>
        <w:t>抗 </w:t>
      </w:r>
      <w:r>
        <w:rPr>
          <w:rFonts w:ascii="Courier New" w:eastAsia="Courier New"/>
          <w:w w:val="95"/>
          <w:sz w:val="21"/>
        </w:rPr>
        <w:t>dsDNA</w:t>
      </w:r>
      <w:r>
        <w:rPr>
          <w:rFonts w:ascii="Courier New" w:eastAsia="Courier New"/>
          <w:spacing w:val="-74"/>
          <w:w w:val="95"/>
          <w:sz w:val="21"/>
        </w:rPr>
        <w:t> </w:t>
      </w:r>
      <w:r>
        <w:rPr>
          <w:w w:val="95"/>
          <w:sz w:val="21"/>
        </w:rPr>
        <w:t>抗体阳性；</w:t>
      </w:r>
    </w:p>
    <w:p>
      <w:pPr>
        <w:pStyle w:val="ListParagraph"/>
        <w:numPr>
          <w:ilvl w:val="2"/>
          <w:numId w:val="11"/>
        </w:numPr>
        <w:tabs>
          <w:tab w:pos="1798" w:val="left" w:leader="none"/>
        </w:tabs>
        <w:spacing w:line="240" w:lineRule="auto" w:before="3" w:after="0"/>
        <w:ind w:left="1797" w:right="0" w:hanging="420"/>
        <w:jc w:val="left"/>
        <w:rPr>
          <w:sz w:val="21"/>
        </w:rPr>
      </w:pPr>
      <w:r>
        <w:rPr>
          <w:spacing w:val="-38"/>
          <w:sz w:val="21"/>
        </w:rPr>
        <w:t>抗 </w:t>
      </w:r>
      <w:r>
        <w:rPr>
          <w:rFonts w:ascii="Courier New" w:eastAsia="Courier New"/>
          <w:sz w:val="21"/>
        </w:rPr>
        <w:t>Sm</w:t>
      </w:r>
      <w:r>
        <w:rPr>
          <w:rFonts w:ascii="Courier New" w:eastAsia="Courier New"/>
          <w:spacing w:val="-96"/>
          <w:sz w:val="21"/>
        </w:rPr>
        <w:t> </w:t>
      </w:r>
      <w:r>
        <w:rPr>
          <w:sz w:val="21"/>
        </w:rPr>
        <w:t>抗体阳性；</w:t>
      </w:r>
    </w:p>
    <w:p>
      <w:pPr>
        <w:pStyle w:val="ListParagraph"/>
        <w:numPr>
          <w:ilvl w:val="2"/>
          <w:numId w:val="11"/>
        </w:numPr>
        <w:tabs>
          <w:tab w:pos="1798" w:val="left" w:leader="none"/>
        </w:tabs>
        <w:spacing w:line="240" w:lineRule="auto" w:before="3" w:after="0"/>
        <w:ind w:left="1797" w:right="0" w:hanging="420"/>
        <w:jc w:val="left"/>
        <w:rPr>
          <w:sz w:val="21"/>
        </w:rPr>
      </w:pPr>
      <w:r>
        <w:rPr>
          <w:sz w:val="21"/>
        </w:rPr>
        <w:t>抗核抗体阳性；</w:t>
      </w:r>
    </w:p>
    <w:p>
      <w:pPr>
        <w:pStyle w:val="ListParagraph"/>
        <w:numPr>
          <w:ilvl w:val="2"/>
          <w:numId w:val="11"/>
        </w:numPr>
        <w:tabs>
          <w:tab w:pos="1798" w:val="left" w:leader="none"/>
        </w:tabs>
        <w:spacing w:line="240" w:lineRule="auto" w:before="3" w:after="0"/>
        <w:ind w:left="1797" w:right="0" w:hanging="420"/>
        <w:jc w:val="left"/>
        <w:rPr>
          <w:sz w:val="21"/>
        </w:rPr>
      </w:pPr>
      <w:r>
        <w:rPr>
          <w:spacing w:val="-1"/>
          <w:w w:val="95"/>
          <w:sz w:val="21"/>
        </w:rPr>
        <w:t>皮肤狼疮带试验</w:t>
      </w:r>
      <w:r>
        <w:rPr>
          <w:rFonts w:ascii="Courier New" w:eastAsia="Courier New"/>
          <w:w w:val="95"/>
          <w:sz w:val="21"/>
        </w:rPr>
        <w:t>(</w:t>
      </w:r>
      <w:r>
        <w:rPr>
          <w:w w:val="95"/>
          <w:sz w:val="21"/>
        </w:rPr>
        <w:t>非病损部位</w:t>
      </w:r>
      <w:r>
        <w:rPr>
          <w:rFonts w:ascii="Courier New" w:eastAsia="Courier New"/>
          <w:w w:val="95"/>
          <w:sz w:val="21"/>
        </w:rPr>
        <w:t>)</w:t>
      </w:r>
      <w:r>
        <w:rPr>
          <w:w w:val="95"/>
          <w:sz w:val="21"/>
        </w:rPr>
        <w:t>或肾活检阳性；</w:t>
      </w:r>
    </w:p>
    <w:p>
      <w:pPr>
        <w:pStyle w:val="ListParagraph"/>
        <w:numPr>
          <w:ilvl w:val="2"/>
          <w:numId w:val="11"/>
        </w:numPr>
        <w:tabs>
          <w:tab w:pos="1798" w:val="left" w:leader="none"/>
        </w:tabs>
        <w:spacing w:line="240" w:lineRule="auto" w:before="3" w:after="0"/>
        <w:ind w:left="1797" w:right="0" w:hanging="420"/>
        <w:jc w:val="left"/>
        <w:rPr>
          <w:sz w:val="21"/>
        </w:rPr>
      </w:pPr>
      <w:r>
        <w:rPr>
          <w:rFonts w:ascii="Courier New" w:eastAsia="Courier New"/>
          <w:w w:val="95"/>
          <w:sz w:val="21"/>
        </w:rPr>
        <w:t>C3</w:t>
      </w:r>
      <w:r>
        <w:rPr>
          <w:rFonts w:ascii="Courier New" w:eastAsia="Courier New"/>
          <w:spacing w:val="-66"/>
          <w:w w:val="95"/>
          <w:sz w:val="21"/>
        </w:rPr>
        <w:t> </w:t>
      </w:r>
      <w:r>
        <w:rPr>
          <w:w w:val="95"/>
          <w:sz w:val="21"/>
        </w:rPr>
        <w:t>降低。</w:t>
      </w:r>
    </w:p>
    <w:p>
      <w:pPr>
        <w:pStyle w:val="BodyText"/>
        <w:ind w:left="477"/>
      </w:pPr>
      <w:r>
        <w:rPr>
          <w:rFonts w:ascii="Courier New" w:eastAsia="Courier New"/>
          <w:w w:val="95"/>
        </w:rPr>
        <w:t>36</w:t>
      </w:r>
      <w:r>
        <w:rPr>
          <w:w w:val="95"/>
        </w:rPr>
        <w:t>、 终末期肺病：</w:t>
      </w:r>
    </w:p>
    <w:p>
      <w:pPr>
        <w:pStyle w:val="BodyText"/>
        <w:spacing w:line="273" w:lineRule="auto"/>
        <w:ind w:left="537" w:right="216" w:firstLine="420"/>
        <w:jc w:val="both"/>
      </w:pPr>
      <w:r>
        <w:rPr>
          <w:spacing w:val="-1"/>
        </w:rPr>
        <w:t>指被保险人必须经专科医生确诊患有终末期肺病而出现慢性呼吸功能衰竭，其诊断标准包括以下各项：</w:t>
      </w:r>
    </w:p>
    <w:p>
      <w:pPr>
        <w:pStyle w:val="ListParagraph"/>
        <w:numPr>
          <w:ilvl w:val="0"/>
          <w:numId w:val="15"/>
        </w:numPr>
        <w:tabs>
          <w:tab w:pos="1377" w:val="left" w:leader="none"/>
          <w:tab w:pos="1378" w:val="left" w:leader="none"/>
        </w:tabs>
        <w:spacing w:line="240" w:lineRule="auto" w:before="7" w:after="0"/>
        <w:ind w:left="1377" w:right="0" w:hanging="655"/>
        <w:jc w:val="left"/>
        <w:rPr>
          <w:rFonts w:ascii="Courier New" w:eastAsia="Courier New"/>
          <w:sz w:val="21"/>
        </w:rPr>
      </w:pPr>
      <w:r>
        <w:rPr>
          <w:spacing w:val="-13"/>
          <w:sz w:val="21"/>
        </w:rPr>
        <w:t>肺功能测试其 </w:t>
      </w:r>
      <w:r>
        <w:rPr>
          <w:rFonts w:ascii="Courier New" w:eastAsia="Courier New"/>
          <w:sz w:val="21"/>
        </w:rPr>
        <w:t>FEV1</w:t>
      </w:r>
      <w:r>
        <w:rPr>
          <w:rFonts w:ascii="Courier New" w:eastAsia="Courier New"/>
          <w:spacing w:val="-107"/>
          <w:sz w:val="21"/>
        </w:rPr>
        <w:t> </w:t>
      </w:r>
      <w:r>
        <w:rPr>
          <w:spacing w:val="-18"/>
          <w:sz w:val="21"/>
        </w:rPr>
        <w:t>持续低于 </w:t>
      </w:r>
      <w:r>
        <w:rPr>
          <w:rFonts w:ascii="Courier New" w:eastAsia="Courier New"/>
          <w:sz w:val="21"/>
        </w:rPr>
        <w:t>1</w:t>
      </w:r>
      <w:r>
        <w:rPr>
          <w:rFonts w:ascii="Courier New" w:eastAsia="Courier New"/>
          <w:spacing w:val="-107"/>
          <w:sz w:val="21"/>
        </w:rPr>
        <w:t> </w:t>
      </w:r>
      <w:r>
        <w:rPr>
          <w:sz w:val="21"/>
        </w:rPr>
        <w:t>升</w:t>
      </w:r>
      <w:r>
        <w:rPr>
          <w:rFonts w:ascii="Courier New" w:eastAsia="Courier New"/>
          <w:sz w:val="21"/>
        </w:rPr>
        <w:t>;</w:t>
      </w:r>
    </w:p>
    <w:p>
      <w:pPr>
        <w:pStyle w:val="ListParagraph"/>
        <w:numPr>
          <w:ilvl w:val="0"/>
          <w:numId w:val="15"/>
        </w:numPr>
        <w:tabs>
          <w:tab w:pos="1377" w:val="left" w:leader="none"/>
          <w:tab w:pos="1378" w:val="left" w:leader="none"/>
        </w:tabs>
        <w:spacing w:line="240" w:lineRule="auto" w:before="3" w:after="0"/>
        <w:ind w:left="1377" w:right="0" w:hanging="655"/>
        <w:jc w:val="left"/>
        <w:rPr>
          <w:rFonts w:ascii="Courier New" w:eastAsia="Courier New"/>
          <w:sz w:val="21"/>
        </w:rPr>
      </w:pPr>
      <w:r>
        <w:rPr>
          <w:spacing w:val="0"/>
          <w:w w:val="90"/>
          <w:sz w:val="21"/>
        </w:rPr>
        <w:t>气道内阻力增加，至少达到  </w:t>
      </w:r>
      <w:r>
        <w:rPr>
          <w:rFonts w:ascii="Courier New" w:eastAsia="Courier New"/>
          <w:w w:val="90"/>
          <w:sz w:val="21"/>
        </w:rPr>
        <w:t>0.5kPa/l/s;</w:t>
      </w:r>
    </w:p>
    <w:p>
      <w:pPr>
        <w:pStyle w:val="ListParagraph"/>
        <w:numPr>
          <w:ilvl w:val="0"/>
          <w:numId w:val="15"/>
        </w:numPr>
        <w:tabs>
          <w:tab w:pos="1377" w:val="left" w:leader="none"/>
          <w:tab w:pos="1378" w:val="left" w:leader="none"/>
        </w:tabs>
        <w:spacing w:line="240" w:lineRule="auto" w:before="3" w:after="0"/>
        <w:ind w:left="1377" w:right="0" w:hanging="655"/>
        <w:jc w:val="left"/>
        <w:rPr>
          <w:rFonts w:ascii="Courier New" w:eastAsia="Courier New"/>
          <w:sz w:val="21"/>
        </w:rPr>
      </w:pPr>
      <w:r>
        <w:rPr>
          <w:spacing w:val="-1"/>
          <w:w w:val="95"/>
          <w:sz w:val="21"/>
        </w:rPr>
        <w:t>动脉血气分析氧分压等于或低于 </w:t>
      </w:r>
      <w:r>
        <w:rPr>
          <w:rFonts w:ascii="Courier New" w:eastAsia="Courier New"/>
          <w:w w:val="95"/>
          <w:sz w:val="21"/>
        </w:rPr>
        <w:t>55mmHg;</w:t>
      </w:r>
    </w:p>
    <w:p>
      <w:pPr>
        <w:pStyle w:val="ListParagraph"/>
        <w:numPr>
          <w:ilvl w:val="0"/>
          <w:numId w:val="15"/>
        </w:numPr>
        <w:tabs>
          <w:tab w:pos="1377" w:val="left" w:leader="none"/>
          <w:tab w:pos="1378" w:val="left" w:leader="none"/>
        </w:tabs>
        <w:spacing w:line="240" w:lineRule="auto" w:before="3" w:after="0"/>
        <w:ind w:left="1377" w:right="0" w:hanging="655"/>
        <w:jc w:val="left"/>
        <w:rPr>
          <w:sz w:val="21"/>
        </w:rPr>
      </w:pPr>
      <w:r>
        <w:rPr>
          <w:w w:val="95"/>
          <w:sz w:val="21"/>
        </w:rPr>
        <w:t>残气容积占肺总量（</w:t>
      </w:r>
      <w:r>
        <w:rPr>
          <w:rFonts w:ascii="Courier New" w:eastAsia="Courier New"/>
          <w:w w:val="95"/>
          <w:sz w:val="21"/>
        </w:rPr>
        <w:t>TLC</w:t>
      </w:r>
      <w:r>
        <w:rPr>
          <w:w w:val="95"/>
          <w:sz w:val="21"/>
        </w:rPr>
        <w:t>）</w:t>
      </w:r>
      <w:r>
        <w:rPr>
          <w:spacing w:val="1"/>
          <w:w w:val="95"/>
          <w:sz w:val="21"/>
        </w:rPr>
        <w:t>的 </w:t>
      </w:r>
      <w:r>
        <w:rPr>
          <w:rFonts w:ascii="Courier New" w:eastAsia="Courier New"/>
          <w:w w:val="95"/>
          <w:sz w:val="21"/>
        </w:rPr>
        <w:t>60%</w:t>
      </w:r>
      <w:r>
        <w:rPr>
          <w:w w:val="95"/>
          <w:sz w:val="21"/>
        </w:rPr>
        <w:t>以上；</w:t>
      </w:r>
    </w:p>
    <w:p>
      <w:pPr>
        <w:pStyle w:val="ListParagraph"/>
        <w:numPr>
          <w:ilvl w:val="0"/>
          <w:numId w:val="15"/>
        </w:numPr>
        <w:tabs>
          <w:tab w:pos="1377" w:val="left" w:leader="none"/>
          <w:tab w:pos="1378" w:val="left" w:leader="none"/>
        </w:tabs>
        <w:spacing w:line="240" w:lineRule="auto" w:before="3" w:after="0"/>
        <w:ind w:left="1377" w:right="0" w:hanging="655"/>
        <w:jc w:val="left"/>
        <w:rPr>
          <w:sz w:val="21"/>
        </w:rPr>
      </w:pPr>
      <w:r>
        <w:rPr>
          <w:sz w:val="21"/>
        </w:rPr>
        <w:t>休息时出现呼吸困难。</w:t>
      </w:r>
    </w:p>
    <w:p>
      <w:pPr>
        <w:pStyle w:val="BodyText"/>
        <w:ind w:left="477"/>
      </w:pPr>
      <w:r>
        <w:rPr>
          <w:rFonts w:ascii="Courier New" w:eastAsia="Courier New"/>
          <w:w w:val="95"/>
        </w:rPr>
        <w:t>37</w:t>
      </w:r>
      <w:r>
        <w:rPr>
          <w:w w:val="95"/>
        </w:rPr>
        <w:t>、 重症肌无力：</w:t>
      </w:r>
    </w:p>
    <w:p>
      <w:pPr>
        <w:pStyle w:val="BodyText"/>
        <w:spacing w:line="261" w:lineRule="auto"/>
        <w:ind w:left="476" w:right="157" w:firstLine="420"/>
        <w:jc w:val="both"/>
      </w:pPr>
      <w:r>
        <w:rPr>
          <w:w w:val="95"/>
        </w:rPr>
        <w:t>指一种神经</w:t>
      </w:r>
      <w:r>
        <w:rPr>
          <w:rFonts w:ascii="Courier New" w:eastAsia="Courier New"/>
          <w:w w:val="95"/>
        </w:rPr>
        <w:t>-</w:t>
      </w:r>
      <w:r>
        <w:rPr>
          <w:w w:val="95"/>
        </w:rPr>
        <w:t>肌肉接头部位因乙酰胆硷受体减少而出现传递障碍的自身免疫性疾病，  </w:t>
      </w:r>
      <w:r>
        <w:rPr/>
        <w:t>临床特征是局部或全身横纹肌于活动时易于疲劳乏力，颅神经眼外肌最易累及，也可涉及呼吸肌、下肢近端肌群乃至全身肌肉，须经专科医生确诊。其诊断必须同时具有下列情况：</w:t>
      </w:r>
    </w:p>
    <w:p>
      <w:pPr>
        <w:pStyle w:val="ListParagraph"/>
        <w:numPr>
          <w:ilvl w:val="0"/>
          <w:numId w:val="16"/>
        </w:numPr>
        <w:tabs>
          <w:tab w:pos="960" w:val="left" w:leader="none"/>
        </w:tabs>
        <w:spacing w:line="240" w:lineRule="auto" w:before="17" w:after="0"/>
        <w:ind w:left="981" w:right="0" w:hanging="382"/>
        <w:jc w:val="left"/>
        <w:rPr>
          <w:sz w:val="21"/>
        </w:rPr>
      </w:pPr>
      <w:r>
        <w:rPr>
          <w:sz w:val="21"/>
        </w:rPr>
        <w:t>经药物、胸腺手术治疗一年以上无法控制病情，丧失正常工作能力；</w:t>
      </w:r>
    </w:p>
    <w:p>
      <w:pPr>
        <w:pStyle w:val="ListParagraph"/>
        <w:numPr>
          <w:ilvl w:val="0"/>
          <w:numId w:val="16"/>
        </w:numPr>
        <w:tabs>
          <w:tab w:pos="960" w:val="left" w:leader="none"/>
        </w:tabs>
        <w:spacing w:line="242" w:lineRule="auto" w:before="3" w:after="0"/>
        <w:ind w:left="981" w:right="216" w:hanging="382"/>
        <w:jc w:val="left"/>
        <w:rPr>
          <w:sz w:val="21"/>
        </w:rPr>
      </w:pPr>
      <w:r>
        <w:rPr>
          <w:spacing w:val="-3"/>
          <w:sz w:val="21"/>
        </w:rPr>
        <w:t>出现眼睑下垂，或延髓肌受累引起的构音困难、进食呛咳，或由于肌无力累及延髓肌、呼吸肌而致机体呼吸功能不正常的危急状态即肌无力危象；</w:t>
      </w:r>
    </w:p>
    <w:p>
      <w:pPr>
        <w:pStyle w:val="ListParagraph"/>
        <w:numPr>
          <w:ilvl w:val="0"/>
          <w:numId w:val="16"/>
        </w:numPr>
        <w:tabs>
          <w:tab w:pos="960" w:val="left" w:leader="none"/>
        </w:tabs>
        <w:spacing w:line="240" w:lineRule="auto" w:before="35" w:after="0"/>
        <w:ind w:left="959" w:right="0" w:hanging="360"/>
        <w:jc w:val="left"/>
        <w:rPr>
          <w:sz w:val="21"/>
        </w:rPr>
      </w:pPr>
      <w:r>
        <w:rPr>
          <w:sz w:val="21"/>
        </w:rPr>
        <w:t>症状缓解、复发及恶化交替出现，临床接受新斯的明等抗胆碱酶药物治疗的历史。</w:t>
      </w:r>
    </w:p>
    <w:p>
      <w:pPr>
        <w:pStyle w:val="BodyText"/>
        <w:ind w:left="477"/>
      </w:pPr>
      <w:r>
        <w:rPr>
          <w:rFonts w:ascii="Courier New" w:eastAsia="Courier New"/>
        </w:rPr>
        <w:t>38</w:t>
      </w:r>
      <w:r>
        <w:rPr/>
        <w:t>、 主动脉夹层瘤：</w:t>
      </w:r>
    </w:p>
    <w:p>
      <w:pPr>
        <w:pStyle w:val="BodyText"/>
        <w:spacing w:line="273" w:lineRule="auto"/>
        <w:ind w:left="476" w:right="41" w:firstLine="420"/>
      </w:pPr>
      <w:r>
        <w:rPr/>
        <w:t>指主动脉壁在受到某些病理因素的破坏后，高速、高压的主动脉血流将其内膜撕裂， 以致主动脉腔内的血流通过主动脉内膜的破裂口进入主动脉内壁而形成血肿。被保险人</w:t>
      </w:r>
    </w:p>
    <w:p>
      <w:pPr>
        <w:spacing w:after="0" w:line="273" w:lineRule="auto"/>
        <w:sectPr>
          <w:pgSz w:w="11900" w:h="16840"/>
          <w:pgMar w:header="896" w:footer="1008" w:top="1280" w:bottom="1200" w:left="1680" w:right="1500"/>
        </w:sectPr>
      </w:pPr>
    </w:p>
    <w:p>
      <w:pPr>
        <w:pStyle w:val="BodyText"/>
        <w:spacing w:line="242" w:lineRule="auto" w:before="133"/>
        <w:ind w:left="476" w:right="214" w:hanging="1"/>
      </w:pPr>
      <w:r>
        <w:rPr>
          <w:w w:val="95"/>
        </w:rPr>
        <w:t>需通过电脑断层扫描（</w:t>
      </w:r>
      <w:r>
        <w:rPr>
          <w:rFonts w:ascii="Courier New" w:eastAsia="Courier New"/>
          <w:w w:val="95"/>
        </w:rPr>
        <w:t>CT</w:t>
      </w:r>
      <w:r>
        <w:rPr>
          <w:w w:val="95"/>
        </w:rPr>
        <w:t>）、磁共振扫描（</w:t>
      </w:r>
      <w:r>
        <w:rPr>
          <w:rFonts w:ascii="Courier New" w:eastAsia="Courier New"/>
          <w:w w:val="95"/>
        </w:rPr>
        <w:t>MRI</w:t>
      </w:r>
      <w:r>
        <w:rPr>
          <w:w w:val="95"/>
        </w:rPr>
        <w:t>）、磁共振血管检验法（</w:t>
      </w:r>
      <w:r>
        <w:rPr>
          <w:rFonts w:ascii="Courier New" w:eastAsia="Courier New"/>
          <w:w w:val="95"/>
        </w:rPr>
        <w:t>MRA</w:t>
      </w:r>
      <w:r>
        <w:rPr>
          <w:w w:val="95"/>
        </w:rPr>
        <w:t>）或血管扫 </w:t>
      </w:r>
      <w:r>
        <w:rPr>
          <w:spacing w:val="-1"/>
          <w:w w:val="95"/>
        </w:rPr>
        <w:t>描等检查</w:t>
      </w:r>
      <w:r>
        <w:rPr>
          <w:rFonts w:ascii="Courier New" w:eastAsia="Courier New"/>
          <w:w w:val="95"/>
        </w:rPr>
        <w:t>,</w:t>
      </w:r>
      <w:r>
        <w:rPr>
          <w:w w:val="95"/>
        </w:rPr>
        <w:t>并须经专科医生确诊。</w:t>
      </w:r>
    </w:p>
    <w:p>
      <w:pPr>
        <w:pStyle w:val="BodyText"/>
        <w:spacing w:before="0"/>
        <w:ind w:left="477"/>
      </w:pPr>
      <w:r>
        <w:rPr>
          <w:rFonts w:ascii="Courier New" w:eastAsia="Courier New"/>
        </w:rPr>
        <w:t>39</w:t>
      </w:r>
      <w:r>
        <w:rPr/>
        <w:t>、 植物人：</w:t>
      </w:r>
    </w:p>
    <w:p>
      <w:pPr>
        <w:pStyle w:val="BodyText"/>
        <w:spacing w:line="273" w:lineRule="auto"/>
        <w:ind w:left="476" w:right="213" w:firstLine="420"/>
        <w:jc w:val="both"/>
      </w:pPr>
      <w:r>
        <w:rPr/>
        <w:t>指经专科医生确诊，大脑皮质全面坏死，意识完全丧失，但脑干仍保持完好，且此情况维持一个月以上。</w:t>
      </w:r>
    </w:p>
    <w:p>
      <w:pPr>
        <w:pStyle w:val="BodyText"/>
        <w:spacing w:before="7"/>
        <w:ind w:left="477"/>
      </w:pPr>
      <w:r>
        <w:rPr>
          <w:rFonts w:ascii="Courier New" w:eastAsia="Courier New"/>
        </w:rPr>
        <w:t>40</w:t>
      </w:r>
      <w:r>
        <w:rPr/>
        <w:t>、 自体造血干细胞移植手术：</w:t>
      </w:r>
    </w:p>
    <w:p>
      <w:pPr>
        <w:pStyle w:val="BodyText"/>
        <w:spacing w:line="273" w:lineRule="auto"/>
        <w:ind w:left="477" w:right="214" w:firstLine="420"/>
        <w:jc w:val="both"/>
      </w:pPr>
      <w:r>
        <w:rPr/>
        <w:t>指由于患者自身骨髓造血功能异常或为了达到治疗肿瘤的目的，采集患者自己的一部分造血干细胞，分离并深低温保存，再回输给患者使患者的造血功能和免疫功能重新恢复的一种治疗方法。</w:t>
      </w:r>
    </w:p>
    <w:p>
      <w:pPr>
        <w:pStyle w:val="BodyText"/>
        <w:spacing w:before="5"/>
        <w:rPr>
          <w:sz w:val="24"/>
        </w:rPr>
      </w:pPr>
    </w:p>
    <w:p>
      <w:pPr>
        <w:pStyle w:val="BodyText"/>
        <w:spacing w:before="0"/>
        <w:ind w:left="117"/>
      </w:pPr>
      <w:r>
        <w:rPr/>
        <w:t>术语解释：</w:t>
      </w:r>
    </w:p>
    <w:p>
      <w:pPr>
        <w:pStyle w:val="BodyText"/>
        <w:spacing w:before="36"/>
        <w:ind w:left="537"/>
      </w:pPr>
      <w:r>
        <w:rPr/>
        <w:t>六项基本日常生活活动 ：</w:t>
      </w:r>
    </w:p>
    <w:p>
      <w:pPr>
        <w:pStyle w:val="BodyText"/>
        <w:spacing w:line="242" w:lineRule="auto" w:before="36"/>
        <w:ind w:left="539" w:right="214" w:firstLine="420"/>
        <w:jc w:val="both"/>
      </w:pPr>
      <w:r>
        <w:rPr>
          <w:spacing w:val="-9"/>
        </w:rPr>
        <w:t>六项基本日常生活活动是指：</w:t>
      </w:r>
      <w:r>
        <w:rPr/>
        <w:t>（</w:t>
      </w:r>
      <w:r>
        <w:rPr>
          <w:rFonts w:ascii="Courier New" w:eastAsia="Courier New"/>
          <w:spacing w:val="-1"/>
          <w:w w:val="83"/>
        </w:rPr>
        <w:t>1</w:t>
      </w:r>
      <w:r>
        <w:rPr>
          <w:spacing w:val="-4"/>
        </w:rPr>
        <w:t>）</w:t>
      </w:r>
      <w:r>
        <w:rPr>
          <w:spacing w:val="-10"/>
        </w:rPr>
        <w:t>穿衣：自己能够穿衣及脱衣；</w:t>
      </w:r>
      <w:r>
        <w:rPr/>
        <w:t>（</w:t>
      </w:r>
      <w:r>
        <w:rPr>
          <w:rFonts w:ascii="Courier New" w:eastAsia="Courier New"/>
          <w:spacing w:val="-1"/>
          <w:w w:val="83"/>
        </w:rPr>
        <w:t>2</w:t>
      </w:r>
      <w:r>
        <w:rPr>
          <w:spacing w:val="-4"/>
        </w:rPr>
        <w:t>）</w:t>
      </w:r>
      <w:r>
        <w:rPr>
          <w:spacing w:val="-1"/>
        </w:rPr>
        <w:t>移动：自己从</w:t>
      </w:r>
      <w:r>
        <w:rPr>
          <w:spacing w:val="-11"/>
        </w:rPr>
        <w:t>一个房间到另一个房间；</w:t>
      </w:r>
      <w:r>
        <w:rPr/>
        <w:t>（</w:t>
      </w:r>
      <w:r>
        <w:rPr>
          <w:rFonts w:ascii="Courier New" w:eastAsia="Courier New"/>
          <w:spacing w:val="-1"/>
          <w:w w:val="83"/>
        </w:rPr>
        <w:t>3</w:t>
      </w:r>
      <w:r>
        <w:rPr>
          <w:spacing w:val="-3"/>
        </w:rPr>
        <w:t>）</w:t>
      </w:r>
      <w:r>
        <w:rPr>
          <w:spacing w:val="-10"/>
        </w:rPr>
        <w:t>行动：自己上下床或上下轮椅；</w:t>
      </w:r>
      <w:r>
        <w:rPr/>
        <w:t>（</w:t>
      </w:r>
      <w:r>
        <w:rPr>
          <w:rFonts w:ascii="Courier New" w:eastAsia="Courier New"/>
          <w:spacing w:val="-1"/>
          <w:w w:val="83"/>
        </w:rPr>
        <w:t>4</w:t>
      </w:r>
      <w:r>
        <w:rPr>
          <w:spacing w:val="-3"/>
        </w:rPr>
        <w:t>）</w:t>
      </w:r>
      <w:r>
        <w:rPr>
          <w:spacing w:val="-2"/>
        </w:rPr>
        <w:t>如厕：自己控制进行</w:t>
      </w:r>
      <w:r>
        <w:rPr>
          <w:spacing w:val="-29"/>
        </w:rPr>
        <w:t>大小便；</w:t>
      </w:r>
      <w:r>
        <w:rPr/>
        <w:t>（</w:t>
      </w:r>
      <w:r>
        <w:rPr>
          <w:rFonts w:ascii="Courier New" w:eastAsia="Courier New"/>
          <w:spacing w:val="-1"/>
          <w:w w:val="83"/>
        </w:rPr>
        <w:t>5</w:t>
      </w:r>
      <w:r>
        <w:rPr>
          <w:spacing w:val="-3"/>
        </w:rPr>
        <w:t>）</w:t>
      </w:r>
      <w:r>
        <w:rPr>
          <w:spacing w:val="-7"/>
        </w:rPr>
        <w:t>进食：自己从已准备好的碗或碟中取食物放入口中；</w:t>
      </w:r>
      <w:r>
        <w:rPr/>
        <w:t>（</w:t>
      </w:r>
      <w:r>
        <w:rPr>
          <w:rFonts w:ascii="Courier New" w:eastAsia="Courier New"/>
          <w:spacing w:val="-1"/>
          <w:w w:val="83"/>
        </w:rPr>
        <w:t>6</w:t>
      </w:r>
      <w:r>
        <w:rPr>
          <w:spacing w:val="-3"/>
        </w:rPr>
        <w:t>）</w:t>
      </w:r>
      <w:r>
        <w:rPr>
          <w:spacing w:val="-2"/>
        </w:rPr>
        <w:t>洗澡：自己进行淋浴或盆浴。</w:t>
      </w:r>
    </w:p>
    <w:p>
      <w:pPr>
        <w:pStyle w:val="BodyText"/>
        <w:spacing w:before="34"/>
        <w:ind w:left="537"/>
      </w:pPr>
      <w:r>
        <w:rPr/>
        <w:t>肢体机能完全丧失：</w:t>
      </w:r>
    </w:p>
    <w:p>
      <w:pPr>
        <w:pStyle w:val="BodyText"/>
        <w:spacing w:line="273" w:lineRule="auto" w:before="37"/>
        <w:ind w:left="539" w:right="214" w:firstLine="420"/>
        <w:jc w:val="both"/>
      </w:pPr>
      <w:r>
        <w:rPr>
          <w:spacing w:val="-2"/>
        </w:rPr>
        <w:t>指肢体的三大关节中的两大关节僵硬，或不能随意识活动。肢体是指包括肩关节的整个上肢或包括髋关节的整个下肢。</w:t>
      </w:r>
    </w:p>
    <w:p>
      <w:pPr>
        <w:pStyle w:val="BodyText"/>
        <w:spacing w:before="8"/>
        <w:ind w:left="537"/>
      </w:pPr>
      <w:r>
        <w:rPr/>
        <w:t>语言能力或咀嚼吞咽能力完全丧失：</w:t>
      </w:r>
    </w:p>
    <w:p>
      <w:pPr>
        <w:pStyle w:val="BodyText"/>
        <w:spacing w:line="273" w:lineRule="auto" w:before="37"/>
        <w:ind w:left="539" w:right="108" w:firstLine="420"/>
      </w:pPr>
      <w:r>
        <w:rPr>
          <w:spacing w:val="-6"/>
        </w:rPr>
        <w:t>语言能力完全丧失，指无法发出四种语音</w:t>
      </w:r>
      <w:r>
        <w:rPr/>
        <w:t>（</w:t>
      </w:r>
      <w:r>
        <w:rPr>
          <w:spacing w:val="-9"/>
        </w:rPr>
        <w:t>包括口唇音、齿舌音、口盖音和喉头音</w:t>
      </w:r>
      <w:r>
        <w:rPr/>
        <w:t>） 中的任何三种、或声带全部切除，或因大脑语言中枢受伤害而患失语症。</w:t>
      </w:r>
    </w:p>
    <w:p>
      <w:pPr>
        <w:pStyle w:val="BodyText"/>
        <w:spacing w:line="273" w:lineRule="auto" w:before="7"/>
        <w:ind w:left="537" w:right="214" w:firstLine="420"/>
        <w:jc w:val="both"/>
      </w:pPr>
      <w:r>
        <w:rPr>
          <w:spacing w:val="-2"/>
        </w:rPr>
        <w:t>咀嚼吞咽能力完全丧失，指因牙齿以外的原因导致器质障碍或机能障碍，以致不能作咀嚼吞咽运动，除流质食物外不能摄取或吞咽的状态。</w:t>
      </w:r>
    </w:p>
    <w:p>
      <w:pPr>
        <w:pStyle w:val="BodyText"/>
        <w:spacing w:before="7"/>
        <w:ind w:left="537"/>
      </w:pPr>
      <w:r>
        <w:rPr/>
        <w:t>永久不可逆：</w:t>
      </w:r>
    </w:p>
    <w:p>
      <w:pPr>
        <w:pStyle w:val="BodyText"/>
        <w:spacing w:line="242" w:lineRule="auto" w:before="37"/>
        <w:ind w:left="539" w:right="214" w:firstLine="420"/>
        <w:jc w:val="both"/>
      </w:pPr>
      <w:r>
        <w:rPr>
          <w:spacing w:val="-5"/>
        </w:rPr>
        <w:t>指自疾病确诊或意外伤害发生之日起，经过积极治疗 </w:t>
      </w:r>
      <w:r>
        <w:rPr>
          <w:rFonts w:ascii="Courier New" w:eastAsia="Courier New"/>
        </w:rPr>
        <w:t>180</w:t>
      </w:r>
      <w:r>
        <w:rPr>
          <w:rFonts w:ascii="Courier New" w:eastAsia="Courier New"/>
          <w:spacing w:val="-105"/>
        </w:rPr>
        <w:t> </w:t>
      </w:r>
      <w:r>
        <w:rPr>
          <w:spacing w:val="-3"/>
        </w:rPr>
        <w:t>天后，仍无法通过现有医疗手段恢复。</w:t>
      </w:r>
    </w:p>
    <w:p>
      <w:pPr>
        <w:pStyle w:val="BodyText"/>
        <w:spacing w:before="35"/>
        <w:ind w:left="537"/>
      </w:pPr>
      <w:r>
        <w:rPr/>
        <w:t>感染艾滋病病毒或患艾滋病：</w:t>
      </w:r>
    </w:p>
    <w:p>
      <w:pPr>
        <w:pStyle w:val="BodyText"/>
        <w:spacing w:line="242" w:lineRule="auto" w:before="37"/>
        <w:ind w:left="539" w:right="216" w:firstLine="420"/>
        <w:jc w:val="both"/>
      </w:pPr>
      <w:r>
        <w:rPr>
          <w:w w:val="95"/>
        </w:rPr>
        <w:t>艾滋病病毒指人类免疫缺陷病毒，英文缩写为  </w:t>
      </w:r>
      <w:r>
        <w:rPr>
          <w:rFonts w:ascii="Courier New" w:eastAsia="Courier New"/>
          <w:w w:val="95"/>
        </w:rPr>
        <w:t>HIV</w:t>
      </w:r>
      <w:r>
        <w:rPr>
          <w:w w:val="95"/>
        </w:rPr>
        <w:t>。艾滋病指人类免疫缺陷病毒引起的获得性免疫缺陷综合征，英文缩写为 </w:t>
      </w:r>
      <w:r>
        <w:rPr>
          <w:rFonts w:ascii="Courier New" w:eastAsia="Courier New"/>
          <w:w w:val="95"/>
        </w:rPr>
        <w:t>AIDS</w:t>
      </w:r>
      <w:r>
        <w:rPr>
          <w:w w:val="95"/>
        </w:rPr>
        <w:t>。</w:t>
      </w:r>
    </w:p>
    <w:p>
      <w:pPr>
        <w:pStyle w:val="BodyText"/>
        <w:spacing w:line="273" w:lineRule="auto" w:before="1"/>
        <w:ind w:left="537" w:right="216" w:firstLine="420"/>
        <w:jc w:val="both"/>
      </w:pPr>
      <w:r>
        <w:rPr>
          <w:spacing w:val="-1"/>
        </w:rPr>
        <w:t>在人体血液或其它样本中检测到艾滋病病毒或其抗体呈阳性，没有出现临床症状或体征的，为感染艾滋病病毒；如果同时出现了明显临床症状或体征的，为患艾滋病。</w:t>
      </w:r>
    </w:p>
    <w:sectPr>
      <w:pgSz w:w="11900" w:h="16840"/>
      <w:pgMar w:header="896" w:footer="1008" w:top="1280" w:bottom="1200" w:left="168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4.940308pt;margin-top:781.119568pt;width:9.050pt;height:12pt;mso-position-horizontal-relative:page;mso-position-vertical-relative:page;z-index:-17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0.299988pt;margin-top:780.579651pt;width:78.45pt;height:12pt;mso-position-horizontal-relative:page;mso-position-vertical-relative:page;z-index:-1753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12"/>
                    <w:sz w:val="18"/>
                  </w:rPr>
                  <w:t>页，共 </w:t>
                </w:r>
                <w:r>
                  <w:rPr>
                    <w:rFonts w:ascii="Times New Roman" w:eastAsia="Times New Roman"/>
                    <w:sz w:val="18"/>
                  </w:rPr>
                  <w:t>15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584" from="89.82pt,64.199997pt" to="509.82pt,64.199997pt" stroked="true" strokeweight=".75pt" strokecolor="#000000">
          <v:stroke dashstyle="solid"/>
          <w10:wrap type="none"/>
        </v:line>
      </w:pict>
    </w:r>
    <w:r>
      <w:rPr/>
      <w:pict>
        <v:shape style="position:absolute;margin-left:315.380005pt;margin-top:43.792511pt;width:194.8pt;height:18.05pt;mso-position-horizontal-relative:page;mso-position-vertical-relative:page;z-index:-17560" type="#_x0000_t202" filled="false" stroked="false">
          <v:textbox inset="0,0,0,0">
            <w:txbxContent>
              <w:p>
                <w:pPr>
                  <w:spacing w:line="340" w:lineRule="exact" w:before="0"/>
                  <w:ind w:left="20" w:right="0" w:firstLine="0"/>
                  <w:jc w:val="left"/>
                  <w:rPr>
                    <w:sz w:val="32"/>
                  </w:rPr>
                </w:pPr>
                <w:r>
                  <w:rPr>
                    <w:sz w:val="32"/>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981" w:hanging="360"/>
        <w:jc w:val="left"/>
      </w:pPr>
      <w:rPr>
        <w:rFonts w:hint="default" w:ascii="Courier New" w:hAnsi="Courier New" w:eastAsia="Courier New" w:cs="Courier New"/>
        <w:spacing w:val="-1"/>
        <w:w w:val="83"/>
        <w:sz w:val="21"/>
        <w:szCs w:val="21"/>
      </w:rPr>
    </w:lvl>
    <w:lvl w:ilvl="1">
      <w:start w:val="0"/>
      <w:numFmt w:val="bullet"/>
      <w:lvlText w:val="•"/>
      <w:lvlJc w:val="left"/>
      <w:pPr>
        <w:ind w:left="1754" w:hanging="360"/>
      </w:pPr>
      <w:rPr>
        <w:rFonts w:hint="default"/>
      </w:rPr>
    </w:lvl>
    <w:lvl w:ilvl="2">
      <w:start w:val="0"/>
      <w:numFmt w:val="bullet"/>
      <w:lvlText w:val="•"/>
      <w:lvlJc w:val="left"/>
      <w:pPr>
        <w:ind w:left="2528" w:hanging="360"/>
      </w:pPr>
      <w:rPr>
        <w:rFonts w:hint="default"/>
      </w:rPr>
    </w:lvl>
    <w:lvl w:ilvl="3">
      <w:start w:val="0"/>
      <w:numFmt w:val="bullet"/>
      <w:lvlText w:val="•"/>
      <w:lvlJc w:val="left"/>
      <w:pPr>
        <w:ind w:left="3302" w:hanging="360"/>
      </w:pPr>
      <w:rPr>
        <w:rFonts w:hint="default"/>
      </w:rPr>
    </w:lvl>
    <w:lvl w:ilvl="4">
      <w:start w:val="0"/>
      <w:numFmt w:val="bullet"/>
      <w:lvlText w:val="•"/>
      <w:lvlJc w:val="left"/>
      <w:pPr>
        <w:ind w:left="4076" w:hanging="360"/>
      </w:pPr>
      <w:rPr>
        <w:rFonts w:hint="default"/>
      </w:rPr>
    </w:lvl>
    <w:lvl w:ilvl="5">
      <w:start w:val="0"/>
      <w:numFmt w:val="bullet"/>
      <w:lvlText w:val="•"/>
      <w:lvlJc w:val="left"/>
      <w:pPr>
        <w:ind w:left="4850" w:hanging="360"/>
      </w:pPr>
      <w:rPr>
        <w:rFonts w:hint="default"/>
      </w:rPr>
    </w:lvl>
    <w:lvl w:ilvl="6">
      <w:start w:val="0"/>
      <w:numFmt w:val="bullet"/>
      <w:lvlText w:val="•"/>
      <w:lvlJc w:val="left"/>
      <w:pPr>
        <w:ind w:left="5624" w:hanging="360"/>
      </w:pPr>
      <w:rPr>
        <w:rFonts w:hint="default"/>
      </w:rPr>
    </w:lvl>
    <w:lvl w:ilvl="7">
      <w:start w:val="0"/>
      <w:numFmt w:val="bullet"/>
      <w:lvlText w:val="•"/>
      <w:lvlJc w:val="left"/>
      <w:pPr>
        <w:ind w:left="6398" w:hanging="360"/>
      </w:pPr>
      <w:rPr>
        <w:rFonts w:hint="default"/>
      </w:rPr>
    </w:lvl>
    <w:lvl w:ilvl="8">
      <w:start w:val="0"/>
      <w:numFmt w:val="bullet"/>
      <w:lvlText w:val="•"/>
      <w:lvlJc w:val="left"/>
      <w:pPr>
        <w:ind w:left="7172" w:hanging="360"/>
      </w:pPr>
      <w:rPr>
        <w:rFonts w:hint="default"/>
      </w:rPr>
    </w:lvl>
  </w:abstractNum>
  <w:abstractNum w:abstractNumId="14">
    <w:multiLevelType w:val="hybridMultilevel"/>
    <w:lvl w:ilvl="0">
      <w:start w:val="1"/>
      <w:numFmt w:val="decimal"/>
      <w:lvlText w:val="%1）"/>
      <w:lvlJc w:val="left"/>
      <w:pPr>
        <w:ind w:left="1377" w:hanging="656"/>
        <w:jc w:val="left"/>
      </w:pPr>
      <w:rPr>
        <w:rFonts w:hint="default" w:ascii="Courier New" w:hAnsi="Courier New" w:eastAsia="Courier New" w:cs="Courier New"/>
        <w:spacing w:val="-74"/>
        <w:w w:val="83"/>
        <w:sz w:val="21"/>
        <w:szCs w:val="21"/>
      </w:rPr>
    </w:lvl>
    <w:lvl w:ilvl="1">
      <w:start w:val="0"/>
      <w:numFmt w:val="bullet"/>
      <w:lvlText w:val="•"/>
      <w:lvlJc w:val="left"/>
      <w:pPr>
        <w:ind w:left="2114" w:hanging="656"/>
      </w:pPr>
      <w:rPr>
        <w:rFonts w:hint="default"/>
      </w:rPr>
    </w:lvl>
    <w:lvl w:ilvl="2">
      <w:start w:val="0"/>
      <w:numFmt w:val="bullet"/>
      <w:lvlText w:val="•"/>
      <w:lvlJc w:val="left"/>
      <w:pPr>
        <w:ind w:left="2848" w:hanging="656"/>
      </w:pPr>
      <w:rPr>
        <w:rFonts w:hint="default"/>
      </w:rPr>
    </w:lvl>
    <w:lvl w:ilvl="3">
      <w:start w:val="0"/>
      <w:numFmt w:val="bullet"/>
      <w:lvlText w:val="•"/>
      <w:lvlJc w:val="left"/>
      <w:pPr>
        <w:ind w:left="3582" w:hanging="656"/>
      </w:pPr>
      <w:rPr>
        <w:rFonts w:hint="default"/>
      </w:rPr>
    </w:lvl>
    <w:lvl w:ilvl="4">
      <w:start w:val="0"/>
      <w:numFmt w:val="bullet"/>
      <w:lvlText w:val="•"/>
      <w:lvlJc w:val="left"/>
      <w:pPr>
        <w:ind w:left="4316" w:hanging="656"/>
      </w:pPr>
      <w:rPr>
        <w:rFonts w:hint="default"/>
      </w:rPr>
    </w:lvl>
    <w:lvl w:ilvl="5">
      <w:start w:val="0"/>
      <w:numFmt w:val="bullet"/>
      <w:lvlText w:val="•"/>
      <w:lvlJc w:val="left"/>
      <w:pPr>
        <w:ind w:left="5050" w:hanging="656"/>
      </w:pPr>
      <w:rPr>
        <w:rFonts w:hint="default"/>
      </w:rPr>
    </w:lvl>
    <w:lvl w:ilvl="6">
      <w:start w:val="0"/>
      <w:numFmt w:val="bullet"/>
      <w:lvlText w:val="•"/>
      <w:lvlJc w:val="left"/>
      <w:pPr>
        <w:ind w:left="5784" w:hanging="656"/>
      </w:pPr>
      <w:rPr>
        <w:rFonts w:hint="default"/>
      </w:rPr>
    </w:lvl>
    <w:lvl w:ilvl="7">
      <w:start w:val="0"/>
      <w:numFmt w:val="bullet"/>
      <w:lvlText w:val="•"/>
      <w:lvlJc w:val="left"/>
      <w:pPr>
        <w:ind w:left="6518" w:hanging="656"/>
      </w:pPr>
      <w:rPr>
        <w:rFonts w:hint="default"/>
      </w:rPr>
    </w:lvl>
    <w:lvl w:ilvl="8">
      <w:start w:val="0"/>
      <w:numFmt w:val="bullet"/>
      <w:lvlText w:val="•"/>
      <w:lvlJc w:val="left"/>
      <w:pPr>
        <w:ind w:left="7252" w:hanging="656"/>
      </w:pPr>
      <w:rPr>
        <w:rFonts w:hint="default"/>
      </w:rPr>
    </w:lvl>
  </w:abstractNum>
  <w:abstractNum w:abstractNumId="13">
    <w:multiLevelType w:val="hybridMultilevel"/>
    <w:lvl w:ilvl="0">
      <w:start w:val="1"/>
      <w:numFmt w:val="decimal"/>
      <w:lvlText w:val="%1）"/>
      <w:lvlJc w:val="left"/>
      <w:pPr>
        <w:ind w:left="1197" w:hanging="360"/>
        <w:jc w:val="left"/>
      </w:pPr>
      <w:rPr>
        <w:rFonts w:hint="default" w:ascii="Courier New" w:hAnsi="Courier New" w:eastAsia="Courier New" w:cs="Courier New"/>
        <w:spacing w:val="-1"/>
        <w:w w:val="83"/>
        <w:sz w:val="21"/>
        <w:szCs w:val="21"/>
      </w:rPr>
    </w:lvl>
    <w:lvl w:ilvl="1">
      <w:start w:val="0"/>
      <w:numFmt w:val="bullet"/>
      <w:lvlText w:val="•"/>
      <w:lvlJc w:val="left"/>
      <w:pPr>
        <w:ind w:left="1952" w:hanging="360"/>
      </w:pPr>
      <w:rPr>
        <w:rFonts w:hint="default"/>
      </w:rPr>
    </w:lvl>
    <w:lvl w:ilvl="2">
      <w:start w:val="0"/>
      <w:numFmt w:val="bullet"/>
      <w:lvlText w:val="•"/>
      <w:lvlJc w:val="left"/>
      <w:pPr>
        <w:ind w:left="2704" w:hanging="360"/>
      </w:pPr>
      <w:rPr>
        <w:rFonts w:hint="default"/>
      </w:rPr>
    </w:lvl>
    <w:lvl w:ilvl="3">
      <w:start w:val="0"/>
      <w:numFmt w:val="bullet"/>
      <w:lvlText w:val="•"/>
      <w:lvlJc w:val="left"/>
      <w:pPr>
        <w:ind w:left="3456" w:hanging="360"/>
      </w:pPr>
      <w:rPr>
        <w:rFonts w:hint="default"/>
      </w:rPr>
    </w:lvl>
    <w:lvl w:ilvl="4">
      <w:start w:val="0"/>
      <w:numFmt w:val="bullet"/>
      <w:lvlText w:val="•"/>
      <w:lvlJc w:val="left"/>
      <w:pPr>
        <w:ind w:left="4208" w:hanging="360"/>
      </w:pPr>
      <w:rPr>
        <w:rFonts w:hint="default"/>
      </w:rPr>
    </w:lvl>
    <w:lvl w:ilvl="5">
      <w:start w:val="0"/>
      <w:numFmt w:val="bullet"/>
      <w:lvlText w:val="•"/>
      <w:lvlJc w:val="left"/>
      <w:pPr>
        <w:ind w:left="4960" w:hanging="360"/>
      </w:pPr>
      <w:rPr>
        <w:rFonts w:hint="default"/>
      </w:rPr>
    </w:lvl>
    <w:lvl w:ilvl="6">
      <w:start w:val="0"/>
      <w:numFmt w:val="bullet"/>
      <w:lvlText w:val="•"/>
      <w:lvlJc w:val="left"/>
      <w:pPr>
        <w:ind w:left="5712" w:hanging="360"/>
      </w:pPr>
      <w:rPr>
        <w:rFonts w:hint="default"/>
      </w:rPr>
    </w:lvl>
    <w:lvl w:ilvl="7">
      <w:start w:val="0"/>
      <w:numFmt w:val="bullet"/>
      <w:lvlText w:val="•"/>
      <w:lvlJc w:val="left"/>
      <w:pPr>
        <w:ind w:left="6464" w:hanging="360"/>
      </w:pPr>
      <w:rPr>
        <w:rFonts w:hint="default"/>
      </w:rPr>
    </w:lvl>
    <w:lvl w:ilvl="8">
      <w:start w:val="0"/>
      <w:numFmt w:val="bullet"/>
      <w:lvlText w:val="•"/>
      <w:lvlJc w:val="left"/>
      <w:pPr>
        <w:ind w:left="7216" w:hanging="360"/>
      </w:pPr>
      <w:rPr>
        <w:rFonts w:hint="default"/>
      </w:rPr>
    </w:lvl>
  </w:abstractNum>
  <w:abstractNum w:abstractNumId="12">
    <w:multiLevelType w:val="hybridMultilevel"/>
    <w:lvl w:ilvl="0">
      <w:start w:val="1"/>
      <w:numFmt w:val="decimal"/>
      <w:lvlText w:val="%1）"/>
      <w:lvlJc w:val="left"/>
      <w:pPr>
        <w:ind w:left="1197" w:hanging="360"/>
        <w:jc w:val="left"/>
      </w:pPr>
      <w:rPr>
        <w:rFonts w:hint="default" w:ascii="Courier New" w:hAnsi="Courier New" w:eastAsia="Courier New" w:cs="Courier New"/>
        <w:spacing w:val="-1"/>
        <w:w w:val="83"/>
        <w:sz w:val="21"/>
        <w:szCs w:val="21"/>
      </w:rPr>
    </w:lvl>
    <w:lvl w:ilvl="1">
      <w:start w:val="0"/>
      <w:numFmt w:val="bullet"/>
      <w:lvlText w:val="•"/>
      <w:lvlJc w:val="left"/>
      <w:pPr>
        <w:ind w:left="1952" w:hanging="360"/>
      </w:pPr>
      <w:rPr>
        <w:rFonts w:hint="default"/>
      </w:rPr>
    </w:lvl>
    <w:lvl w:ilvl="2">
      <w:start w:val="0"/>
      <w:numFmt w:val="bullet"/>
      <w:lvlText w:val="•"/>
      <w:lvlJc w:val="left"/>
      <w:pPr>
        <w:ind w:left="2704" w:hanging="360"/>
      </w:pPr>
      <w:rPr>
        <w:rFonts w:hint="default"/>
      </w:rPr>
    </w:lvl>
    <w:lvl w:ilvl="3">
      <w:start w:val="0"/>
      <w:numFmt w:val="bullet"/>
      <w:lvlText w:val="•"/>
      <w:lvlJc w:val="left"/>
      <w:pPr>
        <w:ind w:left="3456" w:hanging="360"/>
      </w:pPr>
      <w:rPr>
        <w:rFonts w:hint="default"/>
      </w:rPr>
    </w:lvl>
    <w:lvl w:ilvl="4">
      <w:start w:val="0"/>
      <w:numFmt w:val="bullet"/>
      <w:lvlText w:val="•"/>
      <w:lvlJc w:val="left"/>
      <w:pPr>
        <w:ind w:left="4208" w:hanging="360"/>
      </w:pPr>
      <w:rPr>
        <w:rFonts w:hint="default"/>
      </w:rPr>
    </w:lvl>
    <w:lvl w:ilvl="5">
      <w:start w:val="0"/>
      <w:numFmt w:val="bullet"/>
      <w:lvlText w:val="•"/>
      <w:lvlJc w:val="left"/>
      <w:pPr>
        <w:ind w:left="4960" w:hanging="360"/>
      </w:pPr>
      <w:rPr>
        <w:rFonts w:hint="default"/>
      </w:rPr>
    </w:lvl>
    <w:lvl w:ilvl="6">
      <w:start w:val="0"/>
      <w:numFmt w:val="bullet"/>
      <w:lvlText w:val="•"/>
      <w:lvlJc w:val="left"/>
      <w:pPr>
        <w:ind w:left="5712" w:hanging="360"/>
      </w:pPr>
      <w:rPr>
        <w:rFonts w:hint="default"/>
      </w:rPr>
    </w:lvl>
    <w:lvl w:ilvl="7">
      <w:start w:val="0"/>
      <w:numFmt w:val="bullet"/>
      <w:lvlText w:val="•"/>
      <w:lvlJc w:val="left"/>
      <w:pPr>
        <w:ind w:left="6464" w:hanging="360"/>
      </w:pPr>
      <w:rPr>
        <w:rFonts w:hint="default"/>
      </w:rPr>
    </w:lvl>
    <w:lvl w:ilvl="8">
      <w:start w:val="0"/>
      <w:numFmt w:val="bullet"/>
      <w:lvlText w:val="•"/>
      <w:lvlJc w:val="left"/>
      <w:pPr>
        <w:ind w:left="7216" w:hanging="360"/>
      </w:pPr>
      <w:rPr>
        <w:rFonts w:hint="default"/>
      </w:rPr>
    </w:lvl>
  </w:abstractNum>
  <w:abstractNum w:abstractNumId="11">
    <w:multiLevelType w:val="hybridMultilevel"/>
    <w:lvl w:ilvl="0">
      <w:start w:val="1"/>
      <w:numFmt w:val="decimal"/>
      <w:lvlText w:val="%1）"/>
      <w:lvlJc w:val="left"/>
      <w:pPr>
        <w:ind w:left="1377" w:hanging="360"/>
        <w:jc w:val="left"/>
      </w:pPr>
      <w:rPr>
        <w:rFonts w:hint="default" w:ascii="Courier New" w:hAnsi="Courier New" w:eastAsia="Courier New" w:cs="Courier New"/>
        <w:spacing w:val="-1"/>
        <w:w w:val="83"/>
        <w:sz w:val="21"/>
        <w:szCs w:val="21"/>
      </w:rPr>
    </w:lvl>
    <w:lvl w:ilvl="1">
      <w:start w:val="0"/>
      <w:numFmt w:val="bullet"/>
      <w:lvlText w:val="•"/>
      <w:lvlJc w:val="left"/>
      <w:pPr>
        <w:ind w:left="2114" w:hanging="360"/>
      </w:pPr>
      <w:rPr>
        <w:rFonts w:hint="default"/>
      </w:rPr>
    </w:lvl>
    <w:lvl w:ilvl="2">
      <w:start w:val="0"/>
      <w:numFmt w:val="bullet"/>
      <w:lvlText w:val="•"/>
      <w:lvlJc w:val="left"/>
      <w:pPr>
        <w:ind w:left="2848" w:hanging="360"/>
      </w:pPr>
      <w:rPr>
        <w:rFonts w:hint="default"/>
      </w:rPr>
    </w:lvl>
    <w:lvl w:ilvl="3">
      <w:start w:val="0"/>
      <w:numFmt w:val="bullet"/>
      <w:lvlText w:val="•"/>
      <w:lvlJc w:val="left"/>
      <w:pPr>
        <w:ind w:left="358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050" w:hanging="360"/>
      </w:pPr>
      <w:rPr>
        <w:rFonts w:hint="default"/>
      </w:rPr>
    </w:lvl>
    <w:lvl w:ilvl="6">
      <w:start w:val="0"/>
      <w:numFmt w:val="bullet"/>
      <w:lvlText w:val="•"/>
      <w:lvlJc w:val="left"/>
      <w:pPr>
        <w:ind w:left="5784" w:hanging="360"/>
      </w:pPr>
      <w:rPr>
        <w:rFonts w:hint="default"/>
      </w:rPr>
    </w:lvl>
    <w:lvl w:ilvl="7">
      <w:start w:val="0"/>
      <w:numFmt w:val="bullet"/>
      <w:lvlText w:val="•"/>
      <w:lvlJc w:val="left"/>
      <w:pPr>
        <w:ind w:left="6518" w:hanging="360"/>
      </w:pPr>
      <w:rPr>
        <w:rFonts w:hint="default"/>
      </w:rPr>
    </w:lvl>
    <w:lvl w:ilvl="8">
      <w:start w:val="0"/>
      <w:numFmt w:val="bullet"/>
      <w:lvlText w:val="•"/>
      <w:lvlJc w:val="left"/>
      <w:pPr>
        <w:ind w:left="7252" w:hanging="360"/>
      </w:pPr>
      <w:rPr>
        <w:rFonts w:hint="default"/>
      </w:rPr>
    </w:lvl>
  </w:abstractNum>
  <w:abstractNum w:abstractNumId="10">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1"/>
      <w:numFmt w:val="decimal"/>
      <w:lvlText w:val="%2）"/>
      <w:lvlJc w:val="left"/>
      <w:pPr>
        <w:ind w:left="1377" w:hanging="656"/>
        <w:jc w:val="left"/>
      </w:pPr>
      <w:rPr>
        <w:rFonts w:hint="default" w:ascii="Courier New" w:hAnsi="Courier New" w:eastAsia="Courier New" w:cs="Courier New"/>
        <w:spacing w:val="-1"/>
        <w:w w:val="83"/>
        <w:sz w:val="21"/>
        <w:szCs w:val="21"/>
      </w:rPr>
    </w:lvl>
    <w:lvl w:ilvl="2">
      <w:start w:val="1"/>
      <w:numFmt w:val="decimal"/>
      <w:lvlText w:val="(%3)"/>
      <w:lvlJc w:val="left"/>
      <w:pPr>
        <w:ind w:left="1797" w:hanging="420"/>
        <w:jc w:val="left"/>
      </w:pPr>
      <w:rPr>
        <w:rFonts w:hint="default" w:ascii="Courier New" w:hAnsi="Courier New" w:eastAsia="Courier New" w:cs="Courier New"/>
        <w:spacing w:val="-1"/>
        <w:w w:val="83"/>
        <w:sz w:val="21"/>
        <w:szCs w:val="21"/>
      </w:rPr>
    </w:lvl>
    <w:lvl w:ilvl="3">
      <w:start w:val="0"/>
      <w:numFmt w:val="bullet"/>
      <w:lvlText w:val="•"/>
      <w:lvlJc w:val="left"/>
      <w:pPr>
        <w:ind w:left="2662" w:hanging="420"/>
      </w:pPr>
      <w:rPr>
        <w:rFonts w:hint="default"/>
      </w:rPr>
    </w:lvl>
    <w:lvl w:ilvl="4">
      <w:start w:val="0"/>
      <w:numFmt w:val="bullet"/>
      <w:lvlText w:val="•"/>
      <w:lvlJc w:val="left"/>
      <w:pPr>
        <w:ind w:left="3525" w:hanging="420"/>
      </w:pPr>
      <w:rPr>
        <w:rFonts w:hint="default"/>
      </w:rPr>
    </w:lvl>
    <w:lvl w:ilvl="5">
      <w:start w:val="0"/>
      <w:numFmt w:val="bullet"/>
      <w:lvlText w:val="•"/>
      <w:lvlJc w:val="left"/>
      <w:pPr>
        <w:ind w:left="4387" w:hanging="420"/>
      </w:pPr>
      <w:rPr>
        <w:rFonts w:hint="default"/>
      </w:rPr>
    </w:lvl>
    <w:lvl w:ilvl="6">
      <w:start w:val="0"/>
      <w:numFmt w:val="bullet"/>
      <w:lvlText w:val="•"/>
      <w:lvlJc w:val="left"/>
      <w:pPr>
        <w:ind w:left="5250" w:hanging="420"/>
      </w:pPr>
      <w:rPr>
        <w:rFonts w:hint="default"/>
      </w:rPr>
    </w:lvl>
    <w:lvl w:ilvl="7">
      <w:start w:val="0"/>
      <w:numFmt w:val="bullet"/>
      <w:lvlText w:val="•"/>
      <w:lvlJc w:val="left"/>
      <w:pPr>
        <w:ind w:left="6112" w:hanging="420"/>
      </w:pPr>
      <w:rPr>
        <w:rFonts w:hint="default"/>
      </w:rPr>
    </w:lvl>
    <w:lvl w:ilvl="8">
      <w:start w:val="0"/>
      <w:numFmt w:val="bullet"/>
      <w:lvlText w:val="•"/>
      <w:lvlJc w:val="left"/>
      <w:pPr>
        <w:ind w:left="6975" w:hanging="420"/>
      </w:pPr>
      <w:rPr>
        <w:rFonts w:hint="default"/>
      </w:rPr>
    </w:lvl>
  </w:abstractNum>
  <w:abstractNum w:abstractNumId="9">
    <w:multiLevelType w:val="hybridMultilevel"/>
    <w:lvl w:ilvl="0">
      <w:start w:val="1"/>
      <w:numFmt w:val="decimal"/>
      <w:lvlText w:val="%1."/>
      <w:lvlJc w:val="left"/>
      <w:pPr>
        <w:ind w:left="957" w:hanging="420"/>
        <w:jc w:val="left"/>
      </w:pPr>
      <w:rPr>
        <w:rFonts w:hint="default"/>
        <w:w w:val="83"/>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8" w:hanging="420"/>
      </w:pPr>
      <w:rPr>
        <w:rFonts w:hint="default"/>
      </w:rPr>
    </w:lvl>
    <w:lvl w:ilvl="4">
      <w:start w:val="0"/>
      <w:numFmt w:val="bullet"/>
      <w:lvlText w:val="•"/>
      <w:lvlJc w:val="left"/>
      <w:pPr>
        <w:ind w:left="4024" w:hanging="420"/>
      </w:pPr>
      <w:rPr>
        <w:rFonts w:hint="default"/>
      </w:rPr>
    </w:lvl>
    <w:lvl w:ilvl="5">
      <w:start w:val="0"/>
      <w:numFmt w:val="bullet"/>
      <w:lvlText w:val="•"/>
      <w:lvlJc w:val="left"/>
      <w:pPr>
        <w:ind w:left="4790" w:hanging="420"/>
      </w:pPr>
      <w:rPr>
        <w:rFonts w:hint="default"/>
      </w:rPr>
    </w:lvl>
    <w:lvl w:ilvl="6">
      <w:start w:val="0"/>
      <w:numFmt w:val="bullet"/>
      <w:lvlText w:val="•"/>
      <w:lvlJc w:val="left"/>
      <w:pPr>
        <w:ind w:left="5556"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088" w:hanging="420"/>
      </w:pPr>
      <w:rPr>
        <w:rFonts w:hint="default"/>
      </w:rPr>
    </w:lvl>
  </w:abstractNum>
  <w:abstractNum w:abstractNumId="8">
    <w:multiLevelType w:val="hybridMultilevel"/>
    <w:lvl w:ilvl="0">
      <w:start w:val="1"/>
      <w:numFmt w:val="decimal"/>
      <w:lvlText w:val="%1."/>
      <w:lvlJc w:val="left"/>
      <w:pPr>
        <w:ind w:left="53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358" w:hanging="420"/>
      </w:pPr>
      <w:rPr>
        <w:rFonts w:hint="default"/>
      </w:rPr>
    </w:lvl>
    <w:lvl w:ilvl="2">
      <w:start w:val="0"/>
      <w:numFmt w:val="bullet"/>
      <w:lvlText w:val="•"/>
      <w:lvlJc w:val="left"/>
      <w:pPr>
        <w:ind w:left="2176" w:hanging="420"/>
      </w:pPr>
      <w:rPr>
        <w:rFonts w:hint="default"/>
      </w:rPr>
    </w:lvl>
    <w:lvl w:ilvl="3">
      <w:start w:val="0"/>
      <w:numFmt w:val="bullet"/>
      <w:lvlText w:val="•"/>
      <w:lvlJc w:val="left"/>
      <w:pPr>
        <w:ind w:left="2994" w:hanging="420"/>
      </w:pPr>
      <w:rPr>
        <w:rFonts w:hint="default"/>
      </w:rPr>
    </w:lvl>
    <w:lvl w:ilvl="4">
      <w:start w:val="0"/>
      <w:numFmt w:val="bullet"/>
      <w:lvlText w:val="•"/>
      <w:lvlJc w:val="left"/>
      <w:pPr>
        <w:ind w:left="3812" w:hanging="420"/>
      </w:pPr>
      <w:rPr>
        <w:rFonts w:hint="default"/>
      </w:rPr>
    </w:lvl>
    <w:lvl w:ilvl="5">
      <w:start w:val="0"/>
      <w:numFmt w:val="bullet"/>
      <w:lvlText w:val="•"/>
      <w:lvlJc w:val="left"/>
      <w:pPr>
        <w:ind w:left="4630" w:hanging="420"/>
      </w:pPr>
      <w:rPr>
        <w:rFonts w:hint="default"/>
      </w:rPr>
    </w:lvl>
    <w:lvl w:ilvl="6">
      <w:start w:val="0"/>
      <w:numFmt w:val="bullet"/>
      <w:lvlText w:val="•"/>
      <w:lvlJc w:val="left"/>
      <w:pPr>
        <w:ind w:left="5448" w:hanging="420"/>
      </w:pPr>
      <w:rPr>
        <w:rFonts w:hint="default"/>
      </w:rPr>
    </w:lvl>
    <w:lvl w:ilvl="7">
      <w:start w:val="0"/>
      <w:numFmt w:val="bullet"/>
      <w:lvlText w:val="•"/>
      <w:lvlJc w:val="left"/>
      <w:pPr>
        <w:ind w:left="6266" w:hanging="420"/>
      </w:pPr>
      <w:rPr>
        <w:rFonts w:hint="default"/>
      </w:rPr>
    </w:lvl>
    <w:lvl w:ilvl="8">
      <w:start w:val="0"/>
      <w:numFmt w:val="bullet"/>
      <w:lvlText w:val="•"/>
      <w:lvlJc w:val="left"/>
      <w:pPr>
        <w:ind w:left="7084" w:hanging="420"/>
      </w:pPr>
      <w:rPr>
        <w:rFonts w:hint="default"/>
      </w:rPr>
    </w:lvl>
  </w:abstractNum>
  <w:abstractNum w:abstractNumId="7">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736" w:hanging="420"/>
      </w:pPr>
      <w:rPr>
        <w:rFonts w:hint="default"/>
      </w:rPr>
    </w:lvl>
    <w:lvl w:ilvl="2">
      <w:start w:val="0"/>
      <w:numFmt w:val="bullet"/>
      <w:lvlText w:val="•"/>
      <w:lvlJc w:val="left"/>
      <w:pPr>
        <w:ind w:left="25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064" w:hanging="420"/>
      </w:pPr>
      <w:rPr>
        <w:rFonts w:hint="default"/>
      </w:rPr>
    </w:lvl>
    <w:lvl w:ilvl="5">
      <w:start w:val="0"/>
      <w:numFmt w:val="bullet"/>
      <w:lvlText w:val="•"/>
      <w:lvlJc w:val="left"/>
      <w:pPr>
        <w:ind w:left="4840" w:hanging="420"/>
      </w:pPr>
      <w:rPr>
        <w:rFonts w:hint="default"/>
      </w:rPr>
    </w:lvl>
    <w:lvl w:ilvl="6">
      <w:start w:val="0"/>
      <w:numFmt w:val="bullet"/>
      <w:lvlText w:val="•"/>
      <w:lvlJc w:val="left"/>
      <w:pPr>
        <w:ind w:left="5616" w:hanging="420"/>
      </w:pPr>
      <w:rPr>
        <w:rFonts w:hint="default"/>
      </w:rPr>
    </w:lvl>
    <w:lvl w:ilvl="7">
      <w:start w:val="0"/>
      <w:numFmt w:val="bullet"/>
      <w:lvlText w:val="•"/>
      <w:lvlJc w:val="left"/>
      <w:pPr>
        <w:ind w:left="6392" w:hanging="420"/>
      </w:pPr>
      <w:rPr>
        <w:rFonts w:hint="default"/>
      </w:rPr>
    </w:lvl>
    <w:lvl w:ilvl="8">
      <w:start w:val="0"/>
      <w:numFmt w:val="bullet"/>
      <w:lvlText w:val="•"/>
      <w:lvlJc w:val="left"/>
      <w:pPr>
        <w:ind w:left="7168" w:hanging="420"/>
      </w:pPr>
      <w:rPr>
        <w:rFonts w:hint="default"/>
      </w:rPr>
    </w:lvl>
  </w:abstractNum>
  <w:abstractNum w:abstractNumId="6">
    <w:multiLevelType w:val="hybridMultilevel"/>
    <w:lvl w:ilvl="0">
      <w:start w:val="1"/>
      <w:numFmt w:val="decimal"/>
      <w:lvlText w:val="%1."/>
      <w:lvlJc w:val="left"/>
      <w:pPr>
        <w:ind w:left="53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358" w:hanging="420"/>
      </w:pPr>
      <w:rPr>
        <w:rFonts w:hint="default"/>
      </w:rPr>
    </w:lvl>
    <w:lvl w:ilvl="2">
      <w:start w:val="0"/>
      <w:numFmt w:val="bullet"/>
      <w:lvlText w:val="•"/>
      <w:lvlJc w:val="left"/>
      <w:pPr>
        <w:ind w:left="2176" w:hanging="420"/>
      </w:pPr>
      <w:rPr>
        <w:rFonts w:hint="default"/>
      </w:rPr>
    </w:lvl>
    <w:lvl w:ilvl="3">
      <w:start w:val="0"/>
      <w:numFmt w:val="bullet"/>
      <w:lvlText w:val="•"/>
      <w:lvlJc w:val="left"/>
      <w:pPr>
        <w:ind w:left="2994" w:hanging="420"/>
      </w:pPr>
      <w:rPr>
        <w:rFonts w:hint="default"/>
      </w:rPr>
    </w:lvl>
    <w:lvl w:ilvl="4">
      <w:start w:val="0"/>
      <w:numFmt w:val="bullet"/>
      <w:lvlText w:val="•"/>
      <w:lvlJc w:val="left"/>
      <w:pPr>
        <w:ind w:left="3812" w:hanging="420"/>
      </w:pPr>
      <w:rPr>
        <w:rFonts w:hint="default"/>
      </w:rPr>
    </w:lvl>
    <w:lvl w:ilvl="5">
      <w:start w:val="0"/>
      <w:numFmt w:val="bullet"/>
      <w:lvlText w:val="•"/>
      <w:lvlJc w:val="left"/>
      <w:pPr>
        <w:ind w:left="4630" w:hanging="420"/>
      </w:pPr>
      <w:rPr>
        <w:rFonts w:hint="default"/>
      </w:rPr>
    </w:lvl>
    <w:lvl w:ilvl="6">
      <w:start w:val="0"/>
      <w:numFmt w:val="bullet"/>
      <w:lvlText w:val="•"/>
      <w:lvlJc w:val="left"/>
      <w:pPr>
        <w:ind w:left="5448" w:hanging="420"/>
      </w:pPr>
      <w:rPr>
        <w:rFonts w:hint="default"/>
      </w:rPr>
    </w:lvl>
    <w:lvl w:ilvl="7">
      <w:start w:val="0"/>
      <w:numFmt w:val="bullet"/>
      <w:lvlText w:val="•"/>
      <w:lvlJc w:val="left"/>
      <w:pPr>
        <w:ind w:left="6266" w:hanging="420"/>
      </w:pPr>
      <w:rPr>
        <w:rFonts w:hint="default"/>
      </w:rPr>
    </w:lvl>
    <w:lvl w:ilvl="8">
      <w:start w:val="0"/>
      <w:numFmt w:val="bullet"/>
      <w:lvlText w:val="•"/>
      <w:lvlJc w:val="left"/>
      <w:pPr>
        <w:ind w:left="7084" w:hanging="420"/>
      </w:pPr>
      <w:rPr>
        <w:rFonts w:hint="default"/>
      </w:rPr>
    </w:lvl>
  </w:abstractNum>
  <w:abstractNum w:abstractNumId="5">
    <w:multiLevelType w:val="hybridMultilevel"/>
    <w:lvl w:ilvl="0">
      <w:start w:val="1"/>
      <w:numFmt w:val="decimal"/>
      <w:lvlText w:val="%1."/>
      <w:lvlJc w:val="left"/>
      <w:pPr>
        <w:ind w:left="53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358" w:hanging="420"/>
      </w:pPr>
      <w:rPr>
        <w:rFonts w:hint="default"/>
      </w:rPr>
    </w:lvl>
    <w:lvl w:ilvl="2">
      <w:start w:val="0"/>
      <w:numFmt w:val="bullet"/>
      <w:lvlText w:val="•"/>
      <w:lvlJc w:val="left"/>
      <w:pPr>
        <w:ind w:left="2176" w:hanging="420"/>
      </w:pPr>
      <w:rPr>
        <w:rFonts w:hint="default"/>
      </w:rPr>
    </w:lvl>
    <w:lvl w:ilvl="3">
      <w:start w:val="0"/>
      <w:numFmt w:val="bullet"/>
      <w:lvlText w:val="•"/>
      <w:lvlJc w:val="left"/>
      <w:pPr>
        <w:ind w:left="2994" w:hanging="420"/>
      </w:pPr>
      <w:rPr>
        <w:rFonts w:hint="default"/>
      </w:rPr>
    </w:lvl>
    <w:lvl w:ilvl="4">
      <w:start w:val="0"/>
      <w:numFmt w:val="bullet"/>
      <w:lvlText w:val="•"/>
      <w:lvlJc w:val="left"/>
      <w:pPr>
        <w:ind w:left="3812" w:hanging="420"/>
      </w:pPr>
      <w:rPr>
        <w:rFonts w:hint="default"/>
      </w:rPr>
    </w:lvl>
    <w:lvl w:ilvl="5">
      <w:start w:val="0"/>
      <w:numFmt w:val="bullet"/>
      <w:lvlText w:val="•"/>
      <w:lvlJc w:val="left"/>
      <w:pPr>
        <w:ind w:left="4630" w:hanging="420"/>
      </w:pPr>
      <w:rPr>
        <w:rFonts w:hint="default"/>
      </w:rPr>
    </w:lvl>
    <w:lvl w:ilvl="6">
      <w:start w:val="0"/>
      <w:numFmt w:val="bullet"/>
      <w:lvlText w:val="•"/>
      <w:lvlJc w:val="left"/>
      <w:pPr>
        <w:ind w:left="5448" w:hanging="420"/>
      </w:pPr>
      <w:rPr>
        <w:rFonts w:hint="default"/>
      </w:rPr>
    </w:lvl>
    <w:lvl w:ilvl="7">
      <w:start w:val="0"/>
      <w:numFmt w:val="bullet"/>
      <w:lvlText w:val="•"/>
      <w:lvlJc w:val="left"/>
      <w:pPr>
        <w:ind w:left="6266" w:hanging="420"/>
      </w:pPr>
      <w:rPr>
        <w:rFonts w:hint="default"/>
      </w:rPr>
    </w:lvl>
    <w:lvl w:ilvl="8">
      <w:start w:val="0"/>
      <w:numFmt w:val="bullet"/>
      <w:lvlText w:val="•"/>
      <w:lvlJc w:val="left"/>
      <w:pPr>
        <w:ind w:left="7084" w:hanging="420"/>
      </w:pPr>
      <w:rPr>
        <w:rFonts w:hint="default"/>
      </w:rPr>
    </w:lvl>
  </w:abstractNum>
  <w:abstractNum w:abstractNumId="4">
    <w:multiLevelType w:val="hybridMultilevel"/>
    <w:lvl w:ilvl="0">
      <w:start w:val="1"/>
      <w:numFmt w:val="decimal"/>
      <w:lvlText w:val="%1."/>
      <w:lvlJc w:val="left"/>
      <w:pPr>
        <w:ind w:left="957" w:hanging="420"/>
        <w:jc w:val="left"/>
      </w:pPr>
      <w:rPr>
        <w:rFonts w:hint="default" w:ascii="Arial" w:hAnsi="Arial" w:eastAsia="Arial" w:cs="Arial"/>
        <w:spacing w:val="-35"/>
        <w:w w:val="89"/>
        <w:sz w:val="21"/>
        <w:szCs w:val="21"/>
      </w:rPr>
    </w:lvl>
    <w:lvl w:ilvl="1">
      <w:start w:val="0"/>
      <w:numFmt w:val="bullet"/>
      <w:lvlText w:val="•"/>
      <w:lvlJc w:val="left"/>
      <w:pPr>
        <w:ind w:left="1736" w:hanging="420"/>
      </w:pPr>
      <w:rPr>
        <w:rFonts w:hint="default"/>
      </w:rPr>
    </w:lvl>
    <w:lvl w:ilvl="2">
      <w:start w:val="0"/>
      <w:numFmt w:val="bullet"/>
      <w:lvlText w:val="•"/>
      <w:lvlJc w:val="left"/>
      <w:pPr>
        <w:ind w:left="25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064" w:hanging="420"/>
      </w:pPr>
      <w:rPr>
        <w:rFonts w:hint="default"/>
      </w:rPr>
    </w:lvl>
    <w:lvl w:ilvl="5">
      <w:start w:val="0"/>
      <w:numFmt w:val="bullet"/>
      <w:lvlText w:val="•"/>
      <w:lvlJc w:val="left"/>
      <w:pPr>
        <w:ind w:left="4840" w:hanging="420"/>
      </w:pPr>
      <w:rPr>
        <w:rFonts w:hint="default"/>
      </w:rPr>
    </w:lvl>
    <w:lvl w:ilvl="6">
      <w:start w:val="0"/>
      <w:numFmt w:val="bullet"/>
      <w:lvlText w:val="•"/>
      <w:lvlJc w:val="left"/>
      <w:pPr>
        <w:ind w:left="5616" w:hanging="420"/>
      </w:pPr>
      <w:rPr>
        <w:rFonts w:hint="default"/>
      </w:rPr>
    </w:lvl>
    <w:lvl w:ilvl="7">
      <w:start w:val="0"/>
      <w:numFmt w:val="bullet"/>
      <w:lvlText w:val="•"/>
      <w:lvlJc w:val="left"/>
      <w:pPr>
        <w:ind w:left="6392" w:hanging="420"/>
      </w:pPr>
      <w:rPr>
        <w:rFonts w:hint="default"/>
      </w:rPr>
    </w:lvl>
    <w:lvl w:ilvl="8">
      <w:start w:val="0"/>
      <w:numFmt w:val="bullet"/>
      <w:lvlText w:val="•"/>
      <w:lvlJc w:val="left"/>
      <w:pPr>
        <w:ind w:left="7168" w:hanging="420"/>
      </w:pPr>
      <w:rPr>
        <w:rFonts w:hint="default"/>
      </w:rPr>
    </w:lvl>
  </w:abstractNum>
  <w:abstractNum w:abstractNumId="3">
    <w:multiLevelType w:val="hybridMultilevel"/>
    <w:lvl w:ilvl="0">
      <w:start w:val="1"/>
      <w:numFmt w:val="decimal"/>
      <w:lvlText w:val="%1."/>
      <w:lvlJc w:val="left"/>
      <w:pPr>
        <w:ind w:left="957" w:hanging="420"/>
        <w:jc w:val="left"/>
      </w:pPr>
      <w:rPr>
        <w:rFonts w:hint="default" w:ascii="Arial" w:hAnsi="Arial" w:eastAsia="Arial" w:cs="Arial"/>
        <w:spacing w:val="-35"/>
        <w:w w:val="89"/>
        <w:sz w:val="21"/>
        <w:szCs w:val="21"/>
      </w:rPr>
    </w:lvl>
    <w:lvl w:ilvl="1">
      <w:start w:val="0"/>
      <w:numFmt w:val="bullet"/>
      <w:lvlText w:val="•"/>
      <w:lvlJc w:val="left"/>
      <w:pPr>
        <w:ind w:left="1736" w:hanging="420"/>
      </w:pPr>
      <w:rPr>
        <w:rFonts w:hint="default"/>
      </w:rPr>
    </w:lvl>
    <w:lvl w:ilvl="2">
      <w:start w:val="0"/>
      <w:numFmt w:val="bullet"/>
      <w:lvlText w:val="•"/>
      <w:lvlJc w:val="left"/>
      <w:pPr>
        <w:ind w:left="25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064" w:hanging="420"/>
      </w:pPr>
      <w:rPr>
        <w:rFonts w:hint="default"/>
      </w:rPr>
    </w:lvl>
    <w:lvl w:ilvl="5">
      <w:start w:val="0"/>
      <w:numFmt w:val="bullet"/>
      <w:lvlText w:val="•"/>
      <w:lvlJc w:val="left"/>
      <w:pPr>
        <w:ind w:left="4840" w:hanging="420"/>
      </w:pPr>
      <w:rPr>
        <w:rFonts w:hint="default"/>
      </w:rPr>
    </w:lvl>
    <w:lvl w:ilvl="6">
      <w:start w:val="0"/>
      <w:numFmt w:val="bullet"/>
      <w:lvlText w:val="•"/>
      <w:lvlJc w:val="left"/>
      <w:pPr>
        <w:ind w:left="5616" w:hanging="420"/>
      </w:pPr>
      <w:rPr>
        <w:rFonts w:hint="default"/>
      </w:rPr>
    </w:lvl>
    <w:lvl w:ilvl="7">
      <w:start w:val="0"/>
      <w:numFmt w:val="bullet"/>
      <w:lvlText w:val="•"/>
      <w:lvlJc w:val="left"/>
      <w:pPr>
        <w:ind w:left="6392" w:hanging="420"/>
      </w:pPr>
      <w:rPr>
        <w:rFonts w:hint="default"/>
      </w:rPr>
    </w:lvl>
    <w:lvl w:ilvl="8">
      <w:start w:val="0"/>
      <w:numFmt w:val="bullet"/>
      <w:lvlText w:val="•"/>
      <w:lvlJc w:val="left"/>
      <w:pPr>
        <w:ind w:left="7168" w:hanging="420"/>
      </w:pPr>
      <w:rPr>
        <w:rFonts w:hint="default"/>
      </w:rPr>
    </w:lvl>
  </w:abstractNum>
  <w:abstractNum w:abstractNumId="2">
    <w:multiLevelType w:val="hybridMultilevel"/>
    <w:lvl w:ilvl="0">
      <w:start w:val="1"/>
      <w:numFmt w:val="decimal"/>
      <w:lvlText w:val="%1."/>
      <w:lvlJc w:val="left"/>
      <w:pPr>
        <w:ind w:left="957" w:hanging="420"/>
        <w:jc w:val="left"/>
      </w:pPr>
      <w:rPr>
        <w:rFonts w:hint="default" w:ascii="Times New Roman" w:hAnsi="Times New Roman" w:eastAsia="Times New Roman" w:cs="Times New Roman"/>
        <w:spacing w:val="-15"/>
        <w:w w:val="100"/>
        <w:sz w:val="21"/>
        <w:szCs w:val="21"/>
      </w:rPr>
    </w:lvl>
    <w:lvl w:ilvl="1">
      <w:start w:val="0"/>
      <w:numFmt w:val="bullet"/>
      <w:lvlText w:val="•"/>
      <w:lvlJc w:val="left"/>
      <w:pPr>
        <w:ind w:left="1736" w:hanging="420"/>
      </w:pPr>
      <w:rPr>
        <w:rFonts w:hint="default"/>
      </w:rPr>
    </w:lvl>
    <w:lvl w:ilvl="2">
      <w:start w:val="0"/>
      <w:numFmt w:val="bullet"/>
      <w:lvlText w:val="•"/>
      <w:lvlJc w:val="left"/>
      <w:pPr>
        <w:ind w:left="25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064" w:hanging="420"/>
      </w:pPr>
      <w:rPr>
        <w:rFonts w:hint="default"/>
      </w:rPr>
    </w:lvl>
    <w:lvl w:ilvl="5">
      <w:start w:val="0"/>
      <w:numFmt w:val="bullet"/>
      <w:lvlText w:val="•"/>
      <w:lvlJc w:val="left"/>
      <w:pPr>
        <w:ind w:left="4840" w:hanging="420"/>
      </w:pPr>
      <w:rPr>
        <w:rFonts w:hint="default"/>
      </w:rPr>
    </w:lvl>
    <w:lvl w:ilvl="6">
      <w:start w:val="0"/>
      <w:numFmt w:val="bullet"/>
      <w:lvlText w:val="•"/>
      <w:lvlJc w:val="left"/>
      <w:pPr>
        <w:ind w:left="5616" w:hanging="420"/>
      </w:pPr>
      <w:rPr>
        <w:rFonts w:hint="default"/>
      </w:rPr>
    </w:lvl>
    <w:lvl w:ilvl="7">
      <w:start w:val="0"/>
      <w:numFmt w:val="bullet"/>
      <w:lvlText w:val="•"/>
      <w:lvlJc w:val="left"/>
      <w:pPr>
        <w:ind w:left="6392" w:hanging="420"/>
      </w:pPr>
      <w:rPr>
        <w:rFonts w:hint="default"/>
      </w:rPr>
    </w:lvl>
    <w:lvl w:ilvl="8">
      <w:start w:val="0"/>
      <w:numFmt w:val="bullet"/>
      <w:lvlText w:val="•"/>
      <w:lvlJc w:val="left"/>
      <w:pPr>
        <w:ind w:left="7168" w:hanging="420"/>
      </w:pPr>
      <w:rPr>
        <w:rFonts w:hint="default"/>
      </w:rPr>
    </w:lvl>
  </w:abstractNum>
  <w:abstractNum w:abstractNumId="1">
    <w:multiLevelType w:val="hybridMultilevel"/>
    <w:lvl w:ilvl="0">
      <w:start w:val="1"/>
      <w:numFmt w:val="decimal"/>
      <w:lvlText w:val="%1."/>
      <w:lvlJc w:val="left"/>
      <w:pPr>
        <w:ind w:left="957" w:hanging="420"/>
        <w:jc w:val="left"/>
      </w:pPr>
      <w:rPr>
        <w:rFonts w:hint="default"/>
        <w:spacing w:val="-16"/>
        <w:w w:val="100"/>
      </w:rPr>
    </w:lvl>
    <w:lvl w:ilvl="1">
      <w:start w:val="0"/>
      <w:numFmt w:val="bullet"/>
      <w:lvlText w:val="•"/>
      <w:lvlJc w:val="left"/>
      <w:pPr>
        <w:ind w:left="1736" w:hanging="420"/>
      </w:pPr>
      <w:rPr>
        <w:rFonts w:hint="default"/>
      </w:rPr>
    </w:lvl>
    <w:lvl w:ilvl="2">
      <w:start w:val="0"/>
      <w:numFmt w:val="bullet"/>
      <w:lvlText w:val="•"/>
      <w:lvlJc w:val="left"/>
      <w:pPr>
        <w:ind w:left="25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064" w:hanging="420"/>
      </w:pPr>
      <w:rPr>
        <w:rFonts w:hint="default"/>
      </w:rPr>
    </w:lvl>
    <w:lvl w:ilvl="5">
      <w:start w:val="0"/>
      <w:numFmt w:val="bullet"/>
      <w:lvlText w:val="•"/>
      <w:lvlJc w:val="left"/>
      <w:pPr>
        <w:ind w:left="4840" w:hanging="420"/>
      </w:pPr>
      <w:rPr>
        <w:rFonts w:hint="default"/>
      </w:rPr>
    </w:lvl>
    <w:lvl w:ilvl="6">
      <w:start w:val="0"/>
      <w:numFmt w:val="bullet"/>
      <w:lvlText w:val="•"/>
      <w:lvlJc w:val="left"/>
      <w:pPr>
        <w:ind w:left="5616" w:hanging="420"/>
      </w:pPr>
      <w:rPr>
        <w:rFonts w:hint="default"/>
      </w:rPr>
    </w:lvl>
    <w:lvl w:ilvl="7">
      <w:start w:val="0"/>
      <w:numFmt w:val="bullet"/>
      <w:lvlText w:val="•"/>
      <w:lvlJc w:val="left"/>
      <w:pPr>
        <w:ind w:left="6392" w:hanging="420"/>
      </w:pPr>
      <w:rPr>
        <w:rFonts w:hint="default"/>
      </w:rPr>
    </w:lvl>
    <w:lvl w:ilvl="8">
      <w:start w:val="0"/>
      <w:numFmt w:val="bullet"/>
      <w:lvlText w:val="•"/>
      <w:lvlJc w:val="left"/>
      <w:pPr>
        <w:ind w:left="7168" w:hanging="420"/>
      </w:pPr>
      <w:rPr>
        <w:rFonts w:hint="default"/>
      </w:rPr>
    </w:lvl>
  </w:abstractNum>
  <w:abstractNum w:abstractNumId="0">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736" w:hanging="420"/>
      </w:pPr>
      <w:rPr>
        <w:rFonts w:hint="default"/>
      </w:rPr>
    </w:lvl>
    <w:lvl w:ilvl="2">
      <w:start w:val="0"/>
      <w:numFmt w:val="bullet"/>
      <w:lvlText w:val="•"/>
      <w:lvlJc w:val="left"/>
      <w:pPr>
        <w:ind w:left="25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064" w:hanging="420"/>
      </w:pPr>
      <w:rPr>
        <w:rFonts w:hint="default"/>
      </w:rPr>
    </w:lvl>
    <w:lvl w:ilvl="5">
      <w:start w:val="0"/>
      <w:numFmt w:val="bullet"/>
      <w:lvlText w:val="•"/>
      <w:lvlJc w:val="left"/>
      <w:pPr>
        <w:ind w:left="4840" w:hanging="420"/>
      </w:pPr>
      <w:rPr>
        <w:rFonts w:hint="default"/>
      </w:rPr>
    </w:lvl>
    <w:lvl w:ilvl="6">
      <w:start w:val="0"/>
      <w:numFmt w:val="bullet"/>
      <w:lvlText w:val="•"/>
      <w:lvlJc w:val="left"/>
      <w:pPr>
        <w:ind w:left="5616" w:hanging="420"/>
      </w:pPr>
      <w:rPr>
        <w:rFonts w:hint="default"/>
      </w:rPr>
    </w:lvl>
    <w:lvl w:ilvl="7">
      <w:start w:val="0"/>
      <w:numFmt w:val="bullet"/>
      <w:lvlText w:val="•"/>
      <w:lvlJc w:val="left"/>
      <w:pPr>
        <w:ind w:left="6392" w:hanging="420"/>
      </w:pPr>
      <w:rPr>
        <w:rFonts w:hint="default"/>
      </w:rPr>
    </w:lvl>
    <w:lvl w:ilvl="8">
      <w:start w:val="0"/>
      <w:numFmt w:val="bullet"/>
      <w:lvlText w:val="•"/>
      <w:lvlJc w:val="left"/>
      <w:pPr>
        <w:ind w:left="7168"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sz w:val="21"/>
      <w:szCs w:val="21"/>
    </w:rPr>
  </w:style>
  <w:style w:styleId="TOC2" w:type="paragraph">
    <w:name w:val="TOC 2"/>
    <w:basedOn w:val="Normal"/>
    <w:uiPriority w:val="1"/>
    <w:qFormat/>
    <w:pPr>
      <w:spacing w:before="21"/>
      <w:ind w:left="747"/>
    </w:pPr>
    <w:rPr>
      <w:rFonts w:ascii="宋体" w:hAnsi="宋体" w:eastAsia="宋体" w:cs="宋体"/>
      <w:sz w:val="21"/>
      <w:szCs w:val="21"/>
    </w:rPr>
  </w:style>
  <w:style w:styleId="BodyText" w:type="paragraph">
    <w:name w:val="Body Text"/>
    <w:basedOn w:val="Normal"/>
    <w:uiPriority w:val="1"/>
    <w:qFormat/>
    <w:pPr>
      <w:spacing w:before="3"/>
    </w:pPr>
    <w:rPr>
      <w:rFonts w:ascii="宋体" w:hAnsi="宋体" w:eastAsia="宋体" w:cs="宋体"/>
      <w:sz w:val="21"/>
      <w:szCs w:val="21"/>
    </w:rPr>
  </w:style>
  <w:style w:styleId="Heading1" w:type="paragraph">
    <w:name w:val="Heading 1"/>
    <w:basedOn w:val="Normal"/>
    <w:uiPriority w:val="1"/>
    <w:qFormat/>
    <w:pPr>
      <w:ind w:left="1809"/>
      <w:outlineLvl w:val="1"/>
    </w:pPr>
    <w:rPr>
      <w:rFonts w:ascii="黑体" w:hAnsi="黑体" w:eastAsia="黑体" w:cs="黑体"/>
      <w:sz w:val="36"/>
      <w:szCs w:val="36"/>
    </w:rPr>
  </w:style>
  <w:style w:styleId="Heading2" w:type="paragraph">
    <w:name w:val="Heading 2"/>
    <w:basedOn w:val="Normal"/>
    <w:uiPriority w:val="1"/>
    <w:qFormat/>
    <w:pPr>
      <w:ind w:left="117"/>
      <w:outlineLvl w:val="2"/>
    </w:pPr>
    <w:rPr>
      <w:rFonts w:ascii="宋体" w:hAnsi="宋体" w:eastAsia="宋体" w:cs="宋体"/>
      <w:sz w:val="30"/>
      <w:szCs w:val="30"/>
    </w:rPr>
  </w:style>
  <w:style w:styleId="ListParagraph" w:type="paragraph">
    <w:name w:val="List Paragraph"/>
    <w:basedOn w:val="Normal"/>
    <w:uiPriority w:val="1"/>
    <w:qFormat/>
    <w:pPr>
      <w:spacing w:before="3"/>
      <w:ind w:left="957"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2018-10-20T01:28:21Z</dcterms:created>
  <dcterms:modified xsi:type="dcterms:W3CDTF">2018-10-20T01:28:21Z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2008-04-22T00:00:00Z</vt:filetime>
  </property>
  <property fmtid="{D5CDD505-2E9C-101B-9397-08002B2CF9AE}" pid="3" name="LastSaved">
    <vt:filetime>2018-10-19T00:00:00Z</vt:filetime>
  </property>
</Properties>
</file>