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after="32"/>
        <w:ind w:right="115"/>
        <w:jc w:val="right"/>
      </w:pPr>
      <w:r>
        <w:rPr/>
        <w:t>阳光人寿[2013]疾病保险 011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60" w:bottom="280" w:left="1120" w:right="900"/>
        </w:sectPr>
      </w:pPr>
    </w:p>
    <w:p>
      <w:pPr>
        <w:pStyle w:val="Heading1"/>
        <w:spacing w:before="148"/>
        <w:ind w:left="2783"/>
      </w:pPr>
      <w:r>
        <w:rPr/>
        <w:t>阳光人寿保险股份有限公司</w:t>
      </w:r>
    </w:p>
    <w:p>
      <w:pPr>
        <w:pStyle w:val="BodyText"/>
        <w:spacing w:line="242" w:lineRule="exact"/>
        <w:ind w:left="1001"/>
      </w:pPr>
      <w:r>
        <w:rPr/>
        <w:br w:type="column"/>
      </w:r>
      <w:r>
        <w:rPr/>
        <w:t>请扫描以查询验证条款</w:t>
      </w:r>
    </w:p>
    <w:p>
      <w:pPr>
        <w:spacing w:after="0" w:line="242" w:lineRule="exact"/>
        <w:sectPr>
          <w:type w:val="continuous"/>
          <w:pgSz w:w="11910" w:h="16840"/>
          <w:pgMar w:top="1060" w:bottom="280" w:left="1120" w:right="900"/>
          <w:cols w:num="2" w:equalWidth="0">
            <w:col w:w="6625" w:space="40"/>
            <w:col w:w="3225"/>
          </w:cols>
        </w:sectPr>
      </w:pPr>
    </w:p>
    <w:p>
      <w:pPr>
        <w:pStyle w:val="BodyText"/>
        <w:spacing w:before="2"/>
        <w:rPr>
          <w:sz w:val="27"/>
        </w:rPr>
      </w:pPr>
    </w:p>
    <w:p>
      <w:pPr>
        <w:pStyle w:val="Heading1"/>
        <w:spacing w:line="506" w:lineRule="exact"/>
        <w:ind w:left="1950"/>
      </w:pPr>
      <w:r>
        <w:rPr/>
        <w:t>阳光人寿一世安康终身重大疾病保险条款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31336pt" to="523.549999pt,15.731336pt" stroked="true" strokeweight=".75pt" strokecolor="#000000">
            <v:stroke dashstyle="solid"/>
            <w10:wrap type="topAndBottom"/>
          </v:line>
        </w:pict>
      </w:r>
    </w:p>
    <w:p>
      <w:pPr>
        <w:pStyle w:val="BodyText"/>
        <w:spacing w:before="2"/>
        <w:rPr>
          <w:rFonts w:ascii="微软雅黑"/>
          <w:b/>
          <w:sz w:val="54"/>
        </w:rPr>
      </w:pPr>
    </w:p>
    <w:p>
      <w:pPr>
        <w:spacing w:before="0"/>
        <w:ind w:left="0" w:right="62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right="642"/>
        <w:jc w:val="center"/>
      </w:pPr>
      <w:r>
        <w:rPr/>
        <w:t>ADDP-1</w:t>
      </w:r>
    </w:p>
    <w:p>
      <w:pPr>
        <w:pStyle w:val="BodyText"/>
        <w:spacing w:line="261" w:lineRule="auto" w:before="104"/>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8"/>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4"/>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6"/>
        <w:rPr>
          <w:sz w:val="19"/>
        </w:rPr>
      </w:pPr>
    </w:p>
    <w:p>
      <w:pPr>
        <w:pStyle w:val="Heading3"/>
        <w:spacing w:before="1"/>
        <w:ind w:left="0" w:right="477" w:firstLine="0"/>
        <w:jc w:val="center"/>
      </w:pPr>
      <w:r>
        <w:rPr/>
        <w:t>您拥有的重要权益</w:t>
      </w:r>
    </w:p>
    <w:p>
      <w:pPr>
        <w:pStyle w:val="BodyText"/>
        <w:tabs>
          <w:tab w:pos="9567" w:val="right" w:leader="dot"/>
        </w:tabs>
        <w:spacing w:before="349"/>
        <w:ind w:left="111"/>
      </w:pPr>
      <w:r>
        <w:rPr/>
        <w:t>签收</w:t>
      </w:r>
      <w:r>
        <w:rPr>
          <w:spacing w:val="-3"/>
        </w:rPr>
        <w:t>本</w:t>
      </w:r>
      <w:r>
        <w:rPr/>
        <w:t>合</w:t>
      </w:r>
      <w:r>
        <w:rPr>
          <w:spacing w:val="-3"/>
        </w:rPr>
        <w:t>同</w:t>
      </w:r>
      <w:r>
        <w:rPr/>
        <w:t>次</w:t>
      </w:r>
      <w:r>
        <w:rPr>
          <w:spacing w:val="-3"/>
        </w:rPr>
        <w:t>日</w:t>
      </w:r>
      <w:r>
        <w:rPr/>
        <w:t>起</w:t>
      </w:r>
      <w:r>
        <w:rPr>
          <w:spacing w:val="-53"/>
        </w:rPr>
        <w:t> </w:t>
      </w:r>
      <w:r>
        <w:rPr/>
        <w:t>10</w:t>
      </w:r>
      <w:r>
        <w:rPr>
          <w:spacing w:val="-53"/>
        </w:rPr>
        <w:t> </w:t>
      </w:r>
      <w:r>
        <w:rPr>
          <w:spacing w:val="-3"/>
        </w:rPr>
        <w:t>日内</w:t>
      </w:r>
      <w:r>
        <w:rPr/>
        <w:t>您可</w:t>
      </w:r>
      <w:r>
        <w:rPr>
          <w:spacing w:val="-3"/>
        </w:rPr>
        <w:t>以</w:t>
      </w:r>
      <w:r>
        <w:rPr/>
        <w:t>要</w:t>
      </w:r>
      <w:r>
        <w:rPr>
          <w:spacing w:val="-3"/>
        </w:rPr>
        <w:t>求</w:t>
      </w:r>
      <w:r>
        <w:rPr/>
        <w:t>退</w:t>
      </w:r>
      <w:r>
        <w:rPr>
          <w:spacing w:val="-3"/>
        </w:rPr>
        <w:t>还</w:t>
      </w:r>
      <w:r>
        <w:rPr/>
        <w:t>所</w:t>
      </w:r>
      <w:r>
        <w:rPr>
          <w:spacing w:val="-3"/>
        </w:rPr>
        <w:t>交</w:t>
      </w:r>
      <w:r>
        <w:rPr/>
        <w:t>纳</w:t>
      </w:r>
      <w:r>
        <w:rPr>
          <w:spacing w:val="-3"/>
        </w:rPr>
        <w:t>的</w:t>
      </w:r>
      <w:r>
        <w:rPr/>
        <w:t>扣除</w:t>
      </w:r>
      <w:r>
        <w:rPr>
          <w:spacing w:val="-3"/>
        </w:rPr>
        <w:t>工</w:t>
      </w:r>
      <w:r>
        <w:rPr/>
        <w:t>本</w:t>
      </w:r>
      <w:r>
        <w:rPr>
          <w:spacing w:val="-3"/>
        </w:rPr>
        <w:t>费</w:t>
      </w:r>
      <w:r>
        <w:rPr/>
        <w:t>后</w:t>
      </w:r>
      <w:r>
        <w:rPr>
          <w:spacing w:val="-3"/>
        </w:rPr>
        <w:t>的</w:t>
      </w:r>
      <w:r>
        <w:rPr/>
        <w:t>保</w:t>
      </w:r>
      <w:r>
        <w:rPr>
          <w:spacing w:val="-3"/>
        </w:rPr>
        <w:t>险</w:t>
      </w:r>
      <w:r>
        <w:rPr/>
        <w:t>费</w:t>
        <w:tab/>
        <w:t>1.3</w:t>
      </w:r>
    </w:p>
    <w:p>
      <w:pPr>
        <w:pStyle w:val="BodyText"/>
        <w:tabs>
          <w:tab w:pos="9567"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合</w:t>
      </w:r>
      <w:r>
        <w:rPr>
          <w:spacing w:val="-3"/>
        </w:rPr>
        <w:t>同</w:t>
      </w:r>
      <w:r>
        <w:rPr/>
        <w:t>提供</w:t>
      </w:r>
      <w:r>
        <w:rPr>
          <w:spacing w:val="-3"/>
        </w:rPr>
        <w:t>的</w:t>
      </w:r>
      <w:r>
        <w:rPr/>
        <w:t>保障</w:t>
        <w:tab/>
        <w:t>2.4</w:t>
      </w:r>
    </w:p>
    <w:p>
      <w:pPr>
        <w:pStyle w:val="BodyText"/>
        <w:tabs>
          <w:tab w:pos="9559" w:val="right" w:leader="dot"/>
        </w:tabs>
        <w:spacing w:before="37"/>
        <w:ind w:left="111"/>
      </w:pPr>
      <w:r>
        <w:rPr/>
        <w:t>您</w:t>
      </w:r>
      <w:r>
        <w:rPr>
          <w:spacing w:val="-3"/>
        </w:rPr>
        <w:t>有</w:t>
      </w:r>
      <w:r>
        <w:rPr/>
        <w:t>按</w:t>
      </w:r>
      <w:r>
        <w:rPr>
          <w:spacing w:val="-3"/>
        </w:rPr>
        <w:t>本</w:t>
      </w:r>
      <w:r>
        <w:rPr/>
        <w:t>合</w:t>
      </w:r>
      <w:r>
        <w:rPr>
          <w:spacing w:val="-3"/>
        </w:rPr>
        <w:t>同</w:t>
      </w:r>
      <w:r>
        <w:rPr/>
        <w:t>约</w:t>
      </w:r>
      <w:r>
        <w:rPr>
          <w:spacing w:val="-3"/>
        </w:rPr>
        <w:t>定</w:t>
      </w:r>
      <w:r>
        <w:rPr/>
        <w:t>申</w:t>
      </w:r>
      <w:r>
        <w:rPr>
          <w:spacing w:val="-3"/>
        </w:rPr>
        <w:t>请</w:t>
      </w:r>
      <w:r>
        <w:rPr/>
        <w:t>保单</w:t>
      </w:r>
      <w:r>
        <w:rPr>
          <w:spacing w:val="-3"/>
        </w:rPr>
        <w:t>贷</w:t>
      </w:r>
      <w:r>
        <w:rPr/>
        <w:t>款</w:t>
      </w:r>
      <w:r>
        <w:rPr>
          <w:spacing w:val="-3"/>
        </w:rPr>
        <w:t>的</w:t>
      </w:r>
      <w:r>
        <w:rPr/>
        <w:t>权利</w:t>
        <w:tab/>
      </w:r>
      <w:r>
        <w:rPr>
          <w:spacing w:val="-3"/>
        </w:rPr>
        <w:t>6.2</w:t>
      </w:r>
    </w:p>
    <w:p>
      <w:pPr>
        <w:pStyle w:val="BodyText"/>
        <w:tabs>
          <w:tab w:pos="9562" w:val="right" w:leader="dot"/>
        </w:tabs>
        <w:spacing w:before="37"/>
        <w:ind w:left="111"/>
      </w:pPr>
      <w:r>
        <w:rPr/>
        <w:t>您</w:t>
      </w:r>
      <w:r>
        <w:rPr>
          <w:spacing w:val="-3"/>
        </w:rPr>
        <w:t>有</w:t>
      </w:r>
      <w:r>
        <w:rPr/>
        <w:t>退</w:t>
      </w:r>
      <w:r>
        <w:rPr>
          <w:spacing w:val="-3"/>
        </w:rPr>
        <w:t>保</w:t>
      </w:r>
      <w:r>
        <w:rPr/>
        <w:t>的</w:t>
      </w:r>
      <w:r>
        <w:rPr>
          <w:spacing w:val="-3"/>
        </w:rPr>
        <w:t>权</w:t>
      </w:r>
      <w:r>
        <w:rPr/>
        <w:t>利</w:t>
        <w:tab/>
        <w:t>8.1</w:t>
      </w:r>
    </w:p>
    <w:p>
      <w:pPr>
        <w:pStyle w:val="BodyText"/>
        <w:spacing w:before="8"/>
        <w:rPr>
          <w:sz w:val="26"/>
        </w:rPr>
      </w:pPr>
    </w:p>
    <w:p>
      <w:pPr>
        <w:spacing w:before="0"/>
        <w:ind w:left="0" w:right="503" w:firstLine="0"/>
        <w:jc w:val="center"/>
        <w:rPr>
          <w:b/>
          <w:sz w:val="21"/>
        </w:rPr>
      </w:pPr>
      <w:r>
        <w:rPr>
          <w:b/>
          <w:sz w:val="21"/>
        </w:rPr>
        <w:t>您应当特别注意的事项</w:t>
      </w:r>
    </w:p>
    <w:p>
      <w:pPr>
        <w:pStyle w:val="BodyText"/>
        <w:spacing w:before="8"/>
        <w:rPr>
          <w:b/>
          <w:sz w:val="26"/>
        </w:rPr>
      </w:pPr>
    </w:p>
    <w:p>
      <w:pPr>
        <w:pStyle w:val="BodyText"/>
        <w:ind w:left="111"/>
      </w:pPr>
      <w:r>
        <w:rPr/>
        <w:t>在某些情况下，我们不承担保险责任，详见条款正文中背景突出显示的部分</w:t>
      </w:r>
    </w:p>
    <w:p>
      <w:pPr>
        <w:pStyle w:val="BodyText"/>
        <w:spacing w:before="37"/>
        <w:ind w:right="311"/>
        <w:jc w:val="center"/>
      </w:pPr>
      <w:r>
        <w:rPr/>
        <w:t>............................................................2.6、4.2、4.4、7.1、9.1、10.1</w:t>
      </w:r>
    </w:p>
    <w:p>
      <w:pPr>
        <w:pStyle w:val="BodyText"/>
        <w:tabs>
          <w:tab w:pos="9349" w:val="right" w:leader="dot"/>
        </w:tabs>
        <w:spacing w:before="37"/>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2.4</w:t>
      </w:r>
    </w:p>
    <w:p>
      <w:pPr>
        <w:pStyle w:val="BodyText"/>
        <w:tabs>
          <w:tab w:pos="9349" w:val="right" w:leader="dot"/>
        </w:tabs>
        <w:spacing w:before="37"/>
        <w:ind w:right="311"/>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w:t>
      </w:r>
      <w:r>
        <w:rPr>
          <w:spacing w:val="-3"/>
        </w:rPr>
        <w:t>们</w:t>
      </w:r>
      <w:r>
        <w:rPr/>
        <w:t>的</w:t>
      </w:r>
      <w:r>
        <w:rPr>
          <w:spacing w:val="-3"/>
        </w:rPr>
        <w:t>义</w:t>
      </w:r>
      <w:r>
        <w:rPr/>
        <w:t>务</w:t>
        <w:tab/>
        <w:t>4.2</w:t>
      </w:r>
    </w:p>
    <w:p>
      <w:pPr>
        <w:pStyle w:val="BodyText"/>
        <w:tabs>
          <w:tab w:pos="9347" w:val="righ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349" w:val="righ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349" w:val="right" w:leader="dot"/>
        </w:tabs>
        <w:spacing w:before="38"/>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347" w:val="righ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11</w:t>
      </w:r>
    </w:p>
    <w:p>
      <w:pPr>
        <w:spacing w:after="0"/>
        <w:sectPr>
          <w:type w:val="continuous"/>
          <w:pgSz w:w="11910" w:h="16840"/>
          <w:pgMar w:top="1060" w:bottom="280" w:left="1120" w:right="900"/>
        </w:sectPr>
      </w:pPr>
    </w:p>
    <w:p>
      <w:pPr>
        <w:pStyle w:val="Heading1"/>
        <w:spacing w:line="478" w:lineRule="exact"/>
        <w:ind w:left="4356" w:right="5134"/>
        <w:jc w:val="center"/>
      </w:pPr>
      <w:r>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3553"/>
        <w:gridCol w:w="3678"/>
      </w:tblGrid>
      <w:tr>
        <w:trPr>
          <w:trHeight w:val="392" w:hRule="atLeast"/>
        </w:trPr>
        <w:tc>
          <w:tcPr>
            <w:tcW w:w="3354"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553" w:type="dxa"/>
            <w:tcBorders>
              <w:left w:val="single" w:sz="2" w:space="0" w:color="000000"/>
              <w:right w:val="single" w:sz="2" w:space="0" w:color="000000"/>
            </w:tcBorders>
          </w:tcPr>
          <w:p>
            <w:pPr>
              <w:pStyle w:val="TableParagraph"/>
              <w:spacing w:line="262" w:lineRule="exact"/>
              <w:ind w:left="105"/>
              <w:rPr>
                <w:b/>
                <w:sz w:val="21"/>
              </w:rPr>
            </w:pPr>
            <w:r>
              <w:rPr>
                <w:b/>
                <w:sz w:val="21"/>
              </w:rPr>
              <w:t>6 现金价值权益</w:t>
            </w:r>
          </w:p>
        </w:tc>
        <w:tc>
          <w:tcPr>
            <w:tcW w:w="3678" w:type="dxa"/>
            <w:tcBorders>
              <w:left w:val="single" w:sz="2" w:space="0" w:color="000000"/>
            </w:tcBorders>
          </w:tcPr>
          <w:p>
            <w:pPr>
              <w:pStyle w:val="TableParagraph"/>
              <w:spacing w:line="262" w:lineRule="exact"/>
              <w:ind w:left="105"/>
              <w:rPr>
                <w:b/>
                <w:sz w:val="21"/>
              </w:rPr>
            </w:pPr>
            <w:r>
              <w:rPr>
                <w:b/>
                <w:sz w:val="21"/>
              </w:rPr>
              <w:t>11 释义</w:t>
            </w:r>
          </w:p>
        </w:tc>
      </w:tr>
      <w:tr>
        <w:trPr>
          <w:trHeight w:val="405" w:hRule="atLeast"/>
        </w:trPr>
        <w:tc>
          <w:tcPr>
            <w:tcW w:w="3354" w:type="dxa"/>
            <w:tcBorders>
              <w:right w:val="single" w:sz="2" w:space="0" w:color="000000"/>
            </w:tcBorders>
          </w:tcPr>
          <w:p>
            <w:pPr>
              <w:pStyle w:val="TableParagraph"/>
              <w:spacing w:before="66"/>
              <w:ind w:left="411"/>
              <w:rPr>
                <w:sz w:val="21"/>
              </w:rPr>
            </w:pPr>
            <w:r>
              <w:rPr>
                <w:sz w:val="21"/>
              </w:rPr>
              <w:t>1.1 合同构成</w:t>
            </w:r>
          </w:p>
        </w:tc>
        <w:tc>
          <w:tcPr>
            <w:tcW w:w="3553" w:type="dxa"/>
            <w:tcBorders>
              <w:left w:val="single" w:sz="2" w:space="0" w:color="000000"/>
              <w:right w:val="single" w:sz="2" w:space="0" w:color="000000"/>
            </w:tcBorders>
          </w:tcPr>
          <w:p>
            <w:pPr>
              <w:pStyle w:val="TableParagraph"/>
              <w:spacing w:before="66"/>
              <w:ind w:left="316"/>
              <w:rPr>
                <w:sz w:val="21"/>
              </w:rPr>
            </w:pPr>
            <w:r>
              <w:rPr>
                <w:sz w:val="21"/>
              </w:rPr>
              <w:t>6.1 现金价值</w:t>
            </w:r>
          </w:p>
        </w:tc>
        <w:tc>
          <w:tcPr>
            <w:tcW w:w="3678" w:type="dxa"/>
            <w:tcBorders>
              <w:left w:val="single" w:sz="2" w:space="0" w:color="000000"/>
            </w:tcBorders>
          </w:tcPr>
          <w:p>
            <w:pPr>
              <w:pStyle w:val="TableParagraph"/>
              <w:tabs>
                <w:tab w:pos="947" w:val="left" w:leader="none"/>
              </w:tabs>
              <w:spacing w:before="66"/>
              <w:ind w:left="316"/>
              <w:rPr>
                <w:sz w:val="21"/>
              </w:rPr>
            </w:pPr>
            <w:r>
              <w:rPr>
                <w:sz w:val="21"/>
              </w:rPr>
              <w:t>11.1</w:t>
              <w:tab/>
            </w:r>
            <w:r>
              <w:rPr>
                <w:spacing w:val="-3"/>
                <w:sz w:val="21"/>
              </w:rPr>
              <w:t>保单周年日</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1.2 合同成立与生效</w:t>
            </w:r>
          </w:p>
        </w:tc>
        <w:tc>
          <w:tcPr>
            <w:tcW w:w="3553" w:type="dxa"/>
            <w:tcBorders>
              <w:left w:val="single" w:sz="2" w:space="0" w:color="000000"/>
              <w:right w:val="single" w:sz="2" w:space="0" w:color="000000"/>
            </w:tcBorders>
          </w:tcPr>
          <w:p>
            <w:pPr>
              <w:pStyle w:val="TableParagraph"/>
              <w:spacing w:before="1"/>
              <w:ind w:left="316"/>
              <w:rPr>
                <w:sz w:val="21"/>
              </w:rPr>
            </w:pPr>
            <w:r>
              <w:rPr>
                <w:sz w:val="21"/>
              </w:rPr>
              <w:t>6.2 保单贷款</w:t>
            </w:r>
          </w:p>
        </w:tc>
        <w:tc>
          <w:tcPr>
            <w:tcW w:w="3678" w:type="dxa"/>
            <w:tcBorders>
              <w:left w:val="single" w:sz="2" w:space="0" w:color="000000"/>
            </w:tcBorders>
          </w:tcPr>
          <w:p>
            <w:pPr>
              <w:pStyle w:val="TableParagraph"/>
              <w:tabs>
                <w:tab w:pos="947" w:val="left" w:leader="none"/>
              </w:tabs>
              <w:spacing w:before="1"/>
              <w:ind w:left="316"/>
              <w:rPr>
                <w:sz w:val="21"/>
              </w:rPr>
            </w:pPr>
            <w:r>
              <w:rPr>
                <w:sz w:val="21"/>
              </w:rPr>
              <w:t>11.2</w:t>
              <w:tab/>
            </w:r>
            <w:r>
              <w:rPr>
                <w:spacing w:val="-2"/>
                <w:sz w:val="21"/>
              </w:rPr>
              <w:t>保单年度</w:t>
            </w:r>
          </w:p>
        </w:tc>
      </w:tr>
      <w:tr>
        <w:trPr>
          <w:trHeight w:val="339" w:hRule="atLeast"/>
        </w:trPr>
        <w:tc>
          <w:tcPr>
            <w:tcW w:w="3354" w:type="dxa"/>
            <w:tcBorders>
              <w:right w:val="single" w:sz="2" w:space="0" w:color="000000"/>
            </w:tcBorders>
          </w:tcPr>
          <w:p>
            <w:pPr>
              <w:pStyle w:val="TableParagraph"/>
              <w:ind w:left="411"/>
              <w:rPr>
                <w:sz w:val="21"/>
              </w:rPr>
            </w:pPr>
            <w:r>
              <w:rPr>
                <w:sz w:val="21"/>
              </w:rPr>
              <w:t>1.3 犹豫期</w:t>
            </w:r>
          </w:p>
        </w:tc>
        <w:tc>
          <w:tcPr>
            <w:tcW w:w="3553" w:type="dxa"/>
            <w:tcBorders>
              <w:left w:val="single" w:sz="2" w:space="0" w:color="000000"/>
              <w:right w:val="single" w:sz="2" w:space="0" w:color="000000"/>
            </w:tcBorders>
          </w:tcPr>
          <w:p>
            <w:pPr>
              <w:pStyle w:val="TableParagraph"/>
              <w:ind w:left="316"/>
              <w:rPr>
                <w:sz w:val="21"/>
              </w:rPr>
            </w:pPr>
            <w:r>
              <w:rPr>
                <w:sz w:val="21"/>
              </w:rPr>
              <w:t>6.3 减额交清</w:t>
            </w:r>
          </w:p>
        </w:tc>
        <w:tc>
          <w:tcPr>
            <w:tcW w:w="3678" w:type="dxa"/>
            <w:tcBorders>
              <w:left w:val="single" w:sz="2" w:space="0" w:color="000000"/>
            </w:tcBorders>
          </w:tcPr>
          <w:p>
            <w:pPr>
              <w:pStyle w:val="TableParagraph"/>
              <w:tabs>
                <w:tab w:pos="947" w:val="left" w:leader="none"/>
              </w:tabs>
              <w:ind w:left="316"/>
              <w:rPr>
                <w:sz w:val="21"/>
              </w:rPr>
            </w:pPr>
            <w:r>
              <w:rPr>
                <w:sz w:val="21"/>
              </w:rPr>
              <w:t>11.3</w:t>
              <w:tab/>
            </w:r>
            <w:r>
              <w:rPr>
                <w:spacing w:val="-3"/>
                <w:sz w:val="21"/>
              </w:rPr>
              <w:t>保险费约定交纳日</w:t>
            </w:r>
          </w:p>
        </w:tc>
      </w:tr>
      <w:tr>
        <w:trPr>
          <w:trHeight w:val="340" w:hRule="atLeast"/>
        </w:trPr>
        <w:tc>
          <w:tcPr>
            <w:tcW w:w="3354" w:type="dxa"/>
            <w:tcBorders>
              <w:right w:val="single" w:sz="2" w:space="0" w:color="000000"/>
            </w:tcBorders>
          </w:tcPr>
          <w:p>
            <w:pPr>
              <w:pStyle w:val="TableParagraph"/>
              <w:ind w:left="0"/>
              <w:rPr>
                <w:rFonts w:ascii="Times New Roman"/>
                <w:sz w:val="20"/>
              </w:rPr>
            </w:pP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tabs>
                <w:tab w:pos="947" w:val="left" w:leader="none"/>
              </w:tabs>
              <w:spacing w:before="1"/>
              <w:ind w:left="316"/>
              <w:rPr>
                <w:sz w:val="21"/>
              </w:rPr>
            </w:pPr>
            <w:r>
              <w:rPr>
                <w:sz w:val="21"/>
              </w:rPr>
              <w:t>11.4</w:t>
              <w:tab/>
            </w:r>
            <w:r>
              <w:rPr>
                <w:spacing w:val="-3"/>
                <w:sz w:val="21"/>
              </w:rPr>
              <w:t>有效身份证件</w:t>
            </w:r>
          </w:p>
        </w:tc>
      </w:tr>
      <w:tr>
        <w:trPr>
          <w:trHeight w:val="339" w:hRule="atLeast"/>
        </w:trPr>
        <w:tc>
          <w:tcPr>
            <w:tcW w:w="3354" w:type="dxa"/>
            <w:tcBorders>
              <w:right w:val="single" w:sz="2" w:space="0" w:color="000000"/>
            </w:tcBorders>
          </w:tcPr>
          <w:p>
            <w:pPr>
              <w:pStyle w:val="TableParagraph"/>
              <w:spacing w:before="1"/>
              <w:ind w:left="200"/>
              <w:rPr>
                <w:b/>
                <w:sz w:val="21"/>
              </w:rPr>
            </w:pPr>
            <w:r>
              <w:rPr>
                <w:b/>
                <w:sz w:val="21"/>
              </w:rPr>
              <w:t>2 我们提供的保障</w:t>
            </w:r>
          </w:p>
        </w:tc>
        <w:tc>
          <w:tcPr>
            <w:tcW w:w="3553" w:type="dxa"/>
            <w:tcBorders>
              <w:left w:val="single" w:sz="2" w:space="0" w:color="000000"/>
              <w:right w:val="single" w:sz="2" w:space="0" w:color="000000"/>
            </w:tcBorders>
          </w:tcPr>
          <w:p>
            <w:pPr>
              <w:pStyle w:val="TableParagraph"/>
              <w:spacing w:before="1"/>
              <w:ind w:left="105"/>
              <w:rPr>
                <w:b/>
                <w:sz w:val="21"/>
              </w:rPr>
            </w:pPr>
            <w:r>
              <w:rPr>
                <w:b/>
                <w:sz w:val="21"/>
              </w:rPr>
              <w:t>7 合同效力的中止与恢复</w:t>
            </w:r>
          </w:p>
        </w:tc>
        <w:tc>
          <w:tcPr>
            <w:tcW w:w="3678" w:type="dxa"/>
            <w:tcBorders>
              <w:left w:val="single" w:sz="2" w:space="0" w:color="000000"/>
            </w:tcBorders>
          </w:tcPr>
          <w:p>
            <w:pPr>
              <w:pStyle w:val="TableParagraph"/>
              <w:tabs>
                <w:tab w:pos="947" w:val="left" w:leader="none"/>
              </w:tabs>
              <w:spacing w:before="1"/>
              <w:ind w:left="316"/>
              <w:rPr>
                <w:sz w:val="21"/>
              </w:rPr>
            </w:pPr>
            <w:r>
              <w:rPr>
                <w:sz w:val="21"/>
              </w:rPr>
              <w:t>11.5</w:t>
              <w:tab/>
            </w:r>
            <w:r>
              <w:rPr>
                <w:spacing w:val="-3"/>
                <w:sz w:val="21"/>
              </w:rPr>
              <w:t>意外伤害</w:t>
            </w:r>
          </w:p>
        </w:tc>
      </w:tr>
      <w:tr>
        <w:trPr>
          <w:trHeight w:val="339" w:hRule="atLeast"/>
        </w:trPr>
        <w:tc>
          <w:tcPr>
            <w:tcW w:w="3354" w:type="dxa"/>
            <w:tcBorders>
              <w:right w:val="single" w:sz="2" w:space="0" w:color="000000"/>
            </w:tcBorders>
          </w:tcPr>
          <w:p>
            <w:pPr>
              <w:pStyle w:val="TableParagraph"/>
              <w:ind w:left="411"/>
              <w:rPr>
                <w:sz w:val="21"/>
              </w:rPr>
            </w:pPr>
            <w:r>
              <w:rPr>
                <w:sz w:val="21"/>
              </w:rPr>
              <w:t>2.1 保险期间</w:t>
            </w:r>
          </w:p>
        </w:tc>
        <w:tc>
          <w:tcPr>
            <w:tcW w:w="3553" w:type="dxa"/>
            <w:tcBorders>
              <w:left w:val="single" w:sz="2" w:space="0" w:color="000000"/>
              <w:right w:val="single" w:sz="2" w:space="0" w:color="000000"/>
            </w:tcBorders>
          </w:tcPr>
          <w:p>
            <w:pPr>
              <w:pStyle w:val="TableParagraph"/>
              <w:ind w:left="316"/>
              <w:rPr>
                <w:sz w:val="21"/>
              </w:rPr>
            </w:pPr>
            <w:r>
              <w:rPr>
                <w:sz w:val="21"/>
              </w:rPr>
              <w:t>7.1 合同效力中止</w:t>
            </w:r>
          </w:p>
        </w:tc>
        <w:tc>
          <w:tcPr>
            <w:tcW w:w="3678" w:type="dxa"/>
            <w:tcBorders>
              <w:left w:val="single" w:sz="2" w:space="0" w:color="000000"/>
            </w:tcBorders>
          </w:tcPr>
          <w:p>
            <w:pPr>
              <w:pStyle w:val="TableParagraph"/>
              <w:tabs>
                <w:tab w:pos="947" w:val="left" w:leader="none"/>
              </w:tabs>
              <w:ind w:left="316"/>
              <w:rPr>
                <w:sz w:val="21"/>
              </w:rPr>
            </w:pPr>
            <w:r>
              <w:rPr>
                <w:sz w:val="21"/>
              </w:rPr>
              <w:t>11.6</w:t>
              <w:tab/>
            </w:r>
            <w:r>
              <w:rPr>
                <w:spacing w:val="-3"/>
                <w:sz w:val="21"/>
              </w:rPr>
              <w:t>我们认可的医院</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2.2 基本保险金额</w:t>
            </w:r>
          </w:p>
        </w:tc>
        <w:tc>
          <w:tcPr>
            <w:tcW w:w="3553" w:type="dxa"/>
            <w:tcBorders>
              <w:left w:val="single" w:sz="2" w:space="0" w:color="000000"/>
              <w:right w:val="single" w:sz="2" w:space="0" w:color="000000"/>
            </w:tcBorders>
          </w:tcPr>
          <w:p>
            <w:pPr>
              <w:pStyle w:val="TableParagraph"/>
              <w:spacing w:before="1"/>
              <w:ind w:left="316"/>
              <w:rPr>
                <w:sz w:val="21"/>
              </w:rPr>
            </w:pPr>
            <w:r>
              <w:rPr>
                <w:sz w:val="21"/>
              </w:rPr>
              <w:t>7.2 合同效力恢复（复效）</w:t>
            </w:r>
          </w:p>
        </w:tc>
        <w:tc>
          <w:tcPr>
            <w:tcW w:w="3678" w:type="dxa"/>
            <w:tcBorders>
              <w:left w:val="single" w:sz="2" w:space="0" w:color="000000"/>
            </w:tcBorders>
          </w:tcPr>
          <w:p>
            <w:pPr>
              <w:pStyle w:val="TableParagraph"/>
              <w:tabs>
                <w:tab w:pos="947" w:val="left" w:leader="none"/>
              </w:tabs>
              <w:spacing w:before="1"/>
              <w:ind w:left="316"/>
              <w:rPr>
                <w:sz w:val="21"/>
              </w:rPr>
            </w:pPr>
            <w:r>
              <w:rPr>
                <w:sz w:val="21"/>
              </w:rPr>
              <w:t>11.7</w:t>
              <w:tab/>
            </w:r>
            <w:r>
              <w:rPr>
                <w:spacing w:val="-2"/>
                <w:sz w:val="21"/>
              </w:rPr>
              <w:t>专科医生</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2.3 未成年人身故保险金限制</w:t>
            </w: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tabs>
                <w:tab w:pos="947" w:val="left" w:leader="none"/>
              </w:tabs>
              <w:spacing w:before="1"/>
              <w:ind w:left="316"/>
              <w:rPr>
                <w:sz w:val="21"/>
              </w:rPr>
            </w:pPr>
            <w:r>
              <w:rPr>
                <w:sz w:val="21"/>
              </w:rPr>
              <w:t>11.8</w:t>
              <w:tab/>
              <w:t>周岁</w:t>
            </w:r>
          </w:p>
        </w:tc>
      </w:tr>
      <w:tr>
        <w:trPr>
          <w:trHeight w:val="339" w:hRule="atLeast"/>
        </w:trPr>
        <w:tc>
          <w:tcPr>
            <w:tcW w:w="3354" w:type="dxa"/>
            <w:tcBorders>
              <w:right w:val="single" w:sz="2" w:space="0" w:color="000000"/>
            </w:tcBorders>
          </w:tcPr>
          <w:p>
            <w:pPr>
              <w:pStyle w:val="TableParagraph"/>
              <w:ind w:left="411"/>
              <w:rPr>
                <w:sz w:val="21"/>
              </w:rPr>
            </w:pPr>
            <w:r>
              <w:rPr>
                <w:sz w:val="21"/>
              </w:rPr>
              <w:t>2.4 保险责任</w:t>
            </w: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tabs>
                <w:tab w:pos="947" w:val="left" w:leader="none"/>
              </w:tabs>
              <w:ind w:left="316"/>
              <w:rPr>
                <w:sz w:val="21"/>
              </w:rPr>
            </w:pPr>
            <w:r>
              <w:rPr>
                <w:sz w:val="21"/>
              </w:rPr>
              <w:t>11.9</w:t>
              <w:tab/>
              <w:t>毒品</w:t>
            </w:r>
          </w:p>
        </w:tc>
      </w:tr>
      <w:tr>
        <w:trPr>
          <w:trHeight w:val="950" w:hRule="atLeast"/>
        </w:trPr>
        <w:tc>
          <w:tcPr>
            <w:tcW w:w="3354" w:type="dxa"/>
            <w:tcBorders>
              <w:right w:val="single" w:sz="2" w:space="0" w:color="000000"/>
            </w:tcBorders>
          </w:tcPr>
          <w:p>
            <w:pPr>
              <w:pStyle w:val="TableParagraph"/>
              <w:numPr>
                <w:ilvl w:val="1"/>
                <w:numId w:val="1"/>
              </w:numPr>
              <w:tabs>
                <w:tab w:pos="834" w:val="left" w:leader="none"/>
              </w:tabs>
              <w:spacing w:line="240" w:lineRule="auto" w:before="1" w:after="0"/>
              <w:ind w:left="833" w:right="0" w:hanging="422"/>
              <w:jc w:val="left"/>
              <w:rPr>
                <w:sz w:val="21"/>
              </w:rPr>
            </w:pPr>
            <w:r>
              <w:rPr>
                <w:spacing w:val="-3"/>
                <w:sz w:val="21"/>
              </w:rPr>
              <w:t>年金转换选择权</w:t>
            </w:r>
          </w:p>
          <w:p>
            <w:pPr>
              <w:pStyle w:val="TableParagraph"/>
              <w:numPr>
                <w:ilvl w:val="1"/>
                <w:numId w:val="1"/>
              </w:numPr>
              <w:tabs>
                <w:tab w:pos="834" w:val="left" w:leader="none"/>
              </w:tabs>
              <w:spacing w:line="240" w:lineRule="auto" w:before="37" w:after="0"/>
              <w:ind w:left="833" w:right="0" w:hanging="422"/>
              <w:jc w:val="left"/>
              <w:rPr>
                <w:sz w:val="21"/>
              </w:rPr>
            </w:pPr>
            <w:r>
              <w:rPr>
                <w:spacing w:val="-3"/>
                <w:sz w:val="21"/>
              </w:rPr>
              <w:t>责任免除</w:t>
            </w: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numPr>
                <w:ilvl w:val="1"/>
                <w:numId w:val="2"/>
              </w:numPr>
              <w:tabs>
                <w:tab w:pos="949" w:val="left" w:leader="none"/>
              </w:tabs>
              <w:spacing w:line="240" w:lineRule="auto" w:before="1" w:after="0"/>
              <w:ind w:left="948" w:right="0" w:hanging="632"/>
              <w:jc w:val="left"/>
              <w:rPr>
                <w:sz w:val="21"/>
              </w:rPr>
            </w:pPr>
            <w:r>
              <w:rPr>
                <w:spacing w:val="-2"/>
                <w:sz w:val="21"/>
              </w:rPr>
              <w:t>酒后驾驶</w:t>
            </w:r>
          </w:p>
          <w:p>
            <w:pPr>
              <w:pStyle w:val="TableParagraph"/>
              <w:numPr>
                <w:ilvl w:val="1"/>
                <w:numId w:val="2"/>
              </w:numPr>
              <w:tabs>
                <w:tab w:pos="949" w:val="left" w:leader="none"/>
              </w:tabs>
              <w:spacing w:line="240" w:lineRule="auto" w:before="37" w:after="0"/>
              <w:ind w:left="948" w:right="0" w:hanging="632"/>
              <w:jc w:val="left"/>
              <w:rPr>
                <w:sz w:val="21"/>
              </w:rPr>
            </w:pPr>
            <w:r>
              <w:rPr>
                <w:spacing w:val="-3"/>
                <w:sz w:val="21"/>
              </w:rPr>
              <w:t>无合法有效驾驶证驾驶</w:t>
            </w:r>
          </w:p>
          <w:p>
            <w:pPr>
              <w:pStyle w:val="TableParagraph"/>
              <w:numPr>
                <w:ilvl w:val="1"/>
                <w:numId w:val="2"/>
              </w:numPr>
              <w:tabs>
                <w:tab w:pos="949" w:val="left" w:leader="none"/>
              </w:tabs>
              <w:spacing w:line="240" w:lineRule="auto" w:before="37" w:after="0"/>
              <w:ind w:left="948" w:right="0" w:hanging="632"/>
              <w:jc w:val="left"/>
              <w:rPr>
                <w:sz w:val="21"/>
              </w:rPr>
            </w:pPr>
            <w:r>
              <w:rPr>
                <w:spacing w:val="-3"/>
                <w:sz w:val="21"/>
              </w:rPr>
              <w:t>无有效行驶证</w:t>
            </w:r>
          </w:p>
        </w:tc>
      </w:tr>
      <w:tr>
        <w:trPr>
          <w:trHeight w:val="326" w:hRule="atLeast"/>
        </w:trPr>
        <w:tc>
          <w:tcPr>
            <w:tcW w:w="3354" w:type="dxa"/>
            <w:tcBorders>
              <w:right w:val="single" w:sz="2" w:space="0" w:color="000000"/>
            </w:tcBorders>
          </w:tcPr>
          <w:p>
            <w:pPr>
              <w:pStyle w:val="TableParagraph"/>
              <w:spacing w:line="261" w:lineRule="exact"/>
              <w:ind w:left="200"/>
              <w:rPr>
                <w:b/>
                <w:sz w:val="21"/>
              </w:rPr>
            </w:pPr>
            <w:r>
              <w:rPr>
                <w:b/>
                <w:sz w:val="21"/>
              </w:rPr>
              <w:t>3 重大疾病</w:t>
            </w:r>
          </w:p>
        </w:tc>
        <w:tc>
          <w:tcPr>
            <w:tcW w:w="3553" w:type="dxa"/>
            <w:tcBorders>
              <w:left w:val="single" w:sz="2" w:space="0" w:color="000000"/>
              <w:right w:val="single" w:sz="2" w:space="0" w:color="000000"/>
            </w:tcBorders>
          </w:tcPr>
          <w:p>
            <w:pPr>
              <w:pStyle w:val="TableParagraph"/>
              <w:spacing w:line="261" w:lineRule="exact"/>
              <w:ind w:left="105"/>
              <w:rPr>
                <w:b/>
                <w:sz w:val="21"/>
              </w:rPr>
            </w:pPr>
            <w:r>
              <w:rPr>
                <w:b/>
                <w:sz w:val="21"/>
              </w:rPr>
              <w:t>8 合同解除</w:t>
            </w:r>
          </w:p>
        </w:tc>
        <w:tc>
          <w:tcPr>
            <w:tcW w:w="3678" w:type="dxa"/>
            <w:tcBorders>
              <w:left w:val="single" w:sz="2" w:space="0" w:color="000000"/>
            </w:tcBorders>
          </w:tcPr>
          <w:p>
            <w:pPr>
              <w:pStyle w:val="TableParagraph"/>
              <w:spacing w:line="261" w:lineRule="exact"/>
              <w:ind w:left="316"/>
              <w:rPr>
                <w:sz w:val="21"/>
              </w:rPr>
            </w:pPr>
            <w:r>
              <w:rPr>
                <w:sz w:val="21"/>
              </w:rPr>
              <w:t>11.13 机动车</w:t>
            </w:r>
          </w:p>
        </w:tc>
      </w:tr>
      <w:tr>
        <w:trPr>
          <w:trHeight w:val="326" w:hRule="atLeast"/>
        </w:trPr>
        <w:tc>
          <w:tcPr>
            <w:tcW w:w="3354" w:type="dxa"/>
            <w:tcBorders>
              <w:right w:val="single" w:sz="2" w:space="0" w:color="000000"/>
            </w:tcBorders>
          </w:tcPr>
          <w:p>
            <w:pPr>
              <w:pStyle w:val="TableParagraph"/>
              <w:spacing w:before="1"/>
              <w:ind w:left="411"/>
              <w:rPr>
                <w:sz w:val="21"/>
              </w:rPr>
            </w:pPr>
            <w:r>
              <w:rPr>
                <w:sz w:val="21"/>
              </w:rPr>
              <w:t>3.1 轻症重疾的范围</w:t>
            </w:r>
          </w:p>
        </w:tc>
        <w:tc>
          <w:tcPr>
            <w:tcW w:w="3553" w:type="dxa"/>
            <w:tcBorders>
              <w:left w:val="single" w:sz="2" w:space="0" w:color="000000"/>
              <w:right w:val="single" w:sz="2" w:space="0" w:color="000000"/>
            </w:tcBorders>
          </w:tcPr>
          <w:p>
            <w:pPr>
              <w:pStyle w:val="TableParagraph"/>
              <w:spacing w:before="1"/>
              <w:ind w:left="316"/>
              <w:rPr>
                <w:sz w:val="21"/>
              </w:rPr>
            </w:pPr>
            <w:r>
              <w:rPr>
                <w:sz w:val="21"/>
              </w:rPr>
              <w:t>8.1 犹豫期后解除合同（退保）的</w:t>
            </w:r>
          </w:p>
        </w:tc>
        <w:tc>
          <w:tcPr>
            <w:tcW w:w="3678" w:type="dxa"/>
            <w:tcBorders>
              <w:left w:val="single" w:sz="2" w:space="0" w:color="000000"/>
            </w:tcBorders>
          </w:tcPr>
          <w:p>
            <w:pPr>
              <w:pStyle w:val="TableParagraph"/>
              <w:spacing w:before="1"/>
              <w:ind w:left="316"/>
              <w:rPr>
                <w:sz w:val="21"/>
              </w:rPr>
            </w:pPr>
            <w:r>
              <w:rPr>
                <w:sz w:val="21"/>
              </w:rPr>
              <w:t>11.14 感染艾滋病病毒或患艾滋病</w:t>
            </w:r>
          </w:p>
        </w:tc>
      </w:tr>
      <w:tr>
        <w:trPr>
          <w:trHeight w:val="325" w:hRule="atLeast"/>
        </w:trPr>
        <w:tc>
          <w:tcPr>
            <w:tcW w:w="3354" w:type="dxa"/>
            <w:tcBorders>
              <w:right w:val="single" w:sz="2" w:space="0" w:color="000000"/>
            </w:tcBorders>
          </w:tcPr>
          <w:p>
            <w:pPr>
              <w:pStyle w:val="TableParagraph"/>
              <w:spacing w:line="261" w:lineRule="exact"/>
              <w:ind w:left="411"/>
              <w:rPr>
                <w:sz w:val="21"/>
              </w:rPr>
            </w:pPr>
            <w:r>
              <w:rPr>
                <w:sz w:val="21"/>
              </w:rPr>
              <w:t>3.2 轻症重疾的定义</w:t>
            </w:r>
          </w:p>
        </w:tc>
        <w:tc>
          <w:tcPr>
            <w:tcW w:w="3553" w:type="dxa"/>
            <w:tcBorders>
              <w:left w:val="single" w:sz="2" w:space="0" w:color="000000"/>
              <w:right w:val="single" w:sz="2" w:space="0" w:color="000000"/>
            </w:tcBorders>
          </w:tcPr>
          <w:p>
            <w:pPr>
              <w:pStyle w:val="TableParagraph"/>
              <w:spacing w:line="261" w:lineRule="exact"/>
              <w:ind w:left="736"/>
              <w:rPr>
                <w:sz w:val="21"/>
              </w:rPr>
            </w:pPr>
            <w:r>
              <w:rPr>
                <w:sz w:val="21"/>
              </w:rPr>
              <w:t>手续及风险</w:t>
            </w:r>
          </w:p>
        </w:tc>
        <w:tc>
          <w:tcPr>
            <w:tcW w:w="3678" w:type="dxa"/>
            <w:tcBorders>
              <w:left w:val="single" w:sz="2" w:space="0" w:color="000000"/>
            </w:tcBorders>
          </w:tcPr>
          <w:p>
            <w:pPr>
              <w:pStyle w:val="TableParagraph"/>
              <w:spacing w:line="261" w:lineRule="exact"/>
              <w:ind w:left="316"/>
              <w:rPr>
                <w:sz w:val="21"/>
              </w:rPr>
            </w:pPr>
            <w:r>
              <w:rPr>
                <w:sz w:val="21"/>
              </w:rPr>
              <w:t>11.15 遗传性疾病</w:t>
            </w:r>
          </w:p>
        </w:tc>
      </w:tr>
      <w:tr>
        <w:trPr>
          <w:trHeight w:val="949" w:hRule="atLeast"/>
        </w:trPr>
        <w:tc>
          <w:tcPr>
            <w:tcW w:w="3354" w:type="dxa"/>
            <w:tcBorders>
              <w:right w:val="single" w:sz="2" w:space="0" w:color="000000"/>
            </w:tcBorders>
          </w:tcPr>
          <w:p>
            <w:pPr>
              <w:pStyle w:val="TableParagraph"/>
              <w:numPr>
                <w:ilvl w:val="1"/>
                <w:numId w:val="3"/>
              </w:numPr>
              <w:tabs>
                <w:tab w:pos="834" w:val="left" w:leader="none"/>
              </w:tabs>
              <w:spacing w:line="240" w:lineRule="auto" w:before="0" w:after="0"/>
              <w:ind w:left="833" w:right="0" w:hanging="422"/>
              <w:jc w:val="left"/>
              <w:rPr>
                <w:sz w:val="21"/>
              </w:rPr>
            </w:pPr>
            <w:r>
              <w:rPr>
                <w:spacing w:val="-3"/>
                <w:sz w:val="21"/>
              </w:rPr>
              <w:t>重大疾病的范围</w:t>
            </w:r>
          </w:p>
          <w:p>
            <w:pPr>
              <w:pStyle w:val="TableParagraph"/>
              <w:numPr>
                <w:ilvl w:val="1"/>
                <w:numId w:val="3"/>
              </w:numPr>
              <w:tabs>
                <w:tab w:pos="834" w:val="left" w:leader="none"/>
              </w:tabs>
              <w:spacing w:line="240" w:lineRule="auto" w:before="37" w:after="0"/>
              <w:ind w:left="833" w:right="0" w:hanging="422"/>
              <w:jc w:val="left"/>
              <w:rPr>
                <w:sz w:val="21"/>
              </w:rPr>
            </w:pPr>
            <w:r>
              <w:rPr>
                <w:spacing w:val="-3"/>
                <w:sz w:val="21"/>
              </w:rPr>
              <w:t>重大疾病的定义</w:t>
            </w: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numPr>
                <w:ilvl w:val="1"/>
                <w:numId w:val="4"/>
              </w:numPr>
              <w:tabs>
                <w:tab w:pos="949" w:val="left" w:leader="none"/>
              </w:tabs>
              <w:spacing w:line="273" w:lineRule="auto" w:before="0" w:after="0"/>
              <w:ind w:left="945" w:right="198" w:hanging="629"/>
              <w:jc w:val="left"/>
              <w:rPr>
                <w:sz w:val="21"/>
              </w:rPr>
            </w:pPr>
            <w:r>
              <w:rPr>
                <w:spacing w:val="-3"/>
                <w:sz w:val="21"/>
              </w:rPr>
              <w:t>先天性畸形、变形或染色体异常</w:t>
            </w:r>
          </w:p>
          <w:p>
            <w:pPr>
              <w:pStyle w:val="TableParagraph"/>
              <w:numPr>
                <w:ilvl w:val="1"/>
                <w:numId w:val="4"/>
              </w:numPr>
              <w:tabs>
                <w:tab w:pos="949" w:val="left" w:leader="none"/>
              </w:tabs>
              <w:spacing w:line="240" w:lineRule="auto" w:before="8" w:after="0"/>
              <w:ind w:left="945" w:right="0" w:hanging="629"/>
              <w:jc w:val="left"/>
              <w:rPr>
                <w:sz w:val="21"/>
              </w:rPr>
            </w:pPr>
            <w:r>
              <w:rPr>
                <w:spacing w:val="-2"/>
                <w:sz w:val="21"/>
              </w:rPr>
              <w:t>现金价值</w:t>
            </w:r>
          </w:p>
        </w:tc>
      </w:tr>
      <w:tr>
        <w:trPr>
          <w:trHeight w:val="326" w:hRule="atLeast"/>
        </w:trPr>
        <w:tc>
          <w:tcPr>
            <w:tcW w:w="3354" w:type="dxa"/>
            <w:tcBorders>
              <w:right w:val="single" w:sz="2" w:space="0" w:color="000000"/>
            </w:tcBorders>
          </w:tcPr>
          <w:p>
            <w:pPr>
              <w:pStyle w:val="TableParagraph"/>
              <w:ind w:left="0"/>
              <w:rPr>
                <w:rFonts w:ascii="Times New Roman"/>
                <w:sz w:val="20"/>
              </w:rPr>
            </w:pP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spacing w:line="261" w:lineRule="exact"/>
              <w:ind w:left="316"/>
              <w:rPr>
                <w:sz w:val="21"/>
              </w:rPr>
            </w:pPr>
            <w:r>
              <w:rPr>
                <w:sz w:val="21"/>
              </w:rPr>
              <w:t>11.18 肌体机能完全丧失</w:t>
            </w:r>
          </w:p>
        </w:tc>
      </w:tr>
      <w:tr>
        <w:trPr>
          <w:trHeight w:val="638" w:hRule="atLeast"/>
        </w:trPr>
        <w:tc>
          <w:tcPr>
            <w:tcW w:w="3354" w:type="dxa"/>
            <w:tcBorders>
              <w:right w:val="single" w:sz="2" w:space="0" w:color="000000"/>
            </w:tcBorders>
          </w:tcPr>
          <w:p>
            <w:pPr>
              <w:pStyle w:val="TableParagraph"/>
              <w:spacing w:before="1"/>
              <w:ind w:left="200"/>
              <w:rPr>
                <w:b/>
                <w:sz w:val="21"/>
              </w:rPr>
            </w:pPr>
            <w:r>
              <w:rPr>
                <w:b/>
                <w:sz w:val="21"/>
              </w:rPr>
              <w:t>4 保险金的申请</w:t>
            </w:r>
          </w:p>
          <w:p>
            <w:pPr>
              <w:pStyle w:val="TableParagraph"/>
              <w:spacing w:before="37"/>
              <w:ind w:left="413"/>
              <w:rPr>
                <w:sz w:val="21"/>
              </w:rPr>
            </w:pPr>
            <w:r>
              <w:rPr>
                <w:sz w:val="21"/>
              </w:rPr>
              <w:t>4.1 受益人</w:t>
            </w:r>
          </w:p>
        </w:tc>
        <w:tc>
          <w:tcPr>
            <w:tcW w:w="3553" w:type="dxa"/>
            <w:tcBorders>
              <w:left w:val="single" w:sz="2" w:space="0" w:color="000000"/>
              <w:right w:val="single" w:sz="2" w:space="0" w:color="000000"/>
            </w:tcBorders>
          </w:tcPr>
          <w:p>
            <w:pPr>
              <w:pStyle w:val="TableParagraph"/>
              <w:spacing w:before="1"/>
              <w:ind w:left="105"/>
              <w:rPr>
                <w:b/>
                <w:sz w:val="21"/>
              </w:rPr>
            </w:pPr>
            <w:r>
              <w:rPr>
                <w:b/>
                <w:sz w:val="21"/>
              </w:rPr>
              <w:t>9 如实告知</w:t>
            </w:r>
          </w:p>
          <w:p>
            <w:pPr>
              <w:pStyle w:val="TableParagraph"/>
              <w:spacing w:before="37"/>
              <w:ind w:left="319"/>
              <w:rPr>
                <w:sz w:val="21"/>
              </w:rPr>
            </w:pPr>
            <w:r>
              <w:rPr>
                <w:sz w:val="21"/>
              </w:rPr>
              <w:t>9.1 明确说明与如实告知</w:t>
            </w:r>
          </w:p>
        </w:tc>
        <w:tc>
          <w:tcPr>
            <w:tcW w:w="3678" w:type="dxa"/>
            <w:tcBorders>
              <w:left w:val="single" w:sz="2" w:space="0" w:color="000000"/>
            </w:tcBorders>
          </w:tcPr>
          <w:p>
            <w:pPr>
              <w:pStyle w:val="TableParagraph"/>
              <w:spacing w:line="273" w:lineRule="auto" w:before="1"/>
              <w:ind w:left="945" w:right="198" w:hanging="629"/>
              <w:rPr>
                <w:sz w:val="21"/>
              </w:rPr>
            </w:pPr>
            <w:r>
              <w:rPr>
                <w:sz w:val="21"/>
              </w:rPr>
              <w:t>11.19 语言能力或咀嚼吞咽能力完全丧失</w:t>
            </w:r>
          </w:p>
        </w:tc>
      </w:tr>
      <w:tr>
        <w:trPr>
          <w:trHeight w:val="326" w:hRule="atLeast"/>
        </w:trPr>
        <w:tc>
          <w:tcPr>
            <w:tcW w:w="3354" w:type="dxa"/>
            <w:tcBorders>
              <w:right w:val="single" w:sz="2" w:space="0" w:color="000000"/>
            </w:tcBorders>
          </w:tcPr>
          <w:p>
            <w:pPr>
              <w:pStyle w:val="TableParagraph"/>
              <w:spacing w:line="261" w:lineRule="exact"/>
              <w:ind w:left="411"/>
              <w:rPr>
                <w:sz w:val="21"/>
              </w:rPr>
            </w:pPr>
            <w:r>
              <w:rPr>
                <w:sz w:val="21"/>
              </w:rPr>
              <w:t>4.2 保险事故通知</w:t>
            </w:r>
          </w:p>
        </w:tc>
        <w:tc>
          <w:tcPr>
            <w:tcW w:w="3553" w:type="dxa"/>
            <w:tcBorders>
              <w:left w:val="single" w:sz="2" w:space="0" w:color="000000"/>
              <w:right w:val="single" w:sz="2" w:space="0" w:color="000000"/>
            </w:tcBorders>
          </w:tcPr>
          <w:p>
            <w:pPr>
              <w:pStyle w:val="TableParagraph"/>
              <w:spacing w:line="261" w:lineRule="exact"/>
              <w:ind w:left="316"/>
              <w:rPr>
                <w:sz w:val="21"/>
              </w:rPr>
            </w:pPr>
            <w:r>
              <w:rPr>
                <w:sz w:val="21"/>
              </w:rPr>
              <w:t>9.2 本公司合同解除权的限制</w:t>
            </w:r>
          </w:p>
        </w:tc>
        <w:tc>
          <w:tcPr>
            <w:tcW w:w="3678" w:type="dxa"/>
            <w:tcBorders>
              <w:left w:val="single" w:sz="2" w:space="0" w:color="000000"/>
            </w:tcBorders>
          </w:tcPr>
          <w:p>
            <w:pPr>
              <w:pStyle w:val="TableParagraph"/>
              <w:spacing w:line="261" w:lineRule="exact"/>
              <w:ind w:left="316"/>
              <w:rPr>
                <w:sz w:val="21"/>
              </w:rPr>
            </w:pPr>
            <w:r>
              <w:rPr>
                <w:sz w:val="21"/>
              </w:rPr>
              <w:t>11.20 六项基本日常生活活动</w:t>
            </w:r>
          </w:p>
        </w:tc>
      </w:tr>
      <w:tr>
        <w:trPr>
          <w:trHeight w:val="1574" w:hRule="atLeast"/>
        </w:trPr>
        <w:tc>
          <w:tcPr>
            <w:tcW w:w="3354" w:type="dxa"/>
            <w:tcBorders>
              <w:right w:val="single" w:sz="2" w:space="0" w:color="000000"/>
            </w:tcBorders>
          </w:tcPr>
          <w:p>
            <w:pPr>
              <w:pStyle w:val="TableParagraph"/>
              <w:numPr>
                <w:ilvl w:val="1"/>
                <w:numId w:val="5"/>
              </w:numPr>
              <w:tabs>
                <w:tab w:pos="834" w:val="left" w:leader="none"/>
              </w:tabs>
              <w:spacing w:line="240" w:lineRule="auto" w:before="1" w:after="0"/>
              <w:ind w:left="833" w:right="0" w:hanging="422"/>
              <w:jc w:val="left"/>
              <w:rPr>
                <w:sz w:val="21"/>
              </w:rPr>
            </w:pPr>
            <w:r>
              <w:rPr>
                <w:spacing w:val="-3"/>
                <w:sz w:val="21"/>
              </w:rPr>
              <w:t>保险金申请</w:t>
            </w:r>
          </w:p>
          <w:p>
            <w:pPr>
              <w:pStyle w:val="TableParagraph"/>
              <w:numPr>
                <w:ilvl w:val="1"/>
                <w:numId w:val="5"/>
              </w:numPr>
              <w:tabs>
                <w:tab w:pos="834" w:val="left" w:leader="none"/>
              </w:tabs>
              <w:spacing w:line="240" w:lineRule="auto" w:before="37" w:after="0"/>
              <w:ind w:left="833" w:right="0" w:hanging="422"/>
              <w:jc w:val="left"/>
              <w:rPr>
                <w:sz w:val="21"/>
              </w:rPr>
            </w:pPr>
            <w:r>
              <w:rPr>
                <w:spacing w:val="-3"/>
                <w:sz w:val="21"/>
              </w:rPr>
              <w:t>保险金给付</w:t>
            </w:r>
          </w:p>
          <w:p>
            <w:pPr>
              <w:pStyle w:val="TableParagraph"/>
              <w:numPr>
                <w:ilvl w:val="1"/>
                <w:numId w:val="5"/>
              </w:numPr>
              <w:tabs>
                <w:tab w:pos="834" w:val="left" w:leader="none"/>
              </w:tabs>
              <w:spacing w:line="240" w:lineRule="auto" w:before="37" w:after="0"/>
              <w:ind w:left="833" w:right="0" w:hanging="422"/>
              <w:jc w:val="left"/>
              <w:rPr>
                <w:sz w:val="21"/>
              </w:rPr>
            </w:pPr>
            <w:r>
              <w:rPr>
                <w:spacing w:val="-3"/>
                <w:sz w:val="21"/>
              </w:rPr>
              <w:t>宣告死亡处理</w:t>
            </w:r>
          </w:p>
          <w:p>
            <w:pPr>
              <w:pStyle w:val="TableParagraph"/>
              <w:numPr>
                <w:ilvl w:val="1"/>
                <w:numId w:val="5"/>
              </w:numPr>
              <w:tabs>
                <w:tab w:pos="834" w:val="left" w:leader="none"/>
              </w:tabs>
              <w:spacing w:line="240" w:lineRule="auto" w:before="37" w:after="0"/>
              <w:ind w:left="833" w:right="0" w:hanging="422"/>
              <w:jc w:val="left"/>
              <w:rPr>
                <w:sz w:val="21"/>
              </w:rPr>
            </w:pPr>
            <w:r>
              <w:rPr>
                <w:spacing w:val="-3"/>
                <w:sz w:val="21"/>
              </w:rPr>
              <w:t>诉讼时效</w:t>
            </w: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numPr>
                <w:ilvl w:val="1"/>
                <w:numId w:val="6"/>
              </w:numPr>
              <w:tabs>
                <w:tab w:pos="949" w:val="left" w:leader="none"/>
              </w:tabs>
              <w:spacing w:line="240" w:lineRule="auto" w:before="1" w:after="0"/>
              <w:ind w:left="945" w:right="0" w:hanging="629"/>
              <w:jc w:val="left"/>
              <w:rPr>
                <w:sz w:val="21"/>
              </w:rPr>
            </w:pPr>
            <w:r>
              <w:rPr>
                <w:spacing w:val="-3"/>
                <w:sz w:val="21"/>
              </w:rPr>
              <w:t>永久不可逆</w:t>
            </w:r>
          </w:p>
          <w:p>
            <w:pPr>
              <w:pStyle w:val="TableParagraph"/>
              <w:numPr>
                <w:ilvl w:val="1"/>
                <w:numId w:val="6"/>
              </w:numPr>
              <w:tabs>
                <w:tab w:pos="949" w:val="left" w:leader="none"/>
              </w:tabs>
              <w:spacing w:line="240" w:lineRule="auto" w:before="37" w:after="0"/>
              <w:ind w:left="945" w:right="0" w:hanging="629"/>
              <w:jc w:val="left"/>
              <w:rPr>
                <w:sz w:val="21"/>
              </w:rPr>
            </w:pPr>
            <w:r>
              <w:rPr>
                <w:spacing w:val="-3"/>
                <w:sz w:val="21"/>
              </w:rPr>
              <w:t>持续的输氧治疗</w:t>
            </w:r>
          </w:p>
          <w:p>
            <w:pPr>
              <w:pStyle w:val="TableParagraph"/>
              <w:numPr>
                <w:ilvl w:val="1"/>
                <w:numId w:val="6"/>
              </w:numPr>
              <w:tabs>
                <w:tab w:pos="949" w:val="left" w:leader="none"/>
              </w:tabs>
              <w:spacing w:line="273" w:lineRule="auto" w:before="37" w:after="0"/>
              <w:ind w:left="945" w:right="197" w:hanging="629"/>
              <w:jc w:val="left"/>
              <w:rPr>
                <w:sz w:val="21"/>
              </w:rPr>
            </w:pPr>
            <w:r>
              <w:rPr>
                <w:spacing w:val="-1"/>
                <w:sz w:val="21"/>
              </w:rPr>
              <w:t>持续性尿蛋白</w:t>
            </w:r>
            <w:r>
              <w:rPr>
                <w:spacing w:val="-3"/>
                <w:sz w:val="21"/>
              </w:rPr>
              <w:t>（</w:t>
            </w:r>
            <w:r>
              <w:rPr>
                <w:spacing w:val="-2"/>
                <w:sz w:val="21"/>
              </w:rPr>
              <w:t>尿蛋白++以上）</w:t>
            </w:r>
          </w:p>
          <w:p>
            <w:pPr>
              <w:pStyle w:val="TableParagraph"/>
              <w:numPr>
                <w:ilvl w:val="1"/>
                <w:numId w:val="6"/>
              </w:numPr>
              <w:tabs>
                <w:tab w:pos="949" w:val="left" w:leader="none"/>
              </w:tabs>
              <w:spacing w:line="240" w:lineRule="auto" w:before="7" w:after="0"/>
              <w:ind w:left="945" w:right="0" w:hanging="629"/>
              <w:jc w:val="left"/>
              <w:rPr>
                <w:sz w:val="21"/>
              </w:rPr>
            </w:pPr>
            <w:r>
              <w:rPr>
                <w:spacing w:val="-3"/>
                <w:sz w:val="21"/>
              </w:rPr>
              <w:t>条款约定利率</w:t>
            </w:r>
          </w:p>
        </w:tc>
      </w:tr>
      <w:tr>
        <w:trPr>
          <w:trHeight w:val="325" w:hRule="atLeast"/>
        </w:trPr>
        <w:tc>
          <w:tcPr>
            <w:tcW w:w="3354" w:type="dxa"/>
            <w:tcBorders>
              <w:right w:val="single" w:sz="2" w:space="0" w:color="000000"/>
            </w:tcBorders>
          </w:tcPr>
          <w:p>
            <w:pPr>
              <w:pStyle w:val="TableParagraph"/>
              <w:ind w:left="0"/>
              <w:rPr>
                <w:rFonts w:ascii="Times New Roman"/>
                <w:sz w:val="20"/>
              </w:rPr>
            </w:pPr>
          </w:p>
        </w:tc>
        <w:tc>
          <w:tcPr>
            <w:tcW w:w="3553" w:type="dxa"/>
            <w:tcBorders>
              <w:left w:val="single" w:sz="2" w:space="0" w:color="000000"/>
              <w:right w:val="single" w:sz="2" w:space="0" w:color="000000"/>
            </w:tcBorders>
          </w:tcPr>
          <w:p>
            <w:pPr>
              <w:pStyle w:val="TableParagraph"/>
              <w:ind w:left="0"/>
              <w:rPr>
                <w:rFonts w:ascii="Times New Roman"/>
                <w:sz w:val="20"/>
              </w:rPr>
            </w:pPr>
          </w:p>
        </w:tc>
        <w:tc>
          <w:tcPr>
            <w:tcW w:w="3678" w:type="dxa"/>
            <w:tcBorders>
              <w:left w:val="single" w:sz="2" w:space="0" w:color="000000"/>
            </w:tcBorders>
          </w:tcPr>
          <w:p>
            <w:pPr>
              <w:pStyle w:val="TableParagraph"/>
              <w:spacing w:line="261" w:lineRule="exact"/>
              <w:ind w:left="316"/>
              <w:rPr>
                <w:sz w:val="21"/>
              </w:rPr>
            </w:pPr>
            <w:r>
              <w:rPr>
                <w:sz w:val="21"/>
              </w:rPr>
              <w:t>11.25 净保险费</w:t>
            </w:r>
          </w:p>
        </w:tc>
      </w:tr>
      <w:tr>
        <w:trPr>
          <w:trHeight w:val="339" w:hRule="atLeast"/>
        </w:trPr>
        <w:tc>
          <w:tcPr>
            <w:tcW w:w="3354" w:type="dxa"/>
            <w:tcBorders>
              <w:right w:val="single" w:sz="2" w:space="0" w:color="000000"/>
            </w:tcBorders>
          </w:tcPr>
          <w:p>
            <w:pPr>
              <w:pStyle w:val="TableParagraph"/>
              <w:ind w:left="200"/>
              <w:rPr>
                <w:b/>
                <w:sz w:val="21"/>
              </w:rPr>
            </w:pPr>
            <w:r>
              <w:rPr>
                <w:b/>
                <w:sz w:val="21"/>
              </w:rPr>
              <w:t>5 保险费的交纳</w:t>
            </w:r>
          </w:p>
        </w:tc>
        <w:tc>
          <w:tcPr>
            <w:tcW w:w="3553" w:type="dxa"/>
            <w:tcBorders>
              <w:left w:val="single" w:sz="2" w:space="0" w:color="000000"/>
              <w:right w:val="single" w:sz="2" w:space="0" w:color="000000"/>
            </w:tcBorders>
          </w:tcPr>
          <w:p>
            <w:pPr>
              <w:pStyle w:val="TableParagraph"/>
              <w:ind w:left="105"/>
              <w:rPr>
                <w:b/>
                <w:sz w:val="21"/>
              </w:rPr>
            </w:pPr>
            <w:r>
              <w:rPr>
                <w:b/>
                <w:sz w:val="21"/>
              </w:rPr>
              <w:t>10 其他需要关注的事项</w:t>
            </w:r>
          </w:p>
        </w:tc>
        <w:tc>
          <w:tcPr>
            <w:tcW w:w="3678" w:type="dxa"/>
            <w:tcBorders>
              <w:left w:val="single" w:sz="2" w:space="0" w:color="000000"/>
            </w:tcBorders>
          </w:tcPr>
          <w:p>
            <w:pPr>
              <w:pStyle w:val="TableParagraph"/>
              <w:ind w:left="0"/>
              <w:rPr>
                <w:rFonts w:ascii="Times New Roman"/>
                <w:sz w:val="20"/>
              </w:rPr>
            </w:pP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5.1 保险费的交纳</w:t>
            </w:r>
          </w:p>
        </w:tc>
        <w:tc>
          <w:tcPr>
            <w:tcW w:w="3553" w:type="dxa"/>
            <w:tcBorders>
              <w:left w:val="single" w:sz="2" w:space="0" w:color="000000"/>
              <w:right w:val="single" w:sz="2" w:space="0" w:color="000000"/>
            </w:tcBorders>
          </w:tcPr>
          <w:p>
            <w:pPr>
              <w:pStyle w:val="TableParagraph"/>
              <w:spacing w:before="1"/>
              <w:ind w:left="316"/>
              <w:rPr>
                <w:sz w:val="21"/>
              </w:rPr>
            </w:pPr>
            <w:r>
              <w:rPr>
                <w:sz w:val="21"/>
              </w:rPr>
              <w:t>10.1 年龄性别错误处理</w:t>
            </w:r>
          </w:p>
        </w:tc>
        <w:tc>
          <w:tcPr>
            <w:tcW w:w="3678" w:type="dxa"/>
            <w:tcBorders>
              <w:left w:val="single" w:sz="2" w:space="0" w:color="000000"/>
            </w:tcBorders>
          </w:tcPr>
          <w:p>
            <w:pPr>
              <w:pStyle w:val="TableParagraph"/>
              <w:ind w:left="0"/>
              <w:rPr>
                <w:rFonts w:ascii="Times New Roman"/>
                <w:sz w:val="20"/>
              </w:rPr>
            </w:pP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5.2 宽限期</w:t>
            </w:r>
          </w:p>
        </w:tc>
        <w:tc>
          <w:tcPr>
            <w:tcW w:w="3553" w:type="dxa"/>
            <w:tcBorders>
              <w:left w:val="single" w:sz="2" w:space="0" w:color="000000"/>
              <w:right w:val="single" w:sz="2" w:space="0" w:color="000000"/>
            </w:tcBorders>
          </w:tcPr>
          <w:p>
            <w:pPr>
              <w:pStyle w:val="TableParagraph"/>
              <w:spacing w:before="1"/>
              <w:ind w:left="316"/>
              <w:rPr>
                <w:sz w:val="21"/>
              </w:rPr>
            </w:pPr>
            <w:r>
              <w:rPr>
                <w:sz w:val="21"/>
              </w:rPr>
              <w:t>10.2 欠款扣除</w:t>
            </w:r>
          </w:p>
        </w:tc>
        <w:tc>
          <w:tcPr>
            <w:tcW w:w="3678" w:type="dxa"/>
            <w:tcBorders>
              <w:left w:val="single" w:sz="2" w:space="0" w:color="000000"/>
            </w:tcBorders>
          </w:tcPr>
          <w:p>
            <w:pPr>
              <w:pStyle w:val="TableParagraph"/>
              <w:ind w:left="0"/>
              <w:rPr>
                <w:rFonts w:ascii="Times New Roman"/>
                <w:sz w:val="20"/>
              </w:rPr>
            </w:pPr>
          </w:p>
        </w:tc>
      </w:tr>
      <w:tr>
        <w:trPr>
          <w:trHeight w:val="1630" w:hRule="atLeast"/>
        </w:trPr>
        <w:tc>
          <w:tcPr>
            <w:tcW w:w="3354" w:type="dxa"/>
            <w:tcBorders>
              <w:right w:val="single" w:sz="2" w:space="0" w:color="000000"/>
            </w:tcBorders>
          </w:tcPr>
          <w:p>
            <w:pPr>
              <w:pStyle w:val="TableParagraph"/>
              <w:ind w:left="411"/>
              <w:rPr>
                <w:sz w:val="21"/>
              </w:rPr>
            </w:pPr>
            <w:r>
              <w:rPr>
                <w:sz w:val="21"/>
              </w:rPr>
              <w:t>5.3 保险费率调整</w:t>
            </w:r>
          </w:p>
        </w:tc>
        <w:tc>
          <w:tcPr>
            <w:tcW w:w="3553" w:type="dxa"/>
            <w:tcBorders>
              <w:left w:val="single" w:sz="2" w:space="0" w:color="000000"/>
              <w:right w:val="single" w:sz="2" w:space="0" w:color="000000"/>
            </w:tcBorders>
          </w:tcPr>
          <w:p>
            <w:pPr>
              <w:pStyle w:val="TableParagraph"/>
              <w:numPr>
                <w:ilvl w:val="1"/>
                <w:numId w:val="7"/>
              </w:numPr>
              <w:tabs>
                <w:tab w:pos="843" w:val="left" w:leader="none"/>
              </w:tabs>
              <w:spacing w:line="240" w:lineRule="auto" w:before="0" w:after="0"/>
              <w:ind w:left="842" w:right="0" w:hanging="526"/>
              <w:jc w:val="left"/>
              <w:rPr>
                <w:sz w:val="21"/>
              </w:rPr>
            </w:pPr>
            <w:r>
              <w:rPr>
                <w:spacing w:val="-3"/>
                <w:sz w:val="21"/>
              </w:rPr>
              <w:t>合同内容变更</w:t>
            </w:r>
          </w:p>
          <w:p>
            <w:pPr>
              <w:pStyle w:val="TableParagraph"/>
              <w:numPr>
                <w:ilvl w:val="1"/>
                <w:numId w:val="7"/>
              </w:numPr>
              <w:tabs>
                <w:tab w:pos="843" w:val="left" w:leader="none"/>
              </w:tabs>
              <w:spacing w:line="240" w:lineRule="auto" w:before="37" w:after="0"/>
              <w:ind w:left="842" w:right="0" w:hanging="526"/>
              <w:jc w:val="left"/>
              <w:rPr>
                <w:sz w:val="21"/>
              </w:rPr>
            </w:pPr>
            <w:r>
              <w:rPr>
                <w:spacing w:val="-3"/>
                <w:sz w:val="21"/>
              </w:rPr>
              <w:t>联系方式变更</w:t>
            </w:r>
          </w:p>
          <w:p>
            <w:pPr>
              <w:pStyle w:val="TableParagraph"/>
              <w:numPr>
                <w:ilvl w:val="1"/>
                <w:numId w:val="7"/>
              </w:numPr>
              <w:tabs>
                <w:tab w:pos="843" w:val="left" w:leader="none"/>
              </w:tabs>
              <w:spacing w:line="240" w:lineRule="auto" w:before="37" w:after="0"/>
              <w:ind w:left="842" w:right="0" w:hanging="526"/>
              <w:jc w:val="left"/>
              <w:rPr>
                <w:sz w:val="21"/>
              </w:rPr>
            </w:pPr>
            <w:r>
              <w:rPr>
                <w:spacing w:val="-2"/>
                <w:sz w:val="21"/>
              </w:rPr>
              <w:t>争议处理</w:t>
            </w:r>
          </w:p>
        </w:tc>
        <w:tc>
          <w:tcPr>
            <w:tcW w:w="3678"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140" w:bottom="280" w:left="820" w:right="280"/>
        </w:sectPr>
      </w:pPr>
    </w:p>
    <w:p>
      <w:pPr>
        <w:pStyle w:val="BodyText"/>
        <w:spacing w:before="1"/>
        <w:rPr>
          <w:rFonts w:ascii="微软雅黑"/>
          <w:b/>
          <w:sz w:val="22"/>
        </w:rPr>
      </w:pPr>
    </w:p>
    <w:p>
      <w:pPr>
        <w:pStyle w:val="Heading1"/>
        <w:spacing w:before="1"/>
        <w:ind w:left="2260"/>
        <w:rPr>
          <w:rFonts w:ascii="黑体" w:eastAsia="黑体" w:hint="eastAsia"/>
        </w:rPr>
      </w:pPr>
      <w:r>
        <w:rPr>
          <w:rFonts w:ascii="黑体" w:eastAsia="黑体" w:hint="eastAsia"/>
          <w:w w:val="95"/>
        </w:rPr>
        <w:t>阳光人寿一世安康终身重大疾病保险条款</w:t>
      </w:r>
    </w:p>
    <w:p>
      <w:pPr>
        <w:pStyle w:val="BodyText"/>
        <w:spacing w:before="9"/>
        <w:rPr>
          <w:rFonts w:ascii="黑体"/>
          <w:b/>
          <w:sz w:val="34"/>
        </w:rPr>
      </w:pPr>
    </w:p>
    <w:p>
      <w:pPr>
        <w:pStyle w:val="BodyText"/>
        <w:spacing w:line="273" w:lineRule="auto"/>
        <w:ind w:left="220" w:right="251"/>
      </w:pPr>
      <w:r>
        <w:rPr>
          <w:w w:val="100"/>
        </w:rPr>
        <w:t>在本条款中，“您”指投保人，“我们”、“本公司”均指阳光人寿保险股份有限公司，“本合同”指您与</w:t>
      </w:r>
      <w:r>
        <w:rPr/>
        <w:t>我们之间订立的“阳光人寿一世安康终身重大疾病保险合同”。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3"/>
      </w:tblGrid>
      <w:tr>
        <w:trPr>
          <w:trHeight w:val="451" w:hRule="atLeast"/>
        </w:trPr>
        <w:tc>
          <w:tcPr>
            <w:tcW w:w="848" w:type="dxa"/>
            <w:tcBorders>
              <w:bottom w:val="double" w:sz="1" w:space="0" w:color="000000"/>
            </w:tcBorders>
          </w:tcPr>
          <w:p>
            <w:pPr>
              <w:pStyle w:val="TableParagraph"/>
              <w:spacing w:line="281" w:lineRule="exact"/>
              <w:ind w:left="107"/>
              <w:rPr>
                <w:b/>
                <w:sz w:val="28"/>
              </w:rPr>
            </w:pPr>
            <w:r>
              <w:rPr>
                <w:b/>
                <w:w w:val="99"/>
                <w:sz w:val="28"/>
              </w:rPr>
              <w:t>1</w:t>
            </w:r>
          </w:p>
        </w:tc>
        <w:tc>
          <w:tcPr>
            <w:tcW w:w="9346" w:type="dxa"/>
            <w:gridSpan w:val="2"/>
            <w:tcBorders>
              <w:bottom w:val="double" w:sz="1" w:space="0" w:color="000000"/>
            </w:tcBorders>
          </w:tcPr>
          <w:p>
            <w:pPr>
              <w:pStyle w:val="TableParagraph"/>
              <w:spacing w:line="281" w:lineRule="exact"/>
              <w:ind w:left="421"/>
              <w:rPr>
                <w:b/>
                <w:sz w:val="28"/>
              </w:rPr>
            </w:pPr>
            <w:r>
              <w:rPr>
                <w:b/>
                <w:w w:val="95"/>
                <w:sz w:val="28"/>
              </w:rPr>
              <w:t>您与我们订立的合同</w:t>
            </w:r>
          </w:p>
        </w:tc>
      </w:tr>
      <w:tr>
        <w:trPr>
          <w:trHeight w:val="1247" w:hRule="atLeast"/>
        </w:trPr>
        <w:tc>
          <w:tcPr>
            <w:tcW w:w="848"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813" w:type="dxa"/>
            <w:tcBorders>
              <w:top w:val="double" w:sz="1" w:space="0" w:color="000000"/>
            </w:tcBorders>
          </w:tcPr>
          <w:p>
            <w:pPr>
              <w:pStyle w:val="TableParagraph"/>
              <w:ind w:left="0"/>
              <w:rPr>
                <w:sz w:val="14"/>
              </w:rPr>
            </w:pPr>
          </w:p>
          <w:p>
            <w:pPr>
              <w:pStyle w:val="TableParagraph"/>
              <w:ind w:left="421"/>
              <w:rPr>
                <w:b/>
                <w:sz w:val="21"/>
              </w:rPr>
            </w:pPr>
            <w:r>
              <w:rPr>
                <w:b/>
                <w:sz w:val="21"/>
              </w:rPr>
              <w:t>合同构成</w:t>
            </w:r>
          </w:p>
        </w:tc>
        <w:tc>
          <w:tcPr>
            <w:tcW w:w="7533" w:type="dxa"/>
            <w:tcBorders>
              <w:top w:val="double" w:sz="1" w:space="0" w:color="000000"/>
            </w:tcBorders>
          </w:tcPr>
          <w:p>
            <w:pPr>
              <w:pStyle w:val="TableParagraph"/>
              <w:ind w:left="0"/>
              <w:rPr>
                <w:sz w:val="14"/>
              </w:rPr>
            </w:pPr>
          </w:p>
          <w:p>
            <w:pPr>
              <w:pStyle w:val="TableParagraph"/>
              <w:spacing w:line="273" w:lineRule="auto"/>
              <w:ind w:left="80" w:right="102"/>
              <w:jc w:val="both"/>
              <w:rPr>
                <w:sz w:val="21"/>
              </w:rPr>
            </w:pPr>
            <w:r>
              <w:rPr>
                <w:sz w:val="21"/>
              </w:rPr>
              <w:t>本保险条款、保险单或其他保险凭证、投保单、与保险合同有关的投保文件、合法有效的声明、批注、批单、附加险合同、其他书面协议都是您与我们之间订立的保险合同的构成部分。</w:t>
            </w:r>
          </w:p>
        </w:tc>
      </w:tr>
      <w:tr>
        <w:trPr>
          <w:trHeight w:val="1787" w:hRule="atLeast"/>
        </w:trPr>
        <w:tc>
          <w:tcPr>
            <w:tcW w:w="848" w:type="dxa"/>
          </w:tcPr>
          <w:p>
            <w:pPr>
              <w:pStyle w:val="TableParagraph"/>
              <w:spacing w:before="100"/>
              <w:ind w:left="107"/>
              <w:rPr>
                <w:b/>
                <w:sz w:val="21"/>
              </w:rPr>
            </w:pPr>
            <w:r>
              <w:rPr>
                <w:b/>
                <w:sz w:val="21"/>
              </w:rPr>
              <w:t>1.2</w:t>
            </w:r>
          </w:p>
        </w:tc>
        <w:tc>
          <w:tcPr>
            <w:tcW w:w="1813" w:type="dxa"/>
          </w:tcPr>
          <w:p>
            <w:pPr>
              <w:pStyle w:val="TableParagraph"/>
              <w:spacing w:line="273" w:lineRule="auto" w:before="100"/>
              <w:ind w:left="421" w:right="82"/>
              <w:rPr>
                <w:b/>
                <w:sz w:val="21"/>
              </w:rPr>
            </w:pPr>
            <w:r>
              <w:rPr>
                <w:b/>
                <w:sz w:val="21"/>
              </w:rPr>
              <w:t>合同 成立与生效</w:t>
            </w:r>
          </w:p>
        </w:tc>
        <w:tc>
          <w:tcPr>
            <w:tcW w:w="7533" w:type="dxa"/>
          </w:tcPr>
          <w:p>
            <w:pPr>
              <w:pStyle w:val="TableParagraph"/>
              <w:spacing w:line="273" w:lineRule="auto" w:before="100"/>
              <w:ind w:left="80" w:right="102"/>
              <w:jc w:val="both"/>
              <w:rPr>
                <w:sz w:val="21"/>
              </w:rPr>
            </w:pPr>
            <w:r>
              <w:rPr>
                <w:sz w:val="21"/>
              </w:rPr>
              <w:t>您提出保险申请、我们同意承保，本合同成立。本合同自我们同意承保、收取首期保险费并签发保险单后开始生效，具体生效日以保险单所载的日期为准。我们自生效日零时起开始承担本合同约定的保险责任。</w:t>
            </w:r>
          </w:p>
          <w:p>
            <w:pPr>
              <w:pStyle w:val="TableParagraph"/>
              <w:spacing w:before="7"/>
              <w:ind w:left="80"/>
              <w:jc w:val="both"/>
              <w:rPr>
                <w:sz w:val="21"/>
              </w:rPr>
            </w:pPr>
            <w:r>
              <w:rPr>
                <w:spacing w:val="-2"/>
                <w:w w:val="100"/>
                <w:sz w:val="21"/>
              </w:rPr>
              <w:t>本合同的</w:t>
            </w:r>
            <w:r>
              <w:rPr>
                <w:b/>
                <w:w w:val="100"/>
                <w:sz w:val="21"/>
              </w:rPr>
              <w:t>保单周年日</w:t>
            </w:r>
            <w:r>
              <w:rPr>
                <w:spacing w:val="-3"/>
                <w:w w:val="100"/>
                <w:sz w:val="21"/>
              </w:rPr>
              <w:t>（</w:t>
            </w:r>
            <w:r>
              <w:rPr>
                <w:w w:val="100"/>
                <w:sz w:val="21"/>
              </w:rPr>
              <w:t>见</w:t>
            </w:r>
            <w:r>
              <w:rPr>
                <w:spacing w:val="-14"/>
                <w:sz w:val="21"/>
              </w:rPr>
              <w:t> </w:t>
            </w:r>
            <w:r>
              <w:rPr>
                <w:w w:val="100"/>
                <w:sz w:val="21"/>
              </w:rPr>
              <w:t>11.1</w:t>
            </w:r>
            <w:r>
              <w:rPr>
                <w:spacing w:val="-108"/>
                <w:w w:val="100"/>
                <w:sz w:val="21"/>
              </w:rPr>
              <w:t>）</w:t>
            </w:r>
            <w:r>
              <w:rPr>
                <w:spacing w:val="-3"/>
                <w:w w:val="100"/>
                <w:sz w:val="21"/>
              </w:rPr>
              <w:t>、</w:t>
            </w:r>
            <w:r>
              <w:rPr>
                <w:b/>
                <w:w w:val="100"/>
                <w:sz w:val="21"/>
              </w:rPr>
              <w:t>保单年度</w:t>
            </w:r>
            <w:r>
              <w:rPr>
                <w:spacing w:val="-3"/>
                <w:w w:val="100"/>
                <w:sz w:val="21"/>
              </w:rPr>
              <w:t>（</w:t>
            </w:r>
            <w:r>
              <w:rPr>
                <w:w w:val="100"/>
                <w:sz w:val="21"/>
              </w:rPr>
              <w:t>见</w:t>
            </w:r>
            <w:r>
              <w:rPr>
                <w:spacing w:val="-11"/>
                <w:sz w:val="21"/>
              </w:rPr>
              <w:t> </w:t>
            </w:r>
            <w:r>
              <w:rPr>
                <w:w w:val="100"/>
                <w:sz w:val="21"/>
              </w:rPr>
              <w:t>11</w:t>
            </w:r>
            <w:r>
              <w:rPr>
                <w:spacing w:val="-3"/>
                <w:w w:val="100"/>
                <w:sz w:val="21"/>
              </w:rPr>
              <w:t>.</w:t>
            </w:r>
            <w:r>
              <w:rPr>
                <w:spacing w:val="-1"/>
                <w:w w:val="100"/>
                <w:sz w:val="21"/>
              </w:rPr>
              <w:t>2</w:t>
            </w:r>
            <w:r>
              <w:rPr>
                <w:spacing w:val="-108"/>
                <w:w w:val="100"/>
                <w:sz w:val="21"/>
              </w:rPr>
              <w:t>）</w:t>
            </w:r>
            <w:r>
              <w:rPr>
                <w:b/>
                <w:w w:val="100"/>
                <w:sz w:val="21"/>
              </w:rPr>
              <w:t>、保险费约定交纳日</w:t>
            </w:r>
            <w:r>
              <w:rPr>
                <w:spacing w:val="-3"/>
                <w:w w:val="100"/>
                <w:sz w:val="21"/>
              </w:rPr>
              <w:t>（见</w:t>
            </w:r>
          </w:p>
          <w:p>
            <w:pPr>
              <w:pStyle w:val="TableParagraph"/>
              <w:spacing w:before="37"/>
              <w:ind w:left="80"/>
              <w:jc w:val="both"/>
              <w:rPr>
                <w:sz w:val="21"/>
              </w:rPr>
            </w:pPr>
            <w:r>
              <w:rPr>
                <w:sz w:val="21"/>
              </w:rPr>
              <w:t>11.3）均以生效日计算。</w:t>
            </w:r>
          </w:p>
        </w:tc>
      </w:tr>
      <w:tr>
        <w:trPr>
          <w:trHeight w:val="2169" w:hRule="atLeast"/>
        </w:trPr>
        <w:tc>
          <w:tcPr>
            <w:tcW w:w="848" w:type="dxa"/>
          </w:tcPr>
          <w:p>
            <w:pPr>
              <w:pStyle w:val="TableParagraph"/>
              <w:spacing w:before="99"/>
              <w:ind w:left="107"/>
              <w:rPr>
                <w:b/>
                <w:sz w:val="21"/>
              </w:rPr>
            </w:pPr>
            <w:r>
              <w:rPr>
                <w:b/>
                <w:sz w:val="21"/>
              </w:rPr>
              <w:t>1.3</w:t>
            </w:r>
          </w:p>
        </w:tc>
        <w:tc>
          <w:tcPr>
            <w:tcW w:w="1813" w:type="dxa"/>
          </w:tcPr>
          <w:p>
            <w:pPr>
              <w:pStyle w:val="TableParagraph"/>
              <w:spacing w:before="99"/>
              <w:ind w:left="421"/>
              <w:rPr>
                <w:b/>
                <w:sz w:val="21"/>
              </w:rPr>
            </w:pPr>
            <w:r>
              <w:rPr>
                <w:b/>
                <w:sz w:val="21"/>
              </w:rPr>
              <w:t>犹豫期</w:t>
            </w:r>
          </w:p>
        </w:tc>
        <w:tc>
          <w:tcPr>
            <w:tcW w:w="7533" w:type="dxa"/>
          </w:tcPr>
          <w:p>
            <w:pPr>
              <w:pStyle w:val="TableParagraph"/>
              <w:spacing w:line="273" w:lineRule="auto" w:before="99"/>
              <w:ind w:left="80" w:right="102"/>
              <w:jc w:val="both"/>
              <w:rPr>
                <w:sz w:val="21"/>
              </w:rPr>
            </w:pPr>
            <w:r>
              <w:rPr>
                <w:sz w:val="21"/>
              </w:rPr>
              <w:t>自您签收本合同次日起，有 10 日的犹豫期。在此期间，请您认真审视本合同， 如果您认为本合同与您的需求不相符，您可以提出解除本合同，我们将在扣除不超过 10 元的工本费后无息退还您所交纳的保险费。</w:t>
            </w:r>
          </w:p>
          <w:p>
            <w:pPr>
              <w:pStyle w:val="TableParagraph"/>
              <w:spacing w:line="273" w:lineRule="auto" w:before="7"/>
              <w:ind w:left="80" w:right="102"/>
              <w:jc w:val="both"/>
              <w:rPr>
                <w:sz w:val="21"/>
              </w:rPr>
            </w:pPr>
            <w:r>
              <w:rPr>
                <w:spacing w:val="-17"/>
                <w:w w:val="100"/>
                <w:sz w:val="21"/>
              </w:rPr>
              <w:t>解除合同时，您需要填写申请书，并提供您的保险合同及</w:t>
            </w:r>
            <w:r>
              <w:rPr>
                <w:b/>
                <w:spacing w:val="-16"/>
                <w:w w:val="100"/>
                <w:sz w:val="21"/>
              </w:rPr>
              <w:t>有效身份证件</w:t>
            </w:r>
            <w:r>
              <w:rPr>
                <w:spacing w:val="-3"/>
                <w:w w:val="100"/>
                <w:sz w:val="21"/>
              </w:rPr>
              <w:t>（</w:t>
            </w:r>
            <w:r>
              <w:rPr>
                <w:w w:val="100"/>
                <w:sz w:val="21"/>
              </w:rPr>
              <w:t>见</w:t>
            </w:r>
            <w:r>
              <w:rPr>
                <w:spacing w:val="-52"/>
                <w:sz w:val="21"/>
              </w:rPr>
              <w:t> </w:t>
            </w:r>
            <w:r>
              <w:rPr>
                <w:w w:val="100"/>
                <w:sz w:val="21"/>
              </w:rPr>
              <w:t>1</w:t>
            </w:r>
            <w:r>
              <w:rPr>
                <w:spacing w:val="-3"/>
                <w:w w:val="100"/>
                <w:sz w:val="21"/>
              </w:rPr>
              <w:t>1</w:t>
            </w:r>
            <w:r>
              <w:rPr>
                <w:w w:val="100"/>
                <w:sz w:val="21"/>
              </w:rPr>
              <w:t>.</w:t>
            </w:r>
            <w:r>
              <w:rPr>
                <w:spacing w:val="-1"/>
                <w:w w:val="100"/>
                <w:sz w:val="21"/>
              </w:rPr>
              <w:t>4</w:t>
            </w:r>
            <w:r>
              <w:rPr>
                <w:spacing w:val="-108"/>
                <w:w w:val="100"/>
                <w:sz w:val="21"/>
              </w:rPr>
              <w:t>）。</w:t>
            </w:r>
            <w:r>
              <w:rPr>
                <w:spacing w:val="-5"/>
                <w:sz w:val="21"/>
              </w:rPr>
              <w:t>自我们收到您解除合同的书面申请之时起，本合同即被解除，我们自始不承担保</w:t>
            </w:r>
            <w:r>
              <w:rPr>
                <w:spacing w:val="-4"/>
                <w:sz w:val="21"/>
              </w:rPr>
              <w:t>险责任。</w:t>
            </w:r>
          </w:p>
        </w:tc>
      </w:tr>
      <w:tr>
        <w:trPr>
          <w:trHeight w:val="687" w:hRule="atLeast"/>
        </w:trPr>
        <w:tc>
          <w:tcPr>
            <w:tcW w:w="848" w:type="dxa"/>
            <w:tcBorders>
              <w:bottom w:val="double" w:sz="1" w:space="0" w:color="000000"/>
            </w:tcBorders>
          </w:tcPr>
          <w:p>
            <w:pPr>
              <w:pStyle w:val="TableParagraph"/>
              <w:spacing w:before="149"/>
              <w:ind w:left="107"/>
              <w:rPr>
                <w:b/>
                <w:sz w:val="28"/>
              </w:rPr>
            </w:pPr>
            <w:r>
              <w:rPr>
                <w:b/>
                <w:w w:val="99"/>
                <w:sz w:val="28"/>
              </w:rPr>
              <w:t>2</w:t>
            </w:r>
          </w:p>
        </w:tc>
        <w:tc>
          <w:tcPr>
            <w:tcW w:w="9346" w:type="dxa"/>
            <w:gridSpan w:val="2"/>
            <w:tcBorders>
              <w:bottom w:val="double" w:sz="1" w:space="0" w:color="000000"/>
            </w:tcBorders>
          </w:tcPr>
          <w:p>
            <w:pPr>
              <w:pStyle w:val="TableParagraph"/>
              <w:spacing w:before="149"/>
              <w:ind w:left="421"/>
              <w:rPr>
                <w:b/>
                <w:sz w:val="28"/>
              </w:rPr>
            </w:pPr>
            <w:r>
              <w:rPr>
                <w:b/>
                <w:w w:val="95"/>
                <w:sz w:val="28"/>
              </w:rPr>
              <w:t>我们提供的保障</w:t>
            </w:r>
          </w:p>
        </w:tc>
      </w:tr>
      <w:tr>
        <w:trPr>
          <w:trHeight w:val="655" w:hRule="atLeast"/>
        </w:trPr>
        <w:tc>
          <w:tcPr>
            <w:tcW w:w="848" w:type="dxa"/>
            <w:tcBorders>
              <w:top w:val="double" w:sz="1" w:space="0" w:color="000000"/>
            </w:tcBorders>
          </w:tcPr>
          <w:p>
            <w:pPr>
              <w:pStyle w:val="TableParagraph"/>
              <w:spacing w:before="133"/>
              <w:ind w:left="107"/>
              <w:rPr>
                <w:b/>
                <w:sz w:val="21"/>
              </w:rPr>
            </w:pPr>
            <w:r>
              <w:rPr>
                <w:b/>
                <w:sz w:val="21"/>
              </w:rPr>
              <w:t>2.1</w:t>
            </w:r>
          </w:p>
        </w:tc>
        <w:tc>
          <w:tcPr>
            <w:tcW w:w="1813" w:type="dxa"/>
            <w:tcBorders>
              <w:top w:val="double" w:sz="1" w:space="0" w:color="000000"/>
            </w:tcBorders>
          </w:tcPr>
          <w:p>
            <w:pPr>
              <w:pStyle w:val="TableParagraph"/>
              <w:spacing w:before="133"/>
              <w:ind w:left="421"/>
              <w:rPr>
                <w:b/>
                <w:sz w:val="21"/>
              </w:rPr>
            </w:pPr>
            <w:r>
              <w:rPr>
                <w:b/>
                <w:sz w:val="21"/>
              </w:rPr>
              <w:t>保险期间</w:t>
            </w:r>
          </w:p>
        </w:tc>
        <w:tc>
          <w:tcPr>
            <w:tcW w:w="7533" w:type="dxa"/>
            <w:tcBorders>
              <w:top w:val="double" w:sz="1" w:space="0" w:color="000000"/>
            </w:tcBorders>
          </w:tcPr>
          <w:p>
            <w:pPr>
              <w:pStyle w:val="TableParagraph"/>
              <w:spacing w:before="133"/>
              <w:ind w:left="80"/>
              <w:rPr>
                <w:sz w:val="21"/>
              </w:rPr>
            </w:pPr>
            <w:r>
              <w:rPr>
                <w:sz w:val="21"/>
              </w:rPr>
              <w:t>本合同的保险期间为终身，自本合同生效日起至被保险人身故时止。</w:t>
            </w:r>
          </w:p>
        </w:tc>
      </w:tr>
      <w:tr>
        <w:trPr>
          <w:trHeight w:val="976" w:hRule="atLeast"/>
        </w:trPr>
        <w:tc>
          <w:tcPr>
            <w:tcW w:w="848" w:type="dxa"/>
          </w:tcPr>
          <w:p>
            <w:pPr>
              <w:pStyle w:val="TableParagraph"/>
              <w:ind w:left="0"/>
              <w:rPr>
                <w:sz w:val="14"/>
              </w:rPr>
            </w:pPr>
          </w:p>
          <w:p>
            <w:pPr>
              <w:pStyle w:val="TableParagraph"/>
              <w:ind w:left="107"/>
              <w:rPr>
                <w:b/>
                <w:sz w:val="21"/>
              </w:rPr>
            </w:pPr>
            <w:r>
              <w:rPr>
                <w:b/>
                <w:sz w:val="21"/>
              </w:rPr>
              <w:t>2.2</w:t>
            </w:r>
          </w:p>
        </w:tc>
        <w:tc>
          <w:tcPr>
            <w:tcW w:w="1813" w:type="dxa"/>
          </w:tcPr>
          <w:p>
            <w:pPr>
              <w:pStyle w:val="TableParagraph"/>
              <w:ind w:left="0"/>
              <w:rPr>
                <w:sz w:val="14"/>
              </w:rPr>
            </w:pPr>
          </w:p>
          <w:p>
            <w:pPr>
              <w:pStyle w:val="TableParagraph"/>
              <w:spacing w:line="273" w:lineRule="auto"/>
              <w:ind w:left="421" w:right="82"/>
              <w:rPr>
                <w:b/>
                <w:sz w:val="21"/>
              </w:rPr>
            </w:pPr>
            <w:r>
              <w:rPr>
                <w:b/>
                <w:sz w:val="21"/>
              </w:rPr>
              <w:t>基本 保险金额</w:t>
            </w:r>
          </w:p>
        </w:tc>
        <w:tc>
          <w:tcPr>
            <w:tcW w:w="7533" w:type="dxa"/>
          </w:tcPr>
          <w:p>
            <w:pPr>
              <w:pStyle w:val="TableParagraph"/>
              <w:ind w:left="0"/>
              <w:rPr>
                <w:sz w:val="14"/>
              </w:rPr>
            </w:pPr>
          </w:p>
          <w:p>
            <w:pPr>
              <w:pStyle w:val="TableParagraph"/>
              <w:spacing w:line="273" w:lineRule="auto"/>
              <w:ind w:left="80" w:right="102"/>
              <w:rPr>
                <w:sz w:val="21"/>
              </w:rPr>
            </w:pPr>
            <w:r>
              <w:rPr>
                <w:sz w:val="21"/>
              </w:rPr>
              <w:t>本合同的基本保险金额由您在投保时与我们约定，并在保险单上载明。若该金额发生变更，则以变更后的金额为基本保险金额。</w:t>
            </w:r>
          </w:p>
        </w:tc>
      </w:tr>
      <w:tr>
        <w:trPr>
          <w:trHeight w:val="1177" w:hRule="atLeast"/>
        </w:trPr>
        <w:tc>
          <w:tcPr>
            <w:tcW w:w="848" w:type="dxa"/>
          </w:tcPr>
          <w:p>
            <w:pPr>
              <w:pStyle w:val="TableParagraph"/>
              <w:spacing w:before="142"/>
              <w:ind w:left="107"/>
              <w:rPr>
                <w:b/>
                <w:sz w:val="21"/>
              </w:rPr>
            </w:pPr>
            <w:r>
              <w:rPr>
                <w:b/>
                <w:sz w:val="21"/>
              </w:rPr>
              <w:t>2.3</w:t>
            </w:r>
          </w:p>
        </w:tc>
        <w:tc>
          <w:tcPr>
            <w:tcW w:w="1813" w:type="dxa"/>
          </w:tcPr>
          <w:p>
            <w:pPr>
              <w:pStyle w:val="TableParagraph"/>
              <w:spacing w:line="273" w:lineRule="auto" w:before="142"/>
              <w:ind w:left="421" w:right="82"/>
              <w:jc w:val="both"/>
              <w:rPr>
                <w:b/>
                <w:sz w:val="21"/>
              </w:rPr>
            </w:pPr>
            <w:r>
              <w:rPr>
                <w:b/>
                <w:sz w:val="21"/>
              </w:rPr>
              <w:t>未成年人身故保险金限制</w:t>
            </w:r>
          </w:p>
        </w:tc>
        <w:tc>
          <w:tcPr>
            <w:tcW w:w="7533" w:type="dxa"/>
          </w:tcPr>
          <w:p>
            <w:pPr>
              <w:pStyle w:val="TableParagraph"/>
              <w:spacing w:line="273" w:lineRule="auto" w:before="142"/>
              <w:ind w:left="80" w:right="102"/>
              <w:jc w:val="both"/>
              <w:rPr>
                <w:sz w:val="21"/>
              </w:rPr>
            </w:pPr>
            <w:r>
              <w:rPr>
                <w:sz w:val="21"/>
              </w:rPr>
              <w:t>为未成年子女投保的人身保险，因被保险人身故给付的保险金总和不得超过国务院保险监督管理机构规定的限额，故本合同身故给付的保险金额总和约定也不得超过前述限额。</w:t>
            </w:r>
          </w:p>
        </w:tc>
      </w:tr>
      <w:tr>
        <w:trPr>
          <w:trHeight w:val="2612" w:hRule="atLeast"/>
        </w:trPr>
        <w:tc>
          <w:tcPr>
            <w:tcW w:w="848" w:type="dxa"/>
          </w:tcPr>
          <w:p>
            <w:pPr>
              <w:pStyle w:val="TableParagraph"/>
              <w:spacing w:before="72"/>
              <w:ind w:left="107"/>
              <w:rPr>
                <w:b/>
                <w:sz w:val="21"/>
              </w:rPr>
            </w:pPr>
            <w:r>
              <w:rPr>
                <w:b/>
                <w:sz w:val="21"/>
              </w:rPr>
              <w:t>2.4</w:t>
            </w:r>
          </w:p>
        </w:tc>
        <w:tc>
          <w:tcPr>
            <w:tcW w:w="1813" w:type="dxa"/>
          </w:tcPr>
          <w:p>
            <w:pPr>
              <w:pStyle w:val="TableParagraph"/>
              <w:spacing w:before="72"/>
              <w:ind w:left="421"/>
              <w:rPr>
                <w:b/>
                <w:sz w:val="21"/>
              </w:rPr>
            </w:pPr>
            <w:r>
              <w:rPr>
                <w:b/>
                <w:sz w:val="21"/>
              </w:rPr>
              <w:t>保险责任</w:t>
            </w:r>
          </w:p>
        </w:tc>
        <w:tc>
          <w:tcPr>
            <w:tcW w:w="7533" w:type="dxa"/>
          </w:tcPr>
          <w:p>
            <w:pPr>
              <w:pStyle w:val="TableParagraph"/>
              <w:spacing w:before="98"/>
              <w:ind w:left="80"/>
              <w:rPr>
                <w:sz w:val="21"/>
              </w:rPr>
            </w:pPr>
            <w:r>
              <w:rPr>
                <w:sz w:val="21"/>
              </w:rPr>
              <w:t>在本合同有效期内，我们承担如下保险责任：</w:t>
            </w:r>
          </w:p>
          <w:p>
            <w:pPr>
              <w:pStyle w:val="TableParagraph"/>
              <w:spacing w:before="44"/>
              <w:ind w:left="80" w:right="-15"/>
              <w:rPr>
                <w:sz w:val="21"/>
              </w:rPr>
            </w:pPr>
            <w:r>
              <w:rPr>
                <w:spacing w:val="-2"/>
                <w:sz w:val="21"/>
              </w:rPr>
              <w:t>自本合同生效</w:t>
            </w:r>
            <w:r>
              <w:rPr>
                <w:spacing w:val="-3"/>
                <w:sz w:val="21"/>
              </w:rPr>
              <w:t>（或最后复效</w:t>
            </w:r>
            <w:r>
              <w:rPr>
                <w:sz w:val="21"/>
              </w:rPr>
              <w:t>）</w:t>
            </w:r>
            <w:r>
              <w:rPr>
                <w:spacing w:val="1"/>
                <w:sz w:val="21"/>
              </w:rPr>
              <w:t>之日起 </w:t>
            </w:r>
            <w:r>
              <w:rPr>
                <w:sz w:val="21"/>
              </w:rPr>
              <w:t>180</w:t>
            </w:r>
            <w:r>
              <w:rPr>
                <w:spacing w:val="-3"/>
                <w:sz w:val="21"/>
              </w:rPr>
              <w:t> 天内，被保险人发生下列情形之一的：</w:t>
            </w:r>
          </w:p>
          <w:p>
            <w:pPr>
              <w:pStyle w:val="TableParagraph"/>
              <w:spacing w:line="280" w:lineRule="auto" w:before="43"/>
              <w:ind w:left="80" w:right="102"/>
              <w:jc w:val="both"/>
              <w:rPr>
                <w:sz w:val="21"/>
              </w:rPr>
            </w:pPr>
            <w:r>
              <w:rPr>
                <w:spacing w:val="1"/>
                <w:w w:val="100"/>
                <w:sz w:val="21"/>
              </w:rPr>
              <w:t>（一</w:t>
            </w:r>
            <w:r>
              <w:rPr>
                <w:spacing w:val="-104"/>
                <w:w w:val="100"/>
                <w:sz w:val="21"/>
              </w:rPr>
              <w:t>）</w:t>
            </w:r>
            <w:r>
              <w:rPr>
                <w:spacing w:val="-24"/>
                <w:w w:val="100"/>
                <w:sz w:val="21"/>
              </w:rPr>
              <w:t>“轻症重疾”、“重大疾病”或“身故”；</w:t>
            </w:r>
            <w:r>
              <w:rPr>
                <w:w w:val="100"/>
                <w:sz w:val="21"/>
              </w:rPr>
              <w:t>（</w:t>
            </w:r>
            <w:r>
              <w:rPr>
                <w:spacing w:val="1"/>
                <w:w w:val="100"/>
                <w:sz w:val="21"/>
              </w:rPr>
              <w:t>二</w:t>
            </w:r>
            <w:r>
              <w:rPr>
                <w:w w:val="100"/>
                <w:sz w:val="21"/>
              </w:rPr>
              <w:t>）因导致“轻症重疾”或“重</w:t>
            </w:r>
            <w:r>
              <w:rPr>
                <w:spacing w:val="-4"/>
                <w:sz w:val="21"/>
              </w:rPr>
              <w:t>大疾病”的相关疾病就诊，我们不承担保险责任，本合同效力终止，我们将无息</w:t>
            </w:r>
            <w:r>
              <w:rPr>
                <w:spacing w:val="-12"/>
                <w:sz w:val="21"/>
              </w:rPr>
              <w:t>退还本合同已交的保险费。这 </w:t>
            </w:r>
            <w:r>
              <w:rPr>
                <w:sz w:val="21"/>
              </w:rPr>
              <w:t>180</w:t>
            </w:r>
            <w:r>
              <w:rPr>
                <w:spacing w:val="-13"/>
                <w:sz w:val="21"/>
              </w:rPr>
              <w:t> 天的时间称为等待期；被保险人因</w:t>
            </w:r>
            <w:r>
              <w:rPr>
                <w:b/>
                <w:spacing w:val="-19"/>
                <w:sz w:val="21"/>
              </w:rPr>
              <w:t>意外伤害</w:t>
            </w:r>
            <w:r>
              <w:rPr>
                <w:spacing w:val="-3"/>
                <w:sz w:val="21"/>
              </w:rPr>
              <w:t>（见</w:t>
            </w:r>
          </w:p>
          <w:p>
            <w:pPr>
              <w:pStyle w:val="TableParagraph"/>
              <w:spacing w:before="8"/>
              <w:ind w:left="80"/>
              <w:rPr>
                <w:sz w:val="21"/>
              </w:rPr>
            </w:pPr>
            <w:r>
              <w:rPr>
                <w:sz w:val="21"/>
              </w:rPr>
              <w:t>11.5）发生上述两项情形之一的，无等待期。</w:t>
            </w:r>
          </w:p>
          <w:p>
            <w:pPr>
              <w:pStyle w:val="TableParagraph"/>
              <w:spacing w:line="320" w:lineRule="atLeast" w:before="1"/>
              <w:ind w:left="80" w:right="111"/>
              <w:rPr>
                <w:sz w:val="21"/>
              </w:rPr>
            </w:pPr>
            <w:r>
              <w:rPr>
                <w:sz w:val="21"/>
              </w:rPr>
              <w:t>被保险人因意外伤害或于等待期后发生保险事故，我们按照下列方式给付保险金:</w:t>
            </w:r>
          </w:p>
        </w:tc>
      </w:tr>
    </w:tbl>
    <w:p>
      <w:pPr>
        <w:spacing w:after="0" w:line="320" w:lineRule="atLeast"/>
        <w:rPr>
          <w:sz w:val="21"/>
        </w:rPr>
        <w:sectPr>
          <w:headerReference w:type="default" r:id="rId6"/>
          <w:pgSz w:w="11910" w:h="16840"/>
          <w:pgMar w:header="568" w:footer="0" w:top="800" w:bottom="280" w:left="800" w:right="7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2"/>
      </w:tblGrid>
      <w:tr>
        <w:trPr>
          <w:trHeight w:val="1358" w:hRule="atLeast"/>
        </w:trPr>
        <w:tc>
          <w:tcPr>
            <w:tcW w:w="1045" w:type="dxa"/>
          </w:tcPr>
          <w:p>
            <w:pPr>
              <w:pStyle w:val="TableParagraph"/>
              <w:spacing w:line="222" w:lineRule="exact"/>
              <w:ind w:left="200"/>
              <w:rPr>
                <w:i/>
                <w:sz w:val="22"/>
              </w:rPr>
            </w:pPr>
            <w:r>
              <w:rPr>
                <w:i/>
                <w:sz w:val="22"/>
              </w:rPr>
              <w:t>2.4.1</w:t>
            </w:r>
          </w:p>
        </w:tc>
        <w:tc>
          <w:tcPr>
            <w:tcW w:w="1706" w:type="dxa"/>
          </w:tcPr>
          <w:p>
            <w:pPr>
              <w:pStyle w:val="TableParagraph"/>
              <w:spacing w:line="222" w:lineRule="exact"/>
              <w:ind w:left="316"/>
              <w:rPr>
                <w:i/>
                <w:sz w:val="22"/>
              </w:rPr>
            </w:pPr>
            <w:r>
              <w:rPr>
                <w:i/>
                <w:w w:val="95"/>
                <w:sz w:val="22"/>
              </w:rPr>
              <w:t>轻症重疾保</w:t>
            </w:r>
            <w:r>
              <w:rPr>
                <w:i/>
                <w:sz w:val="22"/>
              </w:rPr>
              <w:t> </w:t>
            </w:r>
          </w:p>
          <w:p>
            <w:pPr>
              <w:pStyle w:val="TableParagraph"/>
              <w:spacing w:before="24"/>
              <w:ind w:left="316"/>
              <w:rPr>
                <w:i/>
                <w:sz w:val="22"/>
              </w:rPr>
            </w:pPr>
            <w:r>
              <w:rPr>
                <w:i/>
                <w:w w:val="95"/>
                <w:sz w:val="22"/>
              </w:rPr>
              <w:t>险金</w:t>
            </w:r>
          </w:p>
        </w:tc>
        <w:tc>
          <w:tcPr>
            <w:tcW w:w="7732" w:type="dxa"/>
          </w:tcPr>
          <w:p>
            <w:pPr>
              <w:pStyle w:val="TableParagraph"/>
              <w:spacing w:line="221" w:lineRule="exact"/>
              <w:rPr>
                <w:b/>
                <w:sz w:val="21"/>
              </w:rPr>
            </w:pPr>
            <w:r>
              <w:rPr>
                <w:sz w:val="21"/>
              </w:rPr>
              <w:t>若被保险人在确诊首次患本合同约定的重大疾病（无论一种或多种）前，经</w:t>
            </w:r>
            <w:r>
              <w:rPr>
                <w:b/>
                <w:sz w:val="21"/>
              </w:rPr>
              <w:t>我们</w:t>
            </w:r>
          </w:p>
          <w:p>
            <w:pPr>
              <w:pStyle w:val="TableParagraph"/>
              <w:spacing w:before="37"/>
              <w:rPr>
                <w:sz w:val="21"/>
              </w:rPr>
            </w:pPr>
            <w:r>
              <w:rPr>
                <w:b/>
                <w:sz w:val="21"/>
              </w:rPr>
              <w:t>认可的医院</w:t>
            </w:r>
            <w:r>
              <w:rPr>
                <w:sz w:val="21"/>
              </w:rPr>
              <w:t>（见 11.6）</w:t>
            </w:r>
            <w:r>
              <w:rPr>
                <w:b/>
                <w:sz w:val="21"/>
              </w:rPr>
              <w:t>专科医生</w:t>
            </w:r>
            <w:r>
              <w:rPr>
                <w:sz w:val="21"/>
              </w:rPr>
              <w:t>（见 11.7）确诊首次患本合同约定的轻症重疾</w:t>
            </w:r>
          </w:p>
          <w:p>
            <w:pPr>
              <w:pStyle w:val="TableParagraph"/>
              <w:spacing w:line="273" w:lineRule="auto" w:before="37"/>
              <w:ind w:right="302"/>
              <w:rPr>
                <w:sz w:val="21"/>
              </w:rPr>
            </w:pPr>
            <w:r>
              <w:rPr>
                <w:spacing w:val="1"/>
                <w:w w:val="100"/>
                <w:sz w:val="21"/>
              </w:rPr>
              <w:t>（</w:t>
            </w:r>
            <w:r>
              <w:rPr>
                <w:w w:val="100"/>
                <w:sz w:val="21"/>
              </w:rPr>
              <w:t>无论一种或多种</w:t>
            </w:r>
            <w:r>
              <w:rPr>
                <w:spacing w:val="-104"/>
                <w:w w:val="100"/>
                <w:sz w:val="21"/>
              </w:rPr>
              <w:t>）</w:t>
            </w:r>
            <w:r>
              <w:rPr>
                <w:w w:val="100"/>
                <w:sz w:val="21"/>
              </w:rPr>
              <w:t>，本轻症重疾保险金责任终止，我们按照本合同基本保险金</w:t>
            </w:r>
            <w:r>
              <w:rPr>
                <w:spacing w:val="-14"/>
                <w:sz w:val="21"/>
              </w:rPr>
              <w:t>额的 </w:t>
            </w:r>
            <w:r>
              <w:rPr>
                <w:sz w:val="21"/>
              </w:rPr>
              <w:t>20</w:t>
            </w:r>
            <w:r>
              <w:rPr>
                <w:spacing w:val="-3"/>
                <w:sz w:val="21"/>
              </w:rPr>
              <w:t>%给付轻症重疾保险金。</w:t>
            </w:r>
          </w:p>
        </w:tc>
      </w:tr>
      <w:tr>
        <w:trPr>
          <w:trHeight w:val="890" w:hRule="atLeast"/>
        </w:trPr>
        <w:tc>
          <w:tcPr>
            <w:tcW w:w="1045" w:type="dxa"/>
          </w:tcPr>
          <w:p>
            <w:pPr>
              <w:pStyle w:val="TableParagraph"/>
              <w:spacing w:before="136"/>
              <w:ind w:left="200"/>
              <w:rPr>
                <w:i/>
                <w:sz w:val="22"/>
              </w:rPr>
            </w:pPr>
            <w:r>
              <w:rPr>
                <w:i/>
                <w:sz w:val="22"/>
              </w:rPr>
              <w:t>2.4.2</w:t>
            </w:r>
          </w:p>
        </w:tc>
        <w:tc>
          <w:tcPr>
            <w:tcW w:w="1706" w:type="dxa"/>
          </w:tcPr>
          <w:p>
            <w:pPr>
              <w:pStyle w:val="TableParagraph"/>
              <w:spacing w:line="259" w:lineRule="auto" w:before="136"/>
              <w:ind w:left="316" w:right="80"/>
              <w:rPr>
                <w:i/>
                <w:sz w:val="22"/>
              </w:rPr>
            </w:pPr>
            <w:r>
              <w:rPr>
                <w:i/>
                <w:w w:val="95"/>
                <w:sz w:val="22"/>
              </w:rPr>
              <w:t>重大疾病保险金</w:t>
            </w:r>
          </w:p>
        </w:tc>
        <w:tc>
          <w:tcPr>
            <w:tcW w:w="7732" w:type="dxa"/>
          </w:tcPr>
          <w:p>
            <w:pPr>
              <w:pStyle w:val="TableParagraph"/>
              <w:spacing w:line="273" w:lineRule="auto" w:before="147"/>
              <w:ind w:right="196"/>
              <w:rPr>
                <w:sz w:val="21"/>
              </w:rPr>
            </w:pPr>
            <w:r>
              <w:rPr>
                <w:spacing w:val="-4"/>
                <w:sz w:val="21"/>
              </w:rPr>
              <w:t>若被保险人经我们认可的医院专科医生确诊首次患本合同约定的重大疾病</w:t>
            </w:r>
            <w:r>
              <w:rPr>
                <w:spacing w:val="-3"/>
                <w:sz w:val="21"/>
              </w:rPr>
              <w:t>（</w:t>
            </w:r>
            <w:r>
              <w:rPr>
                <w:sz w:val="21"/>
              </w:rPr>
              <w:t>无论</w:t>
            </w:r>
            <w:r>
              <w:rPr>
                <w:spacing w:val="-2"/>
                <w:w w:val="100"/>
                <w:sz w:val="21"/>
              </w:rPr>
              <w:t>一种或多种</w:t>
            </w:r>
            <w:r>
              <w:rPr>
                <w:spacing w:val="-106"/>
                <w:w w:val="100"/>
                <w:sz w:val="21"/>
              </w:rPr>
              <w:t>）</w:t>
            </w:r>
            <w:r>
              <w:rPr>
                <w:spacing w:val="-4"/>
                <w:w w:val="100"/>
                <w:sz w:val="21"/>
              </w:rPr>
              <w:t>，本合同终止，我们按照本合同基本保险金额给付重大疾病保险金。</w:t>
            </w:r>
          </w:p>
        </w:tc>
      </w:tr>
      <w:tr>
        <w:trPr>
          <w:trHeight w:val="1442" w:hRule="atLeast"/>
        </w:trPr>
        <w:tc>
          <w:tcPr>
            <w:tcW w:w="1045" w:type="dxa"/>
          </w:tcPr>
          <w:p>
            <w:pPr>
              <w:pStyle w:val="TableParagraph"/>
              <w:spacing w:before="88"/>
              <w:ind w:left="200"/>
              <w:rPr>
                <w:i/>
                <w:sz w:val="22"/>
              </w:rPr>
            </w:pPr>
            <w:r>
              <w:rPr>
                <w:i/>
                <w:sz w:val="22"/>
              </w:rPr>
              <w:t>2.4.3</w:t>
            </w:r>
          </w:p>
        </w:tc>
        <w:tc>
          <w:tcPr>
            <w:tcW w:w="1706" w:type="dxa"/>
          </w:tcPr>
          <w:p>
            <w:pPr>
              <w:pStyle w:val="TableParagraph"/>
              <w:spacing w:before="88"/>
              <w:ind w:left="316"/>
              <w:rPr>
                <w:i/>
                <w:sz w:val="22"/>
              </w:rPr>
            </w:pPr>
            <w:r>
              <w:rPr>
                <w:i/>
                <w:w w:val="95"/>
                <w:sz w:val="22"/>
              </w:rPr>
              <w:t>身故保险金</w:t>
            </w:r>
          </w:p>
        </w:tc>
        <w:tc>
          <w:tcPr>
            <w:tcW w:w="7732" w:type="dxa"/>
          </w:tcPr>
          <w:p>
            <w:pPr>
              <w:pStyle w:val="TableParagraph"/>
              <w:spacing w:before="100"/>
              <w:rPr>
                <w:sz w:val="21"/>
              </w:rPr>
            </w:pPr>
            <w:r>
              <w:rPr>
                <w:sz w:val="21"/>
              </w:rPr>
              <w:t>若被保险人身故，本合同终止，我们按照如下方式给付身故保险金：</w:t>
            </w:r>
          </w:p>
          <w:p>
            <w:pPr>
              <w:pStyle w:val="TableParagraph"/>
              <w:spacing w:before="37"/>
              <w:rPr>
                <w:sz w:val="21"/>
              </w:rPr>
            </w:pPr>
            <w:r>
              <w:rPr>
                <w:w w:val="100"/>
                <w:sz w:val="21"/>
              </w:rPr>
              <w:t>1、</w:t>
            </w:r>
            <w:r>
              <w:rPr>
                <w:spacing w:val="-62"/>
                <w:sz w:val="21"/>
              </w:rPr>
              <w:t> </w:t>
            </w:r>
            <w:r>
              <w:rPr>
                <w:spacing w:val="-3"/>
                <w:w w:val="100"/>
                <w:sz w:val="21"/>
              </w:rPr>
              <w:t>若被保险人身故时未满</w:t>
            </w:r>
            <w:r>
              <w:rPr>
                <w:spacing w:val="-53"/>
                <w:sz w:val="21"/>
              </w:rPr>
              <w:t> </w:t>
            </w:r>
            <w:r>
              <w:rPr>
                <w:spacing w:val="-3"/>
                <w:w w:val="100"/>
                <w:sz w:val="21"/>
              </w:rPr>
              <w:t>1</w:t>
            </w:r>
            <w:r>
              <w:rPr>
                <w:w w:val="100"/>
                <w:sz w:val="21"/>
              </w:rPr>
              <w:t>8</w:t>
            </w:r>
            <w:r>
              <w:rPr>
                <w:spacing w:val="-55"/>
                <w:sz w:val="21"/>
              </w:rPr>
              <w:t> </w:t>
            </w:r>
            <w:r>
              <w:rPr>
                <w:b/>
                <w:spacing w:val="-27"/>
                <w:w w:val="100"/>
                <w:sz w:val="21"/>
              </w:rPr>
              <w:t>周岁</w:t>
            </w:r>
            <w:r>
              <w:rPr>
                <w:spacing w:val="-3"/>
                <w:w w:val="100"/>
                <w:sz w:val="21"/>
              </w:rPr>
              <w:t>（</w:t>
            </w:r>
            <w:r>
              <w:rPr>
                <w:w w:val="100"/>
                <w:sz w:val="21"/>
              </w:rPr>
              <w:t>见</w:t>
            </w:r>
            <w:r>
              <w:rPr>
                <w:spacing w:val="-53"/>
                <w:sz w:val="21"/>
              </w:rPr>
              <w:t> </w:t>
            </w:r>
            <w:r>
              <w:rPr>
                <w:w w:val="100"/>
                <w:sz w:val="21"/>
              </w:rPr>
              <w:t>1</w:t>
            </w:r>
            <w:r>
              <w:rPr>
                <w:spacing w:val="-3"/>
                <w:w w:val="100"/>
                <w:sz w:val="21"/>
              </w:rPr>
              <w:t>1</w:t>
            </w:r>
            <w:r>
              <w:rPr>
                <w:spacing w:val="-1"/>
                <w:w w:val="100"/>
                <w:sz w:val="21"/>
              </w:rPr>
              <w:t>.</w:t>
            </w:r>
            <w:r>
              <w:rPr>
                <w:w w:val="100"/>
                <w:sz w:val="21"/>
              </w:rPr>
              <w:t>8</w:t>
            </w:r>
            <w:r>
              <w:rPr>
                <w:spacing w:val="-105"/>
                <w:w w:val="100"/>
                <w:sz w:val="21"/>
              </w:rPr>
              <w:t>）</w:t>
            </w:r>
            <w:r>
              <w:rPr>
                <w:spacing w:val="-9"/>
                <w:w w:val="100"/>
                <w:sz w:val="21"/>
              </w:rPr>
              <w:t>，我们无息退还本合同已交保险费。</w:t>
            </w:r>
          </w:p>
          <w:p>
            <w:pPr>
              <w:pStyle w:val="TableParagraph"/>
              <w:spacing w:line="273" w:lineRule="auto" w:before="37"/>
              <w:ind w:left="442" w:right="301" w:hanging="360"/>
              <w:rPr>
                <w:sz w:val="21"/>
              </w:rPr>
            </w:pPr>
            <w:r>
              <w:rPr>
                <w:sz w:val="21"/>
              </w:rPr>
              <w:t>2</w:t>
            </w:r>
            <w:r>
              <w:rPr>
                <w:spacing w:val="-11"/>
                <w:sz w:val="21"/>
              </w:rPr>
              <w:t>、 若被保险人身故时已满 </w:t>
            </w:r>
            <w:r>
              <w:rPr>
                <w:sz w:val="21"/>
              </w:rPr>
              <w:t>18</w:t>
            </w:r>
            <w:r>
              <w:rPr>
                <w:spacing w:val="-12"/>
                <w:sz w:val="21"/>
              </w:rPr>
              <w:t> 周岁，我们按照本合同基本保险金额给付身故保险金。</w:t>
            </w:r>
          </w:p>
        </w:tc>
      </w:tr>
      <w:tr>
        <w:trPr>
          <w:trHeight w:val="841" w:hRule="atLeast"/>
        </w:trPr>
        <w:tc>
          <w:tcPr>
            <w:tcW w:w="1045" w:type="dxa"/>
          </w:tcPr>
          <w:p>
            <w:pPr>
              <w:pStyle w:val="TableParagraph"/>
              <w:spacing w:before="66"/>
              <w:ind w:left="200"/>
              <w:rPr>
                <w:i/>
                <w:sz w:val="22"/>
              </w:rPr>
            </w:pPr>
            <w:r>
              <w:rPr>
                <w:i/>
                <w:sz w:val="22"/>
              </w:rPr>
              <w:t>2.4.4</w:t>
            </w:r>
          </w:p>
        </w:tc>
        <w:tc>
          <w:tcPr>
            <w:tcW w:w="1706" w:type="dxa"/>
          </w:tcPr>
          <w:p>
            <w:pPr>
              <w:pStyle w:val="TableParagraph"/>
              <w:spacing w:line="259" w:lineRule="auto" w:before="66"/>
              <w:ind w:left="316" w:right="80"/>
              <w:rPr>
                <w:i/>
                <w:sz w:val="22"/>
              </w:rPr>
            </w:pPr>
            <w:r>
              <w:rPr>
                <w:i/>
                <w:w w:val="95"/>
                <w:sz w:val="22"/>
              </w:rPr>
              <w:t>保险金给付限额</w:t>
            </w:r>
          </w:p>
        </w:tc>
        <w:tc>
          <w:tcPr>
            <w:tcW w:w="7732" w:type="dxa"/>
          </w:tcPr>
          <w:p>
            <w:pPr>
              <w:pStyle w:val="TableParagraph"/>
              <w:spacing w:before="78"/>
              <w:rPr>
                <w:sz w:val="21"/>
              </w:rPr>
            </w:pPr>
            <w:r>
              <w:rPr>
                <w:sz w:val="21"/>
              </w:rPr>
              <w:t>本合同的“重大疾病保险金”和“身故保险金”仅给付一项，并以一次为限。</w:t>
            </w:r>
          </w:p>
        </w:tc>
      </w:tr>
      <w:tr>
        <w:trPr>
          <w:trHeight w:val="1468" w:hRule="atLeast"/>
        </w:trPr>
        <w:tc>
          <w:tcPr>
            <w:tcW w:w="1045" w:type="dxa"/>
          </w:tcPr>
          <w:p>
            <w:pPr>
              <w:pStyle w:val="TableParagraph"/>
              <w:spacing w:before="111"/>
              <w:ind w:left="200"/>
              <w:rPr>
                <w:b/>
                <w:sz w:val="21"/>
              </w:rPr>
            </w:pPr>
            <w:r>
              <w:rPr>
                <w:b/>
                <w:sz w:val="21"/>
              </w:rPr>
              <w:t>2.5</w:t>
            </w:r>
          </w:p>
        </w:tc>
        <w:tc>
          <w:tcPr>
            <w:tcW w:w="1706" w:type="dxa"/>
          </w:tcPr>
          <w:p>
            <w:pPr>
              <w:pStyle w:val="TableParagraph"/>
              <w:spacing w:line="273" w:lineRule="auto" w:before="111"/>
              <w:ind w:left="316" w:right="80"/>
              <w:rPr>
                <w:b/>
                <w:sz w:val="21"/>
              </w:rPr>
            </w:pPr>
            <w:r>
              <w:rPr>
                <w:b/>
                <w:sz w:val="21"/>
              </w:rPr>
              <w:t>年金转换选择权</w:t>
            </w:r>
          </w:p>
        </w:tc>
        <w:tc>
          <w:tcPr>
            <w:tcW w:w="7732" w:type="dxa"/>
          </w:tcPr>
          <w:p>
            <w:pPr>
              <w:pStyle w:val="TableParagraph"/>
              <w:spacing w:line="273" w:lineRule="auto" w:before="111"/>
              <w:ind w:right="299"/>
              <w:jc w:val="both"/>
              <w:rPr>
                <w:sz w:val="21"/>
              </w:rPr>
            </w:pPr>
            <w:r>
              <w:rPr>
                <w:spacing w:val="-9"/>
                <w:sz w:val="21"/>
              </w:rPr>
              <w:t>被保险人年满 </w:t>
            </w:r>
            <w:r>
              <w:rPr>
                <w:sz w:val="21"/>
              </w:rPr>
              <w:t>60</w:t>
            </w:r>
            <w:r>
              <w:rPr>
                <w:spacing w:val="-10"/>
                <w:sz w:val="21"/>
              </w:rPr>
              <w:t> 周岁后的首个保单周年日至被保险人年满 </w:t>
            </w:r>
            <w:r>
              <w:rPr>
                <w:sz w:val="21"/>
              </w:rPr>
              <w:t>70</w:t>
            </w:r>
            <w:r>
              <w:rPr>
                <w:spacing w:val="-8"/>
                <w:sz w:val="21"/>
              </w:rPr>
              <w:t> 周岁后的首个保单</w:t>
            </w:r>
            <w:r>
              <w:rPr>
                <w:spacing w:val="-7"/>
                <w:sz w:val="21"/>
              </w:rPr>
              <w:t>周年日期间，若本合同交费期间已满且各期保险费均已交纳，您可以申请年金转</w:t>
            </w:r>
            <w:r>
              <w:rPr>
                <w:spacing w:val="-5"/>
                <w:sz w:val="21"/>
              </w:rPr>
              <w:t>换，经我们审核同意后，可将本合同申请时的全部现金价值按照我们当时所提供</w:t>
            </w:r>
            <w:r>
              <w:rPr>
                <w:spacing w:val="-4"/>
                <w:sz w:val="21"/>
              </w:rPr>
              <w:t>的年金领取方式转换为年金产品，转换后本合同终止。</w:t>
            </w:r>
          </w:p>
        </w:tc>
      </w:tr>
      <w:tr>
        <w:trPr>
          <w:trHeight w:val="5040" w:hRule="atLeast"/>
        </w:trPr>
        <w:tc>
          <w:tcPr>
            <w:tcW w:w="1045" w:type="dxa"/>
          </w:tcPr>
          <w:p>
            <w:pPr>
              <w:pStyle w:val="TableParagraph"/>
              <w:spacing w:before="82"/>
              <w:ind w:left="200"/>
              <w:rPr>
                <w:b/>
                <w:sz w:val="21"/>
              </w:rPr>
            </w:pPr>
            <w:r>
              <w:rPr>
                <w:b/>
                <w:sz w:val="21"/>
              </w:rPr>
              <w:t>2.6</w:t>
            </w:r>
          </w:p>
        </w:tc>
        <w:tc>
          <w:tcPr>
            <w:tcW w:w="1706" w:type="dxa"/>
          </w:tcPr>
          <w:p>
            <w:pPr>
              <w:pStyle w:val="TableParagraph"/>
              <w:spacing w:before="82"/>
              <w:ind w:left="316"/>
              <w:rPr>
                <w:b/>
                <w:sz w:val="21"/>
              </w:rPr>
            </w:pPr>
            <w:r>
              <w:rPr>
                <w:b/>
                <w:sz w:val="21"/>
              </w:rPr>
              <w:t>责任免除</w:t>
            </w:r>
          </w:p>
        </w:tc>
        <w:tc>
          <w:tcPr>
            <w:tcW w:w="7732" w:type="dxa"/>
          </w:tcPr>
          <w:p>
            <w:pPr>
              <w:pStyle w:val="TableParagraph"/>
              <w:spacing w:line="278" w:lineRule="auto" w:before="106"/>
              <w:ind w:right="299"/>
              <w:rPr>
                <w:rFonts w:ascii="黑体" w:eastAsia="黑体" w:hint="eastAsia"/>
                <w:sz w:val="21"/>
              </w:rPr>
            </w:pPr>
            <w:r>
              <w:rPr>
                <w:rFonts w:ascii="黑体" w:eastAsia="黑体" w:hint="eastAsia"/>
                <w:sz w:val="21"/>
                <w:shd w:fill="D9D9D9" w:color="auto" w:val="clear"/>
              </w:rPr>
              <w:t>因下列情形之一，导致被保险人发Th轻症重疾或重大疾病的，我们不承担给付轻症重疾保险金或重大疾病保险金的责任：</w:t>
            </w:r>
          </w:p>
          <w:p>
            <w:pPr>
              <w:pStyle w:val="TableParagraph"/>
              <w:spacing w:before="12"/>
              <w:rPr>
                <w:rFonts w:ascii="黑体" w:eastAsia="黑体" w:hint="eastAsia"/>
                <w:sz w:val="21"/>
              </w:rPr>
            </w:pPr>
            <w:r>
              <w:rPr>
                <w:rFonts w:ascii="黑体" w:eastAsia="黑体" w:hint="eastAsia"/>
                <w:sz w:val="21"/>
                <w:shd w:fill="D9D9D9" w:color="auto" w:val="clear"/>
              </w:rPr>
              <w:t>（1）投保人对被保险人的故意杀害、故意伤害；</w:t>
            </w:r>
          </w:p>
          <w:p>
            <w:pPr>
              <w:pStyle w:val="TableParagraph"/>
              <w:spacing w:line="274" w:lineRule="exact" w:before="44"/>
              <w:rPr>
                <w:rFonts w:ascii="黑体" w:eastAsia="黑体" w:hint="eastAsia"/>
                <w:sz w:val="21"/>
              </w:rPr>
            </w:pPr>
            <w:r>
              <w:rPr>
                <w:rFonts w:ascii="黑体" w:eastAsia="黑体" w:hint="eastAsia"/>
                <w:sz w:val="21"/>
                <w:shd w:fill="D9D9D9" w:color="auto" w:val="clear"/>
              </w:rPr>
              <w:t>（2）被保险人故意自伤、故意犯罪或抗拒依法采取的刑事强制措施；</w:t>
            </w:r>
          </w:p>
          <w:p>
            <w:pPr>
              <w:pStyle w:val="TableParagraph"/>
              <w:spacing w:line="274" w:lineRule="exact"/>
              <w:rPr>
                <w:rFonts w:ascii="黑体" w:eastAsia="黑体" w:hint="eastAsia"/>
                <w:sz w:val="21"/>
              </w:rPr>
            </w:pPr>
            <w:r>
              <w:rPr>
                <w:rFonts w:ascii="黑体" w:eastAsia="黑体" w:hint="eastAsia"/>
                <w:w w:val="100"/>
                <w:sz w:val="21"/>
                <w:shd w:fill="D9D9D9" w:color="auto" w:val="clear"/>
              </w:rPr>
              <w:t>（3</w:t>
            </w:r>
            <w:r>
              <w:rPr>
                <w:rFonts w:ascii="黑体" w:eastAsia="黑体" w:hint="eastAsia"/>
                <w:spacing w:val="-3"/>
                <w:w w:val="100"/>
                <w:sz w:val="21"/>
                <w:shd w:fill="D9D9D9" w:color="auto" w:val="clear"/>
              </w:rPr>
              <w:t>）被保险人主动吸食或注射</w:t>
            </w:r>
            <w:r>
              <w:rPr>
                <w:rFonts w:ascii="黑体" w:eastAsia="黑体" w:hint="eastAsia"/>
                <w:b/>
                <w:w w:val="100"/>
                <w:sz w:val="21"/>
                <w:shd w:fill="D9D9D9" w:color="auto" w:val="clear"/>
              </w:rPr>
              <w:t>毒品</w:t>
            </w:r>
            <w:r>
              <w:rPr>
                <w:rFonts w:ascii="黑体" w:eastAsia="黑体" w:hint="eastAsia"/>
                <w:w w:val="100"/>
                <w:sz w:val="21"/>
                <w:shd w:fill="D9D9D9" w:color="auto" w:val="clear"/>
              </w:rPr>
              <w:t>（见</w:t>
            </w:r>
            <w:r>
              <w:rPr>
                <w:rFonts w:ascii="黑体" w:eastAsia="黑体" w:hint="eastAsia"/>
                <w:spacing w:val="-55"/>
                <w:sz w:val="21"/>
                <w:shd w:fill="D9D9D9" w:color="auto" w:val="clear"/>
              </w:rPr>
              <w:t> </w:t>
            </w:r>
            <w:r>
              <w:rPr>
                <w:rFonts w:ascii="黑体" w:eastAsia="黑体" w:hint="eastAsia"/>
                <w:w w:val="100"/>
                <w:sz w:val="21"/>
                <w:shd w:fill="D9D9D9" w:color="auto" w:val="clear"/>
              </w:rPr>
              <w:t>11.</w:t>
            </w:r>
            <w:r>
              <w:rPr>
                <w:rFonts w:ascii="黑体" w:eastAsia="黑体" w:hint="eastAsia"/>
                <w:spacing w:val="-2"/>
                <w:w w:val="100"/>
                <w:sz w:val="21"/>
                <w:shd w:fill="D9D9D9" w:color="auto" w:val="clear"/>
              </w:rPr>
              <w:t>9</w:t>
            </w:r>
            <w:r>
              <w:rPr>
                <w:rFonts w:ascii="黑体" w:eastAsia="黑体" w:hint="eastAsia"/>
                <w:spacing w:val="-106"/>
                <w:w w:val="100"/>
                <w:sz w:val="21"/>
                <w:shd w:fill="D9D9D9" w:color="auto" w:val="clear"/>
              </w:rPr>
              <w:t>）</w:t>
            </w:r>
            <w:r>
              <w:rPr>
                <w:rFonts w:ascii="黑体" w:eastAsia="黑体" w:hint="eastAsia"/>
                <w:w w:val="100"/>
                <w:sz w:val="21"/>
                <w:shd w:fill="D9D9D9" w:color="auto" w:val="clear"/>
              </w:rPr>
              <w:t>；</w:t>
            </w:r>
          </w:p>
          <w:p>
            <w:pPr>
              <w:pStyle w:val="TableParagraph"/>
              <w:spacing w:line="237" w:lineRule="auto" w:before="2"/>
              <w:ind w:right="304"/>
              <w:rPr>
                <w:rFonts w:ascii="黑体" w:eastAsia="黑体" w:hint="eastAsia"/>
                <w:sz w:val="21"/>
              </w:rPr>
            </w:pPr>
            <w:r>
              <w:rPr>
                <w:rFonts w:ascii="黑体" w:eastAsia="黑体" w:hint="eastAsia"/>
                <w:w w:val="100"/>
                <w:sz w:val="21"/>
                <w:shd w:fill="D9D9D9" w:color="auto" w:val="clear"/>
              </w:rPr>
              <w:t>（4</w:t>
            </w:r>
            <w:r>
              <w:rPr>
                <w:rFonts w:ascii="黑体" w:eastAsia="黑体" w:hint="eastAsia"/>
                <w:spacing w:val="-5"/>
                <w:w w:val="100"/>
                <w:sz w:val="21"/>
                <w:shd w:fill="D9D9D9" w:color="auto" w:val="clear"/>
              </w:rPr>
              <w:t>）</w:t>
            </w:r>
            <w:r>
              <w:rPr>
                <w:rFonts w:ascii="黑体" w:eastAsia="黑体" w:hint="eastAsia"/>
                <w:spacing w:val="-3"/>
                <w:w w:val="100"/>
                <w:sz w:val="21"/>
                <w:shd w:fill="D9D9D9" w:color="auto" w:val="clear"/>
              </w:rPr>
              <w:t>被保险人</w:t>
            </w:r>
            <w:r>
              <w:rPr>
                <w:rFonts w:ascii="黑体" w:eastAsia="黑体" w:hint="eastAsia"/>
                <w:b/>
                <w:spacing w:val="-2"/>
                <w:w w:val="100"/>
                <w:sz w:val="21"/>
                <w:shd w:fill="D9D9D9" w:color="auto" w:val="clear"/>
              </w:rPr>
              <w:t>酒后驾驶</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3"/>
                <w:sz w:val="21"/>
                <w:shd w:fill="D9D9D9" w:color="auto" w:val="clear"/>
              </w:rPr>
              <w:t> </w:t>
            </w:r>
            <w:r>
              <w:rPr>
                <w:rFonts w:ascii="黑体" w:eastAsia="黑体" w:hint="eastAsia"/>
                <w:w w:val="100"/>
                <w:sz w:val="21"/>
                <w:shd w:fill="D9D9D9" w:color="auto" w:val="clear"/>
              </w:rPr>
              <w:t>11</w:t>
            </w:r>
            <w:r>
              <w:rPr>
                <w:rFonts w:ascii="黑体" w:eastAsia="黑体" w:hint="eastAsia"/>
                <w:spacing w:val="-3"/>
                <w:w w:val="100"/>
                <w:sz w:val="21"/>
                <w:shd w:fill="D9D9D9" w:color="auto" w:val="clear"/>
              </w:rPr>
              <w:t>.</w:t>
            </w:r>
            <w:r>
              <w:rPr>
                <w:rFonts w:ascii="黑体" w:eastAsia="黑体" w:hint="eastAsia"/>
                <w:w w:val="100"/>
                <w:sz w:val="21"/>
                <w:shd w:fill="D9D9D9" w:color="auto" w:val="clear"/>
              </w:rPr>
              <w:t>10</w:t>
            </w:r>
            <w:r>
              <w:rPr>
                <w:rFonts w:ascii="黑体" w:eastAsia="黑体" w:hint="eastAsia"/>
                <w:spacing w:val="-106"/>
                <w:w w:val="100"/>
                <w:sz w:val="21"/>
                <w:shd w:fill="D9D9D9" w:color="auto" w:val="clear"/>
              </w:rPr>
              <w:t>）</w:t>
            </w:r>
            <w:r>
              <w:rPr>
                <w:rFonts w:ascii="黑体" w:eastAsia="黑体" w:hint="eastAsia"/>
                <w:spacing w:val="-8"/>
                <w:w w:val="100"/>
                <w:sz w:val="21"/>
                <w:shd w:fill="D9D9D9" w:color="auto" w:val="clear"/>
              </w:rPr>
              <w:t>，</w:t>
            </w:r>
            <w:r>
              <w:rPr>
                <w:rFonts w:ascii="黑体" w:eastAsia="黑体" w:hint="eastAsia"/>
                <w:b/>
                <w:spacing w:val="-2"/>
                <w:w w:val="100"/>
                <w:sz w:val="21"/>
                <w:shd w:fill="D9D9D9" w:color="auto" w:val="clear"/>
              </w:rPr>
              <w:t>无合法有效驾驶证驾驶</w:t>
            </w:r>
            <w:r>
              <w:rPr>
                <w:rFonts w:ascii="黑体" w:eastAsia="黑体" w:hint="eastAsia"/>
                <w:w w:val="100"/>
                <w:sz w:val="21"/>
                <w:shd w:fill="D9D9D9" w:color="auto" w:val="clear"/>
              </w:rPr>
              <w:t>（见</w:t>
            </w:r>
            <w:r>
              <w:rPr>
                <w:rFonts w:ascii="黑体" w:eastAsia="黑体" w:hint="eastAsia"/>
                <w:spacing w:val="-55"/>
                <w:sz w:val="21"/>
                <w:shd w:fill="D9D9D9" w:color="auto" w:val="clear"/>
              </w:rPr>
              <w:t> </w:t>
            </w:r>
            <w:r>
              <w:rPr>
                <w:rFonts w:ascii="黑体" w:eastAsia="黑体" w:hint="eastAsia"/>
                <w:w w:val="100"/>
                <w:sz w:val="21"/>
                <w:shd w:fill="D9D9D9" w:color="auto" w:val="clear"/>
              </w:rPr>
              <w:t>11.</w:t>
            </w:r>
            <w:r>
              <w:rPr>
                <w:rFonts w:ascii="黑体" w:eastAsia="黑体" w:hint="eastAsia"/>
                <w:spacing w:val="-2"/>
                <w:w w:val="100"/>
                <w:sz w:val="21"/>
                <w:shd w:fill="D9D9D9" w:color="auto" w:val="clear"/>
              </w:rPr>
              <w:t>1</w:t>
            </w:r>
            <w:r>
              <w:rPr>
                <w:rFonts w:ascii="黑体" w:eastAsia="黑体" w:hint="eastAsia"/>
                <w:w w:val="100"/>
                <w:sz w:val="21"/>
                <w:shd w:fill="D9D9D9" w:color="auto" w:val="clear"/>
              </w:rPr>
              <w:t>1</w:t>
            </w:r>
            <w:r>
              <w:rPr>
                <w:rFonts w:ascii="黑体" w:eastAsia="黑体" w:hint="eastAsia"/>
                <w:spacing w:val="-106"/>
                <w:w w:val="100"/>
                <w:sz w:val="21"/>
                <w:shd w:fill="D9D9D9" w:color="auto" w:val="clear"/>
              </w:rPr>
              <w:t>）</w:t>
            </w:r>
            <w:r>
              <w:rPr>
                <w:rFonts w:ascii="黑体" w:eastAsia="黑体" w:hint="eastAsia"/>
                <w:spacing w:val="-4"/>
                <w:w w:val="100"/>
                <w:sz w:val="21"/>
                <w:shd w:fill="D9D9D9" w:color="auto" w:val="clear"/>
              </w:rPr>
              <w:t>，或驾</w:t>
            </w:r>
            <w:r>
              <w:rPr>
                <w:rFonts w:ascii="黑体" w:eastAsia="黑体" w:hint="eastAsia"/>
                <w:spacing w:val="-3"/>
                <w:w w:val="100"/>
                <w:sz w:val="21"/>
                <w:shd w:fill="D9D9D9" w:color="auto" w:val="clear"/>
              </w:rPr>
              <w:t>驶</w:t>
            </w:r>
            <w:r>
              <w:rPr>
                <w:rFonts w:ascii="黑体" w:eastAsia="黑体" w:hint="eastAsia"/>
                <w:b/>
                <w:w w:val="100"/>
                <w:sz w:val="21"/>
                <w:shd w:fill="D9D9D9" w:color="auto" w:val="clear"/>
              </w:rPr>
              <w:t>无有效行驶证</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2"/>
                <w:sz w:val="21"/>
                <w:shd w:fill="D9D9D9" w:color="auto" w:val="clear"/>
              </w:rPr>
              <w:t> </w:t>
            </w:r>
            <w:r>
              <w:rPr>
                <w:rFonts w:ascii="黑体" w:eastAsia="黑体" w:hint="eastAsia"/>
                <w:w w:val="100"/>
                <w:sz w:val="21"/>
                <w:shd w:fill="D9D9D9" w:color="auto" w:val="clear"/>
              </w:rPr>
              <w:t>11.</w:t>
            </w:r>
            <w:r>
              <w:rPr>
                <w:rFonts w:ascii="黑体" w:eastAsia="黑体" w:hint="eastAsia"/>
                <w:spacing w:val="-3"/>
                <w:w w:val="100"/>
                <w:sz w:val="21"/>
                <w:shd w:fill="D9D9D9" w:color="auto" w:val="clear"/>
              </w:rPr>
              <w:t>1</w:t>
            </w:r>
            <w:r>
              <w:rPr>
                <w:rFonts w:ascii="黑体" w:eastAsia="黑体" w:hint="eastAsia"/>
                <w:w w:val="100"/>
                <w:sz w:val="21"/>
                <w:shd w:fill="D9D9D9" w:color="auto" w:val="clear"/>
              </w:rPr>
              <w:t>2）</w:t>
            </w:r>
            <w:r>
              <w:rPr>
                <w:rFonts w:ascii="黑体" w:eastAsia="黑体" w:hint="eastAsia"/>
                <w:spacing w:val="-3"/>
                <w:w w:val="100"/>
                <w:sz w:val="21"/>
                <w:shd w:fill="D9D9D9" w:color="auto" w:val="clear"/>
              </w:rPr>
              <w:t>的</w:t>
            </w:r>
            <w:r>
              <w:rPr>
                <w:rFonts w:ascii="黑体" w:eastAsia="黑体" w:hint="eastAsia"/>
                <w:b/>
                <w:w w:val="100"/>
                <w:sz w:val="21"/>
                <w:shd w:fill="D9D9D9" w:color="auto" w:val="clear"/>
              </w:rPr>
              <w:t>机动车</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3"/>
                <w:sz w:val="21"/>
                <w:shd w:fill="D9D9D9" w:color="auto" w:val="clear"/>
              </w:rPr>
              <w:t> </w:t>
            </w:r>
            <w:r>
              <w:rPr>
                <w:rFonts w:ascii="黑体" w:eastAsia="黑体" w:hint="eastAsia"/>
                <w:w w:val="100"/>
                <w:sz w:val="21"/>
                <w:shd w:fill="D9D9D9" w:color="auto" w:val="clear"/>
              </w:rPr>
              <w:t>1</w:t>
            </w:r>
            <w:r>
              <w:rPr>
                <w:rFonts w:ascii="黑体" w:eastAsia="黑体" w:hint="eastAsia"/>
                <w:spacing w:val="-3"/>
                <w:w w:val="100"/>
                <w:sz w:val="21"/>
                <w:shd w:fill="D9D9D9" w:color="auto" w:val="clear"/>
              </w:rPr>
              <w:t>1</w:t>
            </w:r>
            <w:r>
              <w:rPr>
                <w:rFonts w:ascii="黑体" w:eastAsia="黑体" w:hint="eastAsia"/>
                <w:w w:val="100"/>
                <w:sz w:val="21"/>
                <w:shd w:fill="D9D9D9" w:color="auto" w:val="clear"/>
              </w:rPr>
              <w:t>.13</w:t>
            </w:r>
            <w:r>
              <w:rPr>
                <w:rFonts w:ascii="黑体" w:eastAsia="黑体" w:hint="eastAsia"/>
                <w:spacing w:val="-108"/>
                <w:w w:val="100"/>
                <w:sz w:val="21"/>
                <w:shd w:fill="D9D9D9" w:color="auto" w:val="clear"/>
              </w:rPr>
              <w:t>）</w:t>
            </w:r>
            <w:r>
              <w:rPr>
                <w:rFonts w:ascii="黑体" w:eastAsia="黑体" w:hint="eastAsia"/>
                <w:w w:val="100"/>
                <w:sz w:val="21"/>
                <w:shd w:fill="D9D9D9" w:color="auto" w:val="clear"/>
              </w:rPr>
              <w:t>；</w:t>
            </w:r>
          </w:p>
          <w:p>
            <w:pPr>
              <w:pStyle w:val="TableParagraph"/>
              <w:spacing w:line="278" w:lineRule="auto" w:before="45"/>
              <w:ind w:right="301"/>
              <w:rPr>
                <w:rFonts w:ascii="黑体" w:eastAsia="黑体" w:hint="eastAsia"/>
                <w:sz w:val="21"/>
              </w:rPr>
            </w:pPr>
            <w:r>
              <w:rPr>
                <w:rFonts w:ascii="黑体" w:eastAsia="黑体" w:hint="eastAsia"/>
                <w:spacing w:val="-7"/>
                <w:sz w:val="21"/>
                <w:shd w:fill="D9D9D9" w:color="auto" w:val="clear"/>
              </w:rPr>
              <w:t>（5）</w:t>
            </w:r>
            <w:r>
              <w:rPr>
                <w:rFonts w:ascii="黑体" w:eastAsia="黑体" w:hint="eastAsia"/>
                <w:spacing w:val="-3"/>
                <w:sz w:val="21"/>
                <w:shd w:fill="D9D9D9" w:color="auto" w:val="clear"/>
              </w:rPr>
              <w:t>被保险人</w:t>
            </w:r>
            <w:r>
              <w:rPr>
                <w:rFonts w:ascii="黑体" w:eastAsia="黑体" w:hint="eastAsia"/>
                <w:b/>
                <w:spacing w:val="-2"/>
                <w:sz w:val="21"/>
                <w:shd w:fill="D9D9D9" w:color="auto" w:val="clear"/>
              </w:rPr>
              <w:t>感染艾滋病病毒或患艾滋病</w:t>
            </w:r>
            <w:r>
              <w:rPr>
                <w:rFonts w:ascii="黑体" w:eastAsia="黑体" w:hint="eastAsia"/>
                <w:spacing w:val="-3"/>
                <w:sz w:val="21"/>
                <w:shd w:fill="D9D9D9" w:color="auto" w:val="clear"/>
              </w:rPr>
              <w:t>（</w:t>
            </w:r>
            <w:r>
              <w:rPr>
                <w:rFonts w:ascii="黑体" w:eastAsia="黑体" w:hint="eastAsia"/>
                <w:spacing w:val="-13"/>
                <w:sz w:val="21"/>
                <w:shd w:fill="D9D9D9" w:color="auto" w:val="clear"/>
              </w:rPr>
              <w:t>见 </w:t>
            </w:r>
            <w:r>
              <w:rPr>
                <w:rFonts w:ascii="黑体" w:eastAsia="黑体" w:hint="eastAsia"/>
                <w:spacing w:val="-4"/>
                <w:sz w:val="21"/>
                <w:shd w:fill="D9D9D9" w:color="auto" w:val="clear"/>
              </w:rPr>
              <w:t>11.14）</w:t>
            </w:r>
            <w:r>
              <w:rPr>
                <w:rFonts w:ascii="黑体" w:eastAsia="黑体" w:hint="eastAsia"/>
                <w:spacing w:val="-12"/>
                <w:sz w:val="21"/>
                <w:shd w:fill="D9D9D9" w:color="auto" w:val="clear"/>
              </w:rPr>
              <w:t>期间</w:t>
            </w:r>
            <w:r>
              <w:rPr>
                <w:rFonts w:ascii="黑体" w:eastAsia="黑体" w:hint="eastAsia"/>
                <w:sz w:val="21"/>
                <w:shd w:fill="D9D9D9" w:color="auto" w:val="clear"/>
              </w:rPr>
              <w:t>（</w:t>
            </w:r>
            <w:r>
              <w:rPr>
                <w:rFonts w:ascii="黑体" w:eastAsia="黑体" w:hint="eastAsia"/>
                <w:spacing w:val="-3"/>
                <w:sz w:val="21"/>
                <w:shd w:fill="D9D9D9" w:color="auto" w:val="clear"/>
              </w:rPr>
              <w:t>本合同另有约定的</w:t>
            </w:r>
            <w:r>
              <w:rPr>
                <w:rFonts w:ascii="黑体" w:eastAsia="黑体" w:hint="eastAsia"/>
                <w:spacing w:val="-208"/>
                <w:sz w:val="21"/>
                <w:shd w:fill="D9D9D9" w:color="auto" w:val="clear"/>
              </w:rPr>
              <w:t>除</w:t>
            </w:r>
            <w:r>
              <w:rPr>
                <w:rFonts w:ascii="黑体" w:eastAsia="黑体" w:hint="eastAsia"/>
                <w:w w:val="100"/>
                <w:sz w:val="21"/>
                <w:shd w:fill="D9D9D9" w:color="auto" w:val="clear"/>
              </w:rPr>
              <w:t>外</w:t>
            </w:r>
            <w:r>
              <w:rPr>
                <w:rFonts w:ascii="黑体" w:eastAsia="黑体" w:hint="eastAsia"/>
                <w:spacing w:val="-108"/>
                <w:w w:val="100"/>
                <w:sz w:val="21"/>
                <w:shd w:fill="D9D9D9" w:color="auto" w:val="clear"/>
              </w:rPr>
              <w:t>）</w:t>
            </w:r>
            <w:r>
              <w:rPr>
                <w:rFonts w:ascii="黑体" w:eastAsia="黑体" w:hint="eastAsia"/>
                <w:w w:val="100"/>
                <w:sz w:val="21"/>
                <w:shd w:fill="D9D9D9" w:color="auto" w:val="clear"/>
              </w:rPr>
              <w:t>；</w:t>
            </w:r>
          </w:p>
          <w:p>
            <w:pPr>
              <w:pStyle w:val="TableParagraph"/>
              <w:spacing w:before="13"/>
              <w:rPr>
                <w:rFonts w:ascii="黑体" w:eastAsia="黑体" w:hint="eastAsia"/>
                <w:b/>
                <w:sz w:val="21"/>
              </w:rPr>
            </w:pPr>
            <w:r>
              <w:rPr>
                <w:rFonts w:ascii="黑体" w:eastAsia="黑体" w:hint="eastAsia"/>
                <w:w w:val="100"/>
                <w:sz w:val="21"/>
                <w:shd w:fill="D9D9D9" w:color="auto" w:val="clear"/>
              </w:rPr>
              <w:t>（6</w:t>
            </w:r>
            <w:r>
              <w:rPr>
                <w:rFonts w:ascii="黑体" w:eastAsia="黑体" w:hint="eastAsia"/>
                <w:spacing w:val="-3"/>
                <w:w w:val="100"/>
                <w:sz w:val="21"/>
                <w:shd w:fill="D9D9D9" w:color="auto" w:val="clear"/>
              </w:rPr>
              <w:t>）</w:t>
            </w:r>
            <w:r>
              <w:rPr>
                <w:rFonts w:ascii="黑体" w:eastAsia="黑体" w:hint="eastAsia"/>
                <w:b/>
                <w:w w:val="100"/>
                <w:sz w:val="21"/>
                <w:shd w:fill="D9D9D9" w:color="auto" w:val="clear"/>
              </w:rPr>
              <w:t>遗传性疾病</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2"/>
                <w:sz w:val="21"/>
                <w:shd w:fill="D9D9D9" w:color="auto" w:val="clear"/>
              </w:rPr>
              <w:t> </w:t>
            </w:r>
            <w:r>
              <w:rPr>
                <w:rFonts w:ascii="黑体" w:eastAsia="黑体" w:hint="eastAsia"/>
                <w:spacing w:val="-3"/>
                <w:w w:val="100"/>
                <w:sz w:val="21"/>
                <w:shd w:fill="D9D9D9" w:color="auto" w:val="clear"/>
              </w:rPr>
              <w:t>1</w:t>
            </w:r>
            <w:r>
              <w:rPr>
                <w:rFonts w:ascii="黑体" w:eastAsia="黑体" w:hint="eastAsia"/>
                <w:w w:val="100"/>
                <w:sz w:val="21"/>
                <w:shd w:fill="D9D9D9" w:color="auto" w:val="clear"/>
              </w:rPr>
              <w:t>1</w:t>
            </w:r>
            <w:r>
              <w:rPr>
                <w:rFonts w:ascii="黑体" w:eastAsia="黑体" w:hint="eastAsia"/>
                <w:spacing w:val="-3"/>
                <w:w w:val="100"/>
                <w:sz w:val="21"/>
                <w:shd w:fill="D9D9D9" w:color="auto" w:val="clear"/>
              </w:rPr>
              <w:t>.</w:t>
            </w:r>
            <w:r>
              <w:rPr>
                <w:rFonts w:ascii="黑体" w:eastAsia="黑体" w:hint="eastAsia"/>
                <w:spacing w:val="-1"/>
                <w:w w:val="100"/>
                <w:sz w:val="21"/>
                <w:shd w:fill="D9D9D9" w:color="auto" w:val="clear"/>
              </w:rPr>
              <w:t>1</w:t>
            </w:r>
            <w:r>
              <w:rPr>
                <w:rFonts w:ascii="黑体" w:eastAsia="黑体" w:hint="eastAsia"/>
                <w:w w:val="100"/>
                <w:sz w:val="21"/>
                <w:shd w:fill="D9D9D9" w:color="auto" w:val="clear"/>
              </w:rPr>
              <w:t>5</w:t>
            </w:r>
            <w:r>
              <w:rPr>
                <w:rFonts w:ascii="黑体" w:eastAsia="黑体" w:hint="eastAsia"/>
                <w:spacing w:val="-108"/>
                <w:w w:val="100"/>
                <w:sz w:val="21"/>
                <w:shd w:fill="D9D9D9" w:color="auto" w:val="clear"/>
              </w:rPr>
              <w:t>）</w:t>
            </w:r>
            <w:r>
              <w:rPr>
                <w:rFonts w:ascii="黑体" w:eastAsia="黑体" w:hint="eastAsia"/>
                <w:b/>
                <w:spacing w:val="-1"/>
                <w:w w:val="100"/>
                <w:sz w:val="21"/>
                <w:shd w:fill="D9D9D9" w:color="auto" w:val="clear"/>
              </w:rPr>
              <w:t>，先天性畸形、变形或染色体异常</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2"/>
                <w:sz w:val="21"/>
                <w:shd w:fill="D9D9D9" w:color="auto" w:val="clear"/>
              </w:rPr>
              <w:t> </w:t>
            </w:r>
            <w:r>
              <w:rPr>
                <w:rFonts w:ascii="黑体" w:eastAsia="黑体" w:hint="eastAsia"/>
                <w:w w:val="100"/>
                <w:sz w:val="21"/>
                <w:shd w:fill="D9D9D9" w:color="auto" w:val="clear"/>
              </w:rPr>
              <w:t>1</w:t>
            </w:r>
            <w:r>
              <w:rPr>
                <w:rFonts w:ascii="黑体" w:eastAsia="黑体" w:hint="eastAsia"/>
                <w:spacing w:val="-3"/>
                <w:w w:val="100"/>
                <w:sz w:val="21"/>
                <w:shd w:fill="D9D9D9" w:color="auto" w:val="clear"/>
              </w:rPr>
              <w:t>1</w:t>
            </w:r>
            <w:r>
              <w:rPr>
                <w:rFonts w:ascii="黑体" w:eastAsia="黑体" w:hint="eastAsia"/>
                <w:w w:val="100"/>
                <w:sz w:val="21"/>
                <w:shd w:fill="D9D9D9" w:color="auto" w:val="clear"/>
              </w:rPr>
              <w:t>.</w:t>
            </w:r>
            <w:r>
              <w:rPr>
                <w:rFonts w:ascii="黑体" w:eastAsia="黑体" w:hint="eastAsia"/>
                <w:spacing w:val="-1"/>
                <w:w w:val="100"/>
                <w:sz w:val="21"/>
                <w:shd w:fill="D9D9D9" w:color="auto" w:val="clear"/>
              </w:rPr>
              <w:t>1</w:t>
            </w:r>
            <w:r>
              <w:rPr>
                <w:rFonts w:ascii="黑体" w:eastAsia="黑体" w:hint="eastAsia"/>
                <w:w w:val="100"/>
                <w:sz w:val="21"/>
                <w:shd w:fill="D9D9D9" w:color="auto" w:val="clear"/>
              </w:rPr>
              <w:t>6</w:t>
            </w:r>
            <w:r>
              <w:rPr>
                <w:rFonts w:ascii="黑体" w:eastAsia="黑体" w:hint="eastAsia"/>
                <w:spacing w:val="-108"/>
                <w:w w:val="100"/>
                <w:sz w:val="21"/>
                <w:shd w:fill="D9D9D9" w:color="auto" w:val="clear"/>
              </w:rPr>
              <w:t>）</w:t>
            </w:r>
            <w:r>
              <w:rPr>
                <w:rFonts w:ascii="黑体" w:eastAsia="黑体" w:hint="eastAsia"/>
                <w:b/>
                <w:w w:val="100"/>
                <w:sz w:val="21"/>
                <w:shd w:fill="D9D9D9" w:color="auto" w:val="clear"/>
              </w:rPr>
              <w:t>；</w:t>
            </w:r>
          </w:p>
          <w:p>
            <w:pPr>
              <w:pStyle w:val="TableParagraph"/>
              <w:spacing w:before="44"/>
              <w:rPr>
                <w:rFonts w:ascii="黑体" w:eastAsia="黑体" w:hint="eastAsia"/>
                <w:sz w:val="21"/>
              </w:rPr>
            </w:pPr>
            <w:r>
              <w:rPr>
                <w:rFonts w:ascii="黑体" w:eastAsia="黑体" w:hint="eastAsia"/>
                <w:sz w:val="21"/>
                <w:shd w:fill="D9D9D9" w:color="auto" w:val="clear"/>
              </w:rPr>
              <w:t>（7）战争、军事冲突、暴乱或武装叛乱；</w:t>
            </w:r>
          </w:p>
          <w:p>
            <w:pPr>
              <w:pStyle w:val="TableParagraph"/>
              <w:spacing w:before="44"/>
              <w:rPr>
                <w:rFonts w:ascii="黑体" w:eastAsia="黑体" w:hint="eastAsia"/>
                <w:sz w:val="21"/>
              </w:rPr>
            </w:pPr>
            <w:r>
              <w:rPr>
                <w:rFonts w:ascii="黑体" w:eastAsia="黑体" w:hint="eastAsia"/>
                <w:sz w:val="21"/>
                <w:shd w:fill="D9D9D9" w:color="auto" w:val="clear"/>
              </w:rPr>
              <w:t>（8）核爆炸、核辐射或核污染。</w:t>
            </w:r>
          </w:p>
          <w:p>
            <w:pPr>
              <w:pStyle w:val="TableParagraph"/>
              <w:spacing w:line="278" w:lineRule="auto" w:before="46"/>
              <w:ind w:right="299"/>
              <w:rPr>
                <w:rFonts w:ascii="黑体" w:eastAsia="黑体" w:hint="eastAsia"/>
                <w:sz w:val="21"/>
              </w:rPr>
            </w:pPr>
            <w:r>
              <w:rPr>
                <w:rFonts w:ascii="黑体" w:eastAsia="黑体" w:hint="eastAsia"/>
                <w:sz w:val="21"/>
                <w:shd w:fill="D9D9D9" w:color="auto" w:val="clear"/>
              </w:rPr>
              <w:t>发Th</w:t>
            </w:r>
            <w:r>
              <w:rPr>
                <w:rFonts w:ascii="黑体" w:eastAsia="黑体" w:hint="eastAsia"/>
                <w:spacing w:val="-11"/>
                <w:sz w:val="21"/>
                <w:shd w:fill="D9D9D9" w:color="auto" w:val="clear"/>
              </w:rPr>
              <w:t>上述第 </w:t>
            </w:r>
            <w:r>
              <w:rPr>
                <w:rFonts w:ascii="黑体" w:eastAsia="黑体" w:hint="eastAsia"/>
                <w:sz w:val="21"/>
                <w:shd w:fill="D9D9D9" w:color="auto" w:val="clear"/>
              </w:rPr>
              <w:t>1</w:t>
            </w:r>
            <w:r>
              <w:rPr>
                <w:rFonts w:ascii="黑体" w:eastAsia="黑体" w:hint="eastAsia"/>
                <w:spacing w:val="-7"/>
                <w:sz w:val="21"/>
                <w:shd w:fill="D9D9D9" w:color="auto" w:val="clear"/>
              </w:rPr>
              <w:t> 项情形导致被保险人发</w:t>
            </w:r>
            <w:r>
              <w:rPr>
                <w:rFonts w:ascii="黑体" w:eastAsia="黑体" w:hint="eastAsia"/>
                <w:sz w:val="21"/>
                <w:shd w:fill="D9D9D9" w:color="auto" w:val="clear"/>
              </w:rPr>
              <w:t>Th</w:t>
            </w:r>
            <w:r>
              <w:rPr>
                <w:rFonts w:ascii="黑体" w:eastAsia="黑体" w:hint="eastAsia"/>
                <w:spacing w:val="-5"/>
                <w:sz w:val="21"/>
                <w:shd w:fill="D9D9D9" w:color="auto" w:val="clear"/>
              </w:rPr>
              <w:t>重大疾病的，本合同终止，我们向重大疾</w:t>
            </w:r>
            <w:r>
              <w:rPr>
                <w:rFonts w:ascii="黑体" w:eastAsia="黑体" w:hint="eastAsia"/>
                <w:spacing w:val="-4"/>
                <w:w w:val="100"/>
                <w:sz w:val="21"/>
                <w:shd w:fill="D9D9D9" w:color="auto" w:val="clear"/>
              </w:rPr>
              <w:t>病保险金受益人退还本合同当时的</w:t>
            </w:r>
            <w:r>
              <w:rPr>
                <w:rFonts w:ascii="黑体" w:eastAsia="黑体" w:hint="eastAsia"/>
                <w:b/>
                <w:w w:val="100"/>
                <w:sz w:val="21"/>
                <w:shd w:fill="D9D9D9" w:color="auto" w:val="clear"/>
              </w:rPr>
              <w:t>现金价值</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2"/>
                <w:sz w:val="21"/>
                <w:shd w:fill="D9D9D9" w:color="auto" w:val="clear"/>
              </w:rPr>
              <w:t> </w:t>
            </w:r>
            <w:r>
              <w:rPr>
                <w:rFonts w:ascii="黑体" w:eastAsia="黑体" w:hint="eastAsia"/>
                <w:w w:val="100"/>
                <w:sz w:val="21"/>
                <w:shd w:fill="D9D9D9" w:color="auto" w:val="clear"/>
              </w:rPr>
              <w:t>1</w:t>
            </w:r>
            <w:r>
              <w:rPr>
                <w:rFonts w:ascii="黑体" w:eastAsia="黑体" w:hint="eastAsia"/>
                <w:spacing w:val="-3"/>
                <w:w w:val="100"/>
                <w:sz w:val="21"/>
                <w:shd w:fill="D9D9D9" w:color="auto" w:val="clear"/>
              </w:rPr>
              <w:t>1</w:t>
            </w:r>
            <w:r>
              <w:rPr>
                <w:rFonts w:ascii="黑体" w:eastAsia="黑体" w:hint="eastAsia"/>
                <w:w w:val="100"/>
                <w:sz w:val="21"/>
                <w:shd w:fill="D9D9D9" w:color="auto" w:val="clear"/>
              </w:rPr>
              <w:t>.</w:t>
            </w:r>
            <w:r>
              <w:rPr>
                <w:rFonts w:ascii="黑体" w:eastAsia="黑体" w:hint="eastAsia"/>
                <w:spacing w:val="-1"/>
                <w:w w:val="100"/>
                <w:sz w:val="21"/>
                <w:shd w:fill="D9D9D9" w:color="auto" w:val="clear"/>
              </w:rPr>
              <w:t>1</w:t>
            </w:r>
            <w:r>
              <w:rPr>
                <w:rFonts w:ascii="黑体" w:eastAsia="黑体" w:hint="eastAsia"/>
                <w:w w:val="100"/>
                <w:sz w:val="21"/>
                <w:shd w:fill="D9D9D9" w:color="auto" w:val="clear"/>
              </w:rPr>
              <w:t>7</w:t>
            </w:r>
            <w:r>
              <w:rPr>
                <w:rFonts w:ascii="黑体" w:eastAsia="黑体" w:hint="eastAsia"/>
                <w:spacing w:val="-106"/>
                <w:w w:val="100"/>
                <w:sz w:val="21"/>
                <w:shd w:fill="D9D9D9" w:color="auto" w:val="clear"/>
              </w:rPr>
              <w:t>）</w:t>
            </w:r>
            <w:r>
              <w:rPr>
                <w:rFonts w:ascii="黑体" w:eastAsia="黑体" w:hint="eastAsia"/>
                <w:w w:val="100"/>
                <w:sz w:val="21"/>
                <w:shd w:fill="D9D9D9" w:color="auto" w:val="clear"/>
              </w:rPr>
              <w:t>。</w:t>
            </w:r>
          </w:p>
          <w:p>
            <w:pPr>
              <w:pStyle w:val="TableParagraph"/>
              <w:spacing w:before="10"/>
              <w:rPr>
                <w:rFonts w:ascii="黑体" w:eastAsia="黑体" w:hint="eastAsia"/>
                <w:sz w:val="21"/>
              </w:rPr>
            </w:pPr>
            <w:r>
              <w:rPr>
                <w:rFonts w:ascii="黑体" w:eastAsia="黑体" w:hint="eastAsia"/>
                <w:sz w:val="21"/>
                <w:shd w:fill="D9D9D9" w:color="auto" w:val="clear"/>
              </w:rPr>
              <w:t>发Th上述其他情形导致被保险人发Th重大疾病的，本合同终止，我们向您退还本</w:t>
            </w:r>
          </w:p>
          <w:p>
            <w:pPr>
              <w:pStyle w:val="TableParagraph"/>
              <w:spacing w:line="255" w:lineRule="exact" w:before="46"/>
              <w:rPr>
                <w:rFonts w:ascii="黑体" w:eastAsia="黑体" w:hint="eastAsia"/>
                <w:sz w:val="21"/>
              </w:rPr>
            </w:pPr>
            <w:r>
              <w:rPr>
                <w:rFonts w:ascii="黑体" w:eastAsia="黑体" w:hint="eastAsia"/>
                <w:sz w:val="21"/>
                <w:shd w:fill="D9D9D9" w:color="auto" w:val="clear"/>
              </w:rPr>
              <w:t>合同当时的现金价值。</w:t>
            </w:r>
          </w:p>
        </w:tc>
      </w:tr>
    </w:tbl>
    <w:p>
      <w:pPr>
        <w:spacing w:after="0" w:line="255" w:lineRule="exact"/>
        <w:rPr>
          <w:rFonts w:ascii="黑体" w:eastAsia="黑体" w:hint="eastAsia"/>
          <w:sz w:val="21"/>
        </w:rPr>
        <w:sectPr>
          <w:pgSz w:w="11910" w:h="16840"/>
          <w:pgMar w:header="568" w:footer="0" w:top="800" w:bottom="280" w:left="720" w:right="500"/>
        </w:sectPr>
      </w:pPr>
    </w:p>
    <w:p>
      <w:pPr>
        <w:pStyle w:val="BodyText"/>
        <w:spacing w:before="7"/>
        <w:rPr>
          <w:rFonts w:ascii="Times New Roman"/>
          <w:sz w:val="26"/>
        </w:rPr>
      </w:pPr>
    </w:p>
    <w:p>
      <w:pPr>
        <w:pStyle w:val="BodyText"/>
        <w:spacing w:before="36"/>
        <w:ind w:left="2853"/>
        <w:rPr>
          <w:rFonts w:ascii="黑体" w:eastAsia="黑体" w:hint="eastAsia"/>
        </w:rPr>
      </w:pPr>
      <w:r>
        <w:rPr>
          <w:rFonts w:ascii="黑体" w:eastAsia="黑体" w:hint="eastAsia"/>
          <w:shd w:fill="D9D9D9" w:color="auto" w:val="clear"/>
        </w:rPr>
        <w:t>因下列情形之一，导致被保险人身故的，我们不承担给付身故保险金的责任：</w:t>
      </w:r>
    </w:p>
    <w:p>
      <w:pPr>
        <w:pStyle w:val="BodyText"/>
        <w:spacing w:before="46"/>
        <w:ind w:left="2853"/>
        <w:rPr>
          <w:rFonts w:ascii="黑体" w:eastAsia="黑体" w:hint="eastAsia"/>
        </w:rPr>
      </w:pPr>
      <w:r>
        <w:rPr>
          <w:rFonts w:ascii="黑体" w:eastAsia="黑体" w:hint="eastAsia"/>
          <w:shd w:fill="D9D9D9" w:color="auto" w:val="clear"/>
        </w:rPr>
        <w:t>（1）投保人对被保险人的故意杀害、故意伤害；</w:t>
      </w:r>
    </w:p>
    <w:p>
      <w:pPr>
        <w:pStyle w:val="BodyText"/>
        <w:spacing w:before="44"/>
        <w:ind w:left="2853"/>
        <w:rPr>
          <w:rFonts w:ascii="黑体" w:eastAsia="黑体" w:hint="eastAsia"/>
        </w:rPr>
      </w:pPr>
      <w:r>
        <w:rPr>
          <w:rFonts w:ascii="黑体" w:eastAsia="黑体" w:hint="eastAsia"/>
          <w:shd w:fill="D9D9D9" w:color="auto" w:val="clear"/>
        </w:rPr>
        <w:t>（2）被保险人故意犯罪或抗拒依法采取的刑事强制措施；</w:t>
      </w:r>
    </w:p>
    <w:p>
      <w:pPr>
        <w:pStyle w:val="BodyText"/>
        <w:spacing w:line="280" w:lineRule="auto" w:before="43"/>
        <w:ind w:left="3379" w:right="205" w:hanging="526"/>
        <w:rPr>
          <w:rFonts w:ascii="黑体" w:eastAsia="黑体" w:hint="eastAsia"/>
        </w:rPr>
      </w:pPr>
      <w:r>
        <w:rPr>
          <w:rFonts w:ascii="黑体" w:eastAsia="黑体" w:hint="eastAsia"/>
          <w:shd w:fill="D9D9D9" w:color="auto" w:val="clear"/>
        </w:rPr>
        <w:t>（3）被保险人自本合同成立或者合同效力恢复之日起 2 年内自杀，但被保险人自杀时为无民事行为能力人的除外；</w:t>
      </w:r>
    </w:p>
    <w:p>
      <w:pPr>
        <w:pStyle w:val="BodyText"/>
        <w:spacing w:before="8"/>
        <w:ind w:left="2853"/>
        <w:rPr>
          <w:rFonts w:ascii="黑体" w:eastAsia="黑体" w:hint="eastAsia"/>
        </w:rPr>
      </w:pPr>
      <w:r>
        <w:rPr>
          <w:rFonts w:ascii="黑体" w:eastAsia="黑体" w:hint="eastAsia"/>
          <w:shd w:fill="D9D9D9" w:color="auto" w:val="clear"/>
        </w:rPr>
        <w:t>（4）被保险人主动吸食或注射毒品；</w:t>
      </w:r>
    </w:p>
    <w:p>
      <w:pPr>
        <w:pStyle w:val="BodyText"/>
        <w:spacing w:line="280" w:lineRule="auto" w:before="44"/>
        <w:ind w:left="3379" w:right="211" w:hanging="526"/>
        <w:rPr>
          <w:rFonts w:ascii="黑体" w:eastAsia="黑体" w:hint="eastAsia"/>
        </w:rPr>
      </w:pPr>
      <w:r>
        <w:rPr>
          <w:rFonts w:ascii="黑体" w:eastAsia="黑体" w:hint="eastAsia"/>
          <w:shd w:fill="D9D9D9" w:color="auto" w:val="clear"/>
        </w:rPr>
        <w:t>（5）被保险人酒后驾驶，无合法有效驾驶证驾驶，或者驾驶无有效行驶证的机动车；</w:t>
      </w:r>
    </w:p>
    <w:p>
      <w:pPr>
        <w:pStyle w:val="BodyText"/>
        <w:spacing w:before="8"/>
        <w:ind w:left="2853"/>
        <w:rPr>
          <w:rFonts w:ascii="黑体" w:eastAsia="黑体" w:hint="eastAsia"/>
        </w:rPr>
      </w:pPr>
      <w:r>
        <w:rPr>
          <w:rFonts w:ascii="黑体" w:eastAsia="黑体" w:hint="eastAsia"/>
          <w:shd w:fill="D9D9D9" w:color="auto" w:val="clear"/>
        </w:rPr>
        <w:t>（6）战争、军事冲突、暴乱或武装叛乱；</w:t>
      </w:r>
    </w:p>
    <w:p>
      <w:pPr>
        <w:pStyle w:val="BodyText"/>
        <w:spacing w:before="44"/>
        <w:ind w:left="2853"/>
        <w:rPr>
          <w:rFonts w:ascii="黑体" w:eastAsia="黑体" w:hint="eastAsia"/>
        </w:rPr>
      </w:pPr>
      <w:r>
        <w:rPr>
          <w:rFonts w:ascii="黑体" w:eastAsia="黑体" w:hint="eastAsia"/>
          <w:shd w:fill="D9D9D9" w:color="auto" w:val="clear"/>
        </w:rPr>
        <w:t>（7）核爆炸、核辐射或核污染。</w:t>
      </w:r>
    </w:p>
    <w:p>
      <w:pPr>
        <w:pStyle w:val="BodyText"/>
        <w:spacing w:line="278" w:lineRule="auto" w:before="46"/>
        <w:ind w:left="2853" w:right="211"/>
        <w:rPr>
          <w:rFonts w:ascii="黑体" w:eastAsia="黑体" w:hint="eastAsia"/>
        </w:rPr>
      </w:pPr>
      <w:r>
        <w:rPr>
          <w:rFonts w:ascii="黑体" w:eastAsia="黑体" w:hint="eastAsia"/>
          <w:shd w:fill="D9D9D9" w:color="auto" w:val="clear"/>
        </w:rPr>
        <w:t>发Th上述第（1）项情形导致被保险人身故的，本合同终止，我们向身故保险金受益人退还本合同当时的现金价值。</w:t>
      </w:r>
    </w:p>
    <w:p>
      <w:pPr>
        <w:pStyle w:val="BodyText"/>
        <w:spacing w:line="280" w:lineRule="auto" w:before="10"/>
        <w:ind w:left="2853" w:right="202"/>
        <w:rPr>
          <w:rFonts w:ascii="黑体" w:eastAsia="黑体" w:hint="eastAsia"/>
        </w:rPr>
      </w:pPr>
      <w:r>
        <w:rPr>
          <w:rFonts w:ascii="黑体" w:eastAsia="黑体" w:hint="eastAsia"/>
          <w:shd w:fill="D9D9D9" w:color="auto" w:val="clear"/>
        </w:rPr>
        <w:t>发Th</w:t>
      </w:r>
      <w:r>
        <w:rPr>
          <w:rFonts w:ascii="黑体" w:eastAsia="黑体" w:hint="eastAsia"/>
          <w:spacing w:val="-5"/>
          <w:shd w:fill="D9D9D9" w:color="auto" w:val="clear"/>
        </w:rPr>
        <w:t>上述其他情形导致被保险人身故的，本合同终止，我们向您退还本合同当时</w:t>
      </w:r>
      <w:r>
        <w:rPr>
          <w:rFonts w:ascii="黑体" w:eastAsia="黑体" w:hint="eastAsia"/>
          <w:spacing w:val="-207"/>
          <w:shd w:fill="D9D9D9" w:color="auto" w:val="clear"/>
        </w:rPr>
        <w:t>的</w:t>
      </w:r>
      <w:r>
        <w:rPr>
          <w:rFonts w:ascii="黑体" w:eastAsia="黑体" w:hint="eastAsia"/>
          <w:spacing w:val="-3"/>
          <w:shd w:fill="D9D9D9" w:color="auto" w:val="clear"/>
        </w:rPr>
        <w:t>现金价值。</w:t>
      </w:r>
    </w:p>
    <w:p>
      <w:pPr>
        <w:pStyle w:val="BodyText"/>
        <w:spacing w:before="4"/>
        <w:rPr>
          <w:rFonts w:ascii="黑体"/>
          <w:sz w:val="20"/>
        </w:rPr>
      </w:pPr>
    </w:p>
    <w:p>
      <w:pPr>
        <w:pStyle w:val="Heading2"/>
        <w:numPr>
          <w:ilvl w:val="0"/>
          <w:numId w:val="8"/>
        </w:numPr>
        <w:tabs>
          <w:tab w:pos="1381" w:val="left" w:leader="none"/>
          <w:tab w:pos="1382" w:val="left" w:leader="none"/>
        </w:tabs>
        <w:spacing w:line="240" w:lineRule="auto" w:before="14" w:after="0"/>
        <w:ind w:left="1382" w:right="0" w:hanging="1162"/>
        <w:jc w:val="left"/>
      </w:pPr>
      <w:r>
        <w:rPr/>
        <w:t>重大疾病</w:t>
      </w:r>
    </w:p>
    <w:p>
      <w:pPr>
        <w:pStyle w:val="BodyText"/>
        <w:spacing w:before="1"/>
        <w:rPr>
          <w:b/>
          <w:sz w:val="10"/>
        </w:rPr>
      </w:pPr>
      <w:r>
        <w:rPr/>
        <w:pict>
          <v:group style="position:absolute;margin-left:45.599998pt;margin-top:8.566833pt;width:509.55pt;height:1.45pt;mso-position-horizontal-relative:page;mso-position-vertical-relative:paragraph;z-index:1048;mso-wrap-distance-left:0;mso-wrap-distance-right:0" coordorigin="912,171" coordsize="10191,29">
            <v:line style="position:absolute" from="912,176" to="2072,176" stroked="true" strokeweight=".48001pt" strokecolor="#000000">
              <v:stroke dashstyle="solid"/>
            </v:line>
            <v:line style="position:absolute" from="912,195" to="2072,195" stroked="true" strokeweight=".48001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001pt" strokecolor="#000000">
              <v:stroke dashstyle="solid"/>
            </v:line>
            <v:line style="position:absolute" from="2100,195" to="3543,195" stroked="true" strokeweight=".48001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001pt" strokecolor="#000000">
              <v:stroke dashstyle="solid"/>
            </v:line>
            <v:line style="position:absolute" from="3572,195" to="11102,195" stroked="true" strokeweight=".48001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pStyle w:val="Heading3"/>
        <w:numPr>
          <w:ilvl w:val="1"/>
          <w:numId w:val="8"/>
        </w:numPr>
        <w:tabs>
          <w:tab w:pos="1381" w:val="left" w:leader="none"/>
          <w:tab w:pos="1382" w:val="left" w:leader="none"/>
        </w:tabs>
        <w:spacing w:line="273" w:lineRule="auto" w:before="0" w:after="0"/>
        <w:ind w:left="1382" w:right="0" w:hanging="1162"/>
        <w:jc w:val="left"/>
      </w:pPr>
      <w:r>
        <w:rPr>
          <w:spacing w:val="40"/>
        </w:rPr>
        <w:t>轻症重疾的范围</w:t>
      </w:r>
    </w:p>
    <w:p>
      <w:pPr>
        <w:pStyle w:val="BodyText"/>
        <w:spacing w:line="280" w:lineRule="auto" w:before="13"/>
        <w:ind w:left="123" w:right="203"/>
      </w:pPr>
      <w:r>
        <w:rPr/>
        <w:br w:type="column"/>
      </w:r>
      <w:r>
        <w:rPr/>
        <w:t>本合同所指的轻症重疾在本合同中有确定的含义，我们将在本合同轻症重疾定义中详细列明，您投保本合同即表明认可并遵从本合同中对轻症重疾的定义。</w:t>
      </w:r>
    </w:p>
    <w:p>
      <w:pPr>
        <w:spacing w:after="0" w:line="280" w:lineRule="auto"/>
        <w:sectPr>
          <w:type w:val="continuous"/>
          <w:pgSz w:w="11910" w:h="16840"/>
          <w:pgMar w:top="1060" w:bottom="280" w:left="800" w:right="700"/>
          <w:cols w:num="2" w:equalWidth="0">
            <w:col w:w="2691" w:space="40"/>
            <w:col w:w="7679"/>
          </w:cols>
        </w:sectPr>
      </w:pPr>
    </w:p>
    <w:p>
      <w:pPr>
        <w:pStyle w:val="BodyText"/>
        <w:spacing w:before="7"/>
        <w:rPr>
          <w:sz w:val="29"/>
        </w:rPr>
      </w:pPr>
    </w:p>
    <w:tbl>
      <w:tblPr>
        <w:tblW w:w="0" w:type="auto"/>
        <w:jc w:val="left"/>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599"/>
      </w:tblGrid>
      <w:tr>
        <w:trPr>
          <w:trHeight w:val="254" w:hRule="atLeast"/>
        </w:trPr>
        <w:tc>
          <w:tcPr>
            <w:tcW w:w="441" w:type="dxa"/>
          </w:tcPr>
          <w:p>
            <w:pPr>
              <w:pStyle w:val="TableParagraph"/>
              <w:spacing w:line="180" w:lineRule="exact"/>
              <w:ind w:left="0" w:right="60"/>
              <w:jc w:val="right"/>
              <w:rPr>
                <w:sz w:val="18"/>
              </w:rPr>
            </w:pPr>
            <w:r>
              <w:rPr>
                <w:sz w:val="18"/>
              </w:rPr>
              <w:t>1</w:t>
            </w:r>
          </w:p>
        </w:tc>
        <w:tc>
          <w:tcPr>
            <w:tcW w:w="2599" w:type="dxa"/>
          </w:tcPr>
          <w:p>
            <w:pPr>
              <w:pStyle w:val="TableParagraph"/>
              <w:spacing w:line="180" w:lineRule="exact"/>
              <w:ind w:left="58"/>
              <w:rPr>
                <w:sz w:val="18"/>
              </w:rPr>
            </w:pPr>
            <w:r>
              <w:rPr>
                <w:sz w:val="18"/>
              </w:rPr>
              <w:t>非危及生命的恶性病变</w:t>
            </w:r>
          </w:p>
        </w:tc>
      </w:tr>
      <w:tr>
        <w:trPr>
          <w:trHeight w:val="327" w:hRule="atLeast"/>
        </w:trPr>
        <w:tc>
          <w:tcPr>
            <w:tcW w:w="441" w:type="dxa"/>
          </w:tcPr>
          <w:p>
            <w:pPr>
              <w:pStyle w:val="TableParagraph"/>
              <w:spacing w:before="19"/>
              <w:ind w:left="0" w:right="60"/>
              <w:jc w:val="right"/>
              <w:rPr>
                <w:sz w:val="18"/>
              </w:rPr>
            </w:pPr>
            <w:r>
              <w:rPr>
                <w:sz w:val="18"/>
              </w:rPr>
              <w:t>2</w:t>
            </w:r>
          </w:p>
        </w:tc>
        <w:tc>
          <w:tcPr>
            <w:tcW w:w="2599" w:type="dxa"/>
          </w:tcPr>
          <w:p>
            <w:pPr>
              <w:pStyle w:val="TableParagraph"/>
              <w:spacing w:before="19"/>
              <w:ind w:left="58"/>
              <w:rPr>
                <w:sz w:val="18"/>
              </w:rPr>
            </w:pPr>
            <w:r>
              <w:rPr>
                <w:sz w:val="18"/>
              </w:rPr>
              <w:t>脑垂体瘤、脑囊肿、脑动脉瘤</w:t>
            </w:r>
          </w:p>
        </w:tc>
      </w:tr>
      <w:tr>
        <w:trPr>
          <w:trHeight w:val="326" w:hRule="atLeast"/>
        </w:trPr>
        <w:tc>
          <w:tcPr>
            <w:tcW w:w="441" w:type="dxa"/>
          </w:tcPr>
          <w:p>
            <w:pPr>
              <w:pStyle w:val="TableParagraph"/>
              <w:ind w:left="0"/>
              <w:rPr>
                <w:rFonts w:ascii="Times New Roman"/>
                <w:sz w:val="20"/>
              </w:rPr>
            </w:pPr>
          </w:p>
        </w:tc>
        <w:tc>
          <w:tcPr>
            <w:tcW w:w="2599" w:type="dxa"/>
          </w:tcPr>
          <w:p>
            <w:pPr>
              <w:pStyle w:val="TableParagraph"/>
              <w:spacing w:before="17"/>
              <w:ind w:left="58"/>
              <w:rPr>
                <w:sz w:val="18"/>
              </w:rPr>
            </w:pPr>
            <w:r>
              <w:rPr>
                <w:sz w:val="18"/>
              </w:rPr>
              <w:t>及脑血管瘤</w:t>
            </w:r>
          </w:p>
        </w:tc>
      </w:tr>
      <w:tr>
        <w:trPr>
          <w:trHeight w:val="326" w:hRule="atLeast"/>
        </w:trPr>
        <w:tc>
          <w:tcPr>
            <w:tcW w:w="441" w:type="dxa"/>
          </w:tcPr>
          <w:p>
            <w:pPr>
              <w:pStyle w:val="TableParagraph"/>
              <w:spacing w:before="17"/>
              <w:ind w:left="0" w:right="60"/>
              <w:jc w:val="right"/>
              <w:rPr>
                <w:sz w:val="18"/>
              </w:rPr>
            </w:pPr>
            <w:r>
              <w:rPr>
                <w:sz w:val="18"/>
              </w:rPr>
              <w:t>3</w:t>
            </w:r>
          </w:p>
        </w:tc>
        <w:tc>
          <w:tcPr>
            <w:tcW w:w="2599" w:type="dxa"/>
          </w:tcPr>
          <w:p>
            <w:pPr>
              <w:pStyle w:val="TableParagraph"/>
              <w:spacing w:before="17"/>
              <w:ind w:left="58"/>
              <w:rPr>
                <w:sz w:val="18"/>
              </w:rPr>
            </w:pPr>
            <w:r>
              <w:rPr>
                <w:sz w:val="18"/>
              </w:rPr>
              <w:t>主动脉介入手术</w:t>
            </w:r>
          </w:p>
        </w:tc>
      </w:tr>
      <w:tr>
        <w:trPr>
          <w:trHeight w:val="327" w:hRule="atLeast"/>
        </w:trPr>
        <w:tc>
          <w:tcPr>
            <w:tcW w:w="441" w:type="dxa"/>
          </w:tcPr>
          <w:p>
            <w:pPr>
              <w:pStyle w:val="TableParagraph"/>
              <w:spacing w:before="17"/>
              <w:ind w:left="0" w:right="60"/>
              <w:jc w:val="right"/>
              <w:rPr>
                <w:sz w:val="18"/>
              </w:rPr>
            </w:pPr>
            <w:r>
              <w:rPr>
                <w:sz w:val="18"/>
              </w:rPr>
              <w:t>4</w:t>
            </w:r>
          </w:p>
        </w:tc>
        <w:tc>
          <w:tcPr>
            <w:tcW w:w="2599" w:type="dxa"/>
          </w:tcPr>
          <w:p>
            <w:pPr>
              <w:pStyle w:val="TableParagraph"/>
              <w:spacing w:before="17"/>
              <w:ind w:left="58"/>
              <w:rPr>
                <w:sz w:val="18"/>
              </w:rPr>
            </w:pPr>
            <w:r>
              <w:rPr>
                <w:sz w:val="18"/>
              </w:rPr>
              <w:t>轻度原发性肺动脉高压</w:t>
            </w:r>
          </w:p>
        </w:tc>
      </w:tr>
      <w:tr>
        <w:trPr>
          <w:trHeight w:val="327" w:hRule="atLeast"/>
        </w:trPr>
        <w:tc>
          <w:tcPr>
            <w:tcW w:w="441" w:type="dxa"/>
          </w:tcPr>
          <w:p>
            <w:pPr>
              <w:pStyle w:val="TableParagraph"/>
              <w:spacing w:before="19"/>
              <w:ind w:left="0" w:right="60"/>
              <w:jc w:val="right"/>
              <w:rPr>
                <w:sz w:val="18"/>
              </w:rPr>
            </w:pPr>
            <w:r>
              <w:rPr>
                <w:sz w:val="18"/>
              </w:rPr>
              <w:t>5</w:t>
            </w:r>
          </w:p>
        </w:tc>
        <w:tc>
          <w:tcPr>
            <w:tcW w:w="2599" w:type="dxa"/>
          </w:tcPr>
          <w:p>
            <w:pPr>
              <w:pStyle w:val="TableParagraph"/>
              <w:spacing w:before="19"/>
              <w:ind w:left="58"/>
              <w:rPr>
                <w:sz w:val="18"/>
              </w:rPr>
            </w:pPr>
            <w:r>
              <w:rPr>
                <w:sz w:val="18"/>
              </w:rPr>
              <w:t>冠状动脉介入手术</w:t>
            </w:r>
          </w:p>
        </w:tc>
      </w:tr>
      <w:tr>
        <w:trPr>
          <w:trHeight w:val="326" w:hRule="atLeast"/>
        </w:trPr>
        <w:tc>
          <w:tcPr>
            <w:tcW w:w="441" w:type="dxa"/>
          </w:tcPr>
          <w:p>
            <w:pPr>
              <w:pStyle w:val="TableParagraph"/>
              <w:spacing w:before="17"/>
              <w:ind w:left="0" w:right="60"/>
              <w:jc w:val="right"/>
              <w:rPr>
                <w:sz w:val="18"/>
              </w:rPr>
            </w:pPr>
            <w:r>
              <w:rPr>
                <w:sz w:val="18"/>
              </w:rPr>
              <w:t>6</w:t>
            </w:r>
          </w:p>
        </w:tc>
        <w:tc>
          <w:tcPr>
            <w:tcW w:w="2599" w:type="dxa"/>
          </w:tcPr>
          <w:p>
            <w:pPr>
              <w:pStyle w:val="TableParagraph"/>
              <w:spacing w:before="17"/>
              <w:ind w:left="58"/>
              <w:rPr>
                <w:sz w:val="18"/>
              </w:rPr>
            </w:pPr>
            <w:r>
              <w:rPr>
                <w:sz w:val="18"/>
              </w:rPr>
              <w:t>单肢缺失</w:t>
            </w:r>
          </w:p>
        </w:tc>
      </w:tr>
      <w:tr>
        <w:trPr>
          <w:trHeight w:val="326" w:hRule="atLeast"/>
        </w:trPr>
        <w:tc>
          <w:tcPr>
            <w:tcW w:w="441" w:type="dxa"/>
          </w:tcPr>
          <w:p>
            <w:pPr>
              <w:pStyle w:val="TableParagraph"/>
              <w:spacing w:before="17"/>
              <w:ind w:left="0" w:right="60"/>
              <w:jc w:val="right"/>
              <w:rPr>
                <w:sz w:val="18"/>
              </w:rPr>
            </w:pPr>
            <w:r>
              <w:rPr>
                <w:sz w:val="18"/>
              </w:rPr>
              <w:t>7</w:t>
            </w:r>
          </w:p>
        </w:tc>
        <w:tc>
          <w:tcPr>
            <w:tcW w:w="2599" w:type="dxa"/>
          </w:tcPr>
          <w:p>
            <w:pPr>
              <w:pStyle w:val="TableParagraph"/>
              <w:spacing w:before="17"/>
              <w:ind w:left="58"/>
              <w:rPr>
                <w:sz w:val="18"/>
              </w:rPr>
            </w:pPr>
            <w:r>
              <w:rPr>
                <w:sz w:val="18"/>
              </w:rPr>
              <w:t>心脏瓣膜介入手术</w:t>
            </w:r>
          </w:p>
        </w:tc>
      </w:tr>
      <w:tr>
        <w:trPr>
          <w:trHeight w:val="327" w:hRule="atLeast"/>
        </w:trPr>
        <w:tc>
          <w:tcPr>
            <w:tcW w:w="441" w:type="dxa"/>
          </w:tcPr>
          <w:p>
            <w:pPr>
              <w:pStyle w:val="TableParagraph"/>
              <w:spacing w:before="17"/>
              <w:ind w:left="0" w:right="60"/>
              <w:jc w:val="right"/>
              <w:rPr>
                <w:sz w:val="18"/>
              </w:rPr>
            </w:pPr>
            <w:r>
              <w:rPr>
                <w:sz w:val="18"/>
              </w:rPr>
              <w:t>8</w:t>
            </w:r>
          </w:p>
        </w:tc>
        <w:tc>
          <w:tcPr>
            <w:tcW w:w="2599" w:type="dxa"/>
          </w:tcPr>
          <w:p>
            <w:pPr>
              <w:pStyle w:val="TableParagraph"/>
              <w:spacing w:before="17"/>
              <w:ind w:left="58"/>
              <w:rPr>
                <w:sz w:val="18"/>
              </w:rPr>
            </w:pPr>
            <w:r>
              <w:rPr>
                <w:sz w:val="18"/>
              </w:rPr>
              <w:t>脑外伤开颅手术</w:t>
            </w:r>
          </w:p>
        </w:tc>
      </w:tr>
      <w:tr>
        <w:trPr>
          <w:trHeight w:val="327" w:hRule="atLeast"/>
        </w:trPr>
        <w:tc>
          <w:tcPr>
            <w:tcW w:w="441" w:type="dxa"/>
          </w:tcPr>
          <w:p>
            <w:pPr>
              <w:pStyle w:val="TableParagraph"/>
              <w:spacing w:before="19"/>
              <w:ind w:left="0" w:right="60"/>
              <w:jc w:val="right"/>
              <w:rPr>
                <w:sz w:val="18"/>
              </w:rPr>
            </w:pPr>
            <w:r>
              <w:rPr>
                <w:sz w:val="18"/>
              </w:rPr>
              <w:t>9</w:t>
            </w:r>
          </w:p>
        </w:tc>
        <w:tc>
          <w:tcPr>
            <w:tcW w:w="2599" w:type="dxa"/>
          </w:tcPr>
          <w:p>
            <w:pPr>
              <w:pStyle w:val="TableParagraph"/>
              <w:spacing w:before="19"/>
              <w:ind w:left="58"/>
              <w:rPr>
                <w:sz w:val="18"/>
              </w:rPr>
            </w:pPr>
            <w:r>
              <w:rPr>
                <w:sz w:val="18"/>
              </w:rPr>
              <w:t>较小面积 III 度烧伤</w:t>
            </w:r>
          </w:p>
        </w:tc>
      </w:tr>
      <w:tr>
        <w:trPr>
          <w:trHeight w:val="253" w:hRule="atLeast"/>
        </w:trPr>
        <w:tc>
          <w:tcPr>
            <w:tcW w:w="441" w:type="dxa"/>
          </w:tcPr>
          <w:p>
            <w:pPr>
              <w:pStyle w:val="TableParagraph"/>
              <w:spacing w:line="216" w:lineRule="exact" w:before="17"/>
              <w:ind w:left="0" w:right="56"/>
              <w:jc w:val="right"/>
              <w:rPr>
                <w:sz w:val="18"/>
              </w:rPr>
            </w:pPr>
            <w:r>
              <w:rPr>
                <w:sz w:val="18"/>
              </w:rPr>
              <w:t>10</w:t>
            </w:r>
          </w:p>
        </w:tc>
        <w:tc>
          <w:tcPr>
            <w:tcW w:w="2599" w:type="dxa"/>
          </w:tcPr>
          <w:p>
            <w:pPr>
              <w:pStyle w:val="TableParagraph"/>
              <w:spacing w:line="216" w:lineRule="exact" w:before="17"/>
              <w:ind w:left="58"/>
              <w:rPr>
                <w:sz w:val="18"/>
              </w:rPr>
            </w:pPr>
            <w:r>
              <w:rPr>
                <w:sz w:val="18"/>
              </w:rPr>
              <w:t>视力严重受损</w:t>
            </w:r>
          </w:p>
        </w:tc>
      </w:tr>
    </w:tbl>
    <w:p>
      <w:pPr>
        <w:pStyle w:val="BodyText"/>
        <w:spacing w:before="1"/>
        <w:rPr>
          <w:sz w:val="17"/>
        </w:rPr>
      </w:pPr>
    </w:p>
    <w:p>
      <w:pPr>
        <w:spacing w:after="0"/>
        <w:rPr>
          <w:sz w:val="17"/>
        </w:rPr>
        <w:sectPr>
          <w:type w:val="continuous"/>
          <w:pgSz w:w="11910" w:h="16840"/>
          <w:pgMar w:top="1060" w:bottom="280" w:left="800" w:right="700"/>
        </w:sectPr>
      </w:pPr>
    </w:p>
    <w:p>
      <w:pPr>
        <w:pStyle w:val="Heading3"/>
        <w:numPr>
          <w:ilvl w:val="1"/>
          <w:numId w:val="8"/>
        </w:numPr>
        <w:tabs>
          <w:tab w:pos="1381" w:val="left" w:leader="none"/>
          <w:tab w:pos="1382" w:val="left" w:leader="none"/>
        </w:tabs>
        <w:spacing w:line="273" w:lineRule="auto" w:before="36" w:after="0"/>
        <w:ind w:left="1382" w:right="0" w:hanging="1162"/>
        <w:jc w:val="left"/>
      </w:pPr>
      <w:r>
        <w:rPr>
          <w:spacing w:val="13"/>
        </w:rPr>
        <w:t>轻症重 疾的定义</w:t>
      </w:r>
    </w:p>
    <w:p>
      <w:pPr>
        <w:tabs>
          <w:tab w:pos="1381" w:val="left" w:leader="none"/>
        </w:tabs>
        <w:spacing w:line="259" w:lineRule="auto" w:before="89"/>
        <w:ind w:left="1381" w:right="0" w:hanging="1162"/>
        <w:jc w:val="left"/>
        <w:rPr>
          <w:i/>
          <w:sz w:val="22"/>
        </w:rPr>
      </w:pPr>
      <w:r>
        <w:rPr>
          <w:i/>
          <w:sz w:val="22"/>
        </w:rPr>
        <w:t>3.2.1</w:t>
        <w:tab/>
      </w:r>
      <w:r>
        <w:rPr>
          <w:i/>
          <w:spacing w:val="40"/>
          <w:w w:val="95"/>
          <w:sz w:val="22"/>
        </w:rPr>
        <w:t>非危及生命 </w:t>
      </w:r>
      <w:r>
        <w:rPr>
          <w:i/>
          <w:spacing w:val="13"/>
          <w:w w:val="95"/>
          <w:sz w:val="22"/>
        </w:rPr>
        <w:t>的恶性病变</w:t>
      </w:r>
    </w:p>
    <w:p>
      <w:pPr>
        <w:pStyle w:val="BodyText"/>
        <w:spacing w:before="36"/>
        <w:ind w:left="123"/>
      </w:pPr>
      <w:r>
        <w:rPr/>
        <w:br w:type="column"/>
      </w:r>
      <w:r>
        <w:rPr/>
        <w:t>以上各种轻症重疾须我们认可的医院专科医生明确诊断，符合以下定义：</w:t>
      </w:r>
    </w:p>
    <w:p>
      <w:pPr>
        <w:pStyle w:val="BodyText"/>
        <w:rPr>
          <w:sz w:val="20"/>
        </w:rPr>
      </w:pPr>
    </w:p>
    <w:p>
      <w:pPr>
        <w:pStyle w:val="BodyText"/>
        <w:spacing w:before="10"/>
        <w:rPr>
          <w:sz w:val="13"/>
        </w:rPr>
      </w:pPr>
    </w:p>
    <w:p>
      <w:pPr>
        <w:pStyle w:val="BodyText"/>
        <w:ind w:left="123"/>
      </w:pPr>
      <w:r>
        <w:rPr/>
        <w:t>指经组织病理学检查被明确诊断为下列恶性病变，并且接受了相应的治疗。</w:t>
      </w:r>
    </w:p>
    <w:p>
      <w:pPr>
        <w:pStyle w:val="BodyText"/>
        <w:spacing w:before="36"/>
        <w:ind w:left="123"/>
      </w:pPr>
      <w:r>
        <w:rPr/>
        <w:t>（1）原位癌</w:t>
      </w:r>
    </w:p>
    <w:p>
      <w:pPr>
        <w:pStyle w:val="BodyText"/>
        <w:spacing w:before="36"/>
        <w:ind w:left="123"/>
      </w:pPr>
      <w:r>
        <w:rPr/>
        <w:t>（2）相当于Binet 分期方案A期程度的慢性淋巴细胞白血病；</w:t>
      </w:r>
    </w:p>
    <w:p>
      <w:pPr>
        <w:pStyle w:val="BodyText"/>
        <w:spacing w:before="37"/>
        <w:ind w:left="123"/>
      </w:pPr>
      <w:r>
        <w:rPr/>
        <w:t>（3）相当于 Ann Arbor 分期方案 I 期程度的何杰金氏病；</w:t>
      </w:r>
    </w:p>
    <w:p>
      <w:pPr>
        <w:pStyle w:val="BodyText"/>
        <w:spacing w:before="37"/>
        <w:ind w:left="12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123"/>
      </w:pPr>
      <w:r>
        <w:rPr/>
        <w:t>（5）TNM分期为T1N0M0期或更轻分期的前列腺癌。</w:t>
      </w:r>
    </w:p>
    <w:p>
      <w:pPr>
        <w:spacing w:after="0"/>
        <w:sectPr>
          <w:type w:val="continuous"/>
          <w:pgSz w:w="11910" w:h="16840"/>
          <w:pgMar w:top="1060" w:bottom="280" w:left="800" w:right="700"/>
          <w:cols w:num="2" w:equalWidth="0">
            <w:col w:w="2691" w:space="40"/>
            <w:col w:w="7679"/>
          </w:cols>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654"/>
        <w:gridCol w:w="7735"/>
      </w:tblGrid>
      <w:tr>
        <w:trPr>
          <w:trHeight w:val="1656" w:hRule="atLeast"/>
        </w:trPr>
        <w:tc>
          <w:tcPr>
            <w:tcW w:w="1098" w:type="dxa"/>
          </w:tcPr>
          <w:p>
            <w:pPr>
              <w:pStyle w:val="TableParagraph"/>
              <w:spacing w:line="222" w:lineRule="exact"/>
              <w:ind w:left="200"/>
              <w:rPr>
                <w:i/>
                <w:sz w:val="22"/>
              </w:rPr>
            </w:pPr>
            <w:r>
              <w:rPr>
                <w:i/>
                <w:sz w:val="22"/>
              </w:rPr>
              <w:t>3.2.2</w:t>
            </w:r>
          </w:p>
        </w:tc>
        <w:tc>
          <w:tcPr>
            <w:tcW w:w="1654" w:type="dxa"/>
          </w:tcPr>
          <w:p>
            <w:pPr>
              <w:pStyle w:val="TableParagraph"/>
              <w:spacing w:line="222" w:lineRule="exact"/>
              <w:ind w:left="263"/>
              <w:rPr>
                <w:i/>
                <w:sz w:val="22"/>
              </w:rPr>
            </w:pPr>
            <w:r>
              <w:rPr>
                <w:i/>
                <w:w w:val="95"/>
                <w:sz w:val="22"/>
              </w:rPr>
              <w:t>脑垂体瘤、脑</w:t>
            </w:r>
          </w:p>
          <w:p>
            <w:pPr>
              <w:pStyle w:val="TableParagraph"/>
              <w:spacing w:line="259" w:lineRule="auto" w:before="24"/>
              <w:ind w:left="263" w:right="81"/>
              <w:jc w:val="both"/>
              <w:rPr>
                <w:i/>
                <w:sz w:val="22"/>
              </w:rPr>
            </w:pPr>
            <w:r>
              <w:rPr>
                <w:i/>
                <w:w w:val="95"/>
                <w:sz w:val="22"/>
              </w:rPr>
              <w:t>囊肿、脑动脉瘤和脑血管</w:t>
            </w:r>
            <w:r>
              <w:rPr>
                <w:i/>
                <w:sz w:val="22"/>
              </w:rPr>
              <w:t>瘤</w:t>
            </w:r>
          </w:p>
        </w:tc>
        <w:tc>
          <w:tcPr>
            <w:tcW w:w="7735" w:type="dxa"/>
          </w:tcPr>
          <w:p>
            <w:pPr>
              <w:pStyle w:val="TableParagraph"/>
              <w:spacing w:line="221" w:lineRule="exact"/>
              <w:ind w:left="81"/>
              <w:rPr>
                <w:sz w:val="21"/>
              </w:rPr>
            </w:pPr>
            <w:r>
              <w:rPr>
                <w:spacing w:val="-7"/>
                <w:w w:val="100"/>
                <w:sz w:val="21"/>
              </w:rPr>
              <w:t>指经头颅断层扫描</w:t>
            </w:r>
            <w:r>
              <w:rPr>
                <w:spacing w:val="-2"/>
                <w:w w:val="100"/>
                <w:sz w:val="21"/>
              </w:rPr>
              <w:t>（</w:t>
            </w:r>
            <w:r>
              <w:rPr>
                <w:w w:val="100"/>
                <w:sz w:val="21"/>
              </w:rPr>
              <w:t>CT</w:t>
            </w:r>
            <w:r>
              <w:rPr>
                <w:spacing w:val="-106"/>
                <w:w w:val="100"/>
                <w:sz w:val="21"/>
              </w:rPr>
              <w:t>）</w:t>
            </w:r>
            <w:r>
              <w:rPr>
                <w:spacing w:val="-13"/>
                <w:w w:val="100"/>
                <w:sz w:val="21"/>
              </w:rPr>
              <w:t>、核磁共振</w:t>
            </w:r>
            <w:r>
              <w:rPr>
                <w:spacing w:val="-3"/>
                <w:w w:val="100"/>
                <w:sz w:val="21"/>
              </w:rPr>
              <w:t>（</w:t>
            </w:r>
            <w:r>
              <w:rPr>
                <w:w w:val="100"/>
                <w:sz w:val="21"/>
              </w:rPr>
              <w:t>MRI</w:t>
            </w:r>
            <w:r>
              <w:rPr>
                <w:spacing w:val="-32"/>
                <w:w w:val="100"/>
                <w:sz w:val="21"/>
              </w:rPr>
              <w:t>）</w:t>
            </w:r>
            <w:r>
              <w:rPr>
                <w:spacing w:val="-3"/>
                <w:w w:val="100"/>
                <w:sz w:val="21"/>
              </w:rPr>
              <w:t>或其他影像学检查被确诊为下列病变，</w:t>
            </w:r>
          </w:p>
          <w:p>
            <w:pPr>
              <w:pStyle w:val="TableParagraph"/>
              <w:spacing w:before="37"/>
              <w:ind w:left="81"/>
              <w:rPr>
                <w:sz w:val="21"/>
              </w:rPr>
            </w:pPr>
            <w:r>
              <w:rPr>
                <w:sz w:val="21"/>
              </w:rPr>
              <w:t>并实际接受了手术或放射治疗。</w:t>
            </w:r>
          </w:p>
          <w:p>
            <w:pPr>
              <w:pStyle w:val="TableParagraph"/>
              <w:spacing w:before="37"/>
              <w:ind w:left="81"/>
              <w:rPr>
                <w:sz w:val="21"/>
              </w:rPr>
            </w:pPr>
            <w:r>
              <w:rPr>
                <w:sz w:val="21"/>
              </w:rPr>
              <w:t>（1）脑垂体瘤；</w:t>
            </w:r>
          </w:p>
          <w:p>
            <w:pPr>
              <w:pStyle w:val="TableParagraph"/>
              <w:spacing w:before="36"/>
              <w:ind w:left="81"/>
              <w:rPr>
                <w:sz w:val="21"/>
              </w:rPr>
            </w:pPr>
            <w:r>
              <w:rPr>
                <w:sz w:val="21"/>
              </w:rPr>
              <w:t>（2）脑囊肿；</w:t>
            </w:r>
          </w:p>
          <w:p>
            <w:pPr>
              <w:pStyle w:val="TableParagraph"/>
              <w:spacing w:before="36"/>
              <w:ind w:left="81"/>
              <w:rPr>
                <w:sz w:val="21"/>
              </w:rPr>
            </w:pPr>
            <w:r>
              <w:rPr>
                <w:sz w:val="21"/>
              </w:rPr>
              <w:t>（3）脑动脉瘤、脑血管瘤。</w:t>
            </w:r>
          </w:p>
        </w:tc>
      </w:tr>
      <w:tr>
        <w:trPr>
          <w:trHeight w:val="926" w:hRule="atLeast"/>
        </w:trPr>
        <w:tc>
          <w:tcPr>
            <w:tcW w:w="1098" w:type="dxa"/>
          </w:tcPr>
          <w:p>
            <w:pPr>
              <w:pStyle w:val="TableParagraph"/>
              <w:spacing w:before="121"/>
              <w:ind w:left="200"/>
              <w:rPr>
                <w:i/>
                <w:sz w:val="22"/>
              </w:rPr>
            </w:pPr>
            <w:r>
              <w:rPr>
                <w:i/>
                <w:sz w:val="22"/>
              </w:rPr>
              <w:t>3.2.3</w:t>
            </w:r>
          </w:p>
        </w:tc>
        <w:tc>
          <w:tcPr>
            <w:tcW w:w="1654" w:type="dxa"/>
          </w:tcPr>
          <w:p>
            <w:pPr>
              <w:pStyle w:val="TableParagraph"/>
              <w:spacing w:line="259" w:lineRule="auto" w:before="121"/>
              <w:ind w:left="263" w:right="81"/>
              <w:rPr>
                <w:i/>
                <w:sz w:val="22"/>
              </w:rPr>
            </w:pPr>
            <w:r>
              <w:rPr>
                <w:i/>
                <w:w w:val="95"/>
                <w:sz w:val="22"/>
              </w:rPr>
              <w:t>主动脉介入手术</w:t>
            </w:r>
          </w:p>
        </w:tc>
        <w:tc>
          <w:tcPr>
            <w:tcW w:w="7735" w:type="dxa"/>
          </w:tcPr>
          <w:p>
            <w:pPr>
              <w:pStyle w:val="TableParagraph"/>
              <w:spacing w:line="273" w:lineRule="auto" w:before="133"/>
              <w:ind w:left="81" w:right="303"/>
              <w:rPr>
                <w:sz w:val="21"/>
              </w:rPr>
            </w:pPr>
            <w:r>
              <w:rPr>
                <w:sz w:val="21"/>
              </w:rPr>
              <w:t>为了治疗主动脉疾病实际实施了经皮经导管进行的动脉内手术。主动脉指胸主动脉和腹主动脉，不包括胸主动脉和腹主动脉的分支血管。</w:t>
            </w:r>
          </w:p>
        </w:tc>
      </w:tr>
      <w:tr>
        <w:trPr>
          <w:trHeight w:val="1233" w:hRule="atLeast"/>
        </w:trPr>
        <w:tc>
          <w:tcPr>
            <w:tcW w:w="1098" w:type="dxa"/>
          </w:tcPr>
          <w:p>
            <w:pPr>
              <w:pStyle w:val="TableParagraph"/>
              <w:spacing w:before="138"/>
              <w:ind w:left="200"/>
              <w:rPr>
                <w:i/>
                <w:sz w:val="22"/>
              </w:rPr>
            </w:pPr>
            <w:r>
              <w:rPr>
                <w:i/>
                <w:sz w:val="22"/>
              </w:rPr>
              <w:t>3.2.4</w:t>
            </w:r>
          </w:p>
        </w:tc>
        <w:tc>
          <w:tcPr>
            <w:tcW w:w="1654" w:type="dxa"/>
          </w:tcPr>
          <w:p>
            <w:pPr>
              <w:pStyle w:val="TableParagraph"/>
              <w:spacing w:line="259" w:lineRule="auto" w:before="138"/>
              <w:ind w:left="263" w:right="81"/>
              <w:rPr>
                <w:i/>
                <w:sz w:val="22"/>
              </w:rPr>
            </w:pPr>
            <w:r>
              <w:rPr>
                <w:i/>
                <w:w w:val="95"/>
                <w:sz w:val="22"/>
              </w:rPr>
              <w:t>轻度原发性肺动脉高压</w:t>
            </w:r>
          </w:p>
        </w:tc>
        <w:tc>
          <w:tcPr>
            <w:tcW w:w="7735" w:type="dxa"/>
          </w:tcPr>
          <w:p>
            <w:pPr>
              <w:pStyle w:val="TableParagraph"/>
              <w:spacing w:line="280" w:lineRule="auto" w:before="174"/>
              <w:ind w:left="81" w:right="303"/>
              <w:jc w:val="both"/>
              <w:rPr>
                <w:sz w:val="21"/>
              </w:rPr>
            </w:pPr>
            <w:r>
              <w:rPr>
                <w:spacing w:val="-4"/>
                <w:sz w:val="21"/>
              </w:rPr>
              <w:t>指由于原发性肺动脉高压进行性发展而导致右心室肥厚，已经造成永久不可逆性</w:t>
            </w:r>
            <w:r>
              <w:rPr>
                <w:spacing w:val="-6"/>
                <w:sz w:val="21"/>
              </w:rPr>
              <w:t>的体力活动能力受限，达到美国纽约心脏病学会心功能状态分级 </w:t>
            </w:r>
            <w:r>
              <w:rPr>
                <w:sz w:val="21"/>
              </w:rPr>
              <w:t>III</w:t>
            </w:r>
            <w:r>
              <w:rPr>
                <w:spacing w:val="-9"/>
                <w:sz w:val="21"/>
              </w:rPr>
              <w:t> 级，且静息</w:t>
            </w:r>
            <w:r>
              <w:rPr>
                <w:spacing w:val="-8"/>
                <w:sz w:val="21"/>
              </w:rPr>
              <w:t>状态下肺动脉平均压超过 </w:t>
            </w:r>
            <w:r>
              <w:rPr>
                <w:sz w:val="21"/>
              </w:rPr>
              <w:t>25mmHg。</w:t>
            </w:r>
          </w:p>
        </w:tc>
      </w:tr>
      <w:tr>
        <w:trPr>
          <w:trHeight w:val="906" w:hRule="atLeast"/>
        </w:trPr>
        <w:tc>
          <w:tcPr>
            <w:tcW w:w="1098" w:type="dxa"/>
          </w:tcPr>
          <w:p>
            <w:pPr>
              <w:pStyle w:val="TableParagraph"/>
              <w:spacing w:before="78"/>
              <w:ind w:left="200"/>
              <w:rPr>
                <w:i/>
                <w:sz w:val="22"/>
              </w:rPr>
            </w:pPr>
            <w:r>
              <w:rPr>
                <w:i/>
                <w:sz w:val="22"/>
              </w:rPr>
              <w:t>3.2.5</w:t>
            </w:r>
          </w:p>
        </w:tc>
        <w:tc>
          <w:tcPr>
            <w:tcW w:w="1654" w:type="dxa"/>
          </w:tcPr>
          <w:p>
            <w:pPr>
              <w:pStyle w:val="TableParagraph"/>
              <w:spacing w:line="261" w:lineRule="auto" w:before="78"/>
              <w:ind w:left="263" w:right="81"/>
              <w:rPr>
                <w:i/>
                <w:sz w:val="22"/>
              </w:rPr>
            </w:pPr>
            <w:r>
              <w:rPr>
                <w:i/>
                <w:w w:val="95"/>
                <w:sz w:val="22"/>
              </w:rPr>
              <w:t>冠状动脉介入手术</w:t>
            </w:r>
          </w:p>
        </w:tc>
        <w:tc>
          <w:tcPr>
            <w:tcW w:w="7735" w:type="dxa"/>
          </w:tcPr>
          <w:p>
            <w:pPr>
              <w:pStyle w:val="TableParagraph"/>
              <w:spacing w:line="278" w:lineRule="auto" w:before="114"/>
              <w:ind w:left="81" w:right="305"/>
              <w:rPr>
                <w:sz w:val="21"/>
              </w:rPr>
            </w:pPr>
            <w:r>
              <w:rPr>
                <w:sz w:val="21"/>
              </w:rPr>
              <w:t>为了治疗明显的冠状动脉狭窄性疾病，首次实际实施了冠状动脉球囊扩张成形术、冠状动脉支架植入术或激光冠状动脉成形术。</w:t>
            </w:r>
          </w:p>
        </w:tc>
      </w:tr>
      <w:tr>
        <w:trPr>
          <w:trHeight w:val="960" w:hRule="atLeast"/>
        </w:trPr>
        <w:tc>
          <w:tcPr>
            <w:tcW w:w="1098" w:type="dxa"/>
          </w:tcPr>
          <w:p>
            <w:pPr>
              <w:pStyle w:val="TableParagraph"/>
              <w:spacing w:before="132"/>
              <w:ind w:left="200"/>
              <w:rPr>
                <w:i/>
                <w:sz w:val="22"/>
              </w:rPr>
            </w:pPr>
            <w:r>
              <w:rPr>
                <w:i/>
                <w:sz w:val="22"/>
              </w:rPr>
              <w:t>3.2.6</w:t>
            </w:r>
          </w:p>
        </w:tc>
        <w:tc>
          <w:tcPr>
            <w:tcW w:w="1654" w:type="dxa"/>
          </w:tcPr>
          <w:p>
            <w:pPr>
              <w:pStyle w:val="TableParagraph"/>
              <w:spacing w:before="132"/>
              <w:ind w:left="263"/>
              <w:rPr>
                <w:i/>
                <w:sz w:val="22"/>
              </w:rPr>
            </w:pPr>
            <w:r>
              <w:rPr>
                <w:i/>
                <w:w w:val="95"/>
                <w:sz w:val="22"/>
              </w:rPr>
              <w:t>单肢缺失</w:t>
            </w:r>
          </w:p>
        </w:tc>
        <w:tc>
          <w:tcPr>
            <w:tcW w:w="7735" w:type="dxa"/>
          </w:tcPr>
          <w:p>
            <w:pPr>
              <w:pStyle w:val="TableParagraph"/>
              <w:spacing w:line="278" w:lineRule="auto" w:before="168"/>
              <w:ind w:left="81" w:right="303"/>
              <w:rPr>
                <w:sz w:val="21"/>
              </w:rPr>
            </w:pPr>
            <w:r>
              <w:rPr>
                <w:sz w:val="21"/>
              </w:rPr>
              <w:t>指因疾病或意外伤害导致一个肢体自腕关节或踝关节近端（靠近躯干端）以上完全性断离。</w:t>
            </w:r>
          </w:p>
        </w:tc>
      </w:tr>
      <w:tr>
        <w:trPr>
          <w:trHeight w:val="960" w:hRule="atLeast"/>
        </w:trPr>
        <w:tc>
          <w:tcPr>
            <w:tcW w:w="1098" w:type="dxa"/>
          </w:tcPr>
          <w:p>
            <w:pPr>
              <w:pStyle w:val="TableParagraph"/>
              <w:spacing w:before="132"/>
              <w:ind w:left="200"/>
              <w:rPr>
                <w:i/>
                <w:sz w:val="22"/>
              </w:rPr>
            </w:pPr>
            <w:r>
              <w:rPr>
                <w:i/>
                <w:sz w:val="22"/>
              </w:rPr>
              <w:t>3.2.7</w:t>
            </w:r>
          </w:p>
        </w:tc>
        <w:tc>
          <w:tcPr>
            <w:tcW w:w="1654" w:type="dxa"/>
          </w:tcPr>
          <w:p>
            <w:pPr>
              <w:pStyle w:val="TableParagraph"/>
              <w:spacing w:line="259" w:lineRule="auto" w:before="132"/>
              <w:ind w:left="263" w:right="81"/>
              <w:rPr>
                <w:i/>
                <w:sz w:val="22"/>
              </w:rPr>
            </w:pPr>
            <w:r>
              <w:rPr>
                <w:i/>
                <w:w w:val="95"/>
                <w:sz w:val="22"/>
              </w:rPr>
              <w:t>心脏瓣膜介入手术</w:t>
            </w:r>
          </w:p>
        </w:tc>
        <w:tc>
          <w:tcPr>
            <w:tcW w:w="7735" w:type="dxa"/>
          </w:tcPr>
          <w:p>
            <w:pPr>
              <w:pStyle w:val="TableParagraph"/>
              <w:spacing w:line="278" w:lineRule="auto" w:before="168"/>
              <w:ind w:left="81" w:right="303"/>
              <w:rPr>
                <w:sz w:val="21"/>
              </w:rPr>
            </w:pPr>
            <w:r>
              <w:rPr>
                <w:sz w:val="21"/>
              </w:rPr>
              <w:t>为了治疗心脏瓣膜疾病，实际实施了非开胸的经胸壁打孔内镜手术或经皮经导管介入手术进行的心脏瓣膜置换或修复手术。</w:t>
            </w:r>
          </w:p>
        </w:tc>
      </w:tr>
      <w:tr>
        <w:trPr>
          <w:trHeight w:val="960" w:hRule="atLeast"/>
        </w:trPr>
        <w:tc>
          <w:tcPr>
            <w:tcW w:w="1098" w:type="dxa"/>
          </w:tcPr>
          <w:p>
            <w:pPr>
              <w:pStyle w:val="TableParagraph"/>
              <w:spacing w:before="132"/>
              <w:ind w:left="200"/>
              <w:rPr>
                <w:i/>
                <w:sz w:val="22"/>
              </w:rPr>
            </w:pPr>
            <w:r>
              <w:rPr>
                <w:i/>
                <w:sz w:val="22"/>
              </w:rPr>
              <w:t>3.2.8</w:t>
            </w:r>
          </w:p>
        </w:tc>
        <w:tc>
          <w:tcPr>
            <w:tcW w:w="1654" w:type="dxa"/>
          </w:tcPr>
          <w:p>
            <w:pPr>
              <w:pStyle w:val="TableParagraph"/>
              <w:spacing w:line="259" w:lineRule="auto" w:before="132"/>
              <w:ind w:left="263" w:right="81"/>
              <w:rPr>
                <w:i/>
                <w:sz w:val="22"/>
              </w:rPr>
            </w:pPr>
            <w:r>
              <w:rPr>
                <w:i/>
                <w:w w:val="95"/>
                <w:sz w:val="22"/>
              </w:rPr>
              <w:t>脑外伤开颅手术</w:t>
            </w:r>
          </w:p>
        </w:tc>
        <w:tc>
          <w:tcPr>
            <w:tcW w:w="7735" w:type="dxa"/>
          </w:tcPr>
          <w:p>
            <w:pPr>
              <w:pStyle w:val="TableParagraph"/>
              <w:spacing w:line="278" w:lineRule="auto" w:before="168"/>
              <w:ind w:left="81" w:right="303"/>
              <w:rPr>
                <w:sz w:val="21"/>
              </w:rPr>
            </w:pPr>
            <w:r>
              <w:rPr>
                <w:spacing w:val="-5"/>
                <w:sz w:val="21"/>
              </w:rPr>
              <w:t>因头部遭受机械性外力，引起脑重要部位损伤，并实际接受了全麻下颅骨切开颅</w:t>
            </w:r>
            <w:r>
              <w:rPr>
                <w:spacing w:val="-4"/>
                <w:sz w:val="21"/>
              </w:rPr>
              <w:t>内血肿清除术</w:t>
            </w:r>
            <w:r>
              <w:rPr>
                <w:spacing w:val="-3"/>
                <w:sz w:val="21"/>
              </w:rPr>
              <w:t>（颅骨钻孔术除外</w:t>
            </w:r>
            <w:r>
              <w:rPr>
                <w:spacing w:val="-106"/>
                <w:sz w:val="21"/>
              </w:rPr>
              <w:t>）</w:t>
            </w:r>
            <w:r>
              <w:rPr>
                <w:sz w:val="21"/>
              </w:rPr>
              <w:t>。</w:t>
            </w:r>
          </w:p>
        </w:tc>
      </w:tr>
      <w:tr>
        <w:trPr>
          <w:trHeight w:val="986" w:hRule="atLeast"/>
        </w:trPr>
        <w:tc>
          <w:tcPr>
            <w:tcW w:w="1098" w:type="dxa"/>
          </w:tcPr>
          <w:p>
            <w:pPr>
              <w:pStyle w:val="TableParagraph"/>
              <w:spacing w:before="132"/>
              <w:ind w:left="200"/>
              <w:rPr>
                <w:i/>
                <w:sz w:val="22"/>
              </w:rPr>
            </w:pPr>
            <w:r>
              <w:rPr>
                <w:i/>
                <w:sz w:val="22"/>
              </w:rPr>
              <w:t>3.2.9</w:t>
            </w:r>
          </w:p>
        </w:tc>
        <w:tc>
          <w:tcPr>
            <w:tcW w:w="1654" w:type="dxa"/>
          </w:tcPr>
          <w:p>
            <w:pPr>
              <w:pStyle w:val="TableParagraph"/>
              <w:spacing w:line="261" w:lineRule="auto" w:before="132"/>
              <w:ind w:left="263" w:right="60"/>
              <w:rPr>
                <w:i/>
                <w:sz w:val="22"/>
              </w:rPr>
            </w:pPr>
            <w:r>
              <w:rPr>
                <w:i/>
                <w:sz w:val="22"/>
              </w:rPr>
              <w:t>较小面积 III </w:t>
            </w:r>
            <w:r>
              <w:rPr>
                <w:i/>
                <w:w w:val="95"/>
                <w:sz w:val="22"/>
              </w:rPr>
              <w:t>度烧伤</w:t>
            </w:r>
          </w:p>
        </w:tc>
        <w:tc>
          <w:tcPr>
            <w:tcW w:w="7735" w:type="dxa"/>
          </w:tcPr>
          <w:p>
            <w:pPr>
              <w:pStyle w:val="TableParagraph"/>
              <w:spacing w:line="278" w:lineRule="auto" w:before="168"/>
              <w:ind w:left="81" w:right="303"/>
              <w:rPr>
                <w:sz w:val="21"/>
              </w:rPr>
            </w:pPr>
            <w:r>
              <w:rPr>
                <w:spacing w:val="-3"/>
                <w:sz w:val="21"/>
              </w:rPr>
              <w:t>指烧伤程度为Ⅲ度，且Ⅲ度烧伤面积达到全身体表面积的 </w:t>
            </w:r>
            <w:r>
              <w:rPr>
                <w:sz w:val="21"/>
              </w:rPr>
              <w:t>10%（</w:t>
            </w:r>
            <w:r>
              <w:rPr>
                <w:spacing w:val="-3"/>
                <w:sz w:val="21"/>
              </w:rPr>
              <w:t>百分之十）</w:t>
            </w:r>
            <w:r>
              <w:rPr>
                <w:sz w:val="21"/>
              </w:rPr>
              <w:t>但少</w:t>
            </w:r>
            <w:r>
              <w:rPr>
                <w:spacing w:val="-12"/>
                <w:sz w:val="21"/>
              </w:rPr>
              <w:t>于 </w:t>
            </w:r>
            <w:r>
              <w:rPr>
                <w:sz w:val="21"/>
              </w:rPr>
              <w:t>20%（</w:t>
            </w:r>
            <w:r>
              <w:rPr>
                <w:spacing w:val="-3"/>
                <w:sz w:val="21"/>
              </w:rPr>
              <w:t>百分之二十</w:t>
            </w:r>
            <w:r>
              <w:rPr>
                <w:spacing w:val="-106"/>
                <w:sz w:val="21"/>
              </w:rPr>
              <w:t>）</w:t>
            </w:r>
            <w:r>
              <w:rPr>
                <w:spacing w:val="-3"/>
                <w:sz w:val="21"/>
              </w:rPr>
              <w:t>。体表面积根据《中国新九分法》计算。</w:t>
            </w:r>
          </w:p>
        </w:tc>
      </w:tr>
      <w:tr>
        <w:trPr>
          <w:trHeight w:val="2512" w:hRule="atLeast"/>
        </w:trPr>
        <w:tc>
          <w:tcPr>
            <w:tcW w:w="1098" w:type="dxa"/>
          </w:tcPr>
          <w:p>
            <w:pPr>
              <w:pStyle w:val="TableParagraph"/>
              <w:spacing w:before="158"/>
              <w:ind w:left="200"/>
              <w:rPr>
                <w:i/>
                <w:sz w:val="22"/>
              </w:rPr>
            </w:pPr>
            <w:r>
              <w:rPr>
                <w:i/>
                <w:sz w:val="22"/>
              </w:rPr>
              <w:t>3.2.10</w:t>
            </w:r>
          </w:p>
        </w:tc>
        <w:tc>
          <w:tcPr>
            <w:tcW w:w="1654" w:type="dxa"/>
          </w:tcPr>
          <w:p>
            <w:pPr>
              <w:pStyle w:val="TableParagraph"/>
              <w:spacing w:line="259" w:lineRule="auto" w:before="158"/>
              <w:ind w:left="263" w:right="81"/>
              <w:rPr>
                <w:i/>
                <w:sz w:val="22"/>
              </w:rPr>
            </w:pPr>
            <w:r>
              <w:rPr>
                <w:i/>
                <w:w w:val="95"/>
                <w:sz w:val="22"/>
              </w:rPr>
              <w:t>视力严重受</w:t>
            </w:r>
            <w:r>
              <w:rPr>
                <w:i/>
                <w:sz w:val="22"/>
              </w:rPr>
              <w:t>损</w:t>
            </w:r>
          </w:p>
        </w:tc>
        <w:tc>
          <w:tcPr>
            <w:tcW w:w="7735" w:type="dxa"/>
          </w:tcPr>
          <w:p>
            <w:pPr>
              <w:pStyle w:val="TableParagraph"/>
              <w:spacing w:before="10"/>
              <w:ind w:left="0"/>
              <w:rPr>
                <w:rFonts w:ascii="Times New Roman"/>
                <w:sz w:val="16"/>
              </w:rPr>
            </w:pPr>
          </w:p>
          <w:p>
            <w:pPr>
              <w:pStyle w:val="TableParagraph"/>
              <w:spacing w:line="278" w:lineRule="auto"/>
              <w:ind w:left="81" w:right="303"/>
              <w:rPr>
                <w:sz w:val="21"/>
              </w:rPr>
            </w:pPr>
            <w:r>
              <w:rPr>
                <w:sz w:val="21"/>
              </w:rPr>
              <w:t>指因疾病或意外伤害导致双目视力永久不可逆性丧失，虽然未达到重大疾病“双目失明”的给付标准，但满足下列全部条件：</w:t>
            </w:r>
          </w:p>
          <w:p>
            <w:pPr>
              <w:pStyle w:val="TableParagraph"/>
              <w:spacing w:line="280" w:lineRule="auto" w:before="10"/>
              <w:ind w:left="81" w:right="306"/>
              <w:rPr>
                <w:sz w:val="21"/>
              </w:rPr>
            </w:pPr>
            <w:r>
              <w:rPr>
                <w:spacing w:val="-8"/>
                <w:sz w:val="21"/>
              </w:rPr>
              <w:t>（1）</w:t>
            </w:r>
            <w:r>
              <w:rPr>
                <w:spacing w:val="-5"/>
                <w:sz w:val="21"/>
              </w:rPr>
              <w:t>双眼中较好眼矫正视力低于 </w:t>
            </w:r>
            <w:r>
              <w:rPr>
                <w:spacing w:val="-7"/>
                <w:sz w:val="21"/>
              </w:rPr>
              <w:t>0.1（</w:t>
            </w:r>
            <w:r>
              <w:rPr>
                <w:spacing w:val="-5"/>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8"/>
              <w:ind w:left="81"/>
              <w:rPr>
                <w:sz w:val="21"/>
              </w:rPr>
            </w:pPr>
            <w:r>
              <w:rPr>
                <w:sz w:val="21"/>
              </w:rPr>
              <w:t>（2）视野半径小于 20 度。</w:t>
            </w:r>
          </w:p>
          <w:p>
            <w:pPr>
              <w:pStyle w:val="TableParagraph"/>
              <w:spacing w:line="280" w:lineRule="auto" w:before="44"/>
              <w:ind w:left="81" w:right="303"/>
              <w:rPr>
                <w:sz w:val="21"/>
              </w:rPr>
            </w:pPr>
            <w:r>
              <w:rPr>
                <w:spacing w:val="-5"/>
                <w:sz w:val="21"/>
              </w:rPr>
              <w:t>申请理赔时，被保险人年龄必须在 </w:t>
            </w:r>
            <w:r>
              <w:rPr>
                <w:sz w:val="21"/>
              </w:rPr>
              <w:t>3</w:t>
            </w:r>
            <w:r>
              <w:rPr>
                <w:spacing w:val="-8"/>
                <w:sz w:val="21"/>
              </w:rPr>
              <w:t> 周岁以上，并且须提供理赔当时的视力丧失</w:t>
            </w:r>
            <w:r>
              <w:rPr>
                <w:spacing w:val="-5"/>
                <w:sz w:val="21"/>
              </w:rPr>
              <w:t>诊断及检查证据。</w:t>
            </w:r>
          </w:p>
        </w:tc>
      </w:tr>
      <w:tr>
        <w:trPr>
          <w:trHeight w:val="3232" w:hRule="atLeast"/>
        </w:trPr>
        <w:tc>
          <w:tcPr>
            <w:tcW w:w="1098" w:type="dxa"/>
          </w:tcPr>
          <w:p>
            <w:pPr>
              <w:pStyle w:val="TableParagraph"/>
              <w:spacing w:before="60"/>
              <w:ind w:left="200"/>
              <w:rPr>
                <w:b/>
                <w:sz w:val="21"/>
              </w:rPr>
            </w:pPr>
            <w:r>
              <w:rPr>
                <w:b/>
                <w:sz w:val="21"/>
              </w:rPr>
              <w:t>3.3</w:t>
            </w:r>
          </w:p>
        </w:tc>
        <w:tc>
          <w:tcPr>
            <w:tcW w:w="1654" w:type="dxa"/>
          </w:tcPr>
          <w:p>
            <w:pPr>
              <w:pStyle w:val="TableParagraph"/>
              <w:spacing w:line="273" w:lineRule="auto" w:before="60"/>
              <w:ind w:left="263" w:right="333"/>
              <w:rPr>
                <w:b/>
                <w:sz w:val="21"/>
              </w:rPr>
            </w:pPr>
            <w:r>
              <w:rPr>
                <w:b/>
                <w:sz w:val="21"/>
              </w:rPr>
              <w:t>重大疾病的范围</w:t>
            </w:r>
          </w:p>
        </w:tc>
        <w:tc>
          <w:tcPr>
            <w:tcW w:w="7735" w:type="dxa"/>
          </w:tcPr>
          <w:p>
            <w:pPr>
              <w:pStyle w:val="TableParagraph"/>
              <w:spacing w:line="280" w:lineRule="auto" w:before="84"/>
              <w:ind w:left="81" w:right="303"/>
              <w:jc w:val="both"/>
              <w:rPr>
                <w:sz w:val="21"/>
              </w:rPr>
            </w:pPr>
            <w:r>
              <w:rPr>
                <w:spacing w:val="-4"/>
                <w:sz w:val="21"/>
              </w:rPr>
              <w:t>本合同所指的重大疾病在本合同中有确定的含义，不仅包括部分一般意义上的重</w:t>
            </w:r>
            <w:r>
              <w:rPr>
                <w:spacing w:val="-6"/>
                <w:sz w:val="21"/>
              </w:rPr>
              <w:t>大疾病，还包括某些重大手术，本合同所指的重大疾病可能与临床医学所指的重</w:t>
            </w:r>
            <w:r>
              <w:rPr>
                <w:spacing w:val="-5"/>
                <w:sz w:val="21"/>
              </w:rPr>
              <w:t>大疾病在概念和范围上有所不同，我们将在本合同重大疾病定义中详细列明，您</w:t>
            </w:r>
            <w:r>
              <w:rPr>
                <w:spacing w:val="-4"/>
                <w:sz w:val="21"/>
              </w:rPr>
              <w:t>投保本合同即表明认可并遵从本合同中对重大疾病的定义。</w:t>
            </w:r>
          </w:p>
          <w:p>
            <w:pPr>
              <w:pStyle w:val="TableParagraph"/>
              <w:spacing w:before="9"/>
              <w:ind w:left="81"/>
              <w:jc w:val="both"/>
              <w:rPr>
                <w:sz w:val="21"/>
              </w:rPr>
            </w:pPr>
            <w:r>
              <w:rPr>
                <w:sz w:val="21"/>
              </w:rPr>
              <w:t>在本合同有效期内，被保险人年满 18 周岁前，我们保障的重大疾病如下所示：</w:t>
            </w:r>
          </w:p>
          <w:p>
            <w:pPr>
              <w:pStyle w:val="TableParagraph"/>
              <w:ind w:left="0"/>
              <w:rPr>
                <w:rFonts w:ascii="Times New Roman"/>
                <w:sz w:val="20"/>
              </w:rPr>
            </w:pPr>
          </w:p>
          <w:p>
            <w:pPr>
              <w:pStyle w:val="TableParagraph"/>
              <w:numPr>
                <w:ilvl w:val="0"/>
                <w:numId w:val="9"/>
              </w:numPr>
              <w:tabs>
                <w:tab w:pos="485" w:val="left" w:leader="none"/>
                <w:tab w:pos="3458" w:val="left" w:leader="none"/>
              </w:tabs>
              <w:spacing w:line="240" w:lineRule="auto" w:before="147" w:after="0"/>
              <w:ind w:left="485" w:right="0" w:hanging="212"/>
              <w:jc w:val="left"/>
              <w:rPr>
                <w:sz w:val="18"/>
              </w:rPr>
            </w:pPr>
            <w:r>
              <w:rPr>
                <w:sz w:val="18"/>
              </w:rPr>
              <w:t>恶性肿瘤</w:t>
              <w:tab/>
              <w:t>21</w:t>
            </w:r>
            <w:r>
              <w:rPr>
                <w:spacing w:val="27"/>
                <w:sz w:val="18"/>
              </w:rPr>
              <w:t> </w:t>
            </w:r>
            <w:r>
              <w:rPr>
                <w:sz w:val="18"/>
              </w:rPr>
              <w:t>严重原发性肺动脉高压</w:t>
            </w:r>
          </w:p>
          <w:p>
            <w:pPr>
              <w:pStyle w:val="TableParagraph"/>
              <w:numPr>
                <w:ilvl w:val="0"/>
                <w:numId w:val="9"/>
              </w:numPr>
              <w:tabs>
                <w:tab w:pos="485" w:val="left" w:leader="none"/>
                <w:tab w:pos="3458" w:val="left" w:leader="none"/>
              </w:tabs>
              <w:spacing w:line="240" w:lineRule="auto" w:before="90" w:after="0"/>
              <w:ind w:left="485" w:right="0" w:hanging="212"/>
              <w:jc w:val="left"/>
              <w:rPr>
                <w:sz w:val="18"/>
              </w:rPr>
            </w:pPr>
            <w:r>
              <w:rPr>
                <w:sz w:val="18"/>
              </w:rPr>
              <w:t>急性心肌梗塞</w:t>
              <w:tab/>
              <w:t>22</w:t>
            </w:r>
            <w:r>
              <w:rPr>
                <w:spacing w:val="27"/>
                <w:sz w:val="18"/>
              </w:rPr>
              <w:t> </w:t>
            </w:r>
            <w:r>
              <w:rPr>
                <w:sz w:val="18"/>
              </w:rPr>
              <w:t>严重运动神经元病</w:t>
            </w:r>
          </w:p>
          <w:p>
            <w:pPr>
              <w:pStyle w:val="TableParagraph"/>
              <w:numPr>
                <w:ilvl w:val="0"/>
                <w:numId w:val="9"/>
              </w:numPr>
              <w:tabs>
                <w:tab w:pos="485" w:val="left" w:leader="none"/>
                <w:tab w:pos="3458" w:val="left" w:leader="none"/>
              </w:tabs>
              <w:spacing w:line="240" w:lineRule="auto" w:before="90" w:after="0"/>
              <w:ind w:left="485" w:right="0" w:hanging="212"/>
              <w:jc w:val="left"/>
              <w:rPr>
                <w:sz w:val="18"/>
              </w:rPr>
            </w:pPr>
            <w:r>
              <w:rPr>
                <w:sz w:val="18"/>
              </w:rPr>
              <w:t>脑中风后遗症</w:t>
              <w:tab/>
              <w:t>23</w:t>
            </w:r>
            <w:r>
              <w:rPr>
                <w:spacing w:val="27"/>
                <w:sz w:val="18"/>
              </w:rPr>
              <w:t> </w:t>
            </w:r>
            <w:r>
              <w:rPr>
                <w:sz w:val="18"/>
              </w:rPr>
              <w:t>语言能力丧失</w:t>
            </w:r>
          </w:p>
          <w:p>
            <w:pPr>
              <w:pStyle w:val="TableParagraph"/>
              <w:numPr>
                <w:ilvl w:val="0"/>
                <w:numId w:val="9"/>
              </w:numPr>
              <w:tabs>
                <w:tab w:pos="485" w:val="left" w:leader="none"/>
              </w:tabs>
              <w:spacing w:line="216" w:lineRule="exact" w:before="93" w:after="0"/>
              <w:ind w:left="485" w:right="0" w:hanging="212"/>
              <w:jc w:val="left"/>
              <w:rPr>
                <w:sz w:val="18"/>
              </w:rPr>
            </w:pPr>
            <w:r>
              <w:rPr>
                <w:sz w:val="18"/>
              </w:rPr>
              <w:t>重大器官移植术或造血干细胞移植术 24 重型再生障碍性贫血</w:t>
            </w:r>
          </w:p>
        </w:tc>
      </w:tr>
    </w:tbl>
    <w:p>
      <w:pPr>
        <w:spacing w:after="0" w:line="216" w:lineRule="exact"/>
        <w:jc w:val="left"/>
        <w:rPr>
          <w:sz w:val="18"/>
        </w:rPr>
        <w:sectPr>
          <w:pgSz w:w="11910" w:h="16840"/>
          <w:pgMar w:header="568" w:footer="0" w:top="800" w:bottom="280" w:left="720" w:right="480"/>
        </w:sectPr>
      </w:pPr>
    </w:p>
    <w:p>
      <w:pPr>
        <w:pStyle w:val="BodyText"/>
        <w:rPr>
          <w:rFonts w:ascii="Times New Roman"/>
          <w:sz w:val="20"/>
        </w:rPr>
      </w:pPr>
    </w:p>
    <w:p>
      <w:pPr>
        <w:pStyle w:val="BodyText"/>
        <w:spacing w:before="9"/>
        <w:rPr>
          <w:rFonts w:ascii="Times New Roman"/>
          <w:sz w:val="15"/>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78"/>
        <w:gridCol w:w="2239"/>
      </w:tblGrid>
      <w:tr>
        <w:trPr>
          <w:trHeight w:val="253" w:hRule="atLeast"/>
        </w:trPr>
        <w:tc>
          <w:tcPr>
            <w:tcW w:w="441" w:type="dxa"/>
          </w:tcPr>
          <w:p>
            <w:pPr>
              <w:pStyle w:val="TableParagraph"/>
              <w:spacing w:line="180" w:lineRule="exact"/>
              <w:ind w:left="0" w:right="60"/>
              <w:jc w:val="right"/>
              <w:rPr>
                <w:sz w:val="18"/>
              </w:rPr>
            </w:pPr>
            <w:r>
              <w:rPr>
                <w:sz w:val="18"/>
              </w:rPr>
              <w:t>5</w:t>
            </w:r>
          </w:p>
        </w:tc>
        <w:tc>
          <w:tcPr>
            <w:tcW w:w="2896" w:type="dxa"/>
          </w:tcPr>
          <w:p>
            <w:pPr>
              <w:pStyle w:val="TableParagraph"/>
              <w:spacing w:line="180" w:lineRule="exact"/>
              <w:ind w:left="58"/>
              <w:rPr>
                <w:sz w:val="18"/>
              </w:rPr>
            </w:pPr>
            <w:r>
              <w:rPr>
                <w:sz w:val="18"/>
              </w:rPr>
              <w:t>冠状动脉搭桥术</w:t>
            </w:r>
          </w:p>
        </w:tc>
        <w:tc>
          <w:tcPr>
            <w:tcW w:w="378" w:type="dxa"/>
          </w:tcPr>
          <w:p>
            <w:pPr>
              <w:pStyle w:val="TableParagraph"/>
              <w:spacing w:line="180" w:lineRule="exact"/>
              <w:ind w:left="0" w:right="56"/>
              <w:jc w:val="right"/>
              <w:rPr>
                <w:sz w:val="18"/>
              </w:rPr>
            </w:pPr>
            <w:r>
              <w:rPr>
                <w:sz w:val="18"/>
              </w:rPr>
              <w:t>25</w:t>
            </w:r>
          </w:p>
        </w:tc>
        <w:tc>
          <w:tcPr>
            <w:tcW w:w="2239" w:type="dxa"/>
          </w:tcPr>
          <w:p>
            <w:pPr>
              <w:pStyle w:val="TableParagraph"/>
              <w:spacing w:line="180" w:lineRule="exact"/>
              <w:ind w:left="58"/>
              <w:rPr>
                <w:sz w:val="18"/>
              </w:rPr>
            </w:pPr>
            <w:r>
              <w:rPr>
                <w:sz w:val="18"/>
              </w:rPr>
              <w:t>主动脉手术</w:t>
            </w:r>
          </w:p>
        </w:tc>
      </w:tr>
      <w:tr>
        <w:trPr>
          <w:trHeight w:val="326" w:hRule="atLeast"/>
        </w:trPr>
        <w:tc>
          <w:tcPr>
            <w:tcW w:w="441" w:type="dxa"/>
          </w:tcPr>
          <w:p>
            <w:pPr>
              <w:pStyle w:val="TableParagraph"/>
              <w:ind w:left="0"/>
              <w:rPr>
                <w:rFonts w:ascii="Times New Roman"/>
                <w:sz w:val="18"/>
              </w:rPr>
            </w:pPr>
          </w:p>
        </w:tc>
        <w:tc>
          <w:tcPr>
            <w:tcW w:w="2896" w:type="dxa"/>
          </w:tcPr>
          <w:p>
            <w:pPr>
              <w:pStyle w:val="TableParagraph"/>
              <w:spacing w:before="17"/>
              <w:ind w:left="58"/>
              <w:rPr>
                <w:sz w:val="18"/>
              </w:rPr>
            </w:pPr>
            <w:r>
              <w:rPr>
                <w:sz w:val="18"/>
              </w:rPr>
              <w:t>（或称冠状动脉旁路移植术）</w:t>
            </w:r>
          </w:p>
        </w:tc>
        <w:tc>
          <w:tcPr>
            <w:tcW w:w="378" w:type="dxa"/>
          </w:tcPr>
          <w:p>
            <w:pPr>
              <w:pStyle w:val="TableParagraph"/>
              <w:spacing w:before="17"/>
              <w:ind w:left="0" w:right="56"/>
              <w:jc w:val="right"/>
              <w:rPr>
                <w:sz w:val="18"/>
              </w:rPr>
            </w:pPr>
            <w:r>
              <w:rPr>
                <w:sz w:val="18"/>
              </w:rPr>
              <w:t>26</w:t>
            </w:r>
          </w:p>
        </w:tc>
        <w:tc>
          <w:tcPr>
            <w:tcW w:w="2239" w:type="dxa"/>
          </w:tcPr>
          <w:p>
            <w:pPr>
              <w:pStyle w:val="TableParagraph"/>
              <w:spacing w:before="17"/>
              <w:ind w:left="58"/>
              <w:rPr>
                <w:sz w:val="18"/>
              </w:rPr>
            </w:pPr>
            <w:r>
              <w:rPr>
                <w:sz w:val="18"/>
              </w:rPr>
              <w:t>植物人状态</w:t>
            </w:r>
          </w:p>
        </w:tc>
      </w:tr>
      <w:tr>
        <w:trPr>
          <w:trHeight w:val="326" w:hRule="atLeast"/>
        </w:trPr>
        <w:tc>
          <w:tcPr>
            <w:tcW w:w="441" w:type="dxa"/>
          </w:tcPr>
          <w:p>
            <w:pPr>
              <w:pStyle w:val="TableParagraph"/>
              <w:spacing w:before="18"/>
              <w:ind w:left="0" w:right="60"/>
              <w:jc w:val="right"/>
              <w:rPr>
                <w:sz w:val="18"/>
              </w:rPr>
            </w:pPr>
            <w:r>
              <w:rPr>
                <w:sz w:val="18"/>
              </w:rPr>
              <w:t>6</w:t>
            </w:r>
          </w:p>
        </w:tc>
        <w:tc>
          <w:tcPr>
            <w:tcW w:w="2896" w:type="dxa"/>
          </w:tcPr>
          <w:p>
            <w:pPr>
              <w:pStyle w:val="TableParagraph"/>
              <w:spacing w:before="18"/>
              <w:ind w:left="58"/>
              <w:rPr>
                <w:sz w:val="18"/>
              </w:rPr>
            </w:pPr>
            <w:r>
              <w:rPr>
                <w:sz w:val="18"/>
              </w:rPr>
              <w:t>终末期肾病</w:t>
            </w:r>
          </w:p>
        </w:tc>
        <w:tc>
          <w:tcPr>
            <w:tcW w:w="378" w:type="dxa"/>
          </w:tcPr>
          <w:p>
            <w:pPr>
              <w:pStyle w:val="TableParagraph"/>
              <w:spacing w:before="18"/>
              <w:ind w:left="0" w:right="56"/>
              <w:jc w:val="right"/>
              <w:rPr>
                <w:sz w:val="18"/>
              </w:rPr>
            </w:pPr>
            <w:r>
              <w:rPr>
                <w:sz w:val="18"/>
              </w:rPr>
              <w:t>27</w:t>
            </w:r>
          </w:p>
        </w:tc>
        <w:tc>
          <w:tcPr>
            <w:tcW w:w="2239" w:type="dxa"/>
          </w:tcPr>
          <w:p>
            <w:pPr>
              <w:pStyle w:val="TableParagraph"/>
              <w:spacing w:before="18"/>
              <w:ind w:left="58"/>
              <w:rPr>
                <w:sz w:val="18"/>
              </w:rPr>
            </w:pPr>
            <w:r>
              <w:rPr>
                <w:sz w:val="18"/>
              </w:rPr>
              <w:t>原发性硬化性胆管炎</w:t>
            </w:r>
          </w:p>
        </w:tc>
      </w:tr>
      <w:tr>
        <w:trPr>
          <w:trHeight w:val="327" w:hRule="atLeast"/>
        </w:trPr>
        <w:tc>
          <w:tcPr>
            <w:tcW w:w="441" w:type="dxa"/>
          </w:tcPr>
          <w:p>
            <w:pPr>
              <w:pStyle w:val="TableParagraph"/>
              <w:ind w:left="0"/>
              <w:rPr>
                <w:rFonts w:ascii="Times New Roman"/>
                <w:sz w:val="18"/>
              </w:rPr>
            </w:pPr>
          </w:p>
        </w:tc>
        <w:tc>
          <w:tcPr>
            <w:tcW w:w="2896" w:type="dxa"/>
          </w:tcPr>
          <w:p>
            <w:pPr>
              <w:pStyle w:val="TableParagraph"/>
              <w:spacing w:before="17"/>
              <w:ind w:left="58"/>
              <w:rPr>
                <w:sz w:val="18"/>
              </w:rPr>
            </w:pPr>
            <w:r>
              <w:rPr>
                <w:sz w:val="18"/>
              </w:rPr>
              <w:t>（或称慢性肾功能衰竭尿毒症期）</w:t>
            </w:r>
          </w:p>
        </w:tc>
        <w:tc>
          <w:tcPr>
            <w:tcW w:w="378" w:type="dxa"/>
          </w:tcPr>
          <w:p>
            <w:pPr>
              <w:pStyle w:val="TableParagraph"/>
              <w:spacing w:before="17"/>
              <w:ind w:left="0" w:right="56"/>
              <w:jc w:val="right"/>
              <w:rPr>
                <w:sz w:val="18"/>
              </w:rPr>
            </w:pPr>
            <w:r>
              <w:rPr>
                <w:sz w:val="18"/>
              </w:rPr>
              <w:t>28</w:t>
            </w:r>
          </w:p>
        </w:tc>
        <w:tc>
          <w:tcPr>
            <w:tcW w:w="2239" w:type="dxa"/>
          </w:tcPr>
          <w:p>
            <w:pPr>
              <w:pStyle w:val="TableParagraph"/>
              <w:spacing w:before="17"/>
              <w:ind w:left="58"/>
              <w:rPr>
                <w:sz w:val="18"/>
              </w:rPr>
            </w:pPr>
            <w:r>
              <w:rPr>
                <w:sz w:val="18"/>
              </w:rPr>
              <w:t>埃博拉病毒感染</w:t>
            </w:r>
          </w:p>
        </w:tc>
      </w:tr>
      <w:tr>
        <w:trPr>
          <w:trHeight w:val="327" w:hRule="atLeast"/>
        </w:trPr>
        <w:tc>
          <w:tcPr>
            <w:tcW w:w="441" w:type="dxa"/>
          </w:tcPr>
          <w:p>
            <w:pPr>
              <w:pStyle w:val="TableParagraph"/>
              <w:spacing w:before="19"/>
              <w:ind w:left="0" w:right="60"/>
              <w:jc w:val="right"/>
              <w:rPr>
                <w:sz w:val="18"/>
              </w:rPr>
            </w:pPr>
            <w:r>
              <w:rPr>
                <w:sz w:val="18"/>
              </w:rPr>
              <w:t>7</w:t>
            </w:r>
          </w:p>
        </w:tc>
        <w:tc>
          <w:tcPr>
            <w:tcW w:w="2896" w:type="dxa"/>
          </w:tcPr>
          <w:p>
            <w:pPr>
              <w:pStyle w:val="TableParagraph"/>
              <w:spacing w:before="19"/>
              <w:ind w:left="58"/>
              <w:rPr>
                <w:sz w:val="18"/>
              </w:rPr>
            </w:pPr>
            <w:r>
              <w:rPr>
                <w:sz w:val="18"/>
              </w:rPr>
              <w:t>多个肢体缺失</w:t>
            </w:r>
          </w:p>
        </w:tc>
        <w:tc>
          <w:tcPr>
            <w:tcW w:w="378" w:type="dxa"/>
          </w:tcPr>
          <w:p>
            <w:pPr>
              <w:pStyle w:val="TableParagraph"/>
              <w:spacing w:before="19"/>
              <w:ind w:left="0" w:right="56"/>
              <w:jc w:val="right"/>
              <w:rPr>
                <w:sz w:val="18"/>
              </w:rPr>
            </w:pPr>
            <w:r>
              <w:rPr>
                <w:sz w:val="18"/>
              </w:rPr>
              <w:t>29</w:t>
            </w:r>
          </w:p>
        </w:tc>
        <w:tc>
          <w:tcPr>
            <w:tcW w:w="2239" w:type="dxa"/>
          </w:tcPr>
          <w:p>
            <w:pPr>
              <w:pStyle w:val="TableParagraph"/>
              <w:spacing w:before="19"/>
              <w:ind w:left="58"/>
              <w:rPr>
                <w:sz w:val="18"/>
              </w:rPr>
            </w:pPr>
            <w:r>
              <w:rPr>
                <w:sz w:val="18"/>
              </w:rPr>
              <w:t>严重的心肌炎</w:t>
            </w:r>
          </w:p>
        </w:tc>
      </w:tr>
      <w:tr>
        <w:trPr>
          <w:trHeight w:val="326" w:hRule="atLeast"/>
        </w:trPr>
        <w:tc>
          <w:tcPr>
            <w:tcW w:w="441" w:type="dxa"/>
          </w:tcPr>
          <w:p>
            <w:pPr>
              <w:pStyle w:val="TableParagraph"/>
              <w:spacing w:before="17"/>
              <w:ind w:left="0" w:right="60"/>
              <w:jc w:val="right"/>
              <w:rPr>
                <w:sz w:val="18"/>
              </w:rPr>
            </w:pPr>
            <w:r>
              <w:rPr>
                <w:sz w:val="18"/>
              </w:rPr>
              <w:t>8</w:t>
            </w:r>
          </w:p>
        </w:tc>
        <w:tc>
          <w:tcPr>
            <w:tcW w:w="2896" w:type="dxa"/>
          </w:tcPr>
          <w:p>
            <w:pPr>
              <w:pStyle w:val="TableParagraph"/>
              <w:spacing w:before="17"/>
              <w:ind w:left="58"/>
              <w:rPr>
                <w:sz w:val="18"/>
              </w:rPr>
            </w:pPr>
            <w:r>
              <w:rPr>
                <w:sz w:val="18"/>
              </w:rPr>
              <w:t>急性或亚急性重症肝炎</w:t>
            </w:r>
          </w:p>
        </w:tc>
        <w:tc>
          <w:tcPr>
            <w:tcW w:w="378" w:type="dxa"/>
          </w:tcPr>
          <w:p>
            <w:pPr>
              <w:pStyle w:val="TableParagraph"/>
              <w:spacing w:before="17"/>
              <w:ind w:left="0" w:right="56"/>
              <w:jc w:val="right"/>
              <w:rPr>
                <w:sz w:val="18"/>
              </w:rPr>
            </w:pPr>
            <w:r>
              <w:rPr>
                <w:sz w:val="18"/>
              </w:rPr>
              <w:t>30</w:t>
            </w:r>
          </w:p>
        </w:tc>
        <w:tc>
          <w:tcPr>
            <w:tcW w:w="2239" w:type="dxa"/>
          </w:tcPr>
          <w:p>
            <w:pPr>
              <w:pStyle w:val="TableParagraph"/>
              <w:spacing w:before="17"/>
              <w:ind w:left="58"/>
              <w:rPr>
                <w:sz w:val="18"/>
              </w:rPr>
            </w:pPr>
            <w:r>
              <w:rPr>
                <w:sz w:val="18"/>
              </w:rPr>
              <w:t>重症肌无力</w:t>
            </w:r>
          </w:p>
        </w:tc>
      </w:tr>
      <w:tr>
        <w:trPr>
          <w:trHeight w:val="326" w:hRule="atLeast"/>
        </w:trPr>
        <w:tc>
          <w:tcPr>
            <w:tcW w:w="441" w:type="dxa"/>
          </w:tcPr>
          <w:p>
            <w:pPr>
              <w:pStyle w:val="TableParagraph"/>
              <w:spacing w:before="17"/>
              <w:ind w:left="0" w:right="60"/>
              <w:jc w:val="right"/>
              <w:rPr>
                <w:sz w:val="18"/>
              </w:rPr>
            </w:pPr>
            <w:r>
              <w:rPr>
                <w:sz w:val="18"/>
              </w:rPr>
              <w:t>9</w:t>
            </w:r>
          </w:p>
        </w:tc>
        <w:tc>
          <w:tcPr>
            <w:tcW w:w="2896" w:type="dxa"/>
          </w:tcPr>
          <w:p>
            <w:pPr>
              <w:pStyle w:val="TableParagraph"/>
              <w:spacing w:before="17"/>
              <w:ind w:left="58"/>
              <w:rPr>
                <w:sz w:val="18"/>
              </w:rPr>
            </w:pPr>
            <w:r>
              <w:rPr>
                <w:sz w:val="18"/>
              </w:rPr>
              <w:t>良性脑肿瘤</w:t>
            </w:r>
          </w:p>
        </w:tc>
        <w:tc>
          <w:tcPr>
            <w:tcW w:w="378" w:type="dxa"/>
          </w:tcPr>
          <w:p>
            <w:pPr>
              <w:pStyle w:val="TableParagraph"/>
              <w:spacing w:before="17"/>
              <w:ind w:left="0" w:right="57"/>
              <w:jc w:val="right"/>
              <w:rPr>
                <w:sz w:val="18"/>
              </w:rPr>
            </w:pPr>
            <w:r>
              <w:rPr>
                <w:sz w:val="18"/>
              </w:rPr>
              <w:t>31</w:t>
            </w:r>
          </w:p>
        </w:tc>
        <w:tc>
          <w:tcPr>
            <w:tcW w:w="2239" w:type="dxa"/>
          </w:tcPr>
          <w:p>
            <w:pPr>
              <w:pStyle w:val="TableParagraph"/>
              <w:spacing w:before="17"/>
              <w:ind w:left="58"/>
              <w:rPr>
                <w:sz w:val="18"/>
              </w:rPr>
            </w:pPr>
            <w:r>
              <w:rPr>
                <w:sz w:val="18"/>
              </w:rPr>
              <w:t>系统性硬皮病</w:t>
            </w:r>
          </w:p>
        </w:tc>
      </w:tr>
      <w:tr>
        <w:trPr>
          <w:trHeight w:val="327" w:hRule="atLeast"/>
        </w:trPr>
        <w:tc>
          <w:tcPr>
            <w:tcW w:w="441" w:type="dxa"/>
          </w:tcPr>
          <w:p>
            <w:pPr>
              <w:pStyle w:val="TableParagraph"/>
              <w:spacing w:before="17"/>
              <w:ind w:left="0" w:right="56"/>
              <w:jc w:val="right"/>
              <w:rPr>
                <w:sz w:val="18"/>
              </w:rPr>
            </w:pPr>
            <w:r>
              <w:rPr>
                <w:sz w:val="18"/>
              </w:rPr>
              <w:t>10</w:t>
            </w:r>
          </w:p>
        </w:tc>
        <w:tc>
          <w:tcPr>
            <w:tcW w:w="2896" w:type="dxa"/>
          </w:tcPr>
          <w:p>
            <w:pPr>
              <w:pStyle w:val="TableParagraph"/>
              <w:spacing w:before="17"/>
              <w:ind w:left="58"/>
              <w:rPr>
                <w:sz w:val="18"/>
              </w:rPr>
            </w:pPr>
            <w:r>
              <w:rPr>
                <w:sz w:val="18"/>
              </w:rPr>
              <w:t>慢性肝功能衰竭失代偿期</w:t>
            </w:r>
          </w:p>
        </w:tc>
        <w:tc>
          <w:tcPr>
            <w:tcW w:w="378" w:type="dxa"/>
          </w:tcPr>
          <w:p>
            <w:pPr>
              <w:pStyle w:val="TableParagraph"/>
              <w:spacing w:before="17"/>
              <w:ind w:left="0" w:right="57"/>
              <w:jc w:val="right"/>
              <w:rPr>
                <w:sz w:val="18"/>
              </w:rPr>
            </w:pPr>
            <w:r>
              <w:rPr>
                <w:sz w:val="18"/>
              </w:rPr>
              <w:t>32</w:t>
            </w:r>
          </w:p>
        </w:tc>
        <w:tc>
          <w:tcPr>
            <w:tcW w:w="2239" w:type="dxa"/>
          </w:tcPr>
          <w:p>
            <w:pPr>
              <w:pStyle w:val="TableParagraph"/>
              <w:spacing w:before="17"/>
              <w:ind w:left="58"/>
              <w:rPr>
                <w:sz w:val="18"/>
              </w:rPr>
            </w:pPr>
            <w:r>
              <w:rPr>
                <w:sz w:val="18"/>
              </w:rPr>
              <w:t>象皮病</w:t>
            </w:r>
          </w:p>
        </w:tc>
      </w:tr>
      <w:tr>
        <w:trPr>
          <w:trHeight w:val="327" w:hRule="atLeast"/>
        </w:trPr>
        <w:tc>
          <w:tcPr>
            <w:tcW w:w="441" w:type="dxa"/>
          </w:tcPr>
          <w:p>
            <w:pPr>
              <w:pStyle w:val="TableParagraph"/>
              <w:spacing w:before="19"/>
              <w:ind w:left="0" w:right="56"/>
              <w:jc w:val="right"/>
              <w:rPr>
                <w:sz w:val="18"/>
              </w:rPr>
            </w:pPr>
            <w:r>
              <w:rPr>
                <w:sz w:val="18"/>
              </w:rPr>
              <w:t>11</w:t>
            </w:r>
          </w:p>
        </w:tc>
        <w:tc>
          <w:tcPr>
            <w:tcW w:w="2896" w:type="dxa"/>
          </w:tcPr>
          <w:p>
            <w:pPr>
              <w:pStyle w:val="TableParagraph"/>
              <w:spacing w:before="19"/>
              <w:ind w:left="58"/>
              <w:rPr>
                <w:sz w:val="18"/>
              </w:rPr>
            </w:pPr>
            <w:r>
              <w:rPr>
                <w:sz w:val="18"/>
              </w:rPr>
              <w:t>脑炎后遗症或脑膜炎后遗症</w:t>
            </w:r>
          </w:p>
        </w:tc>
        <w:tc>
          <w:tcPr>
            <w:tcW w:w="378" w:type="dxa"/>
          </w:tcPr>
          <w:p>
            <w:pPr>
              <w:pStyle w:val="TableParagraph"/>
              <w:spacing w:before="19"/>
              <w:ind w:left="0" w:right="57"/>
              <w:jc w:val="right"/>
              <w:rPr>
                <w:sz w:val="18"/>
              </w:rPr>
            </w:pPr>
            <w:r>
              <w:rPr>
                <w:sz w:val="18"/>
              </w:rPr>
              <w:t>33</w:t>
            </w:r>
          </w:p>
        </w:tc>
        <w:tc>
          <w:tcPr>
            <w:tcW w:w="2239" w:type="dxa"/>
          </w:tcPr>
          <w:p>
            <w:pPr>
              <w:pStyle w:val="TableParagraph"/>
              <w:spacing w:before="19"/>
              <w:ind w:left="58"/>
              <w:rPr>
                <w:sz w:val="18"/>
              </w:rPr>
            </w:pPr>
            <w:r>
              <w:rPr>
                <w:sz w:val="18"/>
              </w:rPr>
              <w:t>慢性肾上腺皮质功能衰竭</w:t>
            </w:r>
          </w:p>
        </w:tc>
      </w:tr>
      <w:tr>
        <w:trPr>
          <w:trHeight w:val="326" w:hRule="atLeast"/>
        </w:trPr>
        <w:tc>
          <w:tcPr>
            <w:tcW w:w="441" w:type="dxa"/>
          </w:tcPr>
          <w:p>
            <w:pPr>
              <w:pStyle w:val="TableParagraph"/>
              <w:spacing w:before="17"/>
              <w:ind w:left="0" w:right="56"/>
              <w:jc w:val="right"/>
              <w:rPr>
                <w:sz w:val="18"/>
              </w:rPr>
            </w:pPr>
            <w:r>
              <w:rPr>
                <w:sz w:val="18"/>
              </w:rPr>
              <w:t>12</w:t>
            </w:r>
          </w:p>
        </w:tc>
        <w:tc>
          <w:tcPr>
            <w:tcW w:w="2896" w:type="dxa"/>
          </w:tcPr>
          <w:p>
            <w:pPr>
              <w:pStyle w:val="TableParagraph"/>
              <w:spacing w:before="17"/>
              <w:ind w:left="58"/>
              <w:rPr>
                <w:sz w:val="18"/>
              </w:rPr>
            </w:pPr>
            <w:r>
              <w:rPr>
                <w:sz w:val="18"/>
              </w:rPr>
              <w:t>深度昏迷</w:t>
            </w:r>
          </w:p>
        </w:tc>
        <w:tc>
          <w:tcPr>
            <w:tcW w:w="378" w:type="dxa"/>
          </w:tcPr>
          <w:p>
            <w:pPr>
              <w:pStyle w:val="TableParagraph"/>
              <w:spacing w:before="17"/>
              <w:ind w:left="0" w:right="57"/>
              <w:jc w:val="right"/>
              <w:rPr>
                <w:sz w:val="18"/>
              </w:rPr>
            </w:pPr>
            <w:r>
              <w:rPr>
                <w:sz w:val="18"/>
              </w:rPr>
              <w:t>34</w:t>
            </w:r>
          </w:p>
        </w:tc>
        <w:tc>
          <w:tcPr>
            <w:tcW w:w="2239" w:type="dxa"/>
          </w:tcPr>
          <w:p>
            <w:pPr>
              <w:pStyle w:val="TableParagraph"/>
              <w:spacing w:before="17"/>
              <w:ind w:left="58"/>
              <w:rPr>
                <w:sz w:val="18"/>
              </w:rPr>
            </w:pPr>
            <w:r>
              <w:rPr>
                <w:sz w:val="18"/>
              </w:rPr>
              <w:t>严重溃疡性结肠炎</w:t>
            </w:r>
          </w:p>
        </w:tc>
      </w:tr>
      <w:tr>
        <w:trPr>
          <w:trHeight w:val="326" w:hRule="atLeast"/>
        </w:trPr>
        <w:tc>
          <w:tcPr>
            <w:tcW w:w="441" w:type="dxa"/>
          </w:tcPr>
          <w:p>
            <w:pPr>
              <w:pStyle w:val="TableParagraph"/>
              <w:spacing w:before="17"/>
              <w:ind w:left="0" w:right="56"/>
              <w:jc w:val="right"/>
              <w:rPr>
                <w:sz w:val="18"/>
              </w:rPr>
            </w:pPr>
            <w:r>
              <w:rPr>
                <w:sz w:val="18"/>
              </w:rPr>
              <w:t>13</w:t>
            </w:r>
          </w:p>
        </w:tc>
        <w:tc>
          <w:tcPr>
            <w:tcW w:w="2896" w:type="dxa"/>
          </w:tcPr>
          <w:p>
            <w:pPr>
              <w:pStyle w:val="TableParagraph"/>
              <w:spacing w:before="17"/>
              <w:ind w:left="58"/>
              <w:rPr>
                <w:sz w:val="18"/>
              </w:rPr>
            </w:pPr>
            <w:r>
              <w:rPr>
                <w:sz w:val="18"/>
              </w:rPr>
              <w:t>双耳失聪</w:t>
            </w:r>
          </w:p>
        </w:tc>
        <w:tc>
          <w:tcPr>
            <w:tcW w:w="378" w:type="dxa"/>
          </w:tcPr>
          <w:p>
            <w:pPr>
              <w:pStyle w:val="TableParagraph"/>
              <w:spacing w:before="17"/>
              <w:ind w:left="0" w:right="56"/>
              <w:jc w:val="right"/>
              <w:rPr>
                <w:sz w:val="18"/>
              </w:rPr>
            </w:pPr>
            <w:r>
              <w:rPr>
                <w:sz w:val="18"/>
              </w:rPr>
              <w:t>35</w:t>
            </w:r>
          </w:p>
        </w:tc>
        <w:tc>
          <w:tcPr>
            <w:tcW w:w="2239" w:type="dxa"/>
          </w:tcPr>
          <w:p>
            <w:pPr>
              <w:pStyle w:val="TableParagraph"/>
              <w:spacing w:before="17"/>
              <w:ind w:left="58"/>
              <w:rPr>
                <w:sz w:val="18"/>
              </w:rPr>
            </w:pPr>
            <w:r>
              <w:rPr>
                <w:sz w:val="18"/>
              </w:rPr>
              <w:t>疯牛病</w:t>
            </w:r>
          </w:p>
        </w:tc>
      </w:tr>
      <w:tr>
        <w:trPr>
          <w:trHeight w:val="327" w:hRule="atLeast"/>
        </w:trPr>
        <w:tc>
          <w:tcPr>
            <w:tcW w:w="441" w:type="dxa"/>
          </w:tcPr>
          <w:p>
            <w:pPr>
              <w:pStyle w:val="TableParagraph"/>
              <w:spacing w:before="17"/>
              <w:ind w:left="0" w:right="56"/>
              <w:jc w:val="right"/>
              <w:rPr>
                <w:sz w:val="18"/>
              </w:rPr>
            </w:pPr>
            <w:r>
              <w:rPr>
                <w:sz w:val="18"/>
              </w:rPr>
              <w:t>14</w:t>
            </w:r>
          </w:p>
        </w:tc>
        <w:tc>
          <w:tcPr>
            <w:tcW w:w="2896" w:type="dxa"/>
          </w:tcPr>
          <w:p>
            <w:pPr>
              <w:pStyle w:val="TableParagraph"/>
              <w:spacing w:before="17"/>
              <w:ind w:left="58"/>
              <w:rPr>
                <w:sz w:val="18"/>
              </w:rPr>
            </w:pPr>
            <w:r>
              <w:rPr>
                <w:sz w:val="18"/>
              </w:rPr>
              <w:t>双目失明</w:t>
            </w:r>
          </w:p>
        </w:tc>
        <w:tc>
          <w:tcPr>
            <w:tcW w:w="378" w:type="dxa"/>
          </w:tcPr>
          <w:p>
            <w:pPr>
              <w:pStyle w:val="TableParagraph"/>
              <w:spacing w:before="17"/>
              <w:ind w:left="0" w:right="56"/>
              <w:jc w:val="right"/>
              <w:rPr>
                <w:sz w:val="18"/>
              </w:rPr>
            </w:pPr>
            <w:r>
              <w:rPr>
                <w:sz w:val="18"/>
              </w:rPr>
              <w:t>36</w:t>
            </w:r>
          </w:p>
        </w:tc>
        <w:tc>
          <w:tcPr>
            <w:tcW w:w="2239" w:type="dxa"/>
          </w:tcPr>
          <w:p>
            <w:pPr>
              <w:pStyle w:val="TableParagraph"/>
              <w:spacing w:before="17"/>
              <w:ind w:left="58"/>
              <w:rPr>
                <w:sz w:val="18"/>
              </w:rPr>
            </w:pPr>
            <w:r>
              <w:rPr>
                <w:sz w:val="18"/>
              </w:rPr>
              <w:t>急性坏死性胰腺炎</w:t>
            </w:r>
          </w:p>
        </w:tc>
      </w:tr>
      <w:tr>
        <w:trPr>
          <w:trHeight w:val="327" w:hRule="atLeast"/>
        </w:trPr>
        <w:tc>
          <w:tcPr>
            <w:tcW w:w="441" w:type="dxa"/>
          </w:tcPr>
          <w:p>
            <w:pPr>
              <w:pStyle w:val="TableParagraph"/>
              <w:spacing w:before="19"/>
              <w:ind w:left="0" w:right="56"/>
              <w:jc w:val="right"/>
              <w:rPr>
                <w:sz w:val="18"/>
              </w:rPr>
            </w:pPr>
            <w:r>
              <w:rPr>
                <w:sz w:val="18"/>
              </w:rPr>
              <w:t>15</w:t>
            </w:r>
          </w:p>
        </w:tc>
        <w:tc>
          <w:tcPr>
            <w:tcW w:w="2896" w:type="dxa"/>
          </w:tcPr>
          <w:p>
            <w:pPr>
              <w:pStyle w:val="TableParagraph"/>
              <w:spacing w:before="19"/>
              <w:ind w:left="58"/>
              <w:rPr>
                <w:sz w:val="18"/>
              </w:rPr>
            </w:pPr>
            <w:r>
              <w:rPr>
                <w:sz w:val="18"/>
              </w:rPr>
              <w:t>瘫痪</w:t>
            </w:r>
          </w:p>
        </w:tc>
        <w:tc>
          <w:tcPr>
            <w:tcW w:w="378" w:type="dxa"/>
          </w:tcPr>
          <w:p>
            <w:pPr>
              <w:pStyle w:val="TableParagraph"/>
              <w:spacing w:before="19"/>
              <w:ind w:left="0" w:right="56"/>
              <w:jc w:val="right"/>
              <w:rPr>
                <w:sz w:val="18"/>
              </w:rPr>
            </w:pPr>
            <w:r>
              <w:rPr>
                <w:sz w:val="18"/>
              </w:rPr>
              <w:t>37</w:t>
            </w:r>
          </w:p>
        </w:tc>
        <w:tc>
          <w:tcPr>
            <w:tcW w:w="2239" w:type="dxa"/>
          </w:tcPr>
          <w:p>
            <w:pPr>
              <w:pStyle w:val="TableParagraph"/>
              <w:spacing w:before="19"/>
              <w:ind w:left="58"/>
              <w:rPr>
                <w:sz w:val="18"/>
              </w:rPr>
            </w:pPr>
            <w:r>
              <w:rPr>
                <w:sz w:val="18"/>
              </w:rPr>
              <w:t>慢性呼吸功能衰竭</w:t>
            </w:r>
          </w:p>
        </w:tc>
      </w:tr>
      <w:tr>
        <w:trPr>
          <w:trHeight w:val="326" w:hRule="atLeast"/>
        </w:trPr>
        <w:tc>
          <w:tcPr>
            <w:tcW w:w="441" w:type="dxa"/>
          </w:tcPr>
          <w:p>
            <w:pPr>
              <w:pStyle w:val="TableParagraph"/>
              <w:spacing w:before="18"/>
              <w:ind w:left="0" w:right="56"/>
              <w:jc w:val="right"/>
              <w:rPr>
                <w:sz w:val="18"/>
              </w:rPr>
            </w:pPr>
            <w:r>
              <w:rPr>
                <w:sz w:val="18"/>
              </w:rPr>
              <w:t>16</w:t>
            </w:r>
          </w:p>
        </w:tc>
        <w:tc>
          <w:tcPr>
            <w:tcW w:w="2896" w:type="dxa"/>
          </w:tcPr>
          <w:p>
            <w:pPr>
              <w:pStyle w:val="TableParagraph"/>
              <w:spacing w:before="18"/>
              <w:ind w:left="58"/>
              <w:rPr>
                <w:sz w:val="18"/>
              </w:rPr>
            </w:pPr>
            <w:r>
              <w:rPr>
                <w:sz w:val="18"/>
              </w:rPr>
              <w:t>心脏瓣膜手术</w:t>
            </w:r>
          </w:p>
        </w:tc>
        <w:tc>
          <w:tcPr>
            <w:tcW w:w="378" w:type="dxa"/>
          </w:tcPr>
          <w:p>
            <w:pPr>
              <w:pStyle w:val="TableParagraph"/>
              <w:spacing w:before="18"/>
              <w:ind w:left="0" w:right="56"/>
              <w:jc w:val="right"/>
              <w:rPr>
                <w:sz w:val="18"/>
              </w:rPr>
            </w:pPr>
            <w:r>
              <w:rPr>
                <w:sz w:val="18"/>
              </w:rPr>
              <w:t>38</w:t>
            </w:r>
          </w:p>
        </w:tc>
        <w:tc>
          <w:tcPr>
            <w:tcW w:w="2239" w:type="dxa"/>
          </w:tcPr>
          <w:p>
            <w:pPr>
              <w:pStyle w:val="TableParagraph"/>
              <w:spacing w:before="18"/>
              <w:ind w:left="58"/>
              <w:rPr>
                <w:sz w:val="18"/>
              </w:rPr>
            </w:pPr>
            <w:r>
              <w:rPr>
                <w:sz w:val="18"/>
              </w:rPr>
              <w:t>胰岛素依赖型糖尿病</w:t>
            </w:r>
          </w:p>
        </w:tc>
      </w:tr>
      <w:tr>
        <w:trPr>
          <w:trHeight w:val="326" w:hRule="atLeast"/>
        </w:trPr>
        <w:tc>
          <w:tcPr>
            <w:tcW w:w="441" w:type="dxa"/>
          </w:tcPr>
          <w:p>
            <w:pPr>
              <w:pStyle w:val="TableParagraph"/>
              <w:spacing w:before="17"/>
              <w:ind w:left="0" w:right="56"/>
              <w:jc w:val="right"/>
              <w:rPr>
                <w:sz w:val="18"/>
              </w:rPr>
            </w:pPr>
            <w:r>
              <w:rPr>
                <w:sz w:val="18"/>
              </w:rPr>
              <w:t>17</w:t>
            </w:r>
          </w:p>
        </w:tc>
        <w:tc>
          <w:tcPr>
            <w:tcW w:w="2896" w:type="dxa"/>
          </w:tcPr>
          <w:p>
            <w:pPr>
              <w:pStyle w:val="TableParagraph"/>
              <w:spacing w:before="17"/>
              <w:ind w:left="58"/>
              <w:rPr>
                <w:sz w:val="18"/>
              </w:rPr>
            </w:pPr>
            <w:r>
              <w:rPr>
                <w:sz w:val="18"/>
              </w:rPr>
              <w:t>严重阿尔茨海默病</w:t>
            </w:r>
          </w:p>
        </w:tc>
        <w:tc>
          <w:tcPr>
            <w:tcW w:w="378" w:type="dxa"/>
          </w:tcPr>
          <w:p>
            <w:pPr>
              <w:pStyle w:val="TableParagraph"/>
              <w:spacing w:before="17"/>
              <w:ind w:left="0" w:right="56"/>
              <w:jc w:val="right"/>
              <w:rPr>
                <w:sz w:val="18"/>
              </w:rPr>
            </w:pPr>
            <w:r>
              <w:rPr>
                <w:sz w:val="18"/>
              </w:rPr>
              <w:t>39</w:t>
            </w:r>
          </w:p>
        </w:tc>
        <w:tc>
          <w:tcPr>
            <w:tcW w:w="2239" w:type="dxa"/>
          </w:tcPr>
          <w:p>
            <w:pPr>
              <w:pStyle w:val="TableParagraph"/>
              <w:spacing w:before="17"/>
              <w:ind w:left="58"/>
              <w:rPr>
                <w:sz w:val="18"/>
              </w:rPr>
            </w:pPr>
            <w:r>
              <w:rPr>
                <w:sz w:val="18"/>
              </w:rPr>
              <w:t>脊髓灰质炎</w:t>
            </w:r>
          </w:p>
        </w:tc>
      </w:tr>
      <w:tr>
        <w:trPr>
          <w:trHeight w:val="327" w:hRule="atLeast"/>
        </w:trPr>
        <w:tc>
          <w:tcPr>
            <w:tcW w:w="441" w:type="dxa"/>
          </w:tcPr>
          <w:p>
            <w:pPr>
              <w:pStyle w:val="TableParagraph"/>
              <w:spacing w:before="17"/>
              <w:ind w:left="0" w:right="56"/>
              <w:jc w:val="right"/>
              <w:rPr>
                <w:sz w:val="18"/>
              </w:rPr>
            </w:pPr>
            <w:r>
              <w:rPr>
                <w:sz w:val="18"/>
              </w:rPr>
              <w:t>18</w:t>
            </w:r>
          </w:p>
        </w:tc>
        <w:tc>
          <w:tcPr>
            <w:tcW w:w="2896" w:type="dxa"/>
          </w:tcPr>
          <w:p>
            <w:pPr>
              <w:pStyle w:val="TableParagraph"/>
              <w:spacing w:before="17"/>
              <w:ind w:left="58"/>
              <w:rPr>
                <w:sz w:val="18"/>
              </w:rPr>
            </w:pPr>
            <w:r>
              <w:rPr>
                <w:sz w:val="18"/>
              </w:rPr>
              <w:t>严重脑损伤</w:t>
            </w:r>
          </w:p>
        </w:tc>
        <w:tc>
          <w:tcPr>
            <w:tcW w:w="378" w:type="dxa"/>
          </w:tcPr>
          <w:p>
            <w:pPr>
              <w:pStyle w:val="TableParagraph"/>
              <w:spacing w:before="17"/>
              <w:ind w:left="0" w:right="56"/>
              <w:jc w:val="right"/>
              <w:rPr>
                <w:sz w:val="18"/>
              </w:rPr>
            </w:pPr>
            <w:r>
              <w:rPr>
                <w:sz w:val="18"/>
              </w:rPr>
              <w:t>40</w:t>
            </w:r>
          </w:p>
        </w:tc>
        <w:tc>
          <w:tcPr>
            <w:tcW w:w="2239" w:type="dxa"/>
          </w:tcPr>
          <w:p>
            <w:pPr>
              <w:pStyle w:val="TableParagraph"/>
              <w:spacing w:before="17"/>
              <w:ind w:left="58"/>
              <w:rPr>
                <w:sz w:val="18"/>
              </w:rPr>
            </w:pPr>
            <w:r>
              <w:rPr>
                <w:sz w:val="18"/>
              </w:rPr>
              <w:t>严重川崎病</w:t>
            </w:r>
          </w:p>
        </w:tc>
      </w:tr>
      <w:tr>
        <w:trPr>
          <w:trHeight w:val="327" w:hRule="atLeast"/>
        </w:trPr>
        <w:tc>
          <w:tcPr>
            <w:tcW w:w="441" w:type="dxa"/>
          </w:tcPr>
          <w:p>
            <w:pPr>
              <w:pStyle w:val="TableParagraph"/>
              <w:spacing w:before="19"/>
              <w:ind w:left="0" w:right="56"/>
              <w:jc w:val="right"/>
              <w:rPr>
                <w:sz w:val="18"/>
              </w:rPr>
            </w:pPr>
            <w:r>
              <w:rPr>
                <w:sz w:val="18"/>
              </w:rPr>
              <w:t>19</w:t>
            </w:r>
          </w:p>
        </w:tc>
        <w:tc>
          <w:tcPr>
            <w:tcW w:w="2896" w:type="dxa"/>
          </w:tcPr>
          <w:p>
            <w:pPr>
              <w:pStyle w:val="TableParagraph"/>
              <w:spacing w:before="19"/>
              <w:ind w:left="58"/>
              <w:rPr>
                <w:sz w:val="18"/>
              </w:rPr>
            </w:pPr>
            <w:r>
              <w:rPr>
                <w:sz w:val="18"/>
              </w:rPr>
              <w:t>严重帕金森病</w:t>
            </w:r>
          </w:p>
        </w:tc>
        <w:tc>
          <w:tcPr>
            <w:tcW w:w="378" w:type="dxa"/>
          </w:tcPr>
          <w:p>
            <w:pPr>
              <w:pStyle w:val="TableParagraph"/>
              <w:spacing w:before="19"/>
              <w:ind w:left="0" w:right="56"/>
              <w:jc w:val="right"/>
              <w:rPr>
                <w:sz w:val="18"/>
              </w:rPr>
            </w:pPr>
            <w:r>
              <w:rPr>
                <w:sz w:val="18"/>
              </w:rPr>
              <w:t>41</w:t>
            </w:r>
          </w:p>
        </w:tc>
        <w:tc>
          <w:tcPr>
            <w:tcW w:w="2239" w:type="dxa"/>
          </w:tcPr>
          <w:p>
            <w:pPr>
              <w:pStyle w:val="TableParagraph"/>
              <w:spacing w:before="19"/>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left="0" w:right="57"/>
              <w:jc w:val="right"/>
              <w:rPr>
                <w:sz w:val="18"/>
              </w:rPr>
            </w:pPr>
            <w:r>
              <w:rPr>
                <w:sz w:val="18"/>
              </w:rPr>
              <w:t>20</w:t>
            </w:r>
          </w:p>
        </w:tc>
        <w:tc>
          <w:tcPr>
            <w:tcW w:w="2896" w:type="dxa"/>
          </w:tcPr>
          <w:p>
            <w:pPr>
              <w:pStyle w:val="TableParagraph"/>
              <w:spacing w:line="216" w:lineRule="exact" w:before="17"/>
              <w:ind w:left="58"/>
              <w:rPr>
                <w:sz w:val="18"/>
              </w:rPr>
            </w:pPr>
            <w:r>
              <w:rPr>
                <w:sz w:val="18"/>
              </w:rPr>
              <w:t>严重Ⅲ度烧伤</w:t>
            </w:r>
          </w:p>
        </w:tc>
        <w:tc>
          <w:tcPr>
            <w:tcW w:w="378" w:type="dxa"/>
          </w:tcPr>
          <w:p>
            <w:pPr>
              <w:pStyle w:val="TableParagraph"/>
              <w:spacing w:line="216" w:lineRule="exact" w:before="17"/>
              <w:ind w:left="0" w:right="56"/>
              <w:jc w:val="right"/>
              <w:rPr>
                <w:sz w:val="18"/>
              </w:rPr>
            </w:pPr>
            <w:r>
              <w:rPr>
                <w:sz w:val="18"/>
              </w:rPr>
              <w:t>42</w:t>
            </w:r>
          </w:p>
        </w:tc>
        <w:tc>
          <w:tcPr>
            <w:tcW w:w="2239" w:type="dxa"/>
          </w:tcPr>
          <w:p>
            <w:pPr>
              <w:pStyle w:val="TableParagraph"/>
              <w:spacing w:line="216" w:lineRule="exact" w:before="17"/>
              <w:ind w:left="58"/>
              <w:rPr>
                <w:sz w:val="18"/>
              </w:rPr>
            </w:pPr>
            <w:r>
              <w:rPr>
                <w:sz w:val="18"/>
              </w:rPr>
              <w:t>严重的原发性心肌病</w:t>
            </w:r>
          </w:p>
        </w:tc>
      </w:tr>
    </w:tbl>
    <w:p>
      <w:pPr>
        <w:pStyle w:val="BodyText"/>
        <w:rPr>
          <w:rFonts w:ascii="Times New Roman"/>
          <w:sz w:val="20"/>
        </w:rPr>
      </w:pPr>
    </w:p>
    <w:p>
      <w:pPr>
        <w:pStyle w:val="BodyText"/>
        <w:spacing w:before="176"/>
        <w:ind w:left="2733"/>
      </w:pPr>
      <w:r>
        <w:rPr/>
        <w:t>在本合同有效期内，被保险人年满 18 周岁后，我们保障的重大疾病如下所示：</w:t>
      </w:r>
    </w:p>
    <w:p>
      <w:pPr>
        <w:pStyle w:val="BodyText"/>
        <w:spacing w:before="8"/>
        <w:rPr>
          <w:sz w:val="8"/>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21</w:t>
            </w:r>
          </w:p>
        </w:tc>
        <w:tc>
          <w:tcPr>
            <w:tcW w:w="3139" w:type="dxa"/>
          </w:tcPr>
          <w:p>
            <w:pPr>
              <w:pStyle w:val="TableParagraph"/>
              <w:spacing w:line="180" w:lineRule="exact"/>
              <w:ind w:left="58"/>
              <w:rPr>
                <w:sz w:val="18"/>
              </w:rPr>
            </w:pPr>
            <w:r>
              <w:rPr>
                <w:sz w:val="18"/>
              </w:rPr>
              <w:t>严重原发性肺动脉高压</w:t>
            </w:r>
          </w:p>
        </w:tc>
      </w:tr>
      <w:tr>
        <w:trPr>
          <w:trHeight w:val="326" w:hRule="atLeast"/>
        </w:trPr>
        <w:tc>
          <w:tcPr>
            <w:tcW w:w="441" w:type="dxa"/>
          </w:tcPr>
          <w:p>
            <w:pPr>
              <w:pStyle w:val="TableParagraph"/>
              <w:spacing w:before="17"/>
              <w:ind w:left="0"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7"/>
              <w:ind w:left="0"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4</w:t>
            </w:r>
          </w:p>
        </w:tc>
        <w:tc>
          <w:tcPr>
            <w:tcW w:w="2986" w:type="dxa"/>
          </w:tcPr>
          <w:p>
            <w:pPr>
              <w:pStyle w:val="TableParagraph"/>
              <w:spacing w:before="19"/>
              <w:ind w:left="58"/>
              <w:rPr>
                <w:sz w:val="18"/>
              </w:rPr>
            </w:pPr>
            <w:r>
              <w:rPr>
                <w:sz w:val="18"/>
              </w:rPr>
              <w:t>重大器官移植术或造血干细胞移植术</w:t>
            </w:r>
          </w:p>
        </w:tc>
        <w:tc>
          <w:tcPr>
            <w:tcW w:w="288" w:type="dxa"/>
          </w:tcPr>
          <w:p>
            <w:pPr>
              <w:pStyle w:val="TableParagraph"/>
              <w:spacing w:before="19"/>
              <w:ind w:left="29" w:right="38"/>
              <w:jc w:val="center"/>
              <w:rPr>
                <w:sz w:val="18"/>
              </w:rPr>
            </w:pPr>
            <w:r>
              <w:rPr>
                <w:sz w:val="18"/>
              </w:rPr>
              <w:t>24</w:t>
            </w:r>
          </w:p>
        </w:tc>
        <w:tc>
          <w:tcPr>
            <w:tcW w:w="3139" w:type="dxa"/>
          </w:tcPr>
          <w:p>
            <w:pPr>
              <w:pStyle w:val="TableParagraph"/>
              <w:spacing w:before="19"/>
              <w:ind w:left="58"/>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ind w:left="0"/>
              <w:rPr>
                <w:rFonts w:ascii="Times New Roman"/>
                <w:sz w:val="18"/>
              </w:rPr>
            </w:pPr>
          </w:p>
        </w:tc>
        <w:tc>
          <w:tcPr>
            <w:tcW w:w="2986" w:type="dxa"/>
          </w:tcPr>
          <w:p>
            <w:pPr>
              <w:pStyle w:val="TableParagraph"/>
              <w:spacing w:before="18"/>
              <w:ind w:left="58"/>
              <w:rPr>
                <w:sz w:val="18"/>
              </w:rPr>
            </w:pPr>
            <w:r>
              <w:rPr>
                <w:sz w:val="18"/>
              </w:rPr>
              <w:t>（或称冠状动脉旁路移植术）</w:t>
            </w:r>
          </w:p>
        </w:tc>
        <w:tc>
          <w:tcPr>
            <w:tcW w:w="288" w:type="dxa"/>
          </w:tcPr>
          <w:p>
            <w:pPr>
              <w:pStyle w:val="TableParagraph"/>
              <w:spacing w:before="18"/>
              <w:ind w:left="29" w:right="38"/>
              <w:jc w:val="center"/>
              <w:rPr>
                <w:sz w:val="18"/>
              </w:rPr>
            </w:pPr>
            <w:r>
              <w:rPr>
                <w:sz w:val="18"/>
              </w:rPr>
              <w:t>26</w:t>
            </w:r>
          </w:p>
        </w:tc>
        <w:tc>
          <w:tcPr>
            <w:tcW w:w="3139" w:type="dxa"/>
          </w:tcPr>
          <w:p>
            <w:pPr>
              <w:pStyle w:val="TableParagraph"/>
              <w:spacing w:before="18"/>
              <w:ind w:left="58"/>
              <w:rPr>
                <w:sz w:val="18"/>
              </w:rPr>
            </w:pPr>
            <w:r>
              <w:rPr>
                <w:sz w:val="18"/>
              </w:rPr>
              <w:t>植物人状态</w:t>
            </w:r>
          </w:p>
        </w:tc>
      </w:tr>
      <w:tr>
        <w:trPr>
          <w:trHeight w:val="327" w:hRule="atLeast"/>
        </w:trPr>
        <w:tc>
          <w:tcPr>
            <w:tcW w:w="441" w:type="dxa"/>
          </w:tcPr>
          <w:p>
            <w:pPr>
              <w:pStyle w:val="TableParagraph"/>
              <w:spacing w:before="17"/>
              <w:ind w:left="0"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27</w:t>
            </w:r>
          </w:p>
        </w:tc>
        <w:tc>
          <w:tcPr>
            <w:tcW w:w="3139" w:type="dxa"/>
          </w:tcPr>
          <w:p>
            <w:pPr>
              <w:pStyle w:val="TableParagraph"/>
              <w:spacing w:before="17"/>
              <w:ind w:left="58"/>
              <w:rPr>
                <w:sz w:val="18"/>
              </w:rPr>
            </w:pPr>
            <w:r>
              <w:rPr>
                <w:sz w:val="18"/>
              </w:rPr>
              <w:t>原发性硬化性胆管炎</w:t>
            </w:r>
          </w:p>
        </w:tc>
      </w:tr>
      <w:tr>
        <w:trPr>
          <w:trHeight w:val="327" w:hRule="atLeast"/>
        </w:trPr>
        <w:tc>
          <w:tcPr>
            <w:tcW w:w="441" w:type="dxa"/>
          </w:tcPr>
          <w:p>
            <w:pPr>
              <w:pStyle w:val="TableParagraph"/>
              <w:ind w:left="0"/>
              <w:rPr>
                <w:rFonts w:ascii="Times New Roman"/>
                <w:sz w:val="18"/>
              </w:rPr>
            </w:pPr>
          </w:p>
        </w:tc>
        <w:tc>
          <w:tcPr>
            <w:tcW w:w="2986" w:type="dxa"/>
          </w:tcPr>
          <w:p>
            <w:pPr>
              <w:pStyle w:val="TableParagraph"/>
              <w:spacing w:before="19"/>
              <w:ind w:left="58"/>
              <w:rPr>
                <w:sz w:val="18"/>
              </w:rPr>
            </w:pPr>
            <w:r>
              <w:rPr>
                <w:sz w:val="18"/>
              </w:rPr>
              <w:t>（或称慢性肾功能衰竭尿毒症期）</w:t>
            </w:r>
          </w:p>
        </w:tc>
        <w:tc>
          <w:tcPr>
            <w:tcW w:w="288" w:type="dxa"/>
          </w:tcPr>
          <w:p>
            <w:pPr>
              <w:pStyle w:val="TableParagraph"/>
              <w:spacing w:before="19"/>
              <w:ind w:left="29" w:right="38"/>
              <w:jc w:val="center"/>
              <w:rPr>
                <w:sz w:val="18"/>
              </w:rPr>
            </w:pPr>
            <w:r>
              <w:rPr>
                <w:sz w:val="18"/>
              </w:rPr>
              <w:t>28</w:t>
            </w:r>
          </w:p>
        </w:tc>
        <w:tc>
          <w:tcPr>
            <w:tcW w:w="3139" w:type="dxa"/>
          </w:tcPr>
          <w:p>
            <w:pPr>
              <w:pStyle w:val="TableParagraph"/>
              <w:spacing w:before="19"/>
              <w:ind w:left="58"/>
              <w:rPr>
                <w:sz w:val="18"/>
              </w:rPr>
            </w:pPr>
            <w:r>
              <w:rPr>
                <w:sz w:val="18"/>
              </w:rPr>
              <w:t>埃博拉病毒感染</w:t>
            </w:r>
          </w:p>
        </w:tc>
      </w:tr>
      <w:tr>
        <w:trPr>
          <w:trHeight w:val="326"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29</w:t>
            </w:r>
          </w:p>
        </w:tc>
        <w:tc>
          <w:tcPr>
            <w:tcW w:w="3139" w:type="dxa"/>
          </w:tcPr>
          <w:p>
            <w:pPr>
              <w:pStyle w:val="TableParagraph"/>
              <w:spacing w:before="17"/>
              <w:ind w:left="58"/>
              <w:rPr>
                <w:sz w:val="18"/>
              </w:rPr>
            </w:pPr>
            <w:r>
              <w:rPr>
                <w:sz w:val="18"/>
              </w:rPr>
              <w:t>严重的心肌炎</w:t>
            </w:r>
          </w:p>
        </w:tc>
      </w:tr>
      <w:tr>
        <w:trPr>
          <w:trHeight w:val="326" w:hRule="atLeast"/>
        </w:trPr>
        <w:tc>
          <w:tcPr>
            <w:tcW w:w="441" w:type="dxa"/>
          </w:tcPr>
          <w:p>
            <w:pPr>
              <w:pStyle w:val="TableParagraph"/>
              <w:spacing w:before="17"/>
              <w:ind w:left="0"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8" w:right="38"/>
              <w:jc w:val="center"/>
              <w:rPr>
                <w:sz w:val="18"/>
              </w:rPr>
            </w:pPr>
            <w:r>
              <w:rPr>
                <w:sz w:val="18"/>
              </w:rPr>
              <w:t>30</w:t>
            </w:r>
          </w:p>
        </w:tc>
        <w:tc>
          <w:tcPr>
            <w:tcW w:w="3139" w:type="dxa"/>
          </w:tcPr>
          <w:p>
            <w:pPr>
              <w:pStyle w:val="TableParagraph"/>
              <w:spacing w:before="17"/>
              <w:ind w:left="58"/>
              <w:rPr>
                <w:sz w:val="18"/>
              </w:rPr>
            </w:pPr>
            <w:r>
              <w:rPr>
                <w:sz w:val="18"/>
              </w:rPr>
              <w:t>重症肌无力</w:t>
            </w:r>
          </w:p>
        </w:tc>
      </w:tr>
      <w:tr>
        <w:trPr>
          <w:trHeight w:val="327" w:hRule="atLeast"/>
        </w:trPr>
        <w:tc>
          <w:tcPr>
            <w:tcW w:w="441" w:type="dxa"/>
          </w:tcPr>
          <w:p>
            <w:pPr>
              <w:pStyle w:val="TableParagraph"/>
              <w:spacing w:before="17"/>
              <w:ind w:left="0"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8" w:right="38"/>
              <w:jc w:val="center"/>
              <w:rPr>
                <w:sz w:val="18"/>
              </w:rPr>
            </w:pPr>
            <w:r>
              <w:rPr>
                <w:sz w:val="18"/>
              </w:rPr>
              <w:t>31</w:t>
            </w:r>
          </w:p>
        </w:tc>
        <w:tc>
          <w:tcPr>
            <w:tcW w:w="3139" w:type="dxa"/>
          </w:tcPr>
          <w:p>
            <w:pPr>
              <w:pStyle w:val="TableParagraph"/>
              <w:spacing w:before="17"/>
              <w:ind w:left="58"/>
              <w:rPr>
                <w:sz w:val="18"/>
              </w:rPr>
            </w:pPr>
            <w:r>
              <w:rPr>
                <w:sz w:val="18"/>
              </w:rPr>
              <w:t>系统性硬皮病</w:t>
            </w:r>
          </w:p>
        </w:tc>
      </w:tr>
      <w:tr>
        <w:trPr>
          <w:trHeight w:val="327" w:hRule="atLeast"/>
        </w:trPr>
        <w:tc>
          <w:tcPr>
            <w:tcW w:w="441" w:type="dxa"/>
          </w:tcPr>
          <w:p>
            <w:pPr>
              <w:pStyle w:val="TableParagraph"/>
              <w:spacing w:before="19"/>
              <w:ind w:left="0" w:right="56"/>
              <w:jc w:val="right"/>
              <w:rPr>
                <w:sz w:val="18"/>
              </w:rPr>
            </w:pPr>
            <w:r>
              <w:rPr>
                <w:sz w:val="18"/>
              </w:rPr>
              <w:t>10</w:t>
            </w:r>
          </w:p>
        </w:tc>
        <w:tc>
          <w:tcPr>
            <w:tcW w:w="2986" w:type="dxa"/>
          </w:tcPr>
          <w:p>
            <w:pPr>
              <w:pStyle w:val="TableParagraph"/>
              <w:spacing w:before="19"/>
              <w:ind w:left="58"/>
              <w:rPr>
                <w:sz w:val="18"/>
              </w:rPr>
            </w:pPr>
            <w:r>
              <w:rPr>
                <w:sz w:val="18"/>
              </w:rPr>
              <w:t>慢性肝功能衰竭失代偿期</w:t>
            </w:r>
          </w:p>
        </w:tc>
        <w:tc>
          <w:tcPr>
            <w:tcW w:w="288" w:type="dxa"/>
          </w:tcPr>
          <w:p>
            <w:pPr>
              <w:pStyle w:val="TableParagraph"/>
              <w:spacing w:before="19"/>
              <w:ind w:left="28" w:right="38"/>
              <w:jc w:val="center"/>
              <w:rPr>
                <w:sz w:val="18"/>
              </w:rPr>
            </w:pPr>
            <w:r>
              <w:rPr>
                <w:sz w:val="18"/>
              </w:rPr>
              <w:t>32</w:t>
            </w:r>
          </w:p>
        </w:tc>
        <w:tc>
          <w:tcPr>
            <w:tcW w:w="3139" w:type="dxa"/>
          </w:tcPr>
          <w:p>
            <w:pPr>
              <w:pStyle w:val="TableParagraph"/>
              <w:spacing w:before="19"/>
              <w:ind w:left="58"/>
              <w:rPr>
                <w:sz w:val="18"/>
              </w:rPr>
            </w:pPr>
            <w:r>
              <w:rPr>
                <w:sz w:val="18"/>
              </w:rPr>
              <w:t>象皮病</w:t>
            </w:r>
          </w:p>
        </w:tc>
      </w:tr>
      <w:tr>
        <w:trPr>
          <w:trHeight w:val="326"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8" w:right="38"/>
              <w:jc w:val="center"/>
              <w:rPr>
                <w:sz w:val="18"/>
              </w:rPr>
            </w:pPr>
            <w:r>
              <w:rPr>
                <w:sz w:val="18"/>
              </w:rPr>
              <w:t>33</w:t>
            </w:r>
          </w:p>
        </w:tc>
        <w:tc>
          <w:tcPr>
            <w:tcW w:w="3139" w:type="dxa"/>
          </w:tcPr>
          <w:p>
            <w:pPr>
              <w:pStyle w:val="TableParagraph"/>
              <w:spacing w:before="17"/>
              <w:ind w:left="58"/>
              <w:rPr>
                <w:sz w:val="18"/>
              </w:rPr>
            </w:pPr>
            <w:r>
              <w:rPr>
                <w:sz w:val="18"/>
              </w:rPr>
              <w:t>慢性肾上腺皮质功能衰竭</w:t>
            </w:r>
          </w:p>
        </w:tc>
      </w:tr>
      <w:tr>
        <w:trPr>
          <w:trHeight w:val="326" w:hRule="atLeast"/>
        </w:trPr>
        <w:tc>
          <w:tcPr>
            <w:tcW w:w="441" w:type="dxa"/>
          </w:tcPr>
          <w:p>
            <w:pPr>
              <w:pStyle w:val="TableParagraph"/>
              <w:spacing w:before="17"/>
              <w:ind w:left="0"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8" w:right="38"/>
              <w:jc w:val="center"/>
              <w:rPr>
                <w:sz w:val="18"/>
              </w:rPr>
            </w:pPr>
            <w:r>
              <w:rPr>
                <w:sz w:val="18"/>
              </w:rPr>
              <w:t>34</w:t>
            </w:r>
          </w:p>
        </w:tc>
        <w:tc>
          <w:tcPr>
            <w:tcW w:w="3139" w:type="dxa"/>
          </w:tcPr>
          <w:p>
            <w:pPr>
              <w:pStyle w:val="TableParagraph"/>
              <w:spacing w:before="17"/>
              <w:ind w:left="58"/>
              <w:rPr>
                <w:sz w:val="18"/>
              </w:rPr>
            </w:pPr>
            <w:r>
              <w:rPr>
                <w:sz w:val="18"/>
              </w:rPr>
              <w:t>严重溃疡性结肠炎</w:t>
            </w:r>
          </w:p>
        </w:tc>
      </w:tr>
      <w:tr>
        <w:trPr>
          <w:trHeight w:val="327" w:hRule="atLeast"/>
        </w:trPr>
        <w:tc>
          <w:tcPr>
            <w:tcW w:w="441" w:type="dxa"/>
          </w:tcPr>
          <w:p>
            <w:pPr>
              <w:pStyle w:val="TableParagraph"/>
              <w:spacing w:before="17"/>
              <w:ind w:left="0"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35</w:t>
            </w:r>
          </w:p>
        </w:tc>
        <w:tc>
          <w:tcPr>
            <w:tcW w:w="3139" w:type="dxa"/>
          </w:tcPr>
          <w:p>
            <w:pPr>
              <w:pStyle w:val="TableParagraph"/>
              <w:spacing w:before="17"/>
              <w:ind w:left="58"/>
              <w:rPr>
                <w:sz w:val="18"/>
              </w:rPr>
            </w:pPr>
            <w:r>
              <w:rPr>
                <w:sz w:val="18"/>
              </w:rPr>
              <w:t>疯牛病</w:t>
            </w:r>
          </w:p>
        </w:tc>
      </w:tr>
      <w:tr>
        <w:trPr>
          <w:trHeight w:val="327" w:hRule="atLeast"/>
        </w:trPr>
        <w:tc>
          <w:tcPr>
            <w:tcW w:w="441" w:type="dxa"/>
          </w:tcPr>
          <w:p>
            <w:pPr>
              <w:pStyle w:val="TableParagraph"/>
              <w:spacing w:before="19"/>
              <w:ind w:left="0" w:right="56"/>
              <w:jc w:val="right"/>
              <w:rPr>
                <w:sz w:val="18"/>
              </w:rPr>
            </w:pPr>
            <w:r>
              <w:rPr>
                <w:sz w:val="18"/>
              </w:rPr>
              <w:t>14</w:t>
            </w:r>
          </w:p>
        </w:tc>
        <w:tc>
          <w:tcPr>
            <w:tcW w:w="2986" w:type="dxa"/>
          </w:tcPr>
          <w:p>
            <w:pPr>
              <w:pStyle w:val="TableParagraph"/>
              <w:spacing w:before="19"/>
              <w:ind w:left="58"/>
              <w:rPr>
                <w:sz w:val="18"/>
              </w:rPr>
            </w:pPr>
            <w:r>
              <w:rPr>
                <w:sz w:val="18"/>
              </w:rPr>
              <w:t>双目失明</w:t>
            </w:r>
          </w:p>
        </w:tc>
        <w:tc>
          <w:tcPr>
            <w:tcW w:w="288" w:type="dxa"/>
          </w:tcPr>
          <w:p>
            <w:pPr>
              <w:pStyle w:val="TableParagraph"/>
              <w:spacing w:before="19"/>
              <w:ind w:left="29" w:right="38"/>
              <w:jc w:val="center"/>
              <w:rPr>
                <w:sz w:val="18"/>
              </w:rPr>
            </w:pPr>
            <w:r>
              <w:rPr>
                <w:sz w:val="18"/>
              </w:rPr>
              <w:t>36</w:t>
            </w:r>
          </w:p>
        </w:tc>
        <w:tc>
          <w:tcPr>
            <w:tcW w:w="3139" w:type="dxa"/>
          </w:tcPr>
          <w:p>
            <w:pPr>
              <w:pStyle w:val="TableParagraph"/>
              <w:spacing w:before="19"/>
              <w:ind w:left="58"/>
              <w:rPr>
                <w:sz w:val="18"/>
              </w:rPr>
            </w:pPr>
            <w:r>
              <w:rPr>
                <w:sz w:val="18"/>
              </w:rPr>
              <w:t>急性坏死性胰腺炎</w:t>
            </w:r>
          </w:p>
        </w:tc>
      </w:tr>
      <w:tr>
        <w:trPr>
          <w:trHeight w:val="326" w:hRule="atLeast"/>
        </w:trPr>
        <w:tc>
          <w:tcPr>
            <w:tcW w:w="441" w:type="dxa"/>
          </w:tcPr>
          <w:p>
            <w:pPr>
              <w:pStyle w:val="TableParagraph"/>
              <w:spacing w:before="18"/>
              <w:ind w:left="0" w:right="56"/>
              <w:jc w:val="right"/>
              <w:rPr>
                <w:sz w:val="18"/>
              </w:rPr>
            </w:pPr>
            <w:r>
              <w:rPr>
                <w:sz w:val="18"/>
              </w:rPr>
              <w:t>15</w:t>
            </w:r>
          </w:p>
        </w:tc>
        <w:tc>
          <w:tcPr>
            <w:tcW w:w="2986" w:type="dxa"/>
          </w:tcPr>
          <w:p>
            <w:pPr>
              <w:pStyle w:val="TableParagraph"/>
              <w:spacing w:before="18"/>
              <w:ind w:left="58"/>
              <w:rPr>
                <w:sz w:val="18"/>
              </w:rPr>
            </w:pPr>
            <w:r>
              <w:rPr>
                <w:sz w:val="18"/>
              </w:rPr>
              <w:t>瘫痪</w:t>
            </w:r>
          </w:p>
        </w:tc>
        <w:tc>
          <w:tcPr>
            <w:tcW w:w="288" w:type="dxa"/>
          </w:tcPr>
          <w:p>
            <w:pPr>
              <w:pStyle w:val="TableParagraph"/>
              <w:spacing w:before="18"/>
              <w:ind w:left="29" w:right="38"/>
              <w:jc w:val="center"/>
              <w:rPr>
                <w:sz w:val="18"/>
              </w:rPr>
            </w:pPr>
            <w:r>
              <w:rPr>
                <w:sz w:val="18"/>
              </w:rPr>
              <w:t>37</w:t>
            </w:r>
          </w:p>
        </w:tc>
        <w:tc>
          <w:tcPr>
            <w:tcW w:w="3139" w:type="dxa"/>
          </w:tcPr>
          <w:p>
            <w:pPr>
              <w:pStyle w:val="TableParagraph"/>
              <w:spacing w:before="18"/>
              <w:ind w:left="58"/>
              <w:rPr>
                <w:sz w:val="18"/>
              </w:rPr>
            </w:pPr>
            <w:r>
              <w:rPr>
                <w:sz w:val="18"/>
              </w:rPr>
              <w:t>慢性呼吸功能衰竭</w:t>
            </w:r>
          </w:p>
        </w:tc>
      </w:tr>
      <w:tr>
        <w:trPr>
          <w:trHeight w:val="326" w:hRule="atLeast"/>
        </w:trPr>
        <w:tc>
          <w:tcPr>
            <w:tcW w:w="441" w:type="dxa"/>
          </w:tcPr>
          <w:p>
            <w:pPr>
              <w:pStyle w:val="TableParagraph"/>
              <w:spacing w:before="17"/>
              <w:ind w:left="0" w:right="56"/>
              <w:jc w:val="right"/>
              <w:rPr>
                <w:sz w:val="18"/>
              </w:rPr>
            </w:pPr>
            <w:r>
              <w:rPr>
                <w:sz w:val="18"/>
              </w:rPr>
              <w:t>16</w:t>
            </w:r>
          </w:p>
        </w:tc>
        <w:tc>
          <w:tcPr>
            <w:tcW w:w="2986" w:type="dxa"/>
          </w:tcPr>
          <w:p>
            <w:pPr>
              <w:pStyle w:val="TableParagraph"/>
              <w:spacing w:before="17"/>
              <w:ind w:left="58"/>
              <w:rPr>
                <w:sz w:val="18"/>
              </w:rPr>
            </w:pPr>
            <w:r>
              <w:rPr>
                <w:sz w:val="18"/>
              </w:rPr>
              <w:t>心脏瓣膜手术</w:t>
            </w:r>
          </w:p>
        </w:tc>
        <w:tc>
          <w:tcPr>
            <w:tcW w:w="288" w:type="dxa"/>
          </w:tcPr>
          <w:p>
            <w:pPr>
              <w:pStyle w:val="TableParagraph"/>
              <w:spacing w:before="17"/>
              <w:ind w:left="29" w:right="38"/>
              <w:jc w:val="center"/>
              <w:rPr>
                <w:sz w:val="18"/>
              </w:rPr>
            </w:pPr>
            <w:r>
              <w:rPr>
                <w:sz w:val="18"/>
              </w:rPr>
              <w:t>38</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7"/>
              <w:ind w:left="0" w:right="56"/>
              <w:jc w:val="right"/>
              <w:rPr>
                <w:sz w:val="18"/>
              </w:rPr>
            </w:pPr>
            <w:r>
              <w:rPr>
                <w:sz w:val="18"/>
              </w:rPr>
              <w:t>17</w:t>
            </w:r>
          </w:p>
        </w:tc>
        <w:tc>
          <w:tcPr>
            <w:tcW w:w="2986" w:type="dxa"/>
          </w:tcPr>
          <w:p>
            <w:pPr>
              <w:pStyle w:val="TableParagraph"/>
              <w:spacing w:before="17"/>
              <w:ind w:left="58"/>
              <w:rPr>
                <w:sz w:val="18"/>
              </w:rPr>
            </w:pPr>
            <w:r>
              <w:rPr>
                <w:sz w:val="18"/>
              </w:rPr>
              <w:t>严重阿尔茨海默病</w:t>
            </w:r>
          </w:p>
        </w:tc>
        <w:tc>
          <w:tcPr>
            <w:tcW w:w="288" w:type="dxa"/>
          </w:tcPr>
          <w:p>
            <w:pPr>
              <w:pStyle w:val="TableParagraph"/>
              <w:spacing w:before="17"/>
              <w:ind w:left="29" w:right="38"/>
              <w:jc w:val="center"/>
              <w:rPr>
                <w:sz w:val="18"/>
              </w:rPr>
            </w:pPr>
            <w:r>
              <w:rPr>
                <w:sz w:val="18"/>
              </w:rPr>
              <w:t>39</w:t>
            </w:r>
          </w:p>
        </w:tc>
        <w:tc>
          <w:tcPr>
            <w:tcW w:w="3139"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9"/>
              <w:ind w:left="0" w:right="56"/>
              <w:jc w:val="right"/>
              <w:rPr>
                <w:sz w:val="18"/>
              </w:rPr>
            </w:pPr>
            <w:r>
              <w:rPr>
                <w:sz w:val="18"/>
              </w:rPr>
              <w:t>18</w:t>
            </w:r>
          </w:p>
        </w:tc>
        <w:tc>
          <w:tcPr>
            <w:tcW w:w="2986" w:type="dxa"/>
          </w:tcPr>
          <w:p>
            <w:pPr>
              <w:pStyle w:val="TableParagraph"/>
              <w:spacing w:before="19"/>
              <w:ind w:left="58"/>
              <w:rPr>
                <w:sz w:val="18"/>
              </w:rPr>
            </w:pPr>
            <w:r>
              <w:rPr>
                <w:sz w:val="18"/>
              </w:rPr>
              <w:t>严重脑损伤</w:t>
            </w:r>
          </w:p>
        </w:tc>
        <w:tc>
          <w:tcPr>
            <w:tcW w:w="288" w:type="dxa"/>
          </w:tcPr>
          <w:p>
            <w:pPr>
              <w:pStyle w:val="TableParagraph"/>
              <w:spacing w:before="19"/>
              <w:ind w:left="29" w:right="38"/>
              <w:jc w:val="center"/>
              <w:rPr>
                <w:sz w:val="18"/>
              </w:rPr>
            </w:pPr>
            <w:r>
              <w:rPr>
                <w:sz w:val="18"/>
              </w:rPr>
              <w:t>40</w:t>
            </w:r>
          </w:p>
        </w:tc>
        <w:tc>
          <w:tcPr>
            <w:tcW w:w="3139" w:type="dxa"/>
          </w:tcPr>
          <w:p>
            <w:pPr>
              <w:pStyle w:val="TableParagraph"/>
              <w:spacing w:before="19"/>
              <w:ind w:left="58"/>
              <w:rPr>
                <w:sz w:val="18"/>
              </w:rPr>
            </w:pPr>
            <w:r>
              <w:rPr>
                <w:sz w:val="18"/>
              </w:rPr>
              <w:t>终末期肺病</w:t>
            </w:r>
          </w:p>
        </w:tc>
      </w:tr>
      <w:tr>
        <w:trPr>
          <w:trHeight w:val="326" w:hRule="atLeast"/>
        </w:trPr>
        <w:tc>
          <w:tcPr>
            <w:tcW w:w="441" w:type="dxa"/>
          </w:tcPr>
          <w:p>
            <w:pPr>
              <w:pStyle w:val="TableParagraph"/>
              <w:spacing w:before="17"/>
              <w:ind w:left="0" w:right="56"/>
              <w:jc w:val="right"/>
              <w:rPr>
                <w:sz w:val="18"/>
              </w:rPr>
            </w:pPr>
            <w:r>
              <w:rPr>
                <w:sz w:val="18"/>
              </w:rPr>
              <w:t>19</w:t>
            </w:r>
          </w:p>
        </w:tc>
        <w:tc>
          <w:tcPr>
            <w:tcW w:w="2986" w:type="dxa"/>
          </w:tcPr>
          <w:p>
            <w:pPr>
              <w:pStyle w:val="TableParagraph"/>
              <w:spacing w:before="17"/>
              <w:ind w:left="58"/>
              <w:rPr>
                <w:sz w:val="18"/>
              </w:rPr>
            </w:pPr>
            <w:r>
              <w:rPr>
                <w:sz w:val="18"/>
              </w:rPr>
              <w:t>严重帕金森病</w:t>
            </w:r>
          </w:p>
        </w:tc>
        <w:tc>
          <w:tcPr>
            <w:tcW w:w="288" w:type="dxa"/>
          </w:tcPr>
          <w:p>
            <w:pPr>
              <w:pStyle w:val="TableParagraph"/>
              <w:spacing w:before="17"/>
              <w:ind w:left="29" w:right="38"/>
              <w:jc w:val="center"/>
              <w:rPr>
                <w:sz w:val="18"/>
              </w:rPr>
            </w:pPr>
            <w:r>
              <w:rPr>
                <w:sz w:val="18"/>
              </w:rPr>
              <w:t>41</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20</w:t>
            </w:r>
          </w:p>
        </w:tc>
        <w:tc>
          <w:tcPr>
            <w:tcW w:w="2986" w:type="dxa"/>
          </w:tcPr>
          <w:p>
            <w:pPr>
              <w:pStyle w:val="TableParagraph"/>
              <w:spacing w:line="216" w:lineRule="exact" w:before="17"/>
              <w:ind w:left="58"/>
              <w:rPr>
                <w:sz w:val="18"/>
              </w:rPr>
            </w:pPr>
            <w:r>
              <w:rPr>
                <w:sz w:val="18"/>
              </w:rPr>
              <w:t>严重Ⅲ度烧伤</w:t>
            </w:r>
          </w:p>
        </w:tc>
        <w:tc>
          <w:tcPr>
            <w:tcW w:w="288" w:type="dxa"/>
          </w:tcPr>
          <w:p>
            <w:pPr>
              <w:pStyle w:val="TableParagraph"/>
              <w:spacing w:line="216" w:lineRule="exact" w:before="17"/>
              <w:ind w:left="29" w:right="38"/>
              <w:jc w:val="center"/>
              <w:rPr>
                <w:sz w:val="18"/>
              </w:rPr>
            </w:pPr>
            <w:r>
              <w:rPr>
                <w:sz w:val="18"/>
              </w:rPr>
              <w:t>42</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4"/>
        <w:rPr>
          <w:sz w:val="5"/>
        </w:rPr>
      </w:pPr>
    </w:p>
    <w:p>
      <w:pPr>
        <w:spacing w:after="0"/>
        <w:rPr>
          <w:sz w:val="5"/>
        </w:rPr>
        <w:sectPr>
          <w:pgSz w:w="11910" w:h="16840"/>
          <w:pgMar w:header="568" w:footer="0" w:top="800" w:bottom="280" w:left="920" w:right="900"/>
        </w:sectPr>
      </w:pPr>
    </w:p>
    <w:p>
      <w:pPr>
        <w:pStyle w:val="Heading3"/>
        <w:tabs>
          <w:tab w:pos="1261" w:val="left" w:leader="none"/>
        </w:tabs>
        <w:spacing w:line="261" w:lineRule="exact" w:before="0"/>
        <w:ind w:left="100" w:firstLine="0"/>
      </w:pPr>
      <w:r>
        <w:rPr/>
        <w:t>3.4</w:t>
        <w:tab/>
        <w:t>重大疾病的</w:t>
      </w:r>
    </w:p>
    <w:p>
      <w:pPr>
        <w:spacing w:before="37"/>
        <w:ind w:left="1261" w:right="0" w:firstLine="0"/>
        <w:jc w:val="left"/>
        <w:rPr>
          <w:b/>
          <w:sz w:val="21"/>
        </w:rPr>
      </w:pPr>
      <w:r>
        <w:rPr>
          <w:b/>
          <w:sz w:val="21"/>
        </w:rPr>
        <w:t>定义</w:t>
      </w:r>
    </w:p>
    <w:p>
      <w:pPr>
        <w:pStyle w:val="BodyText"/>
        <w:spacing w:before="142"/>
        <w:ind w:left="100"/>
      </w:pPr>
      <w:r>
        <w:rPr/>
        <w:br w:type="column"/>
      </w:r>
      <w:r>
        <w:rPr/>
        <w:t>以上各种重大疾病须我们认可的医院专科医生明确诊断，符合以下定义：</w:t>
      </w:r>
    </w:p>
    <w:p>
      <w:pPr>
        <w:spacing w:after="0"/>
        <w:sectPr>
          <w:type w:val="continuous"/>
          <w:pgSz w:w="11910" w:h="16840"/>
          <w:pgMar w:top="1060" w:bottom="280" w:left="920" w:right="900"/>
          <w:cols w:num="2" w:equalWidth="0">
            <w:col w:w="2319" w:space="315"/>
            <w:col w:w="7456"/>
          </w:cols>
        </w:sectPr>
      </w:pPr>
    </w:p>
    <w:p>
      <w:pPr>
        <w:pStyle w:val="BodyText"/>
        <w:rPr>
          <w:rFonts w:ascii="Times New Roman"/>
          <w:sz w:val="20"/>
        </w:rPr>
      </w:pPr>
    </w:p>
    <w:p>
      <w:pPr>
        <w:pStyle w:val="BodyText"/>
        <w:spacing w:before="1" w:after="1"/>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736"/>
      </w:tblGrid>
      <w:tr>
        <w:trPr>
          <w:trHeight w:val="674" w:hRule="atLeast"/>
        </w:trPr>
        <w:tc>
          <w:tcPr>
            <w:tcW w:w="1150" w:type="dxa"/>
          </w:tcPr>
          <w:p>
            <w:pPr>
              <w:pStyle w:val="TableParagraph"/>
              <w:spacing w:before="90"/>
              <w:ind w:left="0" w:right="213"/>
              <w:jc w:val="right"/>
              <w:rPr>
                <w:b/>
                <w:i/>
                <w:sz w:val="22"/>
              </w:rPr>
            </w:pPr>
            <w:r>
              <w:rPr>
                <w:b/>
                <w:i/>
                <w:w w:val="95"/>
                <w:sz w:val="22"/>
              </w:rPr>
              <w:t>3.4.1</w:t>
            </w:r>
          </w:p>
        </w:tc>
        <w:tc>
          <w:tcPr>
            <w:tcW w:w="1603" w:type="dxa"/>
          </w:tcPr>
          <w:p>
            <w:pPr>
              <w:pStyle w:val="TableParagraph"/>
              <w:spacing w:line="222" w:lineRule="exact"/>
              <w:ind w:left="240" w:right="167"/>
              <w:jc w:val="center"/>
              <w:rPr>
                <w:b/>
                <w:i/>
                <w:sz w:val="22"/>
              </w:rPr>
            </w:pPr>
            <w:r>
              <w:rPr>
                <w:b/>
                <w:i/>
                <w:w w:val="95"/>
                <w:sz w:val="22"/>
              </w:rPr>
              <w:t>37 种重大疾</w:t>
            </w:r>
          </w:p>
          <w:p>
            <w:pPr>
              <w:pStyle w:val="TableParagraph"/>
              <w:spacing w:before="24"/>
              <w:ind w:left="240" w:right="167"/>
              <w:jc w:val="center"/>
              <w:rPr>
                <w:b/>
                <w:i/>
                <w:sz w:val="22"/>
              </w:rPr>
            </w:pPr>
            <w:r>
              <w:rPr>
                <w:b/>
                <w:i/>
                <w:w w:val="95"/>
                <w:sz w:val="22"/>
              </w:rPr>
              <w:t>病定义</w:t>
            </w:r>
          </w:p>
        </w:tc>
        <w:tc>
          <w:tcPr>
            <w:tcW w:w="7736" w:type="dxa"/>
          </w:tcPr>
          <w:p>
            <w:pPr>
              <w:pStyle w:val="TableParagraph"/>
              <w:spacing w:line="221" w:lineRule="exact"/>
              <w:ind w:left="80"/>
              <w:rPr>
                <w:sz w:val="21"/>
              </w:rPr>
            </w:pPr>
            <w:r>
              <w:rPr>
                <w:sz w:val="21"/>
              </w:rPr>
              <w:t>前 25 种重大疾病定义完全采用了中国保险行业协会发布的《重大疾病保险的疾</w:t>
            </w:r>
          </w:p>
          <w:p>
            <w:pPr>
              <w:pStyle w:val="TableParagraph"/>
              <w:spacing w:before="37"/>
              <w:ind w:left="80"/>
              <w:rPr>
                <w:sz w:val="21"/>
              </w:rPr>
            </w:pPr>
            <w:r>
              <w:rPr>
                <w:sz w:val="21"/>
              </w:rPr>
              <w:t>病定义使用规范》中的疾病定义，其他为本公司增加的疾病:</w:t>
            </w:r>
          </w:p>
        </w:tc>
      </w:tr>
      <w:tr>
        <w:trPr>
          <w:trHeight w:val="3633" w:hRule="atLeast"/>
        </w:trPr>
        <w:tc>
          <w:tcPr>
            <w:tcW w:w="1150" w:type="dxa"/>
          </w:tcPr>
          <w:p>
            <w:pPr>
              <w:pStyle w:val="TableParagraph"/>
              <w:spacing w:before="95"/>
              <w:ind w:left="0" w:right="210"/>
              <w:jc w:val="right"/>
              <w:rPr>
                <w:i/>
                <w:sz w:val="22"/>
              </w:rPr>
            </w:pPr>
            <w:r>
              <w:rPr>
                <w:i/>
                <w:w w:val="95"/>
                <w:sz w:val="22"/>
              </w:rPr>
              <w:t>3.4.1.1</w:t>
            </w:r>
          </w:p>
        </w:tc>
        <w:tc>
          <w:tcPr>
            <w:tcW w:w="1603" w:type="dxa"/>
          </w:tcPr>
          <w:p>
            <w:pPr>
              <w:pStyle w:val="TableParagraph"/>
              <w:spacing w:before="74"/>
              <w:ind w:left="211"/>
              <w:rPr>
                <w:i/>
                <w:sz w:val="22"/>
              </w:rPr>
            </w:pPr>
            <w:r>
              <w:rPr>
                <w:i/>
                <w:w w:val="95"/>
                <w:sz w:val="22"/>
              </w:rPr>
              <w:t>恶性肿瘤</w:t>
            </w:r>
          </w:p>
        </w:tc>
        <w:tc>
          <w:tcPr>
            <w:tcW w:w="7736" w:type="dxa"/>
          </w:tcPr>
          <w:p>
            <w:pPr>
              <w:pStyle w:val="TableParagraph"/>
              <w:spacing w:line="273" w:lineRule="auto" w:before="107"/>
              <w:ind w:left="80" w:right="200"/>
              <w:rPr>
                <w:sz w:val="21"/>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9"/>
                <w:sz w:val="21"/>
              </w:rPr>
              <w:t>临床诊断属于世界卫生组织《 疾病和有关健康问题的国际统计分类》</w:t>
            </w:r>
            <w:r>
              <w:rPr>
                <w:sz w:val="21"/>
              </w:rPr>
              <w:t>（ICD-10） </w:t>
            </w:r>
            <w:r>
              <w:rPr>
                <w:spacing w:val="-3"/>
                <w:sz w:val="21"/>
              </w:rPr>
              <w:t>的恶性肿瘤范畴。</w:t>
            </w:r>
          </w:p>
          <w:p>
            <w:pPr>
              <w:pStyle w:val="TableParagraph"/>
              <w:spacing w:before="7"/>
              <w:ind w:left="80"/>
              <w:rPr>
                <w:sz w:val="21"/>
              </w:rPr>
            </w:pPr>
            <w:r>
              <w:rPr>
                <w:sz w:val="21"/>
              </w:rPr>
              <w:t>下列疾病不在保障范围内：</w:t>
            </w:r>
          </w:p>
          <w:p>
            <w:pPr>
              <w:pStyle w:val="TableParagraph"/>
              <w:spacing w:before="36"/>
              <w:ind w:left="80"/>
              <w:rPr>
                <w:sz w:val="21"/>
              </w:rPr>
            </w:pPr>
            <w:r>
              <w:rPr>
                <w:sz w:val="21"/>
              </w:rPr>
              <w:t>（1）原位癌；</w:t>
            </w:r>
          </w:p>
          <w:p>
            <w:pPr>
              <w:pStyle w:val="TableParagraph"/>
              <w:spacing w:before="36"/>
              <w:ind w:left="80"/>
              <w:rPr>
                <w:sz w:val="21"/>
              </w:rPr>
            </w:pPr>
            <w:r>
              <w:rPr>
                <w:sz w:val="21"/>
              </w:rPr>
              <w:t>（2）相当于 Binet 分期方案 A 期程度的慢性淋巴细胞白血病；</w:t>
            </w:r>
          </w:p>
          <w:p>
            <w:pPr>
              <w:pStyle w:val="TableParagraph"/>
              <w:spacing w:before="36"/>
              <w:ind w:left="80"/>
              <w:rPr>
                <w:sz w:val="21"/>
              </w:rPr>
            </w:pPr>
            <w:r>
              <w:rPr>
                <w:sz w:val="21"/>
              </w:rPr>
              <w:t>（3）相当于 Ann Arbor 分期方案 I 期程度的何杰金氏病；</w:t>
            </w:r>
          </w:p>
          <w:p>
            <w:pPr>
              <w:pStyle w:val="TableParagraph"/>
              <w:spacing w:before="36"/>
              <w:ind w:left="80"/>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80"/>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80"/>
              <w:rPr>
                <w:sz w:val="21"/>
              </w:rPr>
            </w:pPr>
            <w:r>
              <w:rPr>
                <w:sz w:val="21"/>
              </w:rPr>
              <w:t>（6）感染艾滋病病毒或患艾滋病期间所患恶性肿瘤。</w:t>
            </w:r>
          </w:p>
        </w:tc>
      </w:tr>
      <w:tr>
        <w:trPr>
          <w:trHeight w:val="2354" w:hRule="atLeast"/>
        </w:trPr>
        <w:tc>
          <w:tcPr>
            <w:tcW w:w="1150" w:type="dxa"/>
          </w:tcPr>
          <w:p>
            <w:pPr>
              <w:pStyle w:val="TableParagraph"/>
              <w:spacing w:before="65"/>
              <w:ind w:left="0" w:right="210"/>
              <w:jc w:val="right"/>
              <w:rPr>
                <w:i/>
                <w:sz w:val="22"/>
              </w:rPr>
            </w:pPr>
            <w:r>
              <w:rPr>
                <w:i/>
                <w:w w:val="95"/>
                <w:sz w:val="22"/>
              </w:rPr>
              <w:t>3.4.1.2</w:t>
            </w:r>
          </w:p>
        </w:tc>
        <w:tc>
          <w:tcPr>
            <w:tcW w:w="1603" w:type="dxa"/>
          </w:tcPr>
          <w:p>
            <w:pPr>
              <w:pStyle w:val="TableParagraph"/>
              <w:spacing w:line="259" w:lineRule="auto" w:before="65"/>
              <w:ind w:left="211" w:right="82"/>
              <w:rPr>
                <w:i/>
                <w:sz w:val="22"/>
              </w:rPr>
            </w:pPr>
            <w:r>
              <w:rPr>
                <w:i/>
                <w:w w:val="95"/>
                <w:sz w:val="22"/>
              </w:rPr>
              <w:t>急性心肌梗</w:t>
            </w:r>
            <w:r>
              <w:rPr>
                <w:i/>
                <w:sz w:val="22"/>
              </w:rPr>
              <w:t>塞</w:t>
            </w:r>
          </w:p>
        </w:tc>
        <w:tc>
          <w:tcPr>
            <w:tcW w:w="7736" w:type="dxa"/>
          </w:tcPr>
          <w:p>
            <w:pPr>
              <w:pStyle w:val="TableParagraph"/>
              <w:spacing w:line="273" w:lineRule="auto" w:before="77"/>
              <w:ind w:left="80" w:right="305"/>
              <w:rPr>
                <w:sz w:val="21"/>
              </w:rPr>
            </w:pPr>
            <w:r>
              <w:rPr>
                <w:sz w:val="21"/>
              </w:rPr>
              <w:t>指因冠状动脉阻塞导致的相应区域供血不足造成部分心肌坏死。须满足下列至少三项条件：</w:t>
            </w:r>
          </w:p>
          <w:p>
            <w:pPr>
              <w:pStyle w:val="TableParagraph"/>
              <w:spacing w:before="7"/>
              <w:ind w:left="80"/>
              <w:rPr>
                <w:sz w:val="21"/>
              </w:rPr>
            </w:pPr>
            <w:r>
              <w:rPr>
                <w:sz w:val="21"/>
              </w:rPr>
              <w:t>（1）典型临床表现，例如急性胸痛等；</w:t>
            </w:r>
          </w:p>
          <w:p>
            <w:pPr>
              <w:pStyle w:val="TableParagraph"/>
              <w:spacing w:before="36"/>
              <w:ind w:left="80"/>
              <w:rPr>
                <w:sz w:val="21"/>
              </w:rPr>
            </w:pPr>
            <w:r>
              <w:rPr>
                <w:sz w:val="21"/>
              </w:rPr>
              <w:t>（2）新近的心电图改变提示急性心肌梗塞；</w:t>
            </w:r>
          </w:p>
          <w:p>
            <w:pPr>
              <w:pStyle w:val="TableParagraph"/>
              <w:spacing w:line="273" w:lineRule="auto" w:before="36"/>
              <w:ind w:left="80" w:right="311"/>
              <w:rPr>
                <w:sz w:val="21"/>
              </w:rPr>
            </w:pPr>
            <w:r>
              <w:rPr>
                <w:sz w:val="21"/>
              </w:rPr>
              <w:t>（3）心肌酶或肌钙蛋白有诊断意义的升高，或呈符合急性心肌梗塞的动态性变化；</w:t>
            </w:r>
          </w:p>
          <w:p>
            <w:pPr>
              <w:pStyle w:val="TableParagraph"/>
              <w:spacing w:before="7"/>
              <w:ind w:left="80"/>
              <w:rPr>
                <w:sz w:val="21"/>
              </w:rPr>
            </w:pPr>
            <w:r>
              <w:rPr>
                <w:sz w:val="21"/>
              </w:rPr>
              <w:t>（4）发病 90 天后，经检查证实左心室功能降低，如左心室射血分数低于 50%。</w:t>
            </w:r>
          </w:p>
        </w:tc>
      </w:tr>
      <w:tr>
        <w:trPr>
          <w:trHeight w:val="2312" w:hRule="atLeast"/>
        </w:trPr>
        <w:tc>
          <w:tcPr>
            <w:tcW w:w="1150" w:type="dxa"/>
          </w:tcPr>
          <w:p>
            <w:pPr>
              <w:pStyle w:val="TableParagraph"/>
              <w:spacing w:before="65"/>
              <w:ind w:left="0" w:right="210"/>
              <w:jc w:val="right"/>
              <w:rPr>
                <w:i/>
                <w:sz w:val="22"/>
              </w:rPr>
            </w:pPr>
            <w:r>
              <w:rPr>
                <w:i/>
                <w:w w:val="95"/>
                <w:sz w:val="22"/>
              </w:rPr>
              <w:t>3.4.1.3</w:t>
            </w:r>
          </w:p>
        </w:tc>
        <w:tc>
          <w:tcPr>
            <w:tcW w:w="1603" w:type="dxa"/>
          </w:tcPr>
          <w:p>
            <w:pPr>
              <w:pStyle w:val="TableParagraph"/>
              <w:spacing w:line="259" w:lineRule="auto" w:before="65"/>
              <w:ind w:left="211" w:right="335"/>
              <w:rPr>
                <w:i/>
                <w:sz w:val="22"/>
              </w:rPr>
            </w:pPr>
            <w:r>
              <w:rPr>
                <w:i/>
                <w:w w:val="95"/>
                <w:sz w:val="22"/>
              </w:rPr>
              <w:t>脑中风后遗</w:t>
            </w:r>
            <w:r>
              <w:rPr>
                <w:i/>
                <w:sz w:val="22"/>
              </w:rPr>
              <w:t>症</w:t>
            </w:r>
          </w:p>
        </w:tc>
        <w:tc>
          <w:tcPr>
            <w:tcW w:w="7736" w:type="dxa"/>
          </w:tcPr>
          <w:p>
            <w:pPr>
              <w:pStyle w:val="TableParagraph"/>
              <w:spacing w:line="273" w:lineRule="auto" w:before="76"/>
              <w:ind w:left="80" w:right="305"/>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80"/>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2"/>
                <w:sz w:val="21"/>
              </w:rPr>
              <w:t> </w:t>
            </w:r>
            <w:r>
              <w:rPr>
                <w:spacing w:val="-3"/>
                <w:w w:val="100"/>
                <w:sz w:val="21"/>
              </w:rPr>
              <w:t>1</w:t>
            </w:r>
            <w:r>
              <w:rPr>
                <w:w w:val="100"/>
                <w:sz w:val="21"/>
              </w:rPr>
              <w:t>1.1</w:t>
            </w:r>
            <w:r>
              <w:rPr>
                <w:spacing w:val="-1"/>
                <w:w w:val="100"/>
                <w:sz w:val="21"/>
              </w:rPr>
              <w:t>8</w:t>
            </w:r>
            <w:r>
              <w:rPr>
                <w:spacing w:val="-108"/>
                <w:w w:val="100"/>
                <w:sz w:val="21"/>
              </w:rPr>
              <w:t>）</w:t>
            </w:r>
            <w:r>
              <w:rPr>
                <w:w w:val="100"/>
                <w:sz w:val="21"/>
              </w:rPr>
              <w:t>；</w:t>
            </w:r>
          </w:p>
          <w:p>
            <w:pPr>
              <w:pStyle w:val="TableParagraph"/>
              <w:spacing w:before="37"/>
              <w:ind w:left="80"/>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w:t>
            </w:r>
            <w:r>
              <w:rPr>
                <w:spacing w:val="-52"/>
                <w:sz w:val="21"/>
              </w:rPr>
              <w:t> </w:t>
            </w:r>
            <w:r>
              <w:rPr>
                <w:spacing w:val="-3"/>
                <w:w w:val="100"/>
                <w:sz w:val="21"/>
              </w:rPr>
              <w:t>1</w:t>
            </w:r>
            <w:r>
              <w:rPr>
                <w:w w:val="100"/>
                <w:sz w:val="21"/>
              </w:rPr>
              <w:t>1.1</w:t>
            </w:r>
            <w:r>
              <w:rPr>
                <w:spacing w:val="-1"/>
                <w:w w:val="100"/>
                <w:sz w:val="21"/>
              </w:rPr>
              <w:t>9</w:t>
            </w:r>
            <w:r>
              <w:rPr>
                <w:spacing w:val="-108"/>
                <w:w w:val="100"/>
                <w:sz w:val="21"/>
              </w:rPr>
              <w:t>）</w:t>
            </w:r>
            <w:r>
              <w:rPr>
                <w:w w:val="100"/>
                <w:sz w:val="21"/>
              </w:rPr>
              <w:t>；</w:t>
            </w:r>
          </w:p>
          <w:p>
            <w:pPr>
              <w:pStyle w:val="TableParagraph"/>
              <w:spacing w:line="237" w:lineRule="auto" w:before="18"/>
              <w:ind w:left="80" w:right="175"/>
              <w:rPr>
                <w:sz w:val="21"/>
              </w:rPr>
            </w:pPr>
            <w:r>
              <w:rPr>
                <w:sz w:val="21"/>
              </w:rPr>
              <w:t>（3）自主生活能力完全丧失，无法独立完成</w:t>
            </w:r>
            <w:r>
              <w:rPr>
                <w:b/>
                <w:sz w:val="21"/>
              </w:rPr>
              <w:t>六项基本日常生活活动</w:t>
            </w:r>
            <w:r>
              <w:rPr>
                <w:sz w:val="21"/>
              </w:rPr>
              <w:t>（见 11.20） 中的三项或三项以上。</w:t>
            </w:r>
          </w:p>
        </w:tc>
      </w:tr>
      <w:tr>
        <w:trPr>
          <w:trHeight w:val="1778" w:hRule="atLeast"/>
        </w:trPr>
        <w:tc>
          <w:tcPr>
            <w:tcW w:w="1150" w:type="dxa"/>
          </w:tcPr>
          <w:p>
            <w:pPr>
              <w:pStyle w:val="TableParagraph"/>
              <w:spacing w:before="85"/>
              <w:ind w:left="0" w:right="210"/>
              <w:jc w:val="right"/>
              <w:rPr>
                <w:i/>
                <w:sz w:val="22"/>
              </w:rPr>
            </w:pPr>
            <w:r>
              <w:rPr>
                <w:i/>
                <w:w w:val="95"/>
                <w:sz w:val="22"/>
              </w:rPr>
              <w:t>3.4.1.4</w:t>
            </w:r>
          </w:p>
        </w:tc>
        <w:tc>
          <w:tcPr>
            <w:tcW w:w="1603" w:type="dxa"/>
          </w:tcPr>
          <w:p>
            <w:pPr>
              <w:pStyle w:val="TableParagraph"/>
              <w:spacing w:line="259" w:lineRule="auto" w:before="85"/>
              <w:ind w:left="211" w:right="82"/>
              <w:jc w:val="both"/>
              <w:rPr>
                <w:i/>
                <w:sz w:val="22"/>
              </w:rPr>
            </w:pPr>
            <w:r>
              <w:rPr>
                <w:i/>
                <w:w w:val="95"/>
                <w:sz w:val="22"/>
              </w:rPr>
              <w:t>重大器官移植术或造血干细胞移植</w:t>
            </w:r>
            <w:r>
              <w:rPr>
                <w:i/>
                <w:sz w:val="22"/>
              </w:rPr>
              <w:t>术</w:t>
            </w:r>
          </w:p>
        </w:tc>
        <w:tc>
          <w:tcPr>
            <w:tcW w:w="7736" w:type="dxa"/>
          </w:tcPr>
          <w:p>
            <w:pPr>
              <w:pStyle w:val="TableParagraph"/>
              <w:spacing w:line="273" w:lineRule="auto" w:before="97"/>
              <w:ind w:left="80" w:right="305"/>
              <w:jc w:val="both"/>
              <w:rPr>
                <w:sz w:val="21"/>
              </w:rPr>
            </w:pPr>
            <w:r>
              <w:rPr>
                <w:sz w:val="21"/>
              </w:rPr>
              <w:t>重大器官移植术，指因相应器官功能衰竭，已经实施了肾脏、肝脏、心脏或肺脏的异体移植手术。</w:t>
            </w:r>
          </w:p>
          <w:p>
            <w:pPr>
              <w:pStyle w:val="TableParagraph"/>
              <w:spacing w:line="273" w:lineRule="auto" w:before="7"/>
              <w:ind w:left="80"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76" w:hRule="atLeast"/>
        </w:trPr>
        <w:tc>
          <w:tcPr>
            <w:tcW w:w="1150" w:type="dxa"/>
          </w:tcPr>
          <w:p>
            <w:pPr>
              <w:pStyle w:val="TableParagraph"/>
              <w:spacing w:before="92"/>
              <w:ind w:left="0" w:right="210"/>
              <w:jc w:val="right"/>
              <w:rPr>
                <w:i/>
                <w:sz w:val="22"/>
              </w:rPr>
            </w:pPr>
            <w:r>
              <w:rPr>
                <w:i/>
                <w:w w:val="95"/>
                <w:sz w:val="22"/>
              </w:rPr>
              <w:t>3.4.1.5</w:t>
            </w:r>
          </w:p>
        </w:tc>
        <w:tc>
          <w:tcPr>
            <w:tcW w:w="1603" w:type="dxa"/>
          </w:tcPr>
          <w:p>
            <w:pPr>
              <w:pStyle w:val="TableParagraph"/>
              <w:spacing w:line="259" w:lineRule="auto" w:before="92"/>
              <w:ind w:left="211" w:right="131"/>
              <w:rPr>
                <w:i/>
                <w:sz w:val="22"/>
              </w:rPr>
            </w:pPr>
            <w:r>
              <w:rPr>
                <w:i/>
                <w:sz w:val="22"/>
              </w:rPr>
              <w:t>冠状动脉搭</w:t>
            </w:r>
            <w:r>
              <w:rPr>
                <w:i/>
                <w:w w:val="95"/>
                <w:sz w:val="22"/>
              </w:rPr>
              <w:t>桥术（或称冠</w:t>
            </w:r>
            <w:r>
              <w:rPr>
                <w:i/>
                <w:sz w:val="22"/>
              </w:rPr>
              <w:t>状动脉旁路</w:t>
            </w:r>
            <w:r>
              <w:rPr>
                <w:i/>
                <w:w w:val="95"/>
                <w:sz w:val="22"/>
              </w:rPr>
              <w:t>移植术）</w:t>
            </w:r>
          </w:p>
        </w:tc>
        <w:tc>
          <w:tcPr>
            <w:tcW w:w="7736" w:type="dxa"/>
          </w:tcPr>
          <w:p>
            <w:pPr>
              <w:pStyle w:val="TableParagraph"/>
              <w:spacing w:line="273" w:lineRule="auto" w:before="104"/>
              <w:ind w:left="80" w:right="29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74" w:hRule="atLeast"/>
        </w:trPr>
        <w:tc>
          <w:tcPr>
            <w:tcW w:w="1150" w:type="dxa"/>
          </w:tcPr>
          <w:p>
            <w:pPr>
              <w:pStyle w:val="TableParagraph"/>
              <w:spacing w:before="93"/>
              <w:ind w:left="0" w:right="210"/>
              <w:jc w:val="right"/>
              <w:rPr>
                <w:i/>
                <w:sz w:val="22"/>
              </w:rPr>
            </w:pPr>
            <w:r>
              <w:rPr>
                <w:i/>
                <w:w w:val="95"/>
                <w:sz w:val="22"/>
              </w:rPr>
              <w:t>3.4.1.6</w:t>
            </w:r>
          </w:p>
        </w:tc>
        <w:tc>
          <w:tcPr>
            <w:tcW w:w="1603" w:type="dxa"/>
          </w:tcPr>
          <w:p>
            <w:pPr>
              <w:pStyle w:val="TableParagraph"/>
              <w:spacing w:before="93"/>
              <w:ind w:left="211"/>
              <w:rPr>
                <w:i/>
                <w:sz w:val="22"/>
              </w:rPr>
            </w:pPr>
            <w:r>
              <w:rPr>
                <w:i/>
                <w:w w:val="95"/>
                <w:sz w:val="22"/>
              </w:rPr>
              <w:t>终末期肾病</w:t>
            </w:r>
          </w:p>
          <w:p>
            <w:pPr>
              <w:pStyle w:val="TableParagraph"/>
              <w:spacing w:line="259" w:lineRule="auto" w:before="24"/>
              <w:ind w:left="211" w:right="335"/>
              <w:jc w:val="both"/>
              <w:rPr>
                <w:i/>
                <w:sz w:val="22"/>
              </w:rPr>
            </w:pPr>
            <w:r>
              <w:rPr>
                <w:i/>
                <w:w w:val="95"/>
                <w:sz w:val="22"/>
              </w:rPr>
              <w:t>（或称慢性肾功能衰竭尿毒症期）</w:t>
            </w:r>
          </w:p>
        </w:tc>
        <w:tc>
          <w:tcPr>
            <w:tcW w:w="7736" w:type="dxa"/>
          </w:tcPr>
          <w:p>
            <w:pPr>
              <w:pStyle w:val="TableParagraph"/>
              <w:spacing w:line="273" w:lineRule="auto" w:before="104"/>
              <w:ind w:left="80" w:right="403"/>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692" w:hRule="atLeast"/>
        </w:trPr>
        <w:tc>
          <w:tcPr>
            <w:tcW w:w="1150" w:type="dxa"/>
          </w:tcPr>
          <w:p>
            <w:pPr>
              <w:pStyle w:val="TableParagraph"/>
              <w:spacing w:before="92"/>
              <w:ind w:left="0" w:right="210"/>
              <w:jc w:val="right"/>
              <w:rPr>
                <w:i/>
                <w:sz w:val="22"/>
              </w:rPr>
            </w:pPr>
            <w:r>
              <w:rPr>
                <w:i/>
                <w:w w:val="95"/>
                <w:sz w:val="22"/>
              </w:rPr>
              <w:t>3.4.1.7</w:t>
            </w:r>
          </w:p>
        </w:tc>
        <w:tc>
          <w:tcPr>
            <w:tcW w:w="1603" w:type="dxa"/>
          </w:tcPr>
          <w:p>
            <w:pPr>
              <w:pStyle w:val="TableParagraph"/>
              <w:spacing w:line="310" w:lineRule="atLeast" w:before="69"/>
              <w:ind w:left="211" w:right="335"/>
              <w:rPr>
                <w:i/>
                <w:sz w:val="22"/>
              </w:rPr>
            </w:pPr>
            <w:r>
              <w:rPr>
                <w:i/>
                <w:w w:val="95"/>
                <w:sz w:val="22"/>
              </w:rPr>
              <w:t>多个肢体缺</w:t>
            </w:r>
            <w:r>
              <w:rPr>
                <w:i/>
                <w:sz w:val="22"/>
              </w:rPr>
              <w:t>失</w:t>
            </w:r>
          </w:p>
        </w:tc>
        <w:tc>
          <w:tcPr>
            <w:tcW w:w="7736" w:type="dxa"/>
          </w:tcPr>
          <w:p>
            <w:pPr>
              <w:pStyle w:val="TableParagraph"/>
              <w:spacing w:line="310" w:lineRule="atLeast" w:before="68"/>
              <w:ind w:left="80" w:right="305"/>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pgSz w:w="11910" w:h="16840"/>
          <w:pgMar w:header="568" w:footer="0" w:top="800" w:bottom="280" w:left="720" w:right="4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4"/>
      </w:tblGrid>
      <w:tr>
        <w:trPr>
          <w:trHeight w:val="1940" w:hRule="atLeast"/>
        </w:trPr>
        <w:tc>
          <w:tcPr>
            <w:tcW w:w="1202" w:type="dxa"/>
          </w:tcPr>
          <w:p>
            <w:pPr>
              <w:pStyle w:val="TableParagraph"/>
              <w:spacing w:line="222" w:lineRule="exact"/>
              <w:ind w:left="200"/>
              <w:rPr>
                <w:i/>
                <w:sz w:val="22"/>
              </w:rPr>
            </w:pPr>
            <w:r>
              <w:rPr>
                <w:i/>
                <w:sz w:val="22"/>
              </w:rPr>
              <w:t>3.4.1.8</w:t>
            </w:r>
          </w:p>
        </w:tc>
        <w:tc>
          <w:tcPr>
            <w:tcW w:w="1549" w:type="dxa"/>
          </w:tcPr>
          <w:p>
            <w:pPr>
              <w:pStyle w:val="TableParagraph"/>
              <w:spacing w:line="222" w:lineRule="exact"/>
              <w:ind w:left="159"/>
              <w:rPr>
                <w:i/>
                <w:sz w:val="22"/>
              </w:rPr>
            </w:pPr>
            <w:r>
              <w:rPr>
                <w:i/>
                <w:w w:val="95"/>
                <w:sz w:val="22"/>
              </w:rPr>
              <w:t>急性或亚急</w:t>
            </w:r>
          </w:p>
          <w:p>
            <w:pPr>
              <w:pStyle w:val="TableParagraph"/>
              <w:spacing w:before="24"/>
              <w:ind w:left="159"/>
              <w:rPr>
                <w:i/>
                <w:sz w:val="22"/>
              </w:rPr>
            </w:pPr>
            <w:r>
              <w:rPr>
                <w:i/>
                <w:w w:val="95"/>
                <w:sz w:val="22"/>
              </w:rPr>
              <w:t>性重症肝炎</w:t>
            </w:r>
          </w:p>
        </w:tc>
        <w:tc>
          <w:tcPr>
            <w:tcW w:w="7734" w:type="dxa"/>
          </w:tcPr>
          <w:p>
            <w:pPr>
              <w:pStyle w:val="TableParagraph"/>
              <w:spacing w:line="221" w:lineRule="exact"/>
              <w:rPr>
                <w:sz w:val="21"/>
              </w:rPr>
            </w:pPr>
            <w:r>
              <w:rPr>
                <w:sz w:val="21"/>
              </w:rPr>
              <w:t>指因肝炎病毒感染引起肝脏组织弥漫性坏死，导致急性肝功能衰竭，且经血清学</w:t>
            </w:r>
          </w:p>
          <w:p>
            <w:pPr>
              <w:pStyle w:val="TableParagraph"/>
              <w:spacing w:before="37"/>
              <w:rPr>
                <w:sz w:val="21"/>
              </w:rPr>
            </w:pPr>
            <w:r>
              <w:rPr>
                <w:sz w:val="21"/>
              </w:rPr>
              <w:t>或病毒学检查证实，并须满足下列全部条件：</w:t>
            </w:r>
          </w:p>
          <w:p>
            <w:pPr>
              <w:pStyle w:val="TableParagraph"/>
              <w:spacing w:before="36"/>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11" w:hRule="atLeast"/>
        </w:trPr>
        <w:tc>
          <w:tcPr>
            <w:tcW w:w="1202" w:type="dxa"/>
          </w:tcPr>
          <w:p>
            <w:pPr>
              <w:pStyle w:val="TableParagraph"/>
              <w:spacing w:before="94"/>
              <w:ind w:left="200"/>
              <w:rPr>
                <w:i/>
                <w:sz w:val="22"/>
              </w:rPr>
            </w:pPr>
            <w:r>
              <w:rPr>
                <w:i/>
                <w:sz w:val="22"/>
              </w:rPr>
              <w:t>3.4.1.9</w:t>
            </w:r>
          </w:p>
        </w:tc>
        <w:tc>
          <w:tcPr>
            <w:tcW w:w="1549" w:type="dxa"/>
          </w:tcPr>
          <w:p>
            <w:pPr>
              <w:pStyle w:val="TableParagraph"/>
              <w:spacing w:before="94"/>
              <w:ind w:left="159"/>
              <w:rPr>
                <w:i/>
                <w:sz w:val="22"/>
              </w:rPr>
            </w:pPr>
            <w:r>
              <w:rPr>
                <w:i/>
                <w:w w:val="95"/>
                <w:sz w:val="22"/>
              </w:rPr>
              <w:t>良性脑肿瘤</w:t>
            </w:r>
          </w:p>
        </w:tc>
        <w:tc>
          <w:tcPr>
            <w:tcW w:w="7734" w:type="dxa"/>
          </w:tcPr>
          <w:p>
            <w:pPr>
              <w:pStyle w:val="TableParagraph"/>
              <w:spacing w:line="273" w:lineRule="auto" w:before="105"/>
              <w:ind w:right="196"/>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right="263"/>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rPr>
              <w:t>脑垂体瘤、脑囊肿、脑血管性疾病不在保障范围内。</w:t>
            </w:r>
          </w:p>
        </w:tc>
      </w:tr>
      <w:tr>
        <w:trPr>
          <w:trHeight w:val="2099" w:hRule="atLeast"/>
        </w:trPr>
        <w:tc>
          <w:tcPr>
            <w:tcW w:w="1202" w:type="dxa"/>
          </w:tcPr>
          <w:p>
            <w:pPr>
              <w:pStyle w:val="TableParagraph"/>
              <w:spacing w:before="93"/>
              <w:ind w:left="200"/>
              <w:rPr>
                <w:i/>
                <w:sz w:val="22"/>
              </w:rPr>
            </w:pPr>
            <w:r>
              <w:rPr>
                <w:i/>
                <w:sz w:val="22"/>
              </w:rPr>
              <w:t>3.4.1.10</w:t>
            </w:r>
          </w:p>
        </w:tc>
        <w:tc>
          <w:tcPr>
            <w:tcW w:w="1549" w:type="dxa"/>
          </w:tcPr>
          <w:p>
            <w:pPr>
              <w:pStyle w:val="TableParagraph"/>
              <w:spacing w:line="259" w:lineRule="auto" w:before="93"/>
              <w:ind w:left="159" w:right="80"/>
              <w:jc w:val="both"/>
              <w:rPr>
                <w:i/>
                <w:sz w:val="22"/>
              </w:rPr>
            </w:pPr>
            <w:r>
              <w:rPr>
                <w:i/>
                <w:w w:val="95"/>
                <w:sz w:val="22"/>
              </w:rPr>
              <w:t>慢性肝功能衰竭失代偿</w:t>
            </w:r>
            <w:r>
              <w:rPr>
                <w:i/>
                <w:sz w:val="22"/>
              </w:rPr>
              <w:t>期</w:t>
            </w:r>
          </w:p>
        </w:tc>
        <w:tc>
          <w:tcPr>
            <w:tcW w:w="7734" w:type="dxa"/>
          </w:tcPr>
          <w:p>
            <w:pPr>
              <w:pStyle w:val="TableParagraph"/>
              <w:spacing w:before="104"/>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500"/>
              <w:rPr>
                <w:sz w:val="21"/>
              </w:rPr>
            </w:pPr>
            <w:r>
              <w:rPr>
                <w:sz w:val="21"/>
              </w:rPr>
              <w:t>（4）充血性脾肿大伴脾功能亢进或食管胃底静脉曲张。因酗酒或药物滥用导致的肝功能衰竭不在保障范围内。</w:t>
            </w:r>
          </w:p>
        </w:tc>
      </w:tr>
      <w:tr>
        <w:trPr>
          <w:trHeight w:val="2099" w:hRule="atLeast"/>
        </w:trPr>
        <w:tc>
          <w:tcPr>
            <w:tcW w:w="1202" w:type="dxa"/>
          </w:tcPr>
          <w:p>
            <w:pPr>
              <w:pStyle w:val="TableParagraph"/>
              <w:spacing w:before="94"/>
              <w:ind w:left="200"/>
              <w:rPr>
                <w:i/>
                <w:sz w:val="22"/>
              </w:rPr>
            </w:pPr>
            <w:r>
              <w:rPr>
                <w:i/>
                <w:sz w:val="22"/>
              </w:rPr>
              <w:t>3.4.1.11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734" w:type="dxa"/>
          </w:tcPr>
          <w:p>
            <w:pPr>
              <w:pStyle w:val="TableParagraph"/>
              <w:spacing w:line="273" w:lineRule="auto" w:before="105"/>
              <w:ind w:right="30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400"/>
              <w:rPr>
                <w:sz w:val="21"/>
              </w:rPr>
            </w:pPr>
            <w:r>
              <w:rPr>
                <w:sz w:val="21"/>
              </w:rPr>
              <w:t>（3）自主生活能力完全丧失，无法独立完成六项基本日常生活活动中的三项或三项以上。</w:t>
            </w:r>
          </w:p>
        </w:tc>
      </w:tr>
      <w:tr>
        <w:trPr>
          <w:trHeight w:val="1474" w:hRule="atLeast"/>
        </w:trPr>
        <w:tc>
          <w:tcPr>
            <w:tcW w:w="1202" w:type="dxa"/>
          </w:tcPr>
          <w:p>
            <w:pPr>
              <w:pStyle w:val="TableParagraph"/>
              <w:spacing w:before="92"/>
              <w:ind w:left="200"/>
              <w:rPr>
                <w:i/>
                <w:sz w:val="22"/>
              </w:rPr>
            </w:pPr>
            <w:r>
              <w:rPr>
                <w:i/>
                <w:sz w:val="22"/>
              </w:rPr>
              <w:t>3.4.1.12</w:t>
            </w:r>
          </w:p>
        </w:tc>
        <w:tc>
          <w:tcPr>
            <w:tcW w:w="1549" w:type="dxa"/>
          </w:tcPr>
          <w:p>
            <w:pPr>
              <w:pStyle w:val="TableParagraph"/>
              <w:spacing w:before="92"/>
              <w:ind w:left="159"/>
              <w:rPr>
                <w:i/>
                <w:sz w:val="22"/>
              </w:rPr>
            </w:pPr>
            <w:r>
              <w:rPr>
                <w:i/>
                <w:w w:val="95"/>
                <w:sz w:val="22"/>
              </w:rPr>
              <w:t>深度昏迷</w:t>
            </w:r>
          </w:p>
        </w:tc>
        <w:tc>
          <w:tcPr>
            <w:tcW w:w="7734" w:type="dxa"/>
          </w:tcPr>
          <w:p>
            <w:pPr>
              <w:pStyle w:val="TableParagraph"/>
              <w:spacing w:line="273" w:lineRule="auto" w:before="104"/>
              <w:ind w:right="303"/>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8" w:hRule="atLeast"/>
        </w:trPr>
        <w:tc>
          <w:tcPr>
            <w:tcW w:w="1202" w:type="dxa"/>
          </w:tcPr>
          <w:p>
            <w:pPr>
              <w:pStyle w:val="TableParagraph"/>
              <w:spacing w:before="94"/>
              <w:ind w:left="200"/>
              <w:rPr>
                <w:i/>
                <w:sz w:val="22"/>
              </w:rPr>
            </w:pPr>
            <w:r>
              <w:rPr>
                <w:i/>
                <w:sz w:val="22"/>
              </w:rPr>
              <w:t>3.4.1.13</w:t>
            </w:r>
          </w:p>
        </w:tc>
        <w:tc>
          <w:tcPr>
            <w:tcW w:w="1549" w:type="dxa"/>
          </w:tcPr>
          <w:p>
            <w:pPr>
              <w:pStyle w:val="TableParagraph"/>
              <w:spacing w:before="94"/>
              <w:ind w:left="159"/>
              <w:rPr>
                <w:i/>
                <w:sz w:val="22"/>
              </w:rPr>
            </w:pPr>
            <w:r>
              <w:rPr>
                <w:i/>
                <w:w w:val="95"/>
                <w:sz w:val="22"/>
              </w:rPr>
              <w:t>双耳失聪</w:t>
            </w:r>
          </w:p>
        </w:tc>
        <w:tc>
          <w:tcPr>
            <w:tcW w:w="7734" w:type="dxa"/>
          </w:tcPr>
          <w:p>
            <w:pPr>
              <w:pStyle w:val="TableParagraph"/>
              <w:spacing w:before="105"/>
              <w:rPr>
                <w:sz w:val="21"/>
              </w:rPr>
            </w:pPr>
            <w:r>
              <w:rPr>
                <w:spacing w:val="-3"/>
                <w:sz w:val="21"/>
              </w:rPr>
              <w:t>指因疾病或意外伤害导致双耳听力</w:t>
            </w:r>
            <w:r>
              <w:rPr>
                <w:b/>
                <w:spacing w:val="-5"/>
                <w:sz w:val="21"/>
              </w:rPr>
              <w:t>永久不可逆</w:t>
            </w:r>
            <w:r>
              <w:rPr>
                <w:spacing w:val="-3"/>
                <w:sz w:val="21"/>
              </w:rPr>
              <w:t>（</w:t>
            </w:r>
            <w:r>
              <w:rPr>
                <w:spacing w:val="-20"/>
                <w:sz w:val="21"/>
              </w:rPr>
              <w:t>见 </w:t>
            </w:r>
            <w:r>
              <w:rPr>
                <w:spacing w:val="-5"/>
                <w:sz w:val="21"/>
              </w:rPr>
              <w:t>11.21）</w:t>
            </w:r>
            <w:r>
              <w:rPr>
                <w:spacing w:val="-13"/>
                <w:sz w:val="21"/>
              </w:rPr>
              <w:t>性丧失，在 </w:t>
            </w:r>
            <w:r>
              <w:rPr>
                <w:sz w:val="21"/>
              </w:rPr>
              <w:t>500</w:t>
            </w:r>
            <w:r>
              <w:rPr>
                <w:spacing w:val="-12"/>
                <w:sz w:val="21"/>
              </w:rPr>
              <w:t> 赫兹、</w:t>
            </w:r>
          </w:p>
          <w:p>
            <w:pPr>
              <w:pStyle w:val="TableParagraph"/>
              <w:spacing w:line="273" w:lineRule="auto" w:before="36"/>
              <w:ind w:right="243"/>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3" w:lineRule="auto" w:before="7"/>
              <w:ind w:right="301"/>
              <w:rPr>
                <w:sz w:val="21"/>
              </w:rPr>
            </w:pPr>
            <w:r>
              <w:rPr>
                <w:sz w:val="21"/>
              </w:rPr>
              <w:t>被保险人申请理赔时年龄必须在三周岁以上，并且提供理赔当时的听力丧失诊断及检查证据。</w:t>
            </w:r>
          </w:p>
        </w:tc>
      </w:tr>
      <w:tr>
        <w:trPr>
          <w:trHeight w:val="2252" w:hRule="atLeast"/>
        </w:trPr>
        <w:tc>
          <w:tcPr>
            <w:tcW w:w="1202" w:type="dxa"/>
          </w:tcPr>
          <w:p>
            <w:pPr>
              <w:pStyle w:val="TableParagraph"/>
              <w:spacing w:before="94"/>
              <w:ind w:left="200"/>
              <w:rPr>
                <w:i/>
                <w:sz w:val="22"/>
              </w:rPr>
            </w:pPr>
            <w:r>
              <w:rPr>
                <w:i/>
                <w:sz w:val="22"/>
              </w:rPr>
              <w:t>3.4.1.14</w:t>
            </w:r>
          </w:p>
        </w:tc>
        <w:tc>
          <w:tcPr>
            <w:tcW w:w="1549" w:type="dxa"/>
          </w:tcPr>
          <w:p>
            <w:pPr>
              <w:pStyle w:val="TableParagraph"/>
              <w:spacing w:before="94"/>
              <w:ind w:left="159"/>
              <w:rPr>
                <w:i/>
                <w:sz w:val="22"/>
              </w:rPr>
            </w:pPr>
            <w:r>
              <w:rPr>
                <w:i/>
                <w:w w:val="95"/>
                <w:sz w:val="22"/>
              </w:rPr>
              <w:t>双目失明</w:t>
            </w:r>
          </w:p>
        </w:tc>
        <w:tc>
          <w:tcPr>
            <w:tcW w:w="7734" w:type="dxa"/>
          </w:tcPr>
          <w:p>
            <w:pPr>
              <w:pStyle w:val="TableParagraph"/>
              <w:spacing w:line="273" w:lineRule="auto" w:before="106"/>
              <w:ind w:right="301"/>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right="344"/>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55" w:lineRule="exact" w:before="36"/>
              <w:rPr>
                <w:sz w:val="21"/>
              </w:rPr>
            </w:pPr>
            <w:r>
              <w:rPr>
                <w:sz w:val="21"/>
              </w:rPr>
              <w:t>被保险人申请理赔时年龄必须在三周岁以上，并且提供理赔当时的视力丧失诊断</w:t>
            </w:r>
          </w:p>
        </w:tc>
      </w:tr>
    </w:tbl>
    <w:p>
      <w:pPr>
        <w:spacing w:after="0" w:line="255"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370" w:hRule="atLeast"/>
        </w:trPr>
        <w:tc>
          <w:tcPr>
            <w:tcW w:w="1202" w:type="dxa"/>
          </w:tcPr>
          <w:p>
            <w:pPr>
              <w:pStyle w:val="TableParagraph"/>
              <w:ind w:left="0"/>
              <w:rPr>
                <w:rFonts w:ascii="Times New Roman"/>
                <w:sz w:val="20"/>
              </w:rPr>
            </w:pPr>
          </w:p>
        </w:tc>
        <w:tc>
          <w:tcPr>
            <w:tcW w:w="1549" w:type="dxa"/>
          </w:tcPr>
          <w:p>
            <w:pPr>
              <w:pStyle w:val="TableParagraph"/>
              <w:ind w:left="0"/>
              <w:rPr>
                <w:rFonts w:ascii="Times New Roman"/>
                <w:sz w:val="20"/>
              </w:rPr>
            </w:pPr>
          </w:p>
        </w:tc>
        <w:tc>
          <w:tcPr>
            <w:tcW w:w="7732" w:type="dxa"/>
          </w:tcPr>
          <w:p>
            <w:pPr>
              <w:pStyle w:val="TableParagraph"/>
              <w:spacing w:line="211" w:lineRule="exact"/>
              <w:rPr>
                <w:sz w:val="21"/>
              </w:rPr>
            </w:pPr>
            <w:r>
              <w:rPr>
                <w:sz w:val="21"/>
              </w:rPr>
              <w:t>及检查证据。</w:t>
            </w:r>
          </w:p>
        </w:tc>
      </w:tr>
      <w:tr>
        <w:trPr>
          <w:trHeight w:val="1206" w:hRule="atLeast"/>
        </w:trPr>
        <w:tc>
          <w:tcPr>
            <w:tcW w:w="1202" w:type="dxa"/>
          </w:tcPr>
          <w:p>
            <w:pPr>
              <w:pStyle w:val="TableParagraph"/>
              <w:spacing w:before="94"/>
              <w:ind w:left="0" w:right="157"/>
              <w:jc w:val="right"/>
              <w:rPr>
                <w:i/>
                <w:sz w:val="22"/>
              </w:rPr>
            </w:pPr>
            <w:r>
              <w:rPr>
                <w:i/>
                <w:w w:val="95"/>
                <w:sz w:val="22"/>
              </w:rPr>
              <w:t>3.4.1.15</w:t>
            </w:r>
          </w:p>
        </w:tc>
        <w:tc>
          <w:tcPr>
            <w:tcW w:w="1549" w:type="dxa"/>
          </w:tcPr>
          <w:p>
            <w:pPr>
              <w:pStyle w:val="TableParagraph"/>
              <w:spacing w:before="94"/>
              <w:ind w:left="159"/>
              <w:rPr>
                <w:i/>
                <w:sz w:val="22"/>
              </w:rPr>
            </w:pPr>
            <w:r>
              <w:rPr>
                <w:i/>
                <w:w w:val="95"/>
                <w:sz w:val="22"/>
              </w:rPr>
              <w:t>瘫痪</w:t>
            </w:r>
          </w:p>
        </w:tc>
        <w:tc>
          <w:tcPr>
            <w:tcW w:w="7732" w:type="dxa"/>
          </w:tcPr>
          <w:p>
            <w:pPr>
              <w:pStyle w:val="TableParagraph"/>
              <w:spacing w:line="273" w:lineRule="auto" w:before="105"/>
              <w:ind w:right="299"/>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94" w:hRule="atLeast"/>
        </w:trPr>
        <w:tc>
          <w:tcPr>
            <w:tcW w:w="1202" w:type="dxa"/>
          </w:tcPr>
          <w:p>
            <w:pPr>
              <w:pStyle w:val="TableParagraph"/>
              <w:spacing w:before="136"/>
              <w:ind w:left="0" w:right="157"/>
              <w:jc w:val="right"/>
              <w:rPr>
                <w:i/>
                <w:sz w:val="22"/>
              </w:rPr>
            </w:pPr>
            <w:r>
              <w:rPr>
                <w:i/>
                <w:w w:val="95"/>
                <w:sz w:val="22"/>
              </w:rPr>
              <w:t>3.4.1.16</w:t>
            </w:r>
          </w:p>
        </w:tc>
        <w:tc>
          <w:tcPr>
            <w:tcW w:w="1549" w:type="dxa"/>
          </w:tcPr>
          <w:p>
            <w:pPr>
              <w:pStyle w:val="TableParagraph"/>
              <w:spacing w:line="259" w:lineRule="auto" w:before="136"/>
              <w:ind w:left="159" w:right="333"/>
              <w:rPr>
                <w:i/>
                <w:sz w:val="22"/>
              </w:rPr>
            </w:pPr>
            <w:r>
              <w:rPr>
                <w:i/>
                <w:w w:val="95"/>
                <w:sz w:val="22"/>
              </w:rPr>
              <w:t>心脏瓣膜手</w:t>
            </w:r>
            <w:r>
              <w:rPr>
                <w:i/>
                <w:sz w:val="22"/>
              </w:rPr>
              <w:t>术</w:t>
            </w:r>
          </w:p>
        </w:tc>
        <w:tc>
          <w:tcPr>
            <w:tcW w:w="7732" w:type="dxa"/>
          </w:tcPr>
          <w:p>
            <w:pPr>
              <w:pStyle w:val="TableParagraph"/>
              <w:spacing w:before="147"/>
              <w:rPr>
                <w:sz w:val="21"/>
              </w:rPr>
            </w:pPr>
            <w:r>
              <w:rPr>
                <w:sz w:val="21"/>
              </w:rPr>
              <w:t>指为治疗心脏瓣膜疾病，实际实施了开胸进行的心脏瓣膜置换或修复的手术。</w:t>
            </w:r>
          </w:p>
        </w:tc>
      </w:tr>
      <w:tr>
        <w:trPr>
          <w:trHeight w:val="2098" w:hRule="atLeast"/>
        </w:trPr>
        <w:tc>
          <w:tcPr>
            <w:tcW w:w="1202" w:type="dxa"/>
          </w:tcPr>
          <w:p>
            <w:pPr>
              <w:pStyle w:val="TableParagraph"/>
              <w:spacing w:before="93"/>
              <w:ind w:left="0" w:right="157"/>
              <w:jc w:val="right"/>
              <w:rPr>
                <w:i/>
                <w:sz w:val="22"/>
              </w:rPr>
            </w:pPr>
            <w:r>
              <w:rPr>
                <w:i/>
                <w:w w:val="95"/>
                <w:sz w:val="22"/>
              </w:rPr>
              <w:t>3.4.1.17</w:t>
            </w:r>
          </w:p>
        </w:tc>
        <w:tc>
          <w:tcPr>
            <w:tcW w:w="1549" w:type="dxa"/>
          </w:tcPr>
          <w:p>
            <w:pPr>
              <w:pStyle w:val="TableParagraph"/>
              <w:spacing w:line="259" w:lineRule="auto" w:before="93"/>
              <w:ind w:left="159" w:right="333"/>
              <w:rPr>
                <w:i/>
                <w:sz w:val="22"/>
              </w:rPr>
            </w:pPr>
            <w:r>
              <w:rPr>
                <w:i/>
                <w:w w:val="95"/>
                <w:sz w:val="22"/>
              </w:rPr>
              <w:t>严重阿尔茨海默病</w:t>
            </w:r>
          </w:p>
        </w:tc>
        <w:tc>
          <w:tcPr>
            <w:tcW w:w="7732" w:type="dxa"/>
          </w:tcPr>
          <w:p>
            <w:pPr>
              <w:pStyle w:val="TableParagraph"/>
              <w:spacing w:line="273" w:lineRule="auto" w:before="104"/>
              <w:ind w:right="299"/>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4"/>
                <w:w w:val="100"/>
                <w:sz w:val="21"/>
              </w:rPr>
              <w:t>由头颅断层扫描</w:t>
            </w:r>
            <w:r>
              <w:rPr>
                <w:spacing w:val="-1"/>
                <w:w w:val="100"/>
                <w:sz w:val="21"/>
              </w:rPr>
              <w:t>（</w:t>
            </w:r>
            <w:r>
              <w:rPr>
                <w:w w:val="100"/>
                <w:sz w:val="21"/>
              </w:rPr>
              <w:t>C</w:t>
            </w:r>
            <w:r>
              <w:rPr>
                <w:spacing w:val="-2"/>
                <w:w w:val="100"/>
                <w:sz w:val="21"/>
              </w:rPr>
              <w:t>T</w:t>
            </w:r>
            <w:r>
              <w:rPr>
                <w:spacing w:val="-106"/>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5"/>
                <w:sz w:val="21"/>
              </w:rPr>
              <w:t>影像学检查证实，且自主生活能力完全丧失，无法独立完成六项基本日常生活活</w:t>
            </w:r>
            <w:r>
              <w:rPr>
                <w:spacing w:val="-4"/>
                <w:sz w:val="21"/>
              </w:rPr>
              <w:t>动中的三项或三项以上。</w:t>
            </w:r>
          </w:p>
          <w:p>
            <w:pPr>
              <w:pStyle w:val="TableParagraph"/>
              <w:spacing w:before="7"/>
              <w:rPr>
                <w:sz w:val="21"/>
              </w:rPr>
            </w:pPr>
            <w:r>
              <w:rPr>
                <w:sz w:val="21"/>
              </w:rPr>
              <w:t>神经官能症和精神疾病不在保障范围内。</w:t>
            </w:r>
          </w:p>
        </w:tc>
      </w:tr>
      <w:tr>
        <w:trPr>
          <w:trHeight w:val="2723" w:hRule="atLeast"/>
        </w:trPr>
        <w:tc>
          <w:tcPr>
            <w:tcW w:w="1202" w:type="dxa"/>
          </w:tcPr>
          <w:p>
            <w:pPr>
              <w:pStyle w:val="TableParagraph"/>
              <w:spacing w:before="93"/>
              <w:ind w:left="0" w:right="157"/>
              <w:jc w:val="right"/>
              <w:rPr>
                <w:i/>
                <w:sz w:val="22"/>
              </w:rPr>
            </w:pPr>
            <w:r>
              <w:rPr>
                <w:i/>
                <w:w w:val="95"/>
                <w:sz w:val="22"/>
              </w:rPr>
              <w:t>3.4.1.18</w:t>
            </w:r>
          </w:p>
        </w:tc>
        <w:tc>
          <w:tcPr>
            <w:tcW w:w="1549" w:type="dxa"/>
          </w:tcPr>
          <w:p>
            <w:pPr>
              <w:pStyle w:val="TableParagraph"/>
              <w:spacing w:before="93"/>
              <w:ind w:left="159"/>
              <w:rPr>
                <w:i/>
                <w:sz w:val="22"/>
              </w:rPr>
            </w:pPr>
            <w:r>
              <w:rPr>
                <w:i/>
                <w:w w:val="95"/>
                <w:sz w:val="22"/>
              </w:rPr>
              <w:t>严重脑损伤</w:t>
            </w:r>
          </w:p>
        </w:tc>
        <w:tc>
          <w:tcPr>
            <w:tcW w:w="7732" w:type="dxa"/>
          </w:tcPr>
          <w:p>
            <w:pPr>
              <w:pStyle w:val="TableParagraph"/>
              <w:spacing w:line="273" w:lineRule="auto" w:before="104"/>
              <w:ind w:right="196"/>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98"/>
              <w:rPr>
                <w:sz w:val="21"/>
              </w:rPr>
            </w:pPr>
            <w:r>
              <w:rPr>
                <w:sz w:val="21"/>
              </w:rPr>
              <w:t>（3）自主生活能力完全丧失，无法独立完成六项基本日常生活活动中的三项或三项以上。</w:t>
            </w:r>
          </w:p>
        </w:tc>
      </w:tr>
      <w:tr>
        <w:trPr>
          <w:trHeight w:val="2099" w:hRule="atLeast"/>
        </w:trPr>
        <w:tc>
          <w:tcPr>
            <w:tcW w:w="1202" w:type="dxa"/>
          </w:tcPr>
          <w:p>
            <w:pPr>
              <w:pStyle w:val="TableParagraph"/>
              <w:spacing w:before="94"/>
              <w:ind w:left="0" w:right="157"/>
              <w:jc w:val="right"/>
              <w:rPr>
                <w:i/>
                <w:sz w:val="22"/>
              </w:rPr>
            </w:pPr>
            <w:r>
              <w:rPr>
                <w:i/>
                <w:w w:val="95"/>
                <w:sz w:val="22"/>
              </w:rPr>
              <w:t>3.4.1.19</w:t>
            </w:r>
          </w:p>
        </w:tc>
        <w:tc>
          <w:tcPr>
            <w:tcW w:w="1549" w:type="dxa"/>
          </w:tcPr>
          <w:p>
            <w:pPr>
              <w:pStyle w:val="TableParagraph"/>
              <w:spacing w:line="259" w:lineRule="auto" w:before="94"/>
              <w:ind w:left="159" w:right="333"/>
              <w:rPr>
                <w:i/>
                <w:sz w:val="22"/>
              </w:rPr>
            </w:pPr>
            <w:r>
              <w:rPr>
                <w:i/>
                <w:w w:val="95"/>
                <w:sz w:val="22"/>
              </w:rPr>
              <w:t>严重帕金森</w:t>
            </w:r>
            <w:r>
              <w:rPr>
                <w:i/>
                <w:sz w:val="22"/>
              </w:rPr>
              <w:t>病</w:t>
            </w:r>
          </w:p>
        </w:tc>
        <w:tc>
          <w:tcPr>
            <w:tcW w:w="7732" w:type="dxa"/>
          </w:tcPr>
          <w:p>
            <w:pPr>
              <w:pStyle w:val="TableParagraph"/>
              <w:spacing w:line="273" w:lineRule="auto" w:before="105"/>
              <w:ind w:right="28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398"/>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851" w:hRule="atLeast"/>
        </w:trPr>
        <w:tc>
          <w:tcPr>
            <w:tcW w:w="1202" w:type="dxa"/>
          </w:tcPr>
          <w:p>
            <w:pPr>
              <w:pStyle w:val="TableParagraph"/>
              <w:spacing w:before="92"/>
              <w:ind w:left="0" w:right="157"/>
              <w:jc w:val="right"/>
              <w:rPr>
                <w:i/>
                <w:sz w:val="22"/>
              </w:rPr>
            </w:pPr>
            <w:r>
              <w:rPr>
                <w:i/>
                <w:w w:val="95"/>
                <w:sz w:val="22"/>
              </w:rPr>
              <w:t>3.4.1.20</w:t>
            </w:r>
          </w:p>
        </w:tc>
        <w:tc>
          <w:tcPr>
            <w:tcW w:w="1549" w:type="dxa"/>
          </w:tcPr>
          <w:p>
            <w:pPr>
              <w:pStyle w:val="TableParagraph"/>
              <w:spacing w:line="259" w:lineRule="auto" w:before="92"/>
              <w:ind w:left="159" w:right="333"/>
              <w:rPr>
                <w:i/>
                <w:sz w:val="22"/>
              </w:rPr>
            </w:pPr>
            <w:r>
              <w:rPr>
                <w:i/>
                <w:w w:val="95"/>
                <w:sz w:val="22"/>
              </w:rPr>
              <w:t>严重Ⅲ度烧</w:t>
            </w:r>
            <w:r>
              <w:rPr>
                <w:i/>
                <w:sz w:val="22"/>
              </w:rPr>
              <w:t>伤</w:t>
            </w:r>
          </w:p>
        </w:tc>
        <w:tc>
          <w:tcPr>
            <w:tcW w:w="7732" w:type="dxa"/>
          </w:tcPr>
          <w:p>
            <w:pPr>
              <w:pStyle w:val="TableParagraph"/>
              <w:spacing w:line="273" w:lineRule="auto" w:before="104"/>
              <w:ind w:right="397"/>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％以上。体</w:t>
            </w:r>
            <w:r>
              <w:rPr>
                <w:spacing w:val="-3"/>
                <w:sz w:val="21"/>
              </w:rPr>
              <w:t>表面积根据 《中国新九分法》计算。</w:t>
            </w:r>
          </w:p>
        </w:tc>
      </w:tr>
      <w:tr>
        <w:trPr>
          <w:trHeight w:val="1163" w:hRule="atLeast"/>
        </w:trPr>
        <w:tc>
          <w:tcPr>
            <w:tcW w:w="1202" w:type="dxa"/>
          </w:tcPr>
          <w:p>
            <w:pPr>
              <w:pStyle w:val="TableParagraph"/>
              <w:spacing w:before="93"/>
              <w:ind w:left="0" w:right="157"/>
              <w:jc w:val="right"/>
              <w:rPr>
                <w:i/>
                <w:sz w:val="22"/>
              </w:rPr>
            </w:pPr>
            <w:r>
              <w:rPr>
                <w:i/>
                <w:w w:val="95"/>
                <w:sz w:val="22"/>
              </w:rPr>
              <w:t>3.4.1.21</w:t>
            </w:r>
          </w:p>
        </w:tc>
        <w:tc>
          <w:tcPr>
            <w:tcW w:w="1549" w:type="dxa"/>
          </w:tcPr>
          <w:p>
            <w:pPr>
              <w:pStyle w:val="TableParagraph"/>
              <w:spacing w:line="259" w:lineRule="auto" w:before="93"/>
              <w:ind w:left="159" w:right="80"/>
              <w:rPr>
                <w:i/>
                <w:sz w:val="22"/>
              </w:rPr>
            </w:pPr>
            <w:r>
              <w:rPr>
                <w:i/>
                <w:w w:val="95"/>
                <w:sz w:val="22"/>
              </w:rPr>
              <w:t>严重原发性肺动脉高压</w:t>
            </w:r>
          </w:p>
        </w:tc>
        <w:tc>
          <w:tcPr>
            <w:tcW w:w="7732" w:type="dxa"/>
          </w:tcPr>
          <w:p>
            <w:pPr>
              <w:pStyle w:val="TableParagraph"/>
              <w:spacing w:line="273" w:lineRule="auto" w:before="104"/>
              <w:ind w:right="299"/>
              <w:jc w:val="both"/>
              <w:rPr>
                <w:sz w:val="21"/>
              </w:rPr>
            </w:pPr>
            <w:r>
              <w:rPr>
                <w:spacing w:val="-5"/>
                <w:sz w:val="21"/>
              </w:rPr>
              <w:t>指不明原因的肺动脉压力持续性增高，进行性发展而导致的慢性疾病，已经造成</w:t>
            </w:r>
            <w:r>
              <w:rPr>
                <w:spacing w:val="-9"/>
                <w:sz w:val="21"/>
              </w:rPr>
              <w:t>永久不可逆性的体力活动能力受限，达到美国纽约心脏病学会心功能状态分级 </w:t>
            </w:r>
            <w:r>
              <w:rPr>
                <w:spacing w:val="-3"/>
                <w:sz w:val="21"/>
              </w:rPr>
              <w:t>IV </w:t>
            </w:r>
            <w:r>
              <w:rPr>
                <w:spacing w:val="-6"/>
                <w:sz w:val="21"/>
              </w:rPr>
              <w:t>级，且静息状态下肺动脉平均压超过 </w:t>
            </w:r>
            <w:r>
              <w:rPr>
                <w:sz w:val="21"/>
              </w:rPr>
              <w:t>3OmmHg</w:t>
            </w:r>
            <w:r>
              <w:rPr>
                <w:spacing w:val="5"/>
                <w:sz w:val="21"/>
              </w:rPr>
              <w:t> 。</w:t>
            </w:r>
          </w:p>
        </w:tc>
      </w:tr>
      <w:tr>
        <w:trPr>
          <w:trHeight w:val="1134" w:hRule="atLeast"/>
        </w:trPr>
        <w:tc>
          <w:tcPr>
            <w:tcW w:w="1202" w:type="dxa"/>
          </w:tcPr>
          <w:p>
            <w:pPr>
              <w:pStyle w:val="TableParagraph"/>
              <w:spacing w:before="94"/>
              <w:ind w:left="0" w:right="157"/>
              <w:jc w:val="right"/>
              <w:rPr>
                <w:i/>
                <w:sz w:val="22"/>
              </w:rPr>
            </w:pPr>
            <w:r>
              <w:rPr>
                <w:i/>
                <w:w w:val="95"/>
                <w:sz w:val="22"/>
              </w:rPr>
              <w:t>3.4.1.22</w:t>
            </w:r>
          </w:p>
        </w:tc>
        <w:tc>
          <w:tcPr>
            <w:tcW w:w="1549" w:type="dxa"/>
          </w:tcPr>
          <w:p>
            <w:pPr>
              <w:pStyle w:val="TableParagraph"/>
              <w:spacing w:line="261" w:lineRule="auto" w:before="94"/>
              <w:ind w:left="159" w:right="80"/>
              <w:rPr>
                <w:i/>
                <w:sz w:val="22"/>
              </w:rPr>
            </w:pPr>
            <w:r>
              <w:rPr>
                <w:i/>
                <w:w w:val="95"/>
                <w:sz w:val="22"/>
              </w:rPr>
              <w:t>严重运动神经元病</w:t>
            </w:r>
          </w:p>
        </w:tc>
        <w:tc>
          <w:tcPr>
            <w:tcW w:w="7732" w:type="dxa"/>
          </w:tcPr>
          <w:p>
            <w:pPr>
              <w:pStyle w:val="TableParagraph"/>
              <w:spacing w:line="273" w:lineRule="auto" w:before="105"/>
              <w:ind w:right="29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98" w:hRule="atLeast"/>
        </w:trPr>
        <w:tc>
          <w:tcPr>
            <w:tcW w:w="1202" w:type="dxa"/>
          </w:tcPr>
          <w:p>
            <w:pPr>
              <w:pStyle w:val="TableParagraph"/>
              <w:spacing w:before="64"/>
              <w:ind w:left="0" w:right="157"/>
              <w:jc w:val="right"/>
              <w:rPr>
                <w:i/>
                <w:sz w:val="22"/>
              </w:rPr>
            </w:pPr>
            <w:r>
              <w:rPr>
                <w:i/>
                <w:w w:val="95"/>
                <w:sz w:val="22"/>
              </w:rPr>
              <w:t>3.4.1.23</w:t>
            </w:r>
          </w:p>
        </w:tc>
        <w:tc>
          <w:tcPr>
            <w:tcW w:w="1549" w:type="dxa"/>
          </w:tcPr>
          <w:p>
            <w:pPr>
              <w:pStyle w:val="TableParagraph"/>
              <w:spacing w:line="259" w:lineRule="auto" w:before="64"/>
              <w:ind w:left="159" w:right="80"/>
              <w:rPr>
                <w:i/>
                <w:sz w:val="22"/>
              </w:rPr>
            </w:pPr>
            <w:r>
              <w:rPr>
                <w:i/>
                <w:w w:val="95"/>
                <w:sz w:val="22"/>
              </w:rPr>
              <w:t>语言能力丧</w:t>
            </w:r>
            <w:r>
              <w:rPr>
                <w:i/>
                <w:sz w:val="22"/>
              </w:rPr>
              <w:t>失</w:t>
            </w:r>
          </w:p>
        </w:tc>
        <w:tc>
          <w:tcPr>
            <w:tcW w:w="7732" w:type="dxa"/>
          </w:tcPr>
          <w:p>
            <w:pPr>
              <w:pStyle w:val="TableParagraph"/>
              <w:spacing w:line="273" w:lineRule="auto" w:before="75"/>
              <w:ind w:right="342"/>
              <w:rPr>
                <w:sz w:val="21"/>
              </w:rPr>
            </w:pPr>
            <w:r>
              <w:rPr>
                <w:spacing w:val="-5"/>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310" w:lineRule="atLeast" w:before="1"/>
              <w:ind w:right="299"/>
              <w:rPr>
                <w:sz w:val="21"/>
              </w:rPr>
            </w:pPr>
            <w:r>
              <w:rPr>
                <w:sz w:val="21"/>
              </w:rPr>
              <w:t>被保险人申请理赔时年龄必须在三周岁以上，并且提供理赔当时的语言能力丧失诊断及检查证据。</w:t>
            </w:r>
          </w:p>
        </w:tc>
      </w:tr>
    </w:tbl>
    <w:p>
      <w:pPr>
        <w:spacing w:after="0" w:line="310" w:lineRule="atLeas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39"/>
      </w:tblGrid>
      <w:tr>
        <w:trPr>
          <w:trHeight w:val="2260" w:hRule="atLeast"/>
        </w:trPr>
        <w:tc>
          <w:tcPr>
            <w:tcW w:w="1202" w:type="dxa"/>
          </w:tcPr>
          <w:p>
            <w:pPr>
              <w:pStyle w:val="TableParagraph"/>
              <w:spacing w:line="222" w:lineRule="exact"/>
              <w:ind w:left="0" w:right="157"/>
              <w:jc w:val="right"/>
              <w:rPr>
                <w:i/>
                <w:sz w:val="22"/>
              </w:rPr>
            </w:pPr>
            <w:r>
              <w:rPr>
                <w:i/>
                <w:w w:val="95"/>
                <w:sz w:val="22"/>
              </w:rPr>
              <w:t>3.4.1.24</w:t>
            </w:r>
          </w:p>
        </w:tc>
        <w:tc>
          <w:tcPr>
            <w:tcW w:w="1549" w:type="dxa"/>
          </w:tcPr>
          <w:p>
            <w:pPr>
              <w:pStyle w:val="TableParagraph"/>
              <w:spacing w:line="222" w:lineRule="exact"/>
              <w:ind w:left="159"/>
              <w:rPr>
                <w:i/>
                <w:sz w:val="22"/>
              </w:rPr>
            </w:pPr>
            <w:r>
              <w:rPr>
                <w:i/>
                <w:w w:val="95"/>
                <w:sz w:val="22"/>
              </w:rPr>
              <w:t>重型再生障</w:t>
            </w:r>
            <w:r>
              <w:rPr>
                <w:i/>
                <w:sz w:val="22"/>
              </w:rPr>
              <w:t> </w:t>
            </w:r>
          </w:p>
          <w:p>
            <w:pPr>
              <w:pStyle w:val="TableParagraph"/>
              <w:spacing w:before="24"/>
              <w:ind w:left="159"/>
              <w:rPr>
                <w:i/>
                <w:sz w:val="22"/>
              </w:rPr>
            </w:pPr>
            <w:r>
              <w:rPr>
                <w:i/>
                <w:w w:val="95"/>
                <w:sz w:val="22"/>
              </w:rPr>
              <w:t>碍性贫血</w:t>
            </w:r>
          </w:p>
        </w:tc>
        <w:tc>
          <w:tcPr>
            <w:tcW w:w="7639" w:type="dxa"/>
          </w:tcPr>
          <w:p>
            <w:pPr>
              <w:pStyle w:val="TableParagraph"/>
              <w:spacing w:line="221" w:lineRule="exact"/>
              <w:rPr>
                <w:sz w:val="21"/>
              </w:rPr>
            </w:pPr>
            <w:r>
              <w:rPr>
                <w:sz w:val="21"/>
              </w:rPr>
              <w:t>指因骨髓造血功能慢性持续性衰竭导致的贫血、中性粒细胞减少及血小板减少。</w:t>
            </w:r>
          </w:p>
          <w:p>
            <w:pPr>
              <w:pStyle w:val="TableParagraph"/>
              <w:spacing w:before="37"/>
              <w:rPr>
                <w:sz w:val="21"/>
              </w:rPr>
            </w:pPr>
            <w:r>
              <w:rPr>
                <w:sz w:val="21"/>
              </w:rPr>
              <w:t>须满足下列全部条件：</w:t>
            </w:r>
          </w:p>
          <w:p>
            <w:pPr>
              <w:pStyle w:val="TableParagraph"/>
              <w:spacing w:before="37"/>
              <w:rPr>
                <w:sz w:val="21"/>
              </w:rPr>
            </w:pPr>
            <w:r>
              <w:rPr>
                <w:sz w:val="21"/>
              </w:rPr>
              <w:t>（1）骨髓穿刺检查或骨髓活检结果支持诊断；</w:t>
            </w:r>
          </w:p>
          <w:p>
            <w:pPr>
              <w:pStyle w:val="TableParagraph"/>
              <w:spacing w:before="36"/>
              <w:rPr>
                <w:sz w:val="21"/>
              </w:rPr>
            </w:pPr>
            <w:r>
              <w:rPr>
                <w:sz w:val="21"/>
              </w:rPr>
              <w:t>（2）外周血象须具备所有三项条件：</w:t>
            </w:r>
          </w:p>
          <w:p>
            <w:pPr>
              <w:pStyle w:val="TableParagraph"/>
              <w:spacing w:before="36"/>
              <w:ind w:left="502"/>
              <w:rPr>
                <w:sz w:val="21"/>
              </w:rPr>
            </w:pPr>
            <w:r>
              <w:rPr>
                <w:sz w:val="21"/>
              </w:rPr>
              <w:t>① 中性粒细胞绝对值≤0.5×10</w:t>
            </w:r>
            <w:r>
              <w:rPr>
                <w:b/>
                <w:position w:val="11"/>
                <w:sz w:val="11"/>
              </w:rPr>
              <w:t>9</w:t>
            </w:r>
            <w:r>
              <w:rPr>
                <w:sz w:val="21"/>
              </w:rPr>
              <w:t>/L ；</w:t>
            </w:r>
          </w:p>
          <w:p>
            <w:pPr>
              <w:pStyle w:val="TableParagraph"/>
              <w:spacing w:before="36"/>
              <w:ind w:left="502"/>
              <w:rPr>
                <w:sz w:val="21"/>
              </w:rPr>
            </w:pPr>
            <w:r>
              <w:rPr>
                <w:sz w:val="21"/>
              </w:rPr>
              <w:t>② 网织红细胞＜1%；</w:t>
            </w:r>
          </w:p>
          <w:p>
            <w:pPr>
              <w:pStyle w:val="TableParagraph"/>
              <w:spacing w:before="36"/>
              <w:ind w:left="502"/>
              <w:rPr>
                <w:sz w:val="21"/>
              </w:rPr>
            </w:pPr>
            <w:r>
              <w:rPr>
                <w:sz w:val="21"/>
              </w:rPr>
              <w:t>③ 血小板绝对值≤20×10</w:t>
            </w:r>
            <w:r>
              <w:rPr>
                <w:b/>
                <w:position w:val="11"/>
                <w:sz w:val="11"/>
              </w:rPr>
              <w:t>9</w:t>
            </w:r>
            <w:r>
              <w:rPr>
                <w:sz w:val="21"/>
              </w:rPr>
              <w:t>/L。</w:t>
            </w:r>
          </w:p>
        </w:tc>
      </w:tr>
      <w:tr>
        <w:trPr>
          <w:trHeight w:val="1525" w:hRule="atLeast"/>
        </w:trPr>
        <w:tc>
          <w:tcPr>
            <w:tcW w:w="1202" w:type="dxa"/>
          </w:tcPr>
          <w:p>
            <w:pPr>
              <w:pStyle w:val="TableParagraph"/>
              <w:spacing w:before="101"/>
              <w:ind w:left="0" w:right="157"/>
              <w:jc w:val="right"/>
              <w:rPr>
                <w:i/>
                <w:sz w:val="22"/>
              </w:rPr>
            </w:pPr>
            <w:r>
              <w:rPr>
                <w:i/>
                <w:w w:val="95"/>
                <w:sz w:val="22"/>
              </w:rPr>
              <w:t>3.4.1.25</w:t>
            </w:r>
          </w:p>
        </w:tc>
        <w:tc>
          <w:tcPr>
            <w:tcW w:w="1549" w:type="dxa"/>
          </w:tcPr>
          <w:p>
            <w:pPr>
              <w:pStyle w:val="TableParagraph"/>
              <w:spacing w:before="101"/>
              <w:ind w:left="159"/>
              <w:rPr>
                <w:i/>
                <w:sz w:val="22"/>
              </w:rPr>
            </w:pPr>
            <w:r>
              <w:rPr>
                <w:i/>
                <w:w w:val="95"/>
                <w:sz w:val="22"/>
              </w:rPr>
              <w:t>主动脉手术</w:t>
            </w:r>
          </w:p>
        </w:tc>
        <w:tc>
          <w:tcPr>
            <w:tcW w:w="7639" w:type="dxa"/>
          </w:tcPr>
          <w:p>
            <w:pPr>
              <w:pStyle w:val="TableParagraph"/>
              <w:spacing w:line="273" w:lineRule="auto" w:before="112"/>
              <w:ind w:right="2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1560" w:hRule="atLeast"/>
        </w:trPr>
        <w:tc>
          <w:tcPr>
            <w:tcW w:w="1202" w:type="dxa"/>
          </w:tcPr>
          <w:p>
            <w:pPr>
              <w:pStyle w:val="TableParagraph"/>
              <w:spacing w:before="136"/>
              <w:ind w:left="0" w:right="157"/>
              <w:jc w:val="right"/>
              <w:rPr>
                <w:i/>
                <w:sz w:val="22"/>
              </w:rPr>
            </w:pPr>
            <w:r>
              <w:rPr>
                <w:i/>
                <w:w w:val="95"/>
                <w:sz w:val="22"/>
              </w:rPr>
              <w:t>3.4.1.26</w:t>
            </w:r>
          </w:p>
        </w:tc>
        <w:tc>
          <w:tcPr>
            <w:tcW w:w="1549" w:type="dxa"/>
          </w:tcPr>
          <w:p>
            <w:pPr>
              <w:pStyle w:val="TableParagraph"/>
              <w:spacing w:before="136"/>
              <w:ind w:left="159"/>
              <w:rPr>
                <w:i/>
                <w:sz w:val="22"/>
              </w:rPr>
            </w:pPr>
            <w:r>
              <w:rPr>
                <w:i/>
                <w:w w:val="95"/>
                <w:sz w:val="22"/>
              </w:rPr>
              <w:t>植物人状态</w:t>
            </w:r>
          </w:p>
        </w:tc>
        <w:tc>
          <w:tcPr>
            <w:tcW w:w="7639" w:type="dxa"/>
          </w:tcPr>
          <w:p>
            <w:pPr>
              <w:pStyle w:val="TableParagraph"/>
              <w:spacing w:line="273" w:lineRule="auto" w:before="147"/>
              <w:ind w:right="197"/>
              <w:jc w:val="both"/>
              <w:rPr>
                <w:sz w:val="21"/>
              </w:rPr>
            </w:pPr>
            <w:r>
              <w:rPr>
                <w:spacing w:val="2"/>
                <w:sz w:val="21"/>
              </w:rPr>
              <w:t>系指由于意外事故或疾病引起的大脑和脑干严重损害导致完全永久性的对自身</w:t>
            </w:r>
            <w:r>
              <w:rPr>
                <w:spacing w:val="-3"/>
                <w:sz w:val="21"/>
              </w:rPr>
              <w:t>和环境的意识丧失和中枢神经系统功能丧失，仅残存植物神经功能的疾病状态。</w:t>
            </w:r>
            <w:r>
              <w:rPr>
                <w:spacing w:val="-6"/>
                <w:sz w:val="21"/>
              </w:rPr>
              <w:t>诊断必须明确诊断并且具有严重脑损害的证据。植物人状态必须持续 </w:t>
            </w:r>
            <w:r>
              <w:rPr>
                <w:sz w:val="21"/>
              </w:rPr>
              <w:t>180</w:t>
            </w:r>
            <w:r>
              <w:rPr>
                <w:spacing w:val="-11"/>
                <w:sz w:val="21"/>
              </w:rPr>
              <w:t> 天以上</w:t>
            </w:r>
            <w:r>
              <w:rPr>
                <w:spacing w:val="-6"/>
                <w:sz w:val="21"/>
              </w:rPr>
              <w:t>方可申请理赔。</w:t>
            </w:r>
          </w:p>
        </w:tc>
      </w:tr>
      <w:tr>
        <w:trPr>
          <w:trHeight w:val="2461" w:hRule="atLeast"/>
        </w:trPr>
        <w:tc>
          <w:tcPr>
            <w:tcW w:w="1202" w:type="dxa"/>
          </w:tcPr>
          <w:p>
            <w:pPr>
              <w:pStyle w:val="TableParagraph"/>
              <w:spacing w:before="136"/>
              <w:ind w:left="0" w:right="157"/>
              <w:jc w:val="right"/>
              <w:rPr>
                <w:i/>
                <w:sz w:val="22"/>
              </w:rPr>
            </w:pPr>
            <w:r>
              <w:rPr>
                <w:i/>
                <w:w w:val="95"/>
                <w:sz w:val="22"/>
              </w:rPr>
              <w:t>3.4.1.27</w:t>
            </w:r>
          </w:p>
        </w:tc>
        <w:tc>
          <w:tcPr>
            <w:tcW w:w="1549" w:type="dxa"/>
          </w:tcPr>
          <w:p>
            <w:pPr>
              <w:pStyle w:val="TableParagraph"/>
              <w:spacing w:line="259" w:lineRule="auto" w:before="136"/>
              <w:ind w:left="159" w:right="80"/>
              <w:rPr>
                <w:i/>
                <w:sz w:val="22"/>
              </w:rPr>
            </w:pPr>
            <w:r>
              <w:rPr>
                <w:i/>
                <w:w w:val="95"/>
                <w:sz w:val="22"/>
              </w:rPr>
              <w:t>原发性硬化性胆管炎</w:t>
            </w:r>
          </w:p>
        </w:tc>
        <w:tc>
          <w:tcPr>
            <w:tcW w:w="7639" w:type="dxa"/>
          </w:tcPr>
          <w:p>
            <w:pPr>
              <w:pStyle w:val="TableParagraph"/>
              <w:spacing w:line="273" w:lineRule="auto" w:before="147"/>
              <w:ind w:right="206"/>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10"/>
              </w:numPr>
              <w:tabs>
                <w:tab w:pos="714" w:val="left" w:leader="none"/>
              </w:tabs>
              <w:spacing w:line="240" w:lineRule="auto" w:before="7" w:after="0"/>
              <w:ind w:left="714" w:right="0" w:hanging="632"/>
              <w:jc w:val="both"/>
              <w:rPr>
                <w:sz w:val="21"/>
              </w:rPr>
            </w:pPr>
            <w:r>
              <w:rPr>
                <w:spacing w:val="-5"/>
                <w:sz w:val="21"/>
              </w:rPr>
              <w:t>总胆红素和直接胆红素同时升高，血清 </w:t>
            </w:r>
            <w:r>
              <w:rPr>
                <w:sz w:val="21"/>
              </w:rPr>
              <w:t>ALP&gt;200U/L；</w:t>
            </w:r>
          </w:p>
          <w:p>
            <w:pPr>
              <w:pStyle w:val="TableParagraph"/>
              <w:numPr>
                <w:ilvl w:val="0"/>
                <w:numId w:val="10"/>
              </w:numPr>
              <w:tabs>
                <w:tab w:pos="714" w:val="left" w:leader="none"/>
              </w:tabs>
              <w:spacing w:line="240" w:lineRule="auto" w:before="37" w:after="0"/>
              <w:ind w:left="714" w:right="0" w:hanging="632"/>
              <w:jc w:val="both"/>
              <w:rPr>
                <w:sz w:val="21"/>
              </w:rPr>
            </w:pPr>
            <w:r>
              <w:rPr>
                <w:spacing w:val="-3"/>
                <w:sz w:val="21"/>
              </w:rPr>
              <w:t>持续性黄疸病史；</w:t>
            </w:r>
          </w:p>
          <w:p>
            <w:pPr>
              <w:pStyle w:val="TableParagraph"/>
              <w:numPr>
                <w:ilvl w:val="0"/>
                <w:numId w:val="10"/>
              </w:numPr>
              <w:tabs>
                <w:tab w:pos="714" w:val="left" w:leader="none"/>
              </w:tabs>
              <w:spacing w:line="240" w:lineRule="auto" w:before="37" w:after="0"/>
              <w:ind w:left="714" w:right="0" w:hanging="632"/>
              <w:jc w:val="both"/>
              <w:rPr>
                <w:sz w:val="21"/>
              </w:rPr>
            </w:pPr>
            <w:r>
              <w:rPr>
                <w:spacing w:val="-3"/>
                <w:sz w:val="21"/>
              </w:rPr>
              <w:t>出现胆汁性肝硬化或门脉高压。</w:t>
            </w:r>
          </w:p>
          <w:p>
            <w:pPr>
              <w:pStyle w:val="TableParagraph"/>
              <w:spacing w:before="37"/>
              <w:jc w:val="both"/>
              <w:rPr>
                <w:sz w:val="21"/>
              </w:rPr>
            </w:pPr>
            <w:r>
              <w:rPr>
                <w:sz w:val="21"/>
              </w:rPr>
              <w:t>因肿瘤或胆管损伤等继发性的硬化性胆管炎不在保障范围内。</w:t>
            </w:r>
          </w:p>
        </w:tc>
      </w:tr>
      <w:tr>
        <w:trPr>
          <w:trHeight w:val="1216" w:hRule="atLeast"/>
        </w:trPr>
        <w:tc>
          <w:tcPr>
            <w:tcW w:w="1202" w:type="dxa"/>
          </w:tcPr>
          <w:p>
            <w:pPr>
              <w:pStyle w:val="TableParagraph"/>
              <w:spacing w:before="101"/>
              <w:ind w:left="0" w:right="157"/>
              <w:jc w:val="right"/>
              <w:rPr>
                <w:i/>
                <w:sz w:val="22"/>
              </w:rPr>
            </w:pPr>
            <w:r>
              <w:rPr>
                <w:i/>
                <w:w w:val="95"/>
                <w:sz w:val="22"/>
              </w:rPr>
              <w:t>3.4.1.28</w:t>
            </w:r>
          </w:p>
        </w:tc>
        <w:tc>
          <w:tcPr>
            <w:tcW w:w="1549" w:type="dxa"/>
          </w:tcPr>
          <w:p>
            <w:pPr>
              <w:pStyle w:val="TableParagraph"/>
              <w:spacing w:line="259" w:lineRule="auto" w:before="101"/>
              <w:ind w:left="159" w:right="80"/>
              <w:rPr>
                <w:i/>
                <w:sz w:val="22"/>
              </w:rPr>
            </w:pPr>
            <w:r>
              <w:rPr>
                <w:i/>
                <w:w w:val="95"/>
                <w:sz w:val="22"/>
              </w:rPr>
              <w:t>埃博拉病毒感染</w:t>
            </w:r>
          </w:p>
        </w:tc>
        <w:tc>
          <w:tcPr>
            <w:tcW w:w="7639" w:type="dxa"/>
          </w:tcPr>
          <w:p>
            <w:pPr>
              <w:pStyle w:val="TableParagraph"/>
              <w:spacing w:before="113"/>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888" w:hRule="atLeast"/>
        </w:trPr>
        <w:tc>
          <w:tcPr>
            <w:tcW w:w="1202" w:type="dxa"/>
          </w:tcPr>
          <w:p>
            <w:pPr>
              <w:pStyle w:val="TableParagraph"/>
              <w:spacing w:before="139"/>
              <w:ind w:left="0" w:right="157"/>
              <w:jc w:val="right"/>
              <w:rPr>
                <w:i/>
                <w:sz w:val="22"/>
              </w:rPr>
            </w:pPr>
            <w:r>
              <w:rPr>
                <w:i/>
                <w:w w:val="95"/>
                <w:sz w:val="22"/>
              </w:rPr>
              <w:t>3.4.1.29</w:t>
            </w:r>
          </w:p>
        </w:tc>
        <w:tc>
          <w:tcPr>
            <w:tcW w:w="1549" w:type="dxa"/>
          </w:tcPr>
          <w:p>
            <w:pPr>
              <w:pStyle w:val="TableParagraph"/>
              <w:spacing w:line="259" w:lineRule="auto" w:before="139"/>
              <w:ind w:left="159" w:right="79"/>
              <w:rPr>
                <w:i/>
                <w:sz w:val="22"/>
              </w:rPr>
            </w:pPr>
            <w:r>
              <w:rPr>
                <w:i/>
                <w:sz w:val="22"/>
              </w:rPr>
              <w:t>严重 的心肌炎</w:t>
            </w:r>
          </w:p>
        </w:tc>
        <w:tc>
          <w:tcPr>
            <w:tcW w:w="7639" w:type="dxa"/>
          </w:tcPr>
          <w:p>
            <w:pPr>
              <w:pStyle w:val="TableParagraph"/>
              <w:spacing w:line="273" w:lineRule="auto" w:before="151"/>
              <w:ind w:right="206"/>
              <w:rPr>
                <w:sz w:val="21"/>
              </w:rPr>
            </w:pPr>
            <w:r>
              <w:rPr>
                <w:sz w:val="21"/>
              </w:rPr>
              <w:t>指心肌局限性或弥漫性的急性或慢性炎症病变，导致心脏功能障碍，达到美国纽约心脏病学会心功能状态分级 IV 级，且持续至少 90 天。</w:t>
            </w:r>
          </w:p>
        </w:tc>
      </w:tr>
      <w:tr>
        <w:trPr>
          <w:trHeight w:val="2100" w:hRule="atLeast"/>
        </w:trPr>
        <w:tc>
          <w:tcPr>
            <w:tcW w:w="1202" w:type="dxa"/>
          </w:tcPr>
          <w:p>
            <w:pPr>
              <w:pStyle w:val="TableParagraph"/>
              <w:spacing w:before="83"/>
              <w:ind w:left="0" w:right="157"/>
              <w:jc w:val="right"/>
              <w:rPr>
                <w:i/>
                <w:sz w:val="22"/>
              </w:rPr>
            </w:pPr>
            <w:r>
              <w:rPr>
                <w:i/>
                <w:w w:val="95"/>
                <w:sz w:val="22"/>
              </w:rPr>
              <w:t>3.4.1.30</w:t>
            </w:r>
          </w:p>
        </w:tc>
        <w:tc>
          <w:tcPr>
            <w:tcW w:w="1549" w:type="dxa"/>
          </w:tcPr>
          <w:p>
            <w:pPr>
              <w:pStyle w:val="TableParagraph"/>
              <w:spacing w:before="83"/>
              <w:ind w:left="159"/>
              <w:rPr>
                <w:i/>
                <w:sz w:val="22"/>
              </w:rPr>
            </w:pPr>
            <w:r>
              <w:rPr>
                <w:i/>
                <w:w w:val="95"/>
                <w:sz w:val="22"/>
              </w:rPr>
              <w:t>重症肌无力</w:t>
            </w:r>
          </w:p>
        </w:tc>
        <w:tc>
          <w:tcPr>
            <w:tcW w:w="7639" w:type="dxa"/>
          </w:tcPr>
          <w:p>
            <w:pPr>
              <w:pStyle w:val="TableParagraph"/>
              <w:spacing w:line="273" w:lineRule="auto" w:before="95"/>
              <w:ind w:right="206"/>
              <w:rPr>
                <w:sz w:val="21"/>
              </w:rPr>
            </w:pPr>
            <w:r>
              <w:rPr>
                <w:sz w:val="21"/>
              </w:rPr>
              <w:t>指一种神经与肌肉接头部位传递障碍的自身免疫性疾病，临床特征是局部或全身肌肉于活动时易于疲劳无力，须经专科医生明确诊断，并满足下列全部条件：</w:t>
            </w:r>
          </w:p>
          <w:p>
            <w:pPr>
              <w:pStyle w:val="TableParagraph"/>
              <w:spacing w:line="273" w:lineRule="auto" w:before="7"/>
              <w:ind w:right="216"/>
              <w:rPr>
                <w:sz w:val="21"/>
              </w:rPr>
            </w:pPr>
            <w:r>
              <w:rPr>
                <w:sz w:val="21"/>
              </w:rPr>
              <w:t>（1）经药物治疗或胸腺手术治疗一年以上无法控制病情，症状缓解、复发及恶化交替出现；</w:t>
            </w:r>
          </w:p>
          <w:p>
            <w:pPr>
              <w:pStyle w:val="TableParagraph"/>
              <w:spacing w:line="273" w:lineRule="auto" w:before="7"/>
              <w:ind w:right="215"/>
              <w:rPr>
                <w:sz w:val="21"/>
              </w:rPr>
            </w:pPr>
            <w:r>
              <w:rPr>
                <w:sz w:val="21"/>
              </w:rPr>
              <w:t>（2）自主生活能力完全丧失，无法独立完成六项基本日常生活活动中的三项或三项以上。</w:t>
            </w:r>
          </w:p>
        </w:tc>
      </w:tr>
      <w:tr>
        <w:trPr>
          <w:trHeight w:val="1639" w:hRule="atLeast"/>
        </w:trPr>
        <w:tc>
          <w:tcPr>
            <w:tcW w:w="1202" w:type="dxa"/>
          </w:tcPr>
          <w:p>
            <w:pPr>
              <w:pStyle w:val="TableParagraph"/>
              <w:spacing w:before="105"/>
              <w:ind w:left="0" w:right="157"/>
              <w:jc w:val="right"/>
              <w:rPr>
                <w:i/>
                <w:sz w:val="22"/>
              </w:rPr>
            </w:pPr>
            <w:r>
              <w:rPr>
                <w:i/>
                <w:w w:val="95"/>
                <w:sz w:val="22"/>
              </w:rPr>
              <w:t>3.4.1.31</w:t>
            </w:r>
          </w:p>
        </w:tc>
        <w:tc>
          <w:tcPr>
            <w:tcW w:w="1549" w:type="dxa"/>
          </w:tcPr>
          <w:p>
            <w:pPr>
              <w:pStyle w:val="TableParagraph"/>
              <w:spacing w:line="259" w:lineRule="auto" w:before="105"/>
              <w:ind w:left="159" w:right="80"/>
              <w:rPr>
                <w:i/>
                <w:sz w:val="22"/>
              </w:rPr>
            </w:pPr>
            <w:r>
              <w:rPr>
                <w:i/>
                <w:w w:val="95"/>
                <w:sz w:val="22"/>
              </w:rPr>
              <w:t>系统性硬皮</w:t>
            </w:r>
            <w:r>
              <w:rPr>
                <w:i/>
                <w:sz w:val="22"/>
              </w:rPr>
              <w:t>病</w:t>
            </w:r>
          </w:p>
        </w:tc>
        <w:tc>
          <w:tcPr>
            <w:tcW w:w="7639" w:type="dxa"/>
          </w:tcPr>
          <w:p>
            <w:pPr>
              <w:pStyle w:val="TableParagraph"/>
              <w:spacing w:line="273" w:lineRule="auto" w:before="116"/>
              <w:ind w:right="206"/>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rPr>
                <w:sz w:val="21"/>
              </w:rPr>
            </w:pPr>
            <w:r>
              <w:rPr>
                <w:sz w:val="21"/>
              </w:rPr>
              <w:t>（1）肺脏：肺部病变进而发展为肺间质纤维化和肺动脉高压；</w:t>
            </w:r>
          </w:p>
          <w:p>
            <w:pPr>
              <w:pStyle w:val="TableParagraph"/>
              <w:spacing w:before="37"/>
              <w:rPr>
                <w:sz w:val="21"/>
              </w:rPr>
            </w:pPr>
            <w:r>
              <w:rPr>
                <w:sz w:val="21"/>
              </w:rPr>
              <w:t>（2）心脏：心功能受损达到美国纽约心脏病学会心功能状态分级 IV 级；</w:t>
            </w:r>
          </w:p>
          <w:p>
            <w:pPr>
              <w:pStyle w:val="TableParagraph"/>
              <w:spacing w:line="255" w:lineRule="exact" w:before="37"/>
              <w:rPr>
                <w:sz w:val="21"/>
              </w:rPr>
            </w:pPr>
            <w:r>
              <w:rPr>
                <w:sz w:val="21"/>
              </w:rPr>
              <w:t>（3）肾脏：肾脏受损导致双肾功能慢性不可逆衰竭，达到尿毒症期。</w:t>
            </w:r>
          </w:p>
        </w:tc>
      </w:tr>
    </w:tbl>
    <w:p>
      <w:pPr>
        <w:spacing w:after="0" w:line="255" w:lineRule="exact"/>
        <w:rPr>
          <w:sz w:val="21"/>
        </w:rPr>
        <w:sectPr>
          <w:pgSz w:w="11910" w:h="16840"/>
          <w:pgMar w:header="568" w:footer="0" w:top="800" w:bottom="280" w:left="720" w:right="5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36"/>
      </w:tblGrid>
      <w:tr>
        <w:trPr>
          <w:trHeight w:val="1032" w:hRule="atLeast"/>
        </w:trPr>
        <w:tc>
          <w:tcPr>
            <w:tcW w:w="1202" w:type="dxa"/>
          </w:tcPr>
          <w:p>
            <w:pPr>
              <w:pStyle w:val="TableParagraph"/>
              <w:spacing w:line="222" w:lineRule="exact"/>
              <w:ind w:left="200"/>
              <w:rPr>
                <w:i/>
                <w:sz w:val="22"/>
              </w:rPr>
            </w:pPr>
            <w:r>
              <w:rPr>
                <w:i/>
                <w:sz w:val="22"/>
              </w:rPr>
              <w:t>3.4.1.32</w:t>
            </w:r>
          </w:p>
        </w:tc>
        <w:tc>
          <w:tcPr>
            <w:tcW w:w="1549" w:type="dxa"/>
          </w:tcPr>
          <w:p>
            <w:pPr>
              <w:pStyle w:val="TableParagraph"/>
              <w:spacing w:line="222" w:lineRule="exact"/>
              <w:ind w:left="159"/>
              <w:rPr>
                <w:i/>
                <w:sz w:val="22"/>
              </w:rPr>
            </w:pPr>
            <w:r>
              <w:rPr>
                <w:i/>
                <w:w w:val="95"/>
                <w:sz w:val="22"/>
              </w:rPr>
              <w:t>象皮病</w:t>
            </w:r>
          </w:p>
        </w:tc>
        <w:tc>
          <w:tcPr>
            <w:tcW w:w="7636" w:type="dxa"/>
          </w:tcPr>
          <w:p>
            <w:pPr>
              <w:pStyle w:val="TableParagraph"/>
              <w:spacing w:line="221" w:lineRule="exact"/>
              <w:rPr>
                <w:sz w:val="21"/>
              </w:rPr>
            </w:pPr>
            <w:r>
              <w:rPr>
                <w:sz w:val="21"/>
              </w:rPr>
              <w:t>指末期丝虫病，按国际淋巴学会分级为三度淋巴液肿，其临床表现为肢体非凹陷</w:t>
            </w:r>
          </w:p>
          <w:p>
            <w:pPr>
              <w:pStyle w:val="TableParagraph"/>
              <w:spacing w:line="273" w:lineRule="auto" w:before="37"/>
              <w:ind w:right="203"/>
              <w:rPr>
                <w:sz w:val="21"/>
              </w:rPr>
            </w:pPr>
            <w:r>
              <w:rPr>
                <w:sz w:val="21"/>
              </w:rPr>
              <w:t>性水肿伴畸形增大、硬皮症和疣状增生。此病症须经国家机关认可的有合法资质的专科医生根据临床表现和微丝蚴的化验结果确诊。</w:t>
            </w:r>
          </w:p>
        </w:tc>
      </w:tr>
      <w:tr>
        <w:trPr>
          <w:trHeight w:val="2439" w:hRule="atLeast"/>
        </w:trPr>
        <w:tc>
          <w:tcPr>
            <w:tcW w:w="1202" w:type="dxa"/>
          </w:tcPr>
          <w:p>
            <w:pPr>
              <w:pStyle w:val="TableParagraph"/>
              <w:spacing w:before="121"/>
              <w:ind w:left="200"/>
              <w:rPr>
                <w:i/>
                <w:sz w:val="22"/>
              </w:rPr>
            </w:pPr>
            <w:r>
              <w:rPr>
                <w:i/>
                <w:sz w:val="22"/>
              </w:rPr>
              <w:t>3.4.1.33</w:t>
            </w:r>
          </w:p>
        </w:tc>
        <w:tc>
          <w:tcPr>
            <w:tcW w:w="1549" w:type="dxa"/>
          </w:tcPr>
          <w:p>
            <w:pPr>
              <w:pStyle w:val="TableParagraph"/>
              <w:spacing w:line="259" w:lineRule="auto" w:before="121"/>
              <w:ind w:left="159" w:right="80"/>
              <w:jc w:val="both"/>
              <w:rPr>
                <w:i/>
                <w:sz w:val="22"/>
              </w:rPr>
            </w:pPr>
            <w:r>
              <w:rPr>
                <w:i/>
                <w:w w:val="95"/>
                <w:sz w:val="22"/>
              </w:rPr>
              <w:t>慢性肾上腺皮质功能衰</w:t>
            </w:r>
            <w:r>
              <w:rPr>
                <w:i/>
                <w:sz w:val="22"/>
              </w:rPr>
              <w:t>竭</w:t>
            </w:r>
          </w:p>
        </w:tc>
        <w:tc>
          <w:tcPr>
            <w:tcW w:w="7636" w:type="dxa"/>
          </w:tcPr>
          <w:p>
            <w:pPr>
              <w:pStyle w:val="TableParagraph"/>
              <w:spacing w:line="273" w:lineRule="auto" w:before="133"/>
              <w:ind w:right="203"/>
              <w:jc w:val="both"/>
              <w:rPr>
                <w:sz w:val="21"/>
              </w:rPr>
            </w:pPr>
            <w:r>
              <w:rPr>
                <w:sz w:val="21"/>
              </w:rPr>
              <w:t>因为自身免疫功能紊乱，使肾上腺组织逐渐受损，而需要长期接受糖皮质激素及肾上腺皮质激素替代疗法。该病必须经国家机关认可的有合法资质的内分泌专科医生确诊，并有以下报告作为证据：</w:t>
            </w:r>
          </w:p>
          <w:p>
            <w:pPr>
              <w:pStyle w:val="TableParagraph"/>
              <w:spacing w:before="7"/>
              <w:jc w:val="both"/>
              <w:rPr>
                <w:sz w:val="21"/>
              </w:rPr>
            </w:pPr>
            <w:r>
              <w:rPr>
                <w:sz w:val="21"/>
              </w:rPr>
              <w:t>（1）促肾上腺皮质激素(ACTH)刺激试验；</w:t>
            </w:r>
          </w:p>
          <w:p>
            <w:pPr>
              <w:pStyle w:val="TableParagraph"/>
              <w:spacing w:before="36"/>
              <w:jc w:val="both"/>
              <w:rPr>
                <w:sz w:val="21"/>
              </w:rPr>
            </w:pPr>
            <w:r>
              <w:rPr>
                <w:sz w:val="21"/>
              </w:rPr>
              <w:t>（2）胰岛素血糖减少测试；</w:t>
            </w:r>
          </w:p>
          <w:p>
            <w:pPr>
              <w:pStyle w:val="TableParagraph"/>
              <w:spacing w:before="36"/>
              <w:jc w:val="both"/>
              <w:rPr>
                <w:sz w:val="21"/>
              </w:rPr>
            </w:pPr>
            <w:r>
              <w:rPr>
                <w:sz w:val="21"/>
              </w:rPr>
              <w:t>（3）血浆促肾上腺皮质激素(ACTH)水平测定；</w:t>
            </w:r>
          </w:p>
          <w:p>
            <w:pPr>
              <w:pStyle w:val="TableParagraph"/>
              <w:spacing w:before="36"/>
              <w:jc w:val="both"/>
              <w:rPr>
                <w:sz w:val="21"/>
              </w:rPr>
            </w:pPr>
            <w:r>
              <w:rPr>
                <w:sz w:val="21"/>
              </w:rPr>
              <w:t>（4）血浆肾素活性(PRA)测定。</w:t>
            </w:r>
          </w:p>
        </w:tc>
      </w:tr>
      <w:tr>
        <w:trPr>
          <w:trHeight w:val="1146" w:hRule="atLeast"/>
        </w:trPr>
        <w:tc>
          <w:tcPr>
            <w:tcW w:w="1202" w:type="dxa"/>
          </w:tcPr>
          <w:p>
            <w:pPr>
              <w:pStyle w:val="TableParagraph"/>
              <w:spacing w:before="94"/>
              <w:ind w:left="200"/>
              <w:rPr>
                <w:i/>
                <w:sz w:val="22"/>
              </w:rPr>
            </w:pPr>
            <w:r>
              <w:rPr>
                <w:i/>
                <w:sz w:val="22"/>
              </w:rPr>
              <w:t>3.4.1.34</w:t>
            </w:r>
          </w:p>
        </w:tc>
        <w:tc>
          <w:tcPr>
            <w:tcW w:w="1549" w:type="dxa"/>
          </w:tcPr>
          <w:p>
            <w:pPr>
              <w:pStyle w:val="TableParagraph"/>
              <w:spacing w:line="259" w:lineRule="auto" w:before="94"/>
              <w:ind w:left="159" w:right="80"/>
              <w:rPr>
                <w:i/>
                <w:sz w:val="22"/>
              </w:rPr>
            </w:pPr>
            <w:r>
              <w:rPr>
                <w:i/>
                <w:w w:val="95"/>
                <w:sz w:val="22"/>
              </w:rPr>
              <w:t>严重溃疡性结肠炎</w:t>
            </w:r>
          </w:p>
        </w:tc>
        <w:tc>
          <w:tcPr>
            <w:tcW w:w="7636" w:type="dxa"/>
          </w:tcPr>
          <w:p>
            <w:pPr>
              <w:pStyle w:val="TableParagraph"/>
              <w:spacing w:line="273" w:lineRule="auto" w:before="105"/>
              <w:ind w:right="203"/>
              <w:rPr>
                <w:sz w:val="21"/>
              </w:rPr>
            </w:pPr>
            <w:r>
              <w:rPr>
                <w:sz w:val="21"/>
              </w:rPr>
              <w:t>指伴有致命性电解质紊乱的急性暴发性溃疡性结肠炎，病变已经累及全结肠，表现为严重的血便和系统性症状体征，须由病理学检查结果证实，且已经实</w:t>
            </w:r>
          </w:p>
          <w:p>
            <w:pPr>
              <w:pStyle w:val="TableParagraph"/>
              <w:spacing w:before="8"/>
              <w:rPr>
                <w:sz w:val="21"/>
              </w:rPr>
            </w:pPr>
            <w:r>
              <w:rPr>
                <w:sz w:val="21"/>
              </w:rPr>
              <w:t>施了结肠切除或回肠造瘘术。</w:t>
            </w:r>
          </w:p>
        </w:tc>
      </w:tr>
      <w:tr>
        <w:trPr>
          <w:trHeight w:val="2390" w:hRule="atLeast"/>
        </w:trPr>
        <w:tc>
          <w:tcPr>
            <w:tcW w:w="1202" w:type="dxa"/>
          </w:tcPr>
          <w:p>
            <w:pPr>
              <w:pStyle w:val="TableParagraph"/>
              <w:spacing w:before="76"/>
              <w:ind w:left="200"/>
              <w:rPr>
                <w:i/>
                <w:sz w:val="22"/>
              </w:rPr>
            </w:pPr>
            <w:r>
              <w:rPr>
                <w:i/>
                <w:sz w:val="22"/>
              </w:rPr>
              <w:t>3.4.1.35</w:t>
            </w:r>
          </w:p>
        </w:tc>
        <w:tc>
          <w:tcPr>
            <w:tcW w:w="1549" w:type="dxa"/>
          </w:tcPr>
          <w:p>
            <w:pPr>
              <w:pStyle w:val="TableParagraph"/>
              <w:spacing w:before="76"/>
              <w:ind w:left="159"/>
              <w:rPr>
                <w:i/>
                <w:sz w:val="22"/>
              </w:rPr>
            </w:pPr>
            <w:r>
              <w:rPr>
                <w:i/>
                <w:w w:val="95"/>
                <w:sz w:val="22"/>
              </w:rPr>
              <w:t>疯牛病</w:t>
            </w:r>
          </w:p>
        </w:tc>
        <w:tc>
          <w:tcPr>
            <w:tcW w:w="7636" w:type="dxa"/>
          </w:tcPr>
          <w:p>
            <w:pPr>
              <w:pStyle w:val="TableParagraph"/>
              <w:spacing w:before="87"/>
              <w:rPr>
                <w:sz w:val="21"/>
              </w:rPr>
            </w:pPr>
            <w:r>
              <w:rPr>
                <w:sz w:val="21"/>
              </w:rPr>
              <w:t>神经系统疾病及致命的成胶质状脑病，并有以下症状：</w:t>
            </w:r>
          </w:p>
          <w:p>
            <w:pPr>
              <w:pStyle w:val="TableParagraph"/>
              <w:spacing w:before="36"/>
              <w:rPr>
                <w:sz w:val="21"/>
              </w:rPr>
            </w:pPr>
            <w:r>
              <w:rPr>
                <w:sz w:val="21"/>
              </w:rPr>
              <w:t>（1）不能控制的肌肉痉挛及震颤；</w:t>
            </w:r>
          </w:p>
          <w:p>
            <w:pPr>
              <w:pStyle w:val="TableParagraph"/>
              <w:spacing w:before="36"/>
              <w:rPr>
                <w:sz w:val="21"/>
              </w:rPr>
            </w:pPr>
            <w:r>
              <w:rPr>
                <w:sz w:val="21"/>
              </w:rPr>
              <w:t>（2）逐渐痴呆；</w:t>
            </w:r>
          </w:p>
          <w:p>
            <w:pPr>
              <w:pStyle w:val="TableParagraph"/>
              <w:spacing w:before="36"/>
              <w:rPr>
                <w:sz w:val="21"/>
              </w:rPr>
            </w:pPr>
            <w:r>
              <w:rPr>
                <w:sz w:val="21"/>
              </w:rPr>
              <w:t>（3）小脑功能不良，共济失调；</w:t>
            </w:r>
          </w:p>
          <w:p>
            <w:pPr>
              <w:pStyle w:val="TableParagraph"/>
              <w:spacing w:before="36"/>
              <w:rPr>
                <w:sz w:val="21"/>
              </w:rPr>
            </w:pPr>
            <w:r>
              <w:rPr>
                <w:sz w:val="21"/>
              </w:rPr>
              <w:t>（4）手足徐动症；</w:t>
            </w:r>
          </w:p>
          <w:p>
            <w:pPr>
              <w:pStyle w:val="TableParagraph"/>
              <w:spacing w:line="273" w:lineRule="auto" w:before="36"/>
              <w:ind w:right="205"/>
              <w:rPr>
                <w:sz w:val="21"/>
              </w:rPr>
            </w:pPr>
            <w:r>
              <w:rPr>
                <w:sz w:val="21"/>
              </w:rPr>
              <w:t>诊断必须经国家机关认可的有合法资质的神经科专科医生基于以下检查报告作出：脑电图、脑脊液报告、电脑断层扫描(CT)及核磁共振(MRI)。</w:t>
            </w:r>
          </w:p>
        </w:tc>
      </w:tr>
      <w:tr>
        <w:trPr>
          <w:trHeight w:val="1452" w:hRule="atLeast"/>
        </w:trPr>
        <w:tc>
          <w:tcPr>
            <w:tcW w:w="1202" w:type="dxa"/>
          </w:tcPr>
          <w:p>
            <w:pPr>
              <w:pStyle w:val="TableParagraph"/>
              <w:spacing w:before="90"/>
              <w:ind w:left="200"/>
              <w:rPr>
                <w:i/>
                <w:sz w:val="22"/>
              </w:rPr>
            </w:pPr>
            <w:r>
              <w:rPr>
                <w:i/>
                <w:sz w:val="22"/>
              </w:rPr>
              <w:t>3.4.1.36</w:t>
            </w:r>
          </w:p>
        </w:tc>
        <w:tc>
          <w:tcPr>
            <w:tcW w:w="1549" w:type="dxa"/>
          </w:tcPr>
          <w:p>
            <w:pPr>
              <w:pStyle w:val="TableParagraph"/>
              <w:spacing w:line="259" w:lineRule="auto" w:before="90"/>
              <w:ind w:left="159" w:right="80"/>
              <w:jc w:val="both"/>
              <w:rPr>
                <w:i/>
                <w:sz w:val="22"/>
              </w:rPr>
            </w:pPr>
            <w:r>
              <w:rPr>
                <w:i/>
                <w:w w:val="95"/>
                <w:sz w:val="22"/>
              </w:rPr>
              <w:t>急性坏死性胰腺炎- 不包括酒精作用所致</w:t>
            </w:r>
          </w:p>
        </w:tc>
        <w:tc>
          <w:tcPr>
            <w:tcW w:w="7636" w:type="dxa"/>
          </w:tcPr>
          <w:p>
            <w:pPr>
              <w:pStyle w:val="TableParagraph"/>
              <w:spacing w:line="273" w:lineRule="auto" w:before="102"/>
              <w:ind w:right="203"/>
              <w:jc w:val="both"/>
              <w:rPr>
                <w:sz w:val="21"/>
              </w:rPr>
            </w:pPr>
            <w:r>
              <w:rPr>
                <w:sz w:val="21"/>
              </w:rPr>
              <w:t>指胰酶在胰腺内激活后引起胰腺组织自身消化的急性化学性炎症。本病须经专科医生明确诊断，并已经实际实施了坏死组织清除、病灶切除或胰腺部分切除的手术治疗。</w:t>
            </w:r>
          </w:p>
          <w:p>
            <w:pPr>
              <w:pStyle w:val="TableParagraph"/>
              <w:spacing w:before="8"/>
              <w:jc w:val="both"/>
              <w:rPr>
                <w:sz w:val="21"/>
              </w:rPr>
            </w:pPr>
            <w:r>
              <w:rPr>
                <w:sz w:val="21"/>
              </w:rPr>
              <w:t>因酒精作用所致的急性胰腺炎不在保障范围内。</w:t>
            </w:r>
          </w:p>
        </w:tc>
      </w:tr>
      <w:tr>
        <w:trPr>
          <w:trHeight w:val="1789" w:hRule="atLeast"/>
        </w:trPr>
        <w:tc>
          <w:tcPr>
            <w:tcW w:w="1202" w:type="dxa"/>
          </w:tcPr>
          <w:p>
            <w:pPr>
              <w:pStyle w:val="TableParagraph"/>
              <w:spacing w:before="71"/>
              <w:ind w:left="200"/>
              <w:rPr>
                <w:i/>
                <w:sz w:val="22"/>
              </w:rPr>
            </w:pPr>
            <w:r>
              <w:rPr>
                <w:i/>
                <w:sz w:val="22"/>
              </w:rPr>
              <w:t>3.4.1.37</w:t>
            </w:r>
          </w:p>
        </w:tc>
        <w:tc>
          <w:tcPr>
            <w:tcW w:w="1549" w:type="dxa"/>
          </w:tcPr>
          <w:p>
            <w:pPr>
              <w:pStyle w:val="TableParagraph"/>
              <w:spacing w:line="259" w:lineRule="auto" w:before="71"/>
              <w:ind w:left="159" w:right="80"/>
              <w:rPr>
                <w:i/>
                <w:sz w:val="22"/>
              </w:rPr>
            </w:pPr>
            <w:r>
              <w:rPr>
                <w:i/>
                <w:w w:val="95"/>
                <w:sz w:val="22"/>
              </w:rPr>
              <w:t>慢性呼吸功能衰竭</w:t>
            </w:r>
          </w:p>
        </w:tc>
        <w:tc>
          <w:tcPr>
            <w:tcW w:w="7636" w:type="dxa"/>
          </w:tcPr>
          <w:p>
            <w:pPr>
              <w:pStyle w:val="TableParagraph"/>
              <w:spacing w:before="83"/>
              <w:rPr>
                <w:sz w:val="21"/>
              </w:rPr>
            </w:pPr>
            <w:r>
              <w:rPr>
                <w:sz w:val="21"/>
              </w:rPr>
              <w:t>慢性肺部疾病导致永久不可逆性的慢性呼吸功能衰竭，必须符合下列所有条件：</w:t>
            </w:r>
          </w:p>
          <w:p>
            <w:pPr>
              <w:pStyle w:val="TableParagraph"/>
              <w:spacing w:before="37"/>
              <w:rPr>
                <w:sz w:val="21"/>
              </w:rPr>
            </w:pPr>
            <w:r>
              <w:rPr>
                <w:sz w:val="21"/>
              </w:rPr>
              <w:t>（1）休息时出现呼吸困难；</w:t>
            </w:r>
          </w:p>
          <w:p>
            <w:pPr>
              <w:pStyle w:val="TableParagraph"/>
              <w:spacing w:before="37"/>
              <w:rPr>
                <w:sz w:val="21"/>
              </w:rPr>
            </w:pPr>
            <w:r>
              <w:rPr>
                <w:sz w:val="21"/>
              </w:rPr>
              <w:t>（2）动脉血氧分压（PaO2）&lt; 50mmHg；</w:t>
            </w:r>
          </w:p>
          <w:p>
            <w:pPr>
              <w:pStyle w:val="TableParagraph"/>
              <w:spacing w:before="37"/>
              <w:rPr>
                <w:sz w:val="21"/>
              </w:rPr>
            </w:pPr>
            <w:r>
              <w:rPr>
                <w:sz w:val="21"/>
              </w:rPr>
              <w:t>（3）动脉血氧饱和度（SaO2）&lt; 80％；</w:t>
            </w:r>
          </w:p>
          <w:p>
            <w:pPr>
              <w:pStyle w:val="TableParagraph"/>
              <w:spacing w:before="37"/>
              <w:rPr>
                <w:sz w:val="21"/>
              </w:rPr>
            </w:pPr>
            <w:r>
              <w:rPr>
                <w:w w:val="100"/>
                <w:sz w:val="21"/>
              </w:rPr>
              <w:t>（4</w:t>
            </w:r>
            <w:r>
              <w:rPr>
                <w:spacing w:val="-3"/>
                <w:w w:val="100"/>
                <w:sz w:val="21"/>
              </w:rPr>
              <w:t>）因缺氧必须接受</w:t>
            </w:r>
            <w:r>
              <w:rPr>
                <w:b/>
                <w:w w:val="100"/>
                <w:sz w:val="21"/>
              </w:rPr>
              <w:t>持续的输氧治疗</w:t>
            </w:r>
            <w:r>
              <w:rPr>
                <w:spacing w:val="-3"/>
                <w:w w:val="100"/>
                <w:sz w:val="21"/>
              </w:rPr>
              <w:t>（</w:t>
            </w:r>
            <w:r>
              <w:rPr>
                <w:w w:val="100"/>
                <w:sz w:val="21"/>
              </w:rPr>
              <w:t>见</w:t>
            </w:r>
            <w:r>
              <w:rPr>
                <w:spacing w:val="-53"/>
                <w:sz w:val="21"/>
              </w:rPr>
              <w:t> </w:t>
            </w:r>
            <w:r>
              <w:rPr>
                <w:w w:val="100"/>
                <w:sz w:val="21"/>
              </w:rPr>
              <w:t>1</w:t>
            </w:r>
            <w:r>
              <w:rPr>
                <w:spacing w:val="-3"/>
                <w:w w:val="100"/>
                <w:sz w:val="21"/>
              </w:rPr>
              <w:t>1</w:t>
            </w:r>
            <w:r>
              <w:rPr>
                <w:w w:val="100"/>
                <w:sz w:val="21"/>
              </w:rPr>
              <w:t>.22</w:t>
            </w:r>
            <w:r>
              <w:rPr>
                <w:spacing w:val="-108"/>
                <w:w w:val="100"/>
                <w:sz w:val="21"/>
              </w:rPr>
              <w:t>）</w:t>
            </w:r>
            <w:r>
              <w:rPr>
                <w:w w:val="100"/>
                <w:sz w:val="21"/>
              </w:rPr>
              <w:t>。</w:t>
            </w:r>
          </w:p>
        </w:tc>
      </w:tr>
      <w:tr>
        <w:trPr>
          <w:trHeight w:val="528" w:hRule="atLeast"/>
        </w:trPr>
        <w:tc>
          <w:tcPr>
            <w:tcW w:w="1202" w:type="dxa"/>
          </w:tcPr>
          <w:p>
            <w:pPr>
              <w:pStyle w:val="TableParagraph"/>
              <w:spacing w:before="118"/>
              <w:ind w:left="200"/>
              <w:rPr>
                <w:b/>
                <w:i/>
                <w:sz w:val="22"/>
              </w:rPr>
            </w:pPr>
            <w:r>
              <w:rPr>
                <w:b/>
                <w:i/>
                <w:sz w:val="22"/>
              </w:rPr>
              <w:t>3.4.2</w:t>
            </w:r>
          </w:p>
        </w:tc>
        <w:tc>
          <w:tcPr>
            <w:tcW w:w="1549" w:type="dxa"/>
            <w:vMerge w:val="restart"/>
          </w:tcPr>
          <w:p>
            <w:pPr>
              <w:pStyle w:val="TableParagraph"/>
              <w:spacing w:line="259" w:lineRule="auto" w:before="118"/>
              <w:ind w:left="159" w:right="30"/>
              <w:rPr>
                <w:b/>
                <w:i/>
                <w:sz w:val="22"/>
              </w:rPr>
            </w:pPr>
            <w:r>
              <w:rPr>
                <w:b/>
                <w:i/>
                <w:w w:val="95"/>
                <w:sz w:val="22"/>
              </w:rPr>
              <w:t>被保险人年</w:t>
            </w:r>
            <w:r>
              <w:rPr>
                <w:b/>
                <w:i/>
                <w:sz w:val="22"/>
              </w:rPr>
              <w:t>满 18 周岁后</w:t>
            </w:r>
          </w:p>
          <w:p>
            <w:pPr>
              <w:pStyle w:val="TableParagraph"/>
              <w:spacing w:line="259" w:lineRule="auto" w:before="6"/>
              <w:ind w:left="15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36" w:type="dxa"/>
          </w:tcPr>
          <w:p>
            <w:pPr>
              <w:pStyle w:val="TableParagraph"/>
              <w:ind w:left="0"/>
              <w:rPr>
                <w:rFonts w:ascii="Times New Roman"/>
                <w:sz w:val="20"/>
              </w:rPr>
            </w:pPr>
          </w:p>
        </w:tc>
      </w:tr>
      <w:tr>
        <w:trPr>
          <w:trHeight w:val="962" w:hRule="atLeast"/>
        </w:trPr>
        <w:tc>
          <w:tcPr>
            <w:tcW w:w="1202" w:type="dxa"/>
          </w:tcPr>
          <w:p>
            <w:pPr>
              <w:pStyle w:val="TableParagraph"/>
              <w:ind w:left="0"/>
              <w:rPr>
                <w:rFonts w:ascii="Times New Roman"/>
                <w:sz w:val="20"/>
              </w:rPr>
            </w:pPr>
          </w:p>
        </w:tc>
        <w:tc>
          <w:tcPr>
            <w:tcW w:w="1549" w:type="dxa"/>
            <w:vMerge/>
            <w:tcBorders>
              <w:top w:val="nil"/>
            </w:tcBorders>
          </w:tcPr>
          <w:p>
            <w:pPr>
              <w:rPr>
                <w:sz w:val="2"/>
                <w:szCs w:val="2"/>
              </w:rPr>
            </w:pPr>
          </w:p>
        </w:tc>
        <w:tc>
          <w:tcPr>
            <w:tcW w:w="7636" w:type="dxa"/>
          </w:tcPr>
          <w:p>
            <w:pPr>
              <w:pStyle w:val="TableParagraph"/>
              <w:spacing w:before="59"/>
              <w:rPr>
                <w:sz w:val="21"/>
              </w:rPr>
            </w:pPr>
            <w:r>
              <w:rPr>
                <w:sz w:val="21"/>
              </w:rPr>
              <w:t>被保险人年满 18 周岁后，我们提供特别保障的 5 种重大疾病定义如下：</w:t>
            </w:r>
          </w:p>
        </w:tc>
      </w:tr>
      <w:tr>
        <w:trPr>
          <w:trHeight w:val="2089" w:hRule="atLeast"/>
        </w:trPr>
        <w:tc>
          <w:tcPr>
            <w:tcW w:w="1202" w:type="dxa"/>
          </w:tcPr>
          <w:p>
            <w:pPr>
              <w:pStyle w:val="TableParagraph"/>
              <w:spacing w:before="83"/>
              <w:ind w:left="200"/>
              <w:rPr>
                <w:i/>
                <w:sz w:val="22"/>
              </w:rPr>
            </w:pPr>
            <w:r>
              <w:rPr>
                <w:i/>
                <w:sz w:val="22"/>
              </w:rPr>
              <w:t>3.4.2.1</w:t>
            </w:r>
          </w:p>
        </w:tc>
        <w:tc>
          <w:tcPr>
            <w:tcW w:w="1549" w:type="dxa"/>
          </w:tcPr>
          <w:p>
            <w:pPr>
              <w:pStyle w:val="TableParagraph"/>
              <w:spacing w:before="83"/>
              <w:ind w:left="159"/>
              <w:rPr>
                <w:i/>
                <w:sz w:val="22"/>
              </w:rPr>
            </w:pPr>
            <w:r>
              <w:rPr>
                <w:i/>
                <w:w w:val="95"/>
                <w:sz w:val="22"/>
              </w:rPr>
              <w:t>多发性硬化</w:t>
            </w:r>
          </w:p>
        </w:tc>
        <w:tc>
          <w:tcPr>
            <w:tcW w:w="7636" w:type="dxa"/>
          </w:tcPr>
          <w:p>
            <w:pPr>
              <w:pStyle w:val="TableParagraph"/>
              <w:spacing w:line="273" w:lineRule="auto" w:before="95"/>
              <w:ind w:right="203"/>
              <w:jc w:val="both"/>
              <w:rPr>
                <w:sz w:val="21"/>
              </w:rPr>
            </w:pPr>
            <w:r>
              <w:rPr>
                <w:sz w:val="21"/>
              </w:rPr>
              <w:t>多发性硬化是一种中枢神经系统脱髓鞘性疾病，表现为反复缓解、复发的脑、脊髓和视神经损害。该病必须经医院的神经科专科医生确诊，并有 CT 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续 180 天以上。</w:t>
            </w:r>
          </w:p>
        </w:tc>
      </w:tr>
      <w:tr>
        <w:trPr>
          <w:trHeight w:val="382" w:hRule="atLeast"/>
        </w:trPr>
        <w:tc>
          <w:tcPr>
            <w:tcW w:w="1202" w:type="dxa"/>
          </w:tcPr>
          <w:p>
            <w:pPr>
              <w:pStyle w:val="TableParagraph"/>
              <w:spacing w:line="268" w:lineRule="exact" w:before="94"/>
              <w:ind w:left="200"/>
              <w:rPr>
                <w:i/>
                <w:sz w:val="22"/>
              </w:rPr>
            </w:pPr>
            <w:r>
              <w:rPr>
                <w:i/>
                <w:sz w:val="22"/>
              </w:rPr>
              <w:t>3.4.2.2</w:t>
            </w:r>
          </w:p>
        </w:tc>
        <w:tc>
          <w:tcPr>
            <w:tcW w:w="1549" w:type="dxa"/>
          </w:tcPr>
          <w:p>
            <w:pPr>
              <w:pStyle w:val="TableParagraph"/>
              <w:spacing w:line="268" w:lineRule="exact" w:before="94"/>
              <w:ind w:left="159"/>
              <w:rPr>
                <w:i/>
                <w:sz w:val="22"/>
              </w:rPr>
            </w:pPr>
            <w:r>
              <w:rPr>
                <w:i/>
                <w:w w:val="95"/>
                <w:sz w:val="22"/>
              </w:rPr>
              <w:t>经输血导致</w:t>
            </w:r>
            <w:r>
              <w:rPr>
                <w:i/>
                <w:sz w:val="22"/>
              </w:rPr>
              <w:t> </w:t>
            </w:r>
          </w:p>
        </w:tc>
        <w:tc>
          <w:tcPr>
            <w:tcW w:w="7636" w:type="dxa"/>
          </w:tcPr>
          <w:p>
            <w:pPr>
              <w:pStyle w:val="TableParagraph"/>
              <w:spacing w:line="257" w:lineRule="exact" w:before="105"/>
              <w:rPr>
                <w:sz w:val="21"/>
              </w:rPr>
            </w:pPr>
            <w:r>
              <w:rPr>
                <w:sz w:val="21"/>
              </w:rPr>
              <w:t>被保险人因输血而感染上人类免疫缺陷病毒( HIV )或罹患获得性免疫缺陷综合</w:t>
            </w:r>
          </w:p>
        </w:tc>
      </w:tr>
    </w:tbl>
    <w:p>
      <w:pPr>
        <w:spacing w:after="0" w:line="257" w:lineRule="exact"/>
        <w:rPr>
          <w:sz w:val="21"/>
        </w:rPr>
        <w:sectPr>
          <w:pgSz w:w="11910" w:h="16840"/>
          <w:pgMar w:header="568" w:footer="0" w:top="800" w:bottom="280" w:left="720" w:right="5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630"/>
      </w:tblGrid>
      <w:tr>
        <w:trPr>
          <w:trHeight w:val="3500" w:hRule="atLeast"/>
        </w:trPr>
        <w:tc>
          <w:tcPr>
            <w:tcW w:w="1150" w:type="dxa"/>
          </w:tcPr>
          <w:p>
            <w:pPr>
              <w:pStyle w:val="TableParagraph"/>
              <w:ind w:left="0"/>
              <w:rPr>
                <w:rFonts w:ascii="Times New Roman"/>
                <w:sz w:val="20"/>
              </w:rPr>
            </w:pPr>
          </w:p>
        </w:tc>
        <w:tc>
          <w:tcPr>
            <w:tcW w:w="1603" w:type="dxa"/>
          </w:tcPr>
          <w:p>
            <w:pPr>
              <w:pStyle w:val="TableParagraph"/>
              <w:spacing w:line="222" w:lineRule="exact"/>
              <w:ind w:left="211"/>
              <w:rPr>
                <w:i/>
                <w:sz w:val="22"/>
              </w:rPr>
            </w:pPr>
            <w:r>
              <w:rPr>
                <w:i/>
                <w:w w:val="95"/>
                <w:sz w:val="22"/>
              </w:rPr>
              <w:t>的人类免疫</w:t>
            </w:r>
            <w:r>
              <w:rPr>
                <w:i/>
                <w:sz w:val="22"/>
              </w:rPr>
              <w:t> </w:t>
            </w:r>
          </w:p>
          <w:p>
            <w:pPr>
              <w:pStyle w:val="TableParagraph"/>
              <w:spacing w:line="261" w:lineRule="auto" w:before="24"/>
              <w:ind w:left="211" w:right="82"/>
              <w:rPr>
                <w:i/>
                <w:sz w:val="22"/>
              </w:rPr>
            </w:pPr>
            <w:r>
              <w:rPr>
                <w:i/>
                <w:w w:val="95"/>
                <w:sz w:val="22"/>
              </w:rPr>
              <w:t>缺陷病毒感</w:t>
            </w:r>
            <w:r>
              <w:rPr>
                <w:i/>
                <w:sz w:val="22"/>
              </w:rPr>
              <w:t>染</w:t>
            </w:r>
          </w:p>
        </w:tc>
        <w:tc>
          <w:tcPr>
            <w:tcW w:w="7630" w:type="dxa"/>
          </w:tcPr>
          <w:p>
            <w:pPr>
              <w:pStyle w:val="TableParagraph"/>
              <w:spacing w:line="221" w:lineRule="exact"/>
              <w:ind w:left="80"/>
              <w:rPr>
                <w:sz w:val="21"/>
              </w:rPr>
            </w:pPr>
            <w:r>
              <w:rPr>
                <w:sz w:val="21"/>
              </w:rPr>
              <w:t>征(AIDS ),并且符合下列所有条件：</w:t>
            </w:r>
          </w:p>
          <w:p>
            <w:pPr>
              <w:pStyle w:val="TableParagraph"/>
              <w:spacing w:line="273" w:lineRule="auto" w:before="37"/>
              <w:ind w:left="80" w:right="162"/>
              <w:rPr>
                <w:sz w:val="21"/>
              </w:rPr>
            </w:pPr>
            <w:r>
              <w:rPr>
                <w:sz w:val="21"/>
              </w:rPr>
              <w:t>（1）造成感染的输血事件发生在本合同生效日之后或复效日之后，血清出现HIV 感染必须发生在接受输血后180天内；</w:t>
            </w:r>
          </w:p>
          <w:p>
            <w:pPr>
              <w:pStyle w:val="TableParagraph"/>
              <w:spacing w:line="273" w:lineRule="auto" w:before="7"/>
              <w:ind w:left="80" w:right="209"/>
              <w:rPr>
                <w:sz w:val="21"/>
              </w:rPr>
            </w:pPr>
            <w:r>
              <w:rPr>
                <w:sz w:val="21"/>
              </w:rPr>
              <w:t>（2）我们认可的提供输血治疗的正规输血中心或医院出具该项输血感染属医疗责任事故的报告，或者法院终审裁定为医疗责任；</w:t>
            </w:r>
          </w:p>
          <w:p>
            <w:pPr>
              <w:pStyle w:val="TableParagraph"/>
              <w:spacing w:before="7"/>
              <w:ind w:left="80"/>
              <w:rPr>
                <w:sz w:val="21"/>
              </w:rPr>
            </w:pPr>
            <w:r>
              <w:rPr>
                <w:sz w:val="21"/>
              </w:rPr>
              <w:t>（3）受感染的被保险人不是血友病患者；</w:t>
            </w:r>
          </w:p>
          <w:p>
            <w:pPr>
              <w:pStyle w:val="TableParagraph"/>
              <w:spacing w:line="273" w:lineRule="auto" w:before="37"/>
              <w:ind w:left="80" w:right="209"/>
              <w:rPr>
                <w:sz w:val="21"/>
              </w:rPr>
            </w:pPr>
            <w:r>
              <w:rPr>
                <w:sz w:val="21"/>
              </w:rPr>
              <w:t>（4）病情须对生命造成威胁并且在索赔当时的医疗技术条件下尚无已知的治愈方法。</w:t>
            </w:r>
          </w:p>
          <w:p>
            <w:pPr>
              <w:pStyle w:val="TableParagraph"/>
              <w:spacing w:line="273" w:lineRule="auto" w:before="7"/>
              <w:ind w:left="80" w:right="203"/>
              <w:rPr>
                <w:sz w:val="21"/>
              </w:rPr>
            </w:pPr>
            <w:r>
              <w:rPr>
                <w:sz w:val="21"/>
              </w:rPr>
              <w:t>任何因其他传播方式（包括：性传播或静脉注射毒品）导致的HIV感染不在保障范围内。</w:t>
            </w:r>
          </w:p>
          <w:p>
            <w:pPr>
              <w:pStyle w:val="TableParagraph"/>
              <w:spacing w:before="7"/>
              <w:ind w:left="80"/>
              <w:rPr>
                <w:sz w:val="21"/>
              </w:rPr>
            </w:pPr>
            <w:r>
              <w:rPr>
                <w:sz w:val="21"/>
              </w:rPr>
              <w:t>本合同条款责任免除中的 HIV 规定，不适用于本重大疾病。</w:t>
            </w:r>
          </w:p>
        </w:tc>
      </w:tr>
      <w:tr>
        <w:trPr>
          <w:trHeight w:val="2100" w:hRule="atLeast"/>
        </w:trPr>
        <w:tc>
          <w:tcPr>
            <w:tcW w:w="1150" w:type="dxa"/>
          </w:tcPr>
          <w:p>
            <w:pPr>
              <w:pStyle w:val="TableParagraph"/>
              <w:spacing w:before="94"/>
              <w:ind w:left="200"/>
              <w:rPr>
                <w:i/>
                <w:sz w:val="22"/>
              </w:rPr>
            </w:pPr>
            <w:r>
              <w:rPr>
                <w:i/>
                <w:sz w:val="22"/>
              </w:rPr>
              <w:t>3.4.2.3</w:t>
            </w:r>
          </w:p>
        </w:tc>
        <w:tc>
          <w:tcPr>
            <w:tcW w:w="1603" w:type="dxa"/>
          </w:tcPr>
          <w:p>
            <w:pPr>
              <w:pStyle w:val="TableParagraph"/>
              <w:spacing w:before="94"/>
              <w:ind w:left="211"/>
              <w:rPr>
                <w:i/>
                <w:sz w:val="22"/>
              </w:rPr>
            </w:pPr>
            <w:r>
              <w:rPr>
                <w:i/>
                <w:w w:val="95"/>
                <w:sz w:val="22"/>
              </w:rPr>
              <w:t>终末期肺病</w:t>
            </w:r>
          </w:p>
        </w:tc>
        <w:tc>
          <w:tcPr>
            <w:tcW w:w="7630" w:type="dxa"/>
          </w:tcPr>
          <w:p>
            <w:pPr>
              <w:pStyle w:val="TableParagraph"/>
              <w:spacing w:line="273" w:lineRule="auto" w:before="105"/>
              <w:ind w:left="80" w:right="199"/>
              <w:rPr>
                <w:sz w:val="21"/>
              </w:rPr>
            </w:pPr>
            <w:r>
              <w:rPr>
                <w:sz w:val="21"/>
              </w:rPr>
              <w:t>被保险人患有终末期肺病而出现的慢性呼吸衰竭。该病必须由医院的呼吸科专科医生确诊并符合以下各项：</w:t>
            </w:r>
          </w:p>
          <w:p>
            <w:pPr>
              <w:pStyle w:val="TableParagraph"/>
              <w:spacing w:before="8"/>
              <w:ind w:left="80"/>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80"/>
              <w:rPr>
                <w:sz w:val="21"/>
              </w:rPr>
            </w:pPr>
            <w:r>
              <w:rPr>
                <w:sz w:val="21"/>
              </w:rPr>
              <w:t>（2）动脉血气分析氧分压（PaO2）&lt; 55mmHg；</w:t>
            </w:r>
          </w:p>
          <w:p>
            <w:pPr>
              <w:pStyle w:val="TableParagraph"/>
              <w:spacing w:before="36"/>
              <w:ind w:left="80"/>
              <w:rPr>
                <w:sz w:val="21"/>
              </w:rPr>
            </w:pPr>
            <w:r>
              <w:rPr>
                <w:sz w:val="21"/>
              </w:rPr>
              <w:t>（3）休息时出现呼吸困难；</w:t>
            </w:r>
          </w:p>
          <w:p>
            <w:pPr>
              <w:pStyle w:val="TableParagraph"/>
              <w:spacing w:before="36"/>
              <w:ind w:left="80"/>
              <w:rPr>
                <w:sz w:val="21"/>
              </w:rPr>
            </w:pPr>
            <w:r>
              <w:rPr>
                <w:sz w:val="21"/>
              </w:rPr>
              <w:t>（4）必须接受持续的输氧治疗。</w:t>
            </w:r>
          </w:p>
        </w:tc>
      </w:tr>
      <w:tr>
        <w:trPr>
          <w:trHeight w:val="1474" w:hRule="atLeast"/>
        </w:trPr>
        <w:tc>
          <w:tcPr>
            <w:tcW w:w="1150" w:type="dxa"/>
          </w:tcPr>
          <w:p>
            <w:pPr>
              <w:pStyle w:val="TableParagraph"/>
              <w:spacing w:before="94"/>
              <w:ind w:left="200"/>
              <w:rPr>
                <w:i/>
                <w:sz w:val="22"/>
              </w:rPr>
            </w:pPr>
            <w:r>
              <w:rPr>
                <w:i/>
                <w:sz w:val="22"/>
              </w:rPr>
              <w:t>3.4.2.4</w:t>
            </w:r>
          </w:p>
        </w:tc>
        <w:tc>
          <w:tcPr>
            <w:tcW w:w="1603" w:type="dxa"/>
          </w:tcPr>
          <w:p>
            <w:pPr>
              <w:pStyle w:val="TableParagraph"/>
              <w:spacing w:line="259" w:lineRule="auto" w:before="94"/>
              <w:ind w:left="211" w:right="82"/>
              <w:rPr>
                <w:i/>
                <w:sz w:val="22"/>
              </w:rPr>
            </w:pPr>
            <w:r>
              <w:rPr>
                <w:i/>
                <w:w w:val="95"/>
                <w:sz w:val="22"/>
              </w:rPr>
              <w:t>严重类风湿性关节炎</w:t>
            </w:r>
          </w:p>
        </w:tc>
        <w:tc>
          <w:tcPr>
            <w:tcW w:w="7630" w:type="dxa"/>
          </w:tcPr>
          <w:p>
            <w:pPr>
              <w:pStyle w:val="TableParagraph"/>
              <w:spacing w:line="273" w:lineRule="auto" w:before="105"/>
              <w:ind w:left="80" w:right="199"/>
              <w:jc w:val="both"/>
              <w:rPr>
                <w:sz w:val="21"/>
              </w:rPr>
            </w:pPr>
            <w:r>
              <w:rPr>
                <w:sz w:val="21"/>
              </w:rPr>
              <w:t>广泛的关节损坏，临床上存在三个或三个以上下列关节的畸形:手、腕、肘、颈椎、膝、踝、或足部跖趾关节。并且由本公司认可医院的专科医生确认被保险人在无他人协助下无法独立完成六项基本日常生活活动中的三项或三项以上。上述畸形及功能异常须持续至少达 180 天。</w:t>
            </w:r>
          </w:p>
        </w:tc>
      </w:tr>
      <w:tr>
        <w:trPr>
          <w:trHeight w:val="3972" w:hRule="atLeast"/>
        </w:trPr>
        <w:tc>
          <w:tcPr>
            <w:tcW w:w="1150" w:type="dxa"/>
          </w:tcPr>
          <w:p>
            <w:pPr>
              <w:pStyle w:val="TableParagraph"/>
              <w:spacing w:before="92"/>
              <w:ind w:left="200"/>
              <w:rPr>
                <w:i/>
                <w:sz w:val="22"/>
              </w:rPr>
            </w:pPr>
            <w:r>
              <w:rPr>
                <w:i/>
                <w:sz w:val="22"/>
              </w:rPr>
              <w:t>3.4.2.5</w:t>
            </w:r>
          </w:p>
        </w:tc>
        <w:tc>
          <w:tcPr>
            <w:tcW w:w="1603" w:type="dxa"/>
          </w:tcPr>
          <w:p>
            <w:pPr>
              <w:pStyle w:val="TableParagraph"/>
              <w:spacing w:line="259" w:lineRule="auto" w:before="92"/>
              <w:ind w:left="211" w:right="82"/>
              <w:rPr>
                <w:i/>
                <w:sz w:val="22"/>
              </w:rPr>
            </w:pPr>
            <w:r>
              <w:rPr>
                <w:i/>
                <w:w w:val="95"/>
                <w:sz w:val="22"/>
              </w:rPr>
              <w:t>系统性红斑狼疮</w:t>
            </w:r>
          </w:p>
        </w:tc>
        <w:tc>
          <w:tcPr>
            <w:tcW w:w="7630" w:type="dxa"/>
          </w:tcPr>
          <w:p>
            <w:pPr>
              <w:pStyle w:val="TableParagraph"/>
              <w:spacing w:line="268" w:lineRule="auto" w:before="104"/>
              <w:ind w:left="80" w:right="199"/>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年女性。该病必须由医院的风湿科专科医生确诊。本合同所指的系统性红斑狼疮仅限于累及肾脏的情况，即经肾脏活检确认的，符合</w:t>
            </w:r>
            <w:r>
              <w:rPr>
                <w:sz w:val="21"/>
              </w:rPr>
              <w:t>WHO诊断标准定义III型至V </w:t>
            </w:r>
            <w:r>
              <w:rPr>
                <w:spacing w:val="-4"/>
                <w:w w:val="100"/>
                <w:sz w:val="21"/>
              </w:rPr>
              <w:t>型狼疮性肾炎的诊断标准，并伴有</w:t>
            </w:r>
            <w:r>
              <w:rPr>
                <w:b/>
                <w:spacing w:val="-2"/>
                <w:w w:val="100"/>
                <w:sz w:val="21"/>
              </w:rPr>
              <w:t>持续性蛋白尿</w:t>
            </w:r>
            <w:r>
              <w:rPr>
                <w:b/>
                <w:spacing w:val="-3"/>
                <w:w w:val="100"/>
                <w:sz w:val="21"/>
              </w:rPr>
              <w:t>（</w:t>
            </w:r>
            <w:r>
              <w:rPr>
                <w:b/>
                <w:spacing w:val="-1"/>
                <w:w w:val="100"/>
                <w:sz w:val="21"/>
              </w:rPr>
              <w:t>尿蛋白</w:t>
            </w:r>
            <w:r>
              <w:rPr>
                <w:rFonts w:ascii="Times New Roman" w:eastAsia="Times New Roman"/>
                <w:b/>
                <w:spacing w:val="-2"/>
                <w:w w:val="100"/>
                <w:sz w:val="21"/>
              </w:rPr>
              <w:t>++</w:t>
            </w:r>
            <w:r>
              <w:rPr>
                <w:b/>
                <w:w w:val="100"/>
                <w:sz w:val="21"/>
              </w:rPr>
              <w:t>以上</w:t>
            </w:r>
            <w:r>
              <w:rPr>
                <w:b/>
                <w:spacing w:val="-118"/>
                <w:w w:val="100"/>
                <w:sz w:val="21"/>
              </w:rPr>
              <w:t>）</w:t>
            </w:r>
            <w:r>
              <w:rPr>
                <w:w w:val="100"/>
                <w:sz w:val="21"/>
              </w:rPr>
              <w:t>（见</w:t>
            </w:r>
            <w:r>
              <w:rPr>
                <w:spacing w:val="-3"/>
                <w:w w:val="100"/>
                <w:sz w:val="21"/>
              </w:rPr>
              <w:t>1</w:t>
            </w:r>
            <w:r>
              <w:rPr>
                <w:w w:val="100"/>
                <w:sz w:val="21"/>
              </w:rPr>
              <w:t>1.</w:t>
            </w:r>
            <w:r>
              <w:rPr>
                <w:spacing w:val="-1"/>
                <w:w w:val="100"/>
                <w:sz w:val="21"/>
              </w:rPr>
              <w:t>2</w:t>
            </w:r>
            <w:r>
              <w:rPr>
                <w:spacing w:val="-3"/>
                <w:w w:val="100"/>
                <w:sz w:val="21"/>
              </w:rPr>
              <w:t>3</w:t>
            </w:r>
            <w:r>
              <w:rPr>
                <w:spacing w:val="-12"/>
                <w:w w:val="100"/>
                <w:sz w:val="21"/>
              </w:rPr>
              <w:t>）</w:t>
            </w:r>
            <w:r>
              <w:rPr>
                <w:w w:val="100"/>
                <w:sz w:val="21"/>
              </w:rPr>
              <w:t>的</w:t>
            </w:r>
            <w:r>
              <w:rPr>
                <w:spacing w:val="-5"/>
                <w:sz w:val="21"/>
              </w:rPr>
              <w:t>系统性红斑狼疮。其他类型的红斑性狼疮，如盘状狼疮、仅累及血液及关节的狼</w:t>
            </w:r>
            <w:r>
              <w:rPr>
                <w:spacing w:val="-4"/>
                <w:sz w:val="21"/>
              </w:rPr>
              <w:t>疮不在保障范围内。</w:t>
            </w:r>
          </w:p>
          <w:p>
            <w:pPr>
              <w:pStyle w:val="TableParagraph"/>
              <w:spacing w:before="11"/>
              <w:ind w:left="80"/>
              <w:jc w:val="both"/>
              <w:rPr>
                <w:sz w:val="21"/>
              </w:rPr>
            </w:pPr>
            <w:r>
              <w:rPr>
                <w:sz w:val="21"/>
              </w:rPr>
              <w:t>世界卫生组织（WHO）狼疮性肾炎分型：</w:t>
            </w:r>
          </w:p>
          <w:p>
            <w:pPr>
              <w:pStyle w:val="TableParagraph"/>
              <w:spacing w:before="36"/>
              <w:ind w:left="80"/>
              <w:jc w:val="both"/>
              <w:rPr>
                <w:sz w:val="21"/>
              </w:rPr>
            </w:pPr>
            <w:r>
              <w:rPr>
                <w:sz w:val="21"/>
              </w:rPr>
              <w:t>I型（微小病变型）</w:t>
            </w:r>
          </w:p>
          <w:p>
            <w:pPr>
              <w:pStyle w:val="TableParagraph"/>
              <w:spacing w:before="36"/>
              <w:ind w:left="80"/>
              <w:jc w:val="both"/>
              <w:rPr>
                <w:sz w:val="21"/>
              </w:rPr>
            </w:pPr>
            <w:r>
              <w:rPr>
                <w:sz w:val="21"/>
              </w:rPr>
              <w:t>II型（系膜病变型）</w:t>
            </w:r>
          </w:p>
          <w:p>
            <w:pPr>
              <w:pStyle w:val="TableParagraph"/>
              <w:spacing w:before="36"/>
              <w:ind w:left="80"/>
              <w:jc w:val="both"/>
              <w:rPr>
                <w:sz w:val="21"/>
              </w:rPr>
            </w:pPr>
            <w:r>
              <w:rPr>
                <w:sz w:val="21"/>
              </w:rPr>
              <w:t>III型（局灶及节段增生型）</w:t>
            </w:r>
          </w:p>
          <w:p>
            <w:pPr>
              <w:pStyle w:val="TableParagraph"/>
              <w:spacing w:before="36"/>
              <w:ind w:left="80"/>
              <w:jc w:val="both"/>
              <w:rPr>
                <w:sz w:val="21"/>
              </w:rPr>
            </w:pPr>
            <w:r>
              <w:rPr>
                <w:sz w:val="21"/>
              </w:rPr>
              <w:t>IV型（弥漫增生型）</w:t>
            </w:r>
          </w:p>
          <w:p>
            <w:pPr>
              <w:pStyle w:val="TableParagraph"/>
              <w:spacing w:before="36"/>
              <w:ind w:left="80"/>
              <w:jc w:val="both"/>
              <w:rPr>
                <w:sz w:val="21"/>
              </w:rPr>
            </w:pPr>
            <w:r>
              <w:rPr>
                <w:sz w:val="21"/>
              </w:rPr>
              <w:t>V 型（膜型）</w:t>
            </w:r>
          </w:p>
        </w:tc>
      </w:tr>
      <w:tr>
        <w:trPr>
          <w:trHeight w:val="434" w:hRule="atLeast"/>
        </w:trPr>
        <w:tc>
          <w:tcPr>
            <w:tcW w:w="1150" w:type="dxa"/>
          </w:tcPr>
          <w:p>
            <w:pPr>
              <w:pStyle w:val="TableParagraph"/>
              <w:spacing w:before="95"/>
              <w:ind w:left="200"/>
              <w:rPr>
                <w:b/>
                <w:i/>
                <w:sz w:val="22"/>
              </w:rPr>
            </w:pPr>
            <w:r>
              <w:rPr>
                <w:b/>
                <w:i/>
                <w:sz w:val="22"/>
              </w:rPr>
              <w:t>3.4.3</w:t>
            </w:r>
          </w:p>
        </w:tc>
        <w:tc>
          <w:tcPr>
            <w:tcW w:w="1603" w:type="dxa"/>
            <w:vMerge w:val="restart"/>
          </w:tcPr>
          <w:p>
            <w:pPr>
              <w:pStyle w:val="TableParagraph"/>
              <w:spacing w:line="259" w:lineRule="auto" w:before="95"/>
              <w:ind w:left="211" w:right="32"/>
              <w:rPr>
                <w:b/>
                <w:i/>
                <w:sz w:val="22"/>
              </w:rPr>
            </w:pPr>
            <w:r>
              <w:rPr>
                <w:b/>
                <w:i/>
                <w:w w:val="95"/>
                <w:sz w:val="22"/>
              </w:rPr>
              <w:t>被保险人年</w:t>
            </w:r>
            <w:r>
              <w:rPr>
                <w:b/>
                <w:i/>
                <w:sz w:val="22"/>
              </w:rPr>
              <w:t>满 18 周岁前</w:t>
            </w:r>
          </w:p>
          <w:p>
            <w:pPr>
              <w:pStyle w:val="TableParagraph"/>
              <w:spacing w:before="7"/>
              <w:ind w:left="211"/>
              <w:rPr>
                <w:b/>
                <w:i/>
                <w:sz w:val="22"/>
              </w:rPr>
            </w:pPr>
            <w:r>
              <w:rPr>
                <w:b/>
                <w:i/>
                <w:spacing w:val="-45"/>
                <w:sz w:val="22"/>
              </w:rPr>
              <w:t>的 </w:t>
            </w:r>
            <w:r>
              <w:rPr>
                <w:b/>
                <w:i/>
                <w:sz w:val="22"/>
              </w:rPr>
              <w:t>5</w:t>
            </w:r>
            <w:r>
              <w:rPr>
                <w:b/>
                <w:i/>
                <w:spacing w:val="-19"/>
                <w:sz w:val="22"/>
              </w:rPr>
              <w:t> 种重大疾</w:t>
            </w:r>
          </w:p>
        </w:tc>
        <w:tc>
          <w:tcPr>
            <w:tcW w:w="7630" w:type="dxa"/>
          </w:tcPr>
          <w:p>
            <w:pPr>
              <w:pStyle w:val="TableParagraph"/>
              <w:ind w:left="0"/>
              <w:rPr>
                <w:rFonts w:ascii="Times New Roman"/>
                <w:sz w:val="20"/>
              </w:rPr>
            </w:pPr>
          </w:p>
        </w:tc>
      </w:tr>
      <w:tr>
        <w:trPr>
          <w:trHeight w:val="694" w:hRule="atLeast"/>
        </w:trPr>
        <w:tc>
          <w:tcPr>
            <w:tcW w:w="1150" w:type="dxa"/>
          </w:tcPr>
          <w:p>
            <w:pPr>
              <w:pStyle w:val="TableParagraph"/>
              <w:ind w:left="0"/>
              <w:rPr>
                <w:rFonts w:ascii="Times New Roman"/>
                <w:sz w:val="20"/>
              </w:rPr>
            </w:pPr>
          </w:p>
        </w:tc>
        <w:tc>
          <w:tcPr>
            <w:tcW w:w="1603" w:type="dxa"/>
            <w:vMerge/>
            <w:tcBorders>
              <w:top w:val="nil"/>
            </w:tcBorders>
          </w:tcPr>
          <w:p>
            <w:pPr>
              <w:rPr>
                <w:sz w:val="2"/>
                <w:szCs w:val="2"/>
              </w:rPr>
            </w:pPr>
          </w:p>
        </w:tc>
        <w:tc>
          <w:tcPr>
            <w:tcW w:w="7630" w:type="dxa"/>
          </w:tcPr>
          <w:p>
            <w:pPr>
              <w:pStyle w:val="TableParagraph"/>
              <w:spacing w:line="262" w:lineRule="exact"/>
              <w:ind w:left="80"/>
              <w:rPr>
                <w:sz w:val="21"/>
              </w:rPr>
            </w:pPr>
            <w:r>
              <w:rPr>
                <w:sz w:val="21"/>
              </w:rPr>
              <w:t>被保险人年满 18 周岁前，我们提供特别保障的 5 种重大疾病定义如下：</w:t>
            </w:r>
          </w:p>
        </w:tc>
      </w:tr>
      <w:tr>
        <w:trPr>
          <w:trHeight w:val="1277" w:hRule="atLeast"/>
        </w:trPr>
        <w:tc>
          <w:tcPr>
            <w:tcW w:w="1150" w:type="dxa"/>
          </w:tcPr>
          <w:p>
            <w:pPr>
              <w:pStyle w:val="TableParagraph"/>
              <w:spacing w:before="54"/>
              <w:ind w:left="200"/>
              <w:rPr>
                <w:i/>
                <w:sz w:val="22"/>
              </w:rPr>
            </w:pPr>
            <w:r>
              <w:rPr>
                <w:i/>
                <w:sz w:val="22"/>
              </w:rPr>
              <w:t>3.4.3.1</w:t>
            </w:r>
          </w:p>
        </w:tc>
        <w:tc>
          <w:tcPr>
            <w:tcW w:w="1603" w:type="dxa"/>
          </w:tcPr>
          <w:p>
            <w:pPr>
              <w:pStyle w:val="TableParagraph"/>
              <w:spacing w:line="259" w:lineRule="auto" w:before="54"/>
              <w:ind w:left="211" w:right="82"/>
              <w:rPr>
                <w:i/>
                <w:sz w:val="22"/>
              </w:rPr>
            </w:pPr>
            <w:r>
              <w:rPr>
                <w:i/>
                <w:w w:val="95"/>
                <w:sz w:val="22"/>
              </w:rPr>
              <w:t>胰岛素依赖型糖尿病</w:t>
            </w:r>
          </w:p>
        </w:tc>
        <w:tc>
          <w:tcPr>
            <w:tcW w:w="7630" w:type="dxa"/>
          </w:tcPr>
          <w:p>
            <w:pPr>
              <w:pStyle w:val="TableParagraph"/>
              <w:spacing w:line="312" w:lineRule="exact" w:before="62"/>
              <w:ind w:left="80" w:right="199"/>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sz w:val="21"/>
              </w:rPr>
              <w:t>180</w:t>
            </w:r>
            <w:r>
              <w:rPr>
                <w:spacing w:val="-8"/>
                <w:sz w:val="21"/>
              </w:rPr>
              <w:t> 天以上。该病必</w:t>
            </w:r>
            <w:r>
              <w:rPr>
                <w:spacing w:val="-5"/>
                <w:sz w:val="21"/>
              </w:rPr>
              <w:t>须由医院的内分泌科专科医生确诊，可以用其他方法</w:t>
            </w:r>
            <w:r>
              <w:rPr>
                <w:spacing w:val="-3"/>
                <w:sz w:val="21"/>
              </w:rPr>
              <w:t>（非胰岛素注射）</w:t>
            </w:r>
            <w:r>
              <w:rPr>
                <w:spacing w:val="-2"/>
                <w:sz w:val="21"/>
              </w:rPr>
              <w:t>治疗的糖</w:t>
            </w:r>
            <w:r>
              <w:rPr>
                <w:spacing w:val="-3"/>
                <w:sz w:val="21"/>
              </w:rPr>
              <w:t>尿病不在本合同保障范围内。</w:t>
            </w:r>
          </w:p>
        </w:tc>
      </w:tr>
    </w:tbl>
    <w:p>
      <w:pPr>
        <w:spacing w:after="0" w:line="312"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603"/>
        <w:gridCol w:w="7536"/>
      </w:tblGrid>
      <w:tr>
        <w:trPr>
          <w:trHeight w:val="1972" w:hRule="atLeast"/>
        </w:trPr>
        <w:tc>
          <w:tcPr>
            <w:tcW w:w="1058" w:type="dxa"/>
          </w:tcPr>
          <w:p>
            <w:pPr>
              <w:pStyle w:val="TableParagraph"/>
              <w:spacing w:line="222" w:lineRule="exact"/>
              <w:ind w:left="107"/>
              <w:rPr>
                <w:i/>
                <w:sz w:val="22"/>
              </w:rPr>
            </w:pPr>
            <w:r>
              <w:rPr>
                <w:i/>
                <w:sz w:val="22"/>
              </w:rPr>
              <w:t>3.4.3.2</w:t>
            </w:r>
          </w:p>
        </w:tc>
        <w:tc>
          <w:tcPr>
            <w:tcW w:w="1603" w:type="dxa"/>
          </w:tcPr>
          <w:p>
            <w:pPr>
              <w:pStyle w:val="TableParagraph"/>
              <w:spacing w:line="222" w:lineRule="exact"/>
              <w:ind w:left="211"/>
              <w:rPr>
                <w:i/>
                <w:sz w:val="22"/>
              </w:rPr>
            </w:pPr>
            <w:r>
              <w:rPr>
                <w:i/>
                <w:w w:val="95"/>
                <w:sz w:val="22"/>
              </w:rPr>
              <w:t>脊髓灰质炎</w:t>
            </w:r>
          </w:p>
        </w:tc>
        <w:tc>
          <w:tcPr>
            <w:tcW w:w="7536" w:type="dxa"/>
          </w:tcPr>
          <w:p>
            <w:pPr>
              <w:pStyle w:val="TableParagraph"/>
              <w:spacing w:line="221" w:lineRule="exact"/>
              <w:ind w:left="80"/>
              <w:rPr>
                <w:sz w:val="21"/>
              </w:rPr>
            </w:pPr>
            <w:r>
              <w:rPr>
                <w:sz w:val="21"/>
              </w:rPr>
              <w:t>脊髓灰质炎是由脊髓灰质炎病毒感染所致的瘫痪性疾病，临床表现为运动功能损</w:t>
            </w:r>
          </w:p>
          <w:p>
            <w:pPr>
              <w:pStyle w:val="TableParagraph"/>
              <w:spacing w:line="273" w:lineRule="auto" w:before="37"/>
              <w:ind w:left="80" w:right="105"/>
              <w:jc w:val="both"/>
              <w:rPr>
                <w:sz w:val="21"/>
              </w:rPr>
            </w:pPr>
            <w:r>
              <w:rPr>
                <w:spacing w:val="-4"/>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2"/>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5"/>
                <w:sz w:val="21"/>
              </w:rPr>
              <w:t>痪是指诊断为脊髓灰质炎后肢体瘫痪需持续 </w:t>
            </w:r>
            <w:r>
              <w:rPr>
                <w:sz w:val="21"/>
              </w:rPr>
              <w:t>180</w:t>
            </w:r>
            <w:r>
              <w:rPr>
                <w:spacing w:val="-9"/>
                <w:sz w:val="21"/>
              </w:rPr>
              <w:t> 天以上。</w:t>
            </w:r>
          </w:p>
        </w:tc>
      </w:tr>
      <w:tr>
        <w:trPr>
          <w:trHeight w:val="1826" w:hRule="atLeast"/>
        </w:trPr>
        <w:tc>
          <w:tcPr>
            <w:tcW w:w="1058" w:type="dxa"/>
          </w:tcPr>
          <w:p>
            <w:pPr>
              <w:pStyle w:val="TableParagraph"/>
              <w:spacing w:before="125"/>
              <w:ind w:left="107"/>
              <w:rPr>
                <w:i/>
                <w:sz w:val="22"/>
              </w:rPr>
            </w:pPr>
            <w:r>
              <w:rPr>
                <w:i/>
                <w:sz w:val="22"/>
              </w:rPr>
              <w:t>3.4.3.3</w:t>
            </w:r>
          </w:p>
        </w:tc>
        <w:tc>
          <w:tcPr>
            <w:tcW w:w="1603" w:type="dxa"/>
          </w:tcPr>
          <w:p>
            <w:pPr>
              <w:pStyle w:val="TableParagraph"/>
              <w:spacing w:before="125"/>
              <w:ind w:left="211"/>
              <w:rPr>
                <w:i/>
                <w:sz w:val="22"/>
              </w:rPr>
            </w:pPr>
            <w:r>
              <w:rPr>
                <w:i/>
                <w:w w:val="95"/>
                <w:sz w:val="22"/>
              </w:rPr>
              <w:t>严重川崎病</w:t>
            </w:r>
          </w:p>
        </w:tc>
        <w:tc>
          <w:tcPr>
            <w:tcW w:w="7536" w:type="dxa"/>
          </w:tcPr>
          <w:p>
            <w:pPr>
              <w:pStyle w:val="TableParagraph"/>
              <w:spacing w:line="273" w:lineRule="auto" w:before="136"/>
              <w:ind w:left="80" w:right="105"/>
              <w:jc w:val="both"/>
              <w:rPr>
                <w:sz w:val="21"/>
              </w:rPr>
            </w:pPr>
            <w:r>
              <w:rPr>
                <w:spacing w:val="-4"/>
                <w:sz w:val="21"/>
              </w:rPr>
              <w:t>严重川崎病是一种以皮肤粘膜出疹、淋巴结肿大和多发性动脉炎为特点的急性发</w:t>
            </w:r>
            <w:r>
              <w:rPr>
                <w:spacing w:val="-10"/>
                <w:sz w:val="21"/>
              </w:rPr>
              <w:t>热性疾病。本合同仅对因川崎病合并的冠状动脉炎导致的冠状动脉瘤 (</w:t>
            </w:r>
            <w:r>
              <w:rPr>
                <w:sz w:val="21"/>
              </w:rPr>
              <w:t>Nakano</w:t>
            </w:r>
            <w:r>
              <w:rPr>
                <w:spacing w:val="-44"/>
                <w:sz w:val="21"/>
              </w:rPr>
              <w:t> </w:t>
            </w:r>
            <w:r>
              <w:rPr>
                <w:sz w:val="21"/>
              </w:rPr>
              <w:t>II </w:t>
            </w:r>
            <w:r>
              <w:rPr>
                <w:spacing w:val="-3"/>
                <w:sz w:val="21"/>
              </w:rPr>
              <w:t>级)予以理赔。理赔时冠状动脉瘤必须存在</w:t>
            </w:r>
            <w:r>
              <w:rPr>
                <w:sz w:val="21"/>
              </w:rPr>
              <w:t>180</w:t>
            </w:r>
            <w:r>
              <w:rPr>
                <w:spacing w:val="-4"/>
                <w:sz w:val="21"/>
              </w:rPr>
              <w:t>天以上，且必须提供冠状动脉瘤的</w:t>
            </w:r>
            <w:r>
              <w:rPr>
                <w:spacing w:val="-3"/>
                <w:sz w:val="21"/>
              </w:rPr>
              <w:t>超声心动图或血管造影的检查结果诊断报告。</w:t>
            </w:r>
          </w:p>
          <w:p>
            <w:pPr>
              <w:pStyle w:val="TableParagraph"/>
              <w:spacing w:before="7"/>
              <w:ind w:left="80"/>
              <w:jc w:val="both"/>
              <w:rPr>
                <w:sz w:val="21"/>
              </w:rPr>
            </w:pPr>
            <w:r>
              <w:rPr>
                <w:sz w:val="21"/>
              </w:rPr>
              <w:t>NakanoII 级：可为单发、多发或广泛性，最大内径为 4-8mm。</w:t>
            </w:r>
          </w:p>
        </w:tc>
      </w:tr>
      <w:tr>
        <w:trPr>
          <w:trHeight w:val="1136" w:hRule="atLeast"/>
        </w:trPr>
        <w:tc>
          <w:tcPr>
            <w:tcW w:w="1058" w:type="dxa"/>
          </w:tcPr>
          <w:p>
            <w:pPr>
              <w:pStyle w:val="TableParagraph"/>
              <w:spacing w:before="101"/>
              <w:ind w:left="107"/>
              <w:rPr>
                <w:i/>
                <w:sz w:val="22"/>
              </w:rPr>
            </w:pPr>
            <w:r>
              <w:rPr>
                <w:i/>
                <w:sz w:val="22"/>
              </w:rPr>
              <w:t>3.4.3.4</w:t>
            </w:r>
          </w:p>
        </w:tc>
        <w:tc>
          <w:tcPr>
            <w:tcW w:w="1603" w:type="dxa"/>
          </w:tcPr>
          <w:p>
            <w:pPr>
              <w:pStyle w:val="TableParagraph"/>
              <w:spacing w:line="259" w:lineRule="auto" w:before="101"/>
              <w:ind w:left="211" w:right="82"/>
              <w:jc w:val="both"/>
              <w:rPr>
                <w:i/>
                <w:sz w:val="22"/>
              </w:rPr>
            </w:pPr>
            <w:r>
              <w:rPr>
                <w:i/>
                <w:w w:val="95"/>
                <w:sz w:val="22"/>
              </w:rPr>
              <w:t>严重幼年型类风湿关节</w:t>
            </w:r>
            <w:r>
              <w:rPr>
                <w:i/>
                <w:sz w:val="22"/>
              </w:rPr>
              <w:t>炎</w:t>
            </w:r>
          </w:p>
        </w:tc>
        <w:tc>
          <w:tcPr>
            <w:tcW w:w="7536" w:type="dxa"/>
          </w:tcPr>
          <w:p>
            <w:pPr>
              <w:pStyle w:val="TableParagraph"/>
              <w:spacing w:line="273" w:lineRule="auto" w:before="112"/>
              <w:ind w:left="80" w:right="105"/>
              <w:rPr>
                <w:sz w:val="21"/>
              </w:rPr>
            </w:pPr>
            <w:r>
              <w:rPr>
                <w:spacing w:val="-7"/>
                <w:sz w:val="21"/>
              </w:rPr>
              <w:t>需要由类风湿专科医生确诊，有广泛的关节损坏，临床及 </w:t>
            </w:r>
            <w:r>
              <w:rPr>
                <w:sz w:val="21"/>
              </w:rPr>
              <w:t>X</w:t>
            </w:r>
            <w:r>
              <w:rPr>
                <w:spacing w:val="-7"/>
                <w:sz w:val="21"/>
              </w:rPr>
              <w:t> 线检查发现明显的畸</w:t>
            </w:r>
            <w:r>
              <w:rPr>
                <w:spacing w:val="-9"/>
                <w:sz w:val="21"/>
              </w:rPr>
              <w:t>形。至少下列 </w:t>
            </w:r>
            <w:r>
              <w:rPr>
                <w:sz w:val="21"/>
              </w:rPr>
              <w:t>3</w:t>
            </w:r>
            <w:r>
              <w:rPr>
                <w:spacing w:val="-8"/>
                <w:sz w:val="21"/>
              </w:rPr>
              <w:t> 个关节受累：手关节、腕关节、肘关节、膝关节、髋关节、踝关</w:t>
            </w:r>
          </w:p>
          <w:p>
            <w:pPr>
              <w:pStyle w:val="TableParagraph"/>
              <w:spacing w:before="7"/>
              <w:ind w:left="80"/>
              <w:rPr>
                <w:sz w:val="21"/>
              </w:rPr>
            </w:pPr>
            <w:r>
              <w:rPr>
                <w:sz w:val="21"/>
              </w:rPr>
              <w:t>节、脊椎关节或跖趾关节。关节炎的症状须持续 1 年以上。</w:t>
            </w:r>
          </w:p>
        </w:tc>
      </w:tr>
      <w:tr>
        <w:trPr>
          <w:trHeight w:val="2404" w:hRule="atLeast"/>
        </w:trPr>
        <w:tc>
          <w:tcPr>
            <w:tcW w:w="1058" w:type="dxa"/>
          </w:tcPr>
          <w:p>
            <w:pPr>
              <w:pStyle w:val="TableParagraph"/>
              <w:spacing w:before="57"/>
              <w:ind w:left="107"/>
              <w:rPr>
                <w:i/>
                <w:sz w:val="22"/>
              </w:rPr>
            </w:pPr>
            <w:r>
              <w:rPr>
                <w:i/>
                <w:sz w:val="22"/>
              </w:rPr>
              <w:t>3.4.3.5</w:t>
            </w:r>
          </w:p>
        </w:tc>
        <w:tc>
          <w:tcPr>
            <w:tcW w:w="1603" w:type="dxa"/>
          </w:tcPr>
          <w:p>
            <w:pPr>
              <w:pStyle w:val="TableParagraph"/>
              <w:spacing w:line="259" w:lineRule="auto" w:before="57"/>
              <w:ind w:left="211" w:right="82"/>
              <w:rPr>
                <w:i/>
                <w:sz w:val="22"/>
              </w:rPr>
            </w:pPr>
            <w:r>
              <w:rPr>
                <w:i/>
                <w:w w:val="95"/>
                <w:sz w:val="22"/>
              </w:rPr>
              <w:t>严重的原发性心肌病</w:t>
            </w:r>
          </w:p>
        </w:tc>
        <w:tc>
          <w:tcPr>
            <w:tcW w:w="7536" w:type="dxa"/>
          </w:tcPr>
          <w:p>
            <w:pPr>
              <w:pStyle w:val="TableParagraph"/>
              <w:spacing w:line="266" w:lineRule="auto" w:before="68"/>
              <w:ind w:left="80" w:right="98"/>
              <w:jc w:val="both"/>
              <w:rPr>
                <w:sz w:val="21"/>
              </w:rPr>
            </w:pPr>
            <w:r>
              <w:rPr>
                <w:spacing w:val="-4"/>
                <w:sz w:val="21"/>
              </w:rPr>
              <w:t>原发性心肌病是指因各种病因而出现的心室功能障碍。本病必须由医院的心内科</w:t>
            </w:r>
            <w:r>
              <w:rPr>
                <w:spacing w:val="-8"/>
                <w:sz w:val="21"/>
              </w:rPr>
              <w:t>专科医生确诊，并出现明显的心力衰竭</w:t>
            </w:r>
            <w:r>
              <w:rPr>
                <w:rFonts w:ascii="Times New Roman" w:eastAsia="Times New Roman"/>
                <w:sz w:val="21"/>
              </w:rPr>
              <w:t>(</w:t>
            </w:r>
            <w:r>
              <w:rPr>
                <w:spacing w:val="-3"/>
                <w:sz w:val="21"/>
              </w:rPr>
              <w:t>纽约心脏病协会分类标准心功能达</w:t>
            </w:r>
            <w:r>
              <w:rPr>
                <w:sz w:val="21"/>
              </w:rPr>
              <w:t>IV级</w:t>
            </w:r>
            <w:r>
              <w:rPr>
                <w:rFonts w:ascii="Times New Roman" w:eastAsia="Times New Roman"/>
                <w:spacing w:val="-5"/>
                <w:sz w:val="21"/>
              </w:rPr>
              <w:t>*) </w:t>
            </w:r>
            <w:r>
              <w:rPr>
                <w:spacing w:val="-1"/>
                <w:sz w:val="21"/>
              </w:rPr>
              <w:t>持续至少</w:t>
            </w:r>
            <w:r>
              <w:rPr>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3"/>
              <w:ind w:left="80" w:right="108"/>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640" w:hRule="atLeast"/>
        </w:trPr>
        <w:tc>
          <w:tcPr>
            <w:tcW w:w="1058" w:type="dxa"/>
            <w:tcBorders>
              <w:bottom w:val="double" w:sz="1" w:space="0" w:color="000000"/>
            </w:tcBorders>
          </w:tcPr>
          <w:p>
            <w:pPr>
              <w:pStyle w:val="TableParagraph"/>
              <w:spacing w:before="102"/>
              <w:ind w:left="107"/>
              <w:rPr>
                <w:b/>
                <w:sz w:val="28"/>
              </w:rPr>
            </w:pPr>
            <w:r>
              <w:rPr>
                <w:b/>
                <w:w w:val="99"/>
                <w:sz w:val="28"/>
              </w:rPr>
              <w:t>4</w:t>
            </w:r>
          </w:p>
        </w:tc>
        <w:tc>
          <w:tcPr>
            <w:tcW w:w="9139" w:type="dxa"/>
            <w:gridSpan w:val="2"/>
            <w:tcBorders>
              <w:bottom w:val="double" w:sz="1" w:space="0" w:color="000000"/>
            </w:tcBorders>
          </w:tcPr>
          <w:p>
            <w:pPr>
              <w:pStyle w:val="TableParagraph"/>
              <w:spacing w:before="102"/>
              <w:ind w:left="211"/>
              <w:rPr>
                <w:b/>
                <w:sz w:val="28"/>
              </w:rPr>
            </w:pPr>
            <w:r>
              <w:rPr>
                <w:b/>
                <w:sz w:val="28"/>
              </w:rPr>
              <w:t>保险金的申请</w:t>
            </w:r>
          </w:p>
        </w:tc>
      </w:tr>
      <w:tr>
        <w:trPr>
          <w:trHeight w:val="5979" w:hRule="atLeast"/>
        </w:trPr>
        <w:tc>
          <w:tcPr>
            <w:tcW w:w="1058" w:type="dxa"/>
            <w:tcBorders>
              <w:top w:val="double" w:sz="1" w:space="0" w:color="000000"/>
            </w:tcBorders>
          </w:tcPr>
          <w:p>
            <w:pPr>
              <w:pStyle w:val="TableParagraph"/>
              <w:spacing w:before="88"/>
              <w:ind w:left="107"/>
              <w:rPr>
                <w:b/>
                <w:sz w:val="21"/>
              </w:rPr>
            </w:pPr>
            <w:r>
              <w:rPr>
                <w:b/>
                <w:sz w:val="21"/>
              </w:rPr>
              <w:t>4.1</w:t>
            </w:r>
          </w:p>
        </w:tc>
        <w:tc>
          <w:tcPr>
            <w:tcW w:w="1603" w:type="dxa"/>
            <w:tcBorders>
              <w:top w:val="double" w:sz="1" w:space="0" w:color="000000"/>
            </w:tcBorders>
          </w:tcPr>
          <w:p>
            <w:pPr>
              <w:pStyle w:val="TableParagraph"/>
              <w:spacing w:before="88"/>
              <w:ind w:left="211"/>
              <w:rPr>
                <w:b/>
                <w:sz w:val="21"/>
              </w:rPr>
            </w:pPr>
            <w:r>
              <w:rPr>
                <w:b/>
                <w:sz w:val="21"/>
              </w:rPr>
              <w:t>受益人</w:t>
            </w:r>
          </w:p>
        </w:tc>
        <w:tc>
          <w:tcPr>
            <w:tcW w:w="7536" w:type="dxa"/>
            <w:tcBorders>
              <w:top w:val="double" w:sz="1" w:space="0" w:color="000000"/>
            </w:tcBorders>
          </w:tcPr>
          <w:p>
            <w:pPr>
              <w:pStyle w:val="TableParagraph"/>
              <w:spacing w:before="88"/>
              <w:ind w:left="80"/>
              <w:rPr>
                <w:sz w:val="21"/>
              </w:rPr>
            </w:pPr>
            <w:r>
              <w:rPr>
                <w:sz w:val="21"/>
              </w:rPr>
              <w:t>您或者被保险人可以指定一人或多人为身故保险金受益人。</w:t>
            </w:r>
          </w:p>
          <w:p>
            <w:pPr>
              <w:pStyle w:val="TableParagraph"/>
              <w:spacing w:line="273" w:lineRule="auto" w:before="37"/>
              <w:ind w:left="80"/>
              <w:rPr>
                <w:sz w:val="21"/>
              </w:rPr>
            </w:pPr>
            <w:r>
              <w:rPr>
                <w:spacing w:val="-10"/>
                <w:sz w:val="21"/>
              </w:rPr>
              <w:t>身故保险金受益人为多人时，可以确定受益顺序和受益份额；如果没有确定份额， </w:t>
            </w:r>
            <w:r>
              <w:rPr>
                <w:spacing w:val="-5"/>
                <w:sz w:val="21"/>
              </w:rPr>
              <w:t>各受益人按照相等份额享有受益权。</w:t>
            </w:r>
          </w:p>
          <w:p>
            <w:pPr>
              <w:pStyle w:val="TableParagraph"/>
              <w:spacing w:line="273" w:lineRule="auto" w:before="7"/>
              <w:ind w:left="80" w:right="105"/>
              <w:rPr>
                <w:sz w:val="21"/>
              </w:rPr>
            </w:pPr>
            <w:r>
              <w:rPr>
                <w:sz w:val="21"/>
              </w:rPr>
              <w:t>被保险人为无民事行为能力人或限制民事行为能力人的，可以由其监护人指定受益人。</w:t>
            </w:r>
          </w:p>
          <w:p>
            <w:pPr>
              <w:pStyle w:val="TableParagraph"/>
              <w:spacing w:line="273" w:lineRule="auto" w:before="7"/>
              <w:ind w:left="80" w:right="105"/>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7"/>
              <w:ind w:left="80"/>
              <w:rPr>
                <w:sz w:val="21"/>
              </w:rPr>
            </w:pPr>
            <w:r>
              <w:rPr>
                <w:sz w:val="21"/>
              </w:rPr>
              <w:t>您在指定和变更身故保险金受益人时，必须经过被保险人同意。</w:t>
            </w:r>
          </w:p>
          <w:p>
            <w:pPr>
              <w:pStyle w:val="TableParagraph"/>
              <w:spacing w:before="36"/>
              <w:ind w:left="80"/>
              <w:rPr>
                <w:sz w:val="21"/>
              </w:rPr>
            </w:pPr>
            <w:r>
              <w:rPr>
                <w:sz w:val="21"/>
              </w:rPr>
              <w:t>被保险人身故后，有下列情形之一的，保险金作为被保险人的遗产，由我们依照</w:t>
            </w:r>
          </w:p>
          <w:p>
            <w:pPr>
              <w:pStyle w:val="TableParagraph"/>
              <w:spacing w:before="36"/>
              <w:ind w:left="80"/>
              <w:rPr>
                <w:sz w:val="21"/>
              </w:rPr>
            </w:pPr>
            <w:r>
              <w:rPr>
                <w:sz w:val="21"/>
              </w:rPr>
              <w:t>《中华人民共和国继承法》的规定履行给付保险金的义务：</w:t>
            </w:r>
          </w:p>
          <w:p>
            <w:pPr>
              <w:pStyle w:val="TableParagraph"/>
              <w:spacing w:before="36"/>
              <w:ind w:left="80"/>
              <w:rPr>
                <w:sz w:val="21"/>
              </w:rPr>
            </w:pPr>
            <w:r>
              <w:rPr>
                <w:sz w:val="21"/>
              </w:rPr>
              <w:t>（1）没有指定受益人，或者受益人指定不明无法确定的；</w:t>
            </w:r>
          </w:p>
          <w:p>
            <w:pPr>
              <w:pStyle w:val="TableParagraph"/>
              <w:spacing w:before="36"/>
              <w:ind w:left="80"/>
              <w:rPr>
                <w:sz w:val="21"/>
              </w:rPr>
            </w:pPr>
            <w:r>
              <w:rPr>
                <w:sz w:val="21"/>
              </w:rPr>
              <w:t>（2）受益人先于被保险人身故，没有其他受益人的；</w:t>
            </w:r>
          </w:p>
          <w:p>
            <w:pPr>
              <w:pStyle w:val="TableParagraph"/>
              <w:spacing w:before="37"/>
              <w:ind w:left="80"/>
              <w:rPr>
                <w:sz w:val="21"/>
              </w:rPr>
            </w:pPr>
            <w:r>
              <w:rPr>
                <w:sz w:val="21"/>
              </w:rPr>
              <w:t>（3）受益人依法丧失受益权或者放弃受益权，没有其他受益人的。</w:t>
            </w:r>
          </w:p>
          <w:p>
            <w:pPr>
              <w:pStyle w:val="TableParagraph"/>
              <w:spacing w:line="273" w:lineRule="auto" w:before="37"/>
              <w:ind w:left="80" w:right="105"/>
              <w:rPr>
                <w:sz w:val="21"/>
              </w:rPr>
            </w:pPr>
            <w:r>
              <w:rPr>
                <w:sz w:val="21"/>
              </w:rPr>
              <w:t>受益人与被保险人在同一事件中身故，且不能确定身故先后顺序的，推定受益人身故在先。</w:t>
            </w:r>
          </w:p>
          <w:p>
            <w:pPr>
              <w:pStyle w:val="TableParagraph"/>
              <w:spacing w:line="273" w:lineRule="auto" w:before="7"/>
              <w:ind w:left="80" w:right="96"/>
              <w:rPr>
                <w:sz w:val="21"/>
              </w:rPr>
            </w:pPr>
            <w:r>
              <w:rPr>
                <w:sz w:val="21"/>
              </w:rPr>
              <w:t>受益人故意造成被保险人身故、伤残、疾病的，或者故意杀害被保险人未遂的， 该受益人丧失受益权。</w:t>
            </w:r>
          </w:p>
          <w:p>
            <w:pPr>
              <w:pStyle w:val="TableParagraph"/>
              <w:spacing w:line="312" w:lineRule="exact" w:before="3"/>
              <w:ind w:left="80" w:right="114"/>
              <w:rPr>
                <w:sz w:val="21"/>
              </w:rPr>
            </w:pPr>
            <w:r>
              <w:rPr>
                <w:sz w:val="21"/>
              </w:rPr>
              <w:t>如无其他特别约定，轻症重疾保险金及重大疾病保险金的受益人为被保险人本人。</w:t>
            </w:r>
          </w:p>
        </w:tc>
      </w:tr>
    </w:tbl>
    <w:p>
      <w:pPr>
        <w:spacing w:after="0" w:line="312" w:lineRule="exact"/>
        <w:rPr>
          <w:sz w:val="21"/>
        </w:rPr>
        <w:sectPr>
          <w:pgSz w:w="11910" w:h="16840"/>
          <w:pgMar w:header="568" w:footer="0" w:top="800" w:bottom="280" w:left="800" w:right="6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4"/>
      </w:tblGrid>
      <w:tr>
        <w:trPr>
          <w:trHeight w:val="1675" w:hRule="atLeast"/>
        </w:trPr>
        <w:tc>
          <w:tcPr>
            <w:tcW w:w="1045" w:type="dxa"/>
          </w:tcPr>
          <w:p>
            <w:pPr>
              <w:pStyle w:val="TableParagraph"/>
              <w:spacing w:line="221" w:lineRule="exact"/>
              <w:ind w:left="200"/>
              <w:rPr>
                <w:b/>
                <w:sz w:val="21"/>
              </w:rPr>
            </w:pPr>
            <w:r>
              <w:rPr>
                <w:b/>
                <w:sz w:val="21"/>
              </w:rPr>
              <w:t>4.2</w:t>
            </w:r>
          </w:p>
        </w:tc>
        <w:tc>
          <w:tcPr>
            <w:tcW w:w="1706" w:type="dxa"/>
          </w:tcPr>
          <w:p>
            <w:pPr>
              <w:pStyle w:val="TableParagraph"/>
              <w:spacing w:line="221" w:lineRule="exact"/>
              <w:ind w:left="316"/>
              <w:rPr>
                <w:b/>
                <w:sz w:val="21"/>
              </w:rPr>
            </w:pPr>
            <w:r>
              <w:rPr>
                <w:b/>
                <w:sz w:val="21"/>
              </w:rPr>
              <w:t>保险事故通 </w:t>
            </w:r>
          </w:p>
          <w:p>
            <w:pPr>
              <w:pStyle w:val="TableParagraph"/>
              <w:spacing w:before="37"/>
              <w:ind w:left="316"/>
              <w:rPr>
                <w:b/>
                <w:sz w:val="21"/>
              </w:rPr>
            </w:pPr>
            <w:r>
              <w:rPr>
                <w:b/>
                <w:w w:val="100"/>
                <w:sz w:val="21"/>
              </w:rPr>
              <w:t>知</w:t>
            </w:r>
          </w:p>
        </w:tc>
        <w:tc>
          <w:tcPr>
            <w:tcW w:w="7734" w:type="dxa"/>
          </w:tcPr>
          <w:p>
            <w:pPr>
              <w:pStyle w:val="TableParagraph"/>
              <w:spacing w:line="222" w:lineRule="exact"/>
              <w:rPr>
                <w:i/>
                <w:sz w:val="22"/>
              </w:rPr>
            </w:pPr>
            <w:r>
              <w:rPr>
                <w:sz w:val="21"/>
              </w:rPr>
              <w:t>您、被保险人或受益人知道保险事故发生后应当在 10 日内通知我们</w:t>
            </w:r>
            <w:r>
              <w:rPr>
                <w:i/>
                <w:sz w:val="22"/>
              </w:rPr>
              <w:t>。</w:t>
            </w:r>
          </w:p>
          <w:p>
            <w:pPr>
              <w:pStyle w:val="TableParagraph"/>
              <w:spacing w:before="35"/>
              <w:rPr>
                <w:sz w:val="21"/>
              </w:rPr>
            </w:pPr>
            <w:r>
              <w:rPr>
                <w:rFonts w:ascii="Times New Roman" w:eastAsia="Times New Roman"/>
                <w:spacing w:val="-53"/>
                <w:w w:val="100"/>
                <w:sz w:val="21"/>
                <w:shd w:fill="E4E4E4" w:color="auto" w:val="clear"/>
              </w:rPr>
              <w:t> </w:t>
            </w:r>
            <w:r>
              <w:rPr>
                <w:spacing w:val="-4"/>
                <w:sz w:val="21"/>
                <w:shd w:fill="E4E4E4" w:color="auto" w:val="clear"/>
              </w:rPr>
              <w:t>如果因故意或者因重大过失未及时通知，致使保险事故的性质、原因、损失程度</w:t>
            </w:r>
          </w:p>
          <w:p>
            <w:pPr>
              <w:pStyle w:val="TableParagraph"/>
              <w:spacing w:line="273" w:lineRule="auto" w:before="37"/>
              <w:ind w:right="303"/>
              <w:jc w:val="both"/>
              <w:rPr>
                <w:sz w:val="21"/>
              </w:rPr>
            </w:pPr>
            <w:r>
              <w:rPr>
                <w:rFonts w:ascii="Times New Roman" w:eastAsia="Times New Roman"/>
                <w:spacing w:val="-53"/>
                <w:w w:val="100"/>
                <w:sz w:val="21"/>
                <w:shd w:fill="E4E4E4" w:color="auto" w:val="clear"/>
              </w:rPr>
              <w:t> </w:t>
            </w:r>
            <w:r>
              <w:rPr>
                <w:spacing w:val="-3"/>
                <w:sz w:val="21"/>
                <w:shd w:fill="E4E4E4" w:color="auto" w:val="clear"/>
              </w:rPr>
              <w:t>等难以确定的，我们对无法确定的部分，不承担给付保险金的责任</w:t>
            </w:r>
            <w:r>
              <w:rPr>
                <w:spacing w:val="-3"/>
                <w:sz w:val="21"/>
              </w:rPr>
              <w:t>，但我们通过</w:t>
            </w:r>
            <w:r>
              <w:rPr>
                <w:spacing w:val="2"/>
                <w:sz w:val="21"/>
              </w:rPr>
              <w:t>其他途径已经及时知道或者应当及时知道保险事故发生或者虽未及时通知但不</w:t>
            </w:r>
            <w:r>
              <w:rPr>
                <w:spacing w:val="-3"/>
                <w:sz w:val="21"/>
              </w:rPr>
              <w:t>影响我们确定保险事故的性质、原因、损失程度的除外。</w:t>
            </w:r>
          </w:p>
        </w:tc>
      </w:tr>
      <w:tr>
        <w:trPr>
          <w:trHeight w:val="577" w:hRule="atLeast"/>
        </w:trPr>
        <w:tc>
          <w:tcPr>
            <w:tcW w:w="1045" w:type="dxa"/>
          </w:tcPr>
          <w:p>
            <w:pPr>
              <w:pStyle w:val="TableParagraph"/>
              <w:spacing w:before="142"/>
              <w:ind w:left="200"/>
              <w:rPr>
                <w:b/>
                <w:sz w:val="21"/>
              </w:rPr>
            </w:pPr>
            <w:r>
              <w:rPr>
                <w:b/>
                <w:sz w:val="21"/>
              </w:rPr>
              <w:t>4.3</w:t>
            </w:r>
          </w:p>
        </w:tc>
        <w:tc>
          <w:tcPr>
            <w:tcW w:w="1706" w:type="dxa"/>
          </w:tcPr>
          <w:p>
            <w:pPr>
              <w:pStyle w:val="TableParagraph"/>
              <w:spacing w:before="142"/>
              <w:ind w:left="316"/>
              <w:rPr>
                <w:b/>
                <w:sz w:val="21"/>
              </w:rPr>
            </w:pPr>
            <w:r>
              <w:rPr>
                <w:b/>
                <w:sz w:val="21"/>
              </w:rPr>
              <w:t>保险金申请</w:t>
            </w:r>
          </w:p>
        </w:tc>
        <w:tc>
          <w:tcPr>
            <w:tcW w:w="7734" w:type="dxa"/>
          </w:tcPr>
          <w:p>
            <w:pPr>
              <w:pStyle w:val="TableParagraph"/>
              <w:spacing w:before="142"/>
              <w:rPr>
                <w:sz w:val="21"/>
              </w:rPr>
            </w:pPr>
            <w:r>
              <w:rPr>
                <w:sz w:val="21"/>
              </w:rPr>
              <w:t>在申请保险金时，请按照下列方式办理：</w:t>
            </w:r>
          </w:p>
        </w:tc>
      </w:tr>
      <w:tr>
        <w:trPr>
          <w:trHeight w:val="2100" w:hRule="atLeast"/>
        </w:trPr>
        <w:tc>
          <w:tcPr>
            <w:tcW w:w="1045" w:type="dxa"/>
          </w:tcPr>
          <w:p>
            <w:pPr>
              <w:pStyle w:val="TableParagraph"/>
              <w:spacing w:before="94"/>
              <w:ind w:left="200"/>
              <w:rPr>
                <w:i/>
                <w:sz w:val="22"/>
              </w:rPr>
            </w:pPr>
            <w:r>
              <w:rPr>
                <w:i/>
                <w:sz w:val="22"/>
              </w:rPr>
              <w:t>4.3.1</w:t>
            </w:r>
          </w:p>
        </w:tc>
        <w:tc>
          <w:tcPr>
            <w:tcW w:w="1706" w:type="dxa"/>
          </w:tcPr>
          <w:p>
            <w:pPr>
              <w:pStyle w:val="TableParagraph"/>
              <w:spacing w:line="266" w:lineRule="auto" w:before="118"/>
              <w:ind w:left="316" w:right="80"/>
              <w:jc w:val="both"/>
              <w:rPr>
                <w:i/>
                <w:sz w:val="22"/>
              </w:rPr>
            </w:pPr>
            <w:r>
              <w:rPr>
                <w:i/>
                <w:w w:val="95"/>
                <w:sz w:val="22"/>
              </w:rPr>
              <w:t>轻症重疾保</w:t>
            </w:r>
            <w:r>
              <w:rPr>
                <w:i/>
                <w:sz w:val="22"/>
              </w:rPr>
              <w:t>险金或 重大</w:t>
            </w:r>
            <w:r>
              <w:rPr>
                <w:i/>
                <w:w w:val="95"/>
                <w:sz w:val="22"/>
              </w:rPr>
              <w:t>疾病保险金申请</w:t>
            </w:r>
          </w:p>
        </w:tc>
        <w:tc>
          <w:tcPr>
            <w:tcW w:w="7734" w:type="dxa"/>
          </w:tcPr>
          <w:p>
            <w:pPr>
              <w:pStyle w:val="TableParagraph"/>
              <w:spacing w:before="105"/>
              <w:rPr>
                <w:sz w:val="21"/>
              </w:rPr>
            </w:pPr>
            <w:r>
              <w:rPr>
                <w:sz w:val="21"/>
              </w:rPr>
              <w:t>申请人须填写保险金给付申请书，并须提供下列证明和资料：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（2）受益人有效身份证件；</w:t>
            </w:r>
          </w:p>
          <w:p>
            <w:pPr>
              <w:pStyle w:val="TableParagraph"/>
              <w:spacing w:line="273" w:lineRule="auto" w:before="36"/>
              <w:ind w:right="399"/>
              <w:rPr>
                <w:sz w:val="21"/>
              </w:rPr>
            </w:pPr>
            <w:r>
              <w:rPr>
                <w:sz w:val="21"/>
              </w:rPr>
              <w:t>（3）我们认可的医院出具的附有病理显微镜检查、血液检验及其他科学方法检验报告的疾病诊断证明书；</w:t>
            </w:r>
          </w:p>
          <w:p>
            <w:pPr>
              <w:pStyle w:val="TableParagraph"/>
              <w:spacing w:before="7"/>
              <w:rPr>
                <w:sz w:val="21"/>
              </w:rPr>
            </w:pPr>
            <w:r>
              <w:rPr>
                <w:sz w:val="21"/>
              </w:rPr>
              <w:t>（4）所能提供的与确认保险事故的性质、原因等有关的其他证明和资料。</w:t>
            </w:r>
          </w:p>
        </w:tc>
      </w:tr>
      <w:tr>
        <w:trPr>
          <w:trHeight w:val="3078" w:hRule="atLeast"/>
        </w:trPr>
        <w:tc>
          <w:tcPr>
            <w:tcW w:w="1045" w:type="dxa"/>
          </w:tcPr>
          <w:p>
            <w:pPr>
              <w:pStyle w:val="TableParagraph"/>
              <w:spacing w:before="94"/>
              <w:ind w:left="200"/>
              <w:rPr>
                <w:i/>
                <w:sz w:val="22"/>
              </w:rPr>
            </w:pPr>
            <w:r>
              <w:rPr>
                <w:i/>
                <w:sz w:val="22"/>
              </w:rPr>
              <w:t>4.3.2</w:t>
            </w:r>
          </w:p>
        </w:tc>
        <w:tc>
          <w:tcPr>
            <w:tcW w:w="1706" w:type="dxa"/>
          </w:tcPr>
          <w:p>
            <w:pPr>
              <w:pStyle w:val="TableParagraph"/>
              <w:spacing w:line="266" w:lineRule="auto" w:before="118"/>
              <w:ind w:left="316" w:right="80"/>
              <w:rPr>
                <w:i/>
                <w:sz w:val="22"/>
              </w:rPr>
            </w:pPr>
            <w:r>
              <w:rPr>
                <w:i/>
                <w:w w:val="95"/>
                <w:sz w:val="22"/>
              </w:rPr>
              <w:t>身故保险金申请</w:t>
            </w:r>
          </w:p>
        </w:tc>
        <w:tc>
          <w:tcPr>
            <w:tcW w:w="7734" w:type="dxa"/>
          </w:tcPr>
          <w:p>
            <w:pPr>
              <w:pStyle w:val="TableParagraph"/>
              <w:spacing w:before="106"/>
              <w:rPr>
                <w:sz w:val="21"/>
              </w:rPr>
            </w:pPr>
            <w:r>
              <w:rPr>
                <w:sz w:val="21"/>
              </w:rPr>
              <w:t>申请人须填写保险金给付申请书，并须提供下列证明和资料：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（2）受益人有效身份证件；</w:t>
            </w:r>
          </w:p>
          <w:p>
            <w:pPr>
              <w:pStyle w:val="TableParagraph"/>
              <w:spacing w:line="273" w:lineRule="auto" w:before="37"/>
              <w:ind w:left="586" w:right="304" w:hanging="504"/>
              <w:rPr>
                <w:sz w:val="21"/>
              </w:rPr>
            </w:pPr>
            <w:r>
              <w:rPr>
                <w:sz w:val="21"/>
              </w:rPr>
              <w:t>（3）国务院卫生行政部门规定的医疗机构、公安部门或其他有权机构出具的被保险人死亡证明书或验尸证明；</w:t>
            </w:r>
          </w:p>
          <w:p>
            <w:pPr>
              <w:pStyle w:val="TableParagraph"/>
              <w:spacing w:before="7"/>
              <w:rPr>
                <w:sz w:val="21"/>
              </w:rPr>
            </w:pPr>
            <w:r>
              <w:rPr>
                <w:sz w:val="21"/>
              </w:rPr>
              <w:t>（4）如被保险人为宣告死亡，须提供法院出具的宣告死亡判决书；</w:t>
            </w:r>
          </w:p>
          <w:p>
            <w:pPr>
              <w:pStyle w:val="TableParagraph"/>
              <w:spacing w:before="36"/>
              <w:rPr>
                <w:sz w:val="21"/>
              </w:rPr>
            </w:pPr>
            <w:r>
              <w:rPr>
                <w:sz w:val="21"/>
              </w:rPr>
              <w:t>（5）被保险人户籍注销证明；</w:t>
            </w:r>
          </w:p>
          <w:p>
            <w:pPr>
              <w:pStyle w:val="TableParagraph"/>
              <w:spacing w:line="273" w:lineRule="auto" w:before="36"/>
              <w:ind w:right="711"/>
              <w:rPr>
                <w:sz w:val="21"/>
              </w:rPr>
            </w:pPr>
            <w:r>
              <w:rPr>
                <w:sz w:val="21"/>
              </w:rPr>
              <w:t>（6）所能提供的与确认保险事故的性质、原因等有关的其他证明和资料。保险金作为被保险人遗产时，必须提供可证明合法继承权的相关权利文件。</w:t>
            </w:r>
          </w:p>
        </w:tc>
      </w:tr>
      <w:tr>
        <w:trPr>
          <w:trHeight w:val="1237" w:hRule="atLeast"/>
        </w:trPr>
        <w:tc>
          <w:tcPr>
            <w:tcW w:w="1045" w:type="dxa"/>
          </w:tcPr>
          <w:p>
            <w:pPr>
              <w:pStyle w:val="TableParagraph"/>
              <w:spacing w:before="136"/>
              <w:ind w:left="200"/>
              <w:rPr>
                <w:i/>
                <w:sz w:val="22"/>
              </w:rPr>
            </w:pPr>
            <w:r>
              <w:rPr>
                <w:i/>
                <w:sz w:val="22"/>
              </w:rPr>
              <w:t>4.3.3</w:t>
            </w:r>
          </w:p>
        </w:tc>
        <w:tc>
          <w:tcPr>
            <w:tcW w:w="1706" w:type="dxa"/>
          </w:tcPr>
          <w:p>
            <w:pPr>
              <w:pStyle w:val="TableParagraph"/>
              <w:spacing w:line="266" w:lineRule="auto" w:before="160"/>
              <w:ind w:left="316" w:right="80"/>
              <w:jc w:val="both"/>
              <w:rPr>
                <w:i/>
                <w:sz w:val="22"/>
              </w:rPr>
            </w:pPr>
            <w:r>
              <w:rPr>
                <w:i/>
                <w:w w:val="95"/>
                <w:sz w:val="22"/>
              </w:rPr>
              <w:t>委托他人代为申请保险</w:t>
            </w:r>
            <w:r>
              <w:rPr>
                <w:i/>
                <w:sz w:val="22"/>
              </w:rPr>
              <w:t>金</w:t>
            </w:r>
          </w:p>
        </w:tc>
        <w:tc>
          <w:tcPr>
            <w:tcW w:w="7734" w:type="dxa"/>
          </w:tcPr>
          <w:p>
            <w:pPr>
              <w:pStyle w:val="TableParagraph"/>
              <w:spacing w:line="273" w:lineRule="auto" w:before="147"/>
              <w:ind w:right="301"/>
              <w:rPr>
                <w:sz w:val="21"/>
              </w:rPr>
            </w:pPr>
            <w:r>
              <w:rPr>
                <w:sz w:val="21"/>
              </w:rPr>
              <w:t>若受益人委托他人代为申请，被委托人还应提供受益人签字的授权委托书、被委托人的有效身份证件等相关证明文件。</w:t>
            </w:r>
          </w:p>
        </w:tc>
      </w:tr>
      <w:tr>
        <w:trPr>
          <w:trHeight w:val="842" w:hRule="atLeast"/>
        </w:trPr>
        <w:tc>
          <w:tcPr>
            <w:tcW w:w="1045" w:type="dxa"/>
          </w:tcPr>
          <w:p>
            <w:pPr>
              <w:pStyle w:val="TableParagraph"/>
              <w:spacing w:before="84"/>
              <w:ind w:left="200"/>
              <w:rPr>
                <w:i/>
                <w:sz w:val="22"/>
              </w:rPr>
            </w:pPr>
            <w:r>
              <w:rPr>
                <w:i/>
                <w:sz w:val="22"/>
              </w:rPr>
              <w:t>4.3.4</w:t>
            </w:r>
          </w:p>
        </w:tc>
        <w:tc>
          <w:tcPr>
            <w:tcW w:w="1706" w:type="dxa"/>
          </w:tcPr>
          <w:p>
            <w:pPr>
              <w:pStyle w:val="TableParagraph"/>
              <w:spacing w:before="84"/>
              <w:ind w:left="316"/>
              <w:rPr>
                <w:i/>
                <w:sz w:val="22"/>
              </w:rPr>
            </w:pPr>
            <w:r>
              <w:rPr>
                <w:i/>
                <w:w w:val="95"/>
                <w:sz w:val="22"/>
              </w:rPr>
              <w:t>补充通知</w:t>
            </w:r>
          </w:p>
        </w:tc>
        <w:tc>
          <w:tcPr>
            <w:tcW w:w="7734" w:type="dxa"/>
          </w:tcPr>
          <w:p>
            <w:pPr>
              <w:pStyle w:val="TableParagraph"/>
              <w:spacing w:line="273" w:lineRule="auto" w:before="96"/>
              <w:ind w:right="301"/>
              <w:rPr>
                <w:sz w:val="21"/>
              </w:rPr>
            </w:pPr>
            <w:r>
              <w:rPr>
                <w:sz w:val="21"/>
              </w:rPr>
              <w:t>以上证明和资料不完整的，我们将及时一次性通知申请人补充提供有关的证明和资料。</w:t>
            </w:r>
          </w:p>
        </w:tc>
      </w:tr>
      <w:tr>
        <w:trPr>
          <w:trHeight w:val="829" w:hRule="atLeast"/>
        </w:trPr>
        <w:tc>
          <w:tcPr>
            <w:tcW w:w="1045" w:type="dxa"/>
          </w:tcPr>
          <w:p>
            <w:pPr>
              <w:pStyle w:val="TableParagraph"/>
              <w:spacing w:before="94"/>
              <w:ind w:left="200"/>
              <w:rPr>
                <w:i/>
                <w:sz w:val="22"/>
              </w:rPr>
            </w:pPr>
            <w:r>
              <w:rPr>
                <w:i/>
                <w:sz w:val="22"/>
              </w:rPr>
              <w:t>4.3.5</w:t>
            </w:r>
          </w:p>
        </w:tc>
        <w:tc>
          <w:tcPr>
            <w:tcW w:w="1706" w:type="dxa"/>
          </w:tcPr>
          <w:p>
            <w:pPr>
              <w:pStyle w:val="TableParagraph"/>
              <w:spacing w:before="94"/>
              <w:ind w:left="316"/>
              <w:rPr>
                <w:i/>
                <w:sz w:val="22"/>
              </w:rPr>
            </w:pPr>
            <w:r>
              <w:rPr>
                <w:i/>
                <w:w w:val="95"/>
                <w:sz w:val="22"/>
              </w:rPr>
              <w:t>身体检查</w:t>
            </w:r>
          </w:p>
        </w:tc>
        <w:tc>
          <w:tcPr>
            <w:tcW w:w="7734" w:type="dxa"/>
          </w:tcPr>
          <w:p>
            <w:pPr>
              <w:pStyle w:val="TableParagraph"/>
              <w:spacing w:line="273" w:lineRule="auto" w:before="105"/>
              <w:ind w:right="301"/>
              <w:rPr>
                <w:sz w:val="21"/>
              </w:rPr>
            </w:pPr>
            <w:r>
              <w:rPr>
                <w:sz w:val="21"/>
              </w:rPr>
              <w:t>除上述相关证明和资料外，我们如认为必要，在保险事故发生后可以对被保险人的身体状况进行检查或鉴定。</w:t>
            </w:r>
          </w:p>
        </w:tc>
      </w:tr>
      <w:tr>
        <w:trPr>
          <w:trHeight w:val="3780" w:hRule="atLeast"/>
        </w:trPr>
        <w:tc>
          <w:tcPr>
            <w:tcW w:w="1045" w:type="dxa"/>
          </w:tcPr>
          <w:p>
            <w:pPr>
              <w:pStyle w:val="TableParagraph"/>
              <w:spacing w:before="73"/>
              <w:ind w:left="200"/>
              <w:rPr>
                <w:b/>
                <w:sz w:val="21"/>
              </w:rPr>
            </w:pPr>
            <w:r>
              <w:rPr>
                <w:b/>
                <w:sz w:val="21"/>
              </w:rPr>
              <w:t>4.4</w:t>
            </w:r>
          </w:p>
        </w:tc>
        <w:tc>
          <w:tcPr>
            <w:tcW w:w="1706" w:type="dxa"/>
          </w:tcPr>
          <w:p>
            <w:pPr>
              <w:pStyle w:val="TableParagraph"/>
              <w:spacing w:before="73"/>
              <w:ind w:left="316"/>
              <w:rPr>
                <w:b/>
                <w:sz w:val="21"/>
              </w:rPr>
            </w:pPr>
            <w:r>
              <w:rPr>
                <w:b/>
                <w:sz w:val="21"/>
              </w:rPr>
              <w:t>保险金给付</w:t>
            </w:r>
          </w:p>
        </w:tc>
        <w:tc>
          <w:tcPr>
            <w:tcW w:w="7734" w:type="dxa"/>
          </w:tcPr>
          <w:p>
            <w:pPr>
              <w:pStyle w:val="TableParagraph"/>
              <w:spacing w:before="73"/>
              <w:jc w:val="both"/>
              <w:rPr>
                <w:sz w:val="21"/>
              </w:rPr>
            </w:pPr>
            <w:r>
              <w:rPr>
                <w:spacing w:val="-9"/>
                <w:sz w:val="21"/>
              </w:rPr>
              <w:t>我们在收到保险金给付申请书及上述有关的证明和资料后，将在 </w:t>
            </w:r>
            <w:r>
              <w:rPr>
                <w:sz w:val="21"/>
              </w:rPr>
              <w:t>5</w:t>
            </w:r>
            <w:r>
              <w:rPr>
                <w:spacing w:val="-7"/>
                <w:sz w:val="21"/>
              </w:rPr>
              <w:t> 日内作出核定；</w:t>
            </w:r>
          </w:p>
          <w:p>
            <w:pPr>
              <w:pStyle w:val="TableParagraph"/>
              <w:spacing w:before="37"/>
              <w:jc w:val="both"/>
              <w:rPr>
                <w:sz w:val="21"/>
              </w:rPr>
            </w:pPr>
            <w:r>
              <w:rPr>
                <w:sz w:val="21"/>
              </w:rPr>
              <w:t>情形复杂的，在 30 日内作出核定。</w:t>
            </w:r>
          </w:p>
          <w:p>
            <w:pPr>
              <w:pStyle w:val="TableParagraph"/>
              <w:spacing w:before="37"/>
              <w:jc w:val="both"/>
              <w:rPr>
                <w:sz w:val="21"/>
              </w:rPr>
            </w:pPr>
            <w:r>
              <w:rPr>
                <w:sz w:val="21"/>
              </w:rPr>
              <w:t>对属于保险责任的，我们在与受益人达成给付保险金的协议后 10 日内，履行给</w:t>
            </w:r>
          </w:p>
          <w:p>
            <w:pPr>
              <w:pStyle w:val="TableParagraph"/>
              <w:spacing w:before="37"/>
              <w:jc w:val="both"/>
              <w:rPr>
                <w:sz w:val="21"/>
              </w:rPr>
            </w:pPr>
            <w:r>
              <w:rPr>
                <w:sz w:val="21"/>
              </w:rPr>
              <w:t>付保险金义务。若我们在收齐相关证明和资料后 30 日内仍未作出核定，除支付</w:t>
            </w:r>
          </w:p>
          <w:p>
            <w:pPr>
              <w:pStyle w:val="TableParagraph"/>
              <w:spacing w:line="273" w:lineRule="auto" w:before="37"/>
              <w:ind w:right="301"/>
              <w:jc w:val="both"/>
              <w:rPr>
                <w:sz w:val="21"/>
              </w:rPr>
            </w:pPr>
            <w:r>
              <w:rPr>
                <w:sz w:val="21"/>
              </w:rPr>
              <w:t>保险金外，我们将从第 31 日起按超过天数赔偿受益人因此受到的利息损失。利息按照不低于中国人民银行公布的同期金融机构人民币活期存款基准利率按复利计算。</w:t>
            </w:r>
          </w:p>
          <w:p>
            <w:pPr>
              <w:pStyle w:val="TableParagraph"/>
              <w:spacing w:line="273" w:lineRule="auto" w:before="7"/>
              <w:ind w:right="301"/>
              <w:jc w:val="both"/>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312" w:lineRule="exact" w:before="3"/>
              <w:ind w:right="301"/>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bl>
    <w:p>
      <w:pPr>
        <w:spacing w:after="0" w:line="312" w:lineRule="exact"/>
        <w:jc w:val="both"/>
        <w:rPr>
          <w:sz w:val="21"/>
        </w:rPr>
        <w:sectPr>
          <w:pgSz w:w="11910" w:h="16840"/>
          <w:pgMar w:header="568" w:footer="0" w:top="800" w:bottom="280" w:left="720" w:right="480"/>
        </w:sectPr>
      </w:pPr>
    </w:p>
    <w:p>
      <w:pPr>
        <w:pStyle w:val="BodyText"/>
        <w:spacing w:before="11"/>
        <w:rPr>
          <w:rFonts w:ascii="Times New Roman"/>
          <w:sz w:val="23"/>
        </w:rPr>
      </w:pPr>
    </w:p>
    <w:p>
      <w:pPr>
        <w:spacing w:after="0"/>
        <w:rPr>
          <w:rFonts w:ascii="Times New Roman"/>
          <w:sz w:val="23"/>
        </w:rPr>
        <w:sectPr>
          <w:pgSz w:w="11910" w:h="16840"/>
          <w:pgMar w:header="568" w:footer="0" w:top="800" w:bottom="280" w:left="800" w:right="700"/>
        </w:sectPr>
      </w:pPr>
    </w:p>
    <w:p>
      <w:pPr>
        <w:pStyle w:val="Heading3"/>
        <w:numPr>
          <w:ilvl w:val="1"/>
          <w:numId w:val="11"/>
        </w:numPr>
        <w:tabs>
          <w:tab w:pos="1381" w:val="left" w:leader="none"/>
          <w:tab w:pos="1382" w:val="left" w:leader="none"/>
        </w:tabs>
        <w:spacing w:line="273" w:lineRule="auto" w:before="43" w:after="0"/>
        <w:ind w:left="1382" w:right="0" w:hanging="1162"/>
        <w:jc w:val="left"/>
      </w:pPr>
      <w:r>
        <w:rPr>
          <w:spacing w:val="40"/>
        </w:rPr>
        <w:t>宣告死亡处理</w:t>
      </w:r>
    </w:p>
    <w:p>
      <w:pPr>
        <w:pStyle w:val="BodyText"/>
        <w:spacing w:before="43"/>
        <w:ind w:left="123"/>
      </w:pPr>
      <w:r>
        <w:rPr/>
        <w:br w:type="column"/>
      </w:r>
      <w:r>
        <w:rPr>
          <w:rFonts w:ascii="Times New Roman" w:eastAsia="Times New Roman"/>
          <w:spacing w:val="-53"/>
          <w:w w:val="100"/>
          <w:shd w:fill="E4E4E4" w:color="auto" w:val="clear"/>
        </w:rPr>
        <w:t> </w:t>
      </w:r>
      <w:r>
        <w:rPr>
          <w:spacing w:val="-5"/>
          <w:shd w:fill="E4E4E4" w:color="auto" w:val="clear"/>
        </w:rPr>
        <w:t>如果被保险人在本合同有效期内失踪，而且被法院宣告死亡，我们以法院判决宣</w:t>
      </w:r>
    </w:p>
    <w:p>
      <w:pPr>
        <w:pStyle w:val="BodyText"/>
        <w:spacing w:before="37"/>
        <w:ind w:left="123"/>
      </w:pPr>
      <w:r>
        <w:rPr>
          <w:rFonts w:ascii="Times New Roman" w:eastAsia="Times New Roman"/>
          <w:spacing w:val="-53"/>
          <w:w w:val="100"/>
          <w:shd w:fill="E4E4E4" w:color="auto" w:val="clear"/>
        </w:rPr>
        <w:t> </w:t>
      </w:r>
      <w:r>
        <w:rPr>
          <w:spacing w:val="-5"/>
          <w:shd w:fill="E4E4E4" w:color="auto" w:val="clear"/>
        </w:rPr>
        <w:t>告死亡之日作为被保险人死亡的时间，按本合同的约定给付身故保险金，本合同</w:t>
      </w:r>
    </w:p>
    <w:p>
      <w:pPr>
        <w:pStyle w:val="BodyText"/>
        <w:spacing w:before="37"/>
        <w:ind w:left="123"/>
      </w:pPr>
      <w:r>
        <w:rPr>
          <w:rFonts w:ascii="Times New Roman" w:eastAsia="Times New Roman"/>
          <w:spacing w:val="-53"/>
          <w:w w:val="100"/>
          <w:shd w:fill="E4E4E4" w:color="auto" w:val="clear"/>
        </w:rPr>
        <w:t> </w:t>
      </w:r>
      <w:r>
        <w:rPr>
          <w:shd w:fill="E4E4E4" w:color="auto" w:val="clear"/>
        </w:rPr>
        <w:t>终止。</w:t>
      </w:r>
    </w:p>
    <w:p>
      <w:pPr>
        <w:pStyle w:val="BodyText"/>
        <w:spacing w:before="36"/>
        <w:ind w:left="123"/>
      </w:pPr>
      <w:r>
        <w:rPr>
          <w:rFonts w:ascii="Times New Roman" w:eastAsia="Times New Roman"/>
          <w:spacing w:val="-53"/>
          <w:w w:val="100"/>
          <w:shd w:fill="E4E4E4" w:color="auto" w:val="clear"/>
        </w:rPr>
        <w:t> </w:t>
      </w:r>
      <w:r>
        <w:rPr>
          <w:spacing w:val="-7"/>
          <w:shd w:fill="E4E4E4" w:color="auto" w:val="clear"/>
        </w:rPr>
        <w:t>如果被保险人在宣告死亡后重新出现或者确知其没有死亡，受益人应于知道后 </w:t>
      </w:r>
      <w:r>
        <w:rPr>
          <w:shd w:fill="E4E4E4" w:color="auto" w:val="clear"/>
        </w:rPr>
        <w:t>30</w:t>
      </w:r>
    </w:p>
    <w:p>
      <w:pPr>
        <w:pStyle w:val="BodyText"/>
        <w:spacing w:before="36"/>
        <w:ind w:left="123"/>
      </w:pPr>
      <w:r>
        <w:rPr>
          <w:rFonts w:ascii="Times New Roman" w:eastAsia="Times New Roman"/>
          <w:spacing w:val="-53"/>
          <w:w w:val="100"/>
          <w:shd w:fill="E4E4E4" w:color="auto" w:val="clear"/>
        </w:rPr>
        <w:t> </w:t>
      </w:r>
      <w:r>
        <w:rPr>
          <w:spacing w:val="-3"/>
          <w:shd w:fill="E4E4E4" w:color="auto" w:val="clear"/>
        </w:rPr>
        <w:t>日内向我们退还已给付的保险金，本合同的效力由您和我们双方依法协商处理。</w:t>
      </w:r>
    </w:p>
    <w:p>
      <w:pPr>
        <w:spacing w:after="0"/>
        <w:sectPr>
          <w:type w:val="continuous"/>
          <w:pgSz w:w="11910" w:h="16840"/>
          <w:pgMar w:top="1060" w:bottom="280" w:left="800" w:right="700"/>
          <w:cols w:num="2" w:equalWidth="0">
            <w:col w:w="2691" w:space="40"/>
            <w:col w:w="7679"/>
          </w:cols>
        </w:sectPr>
      </w:pPr>
    </w:p>
    <w:p>
      <w:pPr>
        <w:pStyle w:val="BodyText"/>
        <w:spacing w:before="11"/>
        <w:rPr>
          <w:sz w:val="23"/>
        </w:rPr>
      </w:pPr>
    </w:p>
    <w:p>
      <w:pPr>
        <w:pStyle w:val="ListParagraph"/>
        <w:numPr>
          <w:ilvl w:val="1"/>
          <w:numId w:val="11"/>
        </w:numPr>
        <w:tabs>
          <w:tab w:pos="1381" w:val="left" w:leader="none"/>
          <w:tab w:pos="1382" w:val="left" w:leader="none"/>
          <w:tab w:pos="2853" w:val="left" w:leader="none"/>
        </w:tabs>
        <w:spacing w:line="273" w:lineRule="auto" w:before="36" w:after="0"/>
        <w:ind w:left="2853" w:right="202" w:hanging="2633"/>
        <w:jc w:val="left"/>
        <w:rPr>
          <w:sz w:val="21"/>
        </w:rPr>
      </w:pPr>
      <w:r>
        <w:rPr>
          <w:b/>
          <w:sz w:val="21"/>
        </w:rPr>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1"/>
          <w:sz w:val="21"/>
        </w:rPr>
        <w:t> </w:t>
      </w:r>
      <w:r>
        <w:rPr>
          <w:sz w:val="21"/>
        </w:rPr>
        <w:t>2</w:t>
      </w:r>
      <w:r>
        <w:rPr>
          <w:spacing w:val="-35"/>
          <w:sz w:val="21"/>
        </w:rPr>
        <w:t> </w:t>
      </w:r>
      <w:r>
        <w:rPr>
          <w:sz w:val="21"/>
        </w:rPr>
        <w:t>年</w:t>
      </w:r>
      <w:r>
        <w:rPr>
          <w:spacing w:val="-10"/>
          <w:sz w:val="21"/>
        </w:rPr>
        <w:t>，</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w:t>
      </w:r>
      <w:r>
        <w:rPr>
          <w:sz w:val="21"/>
        </w:rPr>
        <w:t>道保险事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3"/>
          <w:sz w:val="21"/>
        </w:rPr>
        <w:t>计</w:t>
      </w:r>
      <w:r>
        <w:rPr>
          <w:sz w:val="21"/>
        </w:rPr>
        <w:t>算。</w:t>
      </w:r>
    </w:p>
    <w:p>
      <w:pPr>
        <w:pStyle w:val="BodyText"/>
        <w:rPr>
          <w:sz w:val="20"/>
        </w:rPr>
      </w:pPr>
    </w:p>
    <w:p>
      <w:pPr>
        <w:pStyle w:val="BodyText"/>
        <w:spacing w:before="1"/>
        <w:rPr>
          <w:sz w:val="23"/>
        </w:rPr>
      </w:pPr>
    </w:p>
    <w:p>
      <w:pPr>
        <w:pStyle w:val="Heading2"/>
        <w:numPr>
          <w:ilvl w:val="0"/>
          <w:numId w:val="11"/>
        </w:numPr>
        <w:tabs>
          <w:tab w:pos="1381" w:val="left" w:leader="none"/>
          <w:tab w:pos="1382" w:val="left" w:leader="none"/>
        </w:tabs>
        <w:spacing w:line="240" w:lineRule="auto" w:before="0" w:after="0"/>
        <w:ind w:left="1382" w:right="0" w:hanging="1162"/>
        <w:jc w:val="left"/>
      </w:pPr>
      <w:r>
        <w:rPr/>
        <w:t>保险费的交纳</w:t>
      </w:r>
    </w:p>
    <w:p>
      <w:pPr>
        <w:pStyle w:val="BodyText"/>
        <w:spacing w:before="1"/>
        <w:rPr>
          <w:b/>
          <w:sz w:val="10"/>
        </w:rPr>
      </w:pPr>
      <w:r>
        <w:rPr/>
        <w:pict>
          <v:group style="position:absolute;margin-left:45.599998pt;margin-top:8.586858pt;width:509.55pt;height:1.45pt;mso-position-horizontal-relative:page;mso-position-vertical-relative:paragraph;z-index:1072;mso-wrap-distance-left:0;mso-wrap-distance-right:0" coordorigin="912,172" coordsize="10191,29">
            <v:line style="position:absolute" from="912,177" to="2072,177" stroked="true" strokeweight=".48pt" strokecolor="#000000">
              <v:stroke dashstyle="solid"/>
            </v:line>
            <v:line style="position:absolute" from="912,196" to="2072,196" stroked="true" strokeweight=".4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7" to="3543,177" stroked="true" strokeweight=".48pt" strokecolor="#000000">
              <v:stroke dashstyle="solid"/>
            </v:line>
            <v:line style="position:absolute" from="2100,196" to="3543,196"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7" to="11102,177" stroked="true" strokeweight=".48pt" strokecolor="#000000">
              <v:stroke dashstyle="solid"/>
            </v:line>
            <v:line style="position:absolute" from="3572,196" to="11102,196" stroked="true" strokeweight=".48pt" strokecolor="#000000">
              <v:stroke dashstyle="solid"/>
            </v:line>
            <w10:wrap type="topAndBottom"/>
          </v:group>
        </w:pict>
      </w:r>
    </w:p>
    <w:p>
      <w:pPr>
        <w:pStyle w:val="BodyText"/>
        <w:spacing w:before="3"/>
        <w:rPr>
          <w:b/>
          <w:sz w:val="9"/>
        </w:rPr>
      </w:pPr>
    </w:p>
    <w:p>
      <w:pPr>
        <w:spacing w:after="0"/>
        <w:rPr>
          <w:sz w:val="9"/>
        </w:rPr>
        <w:sectPr>
          <w:type w:val="continuous"/>
          <w:pgSz w:w="11910" w:h="16840"/>
          <w:pgMar w:top="1060" w:bottom="280" w:left="800" w:right="700"/>
        </w:sectPr>
      </w:pPr>
    </w:p>
    <w:p>
      <w:pPr>
        <w:pStyle w:val="Heading3"/>
        <w:numPr>
          <w:ilvl w:val="1"/>
          <w:numId w:val="12"/>
        </w:numPr>
        <w:tabs>
          <w:tab w:pos="1381" w:val="left" w:leader="none"/>
          <w:tab w:pos="1382" w:val="left" w:leader="none"/>
        </w:tabs>
        <w:spacing w:line="273" w:lineRule="auto" w:before="36" w:after="0"/>
        <w:ind w:left="1382" w:right="0" w:hanging="1162"/>
        <w:jc w:val="left"/>
      </w:pPr>
      <w:r>
        <w:rPr>
          <w:spacing w:val="40"/>
        </w:rPr>
        <w:t>保险费的交纳</w:t>
      </w:r>
    </w:p>
    <w:p>
      <w:pPr>
        <w:pStyle w:val="BodyText"/>
        <w:spacing w:before="36"/>
        <w:ind w:left="123"/>
      </w:pPr>
      <w:r>
        <w:rPr/>
        <w:br w:type="column"/>
      </w:r>
      <w:r>
        <w:rPr/>
        <w:t>本合同的交费方式和交费期间由您和我们约定并在保险单上载明。</w:t>
      </w:r>
    </w:p>
    <w:p>
      <w:pPr>
        <w:pStyle w:val="BodyText"/>
        <w:spacing w:line="273" w:lineRule="auto" w:before="36"/>
        <w:ind w:left="123" w:right="171"/>
      </w:pPr>
      <w:r>
        <w:rPr/>
        <w:t>分期交纳保险费的，在交纳首期保险费后，您应当按照约定，在每个保险费约定交纳日交纳当期的保险费。</w:t>
      </w:r>
    </w:p>
    <w:p>
      <w:pPr>
        <w:spacing w:after="0" w:line="273" w:lineRule="auto"/>
        <w:sectPr>
          <w:type w:val="continuous"/>
          <w:pgSz w:w="11910" w:h="16840"/>
          <w:pgMar w:top="1060" w:bottom="280" w:left="800" w:right="700"/>
          <w:cols w:num="2" w:equalWidth="0">
            <w:col w:w="2691" w:space="40"/>
            <w:col w:w="7679"/>
          </w:cols>
        </w:sectPr>
      </w:pPr>
    </w:p>
    <w:p>
      <w:pPr>
        <w:pStyle w:val="BodyText"/>
        <w:rPr>
          <w:sz w:val="15"/>
        </w:rPr>
      </w:pPr>
    </w:p>
    <w:p>
      <w:pPr>
        <w:pStyle w:val="ListParagraph"/>
        <w:numPr>
          <w:ilvl w:val="1"/>
          <w:numId w:val="12"/>
        </w:numPr>
        <w:tabs>
          <w:tab w:pos="1381" w:val="left" w:leader="none"/>
          <w:tab w:pos="1382" w:val="left" w:leader="none"/>
          <w:tab w:pos="2853" w:val="left" w:leader="none"/>
        </w:tabs>
        <w:spacing w:line="273" w:lineRule="auto" w:before="36" w:after="0"/>
        <w:ind w:left="2853" w:right="99" w:hanging="2633"/>
        <w:jc w:val="left"/>
        <w:rPr>
          <w:sz w:val="21"/>
        </w:rPr>
      </w:pPr>
      <w:r>
        <w:rPr>
          <w:b/>
          <w:sz w:val="21"/>
        </w:rPr>
        <w:t>宽限期</w:t>
        <w:tab/>
      </w:r>
      <w:r>
        <w:rPr>
          <w:sz w:val="21"/>
        </w:rPr>
        <w:t>分期</w:t>
      </w:r>
      <w:r>
        <w:rPr>
          <w:spacing w:val="-3"/>
          <w:sz w:val="21"/>
        </w:rPr>
        <w:t>交</w:t>
      </w:r>
      <w:r>
        <w:rPr>
          <w:sz w:val="21"/>
        </w:rPr>
        <w:t>纳</w:t>
      </w:r>
      <w:r>
        <w:rPr>
          <w:spacing w:val="-3"/>
          <w:sz w:val="21"/>
        </w:rPr>
        <w:t>保</w:t>
      </w:r>
      <w:r>
        <w:rPr>
          <w:sz w:val="21"/>
        </w:rPr>
        <w:t>险</w:t>
      </w:r>
      <w:r>
        <w:rPr>
          <w:spacing w:val="-3"/>
          <w:sz w:val="21"/>
        </w:rPr>
        <w:t>费的，在交</w:t>
      </w:r>
      <w:r>
        <w:rPr>
          <w:sz w:val="21"/>
        </w:rPr>
        <w:t>纳首</w:t>
      </w:r>
      <w:r>
        <w:rPr>
          <w:spacing w:val="-3"/>
          <w:sz w:val="21"/>
        </w:rPr>
        <w:t>期</w:t>
      </w:r>
      <w:r>
        <w:rPr>
          <w:sz w:val="21"/>
        </w:rPr>
        <w:t>保</w:t>
      </w:r>
      <w:r>
        <w:rPr>
          <w:spacing w:val="-3"/>
          <w:sz w:val="21"/>
        </w:rPr>
        <w:t>险</w:t>
      </w:r>
      <w:r>
        <w:rPr>
          <w:sz w:val="21"/>
        </w:rPr>
        <w:t>费</w:t>
      </w:r>
      <w:r>
        <w:rPr>
          <w:spacing w:val="-3"/>
          <w:sz w:val="21"/>
        </w:rPr>
        <w:t>后</w:t>
      </w:r>
      <w:r>
        <w:rPr>
          <w:spacing w:val="-5"/>
          <w:sz w:val="21"/>
        </w:rPr>
        <w:t>，</w:t>
      </w:r>
      <w:r>
        <w:rPr>
          <w:sz w:val="21"/>
        </w:rPr>
        <w:t>除</w:t>
      </w:r>
      <w:r>
        <w:rPr>
          <w:spacing w:val="-3"/>
          <w:sz w:val="21"/>
        </w:rPr>
        <w:t>本合</w:t>
      </w:r>
      <w:r>
        <w:rPr>
          <w:sz w:val="21"/>
        </w:rPr>
        <w:t>同另</w:t>
      </w:r>
      <w:r>
        <w:rPr>
          <w:spacing w:val="-3"/>
          <w:sz w:val="21"/>
        </w:rPr>
        <w:t>有</w:t>
      </w:r>
      <w:r>
        <w:rPr>
          <w:sz w:val="21"/>
        </w:rPr>
        <w:t>约</w:t>
      </w:r>
      <w:r>
        <w:rPr>
          <w:spacing w:val="-3"/>
          <w:sz w:val="21"/>
        </w:rPr>
        <w:t>定外，如</w:t>
      </w:r>
      <w:r>
        <w:rPr>
          <w:sz w:val="21"/>
        </w:rPr>
        <w:t>果</w:t>
      </w:r>
      <w:r>
        <w:rPr>
          <w:spacing w:val="-3"/>
          <w:sz w:val="21"/>
        </w:rPr>
        <w:t>您到</w:t>
      </w:r>
      <w:r>
        <w:rPr>
          <w:sz w:val="21"/>
        </w:rPr>
        <w:t>期未 交纳</w:t>
      </w:r>
      <w:r>
        <w:rPr>
          <w:spacing w:val="-3"/>
          <w:sz w:val="21"/>
        </w:rPr>
        <w:t>保</w:t>
      </w:r>
      <w:r>
        <w:rPr>
          <w:sz w:val="21"/>
        </w:rPr>
        <w:t>险</w:t>
      </w:r>
      <w:r>
        <w:rPr>
          <w:spacing w:val="-3"/>
          <w:sz w:val="21"/>
        </w:rPr>
        <w:t>费</w:t>
      </w:r>
      <w:r>
        <w:rPr>
          <w:sz w:val="21"/>
        </w:rPr>
        <w:t>，</w:t>
      </w:r>
      <w:r>
        <w:rPr>
          <w:spacing w:val="-3"/>
          <w:sz w:val="21"/>
        </w:rPr>
        <w:t>自</w:t>
      </w:r>
      <w:r>
        <w:rPr>
          <w:sz w:val="21"/>
        </w:rPr>
        <w:t>保</w:t>
      </w:r>
      <w:r>
        <w:rPr>
          <w:spacing w:val="-3"/>
          <w:sz w:val="21"/>
        </w:rPr>
        <w:t>险</w:t>
      </w:r>
      <w:r>
        <w:rPr>
          <w:sz w:val="21"/>
        </w:rPr>
        <w:t>费</w:t>
      </w:r>
      <w:r>
        <w:rPr>
          <w:spacing w:val="-3"/>
          <w:sz w:val="21"/>
        </w:rPr>
        <w:t>约</w:t>
      </w:r>
      <w:r>
        <w:rPr>
          <w:sz w:val="21"/>
        </w:rPr>
        <w:t>定交</w:t>
      </w:r>
      <w:r>
        <w:rPr>
          <w:spacing w:val="-3"/>
          <w:sz w:val="21"/>
        </w:rPr>
        <w:t>纳</w:t>
      </w:r>
      <w:r>
        <w:rPr>
          <w:sz w:val="21"/>
        </w:rPr>
        <w:t>日</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6"/>
          <w:sz w:val="21"/>
        </w:rPr>
        <w:t> </w:t>
      </w:r>
      <w:r>
        <w:rPr>
          <w:sz w:val="21"/>
        </w:rPr>
        <w:t>60</w:t>
      </w:r>
      <w:r>
        <w:rPr>
          <w:spacing w:val="5"/>
          <w:sz w:val="21"/>
        </w:rPr>
        <w:t> </w:t>
      </w:r>
      <w:r>
        <w:rPr>
          <w:sz w:val="21"/>
        </w:rPr>
        <w:t>日</w:t>
      </w:r>
      <w:r>
        <w:rPr>
          <w:spacing w:val="-3"/>
          <w:sz w:val="21"/>
        </w:rPr>
        <w:t>为</w:t>
      </w:r>
      <w:r>
        <w:rPr>
          <w:sz w:val="21"/>
        </w:rPr>
        <w:t>宽</w:t>
      </w:r>
      <w:r>
        <w:rPr>
          <w:spacing w:val="-3"/>
          <w:sz w:val="21"/>
        </w:rPr>
        <w:t>限</w:t>
      </w:r>
      <w:r>
        <w:rPr>
          <w:sz w:val="21"/>
        </w:rPr>
        <w:t>期</w:t>
      </w:r>
      <w:r>
        <w:rPr>
          <w:spacing w:val="-3"/>
          <w:sz w:val="21"/>
        </w:rPr>
        <w:t>。</w:t>
      </w:r>
      <w:r>
        <w:rPr>
          <w:sz w:val="21"/>
        </w:rPr>
        <w:t>宽</w:t>
      </w:r>
      <w:r>
        <w:rPr>
          <w:spacing w:val="-3"/>
          <w:sz w:val="21"/>
        </w:rPr>
        <w:t>限</w:t>
      </w:r>
      <w:r>
        <w:rPr>
          <w:sz w:val="21"/>
        </w:rPr>
        <w:t>期</w:t>
      </w:r>
      <w:r>
        <w:rPr>
          <w:spacing w:val="-3"/>
          <w:sz w:val="21"/>
        </w:rPr>
        <w:t>内</w:t>
      </w:r>
      <w:r>
        <w:rPr>
          <w:sz w:val="21"/>
        </w:rPr>
        <w:t>发生的保</w:t>
      </w:r>
      <w:r>
        <w:rPr>
          <w:spacing w:val="-3"/>
          <w:sz w:val="21"/>
        </w:rPr>
        <w:t>险</w:t>
      </w:r>
      <w:r>
        <w:rPr>
          <w:sz w:val="21"/>
        </w:rPr>
        <w:t>事</w:t>
      </w:r>
      <w:r>
        <w:rPr>
          <w:spacing w:val="-3"/>
          <w:sz w:val="21"/>
        </w:rPr>
        <w:t>故</w:t>
      </w:r>
      <w:r>
        <w:rPr>
          <w:spacing w:val="-58"/>
          <w:sz w:val="21"/>
        </w:rPr>
        <w:t>，</w:t>
      </w:r>
      <w:r>
        <w:rPr>
          <w:spacing w:val="-3"/>
          <w:sz w:val="21"/>
        </w:rPr>
        <w:t>我</w:t>
      </w:r>
      <w:r>
        <w:rPr>
          <w:sz w:val="21"/>
        </w:rPr>
        <w:t>们</w:t>
      </w:r>
      <w:r>
        <w:rPr>
          <w:spacing w:val="-3"/>
          <w:sz w:val="21"/>
        </w:rPr>
        <w:t>仍</w:t>
      </w:r>
      <w:r>
        <w:rPr>
          <w:sz w:val="21"/>
        </w:rPr>
        <w:t>会</w:t>
      </w:r>
      <w:r>
        <w:rPr>
          <w:spacing w:val="-3"/>
          <w:sz w:val="21"/>
        </w:rPr>
        <w:t>承</w:t>
      </w:r>
      <w:r>
        <w:rPr>
          <w:sz w:val="21"/>
        </w:rPr>
        <w:t>担保</w:t>
      </w:r>
      <w:r>
        <w:rPr>
          <w:spacing w:val="-3"/>
          <w:sz w:val="21"/>
        </w:rPr>
        <w:t>险</w:t>
      </w:r>
      <w:r>
        <w:rPr>
          <w:sz w:val="21"/>
        </w:rPr>
        <w:t>责</w:t>
      </w:r>
      <w:r>
        <w:rPr>
          <w:spacing w:val="-3"/>
          <w:sz w:val="21"/>
        </w:rPr>
        <w:t>任</w:t>
      </w:r>
      <w:r>
        <w:rPr>
          <w:spacing w:val="-58"/>
          <w:sz w:val="21"/>
        </w:rPr>
        <w:t>，</w:t>
      </w:r>
      <w:r>
        <w:rPr>
          <w:spacing w:val="-3"/>
          <w:sz w:val="21"/>
        </w:rPr>
        <w:t>但</w:t>
      </w:r>
      <w:r>
        <w:rPr>
          <w:sz w:val="21"/>
        </w:rPr>
        <w:t>在</w:t>
      </w:r>
      <w:r>
        <w:rPr>
          <w:spacing w:val="-3"/>
          <w:sz w:val="21"/>
        </w:rPr>
        <w:t>给</w:t>
      </w:r>
      <w:r>
        <w:rPr>
          <w:sz w:val="21"/>
        </w:rPr>
        <w:t>付</w:t>
      </w:r>
      <w:r>
        <w:rPr>
          <w:spacing w:val="-3"/>
          <w:sz w:val="21"/>
        </w:rPr>
        <w:t>保</w:t>
      </w:r>
      <w:r>
        <w:rPr>
          <w:sz w:val="21"/>
        </w:rPr>
        <w:t>险金</w:t>
      </w:r>
      <w:r>
        <w:rPr>
          <w:spacing w:val="-3"/>
          <w:sz w:val="21"/>
        </w:rPr>
        <w:t>时</w:t>
      </w:r>
      <w:r>
        <w:rPr>
          <w:sz w:val="21"/>
        </w:rPr>
        <w:t>会</w:t>
      </w:r>
      <w:r>
        <w:rPr>
          <w:spacing w:val="-3"/>
          <w:sz w:val="21"/>
        </w:rPr>
        <w:t>扣</w:t>
      </w:r>
      <w:r>
        <w:rPr>
          <w:sz w:val="21"/>
        </w:rPr>
        <w:t>除</w:t>
      </w:r>
      <w:r>
        <w:rPr>
          <w:spacing w:val="-3"/>
          <w:sz w:val="21"/>
        </w:rPr>
        <w:t>您</w:t>
      </w:r>
      <w:r>
        <w:rPr>
          <w:sz w:val="21"/>
        </w:rPr>
        <w:t>欠</w:t>
      </w:r>
      <w:r>
        <w:rPr>
          <w:spacing w:val="-3"/>
          <w:sz w:val="21"/>
        </w:rPr>
        <w:t>交</w:t>
      </w:r>
      <w:r>
        <w:rPr>
          <w:sz w:val="21"/>
        </w:rPr>
        <w:t>的</w:t>
      </w:r>
      <w:r>
        <w:rPr>
          <w:spacing w:val="-3"/>
          <w:sz w:val="21"/>
        </w:rPr>
        <w:t>保</w:t>
      </w:r>
      <w:r>
        <w:rPr>
          <w:sz w:val="21"/>
        </w:rPr>
        <w:t>险</w:t>
      </w:r>
      <w:r>
        <w:rPr>
          <w:spacing w:val="-3"/>
          <w:sz w:val="21"/>
        </w:rPr>
        <w:t>费</w:t>
      </w:r>
      <w:r>
        <w:rPr>
          <w:sz w:val="21"/>
        </w:rPr>
        <w:t>。如果</w:t>
      </w:r>
      <w:r>
        <w:rPr>
          <w:spacing w:val="-3"/>
          <w:sz w:val="21"/>
        </w:rPr>
        <w:t>您</w:t>
      </w:r>
      <w:r>
        <w:rPr>
          <w:sz w:val="21"/>
        </w:rPr>
        <w:t>宽</w:t>
      </w:r>
      <w:r>
        <w:rPr>
          <w:spacing w:val="-3"/>
          <w:sz w:val="21"/>
        </w:rPr>
        <w:t>限</w:t>
      </w:r>
      <w:r>
        <w:rPr>
          <w:sz w:val="21"/>
        </w:rPr>
        <w:t>期</w:t>
      </w:r>
      <w:r>
        <w:rPr>
          <w:spacing w:val="-3"/>
          <w:sz w:val="21"/>
        </w:rPr>
        <w:t>结</w:t>
      </w:r>
      <w:r>
        <w:rPr>
          <w:sz w:val="21"/>
        </w:rPr>
        <w:t>束</w:t>
      </w:r>
      <w:r>
        <w:rPr>
          <w:spacing w:val="-3"/>
          <w:sz w:val="21"/>
        </w:rPr>
        <w:t>之</w:t>
      </w:r>
      <w:r>
        <w:rPr>
          <w:sz w:val="21"/>
        </w:rPr>
        <w:t>后</w:t>
      </w:r>
      <w:r>
        <w:rPr>
          <w:spacing w:val="-3"/>
          <w:sz w:val="21"/>
        </w:rPr>
        <w:t>仍</w:t>
      </w:r>
      <w:r>
        <w:rPr>
          <w:sz w:val="21"/>
        </w:rPr>
        <w:t>未交</w:t>
      </w:r>
      <w:r>
        <w:rPr>
          <w:spacing w:val="-3"/>
          <w:sz w:val="21"/>
        </w:rPr>
        <w:t>纳</w:t>
      </w:r>
      <w:r>
        <w:rPr>
          <w:sz w:val="21"/>
        </w:rPr>
        <w:t>保</w:t>
      </w:r>
      <w:r>
        <w:rPr>
          <w:spacing w:val="-3"/>
          <w:sz w:val="21"/>
        </w:rPr>
        <w:t>险</w:t>
      </w:r>
      <w:r>
        <w:rPr>
          <w:sz w:val="21"/>
        </w:rPr>
        <w:t>费</w:t>
      </w:r>
      <w:r>
        <w:rPr>
          <w:spacing w:val="-13"/>
          <w:sz w:val="21"/>
        </w:rPr>
        <w:t>，</w:t>
      </w:r>
      <w:r>
        <w:rPr>
          <w:sz w:val="21"/>
        </w:rPr>
        <w:t>则</w:t>
      </w:r>
      <w:r>
        <w:rPr>
          <w:spacing w:val="-3"/>
          <w:sz w:val="21"/>
        </w:rPr>
        <w:t>本</w:t>
      </w:r>
      <w:r>
        <w:rPr>
          <w:sz w:val="21"/>
        </w:rPr>
        <w:t>合</w:t>
      </w:r>
      <w:r>
        <w:rPr>
          <w:spacing w:val="-3"/>
          <w:sz w:val="21"/>
        </w:rPr>
        <w:t>同</w:t>
      </w:r>
      <w:r>
        <w:rPr>
          <w:sz w:val="21"/>
        </w:rPr>
        <w:t>自宽</w:t>
      </w:r>
      <w:r>
        <w:rPr>
          <w:spacing w:val="-3"/>
          <w:sz w:val="21"/>
        </w:rPr>
        <w:t>限</w:t>
      </w:r>
      <w:r>
        <w:rPr>
          <w:sz w:val="21"/>
        </w:rPr>
        <w:t>期</w:t>
      </w:r>
      <w:r>
        <w:rPr>
          <w:spacing w:val="-3"/>
          <w:sz w:val="21"/>
        </w:rPr>
        <w:t>满</w:t>
      </w:r>
      <w:r>
        <w:rPr>
          <w:sz w:val="21"/>
        </w:rPr>
        <w:t>的</w:t>
      </w:r>
      <w:r>
        <w:rPr>
          <w:spacing w:val="-3"/>
          <w:sz w:val="21"/>
        </w:rPr>
        <w:t>次</w:t>
      </w:r>
      <w:r>
        <w:rPr>
          <w:sz w:val="21"/>
        </w:rPr>
        <w:t>日</w:t>
      </w:r>
      <w:r>
        <w:rPr>
          <w:spacing w:val="-3"/>
          <w:sz w:val="21"/>
        </w:rPr>
        <w:t>零</w:t>
      </w:r>
      <w:r>
        <w:rPr>
          <w:sz w:val="21"/>
        </w:rPr>
        <w:t>时</w:t>
      </w:r>
      <w:r>
        <w:rPr>
          <w:spacing w:val="-3"/>
          <w:sz w:val="21"/>
        </w:rPr>
        <w:t>起</w:t>
      </w:r>
      <w:r>
        <w:rPr>
          <w:sz w:val="21"/>
        </w:rPr>
        <w:t>效力中止</w:t>
      </w:r>
      <w:r>
        <w:rPr>
          <w:spacing w:val="-3"/>
          <w:sz w:val="21"/>
        </w:rPr>
        <w:t>，</w:t>
      </w:r>
      <w:r>
        <w:rPr>
          <w:sz w:val="21"/>
        </w:rPr>
        <w:t>但</w:t>
      </w:r>
      <w:r>
        <w:rPr>
          <w:spacing w:val="-3"/>
          <w:sz w:val="21"/>
        </w:rPr>
        <w:t>本</w:t>
      </w:r>
      <w:r>
        <w:rPr>
          <w:sz w:val="21"/>
        </w:rPr>
        <w:t>合</w:t>
      </w:r>
      <w:r>
        <w:rPr>
          <w:spacing w:val="-3"/>
          <w:sz w:val="21"/>
        </w:rPr>
        <w:t>同</w:t>
      </w:r>
      <w:r>
        <w:rPr>
          <w:sz w:val="21"/>
        </w:rPr>
        <w:t>另</w:t>
      </w:r>
      <w:r>
        <w:rPr>
          <w:spacing w:val="-3"/>
          <w:sz w:val="21"/>
        </w:rPr>
        <w:t>有</w:t>
      </w:r>
      <w:r>
        <w:rPr>
          <w:sz w:val="21"/>
        </w:rPr>
        <w:t>约</w:t>
      </w:r>
      <w:r>
        <w:rPr>
          <w:spacing w:val="-3"/>
          <w:sz w:val="21"/>
        </w:rPr>
        <w:t>定</w:t>
      </w:r>
      <w:r>
        <w:rPr>
          <w:sz w:val="21"/>
        </w:rPr>
        <w:t>的除</w:t>
      </w:r>
      <w:r>
        <w:rPr>
          <w:spacing w:val="-3"/>
          <w:sz w:val="21"/>
        </w:rPr>
        <w:t>外</w:t>
      </w:r>
      <w:r>
        <w:rPr>
          <w:sz w:val="21"/>
        </w:rPr>
        <w:t>。</w:t>
      </w:r>
    </w:p>
    <w:p>
      <w:pPr>
        <w:pStyle w:val="BodyText"/>
        <w:spacing w:before="2"/>
        <w:rPr>
          <w:sz w:val="15"/>
        </w:rPr>
      </w:pPr>
    </w:p>
    <w:p>
      <w:pPr>
        <w:spacing w:after="0"/>
        <w:rPr>
          <w:sz w:val="15"/>
        </w:rPr>
        <w:sectPr>
          <w:type w:val="continuous"/>
          <w:pgSz w:w="11910" w:h="16840"/>
          <w:pgMar w:top="1060" w:bottom="280" w:left="800" w:right="700"/>
        </w:sectPr>
      </w:pPr>
    </w:p>
    <w:p>
      <w:pPr>
        <w:pStyle w:val="Heading3"/>
        <w:numPr>
          <w:ilvl w:val="1"/>
          <w:numId w:val="12"/>
        </w:numPr>
        <w:tabs>
          <w:tab w:pos="1381" w:val="left" w:leader="none"/>
          <w:tab w:pos="1382" w:val="left" w:leader="none"/>
        </w:tabs>
        <w:spacing w:line="273" w:lineRule="auto" w:before="37" w:after="0"/>
        <w:ind w:left="1382" w:right="0" w:hanging="1162"/>
        <w:jc w:val="left"/>
      </w:pPr>
      <w:r>
        <w:rPr>
          <w:spacing w:val="40"/>
        </w:rPr>
        <w:t>保险费率调整</w:t>
      </w:r>
    </w:p>
    <w:p>
      <w:pPr>
        <w:pStyle w:val="BodyText"/>
        <w:spacing w:before="37"/>
        <w:ind w:left="123"/>
      </w:pPr>
      <w:r>
        <w:rPr/>
        <w:br w:type="column"/>
      </w:r>
      <w:r>
        <w:rPr/>
        <w:t>我们保留提高或降低保险费率的权利。</w:t>
      </w:r>
    </w:p>
    <w:p>
      <w:pPr>
        <w:pStyle w:val="BodyText"/>
        <w:spacing w:line="273" w:lineRule="auto" w:before="37"/>
        <w:ind w:left="123" w:right="203"/>
      </w:pPr>
      <w:r>
        <w:rPr>
          <w:spacing w:val="-3"/>
        </w:rPr>
        <w:t>我们将根据本合同计算费率所用的轻症重疾发生率和重大疾病发生率与实际情 </w:t>
      </w:r>
      <w:r>
        <w:rPr>
          <w:spacing w:val="-5"/>
        </w:rPr>
        <w:t>况的偏差程度，决定保险费率是否调整。本保险的费率调整针对所有被保险人或</w:t>
      </w:r>
      <w:r>
        <w:rPr>
          <w:spacing w:val="-4"/>
        </w:rPr>
        <w:t>同一投保年龄的所有被保险人。</w:t>
      </w:r>
    </w:p>
    <w:p>
      <w:pPr>
        <w:pStyle w:val="BodyText"/>
        <w:spacing w:line="273" w:lineRule="auto" w:before="8"/>
        <w:ind w:left="123" w:right="203"/>
      </w:pPr>
      <w:r>
        <w:rPr/>
        <w:t>我们进行保险费率调整并向保险监管机关备案后，您须按调整后的保险费率交纳续期保险费。</w:t>
      </w:r>
    </w:p>
    <w:p>
      <w:pPr>
        <w:spacing w:after="0" w:line="273" w:lineRule="auto"/>
        <w:sectPr>
          <w:type w:val="continuous"/>
          <w:pgSz w:w="11910" w:h="16840"/>
          <w:pgMar w:top="1060" w:bottom="280" w:left="800" w:right="700"/>
          <w:cols w:num="2" w:equalWidth="0">
            <w:col w:w="2691" w:space="40"/>
            <w:col w:w="7679"/>
          </w:cols>
        </w:sectPr>
      </w:pPr>
    </w:p>
    <w:p>
      <w:pPr>
        <w:pStyle w:val="BodyText"/>
        <w:rPr>
          <w:sz w:val="20"/>
        </w:rPr>
      </w:pPr>
    </w:p>
    <w:p>
      <w:pPr>
        <w:pStyle w:val="Heading2"/>
        <w:numPr>
          <w:ilvl w:val="0"/>
          <w:numId w:val="12"/>
        </w:numPr>
        <w:tabs>
          <w:tab w:pos="1381" w:val="left" w:leader="none"/>
          <w:tab w:pos="1382" w:val="left" w:leader="none"/>
        </w:tabs>
        <w:spacing w:line="240" w:lineRule="auto" w:before="156" w:after="0"/>
        <w:ind w:left="1382" w:right="0" w:hanging="1162"/>
        <w:jc w:val="left"/>
      </w:pPr>
      <w:r>
        <w:rPr/>
        <w:t>现金价值权益</w:t>
      </w:r>
    </w:p>
    <w:p>
      <w:pPr>
        <w:pStyle w:val="BodyText"/>
        <w:spacing w:before="1"/>
        <w:rPr>
          <w:b/>
          <w:sz w:val="10"/>
        </w:rPr>
      </w:pPr>
      <w:r>
        <w:rPr/>
        <w:pict>
          <v:group style="position:absolute;margin-left:45.599998pt;margin-top:8.567355pt;width:509.55pt;height:1.45pt;mso-position-horizontal-relative:page;mso-position-vertical-relative:paragraph;z-index:1096;mso-wrap-distance-left:0;mso-wrap-distance-right:0" coordorigin="912,171" coordsize="10191,29">
            <v:line style="position:absolute" from="912,176" to="2072,176" stroked="true" strokeweight=".48004pt" strokecolor="#000000">
              <v:stroke dashstyle="solid"/>
            </v:line>
            <v:line style="position:absolute" from="912,195" to="2072,195" stroked="true" strokeweight=".4799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004pt" strokecolor="#000000">
              <v:stroke dashstyle="solid"/>
            </v:line>
            <v:line style="position:absolute" from="2100,195" to="3543,195" stroked="true" strokeweight=".4799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004pt" strokecolor="#000000">
              <v:stroke dashstyle="solid"/>
            </v:line>
            <v:line style="position:absolute" from="3572,195" to="11102,195" stroked="true" strokeweight=".47998pt" strokecolor="#000000">
              <v:stroke dashstyle="solid"/>
            </v:line>
            <w10:wrap type="topAndBottom"/>
          </v:group>
        </w:pict>
      </w:r>
    </w:p>
    <w:p>
      <w:pPr>
        <w:pStyle w:val="BodyText"/>
        <w:spacing w:before="8"/>
        <w:rPr>
          <w:b/>
          <w:sz w:val="7"/>
        </w:rPr>
      </w:pPr>
    </w:p>
    <w:p>
      <w:pPr>
        <w:pStyle w:val="ListParagraph"/>
        <w:numPr>
          <w:ilvl w:val="1"/>
          <w:numId w:val="12"/>
        </w:numPr>
        <w:tabs>
          <w:tab w:pos="1382" w:val="left" w:leader="none"/>
        </w:tabs>
        <w:spacing w:line="230" w:lineRule="auto" w:before="46" w:after="0"/>
        <w:ind w:left="2853" w:right="203" w:hanging="2633"/>
        <w:jc w:val="both"/>
        <w:rPr>
          <w:sz w:val="21"/>
        </w:rPr>
      </w:pPr>
      <w:r>
        <w:rPr>
          <w:b/>
          <w:spacing w:val="2"/>
          <w:position w:val="-1"/>
          <w:sz w:val="21"/>
        </w:rPr>
        <w:t>现金价值     </w:t>
      </w:r>
      <w:r>
        <w:rPr>
          <w:spacing w:val="-5"/>
          <w:sz w:val="21"/>
        </w:rPr>
        <w:t>本合同各保单年度末的现金价值会在保险单上载明。保单年度内的现金价值，您</w:t>
      </w:r>
      <w:r>
        <w:rPr>
          <w:spacing w:val="-6"/>
          <w:sz w:val="21"/>
        </w:rPr>
        <w:t>可以向我们咨询。若基本保险金额发生变更，则现金价值将按变更后的基本保险</w:t>
      </w:r>
      <w:r>
        <w:rPr>
          <w:spacing w:val="-4"/>
          <w:sz w:val="21"/>
        </w:rPr>
        <w:t>金额重新计算。</w:t>
      </w:r>
    </w:p>
    <w:p>
      <w:pPr>
        <w:pStyle w:val="BodyText"/>
        <w:spacing w:before="7"/>
        <w:rPr>
          <w:sz w:val="27"/>
        </w:rPr>
      </w:pPr>
    </w:p>
    <w:p>
      <w:pPr>
        <w:pStyle w:val="ListParagraph"/>
        <w:numPr>
          <w:ilvl w:val="1"/>
          <w:numId w:val="12"/>
        </w:numPr>
        <w:tabs>
          <w:tab w:pos="1382" w:val="left" w:leader="none"/>
        </w:tabs>
        <w:spacing w:line="273" w:lineRule="auto" w:before="0" w:after="0"/>
        <w:ind w:left="2853" w:right="193" w:hanging="2633"/>
        <w:jc w:val="both"/>
        <w:rPr>
          <w:sz w:val="21"/>
        </w:rPr>
      </w:pPr>
      <w:r>
        <w:rPr>
          <w:b/>
          <w:spacing w:val="2"/>
          <w:sz w:val="21"/>
        </w:rPr>
        <w:t>保单贷款     </w:t>
      </w:r>
      <w:r>
        <w:rPr>
          <w:spacing w:val="-4"/>
          <w:sz w:val="21"/>
        </w:rPr>
        <w:t>在本合同有效期内且在累积有现金价值的情况下，您可以申请并经我们审核同意</w:t>
      </w:r>
      <w:r>
        <w:rPr>
          <w:spacing w:val="-3"/>
          <w:sz w:val="21"/>
        </w:rPr>
        <w:t>后办理保单贷款。除另有约定外，贷款金额不超过当时现金价值的 </w:t>
      </w:r>
      <w:r>
        <w:rPr>
          <w:sz w:val="21"/>
        </w:rPr>
        <w:t>80</w:t>
      </w:r>
      <w:r>
        <w:rPr>
          <w:spacing w:val="-1"/>
          <w:sz w:val="21"/>
        </w:rPr>
        <w:t>%扣除本合</w:t>
      </w:r>
      <w:r>
        <w:rPr>
          <w:spacing w:val="-4"/>
          <w:sz w:val="21"/>
        </w:rPr>
        <w:t>同未偿还的保单贷款本金及利息后的余额。每次贷款的期限最长不超过 </w:t>
      </w:r>
      <w:r>
        <w:rPr>
          <w:sz w:val="21"/>
        </w:rPr>
        <w:t>6</w:t>
      </w:r>
      <w:r>
        <w:rPr>
          <w:spacing w:val="-11"/>
          <w:sz w:val="21"/>
        </w:rPr>
        <w:t> 个月。</w:t>
      </w:r>
      <w:r>
        <w:rPr>
          <w:spacing w:val="-7"/>
          <w:sz w:val="21"/>
        </w:rPr>
        <w:t>贷款利息按</w:t>
      </w:r>
      <w:r>
        <w:rPr>
          <w:b/>
          <w:sz w:val="21"/>
        </w:rPr>
        <w:t>条款约定利率</w:t>
      </w:r>
      <w:r>
        <w:rPr>
          <w:sz w:val="21"/>
        </w:rPr>
        <w:t>（</w:t>
      </w:r>
      <w:r>
        <w:rPr>
          <w:spacing w:val="2"/>
          <w:sz w:val="21"/>
        </w:rPr>
        <w:t>见 </w:t>
      </w:r>
      <w:r>
        <w:rPr>
          <w:sz w:val="21"/>
        </w:rPr>
        <w:t>11.24）</w:t>
      </w:r>
      <w:r>
        <w:rPr>
          <w:spacing w:val="-3"/>
          <w:sz w:val="21"/>
        </w:rPr>
        <w:t>计算。贷款本金及利息在贷款到期时一并</w:t>
      </w:r>
      <w:r>
        <w:rPr>
          <w:spacing w:val="-5"/>
          <w:sz w:val="21"/>
        </w:rPr>
        <w:t>归还。若您到期未能足额偿还贷款本金及利息，则您所欠的贷款本金及利息将作</w:t>
      </w:r>
      <w:r>
        <w:rPr>
          <w:spacing w:val="-4"/>
          <w:sz w:val="21"/>
        </w:rPr>
        <w:t>为新的贷款本金计息。</w:t>
      </w:r>
    </w:p>
    <w:p>
      <w:pPr>
        <w:pStyle w:val="BodyText"/>
        <w:spacing w:line="237" w:lineRule="auto"/>
        <w:ind w:left="2853" w:right="203"/>
      </w:pPr>
      <w:r>
        <w:rPr/>
        <w:t>自未还贷款本金及利息加上其他各项欠款达到本合同现金价值时，本合同效力中止。</w:t>
      </w:r>
    </w:p>
    <w:p>
      <w:pPr>
        <w:spacing w:after="0" w:line="237" w:lineRule="auto"/>
        <w:sectPr>
          <w:type w:val="continuous"/>
          <w:pgSz w:w="11910" w:h="16840"/>
          <w:pgMar w:top="106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2"/>
      </w:tblGrid>
      <w:tr>
        <w:trPr>
          <w:trHeight w:val="2320" w:hRule="atLeast"/>
        </w:trPr>
        <w:tc>
          <w:tcPr>
            <w:tcW w:w="848" w:type="dxa"/>
          </w:tcPr>
          <w:p>
            <w:pPr>
              <w:pStyle w:val="TableParagraph"/>
              <w:spacing w:line="211" w:lineRule="exact"/>
              <w:ind w:left="107"/>
              <w:rPr>
                <w:b/>
                <w:sz w:val="21"/>
              </w:rPr>
            </w:pPr>
            <w:r>
              <w:rPr>
                <w:b/>
                <w:sz w:val="21"/>
              </w:rPr>
              <w:t>6.3</w:t>
            </w:r>
          </w:p>
        </w:tc>
        <w:tc>
          <w:tcPr>
            <w:tcW w:w="1813" w:type="dxa"/>
          </w:tcPr>
          <w:p>
            <w:pPr>
              <w:pStyle w:val="TableParagraph"/>
              <w:spacing w:line="211" w:lineRule="exact"/>
              <w:ind w:left="421"/>
              <w:rPr>
                <w:b/>
                <w:sz w:val="21"/>
              </w:rPr>
            </w:pPr>
            <w:r>
              <w:rPr>
                <w:b/>
                <w:sz w:val="21"/>
              </w:rPr>
              <w:t>减额交清</w:t>
            </w:r>
          </w:p>
        </w:tc>
        <w:tc>
          <w:tcPr>
            <w:tcW w:w="7532" w:type="dxa"/>
          </w:tcPr>
          <w:p>
            <w:pPr>
              <w:pStyle w:val="TableParagraph"/>
              <w:spacing w:line="211" w:lineRule="exact"/>
              <w:ind w:left="80"/>
              <w:rPr>
                <w:sz w:val="21"/>
              </w:rPr>
            </w:pPr>
            <w:r>
              <w:rPr>
                <w:sz w:val="21"/>
              </w:rPr>
              <w:t>在本合同有效期内，本合同生效后满两周年且在累积有现金价值的情况下，如果</w:t>
            </w:r>
          </w:p>
          <w:p>
            <w:pPr>
              <w:pStyle w:val="TableParagraph"/>
              <w:spacing w:line="273" w:lineRule="auto" w:before="37"/>
              <w:ind w:left="80" w:right="92"/>
              <w:jc w:val="both"/>
              <w:rPr>
                <w:sz w:val="21"/>
              </w:rPr>
            </w:pPr>
            <w:r>
              <w:rPr>
                <w:spacing w:val="-5"/>
                <w:sz w:val="21"/>
              </w:rPr>
              <w:t>您决定不再交纳续期保险费，可以向我们书面申请办理减额交清。我们以宽限期</w:t>
            </w:r>
            <w:r>
              <w:rPr>
                <w:spacing w:val="-4"/>
                <w:w w:val="100"/>
                <w:sz w:val="21"/>
              </w:rPr>
              <w:t>开始前一日本合同的现金价值作为一次性交清的</w:t>
            </w:r>
            <w:r>
              <w:rPr>
                <w:b/>
                <w:spacing w:val="-8"/>
                <w:w w:val="100"/>
                <w:sz w:val="21"/>
              </w:rPr>
              <w:t>净保险费</w:t>
            </w:r>
            <w:r>
              <w:rPr>
                <w:spacing w:val="-3"/>
                <w:w w:val="100"/>
                <w:sz w:val="21"/>
              </w:rPr>
              <w:t>（</w:t>
            </w:r>
            <w:r>
              <w:rPr>
                <w:w w:val="100"/>
                <w:sz w:val="21"/>
              </w:rPr>
              <w:t>见</w:t>
            </w:r>
            <w:r>
              <w:rPr>
                <w:spacing w:val="-53"/>
                <w:sz w:val="21"/>
              </w:rPr>
              <w:t> </w:t>
            </w:r>
            <w:r>
              <w:rPr>
                <w:spacing w:val="-3"/>
                <w:w w:val="100"/>
                <w:sz w:val="21"/>
              </w:rPr>
              <w:t>1</w:t>
            </w:r>
            <w:r>
              <w:rPr>
                <w:w w:val="100"/>
                <w:sz w:val="21"/>
              </w:rPr>
              <w:t>1.2</w:t>
            </w:r>
            <w:r>
              <w:rPr>
                <w:spacing w:val="-3"/>
                <w:w w:val="100"/>
                <w:sz w:val="21"/>
              </w:rPr>
              <w:t>5</w:t>
            </w:r>
            <w:r>
              <w:rPr>
                <w:spacing w:val="-108"/>
                <w:w w:val="100"/>
                <w:sz w:val="21"/>
              </w:rPr>
              <w:t>）</w:t>
            </w:r>
            <w:r>
              <w:rPr>
                <w:spacing w:val="-8"/>
                <w:w w:val="100"/>
                <w:sz w:val="21"/>
              </w:rPr>
              <w:t>，重新计算</w:t>
            </w:r>
            <w:r>
              <w:rPr>
                <w:spacing w:val="-5"/>
                <w:sz w:val="21"/>
              </w:rPr>
              <w:t>减额交清后的基本保险金额。减额交清后，本合同的基本保险金额会相应减少。</w:t>
            </w:r>
            <w:r>
              <w:rPr>
                <w:spacing w:val="-4"/>
                <w:sz w:val="21"/>
              </w:rPr>
              <w:t>您不需要再交纳保险费，本合同继续有效。</w:t>
            </w:r>
          </w:p>
          <w:p>
            <w:pPr>
              <w:pStyle w:val="TableParagraph"/>
              <w:spacing w:before="7"/>
              <w:ind w:left="80"/>
              <w:jc w:val="both"/>
              <w:rPr>
                <w:sz w:val="21"/>
              </w:rPr>
            </w:pPr>
            <w:r>
              <w:rPr>
                <w:sz w:val="21"/>
              </w:rPr>
              <w:t>在您申请减额交清时，如果您有欠款，请您先行偿还各项欠款。</w:t>
            </w:r>
          </w:p>
          <w:p>
            <w:pPr>
              <w:pStyle w:val="TableParagraph"/>
              <w:spacing w:before="15"/>
              <w:ind w:left="80"/>
              <w:jc w:val="both"/>
              <w:rPr>
                <w:sz w:val="21"/>
              </w:rPr>
            </w:pPr>
            <w:r>
              <w:rPr>
                <w:sz w:val="21"/>
              </w:rPr>
              <w:t>减额交清后，本合同的年交保险费应以减额交清后的基本保险金额重新计算。</w:t>
            </w:r>
          </w:p>
        </w:tc>
      </w:tr>
      <w:tr>
        <w:trPr>
          <w:trHeight w:val="710" w:hRule="atLeast"/>
        </w:trPr>
        <w:tc>
          <w:tcPr>
            <w:tcW w:w="848" w:type="dxa"/>
            <w:tcBorders>
              <w:bottom w:val="double" w:sz="1" w:space="0" w:color="000000"/>
            </w:tcBorders>
          </w:tcPr>
          <w:p>
            <w:pPr>
              <w:pStyle w:val="TableParagraph"/>
              <w:spacing w:before="172"/>
              <w:ind w:left="107"/>
              <w:rPr>
                <w:b/>
                <w:sz w:val="28"/>
              </w:rPr>
            </w:pPr>
            <w:r>
              <w:rPr>
                <w:b/>
                <w:w w:val="99"/>
                <w:sz w:val="28"/>
              </w:rPr>
              <w:t>7</w:t>
            </w:r>
          </w:p>
        </w:tc>
        <w:tc>
          <w:tcPr>
            <w:tcW w:w="9345" w:type="dxa"/>
            <w:gridSpan w:val="2"/>
            <w:tcBorders>
              <w:bottom w:val="double" w:sz="1" w:space="0" w:color="000000"/>
            </w:tcBorders>
          </w:tcPr>
          <w:p>
            <w:pPr>
              <w:pStyle w:val="TableParagraph"/>
              <w:spacing w:before="172"/>
              <w:ind w:left="421"/>
              <w:rPr>
                <w:b/>
                <w:sz w:val="28"/>
              </w:rPr>
            </w:pPr>
            <w:r>
              <w:rPr>
                <w:b/>
                <w:w w:val="95"/>
                <w:sz w:val="28"/>
              </w:rPr>
              <w:t>合同效力的中止与恢复</w:t>
            </w:r>
          </w:p>
        </w:tc>
      </w:tr>
      <w:tr>
        <w:trPr>
          <w:trHeight w:val="937" w:hRule="atLeast"/>
        </w:trPr>
        <w:tc>
          <w:tcPr>
            <w:tcW w:w="848"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21" w:right="82"/>
              <w:rPr>
                <w:b/>
                <w:sz w:val="21"/>
              </w:rPr>
            </w:pPr>
            <w:r>
              <w:rPr>
                <w:b/>
                <w:sz w:val="21"/>
              </w:rPr>
              <w:t>合同效力中止</w:t>
            </w:r>
          </w:p>
        </w:tc>
        <w:tc>
          <w:tcPr>
            <w:tcW w:w="7532" w:type="dxa"/>
            <w:tcBorders>
              <w:top w:val="double" w:sz="1" w:space="0" w:color="000000"/>
            </w:tcBorders>
          </w:tcPr>
          <w:p>
            <w:pPr>
              <w:pStyle w:val="TableParagraph"/>
              <w:spacing w:before="186"/>
              <w:ind w:left="80"/>
              <w:rPr>
                <w:sz w:val="21"/>
              </w:rPr>
            </w:pPr>
            <w:r>
              <w:rPr>
                <w:rFonts w:ascii="Times New Roman" w:eastAsia="Times New Roman"/>
                <w:spacing w:val="-53"/>
                <w:w w:val="100"/>
                <w:sz w:val="21"/>
                <w:shd w:fill="E4E4E4" w:color="auto" w:val="clear"/>
              </w:rPr>
              <w:t> </w:t>
            </w:r>
            <w:r>
              <w:rPr>
                <w:spacing w:val="-3"/>
                <w:sz w:val="21"/>
                <w:shd w:fill="E4E4E4" w:color="auto" w:val="clear"/>
              </w:rPr>
              <w:t>在本合同效力中止期间，我们不承担保险责任。</w:t>
            </w:r>
          </w:p>
        </w:tc>
      </w:tr>
      <w:tr>
        <w:trPr>
          <w:trHeight w:val="2585" w:hRule="atLeast"/>
        </w:trPr>
        <w:tc>
          <w:tcPr>
            <w:tcW w:w="848" w:type="dxa"/>
          </w:tcPr>
          <w:p>
            <w:pPr>
              <w:pStyle w:val="TableParagraph"/>
              <w:spacing w:before="100"/>
              <w:ind w:left="107"/>
              <w:rPr>
                <w:b/>
                <w:sz w:val="21"/>
              </w:rPr>
            </w:pPr>
            <w:r>
              <w:rPr>
                <w:b/>
                <w:sz w:val="21"/>
              </w:rPr>
              <w:t>7.2</w:t>
            </w:r>
          </w:p>
        </w:tc>
        <w:tc>
          <w:tcPr>
            <w:tcW w:w="1813" w:type="dxa"/>
          </w:tcPr>
          <w:p>
            <w:pPr>
              <w:pStyle w:val="TableParagraph"/>
              <w:spacing w:line="273" w:lineRule="auto" w:before="100"/>
              <w:ind w:left="421" w:right="82"/>
              <w:rPr>
                <w:b/>
                <w:sz w:val="21"/>
              </w:rPr>
            </w:pPr>
            <w:r>
              <w:rPr>
                <w:b/>
                <w:sz w:val="21"/>
              </w:rPr>
              <w:t>合同效力恢复（复效）</w:t>
            </w:r>
          </w:p>
        </w:tc>
        <w:tc>
          <w:tcPr>
            <w:tcW w:w="7532" w:type="dxa"/>
          </w:tcPr>
          <w:p>
            <w:pPr>
              <w:pStyle w:val="TableParagraph"/>
              <w:spacing w:line="273" w:lineRule="auto" w:before="100"/>
              <w:ind w:left="80" w:right="103"/>
              <w:jc w:val="both"/>
              <w:rPr>
                <w:sz w:val="21"/>
              </w:rPr>
            </w:pPr>
            <w:r>
              <w:rPr>
                <w:spacing w:val="-2"/>
                <w:sz w:val="21"/>
              </w:rPr>
              <w:t>本合同效力中止后 </w:t>
            </w:r>
            <w:r>
              <w:rPr>
                <w:sz w:val="21"/>
              </w:rPr>
              <w:t>2</w:t>
            </w:r>
            <w:r>
              <w:rPr>
                <w:spacing w:val="-3"/>
                <w:sz w:val="21"/>
              </w:rPr>
              <w:t> 年内，您可以申请恢复合同效力</w:t>
            </w:r>
            <w:r>
              <w:rPr>
                <w:sz w:val="21"/>
              </w:rPr>
              <w:t>（</w:t>
            </w:r>
            <w:r>
              <w:rPr>
                <w:spacing w:val="-3"/>
                <w:sz w:val="21"/>
              </w:rPr>
              <w:t>简称复效</w:t>
            </w:r>
            <w:r>
              <w:rPr>
                <w:spacing w:val="-109"/>
                <w:sz w:val="21"/>
              </w:rPr>
              <w:t>）</w:t>
            </w:r>
            <w:r>
              <w:rPr>
                <w:spacing w:val="-3"/>
                <w:sz w:val="21"/>
              </w:rPr>
              <w:t>。您应填写复</w:t>
            </w:r>
            <w:r>
              <w:rPr>
                <w:spacing w:val="-4"/>
                <w:sz w:val="21"/>
              </w:rPr>
              <w:t>效申请书，并提供被保险人的健康声明书、体检报告书及其他相关证明文件，我</w:t>
            </w:r>
            <w:r>
              <w:rPr>
                <w:spacing w:val="-3"/>
                <w:sz w:val="21"/>
              </w:rPr>
              <w:t>们会对材料进行审核，做出是否同意复效的决定。</w:t>
            </w:r>
          </w:p>
          <w:p>
            <w:pPr>
              <w:pStyle w:val="TableParagraph"/>
              <w:spacing w:line="273" w:lineRule="auto" w:before="7"/>
              <w:ind w:left="80"/>
              <w:rPr>
                <w:sz w:val="21"/>
              </w:rPr>
            </w:pPr>
            <w:r>
              <w:rPr>
                <w:sz w:val="21"/>
              </w:rPr>
              <w:t>经双方达成复效协议，自您补交保险费及利息（按条款约定利率计算</w:t>
            </w:r>
            <w:r>
              <w:rPr>
                <w:spacing w:val="-104"/>
                <w:sz w:val="21"/>
              </w:rPr>
              <w:t>）</w:t>
            </w:r>
            <w:r>
              <w:rPr>
                <w:sz w:val="21"/>
              </w:rPr>
              <w:t>、保单贷</w:t>
            </w:r>
            <w:r>
              <w:rPr>
                <w:spacing w:val="-11"/>
                <w:sz w:val="21"/>
              </w:rPr>
              <w:t>款及利息</w:t>
            </w:r>
            <w:r>
              <w:rPr>
                <w:spacing w:val="-3"/>
                <w:sz w:val="21"/>
              </w:rPr>
              <w:t>（按条款约定利率计算</w:t>
            </w:r>
            <w:r>
              <w:rPr>
                <w:spacing w:val="-39"/>
                <w:sz w:val="21"/>
              </w:rPr>
              <w:t>）</w:t>
            </w:r>
            <w:r>
              <w:rPr>
                <w:spacing w:val="-6"/>
                <w:sz w:val="21"/>
              </w:rPr>
              <w:t>和其他欠款后的次日零时起，本合同效力恢复。</w:t>
            </w:r>
            <w:r>
              <w:rPr>
                <w:spacing w:val="-8"/>
                <w:sz w:val="21"/>
              </w:rPr>
              <w:t>自本合同效力中止之日起满 </w:t>
            </w:r>
            <w:r>
              <w:rPr>
                <w:sz w:val="21"/>
              </w:rPr>
              <w:t>2</w:t>
            </w:r>
            <w:r>
              <w:rPr>
                <w:spacing w:val="-8"/>
                <w:sz w:val="21"/>
              </w:rPr>
              <w:t> 年您和我们未达成协议的，本合同终止，您可以向</w:t>
            </w:r>
            <w:r>
              <w:rPr>
                <w:spacing w:val="-3"/>
                <w:sz w:val="21"/>
              </w:rPr>
              <w:t>我们申请退还本合同效力中止时的现金价值。</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8</w:t>
            </w:r>
          </w:p>
        </w:tc>
        <w:tc>
          <w:tcPr>
            <w:tcW w:w="1813" w:type="dxa"/>
            <w:tcBorders>
              <w:bottom w:val="double" w:sz="1" w:space="0" w:color="000000"/>
            </w:tcBorders>
          </w:tcPr>
          <w:p>
            <w:pPr>
              <w:pStyle w:val="TableParagraph"/>
              <w:spacing w:before="251"/>
              <w:ind w:left="421"/>
              <w:rPr>
                <w:b/>
                <w:sz w:val="28"/>
              </w:rPr>
            </w:pPr>
            <w:r>
              <w:rPr>
                <w:b/>
                <w:sz w:val="28"/>
              </w:rPr>
              <w:t>合同解除</w:t>
            </w:r>
          </w:p>
        </w:tc>
        <w:tc>
          <w:tcPr>
            <w:tcW w:w="7532" w:type="dxa"/>
            <w:tcBorders>
              <w:bottom w:val="double" w:sz="1" w:space="0" w:color="000000"/>
            </w:tcBorders>
          </w:tcPr>
          <w:p>
            <w:pPr>
              <w:pStyle w:val="TableParagraph"/>
              <w:ind w:left="0"/>
              <w:rPr>
                <w:rFonts w:ascii="Times New Roman"/>
                <w:sz w:val="20"/>
              </w:rPr>
            </w:pPr>
          </w:p>
        </w:tc>
      </w:tr>
      <w:tr>
        <w:trPr>
          <w:trHeight w:val="2670" w:hRule="atLeast"/>
        </w:trPr>
        <w:tc>
          <w:tcPr>
            <w:tcW w:w="848"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21" w:right="82"/>
              <w:jc w:val="both"/>
              <w:rPr>
                <w:b/>
                <w:sz w:val="21"/>
              </w:rPr>
            </w:pPr>
            <w:r>
              <w:rPr>
                <w:b/>
                <w:sz w:val="21"/>
              </w:rPr>
              <w:t>犹豫期后解除合同（退保）的手续及风险</w:t>
            </w:r>
          </w:p>
        </w:tc>
        <w:tc>
          <w:tcPr>
            <w:tcW w:w="7532"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80" w:right="104"/>
              <w:rPr>
                <w:sz w:val="21"/>
              </w:rPr>
            </w:pPr>
            <w:r>
              <w:rPr>
                <w:w w:val="100"/>
                <w:sz w:val="21"/>
              </w:rPr>
              <w:t>如您在犹豫期后申请解除本合同（简称退保</w:t>
            </w:r>
            <w:r>
              <w:rPr>
                <w:spacing w:val="-100"/>
                <w:w w:val="100"/>
                <w:sz w:val="21"/>
              </w:rPr>
              <w:t>）</w:t>
            </w:r>
            <w:r>
              <w:rPr>
                <w:w w:val="100"/>
                <w:sz w:val="21"/>
              </w:rPr>
              <w:t>，请填写解除合同申请书并向我们</w:t>
            </w:r>
            <w:r>
              <w:rPr>
                <w:spacing w:val="-2"/>
                <w:sz w:val="21"/>
              </w:rPr>
              <w:t>提供下列资料：</w:t>
            </w:r>
          </w:p>
          <w:p>
            <w:pPr>
              <w:pStyle w:val="TableParagraph"/>
              <w:spacing w:before="7"/>
              <w:ind w:left="80"/>
              <w:rPr>
                <w:sz w:val="21"/>
              </w:rPr>
            </w:pPr>
            <w:r>
              <w:rPr>
                <w:sz w:val="21"/>
              </w:rPr>
              <w:t>（1）保险合同；</w:t>
            </w:r>
          </w:p>
          <w:p>
            <w:pPr>
              <w:pStyle w:val="TableParagraph"/>
              <w:spacing w:before="36"/>
              <w:ind w:left="80"/>
              <w:rPr>
                <w:sz w:val="21"/>
              </w:rPr>
            </w:pPr>
            <w:r>
              <w:rPr>
                <w:sz w:val="21"/>
              </w:rPr>
              <w:t>（2）您的有效身份证件。</w:t>
            </w:r>
          </w:p>
          <w:p>
            <w:pPr>
              <w:pStyle w:val="TableParagraph"/>
              <w:spacing w:line="273" w:lineRule="auto" w:before="36"/>
              <w:ind w:left="80" w:right="101"/>
              <w:rPr>
                <w:sz w:val="21"/>
              </w:rPr>
            </w:pPr>
            <w:r>
              <w:rPr>
                <w:sz w:val="21"/>
              </w:rPr>
              <w:t>自我们收到解除合同申请书时起，本合同终止。我们自收到解除合同申请书之日起 30 日内向您退还本合同当时的现金价值。</w:t>
            </w:r>
          </w:p>
          <w:p>
            <w:pPr>
              <w:pStyle w:val="TableParagraph"/>
              <w:spacing w:before="7"/>
              <w:ind w:left="80"/>
              <w:rPr>
                <w:sz w:val="21"/>
              </w:rPr>
            </w:pPr>
            <w:r>
              <w:rPr>
                <w:sz w:val="21"/>
              </w:rPr>
              <w:t>您犹豫期后解除合同会遭受一定损失。</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9</w:t>
            </w:r>
          </w:p>
        </w:tc>
        <w:tc>
          <w:tcPr>
            <w:tcW w:w="1813" w:type="dxa"/>
            <w:tcBorders>
              <w:bottom w:val="double" w:sz="1" w:space="0" w:color="000000"/>
            </w:tcBorders>
          </w:tcPr>
          <w:p>
            <w:pPr>
              <w:pStyle w:val="TableParagraph"/>
              <w:spacing w:before="251"/>
              <w:ind w:left="421"/>
              <w:rPr>
                <w:b/>
                <w:sz w:val="28"/>
              </w:rPr>
            </w:pPr>
            <w:r>
              <w:rPr>
                <w:b/>
                <w:sz w:val="28"/>
              </w:rPr>
              <w:t>如实告知</w:t>
            </w:r>
          </w:p>
        </w:tc>
        <w:tc>
          <w:tcPr>
            <w:tcW w:w="7532" w:type="dxa"/>
            <w:tcBorders>
              <w:bottom w:val="double" w:sz="1" w:space="0" w:color="000000"/>
            </w:tcBorders>
          </w:tcPr>
          <w:p>
            <w:pPr>
              <w:pStyle w:val="TableParagraph"/>
              <w:ind w:left="0"/>
              <w:rPr>
                <w:rFonts w:ascii="Times New Roman"/>
                <w:sz w:val="20"/>
              </w:rPr>
            </w:pPr>
          </w:p>
        </w:tc>
      </w:tr>
      <w:tr>
        <w:trPr>
          <w:trHeight w:val="3267" w:hRule="atLeast"/>
        </w:trPr>
        <w:tc>
          <w:tcPr>
            <w:tcW w:w="848"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9.1</w:t>
            </w:r>
          </w:p>
        </w:tc>
        <w:tc>
          <w:tcPr>
            <w:tcW w:w="1813"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21" w:right="82"/>
              <w:rPr>
                <w:b/>
                <w:sz w:val="21"/>
              </w:rPr>
            </w:pPr>
            <w:r>
              <w:rPr>
                <w:b/>
                <w:sz w:val="21"/>
              </w:rPr>
              <w:t>明确说明与如实告知</w:t>
            </w:r>
          </w:p>
        </w:tc>
        <w:tc>
          <w:tcPr>
            <w:tcW w:w="7532" w:type="dxa"/>
            <w:tcBorders>
              <w:top w:val="double" w:sz="1" w:space="0" w:color="000000"/>
            </w:tcBorders>
          </w:tcPr>
          <w:p>
            <w:pPr>
              <w:pStyle w:val="TableParagraph"/>
              <w:spacing w:before="11"/>
              <w:ind w:left="0"/>
              <w:rPr>
                <w:rFonts w:ascii="Times New Roman"/>
                <w:sz w:val="15"/>
              </w:rPr>
            </w:pPr>
          </w:p>
          <w:p>
            <w:pPr>
              <w:pStyle w:val="TableParagraph"/>
              <w:ind w:left="80"/>
              <w:rPr>
                <w:sz w:val="21"/>
              </w:rPr>
            </w:pPr>
            <w:r>
              <w:rPr>
                <w:sz w:val="21"/>
              </w:rPr>
              <w:t>订立本合同时，我们会向您说明本合同的内容。</w:t>
            </w:r>
          </w:p>
          <w:p>
            <w:pPr>
              <w:pStyle w:val="TableParagraph"/>
              <w:spacing w:line="273" w:lineRule="auto" w:before="37"/>
              <w:ind w:left="80" w:right="101"/>
              <w:jc w:val="both"/>
              <w:rPr>
                <w:sz w:val="21"/>
              </w:rPr>
            </w:pPr>
            <w:r>
              <w:rPr>
                <w:sz w:val="21"/>
              </w:rPr>
              <w:t>本合同中免除我们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80"/>
              <w:jc w:val="both"/>
              <w:rPr>
                <w:sz w:val="21"/>
              </w:rPr>
            </w:pPr>
            <w:r>
              <w:rPr>
                <w:sz w:val="21"/>
              </w:rPr>
              <w:t>我们就您和被保险人的有关情况提出询问，您应当如实告知。</w:t>
            </w:r>
          </w:p>
          <w:p>
            <w:pPr>
              <w:pStyle w:val="TableParagraph"/>
              <w:spacing w:before="37"/>
              <w:ind w:left="80"/>
              <w:jc w:val="both"/>
              <w:rPr>
                <w:sz w:val="21"/>
              </w:rPr>
            </w:pPr>
            <w:r>
              <w:rPr>
                <w:rFonts w:ascii="Times New Roman" w:eastAsia="Times New Roman"/>
                <w:spacing w:val="-53"/>
                <w:w w:val="100"/>
                <w:sz w:val="21"/>
                <w:shd w:fill="E4E4E4" w:color="auto" w:val="clear"/>
              </w:rPr>
              <w:t> </w:t>
            </w:r>
            <w:r>
              <w:rPr>
                <w:spacing w:val="-4"/>
                <w:sz w:val="21"/>
                <w:shd w:fill="E4E4E4" w:color="auto" w:val="clear"/>
              </w:rPr>
              <w:t>如果您故意或者因重大过失未履行前款规定的如实告知义务，足以影响我们决定</w:t>
            </w:r>
          </w:p>
          <w:p>
            <w:pPr>
              <w:pStyle w:val="TableParagraph"/>
              <w:spacing w:before="37"/>
              <w:ind w:left="80"/>
              <w:jc w:val="both"/>
              <w:rPr>
                <w:sz w:val="21"/>
              </w:rPr>
            </w:pPr>
            <w:r>
              <w:rPr>
                <w:rFonts w:ascii="Times New Roman" w:eastAsia="Times New Roman"/>
                <w:spacing w:val="-53"/>
                <w:w w:val="100"/>
                <w:sz w:val="21"/>
                <w:shd w:fill="E4E4E4" w:color="auto" w:val="clear"/>
              </w:rPr>
              <w:t> </w:t>
            </w:r>
            <w:r>
              <w:rPr>
                <w:spacing w:val="-3"/>
                <w:sz w:val="21"/>
                <w:shd w:fill="E4E4E4" w:color="auto" w:val="clear"/>
              </w:rPr>
              <w:t>是否同意承保或者提高保险费率的，我们有权解除本合同。</w:t>
            </w:r>
          </w:p>
          <w:p>
            <w:pPr>
              <w:pStyle w:val="TableParagraph"/>
              <w:spacing w:before="37"/>
              <w:ind w:left="80"/>
              <w:jc w:val="both"/>
              <w:rPr>
                <w:sz w:val="21"/>
              </w:rPr>
            </w:pPr>
            <w:r>
              <w:rPr>
                <w:rFonts w:ascii="Times New Roman" w:eastAsia="Times New Roman"/>
                <w:spacing w:val="-53"/>
                <w:w w:val="100"/>
                <w:sz w:val="21"/>
                <w:shd w:fill="E4E4E4" w:color="auto" w:val="clear"/>
              </w:rPr>
              <w:t> </w:t>
            </w:r>
            <w:r>
              <w:rPr>
                <w:spacing w:val="-5"/>
                <w:sz w:val="21"/>
                <w:shd w:fill="E4E4E4" w:color="auto" w:val="clear"/>
              </w:rPr>
              <w:t>如果您故意不履行如实告知义务，对于本合同解除前发生的保险事故，我们不承</w:t>
            </w:r>
          </w:p>
          <w:p>
            <w:pPr>
              <w:pStyle w:val="TableParagraph"/>
              <w:spacing w:before="36"/>
              <w:ind w:left="80"/>
              <w:jc w:val="both"/>
              <w:rPr>
                <w:sz w:val="21"/>
              </w:rPr>
            </w:pPr>
            <w:r>
              <w:rPr>
                <w:rFonts w:ascii="Times New Roman" w:eastAsia="Times New Roman"/>
                <w:spacing w:val="-53"/>
                <w:w w:val="100"/>
                <w:sz w:val="21"/>
                <w:shd w:fill="E4E4E4" w:color="auto" w:val="clear"/>
              </w:rPr>
              <w:t> </w:t>
            </w:r>
            <w:r>
              <w:rPr>
                <w:spacing w:val="-3"/>
                <w:sz w:val="21"/>
                <w:shd w:fill="E4E4E4" w:color="auto" w:val="clear"/>
              </w:rPr>
              <w:t>担给付保险金的责任，并不退还保险费。</w:t>
            </w:r>
          </w:p>
          <w:p>
            <w:pPr>
              <w:pStyle w:val="TableParagraph"/>
              <w:spacing w:line="255" w:lineRule="exact" w:before="36"/>
              <w:ind w:left="80"/>
              <w:jc w:val="both"/>
              <w:rPr>
                <w:sz w:val="21"/>
              </w:rPr>
            </w:pPr>
            <w:r>
              <w:rPr>
                <w:rFonts w:ascii="Times New Roman" w:eastAsia="Times New Roman"/>
                <w:spacing w:val="-53"/>
                <w:w w:val="100"/>
                <w:sz w:val="21"/>
                <w:shd w:fill="E4E4E4" w:color="auto" w:val="clear"/>
              </w:rPr>
              <w:t> </w:t>
            </w:r>
            <w:r>
              <w:rPr>
                <w:spacing w:val="-5"/>
                <w:sz w:val="21"/>
                <w:shd w:fill="E4E4E4" w:color="auto" w:val="clear"/>
              </w:rPr>
              <w:t>如果您因重大过失未履行如实告知义务，对保险事故的发生有严重影响的，对于</w:t>
            </w:r>
          </w:p>
        </w:tc>
      </w:tr>
    </w:tbl>
    <w:p>
      <w:pPr>
        <w:spacing w:after="0" w:line="255" w:lineRule="exact"/>
        <w:jc w:val="both"/>
        <w:rPr>
          <w:sz w:val="21"/>
        </w:rPr>
        <w:sectPr>
          <w:pgSz w:w="11910" w:h="16840"/>
          <w:pgMar w:header="568" w:footer="0" w:top="800" w:bottom="280" w:left="800" w:right="700"/>
        </w:sectPr>
      </w:pPr>
    </w:p>
    <w:p>
      <w:pPr>
        <w:pStyle w:val="BodyText"/>
        <w:spacing w:before="11"/>
        <w:rPr>
          <w:rFonts w:ascii="Times New Roman"/>
          <w:sz w:val="23"/>
        </w:rPr>
      </w:pPr>
    </w:p>
    <w:p>
      <w:pPr>
        <w:pStyle w:val="BodyText"/>
        <w:spacing w:before="43"/>
        <w:ind w:left="2853"/>
      </w:pPr>
      <w:r>
        <w:rPr>
          <w:rFonts w:ascii="Times New Roman" w:eastAsia="Times New Roman"/>
          <w:spacing w:val="-53"/>
          <w:w w:val="100"/>
          <w:shd w:fill="E4E4E4" w:color="auto" w:val="clear"/>
        </w:rPr>
        <w:t> </w:t>
      </w:r>
      <w:r>
        <w:rPr>
          <w:spacing w:val="-5"/>
          <w:shd w:fill="E4E4E4" w:color="auto" w:val="clear"/>
        </w:rPr>
        <w:t>本合同解除前发生的保险事故，我们不承担给付保险金的责任，但应当退还保险</w:t>
      </w:r>
    </w:p>
    <w:p>
      <w:pPr>
        <w:pStyle w:val="BodyText"/>
        <w:spacing w:before="37"/>
        <w:ind w:left="2853"/>
      </w:pPr>
      <w:r>
        <w:rPr>
          <w:rFonts w:ascii="Times New Roman" w:eastAsia="Times New Roman"/>
          <w:spacing w:val="-53"/>
          <w:w w:val="100"/>
          <w:shd w:fill="E4E4E4" w:color="auto" w:val="clear"/>
        </w:rPr>
        <w:t> </w:t>
      </w:r>
      <w:r>
        <w:rPr>
          <w:shd w:fill="E4E4E4" w:color="auto" w:val="clear"/>
        </w:rPr>
        <w:t>费。</w:t>
      </w:r>
    </w:p>
    <w:p>
      <w:pPr>
        <w:pStyle w:val="BodyText"/>
        <w:spacing w:line="273" w:lineRule="auto" w:before="37"/>
        <w:ind w:left="2853" w:right="223"/>
      </w:pPr>
      <w:r>
        <w:rPr/>
        <w:t>我们在合同订立时已经知道您未如实告知的情况的，我们不得解除合同；发生保险事故的，我们承担给付保险金的责任。</w:t>
      </w:r>
    </w:p>
    <w:p>
      <w:pPr>
        <w:pStyle w:val="BodyText"/>
        <w:spacing w:before="5"/>
        <w:rPr>
          <w:sz w:val="15"/>
        </w:rPr>
      </w:pPr>
    </w:p>
    <w:p>
      <w:pPr>
        <w:spacing w:after="0"/>
        <w:rPr>
          <w:sz w:val="15"/>
        </w:rPr>
        <w:sectPr>
          <w:pgSz w:w="11910" w:h="16840"/>
          <w:pgMar w:header="568" w:footer="0" w:top="800" w:bottom="280" w:left="800" w:right="680"/>
        </w:sectPr>
      </w:pPr>
    </w:p>
    <w:p>
      <w:pPr>
        <w:pStyle w:val="Heading3"/>
        <w:spacing w:line="273" w:lineRule="auto"/>
        <w:jc w:val="both"/>
      </w:pPr>
      <w:r>
        <w:rPr/>
        <w:t>9.2      本公司合同解除权的限制</w:t>
      </w:r>
    </w:p>
    <w:p>
      <w:pPr>
        <w:pStyle w:val="BodyText"/>
        <w:spacing w:before="36"/>
        <w:ind w:left="123"/>
      </w:pPr>
      <w:r>
        <w:rPr/>
        <w:br w:type="column"/>
      </w:r>
      <w:r>
        <w:rPr/>
        <w:t>前条规定的合同解除权，自我们知道有解除事由之日起，超过 30 日不行使而消</w:t>
      </w:r>
    </w:p>
    <w:p>
      <w:pPr>
        <w:pStyle w:val="BodyText"/>
        <w:spacing w:line="273" w:lineRule="auto" w:before="37"/>
        <w:ind w:left="123" w:right="222"/>
      </w:pPr>
      <w:r>
        <w:rPr>
          <w:spacing w:val="-6"/>
        </w:rPr>
        <w:t>灭。自本合同成立之日起超过 </w:t>
      </w:r>
      <w:r>
        <w:rPr/>
        <w:t>2</w:t>
      </w:r>
      <w:r>
        <w:rPr>
          <w:spacing w:val="-8"/>
        </w:rPr>
        <w:t> 年的，我们不得解除合同；发生保险事故的，我</w:t>
      </w:r>
      <w:r>
        <w:rPr>
          <w:spacing w:val="-5"/>
        </w:rPr>
        <w:t>们承担给付保险金的责任。</w:t>
      </w:r>
    </w:p>
    <w:p>
      <w:pPr>
        <w:spacing w:after="0" w:line="273" w:lineRule="auto"/>
        <w:sectPr>
          <w:type w:val="continuous"/>
          <w:pgSz w:w="11910" w:h="16840"/>
          <w:pgMar w:top="1060" w:bottom="280" w:left="800" w:right="680"/>
          <w:cols w:num="2" w:equalWidth="0">
            <w:col w:w="2691" w:space="40"/>
            <w:col w:w="7699"/>
          </w:cols>
        </w:sectPr>
      </w:pPr>
    </w:p>
    <w:p>
      <w:pPr>
        <w:pStyle w:val="BodyText"/>
        <w:rPr>
          <w:sz w:val="20"/>
        </w:rPr>
      </w:pPr>
    </w:p>
    <w:p>
      <w:pPr>
        <w:pStyle w:val="BodyText"/>
        <w:spacing w:before="8"/>
      </w:pPr>
    </w:p>
    <w:p>
      <w:pPr>
        <w:pStyle w:val="Heading2"/>
        <w:numPr>
          <w:ilvl w:val="0"/>
          <w:numId w:val="13"/>
        </w:numPr>
        <w:tabs>
          <w:tab w:pos="1381" w:val="left" w:leader="none"/>
          <w:tab w:pos="1382" w:val="left" w:leader="none"/>
        </w:tabs>
        <w:spacing w:line="240" w:lineRule="auto" w:before="14" w:after="0"/>
        <w:ind w:left="1382" w:right="0" w:hanging="1162"/>
        <w:jc w:val="left"/>
      </w:pPr>
      <w:r>
        <w:rPr>
          <w:w w:val="95"/>
        </w:rPr>
        <w:t>其他需要关注的事项</w:t>
      </w:r>
    </w:p>
    <w:p>
      <w:pPr>
        <w:pStyle w:val="BodyText"/>
        <w:rPr>
          <w:b/>
          <w:sz w:val="10"/>
        </w:rPr>
      </w:pPr>
      <w:r>
        <w:rPr/>
        <w:pict>
          <v:group style="position:absolute;margin-left:45.599998pt;margin-top:8.552620pt;width:509.55pt;height:1.45pt;mso-position-horizontal-relative:page;mso-position-vertical-relative:paragraph;z-index:1120;mso-wrap-distance-left:0;mso-wrap-distance-right:0" coordorigin="912,171" coordsize="10191,29">
            <v:line style="position:absolute" from="912,176" to="2072,176" stroked="true" strokeweight=".48pt" strokecolor="#000000">
              <v:stroke dashstyle="solid"/>
            </v:line>
            <v:line style="position:absolute" from="912,195" to="2072,195" stroked="true" strokeweight=".4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pt" strokecolor="#000000">
              <v:stroke dashstyle="solid"/>
            </v:line>
            <v:line style="position:absolute" from="2100,195" to="3543,195"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pt" strokecolor="#000000">
              <v:stroke dashstyle="solid"/>
            </v:line>
            <v:line style="position:absolute" from="3572,195" to="11102,195" stroked="true" strokeweight=".48pt" strokecolor="#000000">
              <v:stroke dashstyle="solid"/>
            </v:line>
            <w10:wrap type="topAndBottom"/>
          </v:group>
        </w:pict>
      </w:r>
    </w:p>
    <w:p>
      <w:pPr>
        <w:pStyle w:val="BodyText"/>
        <w:spacing w:before="3"/>
        <w:rPr>
          <w:b/>
          <w:sz w:val="9"/>
        </w:rPr>
      </w:pPr>
    </w:p>
    <w:p>
      <w:pPr>
        <w:spacing w:after="0"/>
        <w:rPr>
          <w:sz w:val="9"/>
        </w:rPr>
        <w:sectPr>
          <w:type w:val="continuous"/>
          <w:pgSz w:w="11910" w:h="16840"/>
          <w:pgMar w:top="1060" w:bottom="280" w:left="800" w:right="680"/>
        </w:sectPr>
      </w:pPr>
    </w:p>
    <w:p>
      <w:pPr>
        <w:pStyle w:val="Heading3"/>
        <w:numPr>
          <w:ilvl w:val="1"/>
          <w:numId w:val="13"/>
        </w:numPr>
        <w:tabs>
          <w:tab w:pos="1381" w:val="left" w:leader="none"/>
          <w:tab w:pos="1382" w:val="left" w:leader="none"/>
        </w:tabs>
        <w:spacing w:line="273" w:lineRule="auto" w:before="36" w:after="0"/>
        <w:ind w:left="1382" w:right="0" w:hanging="1162"/>
        <w:jc w:val="left"/>
      </w:pPr>
      <w:r>
        <w:rPr>
          <w:spacing w:val="40"/>
        </w:rPr>
        <w:t>年龄性别错误处理</w:t>
      </w:r>
    </w:p>
    <w:p>
      <w:pPr>
        <w:pStyle w:val="BodyText"/>
        <w:spacing w:line="273" w:lineRule="auto" w:before="36"/>
        <w:ind w:left="123" w:right="215" w:firstLine="2"/>
      </w:pPr>
      <w:r>
        <w:rPr/>
        <w:br w:type="column"/>
      </w:r>
      <w:r>
        <w:rPr/>
        <w:t>被保险人的年龄以周岁计算，您在申请投保时，应将与有效身份证件相符的被保险人的出生日期和真实性别在投保单上填明，如果发生错误按照下列方式办理：</w:t>
      </w:r>
    </w:p>
    <w:p>
      <w:pPr>
        <w:pStyle w:val="BodyText"/>
        <w:spacing w:before="7"/>
        <w:ind w:left="123"/>
      </w:pPr>
      <w:r>
        <w:rPr/>
        <w:t>（1）</w:t>
      </w:r>
      <w:r>
        <w:rPr>
          <w:shd w:fill="E4E4E4" w:color="auto" w:val="clear"/>
        </w:rPr>
        <w:t>您申报的被保险人年龄不真实，并且真实年龄不符合本合同约定投保年龄</w:t>
      </w:r>
    </w:p>
    <w:p>
      <w:pPr>
        <w:pStyle w:val="BodyText"/>
        <w:spacing w:line="261" w:lineRule="auto" w:before="36"/>
        <w:ind w:left="627" w:right="222"/>
      </w:pPr>
      <w:r>
        <w:rPr>
          <w:rFonts w:ascii="Times New Roman" w:hAnsi="Times New Roman" w:eastAsia="Times New Roman"/>
          <w:spacing w:val="-53"/>
          <w:w w:val="100"/>
          <w:shd w:fill="E4E4E4" w:color="auto" w:val="clear"/>
        </w:rPr>
        <w:t> </w:t>
      </w:r>
      <w:r>
        <w:rPr>
          <w:spacing w:val="-10"/>
          <w:shd w:fill="E4E4E4" w:color="auto" w:val="clear"/>
        </w:rPr>
        <w:t>限制的，我们有权解除合同，并向您退还本合同当时的现金价值。</w:t>
      </w:r>
      <w:r>
        <w:rPr>
          <w:spacing w:val="-2"/>
        </w:rPr>
        <w:t>我们行使</w:t>
      </w:r>
      <w:r>
        <w:rPr>
          <w:spacing w:val="-8"/>
        </w:rPr>
        <w:t>合同解除权适用 </w:t>
      </w:r>
      <w:r>
        <w:rPr>
          <w:i/>
          <w:sz w:val="22"/>
        </w:rPr>
        <w:t>9.2</w:t>
      </w:r>
      <w:r>
        <w:rPr>
          <w:spacing w:val="-3"/>
        </w:rPr>
        <w:t>“本公司合同解除权的限制”的规定。</w:t>
      </w:r>
    </w:p>
    <w:p>
      <w:pPr>
        <w:pStyle w:val="BodyText"/>
        <w:spacing w:line="273" w:lineRule="auto" w:before="15"/>
        <w:ind w:left="627" w:right="223" w:hanging="504"/>
        <w:jc w:val="both"/>
      </w:pPr>
      <w:r>
        <w:rPr/>
        <w:t>（2）您申报的被保险人年龄或性别不真实，致使您实交保险费少于应交保险费</w:t>
      </w:r>
      <w:r>
        <w:rPr>
          <w:spacing w:val="-10"/>
        </w:rPr>
        <w:t>的，我们有权更正并要求您补交保险费。若已经发生保险事故，在给付保险</w:t>
      </w:r>
      <w:r>
        <w:rPr>
          <w:spacing w:val="-5"/>
        </w:rPr>
        <w:t>金时按实交保险费和应交保险费的比例给付。</w:t>
      </w:r>
    </w:p>
    <w:p>
      <w:pPr>
        <w:pStyle w:val="BodyText"/>
        <w:spacing w:line="273" w:lineRule="auto" w:before="7"/>
        <w:ind w:left="627" w:right="232" w:hanging="504"/>
        <w:jc w:val="both"/>
      </w:pPr>
      <w:r>
        <w:rPr/>
        <w:t>（3）您申报的被保险人年龄或性别不真实，致使您实交保险费多于应交保险费的，我们会将多收的保险费无息退还给您。</w:t>
      </w:r>
    </w:p>
    <w:p>
      <w:pPr>
        <w:spacing w:after="0" w:line="273" w:lineRule="auto"/>
        <w:jc w:val="both"/>
        <w:sectPr>
          <w:type w:val="continuous"/>
          <w:pgSz w:w="11910" w:h="16840"/>
          <w:pgMar w:top="1060" w:bottom="280" w:left="800" w:right="680"/>
          <w:cols w:num="2" w:equalWidth="0">
            <w:col w:w="2691" w:space="40"/>
            <w:col w:w="7699"/>
          </w:cols>
        </w:sectPr>
      </w:pPr>
    </w:p>
    <w:p>
      <w:pPr>
        <w:pStyle w:val="BodyText"/>
        <w:rPr>
          <w:sz w:val="15"/>
        </w:rPr>
      </w:pPr>
    </w:p>
    <w:p>
      <w:pPr>
        <w:pStyle w:val="ListParagraph"/>
        <w:numPr>
          <w:ilvl w:val="1"/>
          <w:numId w:val="13"/>
        </w:numPr>
        <w:tabs>
          <w:tab w:pos="1381" w:val="left" w:leader="none"/>
          <w:tab w:pos="1382" w:val="left" w:leader="none"/>
          <w:tab w:pos="2853" w:val="left" w:leader="none"/>
        </w:tabs>
        <w:spacing w:line="273" w:lineRule="auto" w:before="36" w:after="0"/>
        <w:ind w:left="2853" w:right="117" w:hanging="2633"/>
        <w:jc w:val="left"/>
        <w:rPr>
          <w:sz w:val="21"/>
        </w:rPr>
      </w:pPr>
      <w:r>
        <w:rPr>
          <w:b/>
          <w:sz w:val="21"/>
        </w:rPr>
        <w:t>欠款扣除</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60"/>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费时</w:t>
      </w:r>
      <w:r>
        <w:rPr>
          <w:spacing w:val="-60"/>
          <w:sz w:val="21"/>
        </w:rPr>
        <w:t>，</w:t>
      </w:r>
      <w:r>
        <w:rPr>
          <w:sz w:val="21"/>
        </w:rPr>
        <w:t>如</w:t>
      </w:r>
      <w:r>
        <w:rPr>
          <w:spacing w:val="-3"/>
          <w:sz w:val="21"/>
        </w:rPr>
        <w:t>果</w:t>
      </w:r>
      <w:r>
        <w:rPr>
          <w:sz w:val="21"/>
        </w:rPr>
        <w:t>您</w:t>
      </w:r>
      <w:r>
        <w:rPr>
          <w:spacing w:val="-3"/>
          <w:sz w:val="21"/>
        </w:rPr>
        <w:t>有</w:t>
      </w:r>
      <w:r>
        <w:rPr>
          <w:sz w:val="21"/>
        </w:rPr>
        <w:t>欠</w:t>
      </w:r>
      <w:r>
        <w:rPr>
          <w:spacing w:val="-3"/>
          <w:sz w:val="21"/>
        </w:rPr>
        <w:t>交</w:t>
      </w:r>
      <w:r>
        <w:rPr>
          <w:sz w:val="21"/>
        </w:rPr>
        <w:t>的</w:t>
      </w:r>
      <w:r>
        <w:rPr>
          <w:spacing w:val="-3"/>
          <w:sz w:val="21"/>
        </w:rPr>
        <w:t>保</w:t>
      </w:r>
      <w:r>
        <w:rPr>
          <w:sz w:val="21"/>
        </w:rPr>
        <w:t>险费、 保单</w:t>
      </w:r>
      <w:r>
        <w:rPr>
          <w:spacing w:val="-3"/>
          <w:sz w:val="21"/>
        </w:rPr>
        <w:t>贷</w:t>
      </w:r>
      <w:r>
        <w:rPr>
          <w:sz w:val="21"/>
        </w:rPr>
        <w:t>款</w:t>
      </w:r>
      <w:r>
        <w:rPr>
          <w:spacing w:val="-3"/>
          <w:sz w:val="21"/>
        </w:rPr>
        <w:t>或</w:t>
      </w:r>
      <w:r>
        <w:rPr>
          <w:sz w:val="21"/>
        </w:rPr>
        <w:t>其</w:t>
      </w:r>
      <w:r>
        <w:rPr>
          <w:spacing w:val="-3"/>
          <w:sz w:val="21"/>
        </w:rPr>
        <w:t>他</w:t>
      </w:r>
      <w:r>
        <w:rPr>
          <w:sz w:val="21"/>
        </w:rPr>
        <w:t>欠</w:t>
      </w:r>
      <w:r>
        <w:rPr>
          <w:spacing w:val="-3"/>
          <w:sz w:val="21"/>
        </w:rPr>
        <w:t>款</w:t>
      </w:r>
      <w:r>
        <w:rPr>
          <w:sz w:val="21"/>
        </w:rPr>
        <w:t>，</w:t>
      </w:r>
      <w:r>
        <w:rPr>
          <w:spacing w:val="-3"/>
          <w:sz w:val="21"/>
        </w:rPr>
        <w:t>我</w:t>
      </w:r>
      <w:r>
        <w:rPr>
          <w:sz w:val="21"/>
        </w:rPr>
        <w:t>们会</w:t>
      </w:r>
      <w:r>
        <w:rPr>
          <w:spacing w:val="-3"/>
          <w:sz w:val="21"/>
        </w:rPr>
        <w:t>在</w:t>
      </w:r>
      <w:r>
        <w:rPr>
          <w:sz w:val="21"/>
        </w:rPr>
        <w:t>扣</w:t>
      </w:r>
      <w:r>
        <w:rPr>
          <w:spacing w:val="-3"/>
          <w:sz w:val="21"/>
        </w:rPr>
        <w:t>除</w:t>
      </w:r>
      <w:r>
        <w:rPr>
          <w:sz w:val="21"/>
        </w:rPr>
        <w:t>上</w:t>
      </w:r>
      <w:r>
        <w:rPr>
          <w:spacing w:val="-3"/>
          <w:sz w:val="21"/>
        </w:rPr>
        <w:t>述</w:t>
      </w:r>
      <w:r>
        <w:rPr>
          <w:sz w:val="21"/>
        </w:rPr>
        <w:t>欠</w:t>
      </w:r>
      <w:r>
        <w:rPr>
          <w:spacing w:val="-3"/>
          <w:sz w:val="21"/>
        </w:rPr>
        <w:t>款</w:t>
      </w:r>
      <w:r>
        <w:rPr>
          <w:sz w:val="21"/>
        </w:rPr>
        <w:t>及</w:t>
      </w:r>
      <w:r>
        <w:rPr>
          <w:spacing w:val="-3"/>
          <w:sz w:val="21"/>
        </w:rPr>
        <w:t>其</w:t>
      </w:r>
      <w:r>
        <w:rPr>
          <w:sz w:val="21"/>
        </w:rPr>
        <w:t>利息</w:t>
      </w:r>
      <w:r>
        <w:rPr>
          <w:spacing w:val="-3"/>
          <w:sz w:val="21"/>
        </w:rPr>
        <w:t>（</w:t>
      </w:r>
      <w:r>
        <w:rPr>
          <w:sz w:val="21"/>
        </w:rPr>
        <w:t>按</w:t>
      </w:r>
      <w:r>
        <w:rPr>
          <w:spacing w:val="-3"/>
          <w:sz w:val="21"/>
        </w:rPr>
        <w:t>条</w:t>
      </w:r>
      <w:r>
        <w:rPr>
          <w:sz w:val="21"/>
        </w:rPr>
        <w:t>款</w:t>
      </w:r>
      <w:r>
        <w:rPr>
          <w:spacing w:val="-3"/>
          <w:sz w:val="21"/>
        </w:rPr>
        <w:t>约</w:t>
      </w:r>
      <w:r>
        <w:rPr>
          <w:sz w:val="21"/>
        </w:rPr>
        <w:t>定</w:t>
      </w:r>
      <w:r>
        <w:rPr>
          <w:spacing w:val="-3"/>
          <w:sz w:val="21"/>
        </w:rPr>
        <w:t>利</w:t>
      </w:r>
      <w:r>
        <w:rPr>
          <w:sz w:val="21"/>
        </w:rPr>
        <w:t>率</w:t>
      </w:r>
      <w:r>
        <w:rPr>
          <w:spacing w:val="-3"/>
          <w:sz w:val="21"/>
        </w:rPr>
        <w:t>计</w:t>
      </w:r>
      <w:r>
        <w:rPr>
          <w:sz w:val="21"/>
        </w:rPr>
        <w:t>算） 后给</w:t>
      </w:r>
      <w:r>
        <w:rPr>
          <w:spacing w:val="-3"/>
          <w:sz w:val="21"/>
        </w:rPr>
        <w:t>付</w:t>
      </w:r>
      <w:r>
        <w:rPr>
          <w:sz w:val="21"/>
        </w:rPr>
        <w:t>。</w:t>
      </w:r>
    </w:p>
    <w:p>
      <w:pPr>
        <w:pStyle w:val="BodyText"/>
        <w:spacing w:before="2"/>
        <w:rPr>
          <w:sz w:val="15"/>
        </w:rPr>
      </w:pPr>
    </w:p>
    <w:p>
      <w:pPr>
        <w:spacing w:after="0"/>
        <w:rPr>
          <w:sz w:val="15"/>
        </w:rPr>
        <w:sectPr>
          <w:type w:val="continuous"/>
          <w:pgSz w:w="11910" w:h="16840"/>
          <w:pgMar w:top="1060" w:bottom="280" w:left="800" w:right="680"/>
        </w:sectPr>
      </w:pPr>
    </w:p>
    <w:p>
      <w:pPr>
        <w:pStyle w:val="Heading3"/>
        <w:numPr>
          <w:ilvl w:val="1"/>
          <w:numId w:val="13"/>
        </w:numPr>
        <w:tabs>
          <w:tab w:pos="1381" w:val="left" w:leader="none"/>
          <w:tab w:pos="1382" w:val="left" w:leader="none"/>
        </w:tabs>
        <w:spacing w:line="273" w:lineRule="auto" w:before="37" w:after="0"/>
        <w:ind w:left="1382" w:right="0" w:hanging="1162"/>
        <w:jc w:val="left"/>
      </w:pPr>
      <w:r>
        <w:rPr>
          <w:spacing w:val="40"/>
        </w:rPr>
        <w:t>合同内容变更</w:t>
      </w:r>
    </w:p>
    <w:p>
      <w:pPr>
        <w:pStyle w:val="BodyText"/>
        <w:spacing w:line="273" w:lineRule="auto" w:before="37"/>
        <w:ind w:left="123" w:right="223"/>
        <w:jc w:val="both"/>
      </w:pPr>
      <w:r>
        <w:rPr/>
        <w:br w:type="column"/>
      </w:r>
      <w:r>
        <w:rPr>
          <w:spacing w:val="-5"/>
        </w:rPr>
        <w:t>在本合同有效期内，经您与我们协商一致，可以变更本合同的有关内容。变更本</w:t>
      </w:r>
      <w:r>
        <w:rPr>
          <w:spacing w:val="-6"/>
        </w:rPr>
        <w:t>合同的，应当由我们在保险单或者其他保险凭证上批注或者附贴批单，或者由您</w:t>
      </w:r>
      <w:r>
        <w:rPr>
          <w:spacing w:val="-4"/>
        </w:rPr>
        <w:t>与我们订立书面的变更协议。</w:t>
      </w:r>
    </w:p>
    <w:p>
      <w:pPr>
        <w:spacing w:after="0" w:line="273" w:lineRule="auto"/>
        <w:jc w:val="both"/>
        <w:sectPr>
          <w:type w:val="continuous"/>
          <w:pgSz w:w="11910" w:h="16840"/>
          <w:pgMar w:top="1060" w:bottom="280" w:left="800" w:right="680"/>
          <w:cols w:num="2" w:equalWidth="0">
            <w:col w:w="2691" w:space="40"/>
            <w:col w:w="7699"/>
          </w:cols>
        </w:sectPr>
      </w:pPr>
    </w:p>
    <w:p>
      <w:pPr>
        <w:pStyle w:val="BodyText"/>
        <w:spacing w:before="8"/>
      </w:pPr>
    </w:p>
    <w:p>
      <w:pPr>
        <w:spacing w:after="0"/>
        <w:sectPr>
          <w:type w:val="continuous"/>
          <w:pgSz w:w="11910" w:h="16840"/>
          <w:pgMar w:top="1060" w:bottom="280" w:left="800" w:right="680"/>
        </w:sectPr>
      </w:pPr>
    </w:p>
    <w:p>
      <w:pPr>
        <w:pStyle w:val="Heading3"/>
        <w:numPr>
          <w:ilvl w:val="1"/>
          <w:numId w:val="13"/>
        </w:numPr>
        <w:tabs>
          <w:tab w:pos="1381" w:val="left" w:leader="none"/>
          <w:tab w:pos="1382" w:val="left" w:leader="none"/>
        </w:tabs>
        <w:spacing w:line="273" w:lineRule="auto" w:before="37" w:after="0"/>
        <w:ind w:left="1382" w:right="0" w:hanging="1162"/>
        <w:jc w:val="left"/>
      </w:pPr>
      <w:r>
        <w:rPr>
          <w:spacing w:val="40"/>
        </w:rPr>
        <w:t>联系方式变更</w:t>
      </w:r>
    </w:p>
    <w:p>
      <w:pPr>
        <w:pStyle w:val="BodyText"/>
        <w:spacing w:line="273" w:lineRule="auto" w:before="37"/>
        <w:ind w:left="123" w:right="223"/>
        <w:jc w:val="both"/>
      </w:pPr>
      <w:r>
        <w:rPr/>
        <w:br w:type="column"/>
      </w:r>
      <w:r>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发送的有关通知，均视为已送达给您。</w:t>
      </w:r>
    </w:p>
    <w:p>
      <w:pPr>
        <w:spacing w:after="0" w:line="273" w:lineRule="auto"/>
        <w:jc w:val="both"/>
        <w:sectPr>
          <w:type w:val="continuous"/>
          <w:pgSz w:w="11910" w:h="16840"/>
          <w:pgMar w:top="1060" w:bottom="280" w:left="800" w:right="680"/>
          <w:cols w:num="2" w:equalWidth="0">
            <w:col w:w="2691" w:space="40"/>
            <w:col w:w="7699"/>
          </w:cols>
        </w:sectPr>
      </w:pPr>
    </w:p>
    <w:p>
      <w:pPr>
        <w:pStyle w:val="BodyText"/>
        <w:spacing w:before="8"/>
      </w:pPr>
    </w:p>
    <w:p>
      <w:pPr>
        <w:pStyle w:val="ListParagraph"/>
        <w:numPr>
          <w:ilvl w:val="1"/>
          <w:numId w:val="13"/>
        </w:numPr>
        <w:tabs>
          <w:tab w:pos="1381" w:val="left" w:leader="none"/>
          <w:tab w:pos="1382" w:val="left" w:leader="none"/>
          <w:tab w:pos="2853" w:val="left" w:leader="none"/>
        </w:tabs>
        <w:spacing w:line="273" w:lineRule="auto" w:before="37" w:after="0"/>
        <w:ind w:left="2853" w:right="223" w:hanging="2633"/>
        <w:jc w:val="left"/>
        <w:rPr>
          <w:sz w:val="21"/>
        </w:rPr>
      </w:pPr>
      <w:r>
        <w:rPr>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8"/>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pacing w:val="-5"/>
          <w:sz w:val="21"/>
        </w:rPr>
        <w:t>，</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w:t>
      </w:r>
      <w:r>
        <w:rPr>
          <w:spacing w:val="-3"/>
          <w:sz w:val="21"/>
        </w:rPr>
        <w:t>过</w:t>
      </w:r>
      <w:r>
        <w:rPr>
          <w:sz w:val="21"/>
        </w:rPr>
        <w:t>仲裁 解决</w:t>
      </w:r>
      <w:r>
        <w:rPr>
          <w:spacing w:val="-3"/>
          <w:sz w:val="21"/>
        </w:rPr>
        <w:t>，</w:t>
      </w:r>
      <w:r>
        <w:rPr>
          <w:sz w:val="21"/>
        </w:rPr>
        <w:t>也</w:t>
      </w:r>
      <w:r>
        <w:rPr>
          <w:spacing w:val="-3"/>
          <w:sz w:val="21"/>
        </w:rPr>
        <w:t>可</w:t>
      </w:r>
      <w:r>
        <w:rPr>
          <w:sz w:val="21"/>
        </w:rPr>
        <w:t>以</w:t>
      </w:r>
      <w:r>
        <w:rPr>
          <w:spacing w:val="-3"/>
          <w:sz w:val="21"/>
        </w:rPr>
        <w:t>依</w:t>
      </w:r>
      <w:r>
        <w:rPr>
          <w:sz w:val="21"/>
        </w:rPr>
        <w:t>法</w:t>
      </w:r>
      <w:r>
        <w:rPr>
          <w:spacing w:val="-3"/>
          <w:sz w:val="21"/>
        </w:rPr>
        <w:t>向</w:t>
      </w:r>
      <w:r>
        <w:rPr>
          <w:sz w:val="21"/>
        </w:rPr>
        <w:t>人</w:t>
      </w:r>
      <w:r>
        <w:rPr>
          <w:spacing w:val="-3"/>
          <w:sz w:val="21"/>
        </w:rPr>
        <w:t>民</w:t>
      </w:r>
      <w:r>
        <w:rPr>
          <w:sz w:val="21"/>
        </w:rPr>
        <w:t>法院</w:t>
      </w:r>
      <w:r>
        <w:rPr>
          <w:spacing w:val="-3"/>
          <w:sz w:val="21"/>
        </w:rPr>
        <w:t>起</w:t>
      </w:r>
      <w:r>
        <w:rPr>
          <w:sz w:val="21"/>
        </w:rPr>
        <w:t>诉。</w:t>
      </w:r>
    </w:p>
    <w:p>
      <w:pPr>
        <w:pStyle w:val="BodyText"/>
        <w:rPr>
          <w:sz w:val="20"/>
        </w:rPr>
      </w:pPr>
    </w:p>
    <w:p>
      <w:pPr>
        <w:pStyle w:val="Heading2"/>
        <w:numPr>
          <w:ilvl w:val="0"/>
          <w:numId w:val="13"/>
        </w:numPr>
        <w:tabs>
          <w:tab w:pos="1381" w:val="left" w:leader="none"/>
          <w:tab w:pos="1382" w:val="left" w:leader="none"/>
        </w:tabs>
        <w:spacing w:line="240" w:lineRule="auto" w:before="156" w:after="0"/>
        <w:ind w:left="1382" w:right="0" w:hanging="1162"/>
        <w:jc w:val="left"/>
      </w:pPr>
      <w:r>
        <w:rPr>
          <w:w w:val="95"/>
        </w:rPr>
        <w:t>释义</w:t>
      </w:r>
    </w:p>
    <w:p>
      <w:pPr>
        <w:pStyle w:val="BodyText"/>
        <w:spacing w:before="1"/>
        <w:rPr>
          <w:b/>
          <w:sz w:val="10"/>
        </w:rPr>
      </w:pPr>
      <w:r>
        <w:rPr/>
        <w:pict>
          <v:group style="position:absolute;margin-left:45.599998pt;margin-top:8.553311pt;width:509.55pt;height:1.45pt;mso-position-horizontal-relative:page;mso-position-vertical-relative:paragraph;z-index:1144;mso-wrap-distance-left:0;mso-wrap-distance-right:0" coordorigin="912,171" coordsize="10191,29">
            <v:line style="position:absolute" from="912,176" to="2072,176" stroked="true" strokeweight=".47998pt" strokecolor="#000000">
              <v:stroke dashstyle="solid"/>
            </v:line>
            <v:line style="position:absolute" from="912,195" to="2072,195" stroked="true" strokeweight=".48004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7998pt" strokecolor="#000000">
              <v:stroke dashstyle="solid"/>
            </v:line>
            <v:line style="position:absolute" from="2100,195" to="3543,195" stroked="true" strokeweight=".48004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7998pt" strokecolor="#000000">
              <v:stroke dashstyle="solid"/>
            </v:line>
            <v:line style="position:absolute" from="3572,195" to="11102,195" stroked="true" strokeweight=".48004pt" strokecolor="#000000">
              <v:stroke dashstyle="solid"/>
            </v:line>
            <w10:wrap type="topAndBottom"/>
          </v:group>
        </w:pict>
      </w:r>
    </w:p>
    <w:p>
      <w:pPr>
        <w:pStyle w:val="BodyText"/>
        <w:spacing w:before="5"/>
        <w:rPr>
          <w:b/>
          <w:sz w:val="7"/>
        </w:rPr>
      </w:pPr>
    </w:p>
    <w:p>
      <w:pPr>
        <w:pStyle w:val="ListParagraph"/>
        <w:numPr>
          <w:ilvl w:val="1"/>
          <w:numId w:val="13"/>
        </w:numPr>
        <w:tabs>
          <w:tab w:pos="1381" w:val="left" w:leader="none"/>
          <w:tab w:pos="1382" w:val="left" w:leader="none"/>
          <w:tab w:pos="2853" w:val="left" w:leader="none"/>
        </w:tabs>
        <w:spacing w:line="223" w:lineRule="auto" w:before="54" w:after="0"/>
        <w:ind w:left="2853" w:right="223" w:hanging="2633"/>
        <w:jc w:val="left"/>
        <w:rPr>
          <w:sz w:val="21"/>
        </w:rPr>
      </w:pPr>
      <w:r>
        <w:rPr>
          <w:b/>
          <w:position w:val="-1"/>
          <w:sz w:val="21"/>
        </w:rPr>
        <w:t>保单周年日</w:t>
        <w:tab/>
      </w:r>
      <w:r>
        <w:rPr>
          <w:sz w:val="21"/>
        </w:rPr>
        <w:t>保险</w:t>
      </w:r>
      <w:r>
        <w:rPr>
          <w:spacing w:val="-3"/>
          <w:sz w:val="21"/>
        </w:rPr>
        <w:t>合</w:t>
      </w:r>
      <w:r>
        <w:rPr>
          <w:sz w:val="21"/>
        </w:rPr>
        <w:t>同</w:t>
      </w:r>
      <w:r>
        <w:rPr>
          <w:spacing w:val="-3"/>
          <w:sz w:val="21"/>
        </w:rPr>
        <w:t>生</w:t>
      </w:r>
      <w:r>
        <w:rPr>
          <w:sz w:val="21"/>
        </w:rPr>
        <w:t>效</w:t>
      </w:r>
      <w:r>
        <w:rPr>
          <w:spacing w:val="-3"/>
          <w:sz w:val="21"/>
        </w:rPr>
        <w:t>日</w:t>
      </w:r>
      <w:r>
        <w:rPr>
          <w:sz w:val="21"/>
        </w:rPr>
        <w:t>以</w:t>
      </w:r>
      <w:r>
        <w:rPr>
          <w:spacing w:val="-3"/>
          <w:sz w:val="21"/>
        </w:rPr>
        <w:t>后</w:t>
      </w:r>
      <w:r>
        <w:rPr>
          <w:sz w:val="21"/>
        </w:rPr>
        <w:t>每</w:t>
      </w:r>
      <w:r>
        <w:rPr>
          <w:spacing w:val="-3"/>
          <w:sz w:val="21"/>
        </w:rPr>
        <w:t>年</w:t>
      </w:r>
      <w:r>
        <w:rPr>
          <w:sz w:val="21"/>
        </w:rPr>
        <w:t>的对</w:t>
      </w:r>
      <w:r>
        <w:rPr>
          <w:spacing w:val="-3"/>
          <w:sz w:val="21"/>
        </w:rPr>
        <w:t>应</w:t>
      </w:r>
      <w:r>
        <w:rPr>
          <w:sz w:val="21"/>
        </w:rPr>
        <w:t>日</w:t>
      </w:r>
      <w:r>
        <w:rPr>
          <w:spacing w:val="-3"/>
          <w:sz w:val="21"/>
        </w:rPr>
        <w:t>为</w:t>
      </w:r>
      <w:r>
        <w:rPr>
          <w:sz w:val="21"/>
        </w:rPr>
        <w:t>保</w:t>
      </w:r>
      <w:r>
        <w:rPr>
          <w:spacing w:val="-3"/>
          <w:sz w:val="21"/>
        </w:rPr>
        <w:t>单</w:t>
      </w:r>
      <w:r>
        <w:rPr>
          <w:sz w:val="21"/>
        </w:rPr>
        <w:t>周</w:t>
      </w:r>
      <w:r>
        <w:rPr>
          <w:spacing w:val="-3"/>
          <w:sz w:val="21"/>
        </w:rPr>
        <w:t>年</w:t>
      </w:r>
      <w:r>
        <w:rPr>
          <w:sz w:val="21"/>
        </w:rPr>
        <w:t>日</w:t>
      </w:r>
      <w:r>
        <w:rPr>
          <w:spacing w:val="-8"/>
          <w:sz w:val="21"/>
        </w:rPr>
        <w:t>，</w:t>
      </w:r>
      <w:r>
        <w:rPr>
          <w:sz w:val="21"/>
        </w:rPr>
        <w:t>如果</w:t>
      </w:r>
      <w:r>
        <w:rPr>
          <w:spacing w:val="-3"/>
          <w:sz w:val="21"/>
        </w:rPr>
        <w:t>当</w:t>
      </w:r>
      <w:r>
        <w:rPr>
          <w:sz w:val="21"/>
        </w:rPr>
        <w:t>月</w:t>
      </w:r>
      <w:r>
        <w:rPr>
          <w:spacing w:val="-3"/>
          <w:sz w:val="21"/>
        </w:rPr>
        <w:t>无</w:t>
      </w:r>
      <w:r>
        <w:rPr>
          <w:sz w:val="21"/>
        </w:rPr>
        <w:t>对</w:t>
      </w:r>
      <w:r>
        <w:rPr>
          <w:spacing w:val="-3"/>
          <w:sz w:val="21"/>
        </w:rPr>
        <w:t>应</w:t>
      </w:r>
      <w:r>
        <w:rPr>
          <w:sz w:val="21"/>
        </w:rPr>
        <w:t>的</w:t>
      </w:r>
      <w:r>
        <w:rPr>
          <w:spacing w:val="-3"/>
          <w:sz w:val="21"/>
        </w:rPr>
        <w:t>同</w:t>
      </w:r>
      <w:r>
        <w:rPr>
          <w:sz w:val="21"/>
        </w:rPr>
        <w:t>一</w:t>
      </w:r>
      <w:r>
        <w:rPr>
          <w:spacing w:val="-3"/>
          <w:sz w:val="21"/>
        </w:rPr>
        <w:t>日</w:t>
      </w:r>
      <w:r>
        <w:rPr>
          <w:spacing w:val="-5"/>
          <w:sz w:val="21"/>
        </w:rPr>
        <w:t>，</w:t>
      </w:r>
      <w:r>
        <w:rPr>
          <w:sz w:val="21"/>
        </w:rPr>
        <w:t>则 以该</w:t>
      </w:r>
      <w:r>
        <w:rPr>
          <w:spacing w:val="-3"/>
          <w:sz w:val="21"/>
        </w:rPr>
        <w:t>月</w:t>
      </w:r>
      <w:r>
        <w:rPr>
          <w:sz w:val="21"/>
        </w:rPr>
        <w:t>最</w:t>
      </w:r>
      <w:r>
        <w:rPr>
          <w:spacing w:val="-3"/>
          <w:sz w:val="21"/>
        </w:rPr>
        <w:t>后</w:t>
      </w:r>
      <w:r>
        <w:rPr>
          <w:sz w:val="21"/>
        </w:rPr>
        <w:t>一</w:t>
      </w:r>
      <w:r>
        <w:rPr>
          <w:spacing w:val="-3"/>
          <w:sz w:val="21"/>
        </w:rPr>
        <w:t>日</w:t>
      </w:r>
      <w:r>
        <w:rPr>
          <w:sz w:val="21"/>
        </w:rPr>
        <w:t>作</w:t>
      </w:r>
      <w:r>
        <w:rPr>
          <w:spacing w:val="-3"/>
          <w:sz w:val="21"/>
        </w:rPr>
        <w:t>为</w:t>
      </w:r>
      <w:r>
        <w:rPr>
          <w:sz w:val="21"/>
        </w:rPr>
        <w:t>对</w:t>
      </w:r>
      <w:r>
        <w:rPr>
          <w:spacing w:val="-3"/>
          <w:sz w:val="21"/>
        </w:rPr>
        <w:t>应</w:t>
      </w:r>
      <w:r>
        <w:rPr>
          <w:sz w:val="21"/>
        </w:rPr>
        <w:t>日。</w:t>
      </w:r>
    </w:p>
    <w:p>
      <w:pPr>
        <w:pStyle w:val="ListParagraph"/>
        <w:numPr>
          <w:ilvl w:val="1"/>
          <w:numId w:val="13"/>
        </w:numPr>
        <w:tabs>
          <w:tab w:pos="1381" w:val="left" w:leader="none"/>
          <w:tab w:pos="1382" w:val="left" w:leader="none"/>
          <w:tab w:pos="2853" w:val="left" w:leader="none"/>
        </w:tabs>
        <w:spacing w:line="223" w:lineRule="auto" w:before="13" w:after="0"/>
        <w:ind w:left="2853" w:right="222" w:hanging="2633"/>
        <w:jc w:val="left"/>
        <w:rPr>
          <w:sz w:val="21"/>
        </w:rPr>
      </w:pPr>
      <w:r>
        <w:rPr>
          <w:b/>
          <w:position w:val="-1"/>
          <w:sz w:val="21"/>
        </w:rPr>
        <w:t>保单年度</w:t>
        <w:tab/>
      </w:r>
      <w:r>
        <w:rPr>
          <w:spacing w:val="2"/>
          <w:sz w:val="21"/>
        </w:rPr>
        <w:t>从保险合同生效日或</w:t>
      </w:r>
      <w:r>
        <w:rPr>
          <w:spacing w:val="5"/>
          <w:sz w:val="21"/>
        </w:rPr>
        <w:t>生</w:t>
      </w:r>
      <w:r>
        <w:rPr>
          <w:spacing w:val="2"/>
          <w:sz w:val="21"/>
        </w:rPr>
        <w:t>效对应日零时起至下一年度保险合同生效对应</w:t>
      </w:r>
      <w:r>
        <w:rPr>
          <w:spacing w:val="5"/>
          <w:sz w:val="21"/>
        </w:rPr>
        <w:t>日</w:t>
      </w:r>
      <w:r>
        <w:rPr>
          <w:spacing w:val="2"/>
          <w:sz w:val="21"/>
        </w:rPr>
        <w:t>零时止 </w:t>
      </w:r>
      <w:r>
        <w:rPr>
          <w:sz w:val="21"/>
        </w:rPr>
        <w:t>的期</w:t>
      </w:r>
      <w:r>
        <w:rPr>
          <w:spacing w:val="-3"/>
          <w:sz w:val="21"/>
        </w:rPr>
        <w:t>间</w:t>
      </w:r>
      <w:r>
        <w:rPr>
          <w:sz w:val="21"/>
        </w:rPr>
        <w:t>为</w:t>
      </w:r>
      <w:r>
        <w:rPr>
          <w:spacing w:val="-3"/>
          <w:sz w:val="21"/>
        </w:rPr>
        <w:t>一</w:t>
      </w:r>
      <w:r>
        <w:rPr>
          <w:sz w:val="21"/>
        </w:rPr>
        <w:t>个</w:t>
      </w:r>
      <w:r>
        <w:rPr>
          <w:spacing w:val="-3"/>
          <w:sz w:val="21"/>
        </w:rPr>
        <w:t>保</w:t>
      </w:r>
      <w:r>
        <w:rPr>
          <w:sz w:val="21"/>
        </w:rPr>
        <w:t>单</w:t>
      </w:r>
      <w:r>
        <w:rPr>
          <w:spacing w:val="-3"/>
          <w:sz w:val="21"/>
        </w:rPr>
        <w:t>年</w:t>
      </w:r>
      <w:r>
        <w:rPr>
          <w:sz w:val="21"/>
        </w:rPr>
        <w:t>度。</w:t>
      </w:r>
    </w:p>
    <w:p>
      <w:pPr>
        <w:pStyle w:val="BodyText"/>
        <w:spacing w:before="6"/>
        <w:rPr>
          <w:sz w:val="23"/>
        </w:rPr>
      </w:pPr>
    </w:p>
    <w:p>
      <w:pPr>
        <w:pStyle w:val="ListParagraph"/>
        <w:numPr>
          <w:ilvl w:val="1"/>
          <w:numId w:val="13"/>
        </w:numPr>
        <w:tabs>
          <w:tab w:pos="1381" w:val="left" w:leader="none"/>
          <w:tab w:pos="1382" w:val="left" w:leader="none"/>
          <w:tab w:pos="2853" w:val="left" w:leader="none"/>
        </w:tabs>
        <w:spacing w:line="240" w:lineRule="auto" w:before="1" w:after="0"/>
        <w:ind w:left="2853" w:right="0" w:hanging="2633"/>
        <w:jc w:val="left"/>
        <w:rPr>
          <w:sz w:val="21"/>
        </w:rPr>
      </w:pPr>
      <w:r>
        <w:rPr>
          <w:b/>
          <w:position w:val="-1"/>
          <w:sz w:val="21"/>
        </w:rPr>
        <w:t>保险费约定</w:t>
        <w:tab/>
      </w:r>
      <w:r>
        <w:rPr>
          <w:sz w:val="21"/>
        </w:rPr>
        <w:t>保险</w:t>
      </w:r>
      <w:r>
        <w:rPr>
          <w:spacing w:val="-3"/>
          <w:sz w:val="21"/>
        </w:rPr>
        <w:t>合</w:t>
      </w:r>
      <w:r>
        <w:rPr>
          <w:sz w:val="21"/>
        </w:rPr>
        <w:t>同</w:t>
      </w:r>
      <w:r>
        <w:rPr>
          <w:spacing w:val="-3"/>
          <w:sz w:val="21"/>
        </w:rPr>
        <w:t>生</w:t>
      </w:r>
      <w:r>
        <w:rPr>
          <w:sz w:val="21"/>
        </w:rPr>
        <w:t>效</w:t>
      </w:r>
      <w:r>
        <w:rPr>
          <w:spacing w:val="-3"/>
          <w:sz w:val="21"/>
        </w:rPr>
        <w:t>日</w:t>
      </w:r>
      <w:r>
        <w:rPr>
          <w:sz w:val="21"/>
        </w:rPr>
        <w:t>在</w:t>
      </w:r>
      <w:r>
        <w:rPr>
          <w:spacing w:val="-3"/>
          <w:sz w:val="21"/>
        </w:rPr>
        <w:t>每</w:t>
      </w:r>
      <w:r>
        <w:rPr>
          <w:sz w:val="21"/>
        </w:rPr>
        <w:t>月</w:t>
      </w:r>
      <w:r>
        <w:rPr>
          <w:spacing w:val="-3"/>
          <w:sz w:val="21"/>
        </w:rPr>
        <w:t>、</w:t>
      </w:r>
      <w:r>
        <w:rPr>
          <w:sz w:val="21"/>
        </w:rPr>
        <w:t>每季</w:t>
      </w:r>
      <w:r>
        <w:rPr>
          <w:spacing w:val="-3"/>
          <w:sz w:val="21"/>
        </w:rPr>
        <w:t>、</w:t>
      </w:r>
      <w:r>
        <w:rPr>
          <w:sz w:val="21"/>
        </w:rPr>
        <w:t>每</w:t>
      </w:r>
      <w:r>
        <w:rPr>
          <w:spacing w:val="-3"/>
          <w:sz w:val="21"/>
        </w:rPr>
        <w:t>半</w:t>
      </w:r>
      <w:r>
        <w:rPr>
          <w:sz w:val="21"/>
        </w:rPr>
        <w:t>年</w:t>
      </w:r>
      <w:r>
        <w:rPr>
          <w:spacing w:val="-3"/>
          <w:sz w:val="21"/>
        </w:rPr>
        <w:t>或</w:t>
      </w:r>
      <w:r>
        <w:rPr>
          <w:sz w:val="21"/>
        </w:rPr>
        <w:t>每</w:t>
      </w:r>
      <w:r>
        <w:rPr>
          <w:spacing w:val="-3"/>
          <w:sz w:val="21"/>
        </w:rPr>
        <w:t>年</w:t>
      </w:r>
      <w:r>
        <w:rPr>
          <w:sz w:val="21"/>
        </w:rPr>
        <w:t>（</w:t>
      </w:r>
      <w:r>
        <w:rPr>
          <w:spacing w:val="-3"/>
          <w:sz w:val="21"/>
        </w:rPr>
        <w:t>根</w:t>
      </w:r>
      <w:r>
        <w:rPr>
          <w:sz w:val="21"/>
        </w:rPr>
        <w:t>据交</w:t>
      </w:r>
      <w:r>
        <w:rPr>
          <w:spacing w:val="-3"/>
          <w:sz w:val="21"/>
        </w:rPr>
        <w:t>费</w:t>
      </w:r>
      <w:r>
        <w:rPr>
          <w:sz w:val="21"/>
        </w:rPr>
        <w:t>方</w:t>
      </w:r>
      <w:r>
        <w:rPr>
          <w:spacing w:val="-3"/>
          <w:sz w:val="21"/>
        </w:rPr>
        <w:t>式</w:t>
      </w:r>
      <w:r>
        <w:rPr>
          <w:sz w:val="21"/>
        </w:rPr>
        <w:t>确</w:t>
      </w:r>
      <w:r>
        <w:rPr>
          <w:spacing w:val="-3"/>
          <w:sz w:val="21"/>
        </w:rPr>
        <w:t>定</w:t>
      </w:r>
      <w:r>
        <w:rPr>
          <w:sz w:val="21"/>
        </w:rPr>
        <w:t>）</w:t>
      </w:r>
      <w:r>
        <w:rPr>
          <w:spacing w:val="-3"/>
          <w:sz w:val="21"/>
        </w:rPr>
        <w:t>的</w:t>
      </w:r>
      <w:r>
        <w:rPr>
          <w:sz w:val="21"/>
        </w:rPr>
        <w:t>对</w:t>
      </w:r>
      <w:r>
        <w:rPr>
          <w:spacing w:val="-3"/>
          <w:sz w:val="21"/>
        </w:rPr>
        <w:t>应</w:t>
      </w:r>
      <w:r>
        <w:rPr>
          <w:sz w:val="21"/>
        </w:rPr>
        <w:t>日。</w:t>
      </w:r>
    </w:p>
    <w:p>
      <w:pPr>
        <w:spacing w:after="0" w:line="240" w:lineRule="auto"/>
        <w:jc w:val="left"/>
        <w:rPr>
          <w:sz w:val="21"/>
        </w:rPr>
        <w:sectPr>
          <w:type w:val="continuous"/>
          <w:pgSz w:w="11910" w:h="16840"/>
          <w:pgMar w:top="1060" w:bottom="280" w:left="800" w:right="680"/>
        </w:sectPr>
      </w:pPr>
    </w:p>
    <w:p>
      <w:pPr>
        <w:pStyle w:val="BodyText"/>
        <w:rPr>
          <w:rFonts w:ascii="Times New Roman"/>
          <w:sz w:val="20"/>
        </w:rPr>
      </w:pPr>
    </w:p>
    <w:p>
      <w:pPr>
        <w:pStyle w:val="BodyText"/>
        <w:spacing w:before="4"/>
        <w:rPr>
          <w:rFonts w:ascii="Times New Roman"/>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2"/>
      </w:tblGrid>
      <w:tr>
        <w:trPr>
          <w:trHeight w:val="428" w:hRule="atLeast"/>
        </w:trPr>
        <w:tc>
          <w:tcPr>
            <w:tcW w:w="1045" w:type="dxa"/>
          </w:tcPr>
          <w:p>
            <w:pPr>
              <w:pStyle w:val="TableParagraph"/>
              <w:ind w:left="0"/>
              <w:rPr>
                <w:rFonts w:ascii="Times New Roman"/>
                <w:sz w:val="20"/>
              </w:rPr>
            </w:pPr>
          </w:p>
        </w:tc>
        <w:tc>
          <w:tcPr>
            <w:tcW w:w="1706" w:type="dxa"/>
          </w:tcPr>
          <w:p>
            <w:pPr>
              <w:pStyle w:val="TableParagraph"/>
              <w:spacing w:line="233" w:lineRule="exact"/>
              <w:ind w:left="316"/>
              <w:rPr>
                <w:b/>
                <w:sz w:val="21"/>
              </w:rPr>
            </w:pPr>
            <w:r>
              <w:rPr>
                <w:b/>
                <w:sz w:val="21"/>
              </w:rPr>
              <w:t>交纳日</w:t>
            </w:r>
          </w:p>
        </w:tc>
        <w:tc>
          <w:tcPr>
            <w:tcW w:w="7732" w:type="dxa"/>
          </w:tcPr>
          <w:p>
            <w:pPr>
              <w:pStyle w:val="TableParagraph"/>
              <w:spacing w:line="211" w:lineRule="exact"/>
              <w:rPr>
                <w:sz w:val="21"/>
              </w:rPr>
            </w:pPr>
            <w:r>
              <w:rPr>
                <w:sz w:val="21"/>
              </w:rPr>
              <w:t>如果当月无对应的同一日，则以该月最后一日为对应日。</w:t>
            </w:r>
          </w:p>
        </w:tc>
      </w:tr>
      <w:tr>
        <w:trPr>
          <w:trHeight w:val="936" w:hRule="atLeast"/>
        </w:trPr>
        <w:tc>
          <w:tcPr>
            <w:tcW w:w="1045" w:type="dxa"/>
          </w:tcPr>
          <w:p>
            <w:pPr>
              <w:pStyle w:val="TableParagraph"/>
              <w:spacing w:before="153"/>
              <w:ind w:left="200"/>
              <w:rPr>
                <w:b/>
                <w:sz w:val="21"/>
              </w:rPr>
            </w:pPr>
            <w:r>
              <w:rPr>
                <w:b/>
                <w:sz w:val="21"/>
              </w:rPr>
              <w:t>11.4</w:t>
            </w:r>
          </w:p>
        </w:tc>
        <w:tc>
          <w:tcPr>
            <w:tcW w:w="1706" w:type="dxa"/>
          </w:tcPr>
          <w:p>
            <w:pPr>
              <w:pStyle w:val="TableParagraph"/>
              <w:spacing w:line="273" w:lineRule="auto" w:before="153"/>
              <w:ind w:left="316" w:right="332"/>
              <w:rPr>
                <w:b/>
                <w:sz w:val="21"/>
              </w:rPr>
            </w:pPr>
            <w:r>
              <w:rPr>
                <w:b/>
                <w:sz w:val="21"/>
              </w:rPr>
              <w:t>有效身份证件</w:t>
            </w:r>
          </w:p>
        </w:tc>
        <w:tc>
          <w:tcPr>
            <w:tcW w:w="7732" w:type="dxa"/>
          </w:tcPr>
          <w:p>
            <w:pPr>
              <w:pStyle w:val="TableParagraph"/>
              <w:spacing w:before="132"/>
              <w:ind w:right="265"/>
              <w:rPr>
                <w:sz w:val="21"/>
              </w:rPr>
            </w:pPr>
            <w:r>
              <w:rPr>
                <w:sz w:val="21"/>
              </w:rPr>
              <w:t>指由政府主管部门规定的证明个人身份的证件，如：居民身份证、按规定可使用的有效护照、军官证、警官证、士兵证等证件。</w:t>
            </w:r>
          </w:p>
        </w:tc>
      </w:tr>
      <w:tr>
        <w:trPr>
          <w:trHeight w:val="564" w:hRule="atLeast"/>
        </w:trPr>
        <w:tc>
          <w:tcPr>
            <w:tcW w:w="1045" w:type="dxa"/>
          </w:tcPr>
          <w:p>
            <w:pPr>
              <w:pStyle w:val="TableParagraph"/>
              <w:spacing w:before="153"/>
              <w:ind w:left="200"/>
              <w:rPr>
                <w:b/>
                <w:sz w:val="21"/>
              </w:rPr>
            </w:pPr>
            <w:r>
              <w:rPr>
                <w:b/>
                <w:sz w:val="21"/>
              </w:rPr>
              <w:t>11.5</w:t>
            </w:r>
          </w:p>
        </w:tc>
        <w:tc>
          <w:tcPr>
            <w:tcW w:w="1706" w:type="dxa"/>
          </w:tcPr>
          <w:p>
            <w:pPr>
              <w:pStyle w:val="TableParagraph"/>
              <w:spacing w:before="153"/>
              <w:ind w:left="316"/>
              <w:rPr>
                <w:b/>
                <w:sz w:val="21"/>
              </w:rPr>
            </w:pPr>
            <w:r>
              <w:rPr>
                <w:b/>
                <w:sz w:val="21"/>
              </w:rPr>
              <w:t>意外伤害</w:t>
            </w:r>
          </w:p>
        </w:tc>
        <w:tc>
          <w:tcPr>
            <w:tcW w:w="7732" w:type="dxa"/>
          </w:tcPr>
          <w:p>
            <w:pPr>
              <w:pStyle w:val="TableParagraph"/>
              <w:spacing w:before="132"/>
              <w:rPr>
                <w:sz w:val="21"/>
              </w:rPr>
            </w:pPr>
            <w:r>
              <w:rPr>
                <w:sz w:val="21"/>
              </w:rPr>
              <w:t>指遭受外来的、突发的、非本意的、非疾病的客观事件直接致使身体受到的伤害。</w:t>
            </w:r>
          </w:p>
        </w:tc>
      </w:tr>
      <w:tr>
        <w:trPr>
          <w:trHeight w:val="1418" w:hRule="atLeast"/>
        </w:trPr>
        <w:tc>
          <w:tcPr>
            <w:tcW w:w="1045" w:type="dxa"/>
          </w:tcPr>
          <w:p>
            <w:pPr>
              <w:pStyle w:val="TableParagraph"/>
              <w:spacing w:before="72"/>
              <w:ind w:left="200"/>
              <w:rPr>
                <w:b/>
                <w:sz w:val="21"/>
              </w:rPr>
            </w:pPr>
            <w:r>
              <w:rPr>
                <w:b/>
                <w:sz w:val="21"/>
              </w:rPr>
              <w:t>11.6</w:t>
            </w:r>
          </w:p>
        </w:tc>
        <w:tc>
          <w:tcPr>
            <w:tcW w:w="1706" w:type="dxa"/>
          </w:tcPr>
          <w:p>
            <w:pPr>
              <w:pStyle w:val="TableParagraph"/>
              <w:spacing w:line="273" w:lineRule="auto" w:before="72"/>
              <w:ind w:left="316" w:right="332"/>
              <w:rPr>
                <w:b/>
                <w:sz w:val="21"/>
              </w:rPr>
            </w:pPr>
            <w:r>
              <w:rPr>
                <w:b/>
                <w:sz w:val="21"/>
              </w:rPr>
              <w:t>我们认可的医院</w:t>
            </w:r>
          </w:p>
        </w:tc>
        <w:tc>
          <w:tcPr>
            <w:tcW w:w="7732" w:type="dxa"/>
          </w:tcPr>
          <w:p>
            <w:pPr>
              <w:pStyle w:val="TableParagraph"/>
              <w:spacing w:line="273" w:lineRule="auto" w:before="72"/>
              <w:ind w:right="299"/>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801" w:hRule="atLeast"/>
        </w:trPr>
        <w:tc>
          <w:tcPr>
            <w:tcW w:w="1045" w:type="dxa"/>
          </w:tcPr>
          <w:p>
            <w:pPr>
              <w:pStyle w:val="TableParagraph"/>
              <w:spacing w:before="72"/>
              <w:ind w:left="200"/>
              <w:rPr>
                <w:b/>
                <w:sz w:val="21"/>
              </w:rPr>
            </w:pPr>
            <w:r>
              <w:rPr>
                <w:b/>
                <w:sz w:val="21"/>
              </w:rPr>
              <w:t>11.7</w:t>
            </w:r>
          </w:p>
        </w:tc>
        <w:tc>
          <w:tcPr>
            <w:tcW w:w="1706" w:type="dxa"/>
          </w:tcPr>
          <w:p>
            <w:pPr>
              <w:pStyle w:val="TableParagraph"/>
              <w:spacing w:before="72"/>
              <w:ind w:left="316"/>
              <w:rPr>
                <w:b/>
                <w:sz w:val="21"/>
              </w:rPr>
            </w:pPr>
            <w:r>
              <w:rPr>
                <w:b/>
                <w:sz w:val="21"/>
              </w:rPr>
              <w:t>专科医生</w:t>
            </w:r>
          </w:p>
        </w:tc>
        <w:tc>
          <w:tcPr>
            <w:tcW w:w="7732" w:type="dxa"/>
          </w:tcPr>
          <w:p>
            <w:pPr>
              <w:pStyle w:val="TableParagraph"/>
              <w:spacing w:line="273" w:lineRule="auto" w:before="72"/>
              <w:ind w:right="299"/>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936" w:hRule="atLeast"/>
        </w:trPr>
        <w:tc>
          <w:tcPr>
            <w:tcW w:w="1045" w:type="dxa"/>
          </w:tcPr>
          <w:p>
            <w:pPr>
              <w:pStyle w:val="TableParagraph"/>
              <w:spacing w:before="142"/>
              <w:ind w:left="200"/>
              <w:rPr>
                <w:b/>
                <w:sz w:val="21"/>
              </w:rPr>
            </w:pPr>
            <w:r>
              <w:rPr>
                <w:b/>
                <w:sz w:val="21"/>
              </w:rPr>
              <w:t>11.8</w:t>
            </w:r>
          </w:p>
        </w:tc>
        <w:tc>
          <w:tcPr>
            <w:tcW w:w="1706" w:type="dxa"/>
          </w:tcPr>
          <w:p>
            <w:pPr>
              <w:pStyle w:val="TableParagraph"/>
              <w:spacing w:before="142"/>
              <w:ind w:left="316"/>
              <w:rPr>
                <w:b/>
                <w:sz w:val="21"/>
              </w:rPr>
            </w:pPr>
            <w:r>
              <w:rPr>
                <w:b/>
                <w:sz w:val="21"/>
              </w:rPr>
              <w:t>周岁</w:t>
            </w:r>
          </w:p>
        </w:tc>
        <w:tc>
          <w:tcPr>
            <w:tcW w:w="7732" w:type="dxa"/>
          </w:tcPr>
          <w:p>
            <w:pPr>
              <w:pStyle w:val="TableParagraph"/>
              <w:spacing w:line="273" w:lineRule="auto" w:before="142"/>
              <w:ind w:right="299"/>
              <w:rPr>
                <w:sz w:val="21"/>
              </w:rPr>
            </w:pPr>
            <w:r>
              <w:rPr>
                <w:sz w:val="21"/>
              </w:rPr>
              <w:t>指按有效身份证件中记载的出生日期计算的年龄，自出生之日起为零周岁，每经过一年增加一岁，不足一年的不计。</w:t>
            </w:r>
          </w:p>
        </w:tc>
      </w:tr>
      <w:tr>
        <w:trPr>
          <w:trHeight w:val="1226" w:hRule="atLeast"/>
        </w:trPr>
        <w:tc>
          <w:tcPr>
            <w:tcW w:w="1045" w:type="dxa"/>
          </w:tcPr>
          <w:p>
            <w:pPr>
              <w:pStyle w:val="TableParagraph"/>
              <w:spacing w:before="142"/>
              <w:ind w:left="200"/>
              <w:rPr>
                <w:b/>
                <w:sz w:val="21"/>
              </w:rPr>
            </w:pPr>
            <w:r>
              <w:rPr>
                <w:b/>
                <w:sz w:val="21"/>
              </w:rPr>
              <w:t>11.9</w:t>
            </w:r>
          </w:p>
        </w:tc>
        <w:tc>
          <w:tcPr>
            <w:tcW w:w="1706" w:type="dxa"/>
          </w:tcPr>
          <w:p>
            <w:pPr>
              <w:pStyle w:val="TableParagraph"/>
              <w:spacing w:before="142"/>
              <w:ind w:left="316"/>
              <w:rPr>
                <w:b/>
                <w:sz w:val="21"/>
              </w:rPr>
            </w:pPr>
            <w:r>
              <w:rPr>
                <w:b/>
                <w:sz w:val="21"/>
              </w:rPr>
              <w:t>毒品</w:t>
            </w:r>
          </w:p>
        </w:tc>
        <w:tc>
          <w:tcPr>
            <w:tcW w:w="7732" w:type="dxa"/>
          </w:tcPr>
          <w:p>
            <w:pPr>
              <w:pStyle w:val="TableParagraph"/>
              <w:spacing w:line="273" w:lineRule="auto" w:before="142"/>
              <w:ind w:right="196"/>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168" w:hRule="atLeast"/>
        </w:trPr>
        <w:tc>
          <w:tcPr>
            <w:tcW w:w="1045" w:type="dxa"/>
          </w:tcPr>
          <w:p>
            <w:pPr>
              <w:pStyle w:val="TableParagraph"/>
              <w:spacing w:before="121"/>
              <w:ind w:left="200"/>
              <w:rPr>
                <w:b/>
                <w:sz w:val="21"/>
              </w:rPr>
            </w:pPr>
            <w:r>
              <w:rPr>
                <w:b/>
                <w:sz w:val="21"/>
              </w:rPr>
              <w:t>11.10</w:t>
            </w:r>
          </w:p>
        </w:tc>
        <w:tc>
          <w:tcPr>
            <w:tcW w:w="1706" w:type="dxa"/>
          </w:tcPr>
          <w:p>
            <w:pPr>
              <w:pStyle w:val="TableParagraph"/>
              <w:spacing w:before="121"/>
              <w:ind w:left="316"/>
              <w:rPr>
                <w:b/>
                <w:sz w:val="21"/>
              </w:rPr>
            </w:pPr>
            <w:r>
              <w:rPr>
                <w:b/>
                <w:sz w:val="21"/>
              </w:rPr>
              <w:t>酒后驾驶</w:t>
            </w:r>
          </w:p>
        </w:tc>
        <w:tc>
          <w:tcPr>
            <w:tcW w:w="7732" w:type="dxa"/>
          </w:tcPr>
          <w:p>
            <w:pPr>
              <w:pStyle w:val="TableParagraph"/>
              <w:spacing w:line="273" w:lineRule="auto" w:before="121"/>
              <w:ind w:right="29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2" w:hRule="atLeast"/>
        </w:trPr>
        <w:tc>
          <w:tcPr>
            <w:tcW w:w="1045" w:type="dxa"/>
          </w:tcPr>
          <w:p>
            <w:pPr>
              <w:pStyle w:val="TableParagraph"/>
              <w:spacing w:before="84"/>
              <w:ind w:left="200"/>
              <w:rPr>
                <w:b/>
                <w:sz w:val="21"/>
              </w:rPr>
            </w:pPr>
            <w:r>
              <w:rPr>
                <w:b/>
                <w:sz w:val="21"/>
              </w:rPr>
              <w:t>11.11</w:t>
            </w:r>
          </w:p>
        </w:tc>
        <w:tc>
          <w:tcPr>
            <w:tcW w:w="1706" w:type="dxa"/>
          </w:tcPr>
          <w:p>
            <w:pPr>
              <w:pStyle w:val="TableParagraph"/>
              <w:spacing w:line="273" w:lineRule="auto" w:before="84"/>
              <w:ind w:left="316" w:right="80"/>
              <w:rPr>
                <w:b/>
                <w:sz w:val="21"/>
              </w:rPr>
            </w:pPr>
            <w:r>
              <w:rPr>
                <w:b/>
                <w:sz w:val="21"/>
              </w:rPr>
              <w:t>无合法有效驾驶证驾驶</w:t>
            </w:r>
          </w:p>
        </w:tc>
        <w:tc>
          <w:tcPr>
            <w:tcW w:w="7732" w:type="dxa"/>
          </w:tcPr>
          <w:p>
            <w:pPr>
              <w:pStyle w:val="TableParagraph"/>
              <w:spacing w:before="84"/>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right="309"/>
              <w:rPr>
                <w:sz w:val="21"/>
              </w:rPr>
            </w:pPr>
            <w:r>
              <w:rPr>
                <w:sz w:val="21"/>
              </w:rPr>
              <w:t>（4）持学习驾驶证学习驾车时，无教练员随车指导，或不按指定时间、路线学习驾车。</w:t>
            </w:r>
          </w:p>
        </w:tc>
      </w:tr>
      <w:tr>
        <w:trPr>
          <w:trHeight w:val="1461" w:hRule="atLeast"/>
        </w:trPr>
        <w:tc>
          <w:tcPr>
            <w:tcW w:w="1045" w:type="dxa"/>
          </w:tcPr>
          <w:p>
            <w:pPr>
              <w:pStyle w:val="TableParagraph"/>
              <w:spacing w:before="110"/>
              <w:ind w:left="200"/>
              <w:rPr>
                <w:b/>
                <w:sz w:val="21"/>
              </w:rPr>
            </w:pPr>
            <w:r>
              <w:rPr>
                <w:b/>
                <w:sz w:val="21"/>
              </w:rPr>
              <w:t>11.12</w:t>
            </w:r>
          </w:p>
        </w:tc>
        <w:tc>
          <w:tcPr>
            <w:tcW w:w="1706" w:type="dxa"/>
          </w:tcPr>
          <w:p>
            <w:pPr>
              <w:pStyle w:val="TableParagraph"/>
              <w:spacing w:line="273" w:lineRule="auto" w:before="110"/>
              <w:ind w:left="316" w:right="80"/>
              <w:rPr>
                <w:b/>
                <w:sz w:val="21"/>
              </w:rPr>
            </w:pPr>
            <w:r>
              <w:rPr>
                <w:b/>
                <w:sz w:val="21"/>
              </w:rPr>
              <w:t>无有效行驶证</w:t>
            </w:r>
          </w:p>
        </w:tc>
        <w:tc>
          <w:tcPr>
            <w:tcW w:w="7732" w:type="dxa"/>
          </w:tcPr>
          <w:p>
            <w:pPr>
              <w:pStyle w:val="TableParagraph"/>
              <w:spacing w:before="110"/>
              <w:rPr>
                <w:sz w:val="21"/>
              </w:rPr>
            </w:pPr>
            <w:r>
              <w:rPr>
                <w:sz w:val="21"/>
              </w:rPr>
              <w:t>指下列情形之一：</w:t>
            </w:r>
          </w:p>
          <w:p>
            <w:pPr>
              <w:pStyle w:val="TableParagraph"/>
              <w:spacing w:before="37"/>
              <w:rPr>
                <w:sz w:val="21"/>
              </w:rPr>
            </w:pPr>
            <w:r>
              <w:rPr>
                <w:sz w:val="21"/>
              </w:rPr>
              <w:t>（1）未取得机动车行驶证；</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899" w:hRule="atLeast"/>
        </w:trPr>
        <w:tc>
          <w:tcPr>
            <w:tcW w:w="1045" w:type="dxa"/>
          </w:tcPr>
          <w:p>
            <w:pPr>
              <w:pStyle w:val="TableParagraph"/>
              <w:spacing w:before="77"/>
              <w:ind w:left="200"/>
              <w:rPr>
                <w:b/>
                <w:sz w:val="21"/>
              </w:rPr>
            </w:pPr>
            <w:r>
              <w:rPr>
                <w:b/>
                <w:sz w:val="21"/>
              </w:rPr>
              <w:t>11.13</w:t>
            </w:r>
          </w:p>
        </w:tc>
        <w:tc>
          <w:tcPr>
            <w:tcW w:w="1706" w:type="dxa"/>
          </w:tcPr>
          <w:p>
            <w:pPr>
              <w:pStyle w:val="TableParagraph"/>
              <w:spacing w:before="77"/>
              <w:ind w:left="316"/>
              <w:rPr>
                <w:b/>
                <w:sz w:val="21"/>
              </w:rPr>
            </w:pPr>
            <w:r>
              <w:rPr>
                <w:b/>
                <w:sz w:val="21"/>
              </w:rPr>
              <w:t>机动车</w:t>
            </w:r>
          </w:p>
        </w:tc>
        <w:tc>
          <w:tcPr>
            <w:tcW w:w="7732" w:type="dxa"/>
          </w:tcPr>
          <w:p>
            <w:pPr>
              <w:pStyle w:val="TableParagraph"/>
              <w:spacing w:line="273" w:lineRule="auto" w:before="77"/>
              <w:ind w:right="299"/>
              <w:rPr>
                <w:sz w:val="21"/>
              </w:rPr>
            </w:pPr>
            <w:r>
              <w:rPr>
                <w:sz w:val="21"/>
              </w:rPr>
              <w:t>指以动力装置驱动或牵引，上道路行驶的供人员乘用或用于运送物品以及进行工程专项作业的轮式车辆。</w:t>
            </w:r>
          </w:p>
        </w:tc>
      </w:tr>
      <w:tr>
        <w:trPr>
          <w:trHeight w:val="1382" w:hRule="atLeast"/>
        </w:trPr>
        <w:tc>
          <w:tcPr>
            <w:tcW w:w="1045" w:type="dxa"/>
          </w:tcPr>
          <w:p>
            <w:pPr>
              <w:pStyle w:val="TableParagraph"/>
              <w:spacing w:before="171"/>
              <w:ind w:left="200"/>
              <w:rPr>
                <w:b/>
                <w:sz w:val="21"/>
              </w:rPr>
            </w:pPr>
            <w:r>
              <w:rPr>
                <w:b/>
                <w:sz w:val="21"/>
              </w:rPr>
              <w:t>11.14</w:t>
            </w:r>
          </w:p>
        </w:tc>
        <w:tc>
          <w:tcPr>
            <w:tcW w:w="1706" w:type="dxa"/>
          </w:tcPr>
          <w:p>
            <w:pPr>
              <w:pStyle w:val="TableParagraph"/>
              <w:spacing w:line="273" w:lineRule="auto" w:before="171"/>
              <w:ind w:left="316" w:right="80"/>
              <w:jc w:val="both"/>
              <w:rPr>
                <w:b/>
                <w:sz w:val="21"/>
              </w:rPr>
            </w:pPr>
            <w:r>
              <w:rPr>
                <w:b/>
                <w:sz w:val="21"/>
              </w:rPr>
              <w:t>感染艾滋病病毒或 患艾滋病</w:t>
            </w:r>
          </w:p>
        </w:tc>
        <w:tc>
          <w:tcPr>
            <w:tcW w:w="7732" w:type="dxa"/>
          </w:tcPr>
          <w:p>
            <w:pPr>
              <w:pStyle w:val="TableParagraph"/>
              <w:spacing w:line="273" w:lineRule="auto" w:before="171"/>
              <w:ind w:right="299"/>
              <w:rPr>
                <w:sz w:val="21"/>
              </w:rPr>
            </w:pPr>
            <w:r>
              <w:rPr>
                <w:sz w:val="21"/>
              </w:rPr>
              <w:t>艾滋病病毒指人类免疫缺陷病毒，英文缩写为 HIV。艾滋病指人类免疫缺陷病毒引起的获得性免疫缺陷综合征，英文缩写为 AIDS。</w:t>
            </w:r>
          </w:p>
          <w:p>
            <w:pPr>
              <w:pStyle w:val="TableParagraph"/>
              <w:spacing w:line="312" w:lineRule="exact" w:before="3"/>
              <w:ind w:right="299"/>
              <w:rPr>
                <w:sz w:val="21"/>
              </w:rPr>
            </w:pPr>
            <w:r>
              <w:rPr>
                <w:sz w:val="21"/>
              </w:rPr>
              <w:t>在人体血液或其他样本中检测到艾滋病病毒或其抗体呈阳性，没有出现临床症状或体征的，为感染艾滋病病毒；如果同时出现了明显临床症状或体征的，为患艾</w:t>
            </w:r>
          </w:p>
        </w:tc>
      </w:tr>
    </w:tbl>
    <w:p>
      <w:pPr>
        <w:spacing w:after="0" w:line="312"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4"/>
      </w:tblGrid>
      <w:tr>
        <w:trPr>
          <w:trHeight w:val="346" w:hRule="atLeast"/>
        </w:trPr>
        <w:tc>
          <w:tcPr>
            <w:tcW w:w="1045" w:type="dxa"/>
          </w:tcPr>
          <w:p>
            <w:pPr>
              <w:pStyle w:val="TableParagraph"/>
              <w:ind w:left="0"/>
              <w:rPr>
                <w:rFonts w:ascii="Times New Roman"/>
                <w:sz w:val="20"/>
              </w:rPr>
            </w:pPr>
          </w:p>
        </w:tc>
        <w:tc>
          <w:tcPr>
            <w:tcW w:w="1706" w:type="dxa"/>
          </w:tcPr>
          <w:p>
            <w:pPr>
              <w:pStyle w:val="TableParagraph"/>
              <w:ind w:left="0"/>
              <w:rPr>
                <w:rFonts w:ascii="Times New Roman"/>
                <w:sz w:val="20"/>
              </w:rPr>
            </w:pPr>
          </w:p>
        </w:tc>
        <w:tc>
          <w:tcPr>
            <w:tcW w:w="7734" w:type="dxa"/>
          </w:tcPr>
          <w:p>
            <w:pPr>
              <w:pStyle w:val="TableParagraph"/>
              <w:spacing w:line="211" w:lineRule="exact"/>
              <w:rPr>
                <w:sz w:val="21"/>
              </w:rPr>
            </w:pPr>
            <w:r>
              <w:rPr>
                <w:sz w:val="21"/>
              </w:rPr>
              <w:t>滋病。</w:t>
            </w:r>
          </w:p>
        </w:tc>
      </w:tr>
      <w:tr>
        <w:trPr>
          <w:trHeight w:val="794" w:hRule="atLeast"/>
        </w:trPr>
        <w:tc>
          <w:tcPr>
            <w:tcW w:w="1045" w:type="dxa"/>
          </w:tcPr>
          <w:p>
            <w:pPr>
              <w:pStyle w:val="TableParagraph"/>
              <w:spacing w:before="72"/>
              <w:ind w:left="200"/>
              <w:rPr>
                <w:b/>
                <w:sz w:val="21"/>
              </w:rPr>
            </w:pPr>
            <w:r>
              <w:rPr>
                <w:b/>
                <w:sz w:val="21"/>
              </w:rPr>
              <w:t>11.15</w:t>
            </w:r>
          </w:p>
        </w:tc>
        <w:tc>
          <w:tcPr>
            <w:tcW w:w="1706" w:type="dxa"/>
          </w:tcPr>
          <w:p>
            <w:pPr>
              <w:pStyle w:val="TableParagraph"/>
              <w:spacing w:before="72"/>
              <w:ind w:left="316"/>
              <w:rPr>
                <w:b/>
                <w:sz w:val="21"/>
              </w:rPr>
            </w:pPr>
            <w:r>
              <w:rPr>
                <w:b/>
                <w:sz w:val="21"/>
              </w:rPr>
              <w:t>遗传性疾病</w:t>
            </w:r>
          </w:p>
        </w:tc>
        <w:tc>
          <w:tcPr>
            <w:tcW w:w="7734" w:type="dxa"/>
          </w:tcPr>
          <w:p>
            <w:pPr>
              <w:pStyle w:val="TableParagraph"/>
              <w:spacing w:line="273" w:lineRule="auto" w:before="72"/>
              <w:ind w:right="196"/>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06" w:hRule="atLeast"/>
        </w:trPr>
        <w:tc>
          <w:tcPr>
            <w:tcW w:w="1045" w:type="dxa"/>
          </w:tcPr>
          <w:p>
            <w:pPr>
              <w:pStyle w:val="TableParagraph"/>
              <w:spacing w:before="72"/>
              <w:ind w:left="200"/>
              <w:rPr>
                <w:b/>
                <w:sz w:val="21"/>
              </w:rPr>
            </w:pPr>
            <w:r>
              <w:rPr>
                <w:b/>
                <w:sz w:val="21"/>
              </w:rPr>
              <w:t>11.16</w:t>
            </w:r>
          </w:p>
        </w:tc>
        <w:tc>
          <w:tcPr>
            <w:tcW w:w="1706" w:type="dxa"/>
          </w:tcPr>
          <w:p>
            <w:pPr>
              <w:pStyle w:val="TableParagraph"/>
              <w:spacing w:line="273" w:lineRule="auto" w:before="72"/>
              <w:ind w:left="316" w:right="119"/>
              <w:rPr>
                <w:b/>
                <w:sz w:val="21"/>
              </w:rPr>
            </w:pPr>
            <w:r>
              <w:rPr>
                <w:b/>
                <w:sz w:val="21"/>
              </w:rPr>
              <w:t>先天性畸形、变形或染色 体异常</w:t>
            </w:r>
          </w:p>
        </w:tc>
        <w:tc>
          <w:tcPr>
            <w:tcW w:w="7734" w:type="dxa"/>
          </w:tcPr>
          <w:p>
            <w:pPr>
              <w:pStyle w:val="TableParagraph"/>
              <w:spacing w:line="264" w:lineRule="auto" w:before="72"/>
              <w:ind w:right="3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790" w:hRule="atLeast"/>
        </w:trPr>
        <w:tc>
          <w:tcPr>
            <w:tcW w:w="1045" w:type="dxa"/>
          </w:tcPr>
          <w:p>
            <w:pPr>
              <w:pStyle w:val="TableParagraph"/>
              <w:spacing w:before="72"/>
              <w:ind w:left="200"/>
              <w:rPr>
                <w:b/>
                <w:sz w:val="21"/>
              </w:rPr>
            </w:pPr>
            <w:r>
              <w:rPr>
                <w:b/>
                <w:sz w:val="21"/>
              </w:rPr>
              <w:t>11.17</w:t>
            </w:r>
          </w:p>
        </w:tc>
        <w:tc>
          <w:tcPr>
            <w:tcW w:w="1706" w:type="dxa"/>
          </w:tcPr>
          <w:p>
            <w:pPr>
              <w:pStyle w:val="TableParagraph"/>
              <w:spacing w:before="72"/>
              <w:ind w:left="316"/>
              <w:rPr>
                <w:b/>
                <w:sz w:val="21"/>
              </w:rPr>
            </w:pPr>
            <w:r>
              <w:rPr>
                <w:b/>
                <w:sz w:val="21"/>
              </w:rPr>
              <w:t>现金价值</w:t>
            </w:r>
          </w:p>
        </w:tc>
        <w:tc>
          <w:tcPr>
            <w:tcW w:w="7734" w:type="dxa"/>
          </w:tcPr>
          <w:p>
            <w:pPr>
              <w:pStyle w:val="TableParagraph"/>
              <w:spacing w:line="273" w:lineRule="auto" w:before="72"/>
              <w:ind w:right="286"/>
              <w:rPr>
                <w:sz w:val="21"/>
              </w:rPr>
            </w:pPr>
            <w:r>
              <w:rPr>
                <w:sz w:val="21"/>
              </w:rPr>
              <w:t>指保单所具有的价值，通常体现为解除保险合同时，根据精算原理计算的，由我们退还的那部分金额。</w:t>
            </w:r>
          </w:p>
        </w:tc>
      </w:tr>
      <w:tr>
        <w:trPr>
          <w:trHeight w:val="820" w:hRule="atLeast"/>
        </w:trPr>
        <w:tc>
          <w:tcPr>
            <w:tcW w:w="1045" w:type="dxa"/>
          </w:tcPr>
          <w:p>
            <w:pPr>
              <w:pStyle w:val="TableParagraph"/>
              <w:spacing w:before="68"/>
              <w:ind w:left="200"/>
              <w:rPr>
                <w:b/>
                <w:sz w:val="21"/>
              </w:rPr>
            </w:pPr>
            <w:r>
              <w:rPr>
                <w:b/>
                <w:sz w:val="21"/>
              </w:rPr>
              <w:t>11.18</w:t>
            </w:r>
          </w:p>
        </w:tc>
        <w:tc>
          <w:tcPr>
            <w:tcW w:w="1706" w:type="dxa"/>
          </w:tcPr>
          <w:p>
            <w:pPr>
              <w:pStyle w:val="TableParagraph"/>
              <w:spacing w:line="273" w:lineRule="auto" w:before="68"/>
              <w:ind w:left="316" w:right="80"/>
              <w:rPr>
                <w:b/>
                <w:sz w:val="21"/>
              </w:rPr>
            </w:pPr>
            <w:r>
              <w:rPr>
                <w:b/>
                <w:sz w:val="21"/>
              </w:rPr>
              <w:t>肢体机能完全丧失</w:t>
            </w:r>
          </w:p>
        </w:tc>
        <w:tc>
          <w:tcPr>
            <w:tcW w:w="7734" w:type="dxa"/>
          </w:tcPr>
          <w:p>
            <w:pPr>
              <w:pStyle w:val="TableParagraph"/>
              <w:spacing w:line="273" w:lineRule="auto" w:before="68"/>
              <w:ind w:right="301"/>
              <w:rPr>
                <w:sz w:val="21"/>
              </w:rPr>
            </w:pPr>
            <w:r>
              <w:rPr>
                <w:sz w:val="21"/>
              </w:rPr>
              <w:t>指肢体的三大关节中的两大关节僵硬，或不能随意识活动。肢体是指包括肩关节的整个上肢或包括髋关节的整个下肢。</w:t>
            </w:r>
          </w:p>
        </w:tc>
      </w:tr>
      <w:tr>
        <w:trPr>
          <w:trHeight w:val="1450" w:hRule="atLeast"/>
        </w:trPr>
        <w:tc>
          <w:tcPr>
            <w:tcW w:w="1045" w:type="dxa"/>
          </w:tcPr>
          <w:p>
            <w:pPr>
              <w:pStyle w:val="TableParagraph"/>
              <w:spacing w:before="102"/>
              <w:ind w:left="200"/>
              <w:rPr>
                <w:b/>
                <w:sz w:val="21"/>
              </w:rPr>
            </w:pPr>
            <w:r>
              <w:rPr>
                <w:b/>
                <w:sz w:val="21"/>
              </w:rPr>
              <w:t>11.19</w:t>
            </w:r>
          </w:p>
        </w:tc>
        <w:tc>
          <w:tcPr>
            <w:tcW w:w="1706" w:type="dxa"/>
          </w:tcPr>
          <w:p>
            <w:pPr>
              <w:pStyle w:val="TableParagraph"/>
              <w:spacing w:line="273" w:lineRule="auto" w:before="102"/>
              <w:ind w:left="316" w:right="80"/>
              <w:jc w:val="both"/>
              <w:rPr>
                <w:b/>
                <w:sz w:val="21"/>
              </w:rPr>
            </w:pPr>
            <w:r>
              <w:rPr>
                <w:b/>
                <w:sz w:val="21"/>
              </w:rPr>
              <w:t>语言能力或咀嚼吞咽能力完全丧失</w:t>
            </w:r>
          </w:p>
        </w:tc>
        <w:tc>
          <w:tcPr>
            <w:tcW w:w="7734" w:type="dxa"/>
          </w:tcPr>
          <w:p>
            <w:pPr>
              <w:pStyle w:val="TableParagraph"/>
              <w:spacing w:line="273" w:lineRule="auto" w:before="102"/>
              <w:ind w:right="301"/>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419" w:hRule="atLeast"/>
        </w:trPr>
        <w:tc>
          <w:tcPr>
            <w:tcW w:w="1045" w:type="dxa"/>
          </w:tcPr>
          <w:p>
            <w:pPr>
              <w:pStyle w:val="TableParagraph"/>
              <w:spacing w:before="73"/>
              <w:ind w:left="200"/>
              <w:rPr>
                <w:b/>
                <w:sz w:val="21"/>
              </w:rPr>
            </w:pPr>
            <w:r>
              <w:rPr>
                <w:b/>
                <w:sz w:val="21"/>
              </w:rPr>
              <w:t>11.20</w:t>
            </w:r>
          </w:p>
        </w:tc>
        <w:tc>
          <w:tcPr>
            <w:tcW w:w="1706" w:type="dxa"/>
          </w:tcPr>
          <w:p>
            <w:pPr>
              <w:pStyle w:val="TableParagraph"/>
              <w:spacing w:line="273" w:lineRule="auto" w:before="73"/>
              <w:ind w:left="316" w:right="80"/>
              <w:rPr>
                <w:b/>
                <w:sz w:val="21"/>
              </w:rPr>
            </w:pPr>
            <w:r>
              <w:rPr>
                <w:b/>
                <w:sz w:val="21"/>
              </w:rPr>
              <w:t>六项基本日常生活活动</w:t>
            </w:r>
          </w:p>
        </w:tc>
        <w:tc>
          <w:tcPr>
            <w:tcW w:w="7734" w:type="dxa"/>
          </w:tcPr>
          <w:p>
            <w:pPr>
              <w:pStyle w:val="TableParagraph"/>
              <w:spacing w:line="273" w:lineRule="auto" w:before="73"/>
              <w:ind w:right="2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865" w:hRule="atLeast"/>
        </w:trPr>
        <w:tc>
          <w:tcPr>
            <w:tcW w:w="1045" w:type="dxa"/>
          </w:tcPr>
          <w:p>
            <w:pPr>
              <w:pStyle w:val="TableParagraph"/>
              <w:spacing w:before="72"/>
              <w:ind w:left="200"/>
              <w:rPr>
                <w:b/>
                <w:sz w:val="21"/>
              </w:rPr>
            </w:pPr>
            <w:r>
              <w:rPr>
                <w:b/>
                <w:sz w:val="21"/>
              </w:rPr>
              <w:t>11.21</w:t>
            </w:r>
          </w:p>
        </w:tc>
        <w:tc>
          <w:tcPr>
            <w:tcW w:w="1706" w:type="dxa"/>
          </w:tcPr>
          <w:p>
            <w:pPr>
              <w:pStyle w:val="TableParagraph"/>
              <w:spacing w:before="72"/>
              <w:ind w:left="316"/>
              <w:rPr>
                <w:b/>
                <w:sz w:val="21"/>
              </w:rPr>
            </w:pPr>
            <w:r>
              <w:rPr>
                <w:b/>
                <w:sz w:val="21"/>
              </w:rPr>
              <w:t>永久不可逆</w:t>
            </w:r>
          </w:p>
        </w:tc>
        <w:tc>
          <w:tcPr>
            <w:tcW w:w="7734" w:type="dxa"/>
          </w:tcPr>
          <w:p>
            <w:pPr>
              <w:pStyle w:val="TableParagraph"/>
              <w:spacing w:line="273" w:lineRule="auto" w:before="72"/>
              <w:ind w:right="301"/>
              <w:rPr>
                <w:sz w:val="21"/>
              </w:rPr>
            </w:pPr>
            <w:r>
              <w:rPr>
                <w:spacing w:val="-6"/>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r>
        <w:trPr>
          <w:trHeight w:val="933" w:hRule="atLeast"/>
        </w:trPr>
        <w:tc>
          <w:tcPr>
            <w:tcW w:w="1045" w:type="dxa"/>
          </w:tcPr>
          <w:p>
            <w:pPr>
              <w:pStyle w:val="TableParagraph"/>
              <w:spacing w:before="142"/>
              <w:ind w:left="200"/>
              <w:rPr>
                <w:b/>
                <w:sz w:val="21"/>
              </w:rPr>
            </w:pPr>
            <w:r>
              <w:rPr>
                <w:b/>
                <w:sz w:val="21"/>
              </w:rPr>
              <w:t>11.22</w:t>
            </w:r>
          </w:p>
        </w:tc>
        <w:tc>
          <w:tcPr>
            <w:tcW w:w="1706" w:type="dxa"/>
          </w:tcPr>
          <w:p>
            <w:pPr>
              <w:pStyle w:val="TableParagraph"/>
              <w:spacing w:line="273" w:lineRule="auto" w:before="142"/>
              <w:ind w:left="316" w:right="80"/>
              <w:rPr>
                <w:b/>
                <w:sz w:val="21"/>
              </w:rPr>
            </w:pPr>
            <w:r>
              <w:rPr>
                <w:b/>
                <w:sz w:val="21"/>
              </w:rPr>
              <w:t>持续的输氧治疗</w:t>
            </w:r>
          </w:p>
        </w:tc>
        <w:tc>
          <w:tcPr>
            <w:tcW w:w="7734" w:type="dxa"/>
          </w:tcPr>
          <w:p>
            <w:pPr>
              <w:pStyle w:val="TableParagraph"/>
              <w:spacing w:before="142"/>
              <w:rPr>
                <w:sz w:val="21"/>
              </w:rPr>
            </w:pPr>
            <w:r>
              <w:rPr>
                <w:sz w:val="21"/>
              </w:rPr>
              <w:t>指每日至少吸氧 15 小时，氧疗时间至少达到 6 个月以上。</w:t>
            </w:r>
          </w:p>
        </w:tc>
      </w:tr>
      <w:tr>
        <w:trPr>
          <w:trHeight w:val="1251" w:hRule="atLeast"/>
        </w:trPr>
        <w:tc>
          <w:tcPr>
            <w:tcW w:w="1045" w:type="dxa"/>
          </w:tcPr>
          <w:p>
            <w:pPr>
              <w:pStyle w:val="TableParagraph"/>
              <w:spacing w:before="146"/>
              <w:ind w:left="200"/>
              <w:rPr>
                <w:b/>
                <w:sz w:val="21"/>
              </w:rPr>
            </w:pPr>
            <w:r>
              <w:rPr>
                <w:b/>
                <w:sz w:val="21"/>
              </w:rPr>
              <w:t>11.23</w:t>
            </w:r>
          </w:p>
        </w:tc>
        <w:tc>
          <w:tcPr>
            <w:tcW w:w="1706" w:type="dxa"/>
          </w:tcPr>
          <w:p>
            <w:pPr>
              <w:pStyle w:val="TableParagraph"/>
              <w:spacing w:line="264" w:lineRule="auto" w:before="146"/>
              <w:ind w:left="316" w:right="80"/>
              <w:jc w:val="both"/>
              <w:rPr>
                <w:b/>
                <w:sz w:val="21"/>
              </w:rPr>
            </w:pPr>
            <w:r>
              <w:rPr>
                <w:b/>
                <w:spacing w:val="40"/>
                <w:sz w:val="21"/>
              </w:rPr>
              <w:t>持续性尿蛋</w:t>
            </w:r>
            <w:r>
              <w:rPr>
                <w:b/>
                <w:spacing w:val="-39"/>
                <w:sz w:val="21"/>
              </w:rPr>
              <w:t>白</w:t>
            </w:r>
            <w:r>
              <w:rPr>
                <w:b/>
                <w:sz w:val="21"/>
              </w:rPr>
              <w:t>（尿蛋白</w:t>
            </w:r>
            <w:r>
              <w:rPr>
                <w:rFonts w:ascii="Times New Roman" w:eastAsia="Times New Roman"/>
                <w:b/>
                <w:sz w:val="21"/>
              </w:rPr>
              <w:t>++ </w:t>
            </w:r>
            <w:r>
              <w:rPr>
                <w:b/>
                <w:sz w:val="21"/>
              </w:rPr>
              <w:t>以上）</w:t>
            </w:r>
          </w:p>
        </w:tc>
        <w:tc>
          <w:tcPr>
            <w:tcW w:w="7734" w:type="dxa"/>
          </w:tcPr>
          <w:p>
            <w:pPr>
              <w:pStyle w:val="TableParagraph"/>
              <w:spacing w:before="146"/>
              <w:rPr>
                <w:sz w:val="21"/>
              </w:rPr>
            </w:pPr>
            <w:r>
              <w:rPr>
                <w:sz w:val="21"/>
              </w:rPr>
              <w:t>指在三个尿样中的两个检查中查出蛋白质；</w:t>
            </w:r>
            <w:r>
              <w:rPr>
                <w:rFonts w:ascii="Times New Roman" w:eastAsia="Times New Roman"/>
                <w:sz w:val="21"/>
              </w:rPr>
              <w:t>++</w:t>
            </w:r>
            <w:r>
              <w:rPr>
                <w:sz w:val="21"/>
              </w:rPr>
              <w:t>以上不包括</w:t>
            </w:r>
            <w:r>
              <w:rPr>
                <w:rFonts w:ascii="Times New Roman" w:eastAsia="Times New Roman"/>
                <w:sz w:val="21"/>
              </w:rPr>
              <w:t>++</w:t>
            </w:r>
            <w:r>
              <w:rPr>
                <w:sz w:val="21"/>
              </w:rPr>
              <w:t>。</w:t>
            </w:r>
          </w:p>
        </w:tc>
      </w:tr>
      <w:tr>
        <w:trPr>
          <w:trHeight w:val="936" w:hRule="atLeast"/>
        </w:trPr>
        <w:tc>
          <w:tcPr>
            <w:tcW w:w="1045" w:type="dxa"/>
          </w:tcPr>
          <w:p>
            <w:pPr>
              <w:pStyle w:val="TableParagraph"/>
              <w:spacing w:before="142"/>
              <w:ind w:left="200"/>
              <w:rPr>
                <w:b/>
                <w:sz w:val="21"/>
              </w:rPr>
            </w:pPr>
            <w:r>
              <w:rPr>
                <w:b/>
                <w:sz w:val="21"/>
              </w:rPr>
              <w:t>11.24</w:t>
            </w:r>
          </w:p>
        </w:tc>
        <w:tc>
          <w:tcPr>
            <w:tcW w:w="1706" w:type="dxa"/>
          </w:tcPr>
          <w:p>
            <w:pPr>
              <w:pStyle w:val="TableParagraph"/>
              <w:spacing w:line="273" w:lineRule="auto" w:before="142"/>
              <w:ind w:left="316" w:right="80"/>
              <w:rPr>
                <w:b/>
                <w:sz w:val="21"/>
              </w:rPr>
            </w:pPr>
            <w:r>
              <w:rPr>
                <w:b/>
                <w:sz w:val="21"/>
              </w:rPr>
              <w:t>条款约定利率</w:t>
            </w:r>
          </w:p>
        </w:tc>
        <w:tc>
          <w:tcPr>
            <w:tcW w:w="7734" w:type="dxa"/>
          </w:tcPr>
          <w:p>
            <w:pPr>
              <w:pStyle w:val="TableParagraph"/>
              <w:spacing w:before="142"/>
              <w:rPr>
                <w:sz w:val="21"/>
              </w:rPr>
            </w:pPr>
            <w:r>
              <w:rPr>
                <w:sz w:val="21"/>
              </w:rPr>
              <w:t>由我们参照人民银行最近一次规定的六个月期人民币贷款利率在每年的 1 月 1 日</w:t>
            </w:r>
          </w:p>
          <w:p>
            <w:pPr>
              <w:pStyle w:val="TableParagraph"/>
              <w:spacing w:before="36"/>
              <w:rPr>
                <w:sz w:val="21"/>
              </w:rPr>
            </w:pPr>
            <w:r>
              <w:rPr>
                <w:sz w:val="21"/>
              </w:rPr>
              <w:t>和 7 月 1 日确定。</w:t>
            </w:r>
          </w:p>
        </w:tc>
      </w:tr>
      <w:tr>
        <w:trPr>
          <w:trHeight w:val="417" w:hRule="atLeast"/>
        </w:trPr>
        <w:tc>
          <w:tcPr>
            <w:tcW w:w="1045" w:type="dxa"/>
          </w:tcPr>
          <w:p>
            <w:pPr>
              <w:pStyle w:val="TableParagraph"/>
              <w:spacing w:line="255" w:lineRule="exact" w:before="142"/>
              <w:ind w:left="200"/>
              <w:rPr>
                <w:b/>
                <w:sz w:val="21"/>
              </w:rPr>
            </w:pPr>
            <w:r>
              <w:rPr>
                <w:b/>
                <w:sz w:val="21"/>
              </w:rPr>
              <w:t>11.25</w:t>
            </w:r>
          </w:p>
        </w:tc>
        <w:tc>
          <w:tcPr>
            <w:tcW w:w="1706" w:type="dxa"/>
          </w:tcPr>
          <w:p>
            <w:pPr>
              <w:pStyle w:val="TableParagraph"/>
              <w:spacing w:line="255" w:lineRule="exact" w:before="142"/>
              <w:ind w:left="316"/>
              <w:rPr>
                <w:b/>
                <w:sz w:val="21"/>
              </w:rPr>
            </w:pPr>
            <w:r>
              <w:rPr>
                <w:b/>
                <w:sz w:val="21"/>
              </w:rPr>
              <w:t>净保险费</w:t>
            </w:r>
          </w:p>
        </w:tc>
        <w:tc>
          <w:tcPr>
            <w:tcW w:w="7734" w:type="dxa"/>
          </w:tcPr>
          <w:p>
            <w:pPr>
              <w:pStyle w:val="TableParagraph"/>
              <w:spacing w:line="255" w:lineRule="exact" w:before="142"/>
              <w:rPr>
                <w:sz w:val="21"/>
              </w:rPr>
            </w:pPr>
            <w:r>
              <w:rPr>
                <w:sz w:val="21"/>
              </w:rPr>
              <w:t>指不包含公司营业费用、佣金等其他费用的保险费。</w:t>
            </w:r>
          </w:p>
        </w:tc>
      </w:tr>
    </w:tbl>
    <w:sectPr>
      <w:pgSz w:w="11910" w:h="16840"/>
      <w:pgMar w:header="568" w:footer="0" w:top="800" w:bottom="280" w:left="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60376" type="#_x0000_t202" filled="false" stroked="false">
          <v:textbox inset="0,0,0,0">
            <w:txbxContent>
              <w:p>
                <w:pPr>
                  <w:pStyle w:val="BodyText"/>
                  <w:spacing w:before="12"/>
                  <w:ind w:left="20"/>
                  <w:rPr>
                    <w:rFonts w:ascii="Times New Roman"/>
                  </w:rPr>
                </w:pPr>
                <w:r>
                  <w:rPr>
                    <w:rFonts w:ascii="Times New Roman"/>
                  </w:rPr>
                  <w:t>18-</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0"/>
      <w:numFmt w:val="decimal"/>
      <w:lvlText w:val="%1"/>
      <w:lvlJc w:val="left"/>
      <w:pPr>
        <w:ind w:left="1382" w:hanging="1162"/>
        <w:jc w:val="left"/>
      </w:pPr>
      <w:rPr>
        <w:rFonts w:hint="default" w:ascii="宋体" w:hAnsi="宋体" w:eastAsia="宋体" w:cs="宋体"/>
        <w:b/>
        <w:bCs/>
        <w:spacing w:val="0"/>
        <w:w w:val="99"/>
        <w:sz w:val="28"/>
        <w:szCs w:val="28"/>
      </w:rPr>
    </w:lvl>
    <w:lvl w:ilvl="1">
      <w:start w:val="1"/>
      <w:numFmt w:val="decimal"/>
      <w:lvlText w:val="%1.%2"/>
      <w:lvlJc w:val="left"/>
      <w:pPr>
        <w:ind w:left="1382" w:hanging="1162"/>
        <w:jc w:val="left"/>
      </w:pPr>
      <w:rPr>
        <w:rFonts w:hint="default" w:ascii="宋体" w:hAnsi="宋体" w:eastAsia="宋体" w:cs="宋体"/>
        <w:b/>
        <w:bCs/>
        <w:w w:val="99"/>
        <w:sz w:val="21"/>
        <w:szCs w:val="21"/>
      </w:rPr>
    </w:lvl>
    <w:lvl w:ilvl="2">
      <w:start w:val="0"/>
      <w:numFmt w:val="bullet"/>
      <w:lvlText w:val="•"/>
      <w:lvlJc w:val="left"/>
      <w:pPr>
        <w:ind w:left="2841" w:hanging="1162"/>
      </w:pPr>
      <w:rPr>
        <w:rFonts w:hint="default"/>
      </w:rPr>
    </w:lvl>
    <w:lvl w:ilvl="3">
      <w:start w:val="0"/>
      <w:numFmt w:val="bullet"/>
      <w:lvlText w:val="•"/>
      <w:lvlJc w:val="left"/>
      <w:pPr>
        <w:ind w:left="2822" w:hanging="1162"/>
      </w:pPr>
      <w:rPr>
        <w:rFonts w:hint="default"/>
      </w:rPr>
    </w:lvl>
    <w:lvl w:ilvl="4">
      <w:start w:val="0"/>
      <w:numFmt w:val="bullet"/>
      <w:lvlText w:val="•"/>
      <w:lvlJc w:val="left"/>
      <w:pPr>
        <w:ind w:left="2803" w:hanging="1162"/>
      </w:pPr>
      <w:rPr>
        <w:rFonts w:hint="default"/>
      </w:rPr>
    </w:lvl>
    <w:lvl w:ilvl="5">
      <w:start w:val="0"/>
      <w:numFmt w:val="bullet"/>
      <w:lvlText w:val="•"/>
      <w:lvlJc w:val="left"/>
      <w:pPr>
        <w:ind w:left="2784" w:hanging="1162"/>
      </w:pPr>
      <w:rPr>
        <w:rFonts w:hint="default"/>
      </w:rPr>
    </w:lvl>
    <w:lvl w:ilvl="6">
      <w:start w:val="0"/>
      <w:numFmt w:val="bullet"/>
      <w:lvlText w:val="•"/>
      <w:lvlJc w:val="left"/>
      <w:pPr>
        <w:ind w:left="2765" w:hanging="1162"/>
      </w:pPr>
      <w:rPr>
        <w:rFonts w:hint="default"/>
      </w:rPr>
    </w:lvl>
    <w:lvl w:ilvl="7">
      <w:start w:val="0"/>
      <w:numFmt w:val="bullet"/>
      <w:lvlText w:val="•"/>
      <w:lvlJc w:val="left"/>
      <w:pPr>
        <w:ind w:left="2746" w:hanging="1162"/>
      </w:pPr>
      <w:rPr>
        <w:rFonts w:hint="default"/>
      </w:rPr>
    </w:lvl>
    <w:lvl w:ilvl="8">
      <w:start w:val="0"/>
      <w:numFmt w:val="bullet"/>
      <w:lvlText w:val="•"/>
      <w:lvlJc w:val="left"/>
      <w:pPr>
        <w:ind w:left="2727" w:hanging="1162"/>
      </w:pPr>
      <w:rPr>
        <w:rFonts w:hint="default"/>
      </w:rPr>
    </w:lvl>
  </w:abstractNum>
  <w:abstractNum w:abstractNumId="11">
    <w:multiLevelType w:val="hybridMultilevel"/>
    <w:lvl w:ilvl="0">
      <w:start w:val="5"/>
      <w:numFmt w:val="decimal"/>
      <w:lvlText w:val="%1"/>
      <w:lvlJc w:val="left"/>
      <w:pPr>
        <w:ind w:left="1382" w:hanging="1162"/>
        <w:jc w:val="left"/>
      </w:pPr>
      <w:rPr>
        <w:rFonts w:hint="default"/>
      </w:rPr>
    </w:lvl>
    <w:lvl w:ilvl="1">
      <w:start w:val="1"/>
      <w:numFmt w:val="decimal"/>
      <w:lvlText w:val="%1.%2"/>
      <w:lvlJc w:val="left"/>
      <w:pPr>
        <w:ind w:left="1382" w:hanging="1162"/>
        <w:jc w:val="left"/>
      </w:pPr>
      <w:rPr>
        <w:rFonts w:hint="default" w:ascii="宋体" w:hAnsi="宋体" w:eastAsia="宋体" w:cs="宋体"/>
        <w:b/>
        <w:bCs/>
        <w:w w:val="99"/>
        <w:sz w:val="21"/>
        <w:szCs w:val="21"/>
      </w:rPr>
    </w:lvl>
    <w:lvl w:ilvl="2">
      <w:start w:val="0"/>
      <w:numFmt w:val="bullet"/>
      <w:lvlText w:val="•"/>
      <w:lvlJc w:val="left"/>
      <w:pPr>
        <w:ind w:left="2841" w:hanging="1162"/>
      </w:pPr>
      <w:rPr>
        <w:rFonts w:hint="default"/>
      </w:rPr>
    </w:lvl>
    <w:lvl w:ilvl="3">
      <w:start w:val="0"/>
      <w:numFmt w:val="bullet"/>
      <w:lvlText w:val="•"/>
      <w:lvlJc w:val="left"/>
      <w:pPr>
        <w:ind w:left="2822" w:hanging="1162"/>
      </w:pPr>
      <w:rPr>
        <w:rFonts w:hint="default"/>
      </w:rPr>
    </w:lvl>
    <w:lvl w:ilvl="4">
      <w:start w:val="0"/>
      <w:numFmt w:val="bullet"/>
      <w:lvlText w:val="•"/>
      <w:lvlJc w:val="left"/>
      <w:pPr>
        <w:ind w:left="2803" w:hanging="1162"/>
      </w:pPr>
      <w:rPr>
        <w:rFonts w:hint="default"/>
      </w:rPr>
    </w:lvl>
    <w:lvl w:ilvl="5">
      <w:start w:val="0"/>
      <w:numFmt w:val="bullet"/>
      <w:lvlText w:val="•"/>
      <w:lvlJc w:val="left"/>
      <w:pPr>
        <w:ind w:left="2784" w:hanging="1162"/>
      </w:pPr>
      <w:rPr>
        <w:rFonts w:hint="default"/>
      </w:rPr>
    </w:lvl>
    <w:lvl w:ilvl="6">
      <w:start w:val="0"/>
      <w:numFmt w:val="bullet"/>
      <w:lvlText w:val="•"/>
      <w:lvlJc w:val="left"/>
      <w:pPr>
        <w:ind w:left="2765" w:hanging="1162"/>
      </w:pPr>
      <w:rPr>
        <w:rFonts w:hint="default"/>
      </w:rPr>
    </w:lvl>
    <w:lvl w:ilvl="7">
      <w:start w:val="0"/>
      <w:numFmt w:val="bullet"/>
      <w:lvlText w:val="•"/>
      <w:lvlJc w:val="left"/>
      <w:pPr>
        <w:ind w:left="2746" w:hanging="1162"/>
      </w:pPr>
      <w:rPr>
        <w:rFonts w:hint="default"/>
      </w:rPr>
    </w:lvl>
    <w:lvl w:ilvl="8">
      <w:start w:val="0"/>
      <w:numFmt w:val="bullet"/>
      <w:lvlText w:val="•"/>
      <w:lvlJc w:val="left"/>
      <w:pPr>
        <w:ind w:left="2727" w:hanging="1162"/>
      </w:pPr>
      <w:rPr>
        <w:rFonts w:hint="default"/>
      </w:rPr>
    </w:lvl>
  </w:abstractNum>
  <w:abstractNum w:abstractNumId="10">
    <w:multiLevelType w:val="hybridMultilevel"/>
    <w:lvl w:ilvl="0">
      <w:start w:val="4"/>
      <w:numFmt w:val="decimal"/>
      <w:lvlText w:val="%1"/>
      <w:lvlJc w:val="left"/>
      <w:pPr>
        <w:ind w:left="1382" w:hanging="1162"/>
        <w:jc w:val="left"/>
      </w:pPr>
      <w:rPr>
        <w:rFonts w:hint="default"/>
      </w:rPr>
    </w:lvl>
    <w:lvl w:ilvl="1">
      <w:start w:val="5"/>
      <w:numFmt w:val="decimal"/>
      <w:lvlText w:val="%1.%2"/>
      <w:lvlJc w:val="left"/>
      <w:pPr>
        <w:ind w:left="1382" w:hanging="1162"/>
        <w:jc w:val="left"/>
      </w:pPr>
      <w:rPr>
        <w:rFonts w:hint="default" w:ascii="宋体" w:hAnsi="宋体" w:eastAsia="宋体" w:cs="宋体"/>
        <w:b/>
        <w:bCs/>
        <w:w w:val="99"/>
        <w:sz w:val="21"/>
        <w:szCs w:val="21"/>
      </w:rPr>
    </w:lvl>
    <w:lvl w:ilvl="2">
      <w:start w:val="0"/>
      <w:numFmt w:val="bullet"/>
      <w:lvlText w:val="•"/>
      <w:lvlJc w:val="left"/>
      <w:pPr>
        <w:ind w:left="1642" w:hanging="1162"/>
      </w:pPr>
      <w:rPr>
        <w:rFonts w:hint="default"/>
      </w:rPr>
    </w:lvl>
    <w:lvl w:ilvl="3">
      <w:start w:val="0"/>
      <w:numFmt w:val="bullet"/>
      <w:lvlText w:val="•"/>
      <w:lvlJc w:val="left"/>
      <w:pPr>
        <w:ind w:left="1773" w:hanging="1162"/>
      </w:pPr>
      <w:rPr>
        <w:rFonts w:hint="default"/>
      </w:rPr>
    </w:lvl>
    <w:lvl w:ilvl="4">
      <w:start w:val="0"/>
      <w:numFmt w:val="bullet"/>
      <w:lvlText w:val="•"/>
      <w:lvlJc w:val="left"/>
      <w:pPr>
        <w:ind w:left="1904" w:hanging="1162"/>
      </w:pPr>
      <w:rPr>
        <w:rFonts w:hint="default"/>
      </w:rPr>
    </w:lvl>
    <w:lvl w:ilvl="5">
      <w:start w:val="0"/>
      <w:numFmt w:val="bullet"/>
      <w:lvlText w:val="•"/>
      <w:lvlJc w:val="left"/>
      <w:pPr>
        <w:ind w:left="2035" w:hanging="1162"/>
      </w:pPr>
      <w:rPr>
        <w:rFonts w:hint="default"/>
      </w:rPr>
    </w:lvl>
    <w:lvl w:ilvl="6">
      <w:start w:val="0"/>
      <w:numFmt w:val="bullet"/>
      <w:lvlText w:val="•"/>
      <w:lvlJc w:val="left"/>
      <w:pPr>
        <w:ind w:left="2166" w:hanging="1162"/>
      </w:pPr>
      <w:rPr>
        <w:rFonts w:hint="default"/>
      </w:rPr>
    </w:lvl>
    <w:lvl w:ilvl="7">
      <w:start w:val="0"/>
      <w:numFmt w:val="bullet"/>
      <w:lvlText w:val="•"/>
      <w:lvlJc w:val="left"/>
      <w:pPr>
        <w:ind w:left="2297" w:hanging="1162"/>
      </w:pPr>
      <w:rPr>
        <w:rFonts w:hint="default"/>
      </w:rPr>
    </w:lvl>
    <w:lvl w:ilvl="8">
      <w:start w:val="0"/>
      <w:numFmt w:val="bullet"/>
      <w:lvlText w:val="•"/>
      <w:lvlJc w:val="left"/>
      <w:pPr>
        <w:ind w:left="2428" w:hanging="1162"/>
      </w:pPr>
      <w:rPr>
        <w:rFonts w:hint="default"/>
      </w:rPr>
    </w:lvl>
  </w:abstractNum>
  <w:abstractNum w:abstractNumId="9">
    <w:multiLevelType w:val="hybridMultilevel"/>
    <w:lvl w:ilvl="0">
      <w:start w:val="1"/>
      <w:numFmt w:val="decimal"/>
      <w:lvlText w:val="（%1）"/>
      <w:lvlJc w:val="left"/>
      <w:pPr>
        <w:ind w:left="714" w:hanging="632"/>
        <w:jc w:val="left"/>
      </w:pPr>
      <w:rPr>
        <w:rFonts w:hint="default" w:ascii="宋体" w:hAnsi="宋体" w:eastAsia="宋体" w:cs="宋体"/>
        <w:w w:val="100"/>
        <w:sz w:val="21"/>
        <w:szCs w:val="21"/>
      </w:rPr>
    </w:lvl>
    <w:lvl w:ilvl="1">
      <w:start w:val="0"/>
      <w:numFmt w:val="bullet"/>
      <w:lvlText w:val="•"/>
      <w:lvlJc w:val="left"/>
      <w:pPr>
        <w:ind w:left="1411" w:hanging="632"/>
      </w:pPr>
      <w:rPr>
        <w:rFonts w:hint="default"/>
      </w:rPr>
    </w:lvl>
    <w:lvl w:ilvl="2">
      <w:start w:val="0"/>
      <w:numFmt w:val="bullet"/>
      <w:lvlText w:val="•"/>
      <w:lvlJc w:val="left"/>
      <w:pPr>
        <w:ind w:left="2103" w:hanging="632"/>
      </w:pPr>
      <w:rPr>
        <w:rFonts w:hint="default"/>
      </w:rPr>
    </w:lvl>
    <w:lvl w:ilvl="3">
      <w:start w:val="0"/>
      <w:numFmt w:val="bullet"/>
      <w:lvlText w:val="•"/>
      <w:lvlJc w:val="left"/>
      <w:pPr>
        <w:ind w:left="2795" w:hanging="632"/>
      </w:pPr>
      <w:rPr>
        <w:rFonts w:hint="default"/>
      </w:rPr>
    </w:lvl>
    <w:lvl w:ilvl="4">
      <w:start w:val="0"/>
      <w:numFmt w:val="bullet"/>
      <w:lvlText w:val="•"/>
      <w:lvlJc w:val="left"/>
      <w:pPr>
        <w:ind w:left="3487" w:hanging="632"/>
      </w:pPr>
      <w:rPr>
        <w:rFonts w:hint="default"/>
      </w:rPr>
    </w:lvl>
    <w:lvl w:ilvl="5">
      <w:start w:val="0"/>
      <w:numFmt w:val="bullet"/>
      <w:lvlText w:val="•"/>
      <w:lvlJc w:val="left"/>
      <w:pPr>
        <w:ind w:left="4179" w:hanging="632"/>
      </w:pPr>
      <w:rPr>
        <w:rFonts w:hint="default"/>
      </w:rPr>
    </w:lvl>
    <w:lvl w:ilvl="6">
      <w:start w:val="0"/>
      <w:numFmt w:val="bullet"/>
      <w:lvlText w:val="•"/>
      <w:lvlJc w:val="left"/>
      <w:pPr>
        <w:ind w:left="4871" w:hanging="632"/>
      </w:pPr>
      <w:rPr>
        <w:rFonts w:hint="default"/>
      </w:rPr>
    </w:lvl>
    <w:lvl w:ilvl="7">
      <w:start w:val="0"/>
      <w:numFmt w:val="bullet"/>
      <w:lvlText w:val="•"/>
      <w:lvlJc w:val="left"/>
      <w:pPr>
        <w:ind w:left="5563" w:hanging="632"/>
      </w:pPr>
      <w:rPr>
        <w:rFonts w:hint="default"/>
      </w:rPr>
    </w:lvl>
    <w:lvl w:ilvl="8">
      <w:start w:val="0"/>
      <w:numFmt w:val="bullet"/>
      <w:lvlText w:val="•"/>
      <w:lvlJc w:val="left"/>
      <w:pPr>
        <w:ind w:left="6255" w:hanging="632"/>
      </w:pPr>
      <w:rPr>
        <w:rFonts w:hint="default"/>
      </w:rPr>
    </w:lvl>
  </w:abstractNum>
  <w:abstractNum w:abstractNumId="8">
    <w:multiLevelType w:val="hybridMultilevel"/>
    <w:lvl w:ilvl="0">
      <w:start w:val="1"/>
      <w:numFmt w:val="decimal"/>
      <w:lvlText w:val="%1"/>
      <w:lvlJc w:val="left"/>
      <w:pPr>
        <w:ind w:left="485" w:hanging="212"/>
        <w:jc w:val="left"/>
      </w:pPr>
      <w:rPr>
        <w:rFonts w:hint="default" w:ascii="宋体" w:hAnsi="宋体" w:eastAsia="宋体" w:cs="宋体"/>
        <w:w w:val="100"/>
        <w:sz w:val="18"/>
        <w:szCs w:val="18"/>
      </w:rPr>
    </w:lvl>
    <w:lvl w:ilvl="1">
      <w:start w:val="0"/>
      <w:numFmt w:val="bullet"/>
      <w:lvlText w:val="•"/>
      <w:lvlJc w:val="left"/>
      <w:pPr>
        <w:ind w:left="1205" w:hanging="212"/>
      </w:pPr>
      <w:rPr>
        <w:rFonts w:hint="default"/>
      </w:rPr>
    </w:lvl>
    <w:lvl w:ilvl="2">
      <w:start w:val="0"/>
      <w:numFmt w:val="bullet"/>
      <w:lvlText w:val="•"/>
      <w:lvlJc w:val="left"/>
      <w:pPr>
        <w:ind w:left="1931" w:hanging="212"/>
      </w:pPr>
      <w:rPr>
        <w:rFonts w:hint="default"/>
      </w:rPr>
    </w:lvl>
    <w:lvl w:ilvl="3">
      <w:start w:val="0"/>
      <w:numFmt w:val="bullet"/>
      <w:lvlText w:val="•"/>
      <w:lvlJc w:val="left"/>
      <w:pPr>
        <w:ind w:left="2656" w:hanging="212"/>
      </w:pPr>
      <w:rPr>
        <w:rFonts w:hint="default"/>
      </w:rPr>
    </w:lvl>
    <w:lvl w:ilvl="4">
      <w:start w:val="0"/>
      <w:numFmt w:val="bullet"/>
      <w:lvlText w:val="•"/>
      <w:lvlJc w:val="left"/>
      <w:pPr>
        <w:ind w:left="3382" w:hanging="212"/>
      </w:pPr>
      <w:rPr>
        <w:rFonts w:hint="default"/>
      </w:rPr>
    </w:lvl>
    <w:lvl w:ilvl="5">
      <w:start w:val="0"/>
      <w:numFmt w:val="bullet"/>
      <w:lvlText w:val="•"/>
      <w:lvlJc w:val="left"/>
      <w:pPr>
        <w:ind w:left="4107" w:hanging="212"/>
      </w:pPr>
      <w:rPr>
        <w:rFonts w:hint="default"/>
      </w:rPr>
    </w:lvl>
    <w:lvl w:ilvl="6">
      <w:start w:val="0"/>
      <w:numFmt w:val="bullet"/>
      <w:lvlText w:val="•"/>
      <w:lvlJc w:val="left"/>
      <w:pPr>
        <w:ind w:left="4833" w:hanging="212"/>
      </w:pPr>
      <w:rPr>
        <w:rFonts w:hint="default"/>
      </w:rPr>
    </w:lvl>
    <w:lvl w:ilvl="7">
      <w:start w:val="0"/>
      <w:numFmt w:val="bullet"/>
      <w:lvlText w:val="•"/>
      <w:lvlJc w:val="left"/>
      <w:pPr>
        <w:ind w:left="5558" w:hanging="212"/>
      </w:pPr>
      <w:rPr>
        <w:rFonts w:hint="default"/>
      </w:rPr>
    </w:lvl>
    <w:lvl w:ilvl="8">
      <w:start w:val="0"/>
      <w:numFmt w:val="bullet"/>
      <w:lvlText w:val="•"/>
      <w:lvlJc w:val="left"/>
      <w:pPr>
        <w:ind w:left="6284" w:hanging="212"/>
      </w:pPr>
      <w:rPr>
        <w:rFonts w:hint="default"/>
      </w:rPr>
    </w:lvl>
  </w:abstractNum>
  <w:abstractNum w:abstractNumId="7">
    <w:multiLevelType w:val="hybridMultilevel"/>
    <w:lvl w:ilvl="0">
      <w:start w:val="3"/>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left"/>
      </w:pPr>
      <w:rPr>
        <w:rFonts w:hint="default" w:ascii="宋体" w:hAnsi="宋体" w:eastAsia="宋体" w:cs="宋体"/>
        <w:b/>
        <w:bCs/>
        <w:w w:val="99"/>
        <w:sz w:val="21"/>
        <w:szCs w:val="21"/>
      </w:rPr>
    </w:lvl>
    <w:lvl w:ilvl="2">
      <w:start w:val="0"/>
      <w:numFmt w:val="bullet"/>
      <w:lvlText w:val="•"/>
      <w:lvlJc w:val="left"/>
      <w:pPr>
        <w:ind w:left="1642" w:hanging="1162"/>
      </w:pPr>
      <w:rPr>
        <w:rFonts w:hint="default"/>
      </w:rPr>
    </w:lvl>
    <w:lvl w:ilvl="3">
      <w:start w:val="0"/>
      <w:numFmt w:val="bullet"/>
      <w:lvlText w:val="•"/>
      <w:lvlJc w:val="left"/>
      <w:pPr>
        <w:ind w:left="1773" w:hanging="1162"/>
      </w:pPr>
      <w:rPr>
        <w:rFonts w:hint="default"/>
      </w:rPr>
    </w:lvl>
    <w:lvl w:ilvl="4">
      <w:start w:val="0"/>
      <w:numFmt w:val="bullet"/>
      <w:lvlText w:val="•"/>
      <w:lvlJc w:val="left"/>
      <w:pPr>
        <w:ind w:left="1904" w:hanging="1162"/>
      </w:pPr>
      <w:rPr>
        <w:rFonts w:hint="default"/>
      </w:rPr>
    </w:lvl>
    <w:lvl w:ilvl="5">
      <w:start w:val="0"/>
      <w:numFmt w:val="bullet"/>
      <w:lvlText w:val="•"/>
      <w:lvlJc w:val="left"/>
      <w:pPr>
        <w:ind w:left="2035" w:hanging="1162"/>
      </w:pPr>
      <w:rPr>
        <w:rFonts w:hint="default"/>
      </w:rPr>
    </w:lvl>
    <w:lvl w:ilvl="6">
      <w:start w:val="0"/>
      <w:numFmt w:val="bullet"/>
      <w:lvlText w:val="•"/>
      <w:lvlJc w:val="left"/>
      <w:pPr>
        <w:ind w:left="2166" w:hanging="1162"/>
      </w:pPr>
      <w:rPr>
        <w:rFonts w:hint="default"/>
      </w:rPr>
    </w:lvl>
    <w:lvl w:ilvl="7">
      <w:start w:val="0"/>
      <w:numFmt w:val="bullet"/>
      <w:lvlText w:val="•"/>
      <w:lvlJc w:val="left"/>
      <w:pPr>
        <w:ind w:left="2297" w:hanging="1162"/>
      </w:pPr>
      <w:rPr>
        <w:rFonts w:hint="default"/>
      </w:rPr>
    </w:lvl>
    <w:lvl w:ilvl="8">
      <w:start w:val="0"/>
      <w:numFmt w:val="bullet"/>
      <w:lvlText w:val="•"/>
      <w:lvlJc w:val="left"/>
      <w:pPr>
        <w:ind w:left="2428" w:hanging="1162"/>
      </w:pPr>
      <w:rPr>
        <w:rFonts w:hint="default"/>
      </w:rPr>
    </w:lvl>
  </w:abstractNum>
  <w:abstractNum w:abstractNumId="6">
    <w:multiLevelType w:val="hybridMultilevel"/>
    <w:lvl w:ilvl="0">
      <w:start w:val="10"/>
      <w:numFmt w:val="decimal"/>
      <w:lvlText w:val="%1"/>
      <w:lvlJc w:val="left"/>
      <w:pPr>
        <w:ind w:left="842" w:hanging="526"/>
        <w:jc w:val="left"/>
      </w:pPr>
      <w:rPr>
        <w:rFonts w:hint="default"/>
      </w:rPr>
    </w:lvl>
    <w:lvl w:ilvl="1">
      <w:start w:val="3"/>
      <w:numFmt w:val="decimal"/>
      <w:lvlText w:val="%1.%2"/>
      <w:lvlJc w:val="left"/>
      <w:pPr>
        <w:ind w:left="842" w:hanging="526"/>
        <w:jc w:val="left"/>
      </w:pPr>
      <w:rPr>
        <w:rFonts w:hint="default" w:ascii="宋体" w:hAnsi="宋体" w:eastAsia="宋体" w:cs="宋体"/>
        <w:w w:val="100"/>
        <w:sz w:val="21"/>
        <w:szCs w:val="21"/>
      </w:rPr>
    </w:lvl>
    <w:lvl w:ilvl="2">
      <w:start w:val="0"/>
      <w:numFmt w:val="bullet"/>
      <w:lvlText w:val="•"/>
      <w:lvlJc w:val="left"/>
      <w:pPr>
        <w:ind w:left="1381" w:hanging="526"/>
      </w:pPr>
      <w:rPr>
        <w:rFonts w:hint="default"/>
      </w:rPr>
    </w:lvl>
    <w:lvl w:ilvl="3">
      <w:start w:val="0"/>
      <w:numFmt w:val="bullet"/>
      <w:lvlText w:val="•"/>
      <w:lvlJc w:val="left"/>
      <w:pPr>
        <w:ind w:left="1652" w:hanging="526"/>
      </w:pPr>
      <w:rPr>
        <w:rFonts w:hint="default"/>
      </w:rPr>
    </w:lvl>
    <w:lvl w:ilvl="4">
      <w:start w:val="0"/>
      <w:numFmt w:val="bullet"/>
      <w:lvlText w:val="•"/>
      <w:lvlJc w:val="left"/>
      <w:pPr>
        <w:ind w:left="1923" w:hanging="526"/>
      </w:pPr>
      <w:rPr>
        <w:rFonts w:hint="default"/>
      </w:rPr>
    </w:lvl>
    <w:lvl w:ilvl="5">
      <w:start w:val="0"/>
      <w:numFmt w:val="bullet"/>
      <w:lvlText w:val="•"/>
      <w:lvlJc w:val="left"/>
      <w:pPr>
        <w:ind w:left="2194" w:hanging="526"/>
      </w:pPr>
      <w:rPr>
        <w:rFonts w:hint="default"/>
      </w:rPr>
    </w:lvl>
    <w:lvl w:ilvl="6">
      <w:start w:val="0"/>
      <w:numFmt w:val="bullet"/>
      <w:lvlText w:val="•"/>
      <w:lvlJc w:val="left"/>
      <w:pPr>
        <w:ind w:left="2464" w:hanging="526"/>
      </w:pPr>
      <w:rPr>
        <w:rFonts w:hint="default"/>
      </w:rPr>
    </w:lvl>
    <w:lvl w:ilvl="7">
      <w:start w:val="0"/>
      <w:numFmt w:val="bullet"/>
      <w:lvlText w:val="•"/>
      <w:lvlJc w:val="left"/>
      <w:pPr>
        <w:ind w:left="2735" w:hanging="526"/>
      </w:pPr>
      <w:rPr>
        <w:rFonts w:hint="default"/>
      </w:rPr>
    </w:lvl>
    <w:lvl w:ilvl="8">
      <w:start w:val="0"/>
      <w:numFmt w:val="bullet"/>
      <w:lvlText w:val="•"/>
      <w:lvlJc w:val="left"/>
      <w:pPr>
        <w:ind w:left="3006" w:hanging="526"/>
      </w:pPr>
      <w:rPr>
        <w:rFonts w:hint="default"/>
      </w:rPr>
    </w:lvl>
  </w:abstractNum>
  <w:abstractNum w:abstractNumId="5">
    <w:multiLevelType w:val="hybridMultilevel"/>
    <w:lvl w:ilvl="0">
      <w:start w:val="11"/>
      <w:numFmt w:val="decimal"/>
      <w:lvlText w:val="%1"/>
      <w:lvlJc w:val="left"/>
      <w:pPr>
        <w:ind w:left="948" w:hanging="632"/>
        <w:jc w:val="left"/>
      </w:pPr>
      <w:rPr>
        <w:rFonts w:hint="default"/>
      </w:rPr>
    </w:lvl>
    <w:lvl w:ilvl="1">
      <w:start w:val="21"/>
      <w:numFmt w:val="decimal"/>
      <w:lvlText w:val="%1.%2"/>
      <w:lvlJc w:val="left"/>
      <w:pPr>
        <w:ind w:left="945" w:hanging="632"/>
        <w:jc w:val="left"/>
      </w:pPr>
      <w:rPr>
        <w:rFonts w:hint="default" w:ascii="宋体" w:hAnsi="宋体" w:eastAsia="宋体" w:cs="宋体"/>
        <w:w w:val="100"/>
        <w:sz w:val="21"/>
        <w:szCs w:val="21"/>
      </w:rPr>
    </w:lvl>
    <w:lvl w:ilvl="2">
      <w:start w:val="0"/>
      <w:numFmt w:val="bullet"/>
      <w:lvlText w:val="•"/>
      <w:lvlJc w:val="left"/>
      <w:pPr>
        <w:ind w:left="1487" w:hanging="632"/>
      </w:pPr>
      <w:rPr>
        <w:rFonts w:hint="default"/>
      </w:rPr>
    </w:lvl>
    <w:lvl w:ilvl="3">
      <w:start w:val="0"/>
      <w:numFmt w:val="bullet"/>
      <w:lvlText w:val="•"/>
      <w:lvlJc w:val="left"/>
      <w:pPr>
        <w:ind w:left="1760" w:hanging="632"/>
      </w:pPr>
      <w:rPr>
        <w:rFonts w:hint="default"/>
      </w:rPr>
    </w:lvl>
    <w:lvl w:ilvl="4">
      <w:start w:val="0"/>
      <w:numFmt w:val="bullet"/>
      <w:lvlText w:val="•"/>
      <w:lvlJc w:val="left"/>
      <w:pPr>
        <w:ind w:left="2034" w:hanging="632"/>
      </w:pPr>
      <w:rPr>
        <w:rFonts w:hint="default"/>
      </w:rPr>
    </w:lvl>
    <w:lvl w:ilvl="5">
      <w:start w:val="0"/>
      <w:numFmt w:val="bullet"/>
      <w:lvlText w:val="•"/>
      <w:lvlJc w:val="left"/>
      <w:pPr>
        <w:ind w:left="2307" w:hanging="632"/>
      </w:pPr>
      <w:rPr>
        <w:rFonts w:hint="default"/>
      </w:rPr>
    </w:lvl>
    <w:lvl w:ilvl="6">
      <w:start w:val="0"/>
      <w:numFmt w:val="bullet"/>
      <w:lvlText w:val="•"/>
      <w:lvlJc w:val="left"/>
      <w:pPr>
        <w:ind w:left="2581" w:hanging="632"/>
      </w:pPr>
      <w:rPr>
        <w:rFonts w:hint="default"/>
      </w:rPr>
    </w:lvl>
    <w:lvl w:ilvl="7">
      <w:start w:val="0"/>
      <w:numFmt w:val="bullet"/>
      <w:lvlText w:val="•"/>
      <w:lvlJc w:val="left"/>
      <w:pPr>
        <w:ind w:left="2854" w:hanging="632"/>
      </w:pPr>
      <w:rPr>
        <w:rFonts w:hint="default"/>
      </w:rPr>
    </w:lvl>
    <w:lvl w:ilvl="8">
      <w:start w:val="0"/>
      <w:numFmt w:val="bullet"/>
      <w:lvlText w:val="•"/>
      <w:lvlJc w:val="left"/>
      <w:pPr>
        <w:ind w:left="3128" w:hanging="632"/>
      </w:pPr>
      <w:rPr>
        <w:rFonts w:hint="default"/>
      </w:rPr>
    </w:lvl>
  </w:abstractNum>
  <w:abstractNum w:abstractNumId="4">
    <w:multiLevelType w:val="hybridMultilevel"/>
    <w:lvl w:ilvl="0">
      <w:start w:val="4"/>
      <w:numFmt w:val="decimal"/>
      <w:lvlText w:val="%1"/>
      <w:lvlJc w:val="left"/>
      <w:pPr>
        <w:ind w:left="833" w:hanging="423"/>
        <w:jc w:val="left"/>
      </w:pPr>
      <w:rPr>
        <w:rFonts w:hint="default"/>
      </w:rPr>
    </w:lvl>
    <w:lvl w:ilvl="1">
      <w:start w:val="3"/>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3"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095" w:hanging="423"/>
      </w:pPr>
      <w:rPr>
        <w:rFonts w:hint="default"/>
      </w:rPr>
    </w:lvl>
    <w:lvl w:ilvl="6">
      <w:start w:val="0"/>
      <w:numFmt w:val="bullet"/>
      <w:lvlText w:val="•"/>
      <w:lvlJc w:val="left"/>
      <w:pPr>
        <w:ind w:left="2346" w:hanging="423"/>
      </w:pPr>
      <w:rPr>
        <w:rFonts w:hint="default"/>
      </w:rPr>
    </w:lvl>
    <w:lvl w:ilvl="7">
      <w:start w:val="0"/>
      <w:numFmt w:val="bullet"/>
      <w:lvlText w:val="•"/>
      <w:lvlJc w:val="left"/>
      <w:pPr>
        <w:ind w:left="2598" w:hanging="423"/>
      </w:pPr>
      <w:rPr>
        <w:rFonts w:hint="default"/>
      </w:rPr>
    </w:lvl>
    <w:lvl w:ilvl="8">
      <w:start w:val="0"/>
      <w:numFmt w:val="bullet"/>
      <w:lvlText w:val="•"/>
      <w:lvlJc w:val="left"/>
      <w:pPr>
        <w:ind w:left="2849" w:hanging="423"/>
      </w:pPr>
      <w:rPr>
        <w:rFonts w:hint="default"/>
      </w:rPr>
    </w:lvl>
  </w:abstractNum>
  <w:abstractNum w:abstractNumId="3">
    <w:multiLevelType w:val="hybridMultilevel"/>
    <w:lvl w:ilvl="0">
      <w:start w:val="11"/>
      <w:numFmt w:val="decimal"/>
      <w:lvlText w:val="%1"/>
      <w:lvlJc w:val="left"/>
      <w:pPr>
        <w:ind w:left="945" w:hanging="632"/>
        <w:jc w:val="left"/>
      </w:pPr>
      <w:rPr>
        <w:rFonts w:hint="default"/>
      </w:rPr>
    </w:lvl>
    <w:lvl w:ilvl="1">
      <w:start w:val="16"/>
      <w:numFmt w:val="decimal"/>
      <w:lvlText w:val="%1.%2"/>
      <w:lvlJc w:val="left"/>
      <w:pPr>
        <w:ind w:left="945" w:hanging="632"/>
        <w:jc w:val="left"/>
      </w:pPr>
      <w:rPr>
        <w:rFonts w:hint="default" w:ascii="宋体" w:hAnsi="宋体" w:eastAsia="宋体" w:cs="宋体"/>
        <w:w w:val="100"/>
        <w:sz w:val="21"/>
        <w:szCs w:val="21"/>
      </w:rPr>
    </w:lvl>
    <w:lvl w:ilvl="2">
      <w:start w:val="0"/>
      <w:numFmt w:val="bullet"/>
      <w:lvlText w:val="•"/>
      <w:lvlJc w:val="left"/>
      <w:pPr>
        <w:ind w:left="1487" w:hanging="632"/>
      </w:pPr>
      <w:rPr>
        <w:rFonts w:hint="default"/>
      </w:rPr>
    </w:lvl>
    <w:lvl w:ilvl="3">
      <w:start w:val="0"/>
      <w:numFmt w:val="bullet"/>
      <w:lvlText w:val="•"/>
      <w:lvlJc w:val="left"/>
      <w:pPr>
        <w:ind w:left="1760" w:hanging="632"/>
      </w:pPr>
      <w:rPr>
        <w:rFonts w:hint="default"/>
      </w:rPr>
    </w:lvl>
    <w:lvl w:ilvl="4">
      <w:start w:val="0"/>
      <w:numFmt w:val="bullet"/>
      <w:lvlText w:val="•"/>
      <w:lvlJc w:val="left"/>
      <w:pPr>
        <w:ind w:left="2034" w:hanging="632"/>
      </w:pPr>
      <w:rPr>
        <w:rFonts w:hint="default"/>
      </w:rPr>
    </w:lvl>
    <w:lvl w:ilvl="5">
      <w:start w:val="0"/>
      <w:numFmt w:val="bullet"/>
      <w:lvlText w:val="•"/>
      <w:lvlJc w:val="left"/>
      <w:pPr>
        <w:ind w:left="2307" w:hanging="632"/>
      </w:pPr>
      <w:rPr>
        <w:rFonts w:hint="default"/>
      </w:rPr>
    </w:lvl>
    <w:lvl w:ilvl="6">
      <w:start w:val="0"/>
      <w:numFmt w:val="bullet"/>
      <w:lvlText w:val="•"/>
      <w:lvlJc w:val="left"/>
      <w:pPr>
        <w:ind w:left="2581" w:hanging="632"/>
      </w:pPr>
      <w:rPr>
        <w:rFonts w:hint="default"/>
      </w:rPr>
    </w:lvl>
    <w:lvl w:ilvl="7">
      <w:start w:val="0"/>
      <w:numFmt w:val="bullet"/>
      <w:lvlText w:val="•"/>
      <w:lvlJc w:val="left"/>
      <w:pPr>
        <w:ind w:left="2854" w:hanging="632"/>
      </w:pPr>
      <w:rPr>
        <w:rFonts w:hint="default"/>
      </w:rPr>
    </w:lvl>
    <w:lvl w:ilvl="8">
      <w:start w:val="0"/>
      <w:numFmt w:val="bullet"/>
      <w:lvlText w:val="•"/>
      <w:lvlJc w:val="left"/>
      <w:pPr>
        <w:ind w:left="3128" w:hanging="632"/>
      </w:pPr>
      <w:rPr>
        <w:rFonts w:hint="default"/>
      </w:rPr>
    </w:lvl>
  </w:abstractNum>
  <w:abstractNum w:abstractNumId="2">
    <w:multiLevelType w:val="hybridMultilevel"/>
    <w:lvl w:ilvl="0">
      <w:start w:val="3"/>
      <w:numFmt w:val="decimal"/>
      <w:lvlText w:val="%1"/>
      <w:lvlJc w:val="left"/>
      <w:pPr>
        <w:ind w:left="833" w:hanging="423"/>
        <w:jc w:val="left"/>
      </w:pPr>
      <w:rPr>
        <w:rFonts w:hint="default"/>
      </w:rPr>
    </w:lvl>
    <w:lvl w:ilvl="1">
      <w:start w:val="3"/>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3"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095" w:hanging="423"/>
      </w:pPr>
      <w:rPr>
        <w:rFonts w:hint="default"/>
      </w:rPr>
    </w:lvl>
    <w:lvl w:ilvl="6">
      <w:start w:val="0"/>
      <w:numFmt w:val="bullet"/>
      <w:lvlText w:val="•"/>
      <w:lvlJc w:val="left"/>
      <w:pPr>
        <w:ind w:left="2346" w:hanging="423"/>
      </w:pPr>
      <w:rPr>
        <w:rFonts w:hint="default"/>
      </w:rPr>
    </w:lvl>
    <w:lvl w:ilvl="7">
      <w:start w:val="0"/>
      <w:numFmt w:val="bullet"/>
      <w:lvlText w:val="•"/>
      <w:lvlJc w:val="left"/>
      <w:pPr>
        <w:ind w:left="2598" w:hanging="423"/>
      </w:pPr>
      <w:rPr>
        <w:rFonts w:hint="default"/>
      </w:rPr>
    </w:lvl>
    <w:lvl w:ilvl="8">
      <w:start w:val="0"/>
      <w:numFmt w:val="bullet"/>
      <w:lvlText w:val="•"/>
      <w:lvlJc w:val="left"/>
      <w:pPr>
        <w:ind w:left="2849" w:hanging="423"/>
      </w:pPr>
      <w:rPr>
        <w:rFonts w:hint="default"/>
      </w:rPr>
    </w:lvl>
  </w:abstractNum>
  <w:abstractNum w:abstractNumId="1">
    <w:multiLevelType w:val="hybridMultilevel"/>
    <w:lvl w:ilvl="0">
      <w:start w:val="11"/>
      <w:numFmt w:val="decimal"/>
      <w:lvlText w:val="%1"/>
      <w:lvlJc w:val="left"/>
      <w:pPr>
        <w:ind w:left="948" w:hanging="632"/>
        <w:jc w:val="left"/>
      </w:pPr>
      <w:rPr>
        <w:rFonts w:hint="default"/>
      </w:rPr>
    </w:lvl>
    <w:lvl w:ilvl="1">
      <w:start w:val="10"/>
      <w:numFmt w:val="decimal"/>
      <w:lvlText w:val="%1.%2"/>
      <w:lvlJc w:val="left"/>
      <w:pPr>
        <w:ind w:left="948" w:hanging="632"/>
        <w:jc w:val="left"/>
      </w:pPr>
      <w:rPr>
        <w:rFonts w:hint="default" w:ascii="宋体" w:hAnsi="宋体" w:eastAsia="宋体" w:cs="宋体"/>
        <w:w w:val="100"/>
        <w:sz w:val="21"/>
        <w:szCs w:val="21"/>
      </w:rPr>
    </w:lvl>
    <w:lvl w:ilvl="2">
      <w:start w:val="0"/>
      <w:numFmt w:val="bullet"/>
      <w:lvlText w:val="•"/>
      <w:lvlJc w:val="left"/>
      <w:pPr>
        <w:ind w:left="1487" w:hanging="632"/>
      </w:pPr>
      <w:rPr>
        <w:rFonts w:hint="default"/>
      </w:rPr>
    </w:lvl>
    <w:lvl w:ilvl="3">
      <w:start w:val="0"/>
      <w:numFmt w:val="bullet"/>
      <w:lvlText w:val="•"/>
      <w:lvlJc w:val="left"/>
      <w:pPr>
        <w:ind w:left="1760" w:hanging="632"/>
      </w:pPr>
      <w:rPr>
        <w:rFonts w:hint="default"/>
      </w:rPr>
    </w:lvl>
    <w:lvl w:ilvl="4">
      <w:start w:val="0"/>
      <w:numFmt w:val="bullet"/>
      <w:lvlText w:val="•"/>
      <w:lvlJc w:val="left"/>
      <w:pPr>
        <w:ind w:left="2034" w:hanging="632"/>
      </w:pPr>
      <w:rPr>
        <w:rFonts w:hint="default"/>
      </w:rPr>
    </w:lvl>
    <w:lvl w:ilvl="5">
      <w:start w:val="0"/>
      <w:numFmt w:val="bullet"/>
      <w:lvlText w:val="•"/>
      <w:lvlJc w:val="left"/>
      <w:pPr>
        <w:ind w:left="2307" w:hanging="632"/>
      </w:pPr>
      <w:rPr>
        <w:rFonts w:hint="default"/>
      </w:rPr>
    </w:lvl>
    <w:lvl w:ilvl="6">
      <w:start w:val="0"/>
      <w:numFmt w:val="bullet"/>
      <w:lvlText w:val="•"/>
      <w:lvlJc w:val="left"/>
      <w:pPr>
        <w:ind w:left="2581" w:hanging="632"/>
      </w:pPr>
      <w:rPr>
        <w:rFonts w:hint="default"/>
      </w:rPr>
    </w:lvl>
    <w:lvl w:ilvl="7">
      <w:start w:val="0"/>
      <w:numFmt w:val="bullet"/>
      <w:lvlText w:val="•"/>
      <w:lvlJc w:val="left"/>
      <w:pPr>
        <w:ind w:left="2854" w:hanging="632"/>
      </w:pPr>
      <w:rPr>
        <w:rFonts w:hint="default"/>
      </w:rPr>
    </w:lvl>
    <w:lvl w:ilvl="8">
      <w:start w:val="0"/>
      <w:numFmt w:val="bullet"/>
      <w:lvlText w:val="•"/>
      <w:lvlJc w:val="left"/>
      <w:pPr>
        <w:ind w:left="3128" w:hanging="632"/>
      </w:pPr>
      <w:rPr>
        <w:rFonts w:hint="default"/>
      </w:rPr>
    </w:lvl>
  </w:abstractNum>
  <w:abstractNum w:abstractNumId="0">
    <w:multiLevelType w:val="hybridMultilevel"/>
    <w:lvl w:ilvl="0">
      <w:start w:val="2"/>
      <w:numFmt w:val="decimal"/>
      <w:lvlText w:val="%1"/>
      <w:lvlJc w:val="left"/>
      <w:pPr>
        <w:ind w:left="833" w:hanging="423"/>
        <w:jc w:val="left"/>
      </w:pPr>
      <w:rPr>
        <w:rFonts w:hint="default"/>
      </w:rPr>
    </w:lvl>
    <w:lvl w:ilvl="1">
      <w:start w:val="5"/>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3"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095" w:hanging="423"/>
      </w:pPr>
      <w:rPr>
        <w:rFonts w:hint="default"/>
      </w:rPr>
    </w:lvl>
    <w:lvl w:ilvl="6">
      <w:start w:val="0"/>
      <w:numFmt w:val="bullet"/>
      <w:lvlText w:val="•"/>
      <w:lvlJc w:val="left"/>
      <w:pPr>
        <w:ind w:left="2346" w:hanging="423"/>
      </w:pPr>
      <w:rPr>
        <w:rFonts w:hint="default"/>
      </w:rPr>
    </w:lvl>
    <w:lvl w:ilvl="7">
      <w:start w:val="0"/>
      <w:numFmt w:val="bullet"/>
      <w:lvlText w:val="•"/>
      <w:lvlJc w:val="left"/>
      <w:pPr>
        <w:ind w:left="2598" w:hanging="423"/>
      </w:pPr>
      <w:rPr>
        <w:rFonts w:hint="default"/>
      </w:rPr>
    </w:lvl>
    <w:lvl w:ilvl="8">
      <w:start w:val="0"/>
      <w:numFmt w:val="bullet"/>
      <w:lvlText w:val="•"/>
      <w:lvlJc w:val="left"/>
      <w:pPr>
        <w:ind w:left="2849" w:hanging="42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4"/>
      <w:ind w:left="1382" w:hanging="1162"/>
      <w:outlineLvl w:val="2"/>
    </w:pPr>
    <w:rPr>
      <w:rFonts w:ascii="宋体" w:hAnsi="宋体" w:eastAsia="宋体" w:cs="宋体"/>
      <w:b/>
      <w:bCs/>
      <w:sz w:val="28"/>
      <w:szCs w:val="28"/>
    </w:rPr>
  </w:style>
  <w:style w:styleId="Heading3" w:type="paragraph">
    <w:name w:val="Heading 3"/>
    <w:basedOn w:val="Normal"/>
    <w:uiPriority w:val="1"/>
    <w:qFormat/>
    <w:pPr>
      <w:spacing w:before="36"/>
      <w:ind w:left="1382" w:hanging="1162"/>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1382" w:hanging="1162"/>
    </w:pPr>
    <w:rPr>
      <w:rFonts w:ascii="宋体" w:hAnsi="宋体" w:eastAsia="宋体" w:cs="宋体"/>
    </w:rPr>
  </w:style>
  <w:style w:styleId="TableParagraph" w:type="paragraph">
    <w:name w:val="Table Paragraph"/>
    <w:basedOn w:val="Normal"/>
    <w:uiPriority w:val="1"/>
    <w:qFormat/>
    <w:pPr>
      <w:ind w:left="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黄增辉-lhq</dc:creator>
  <dc:title>阳光人寿保险股份有限公司</dc:title>
  <dcterms:created xsi:type="dcterms:W3CDTF">2018-10-20T00:40:51Z</dcterms:created>
  <dcterms:modified xsi:type="dcterms:W3CDTF">2018-10-20T00:40:51Z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Microsoft® Office Word 2007</vt:lpwstr>
  </property>
  <property fmtid="{D5CDD505-2E9C-101B-9397-08002B2CF9AE}" pid="4" name="LastSaved">
    <vt:filetime>2018-10-19T00:00:00Z</vt:filetime>
  </property>
</Properties>
</file>