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right="115"/>
        <w:jc w:val="right"/>
        <w:rPr>
          <w:rFonts w:ascii="仿宋" w:eastAsia="仿宋" w:hint="eastAsia"/>
        </w:rPr>
      </w:pPr>
      <w:r>
        <w:rPr/>
        <w:drawing>
          <wp:anchor distT="0" distB="0" distL="0" distR="0" allowOverlap="1" layoutInCell="1" locked="0" behindDoc="0" simplePos="0" relativeHeight="1048">
            <wp:simplePos x="0" y="0"/>
            <wp:positionH relativeFrom="page">
              <wp:posOffset>5895975</wp:posOffset>
            </wp:positionH>
            <wp:positionV relativeFrom="paragraph">
              <wp:posOffset>253792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仿宋" w:eastAsia="仿宋" w:hint="eastAsia"/>
        </w:rPr>
        <w:t>长城人寿[2017]疾病保险 005 号</w:t>
      </w:r>
    </w:p>
    <w:p>
      <w:pPr>
        <w:pStyle w:val="BodyText"/>
        <w:spacing w:before="0"/>
        <w:rPr>
          <w:rFonts w:ascii="仿宋"/>
          <w:sz w:val="20"/>
        </w:rPr>
      </w:pPr>
    </w:p>
    <w:p>
      <w:pPr>
        <w:spacing w:after="0"/>
        <w:rPr>
          <w:rFonts w:ascii="仿宋"/>
          <w:sz w:val="20"/>
        </w:rPr>
        <w:sectPr>
          <w:footerReference w:type="default" r:id="rId5"/>
          <w:type w:val="continuous"/>
          <w:pgSz w:w="11910" w:h="16850"/>
          <w:pgMar w:footer="944" w:top="540" w:bottom="1140" w:left="680" w:right="440"/>
          <w:pgNumType w:start="1"/>
        </w:sectPr>
      </w:pPr>
    </w:p>
    <w:p>
      <w:pPr>
        <w:spacing w:line="302" w:lineRule="auto" w:before="217"/>
        <w:ind w:left="4516" w:right="0" w:hanging="1697"/>
        <w:jc w:val="left"/>
        <w:rPr>
          <w:sz w:val="31"/>
        </w:rPr>
      </w:pPr>
      <w:r>
        <w:rPr>
          <w:sz w:val="31"/>
        </w:rPr>
        <w:t>长城附加吉祥人生重大疾病保险条款阅 读 指 引</w:t>
      </w:r>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BodyText"/>
        <w:spacing w:before="3"/>
        <w:rPr>
          <w:sz w:val="18"/>
        </w:rPr>
      </w:pPr>
    </w:p>
    <w:p>
      <w:pPr>
        <w:pStyle w:val="BodyText"/>
        <w:spacing w:before="1"/>
        <w:ind w:left="139"/>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50"/>
          <w:pgMar w:top="540" w:bottom="1140" w:left="680" w:right="440"/>
          <w:cols w:num="2" w:equalWidth="0">
            <w:col w:w="7957" w:space="40"/>
            <w:col w:w="2793"/>
          </w:cols>
        </w:sectPr>
      </w:pPr>
    </w:p>
    <w:p>
      <w:pPr>
        <w:pStyle w:val="BodyText"/>
        <w:spacing w:before="85"/>
        <w:ind w:left="2023"/>
      </w:pPr>
      <w:r>
        <w:rPr>
          <w:spacing w:val="-150"/>
        </w:rPr>
        <w:t>本</w:t>
      </w:r>
      <w:r>
        <w:rPr>
          <w:spacing w:val="-60"/>
          <w:position w:val="-7"/>
        </w:rPr>
        <w:t>．</w:t>
      </w:r>
      <w:r>
        <w:rPr>
          <w:spacing w:val="-151"/>
        </w:rPr>
        <w:t>阅</w:t>
      </w:r>
      <w:r>
        <w:rPr>
          <w:spacing w:val="-59"/>
          <w:position w:val="-7"/>
        </w:rPr>
        <w:t>．</w:t>
      </w:r>
      <w:r>
        <w:rPr>
          <w:spacing w:val="-151"/>
        </w:rPr>
        <w:t>读</w:t>
      </w:r>
      <w:r>
        <w:rPr>
          <w:spacing w:val="-59"/>
          <w:position w:val="-7"/>
        </w:rPr>
        <w:t>．</w:t>
      </w:r>
      <w:r>
        <w:rPr>
          <w:spacing w:val="-152"/>
        </w:rPr>
        <w:t>指</w:t>
      </w:r>
      <w:r>
        <w:rPr>
          <w:spacing w:val="-59"/>
          <w:position w:val="-7"/>
        </w:rPr>
        <w:t>．</w:t>
      </w:r>
      <w:r>
        <w:rPr>
          <w:spacing w:val="-151"/>
        </w:rPr>
        <w:t>引</w:t>
      </w:r>
      <w:r>
        <w:rPr>
          <w:spacing w:val="-59"/>
          <w:position w:val="-7"/>
        </w:rPr>
        <w:t>．</w:t>
      </w:r>
      <w:r>
        <w:rPr>
          <w:spacing w:val="-152"/>
        </w:rPr>
        <w:t>有</w:t>
      </w:r>
      <w:r>
        <w:rPr>
          <w:spacing w:val="-58"/>
          <w:position w:val="-7"/>
        </w:rPr>
        <w:t>．</w:t>
      </w:r>
      <w:r>
        <w:rPr>
          <w:spacing w:val="-152"/>
        </w:rPr>
        <w:t>助</w:t>
      </w:r>
      <w:r>
        <w:rPr>
          <w:spacing w:val="-58"/>
          <w:position w:val="-7"/>
        </w:rPr>
        <w:t>．</w:t>
      </w:r>
      <w:r>
        <w:rPr>
          <w:spacing w:val="-153"/>
        </w:rPr>
        <w:t>于</w:t>
      </w:r>
      <w:r>
        <w:rPr>
          <w:spacing w:val="-58"/>
          <w:position w:val="-7"/>
        </w:rPr>
        <w:t>．</w:t>
      </w:r>
      <w:r>
        <w:rPr>
          <w:spacing w:val="-153"/>
        </w:rPr>
        <w:t>您</w:t>
      </w:r>
      <w:r>
        <w:rPr>
          <w:spacing w:val="-58"/>
          <w:position w:val="-7"/>
        </w:rPr>
        <w:t>．</w:t>
      </w:r>
      <w:r>
        <w:rPr>
          <w:spacing w:val="-153"/>
        </w:rPr>
        <w:t>理</w:t>
      </w:r>
      <w:r>
        <w:rPr>
          <w:spacing w:val="-58"/>
          <w:position w:val="-7"/>
        </w:rPr>
        <w:t>．</w:t>
      </w:r>
      <w:r>
        <w:rPr>
          <w:spacing w:val="-153"/>
        </w:rPr>
        <w:t>解</w:t>
      </w:r>
      <w:r>
        <w:rPr>
          <w:spacing w:val="-57"/>
          <w:position w:val="-7"/>
        </w:rPr>
        <w:t>．</w:t>
      </w:r>
      <w:r>
        <w:rPr>
          <w:spacing w:val="-153"/>
        </w:rPr>
        <w:t>条</w:t>
      </w:r>
      <w:r>
        <w:rPr>
          <w:spacing w:val="-57"/>
          <w:position w:val="-7"/>
        </w:rPr>
        <w:t>．</w:t>
      </w:r>
      <w:r>
        <w:rPr>
          <w:spacing w:val="-153"/>
        </w:rPr>
        <w:t>款</w:t>
      </w:r>
      <w:r>
        <w:rPr>
          <w:spacing w:val="-57"/>
          <w:position w:val="-7"/>
        </w:rPr>
        <w:t>．</w:t>
      </w:r>
      <w:r>
        <w:rPr>
          <w:spacing w:val="-154"/>
        </w:rPr>
        <w:t>，</w:t>
      </w:r>
      <w:r>
        <w:rPr>
          <w:spacing w:val="-57"/>
          <w:position w:val="-7"/>
        </w:rPr>
        <w:t>．</w:t>
      </w:r>
      <w:r>
        <w:rPr>
          <w:spacing w:val="-154"/>
        </w:rPr>
        <w:t>对</w:t>
      </w:r>
      <w:r>
        <w:rPr>
          <w:spacing w:val="-60"/>
          <w:position w:val="-7"/>
        </w:rPr>
        <w:t>．</w:t>
      </w:r>
      <w:r>
        <w:rPr>
          <w:spacing w:val="-150"/>
        </w:rPr>
        <w:t>本</w:t>
      </w:r>
      <w:r>
        <w:rPr>
          <w:spacing w:val="-60"/>
          <w:position w:val="-7"/>
        </w:rPr>
        <w:t>．</w:t>
      </w:r>
      <w:r>
        <w:rPr>
          <w:spacing w:val="-151"/>
        </w:rPr>
        <w:t>附</w:t>
      </w:r>
      <w:r>
        <w:rPr>
          <w:spacing w:val="-59"/>
          <w:position w:val="-7"/>
        </w:rPr>
        <w:t>．</w:t>
      </w:r>
      <w:r>
        <w:rPr>
          <w:spacing w:val="-151"/>
        </w:rPr>
        <w:t>加</w:t>
      </w:r>
      <w:r>
        <w:rPr>
          <w:spacing w:val="-59"/>
          <w:position w:val="-7"/>
        </w:rPr>
        <w:t>．</w:t>
      </w:r>
      <w:r>
        <w:rPr>
          <w:spacing w:val="-152"/>
        </w:rPr>
        <w:t>险</w:t>
      </w:r>
      <w:r>
        <w:rPr>
          <w:spacing w:val="-59"/>
          <w:position w:val="-7"/>
        </w:rPr>
        <w:t>．</w:t>
      </w:r>
      <w:r>
        <w:rPr>
          <w:spacing w:val="-152"/>
        </w:rPr>
        <w:t>合</w:t>
      </w:r>
      <w:r>
        <w:rPr>
          <w:spacing w:val="-59"/>
          <w:position w:val="-7"/>
        </w:rPr>
        <w:t>．</w:t>
      </w:r>
      <w:r>
        <w:rPr>
          <w:spacing w:val="-152"/>
        </w:rPr>
        <w:t>同</w:t>
      </w:r>
      <w:r>
        <w:rPr>
          <w:spacing w:val="-60"/>
          <w:position w:val="-7"/>
        </w:rPr>
        <w:t>．</w:t>
      </w:r>
      <w:r>
        <w:rPr>
          <w:spacing w:val="-150"/>
        </w:rPr>
        <w:t>内</w:t>
      </w:r>
      <w:r>
        <w:rPr>
          <w:spacing w:val="-60"/>
          <w:position w:val="-7"/>
        </w:rPr>
        <w:t>．</w:t>
      </w:r>
      <w:r>
        <w:rPr>
          <w:spacing w:val="-151"/>
        </w:rPr>
        <w:t>容</w:t>
      </w:r>
      <w:r>
        <w:rPr>
          <w:spacing w:val="-59"/>
          <w:position w:val="-7"/>
        </w:rPr>
        <w:t>．</w:t>
      </w:r>
      <w:r>
        <w:rPr>
          <w:spacing w:val="-151"/>
        </w:rPr>
        <w:t>的</w:t>
      </w:r>
      <w:r>
        <w:rPr>
          <w:spacing w:val="-60"/>
          <w:position w:val="-7"/>
        </w:rPr>
        <w:t>．</w:t>
      </w:r>
      <w:r>
        <w:rPr>
          <w:spacing w:val="-151"/>
        </w:rPr>
        <w:t>解</w:t>
      </w:r>
      <w:r>
        <w:rPr>
          <w:spacing w:val="-59"/>
          <w:position w:val="-7"/>
        </w:rPr>
        <w:t>．</w:t>
      </w:r>
      <w:r>
        <w:rPr>
          <w:spacing w:val="-151"/>
        </w:rPr>
        <w:t>释</w:t>
      </w:r>
      <w:r>
        <w:rPr>
          <w:spacing w:val="-59"/>
          <w:position w:val="-7"/>
        </w:rPr>
        <w:t>．</w:t>
      </w:r>
      <w:r>
        <w:rPr>
          <w:spacing w:val="-152"/>
        </w:rPr>
        <w:t>以</w:t>
      </w:r>
      <w:r>
        <w:rPr>
          <w:spacing w:val="-58"/>
          <w:position w:val="-7"/>
        </w:rPr>
        <w:t>．</w:t>
      </w:r>
      <w:r>
        <w:rPr>
          <w:spacing w:val="-152"/>
        </w:rPr>
        <w:t>条</w:t>
      </w:r>
      <w:r>
        <w:rPr>
          <w:spacing w:val="-58"/>
          <w:position w:val="-7"/>
        </w:rPr>
        <w:t>．</w:t>
      </w:r>
      <w:r>
        <w:rPr>
          <w:spacing w:val="-153"/>
        </w:rPr>
        <w:t>款</w:t>
      </w:r>
      <w:r>
        <w:rPr>
          <w:spacing w:val="-58"/>
          <w:position w:val="-7"/>
        </w:rPr>
        <w:t>．</w:t>
      </w:r>
      <w:r>
        <w:rPr>
          <w:spacing w:val="-152"/>
        </w:rPr>
        <w:t>为</w:t>
      </w:r>
      <w:r>
        <w:rPr>
          <w:spacing w:val="-58"/>
          <w:position w:val="-7"/>
        </w:rPr>
        <w:t>．</w:t>
      </w:r>
      <w:r>
        <w:rPr>
          <w:spacing w:val="-153"/>
        </w:rPr>
        <w:t>准</w:t>
      </w:r>
      <w:r>
        <w:rPr>
          <w:spacing w:val="-60"/>
          <w:position w:val="-7"/>
        </w:rPr>
        <w:t>．</w:t>
      </w:r>
      <w:r>
        <w:rPr/>
        <w:t>。</w:t>
      </w:r>
    </w:p>
    <w:p>
      <w:pPr>
        <w:spacing w:before="91"/>
        <w:ind w:left="235" w:right="0" w:firstLine="0"/>
        <w:jc w:val="left"/>
        <w:rPr>
          <w:b/>
          <w:sz w:val="21"/>
        </w:rPr>
      </w:pPr>
      <w:r>
        <w:rPr/>
        <w:pict>
          <v:group style="position:absolute;margin-left:39.049999pt;margin-top:2.703325pt;width:529.4pt;height:623.1pt;mso-position-horizontal-relative:page;mso-position-vertical-relative:paragraph;z-index:-98824" coordorigin="781,54" coordsize="10588,12462">
            <v:shape style="position:absolute;left:916;top:6194;width:10288;height:15" type="#_x0000_t75" stroked="false">
              <v:imagedata r:id="rId7" o:title=""/>
            </v:shape>
            <v:shape style="position:absolute;left:916;top:12440;width:10273;height:15" type="#_x0000_t75" stroked="false">
              <v:imagedata r:id="rId8" o:title=""/>
            </v:shape>
            <v:shape style="position:absolute;left:781;top:54;width:10588;height:12462" type="#_x0000_t75" stroked="false">
              <v:imagedata r:id="rId9" o:title=""/>
            </v:shape>
            <w10:wrap type="none"/>
          </v:group>
        </w:pict>
      </w:r>
      <w:r>
        <w:rPr>
          <w:rFonts w:ascii="Wingdings" w:hAnsi="Wingdings" w:eastAsia="Wingdings"/>
          <w:b/>
          <w:sz w:val="31"/>
        </w:rPr>
        <w:t></w:t>
      </w:r>
      <w:r>
        <w:rPr>
          <w:rFonts w:ascii="Times New Roman" w:hAnsi="Times New Roman" w:eastAsia="Times New Roman"/>
          <w:b/>
          <w:sz w:val="31"/>
        </w:rPr>
        <w:t>  </w:t>
      </w:r>
      <w:r>
        <w:rPr>
          <w:b/>
          <w:sz w:val="21"/>
        </w:rPr>
        <w:t>您拥有的重要权益</w:t>
      </w:r>
    </w:p>
    <w:p>
      <w:pPr>
        <w:pStyle w:val="ListParagraph"/>
        <w:numPr>
          <w:ilvl w:val="0"/>
          <w:numId w:val="1"/>
        </w:numPr>
        <w:tabs>
          <w:tab w:pos="1076" w:val="left" w:leader="none"/>
          <w:tab w:pos="1077" w:val="left" w:leader="none"/>
          <w:tab w:pos="9697" w:val="right" w:leader="dot"/>
        </w:tabs>
        <w:spacing w:line="240" w:lineRule="auto" w:before="3" w:after="0"/>
        <w:ind w:left="1077" w:right="0" w:hanging="421"/>
        <w:jc w:val="left"/>
        <w:rPr>
          <w:sz w:val="21"/>
        </w:rPr>
      </w:pPr>
      <w:r>
        <w:rPr>
          <w:sz w:val="21"/>
        </w:rPr>
        <w:t>签收保险</w:t>
      </w:r>
      <w:r>
        <w:rPr>
          <w:spacing w:val="-15"/>
          <w:sz w:val="21"/>
        </w:rPr>
        <w:t>单</w:t>
      </w:r>
      <w:r>
        <w:rPr>
          <w:sz w:val="21"/>
        </w:rPr>
        <w:t>后</w:t>
      </w:r>
      <w:r>
        <w:rPr>
          <w:spacing w:val="-46"/>
          <w:sz w:val="21"/>
        </w:rPr>
        <w:t> </w:t>
      </w:r>
      <w:r>
        <w:rPr>
          <w:sz w:val="21"/>
        </w:rPr>
        <w:t>10</w:t>
      </w:r>
      <w:r>
        <w:rPr>
          <w:spacing w:val="-46"/>
          <w:sz w:val="21"/>
        </w:rPr>
        <w:t> </w:t>
      </w:r>
      <w:r>
        <w:rPr>
          <w:sz w:val="21"/>
        </w:rPr>
        <w:t>日内您可以要求退还保险费</w:t>
        <w:tab/>
        <w:t>1.4</w:t>
      </w:r>
    </w:p>
    <w:p>
      <w:pPr>
        <w:pStyle w:val="ListParagraph"/>
        <w:numPr>
          <w:ilvl w:val="0"/>
          <w:numId w:val="1"/>
        </w:numPr>
        <w:tabs>
          <w:tab w:pos="1076" w:val="left" w:leader="none"/>
          <w:tab w:pos="1077" w:val="left" w:leader="none"/>
          <w:tab w:pos="9697" w:val="right" w:leader="dot"/>
        </w:tabs>
        <w:spacing w:line="240" w:lineRule="auto" w:before="25" w:after="0"/>
        <w:ind w:left="1077" w:right="0" w:hanging="421"/>
        <w:jc w:val="left"/>
        <w:rPr>
          <w:sz w:val="21"/>
        </w:rPr>
      </w:pPr>
      <w:r>
        <w:rPr>
          <w:sz w:val="21"/>
        </w:rPr>
        <w:t>被保险人可以享受本附加险合同提供的保障</w:t>
        <w:tab/>
        <w:t>2.2</w:t>
      </w:r>
    </w:p>
    <w:p>
      <w:pPr>
        <w:pStyle w:val="ListParagraph"/>
        <w:numPr>
          <w:ilvl w:val="0"/>
          <w:numId w:val="1"/>
        </w:numPr>
        <w:tabs>
          <w:tab w:pos="1076" w:val="left" w:leader="none"/>
          <w:tab w:pos="1077" w:val="left" w:leader="none"/>
          <w:tab w:pos="9697" w:val="right" w:leader="dot"/>
        </w:tabs>
        <w:spacing w:line="240" w:lineRule="auto" w:before="40" w:after="0"/>
        <w:ind w:left="1077" w:right="0" w:hanging="421"/>
        <w:jc w:val="left"/>
        <w:rPr>
          <w:sz w:val="21"/>
        </w:rPr>
      </w:pPr>
      <w:r>
        <w:rPr>
          <w:sz w:val="21"/>
        </w:rPr>
        <w:t>您有退保的权利</w:t>
        <w:tab/>
        <w:t>7.1</w:t>
      </w:r>
    </w:p>
    <w:p>
      <w:pPr>
        <w:pStyle w:val="Heading3"/>
        <w:spacing w:before="307"/>
        <w:ind w:left="235"/>
        <w:rPr>
          <w:rFonts w:ascii="宋体" w:hAnsi="宋体" w:eastAsia="宋体" w:hint="eastAsia"/>
        </w:rPr>
      </w:pPr>
      <w:r>
        <w:rPr>
          <w:rFonts w:ascii="Wingdings" w:hAnsi="Wingdings" w:eastAsia="Wingdings"/>
          <w:sz w:val="31"/>
        </w:rPr>
        <w:t></w:t>
      </w:r>
      <w:r>
        <w:rPr>
          <w:rFonts w:ascii="Times New Roman" w:hAnsi="Times New Roman" w:eastAsia="Times New Roman"/>
          <w:sz w:val="31"/>
        </w:rPr>
        <w:t> </w:t>
      </w:r>
      <w:r>
        <w:rPr>
          <w:rFonts w:ascii="宋体" w:hAnsi="宋体" w:eastAsia="宋体" w:hint="eastAsia"/>
        </w:rPr>
        <w:t>您应当特别注意的事项</w:t>
      </w:r>
    </w:p>
    <w:p>
      <w:pPr>
        <w:pStyle w:val="ListParagraph"/>
        <w:numPr>
          <w:ilvl w:val="0"/>
          <w:numId w:val="1"/>
        </w:numPr>
        <w:tabs>
          <w:tab w:pos="1076" w:val="left" w:leader="none"/>
          <w:tab w:pos="1077" w:val="left" w:leader="none"/>
          <w:tab w:pos="9697" w:val="right" w:leader="dot"/>
        </w:tabs>
        <w:spacing w:line="240" w:lineRule="auto" w:before="19" w:after="0"/>
        <w:ind w:left="1077" w:right="0" w:hanging="421"/>
        <w:jc w:val="left"/>
        <w:rPr>
          <w:sz w:val="21"/>
        </w:rPr>
      </w:pPr>
      <w:r>
        <w:rPr>
          <w:sz w:val="21"/>
        </w:rPr>
        <w:t>在某些情况下，我们不承担保险责任</w:t>
        <w:tab/>
        <w:t>2.3</w:t>
      </w:r>
    </w:p>
    <w:p>
      <w:pPr>
        <w:pStyle w:val="ListParagraph"/>
        <w:numPr>
          <w:ilvl w:val="0"/>
          <w:numId w:val="1"/>
        </w:numPr>
        <w:tabs>
          <w:tab w:pos="1076" w:val="left" w:leader="none"/>
          <w:tab w:pos="1077" w:val="left" w:leader="none"/>
          <w:tab w:pos="9697" w:val="right" w:leader="dot"/>
        </w:tabs>
        <w:spacing w:line="240" w:lineRule="auto" w:before="25" w:after="0"/>
        <w:ind w:left="1077" w:right="0" w:hanging="421"/>
        <w:jc w:val="left"/>
        <w:rPr>
          <w:sz w:val="21"/>
        </w:rPr>
      </w:pPr>
      <w:r>
        <w:rPr>
          <w:sz w:val="21"/>
        </w:rPr>
        <w:t>您有及时向我们通知保险事故的责任</w:t>
        <w:tab/>
        <w:t>3.2</w:t>
      </w:r>
    </w:p>
    <w:p>
      <w:pPr>
        <w:pStyle w:val="ListParagraph"/>
        <w:numPr>
          <w:ilvl w:val="0"/>
          <w:numId w:val="1"/>
        </w:numPr>
        <w:tabs>
          <w:tab w:pos="1076" w:val="left" w:leader="none"/>
          <w:tab w:pos="1077" w:val="left" w:leader="none"/>
          <w:tab w:pos="9697" w:val="right" w:leader="dot"/>
        </w:tabs>
        <w:spacing w:line="240" w:lineRule="auto" w:before="24" w:after="0"/>
        <w:ind w:left="1077" w:right="0" w:hanging="421"/>
        <w:jc w:val="left"/>
        <w:rPr>
          <w:sz w:val="21"/>
        </w:rPr>
      </w:pPr>
      <w:r>
        <w:rPr>
          <w:sz w:val="21"/>
        </w:rPr>
        <w:t>您应当按时交纳保险费</w:t>
        <w:tab/>
        <w:t>4.1</w:t>
      </w:r>
    </w:p>
    <w:p>
      <w:pPr>
        <w:pStyle w:val="ListParagraph"/>
        <w:numPr>
          <w:ilvl w:val="0"/>
          <w:numId w:val="1"/>
        </w:numPr>
        <w:tabs>
          <w:tab w:pos="1076" w:val="left" w:leader="none"/>
          <w:tab w:pos="1077" w:val="left" w:leader="none"/>
          <w:tab w:pos="9697" w:val="right" w:leader="dot"/>
        </w:tabs>
        <w:spacing w:line="240" w:lineRule="auto" w:before="40" w:after="0"/>
        <w:ind w:left="1077" w:right="0" w:hanging="421"/>
        <w:jc w:val="left"/>
        <w:rPr>
          <w:sz w:val="21"/>
        </w:rPr>
      </w:pPr>
      <w:r>
        <w:rPr>
          <w:sz w:val="21"/>
        </w:rPr>
        <w:t>退保会给您造成一定的损失，请您慎重决策</w:t>
        <w:tab/>
        <w:t>7.1</w:t>
      </w:r>
    </w:p>
    <w:p>
      <w:pPr>
        <w:pStyle w:val="ListParagraph"/>
        <w:numPr>
          <w:ilvl w:val="0"/>
          <w:numId w:val="1"/>
        </w:numPr>
        <w:tabs>
          <w:tab w:pos="1076" w:val="left" w:leader="none"/>
          <w:tab w:pos="1077" w:val="left" w:leader="none"/>
          <w:tab w:pos="9697" w:val="right" w:leader="dot"/>
        </w:tabs>
        <w:spacing w:line="240" w:lineRule="auto" w:before="25" w:after="0"/>
        <w:ind w:left="1077" w:right="0" w:hanging="421"/>
        <w:jc w:val="left"/>
        <w:rPr>
          <w:sz w:val="21"/>
        </w:rPr>
      </w:pPr>
      <w:r>
        <w:rPr>
          <w:sz w:val="21"/>
        </w:rPr>
        <w:t>您有如实告知的义务</w:t>
        <w:tab/>
        <w:t>8.1</w:t>
      </w:r>
    </w:p>
    <w:p>
      <w:pPr>
        <w:pStyle w:val="ListParagraph"/>
        <w:numPr>
          <w:ilvl w:val="0"/>
          <w:numId w:val="1"/>
        </w:numPr>
        <w:tabs>
          <w:tab w:pos="1076" w:val="left" w:leader="none"/>
          <w:tab w:pos="1077" w:val="left" w:leader="none"/>
          <w:tab w:pos="9487" w:val="right" w:leader="dot"/>
        </w:tabs>
        <w:spacing w:line="240" w:lineRule="auto" w:before="25" w:after="0"/>
        <w:ind w:left="1077" w:right="0" w:hanging="421"/>
        <w:jc w:val="left"/>
        <w:rPr>
          <w:sz w:val="21"/>
        </w:rPr>
      </w:pPr>
      <w:r>
        <w:rPr>
          <w:sz w:val="21"/>
        </w:rPr>
        <w:t>我们对一些重要术语进行了解释，并作了显著标识，请您注意</w:t>
        <w:tab/>
        <w:t>9</w:t>
      </w:r>
    </w:p>
    <w:p>
      <w:pPr>
        <w:pStyle w:val="ListParagraph"/>
        <w:numPr>
          <w:ilvl w:val="0"/>
          <w:numId w:val="1"/>
        </w:numPr>
        <w:tabs>
          <w:tab w:pos="1076" w:val="left" w:leader="none"/>
          <w:tab w:pos="1077" w:val="left" w:leader="none"/>
          <w:tab w:pos="9697" w:val="right" w:leader="dot"/>
        </w:tabs>
        <w:spacing w:line="240" w:lineRule="auto" w:before="39" w:after="0"/>
        <w:ind w:left="1077" w:right="0" w:hanging="421"/>
        <w:jc w:val="left"/>
        <w:rPr>
          <w:sz w:val="21"/>
        </w:rPr>
      </w:pPr>
      <w:r>
        <w:rPr>
          <w:sz w:val="21"/>
        </w:rPr>
        <w:t>保险条款有关于轻症疾病的释义，请您留意</w:t>
        <w:tab/>
        <w:t>9.5</w:t>
      </w:r>
    </w:p>
    <w:p>
      <w:pPr>
        <w:pStyle w:val="ListParagraph"/>
        <w:numPr>
          <w:ilvl w:val="0"/>
          <w:numId w:val="1"/>
        </w:numPr>
        <w:tabs>
          <w:tab w:pos="1076" w:val="left" w:leader="none"/>
          <w:tab w:pos="1077" w:val="left" w:leader="none"/>
          <w:tab w:pos="9697" w:val="right" w:leader="dot"/>
        </w:tabs>
        <w:spacing w:line="240" w:lineRule="auto" w:before="25" w:after="0"/>
        <w:ind w:left="1077" w:right="0" w:hanging="421"/>
        <w:jc w:val="left"/>
        <w:rPr>
          <w:sz w:val="21"/>
        </w:rPr>
      </w:pPr>
      <w:r>
        <w:rPr>
          <w:sz w:val="21"/>
        </w:rPr>
        <w:t>保险条款有关于重大疾病的释义，请您留意</w:t>
        <w:tab/>
        <w:t>9.6</w:t>
      </w:r>
    </w:p>
    <w:p>
      <w:pPr>
        <w:pStyle w:val="ListParagraph"/>
        <w:numPr>
          <w:ilvl w:val="0"/>
          <w:numId w:val="1"/>
        </w:numPr>
        <w:tabs>
          <w:tab w:pos="1076" w:val="left" w:leader="none"/>
          <w:tab w:pos="1077" w:val="left" w:leader="none"/>
          <w:tab w:pos="9697" w:val="right" w:leader="dot"/>
        </w:tabs>
        <w:spacing w:line="240" w:lineRule="auto" w:before="25" w:after="0"/>
        <w:ind w:left="1077" w:right="0" w:hanging="421"/>
        <w:jc w:val="left"/>
        <w:rPr>
          <w:sz w:val="21"/>
        </w:rPr>
      </w:pPr>
      <w:r>
        <w:rPr>
          <w:sz w:val="21"/>
        </w:rPr>
        <w:t>保险条款中关于重大疾病的分</w:t>
      </w:r>
      <w:r>
        <w:rPr>
          <w:spacing w:val="-3"/>
          <w:sz w:val="21"/>
        </w:rPr>
        <w:t>组</w:t>
      </w:r>
      <w:r>
        <w:rPr>
          <w:sz w:val="21"/>
        </w:rPr>
        <w:t>，请您留意</w:t>
        <w:tab/>
        <w:t>9.7</w:t>
      </w:r>
    </w:p>
    <w:p>
      <w:pPr>
        <w:pStyle w:val="Heading3"/>
        <w:spacing w:before="322"/>
        <w:ind w:left="235"/>
        <w:rPr>
          <w:rFonts w:ascii="宋体" w:hAnsi="宋体" w:eastAsia="宋体" w:hint="eastAsia"/>
        </w:rPr>
      </w:pPr>
      <w:r>
        <w:rPr>
          <w:rFonts w:ascii="Wingdings" w:hAnsi="Wingdings" w:eastAsia="Wingdings"/>
          <w:sz w:val="31"/>
        </w:rPr>
        <w:t></w:t>
      </w:r>
      <w:r>
        <w:rPr>
          <w:rFonts w:ascii="Times New Roman" w:hAnsi="Times New Roman" w:eastAsia="Times New Roman"/>
          <w:spacing w:val="67"/>
          <w:sz w:val="31"/>
        </w:rPr>
        <w:t> </w:t>
      </w:r>
      <w:r>
        <w:rPr>
          <w:rFonts w:ascii="宋体" w:hAnsi="宋体" w:eastAsia="宋体" w:hint="eastAsia"/>
        </w:rPr>
        <w:t>条款是保险合同的重要内容，为充分保障您的权益，请您仔细阅读本条款。</w:t>
      </w:r>
    </w:p>
    <w:p>
      <w:pPr>
        <w:spacing w:before="301" w:after="10"/>
        <w:ind w:left="235" w:right="0" w:firstLine="0"/>
        <w:jc w:val="left"/>
        <w:rPr>
          <w:b/>
          <w:sz w:val="21"/>
        </w:rPr>
      </w:pPr>
      <w:r>
        <w:rPr>
          <w:rFonts w:ascii="Wingdings" w:hAnsi="Wingdings" w:eastAsia="Wingdings"/>
          <w:b/>
          <w:sz w:val="31"/>
        </w:rPr>
        <w:t></w:t>
      </w:r>
      <w:r>
        <w:rPr>
          <w:rFonts w:ascii="Times New Roman" w:hAnsi="Times New Roman" w:eastAsia="Times New Roman"/>
          <w:b/>
          <w:sz w:val="31"/>
        </w:rPr>
        <w:t>  </w:t>
      </w:r>
      <w:r>
        <w:rPr>
          <w:b/>
          <w:sz w:val="21"/>
        </w:rPr>
        <w:t>条款目录</w:t>
      </w: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2"/>
        <w:gridCol w:w="3846"/>
        <w:gridCol w:w="735"/>
        <w:gridCol w:w="2772"/>
      </w:tblGrid>
      <w:tr>
        <w:trPr>
          <w:trHeight w:val="299" w:hRule="atLeast"/>
        </w:trPr>
        <w:tc>
          <w:tcPr>
            <w:tcW w:w="2922" w:type="dxa"/>
            <w:tcBorders>
              <w:left w:val="single" w:sz="6" w:space="0" w:color="000000"/>
            </w:tcBorders>
          </w:tcPr>
          <w:p>
            <w:pPr>
              <w:pStyle w:val="TableParagraph"/>
              <w:spacing w:line="255" w:lineRule="exact"/>
              <w:ind w:left="113"/>
              <w:rPr>
                <w:b/>
                <w:sz w:val="21"/>
              </w:rPr>
            </w:pPr>
            <w:r>
              <w:rPr>
                <w:b/>
                <w:w w:val="95"/>
                <w:sz w:val="21"/>
              </w:rPr>
              <w:t>1．您与我们的合同</w:t>
            </w:r>
          </w:p>
        </w:tc>
        <w:tc>
          <w:tcPr>
            <w:tcW w:w="3846" w:type="dxa"/>
          </w:tcPr>
          <w:p>
            <w:pPr>
              <w:pStyle w:val="TableParagraph"/>
              <w:spacing w:line="255" w:lineRule="exact"/>
              <w:ind w:left="802"/>
              <w:rPr>
                <w:sz w:val="21"/>
              </w:rPr>
            </w:pPr>
            <w:r>
              <w:rPr>
                <w:sz w:val="21"/>
              </w:rPr>
              <w:t>5.1 现金价值</w:t>
            </w:r>
          </w:p>
        </w:tc>
        <w:tc>
          <w:tcPr>
            <w:tcW w:w="735" w:type="dxa"/>
          </w:tcPr>
          <w:p>
            <w:pPr>
              <w:pStyle w:val="TableParagraph"/>
              <w:spacing w:line="255" w:lineRule="exact"/>
              <w:ind w:left="321"/>
              <w:rPr>
                <w:sz w:val="21"/>
              </w:rPr>
            </w:pPr>
            <w:r>
              <w:rPr>
                <w:sz w:val="21"/>
              </w:rPr>
              <w:t>9.5</w:t>
            </w:r>
          </w:p>
        </w:tc>
        <w:tc>
          <w:tcPr>
            <w:tcW w:w="2772" w:type="dxa"/>
            <w:tcBorders>
              <w:right w:val="single" w:sz="6" w:space="0" w:color="000000"/>
            </w:tcBorders>
          </w:tcPr>
          <w:p>
            <w:pPr>
              <w:pStyle w:val="TableParagraph"/>
              <w:spacing w:line="255" w:lineRule="exact"/>
              <w:ind w:left="6"/>
              <w:rPr>
                <w:sz w:val="21"/>
              </w:rPr>
            </w:pPr>
            <w:r>
              <w:rPr>
                <w:sz w:val="21"/>
              </w:rPr>
              <w:t>轻症疾病</w:t>
            </w:r>
          </w:p>
        </w:tc>
      </w:tr>
      <w:tr>
        <w:trPr>
          <w:trHeight w:val="307" w:hRule="atLeast"/>
        </w:trPr>
        <w:tc>
          <w:tcPr>
            <w:tcW w:w="2922" w:type="dxa"/>
            <w:tcBorders>
              <w:left w:val="single" w:sz="6" w:space="0" w:color="000000"/>
            </w:tcBorders>
          </w:tcPr>
          <w:p>
            <w:pPr>
              <w:pStyle w:val="TableParagraph"/>
              <w:spacing w:line="255" w:lineRule="exact"/>
              <w:ind w:left="323"/>
              <w:rPr>
                <w:sz w:val="21"/>
              </w:rPr>
            </w:pPr>
            <w:r>
              <w:rPr>
                <w:sz w:val="21"/>
              </w:rPr>
              <w:t>1.1 合同订立</w:t>
            </w:r>
          </w:p>
        </w:tc>
        <w:tc>
          <w:tcPr>
            <w:tcW w:w="3846" w:type="dxa"/>
          </w:tcPr>
          <w:p>
            <w:pPr>
              <w:pStyle w:val="TableParagraph"/>
              <w:spacing w:line="255" w:lineRule="exact"/>
              <w:ind w:left="802"/>
              <w:rPr>
                <w:sz w:val="21"/>
              </w:rPr>
            </w:pPr>
            <w:r>
              <w:rPr>
                <w:sz w:val="21"/>
              </w:rPr>
              <w:t>5.2 保险单借款</w:t>
            </w:r>
          </w:p>
        </w:tc>
        <w:tc>
          <w:tcPr>
            <w:tcW w:w="735" w:type="dxa"/>
          </w:tcPr>
          <w:p>
            <w:pPr>
              <w:pStyle w:val="TableParagraph"/>
              <w:spacing w:line="255" w:lineRule="exact"/>
              <w:ind w:left="321"/>
              <w:rPr>
                <w:sz w:val="21"/>
              </w:rPr>
            </w:pPr>
            <w:r>
              <w:rPr>
                <w:sz w:val="21"/>
              </w:rPr>
              <w:t>9.6</w:t>
            </w:r>
          </w:p>
        </w:tc>
        <w:tc>
          <w:tcPr>
            <w:tcW w:w="2772" w:type="dxa"/>
            <w:tcBorders>
              <w:right w:val="single" w:sz="6" w:space="0" w:color="000000"/>
            </w:tcBorders>
          </w:tcPr>
          <w:p>
            <w:pPr>
              <w:pStyle w:val="TableParagraph"/>
              <w:spacing w:line="255" w:lineRule="exact"/>
              <w:ind w:left="6"/>
              <w:rPr>
                <w:sz w:val="21"/>
              </w:rPr>
            </w:pPr>
            <w:r>
              <w:rPr>
                <w:sz w:val="21"/>
              </w:rPr>
              <w:t>重大疾病</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1.2 合同成立与生效</w:t>
            </w:r>
          </w:p>
        </w:tc>
        <w:tc>
          <w:tcPr>
            <w:tcW w:w="3846" w:type="dxa"/>
          </w:tcPr>
          <w:p>
            <w:pPr>
              <w:pStyle w:val="TableParagraph"/>
              <w:spacing w:line="263" w:lineRule="exact"/>
              <w:ind w:left="592"/>
              <w:rPr>
                <w:b/>
                <w:sz w:val="21"/>
              </w:rPr>
            </w:pPr>
            <w:r>
              <w:rPr>
                <w:b/>
                <w:w w:val="95"/>
                <w:sz w:val="21"/>
              </w:rPr>
              <w:t>6．合同效力的中止及恢复</w:t>
            </w:r>
          </w:p>
        </w:tc>
        <w:tc>
          <w:tcPr>
            <w:tcW w:w="735" w:type="dxa"/>
          </w:tcPr>
          <w:p>
            <w:pPr>
              <w:pStyle w:val="TableParagraph"/>
              <w:spacing w:line="263" w:lineRule="exact"/>
              <w:ind w:left="321"/>
              <w:rPr>
                <w:sz w:val="21"/>
              </w:rPr>
            </w:pPr>
            <w:r>
              <w:rPr>
                <w:sz w:val="21"/>
              </w:rPr>
              <w:t>9.7</w:t>
            </w:r>
          </w:p>
        </w:tc>
        <w:tc>
          <w:tcPr>
            <w:tcW w:w="2772" w:type="dxa"/>
            <w:tcBorders>
              <w:right w:val="single" w:sz="6" w:space="0" w:color="000000"/>
            </w:tcBorders>
          </w:tcPr>
          <w:p>
            <w:pPr>
              <w:pStyle w:val="TableParagraph"/>
              <w:spacing w:line="263" w:lineRule="exact"/>
              <w:ind w:left="6"/>
              <w:rPr>
                <w:sz w:val="21"/>
              </w:rPr>
            </w:pPr>
            <w:r>
              <w:rPr>
                <w:sz w:val="21"/>
              </w:rPr>
              <w:t>重大疾病分组</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1.3 投保年龄</w:t>
            </w:r>
          </w:p>
        </w:tc>
        <w:tc>
          <w:tcPr>
            <w:tcW w:w="3846" w:type="dxa"/>
          </w:tcPr>
          <w:p>
            <w:pPr>
              <w:pStyle w:val="TableParagraph"/>
              <w:spacing w:line="263" w:lineRule="exact"/>
              <w:ind w:left="802"/>
              <w:rPr>
                <w:sz w:val="21"/>
              </w:rPr>
            </w:pPr>
            <w:r>
              <w:rPr>
                <w:sz w:val="21"/>
              </w:rPr>
              <w:t>6.1 效力中止</w:t>
            </w:r>
          </w:p>
        </w:tc>
        <w:tc>
          <w:tcPr>
            <w:tcW w:w="735" w:type="dxa"/>
          </w:tcPr>
          <w:p>
            <w:pPr>
              <w:pStyle w:val="TableParagraph"/>
              <w:spacing w:line="263" w:lineRule="exact"/>
              <w:ind w:left="321"/>
              <w:rPr>
                <w:sz w:val="21"/>
              </w:rPr>
            </w:pPr>
            <w:r>
              <w:rPr>
                <w:sz w:val="21"/>
              </w:rPr>
              <w:t>9.8</w:t>
            </w:r>
          </w:p>
        </w:tc>
        <w:tc>
          <w:tcPr>
            <w:tcW w:w="2772" w:type="dxa"/>
            <w:tcBorders>
              <w:right w:val="single" w:sz="6" w:space="0" w:color="000000"/>
            </w:tcBorders>
          </w:tcPr>
          <w:p>
            <w:pPr>
              <w:pStyle w:val="TableParagraph"/>
              <w:spacing w:line="263" w:lineRule="exact"/>
              <w:ind w:left="6"/>
              <w:rPr>
                <w:sz w:val="21"/>
              </w:rPr>
            </w:pPr>
            <w:r>
              <w:rPr>
                <w:sz w:val="21"/>
              </w:rPr>
              <w:t>现金价值</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1.4 犹豫期</w:t>
            </w:r>
          </w:p>
        </w:tc>
        <w:tc>
          <w:tcPr>
            <w:tcW w:w="3846" w:type="dxa"/>
          </w:tcPr>
          <w:p>
            <w:pPr>
              <w:pStyle w:val="TableParagraph"/>
              <w:spacing w:line="263" w:lineRule="exact"/>
              <w:ind w:left="802"/>
              <w:rPr>
                <w:sz w:val="21"/>
              </w:rPr>
            </w:pPr>
            <w:r>
              <w:rPr>
                <w:sz w:val="21"/>
              </w:rPr>
              <w:t>6.2 效力恢复</w:t>
            </w:r>
          </w:p>
        </w:tc>
        <w:tc>
          <w:tcPr>
            <w:tcW w:w="735" w:type="dxa"/>
          </w:tcPr>
          <w:p>
            <w:pPr>
              <w:pStyle w:val="TableParagraph"/>
              <w:spacing w:line="263" w:lineRule="exact"/>
              <w:ind w:left="321"/>
              <w:rPr>
                <w:sz w:val="21"/>
              </w:rPr>
            </w:pPr>
            <w:r>
              <w:rPr>
                <w:sz w:val="21"/>
              </w:rPr>
              <w:t>9.9</w:t>
            </w:r>
          </w:p>
        </w:tc>
        <w:tc>
          <w:tcPr>
            <w:tcW w:w="2772" w:type="dxa"/>
            <w:tcBorders>
              <w:right w:val="single" w:sz="6" w:space="0" w:color="000000"/>
            </w:tcBorders>
          </w:tcPr>
          <w:p>
            <w:pPr>
              <w:pStyle w:val="TableParagraph"/>
              <w:spacing w:line="263" w:lineRule="exact"/>
              <w:ind w:left="6"/>
              <w:rPr>
                <w:sz w:val="21"/>
              </w:rPr>
            </w:pPr>
            <w:r>
              <w:rPr>
                <w:sz w:val="21"/>
              </w:rPr>
              <w:t>疾病终末期</w:t>
            </w:r>
          </w:p>
        </w:tc>
      </w:tr>
      <w:tr>
        <w:trPr>
          <w:trHeight w:val="307" w:hRule="atLeast"/>
        </w:trPr>
        <w:tc>
          <w:tcPr>
            <w:tcW w:w="2922" w:type="dxa"/>
            <w:tcBorders>
              <w:left w:val="single" w:sz="6" w:space="0" w:color="000000"/>
            </w:tcBorders>
          </w:tcPr>
          <w:p>
            <w:pPr>
              <w:pStyle w:val="TableParagraph"/>
              <w:spacing w:line="263" w:lineRule="exact"/>
              <w:ind w:left="323"/>
              <w:rPr>
                <w:sz w:val="21"/>
              </w:rPr>
            </w:pPr>
            <w:r>
              <w:rPr>
                <w:sz w:val="21"/>
              </w:rPr>
              <w:t>1.5 保险期间</w:t>
            </w:r>
          </w:p>
        </w:tc>
        <w:tc>
          <w:tcPr>
            <w:tcW w:w="3846" w:type="dxa"/>
          </w:tcPr>
          <w:p>
            <w:pPr>
              <w:pStyle w:val="TableParagraph"/>
              <w:spacing w:line="263" w:lineRule="exact"/>
              <w:ind w:left="592"/>
              <w:rPr>
                <w:b/>
                <w:sz w:val="21"/>
              </w:rPr>
            </w:pPr>
            <w:r>
              <w:rPr>
                <w:b/>
                <w:sz w:val="21"/>
              </w:rPr>
              <w:t>7. 如何解除保险合同</w:t>
            </w:r>
          </w:p>
        </w:tc>
        <w:tc>
          <w:tcPr>
            <w:tcW w:w="735" w:type="dxa"/>
          </w:tcPr>
          <w:p>
            <w:pPr>
              <w:pStyle w:val="TableParagraph"/>
              <w:spacing w:line="263" w:lineRule="exact"/>
              <w:ind w:left="321" w:right="-15"/>
              <w:rPr>
                <w:sz w:val="21"/>
              </w:rPr>
            </w:pPr>
            <w:r>
              <w:rPr>
                <w:sz w:val="21"/>
              </w:rPr>
              <w:t>9.10</w:t>
            </w:r>
          </w:p>
        </w:tc>
        <w:tc>
          <w:tcPr>
            <w:tcW w:w="2772" w:type="dxa"/>
            <w:tcBorders>
              <w:right w:val="single" w:sz="6" w:space="0" w:color="000000"/>
            </w:tcBorders>
          </w:tcPr>
          <w:p>
            <w:pPr>
              <w:pStyle w:val="TableParagraph"/>
              <w:spacing w:line="263" w:lineRule="exact"/>
              <w:ind w:left="111"/>
              <w:rPr>
                <w:sz w:val="21"/>
              </w:rPr>
            </w:pPr>
            <w:r>
              <w:rPr>
                <w:sz w:val="21"/>
              </w:rPr>
              <w:t>毒品</w:t>
            </w:r>
          </w:p>
        </w:tc>
      </w:tr>
      <w:tr>
        <w:trPr>
          <w:trHeight w:val="307" w:hRule="atLeast"/>
        </w:trPr>
        <w:tc>
          <w:tcPr>
            <w:tcW w:w="2922" w:type="dxa"/>
            <w:tcBorders>
              <w:left w:val="single" w:sz="6" w:space="0" w:color="000000"/>
            </w:tcBorders>
          </w:tcPr>
          <w:p>
            <w:pPr>
              <w:pStyle w:val="TableParagraph"/>
              <w:spacing w:line="255" w:lineRule="exact"/>
              <w:ind w:left="113"/>
              <w:rPr>
                <w:b/>
                <w:sz w:val="21"/>
              </w:rPr>
            </w:pPr>
            <w:r>
              <w:rPr>
                <w:b/>
                <w:w w:val="95"/>
                <w:sz w:val="21"/>
              </w:rPr>
              <w:t>2．我们提供的保障</w:t>
            </w:r>
          </w:p>
        </w:tc>
        <w:tc>
          <w:tcPr>
            <w:tcW w:w="3846" w:type="dxa"/>
          </w:tcPr>
          <w:p>
            <w:pPr>
              <w:pStyle w:val="TableParagraph"/>
              <w:spacing w:line="255" w:lineRule="exact"/>
              <w:ind w:left="802"/>
              <w:rPr>
                <w:sz w:val="21"/>
              </w:rPr>
            </w:pPr>
            <w:r>
              <w:rPr>
                <w:sz w:val="21"/>
              </w:rPr>
              <w:t>7.1 您解除合同的手续及风险</w:t>
            </w:r>
          </w:p>
        </w:tc>
        <w:tc>
          <w:tcPr>
            <w:tcW w:w="735" w:type="dxa"/>
          </w:tcPr>
          <w:p>
            <w:pPr>
              <w:pStyle w:val="TableParagraph"/>
              <w:spacing w:line="255" w:lineRule="exact"/>
              <w:ind w:left="321" w:right="-15"/>
              <w:rPr>
                <w:sz w:val="21"/>
              </w:rPr>
            </w:pPr>
            <w:r>
              <w:rPr>
                <w:sz w:val="21"/>
              </w:rPr>
              <w:t>9.11</w:t>
            </w:r>
          </w:p>
        </w:tc>
        <w:tc>
          <w:tcPr>
            <w:tcW w:w="2772" w:type="dxa"/>
            <w:tcBorders>
              <w:right w:val="single" w:sz="6" w:space="0" w:color="000000"/>
            </w:tcBorders>
          </w:tcPr>
          <w:p>
            <w:pPr>
              <w:pStyle w:val="TableParagraph"/>
              <w:spacing w:line="255" w:lineRule="exact"/>
              <w:ind w:left="111"/>
              <w:rPr>
                <w:sz w:val="21"/>
              </w:rPr>
            </w:pPr>
            <w:r>
              <w:rPr>
                <w:sz w:val="21"/>
              </w:rPr>
              <w:t>酒后驾驶</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2.1 基本保险金额</w:t>
            </w:r>
          </w:p>
        </w:tc>
        <w:tc>
          <w:tcPr>
            <w:tcW w:w="3846" w:type="dxa"/>
          </w:tcPr>
          <w:p>
            <w:pPr>
              <w:pStyle w:val="TableParagraph"/>
              <w:spacing w:line="263" w:lineRule="exact"/>
              <w:ind w:left="592"/>
              <w:rPr>
                <w:b/>
                <w:sz w:val="21"/>
              </w:rPr>
            </w:pPr>
            <w:r>
              <w:rPr>
                <w:b/>
                <w:w w:val="95"/>
                <w:sz w:val="21"/>
              </w:rPr>
              <w:t>8．其他需要关注的事项</w:t>
            </w:r>
          </w:p>
        </w:tc>
        <w:tc>
          <w:tcPr>
            <w:tcW w:w="735" w:type="dxa"/>
          </w:tcPr>
          <w:p>
            <w:pPr>
              <w:pStyle w:val="TableParagraph"/>
              <w:spacing w:line="263" w:lineRule="exact"/>
              <w:ind w:left="321" w:right="-15"/>
              <w:rPr>
                <w:sz w:val="21"/>
              </w:rPr>
            </w:pPr>
            <w:r>
              <w:rPr>
                <w:sz w:val="21"/>
              </w:rPr>
              <w:t>9.12</w:t>
            </w:r>
          </w:p>
        </w:tc>
        <w:tc>
          <w:tcPr>
            <w:tcW w:w="2772" w:type="dxa"/>
            <w:tcBorders>
              <w:right w:val="single" w:sz="6" w:space="0" w:color="000000"/>
            </w:tcBorders>
          </w:tcPr>
          <w:p>
            <w:pPr>
              <w:pStyle w:val="TableParagraph"/>
              <w:spacing w:line="263" w:lineRule="exact"/>
              <w:ind w:left="111"/>
              <w:rPr>
                <w:sz w:val="21"/>
              </w:rPr>
            </w:pPr>
            <w:r>
              <w:rPr>
                <w:sz w:val="21"/>
              </w:rPr>
              <w:t>无合法有效驾驶证驾驶</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2.2 保险责任</w:t>
            </w:r>
          </w:p>
        </w:tc>
        <w:tc>
          <w:tcPr>
            <w:tcW w:w="3846" w:type="dxa"/>
          </w:tcPr>
          <w:p>
            <w:pPr>
              <w:pStyle w:val="TableParagraph"/>
              <w:spacing w:line="263" w:lineRule="exact"/>
              <w:ind w:left="802"/>
              <w:rPr>
                <w:sz w:val="21"/>
              </w:rPr>
            </w:pPr>
            <w:r>
              <w:rPr>
                <w:sz w:val="21"/>
              </w:rPr>
              <w:t>8.1 明确说明与如实告知</w:t>
            </w:r>
          </w:p>
        </w:tc>
        <w:tc>
          <w:tcPr>
            <w:tcW w:w="735" w:type="dxa"/>
          </w:tcPr>
          <w:p>
            <w:pPr>
              <w:pStyle w:val="TableParagraph"/>
              <w:spacing w:line="263" w:lineRule="exact"/>
              <w:ind w:left="321" w:right="-15"/>
              <w:rPr>
                <w:sz w:val="21"/>
              </w:rPr>
            </w:pPr>
            <w:r>
              <w:rPr>
                <w:sz w:val="21"/>
              </w:rPr>
              <w:t>9.13</w:t>
            </w:r>
          </w:p>
        </w:tc>
        <w:tc>
          <w:tcPr>
            <w:tcW w:w="2772" w:type="dxa"/>
            <w:tcBorders>
              <w:right w:val="single" w:sz="6" w:space="0" w:color="000000"/>
            </w:tcBorders>
          </w:tcPr>
          <w:p>
            <w:pPr>
              <w:pStyle w:val="TableParagraph"/>
              <w:spacing w:line="263" w:lineRule="exact"/>
              <w:ind w:left="111"/>
              <w:rPr>
                <w:sz w:val="21"/>
              </w:rPr>
            </w:pPr>
            <w:r>
              <w:rPr>
                <w:sz w:val="21"/>
              </w:rPr>
              <w:t>机动车</w:t>
            </w:r>
          </w:p>
        </w:tc>
      </w:tr>
      <w:tr>
        <w:trPr>
          <w:trHeight w:val="315" w:hRule="atLeast"/>
        </w:trPr>
        <w:tc>
          <w:tcPr>
            <w:tcW w:w="2922" w:type="dxa"/>
            <w:tcBorders>
              <w:left w:val="single" w:sz="6" w:space="0" w:color="000000"/>
            </w:tcBorders>
          </w:tcPr>
          <w:p>
            <w:pPr>
              <w:pStyle w:val="TableParagraph"/>
              <w:spacing w:line="262" w:lineRule="exact"/>
              <w:ind w:left="323"/>
              <w:rPr>
                <w:sz w:val="21"/>
              </w:rPr>
            </w:pPr>
            <w:r>
              <w:rPr>
                <w:sz w:val="21"/>
              </w:rPr>
              <w:t>2.3 责任免除</w:t>
            </w:r>
          </w:p>
        </w:tc>
        <w:tc>
          <w:tcPr>
            <w:tcW w:w="3846" w:type="dxa"/>
          </w:tcPr>
          <w:p>
            <w:pPr>
              <w:pStyle w:val="TableParagraph"/>
              <w:spacing w:line="262" w:lineRule="exact"/>
              <w:ind w:left="802"/>
              <w:rPr>
                <w:sz w:val="21"/>
              </w:rPr>
            </w:pPr>
            <w:r>
              <w:rPr>
                <w:sz w:val="21"/>
              </w:rPr>
              <w:t>8.2 我们合同解除权的限制</w:t>
            </w:r>
          </w:p>
        </w:tc>
        <w:tc>
          <w:tcPr>
            <w:tcW w:w="735" w:type="dxa"/>
          </w:tcPr>
          <w:p>
            <w:pPr>
              <w:pStyle w:val="TableParagraph"/>
              <w:spacing w:line="262" w:lineRule="exact"/>
              <w:ind w:left="321" w:right="-15"/>
              <w:rPr>
                <w:sz w:val="21"/>
              </w:rPr>
            </w:pPr>
            <w:r>
              <w:rPr>
                <w:sz w:val="21"/>
              </w:rPr>
              <w:t>9.14</w:t>
            </w:r>
          </w:p>
        </w:tc>
        <w:tc>
          <w:tcPr>
            <w:tcW w:w="2772" w:type="dxa"/>
            <w:tcBorders>
              <w:right w:val="single" w:sz="6" w:space="0" w:color="000000"/>
            </w:tcBorders>
          </w:tcPr>
          <w:p>
            <w:pPr>
              <w:pStyle w:val="TableParagraph"/>
              <w:spacing w:line="262" w:lineRule="exact"/>
              <w:ind w:left="111"/>
              <w:rPr>
                <w:sz w:val="21"/>
              </w:rPr>
            </w:pPr>
            <w:r>
              <w:rPr>
                <w:sz w:val="21"/>
              </w:rPr>
              <w:t>无有效行驶证</w:t>
            </w:r>
          </w:p>
        </w:tc>
      </w:tr>
      <w:tr>
        <w:trPr>
          <w:trHeight w:val="307" w:hRule="atLeast"/>
        </w:trPr>
        <w:tc>
          <w:tcPr>
            <w:tcW w:w="2922" w:type="dxa"/>
            <w:tcBorders>
              <w:left w:val="single" w:sz="6" w:space="0" w:color="000000"/>
            </w:tcBorders>
          </w:tcPr>
          <w:p>
            <w:pPr>
              <w:pStyle w:val="TableParagraph"/>
              <w:spacing w:line="263" w:lineRule="exact"/>
              <w:ind w:left="113"/>
              <w:rPr>
                <w:b/>
                <w:sz w:val="21"/>
              </w:rPr>
            </w:pPr>
            <w:r>
              <w:rPr>
                <w:b/>
                <w:w w:val="95"/>
                <w:sz w:val="21"/>
              </w:rPr>
              <w:t>3．如何申请领取保险金</w:t>
            </w:r>
          </w:p>
        </w:tc>
        <w:tc>
          <w:tcPr>
            <w:tcW w:w="3846" w:type="dxa"/>
          </w:tcPr>
          <w:p>
            <w:pPr>
              <w:pStyle w:val="TableParagraph"/>
              <w:spacing w:line="263" w:lineRule="exact"/>
              <w:ind w:left="802"/>
              <w:rPr>
                <w:sz w:val="21"/>
              </w:rPr>
            </w:pPr>
            <w:r>
              <w:rPr>
                <w:sz w:val="21"/>
              </w:rPr>
              <w:t>8.3 年龄错误</w:t>
            </w:r>
          </w:p>
        </w:tc>
        <w:tc>
          <w:tcPr>
            <w:tcW w:w="735" w:type="dxa"/>
          </w:tcPr>
          <w:p>
            <w:pPr>
              <w:pStyle w:val="TableParagraph"/>
              <w:spacing w:line="263" w:lineRule="exact"/>
              <w:ind w:left="321" w:right="-15"/>
              <w:rPr>
                <w:sz w:val="21"/>
              </w:rPr>
            </w:pPr>
            <w:r>
              <w:rPr>
                <w:sz w:val="21"/>
              </w:rPr>
              <w:t>9.15</w:t>
            </w:r>
          </w:p>
        </w:tc>
        <w:tc>
          <w:tcPr>
            <w:tcW w:w="2772" w:type="dxa"/>
            <w:tcBorders>
              <w:right w:val="single" w:sz="6" w:space="0" w:color="000000"/>
            </w:tcBorders>
          </w:tcPr>
          <w:p>
            <w:pPr>
              <w:pStyle w:val="TableParagraph"/>
              <w:spacing w:line="263" w:lineRule="exact"/>
              <w:ind w:left="111"/>
              <w:rPr>
                <w:sz w:val="21"/>
              </w:rPr>
            </w:pPr>
            <w:r>
              <w:rPr>
                <w:sz w:val="21"/>
              </w:rPr>
              <w:t>遗传性疾病</w:t>
            </w:r>
          </w:p>
        </w:tc>
      </w:tr>
      <w:tr>
        <w:trPr>
          <w:trHeight w:val="307" w:hRule="atLeast"/>
        </w:trPr>
        <w:tc>
          <w:tcPr>
            <w:tcW w:w="2922" w:type="dxa"/>
            <w:tcBorders>
              <w:left w:val="single" w:sz="6" w:space="0" w:color="000000"/>
            </w:tcBorders>
          </w:tcPr>
          <w:p>
            <w:pPr>
              <w:pStyle w:val="TableParagraph"/>
              <w:spacing w:line="255" w:lineRule="exact"/>
              <w:ind w:left="323"/>
              <w:rPr>
                <w:sz w:val="21"/>
              </w:rPr>
            </w:pPr>
            <w:r>
              <w:rPr>
                <w:sz w:val="21"/>
              </w:rPr>
              <w:t>3.1 受益人</w:t>
            </w:r>
          </w:p>
        </w:tc>
        <w:tc>
          <w:tcPr>
            <w:tcW w:w="3846" w:type="dxa"/>
          </w:tcPr>
          <w:p>
            <w:pPr>
              <w:pStyle w:val="TableParagraph"/>
              <w:spacing w:line="255" w:lineRule="exact"/>
              <w:ind w:left="802"/>
              <w:rPr>
                <w:sz w:val="21"/>
              </w:rPr>
            </w:pPr>
            <w:r>
              <w:rPr>
                <w:sz w:val="21"/>
              </w:rPr>
              <w:t>8.4 未还款项</w:t>
            </w:r>
          </w:p>
        </w:tc>
        <w:tc>
          <w:tcPr>
            <w:tcW w:w="735" w:type="dxa"/>
          </w:tcPr>
          <w:p>
            <w:pPr>
              <w:pStyle w:val="TableParagraph"/>
              <w:spacing w:line="255" w:lineRule="exact"/>
              <w:ind w:left="321" w:right="-15"/>
              <w:rPr>
                <w:sz w:val="21"/>
              </w:rPr>
            </w:pPr>
            <w:r>
              <w:rPr>
                <w:sz w:val="21"/>
              </w:rPr>
              <w:t>9.16</w:t>
            </w:r>
          </w:p>
        </w:tc>
        <w:tc>
          <w:tcPr>
            <w:tcW w:w="2772" w:type="dxa"/>
            <w:tcBorders>
              <w:right w:val="single" w:sz="6" w:space="0" w:color="000000"/>
            </w:tcBorders>
          </w:tcPr>
          <w:p>
            <w:pPr>
              <w:pStyle w:val="TableParagraph"/>
              <w:spacing w:line="255" w:lineRule="exact"/>
              <w:ind w:left="111"/>
              <w:rPr>
                <w:sz w:val="21"/>
              </w:rPr>
            </w:pPr>
            <w:r>
              <w:rPr>
                <w:sz w:val="21"/>
              </w:rPr>
              <w:t>先天性畸形、变形或染色体</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3.2 保险事故通知</w:t>
            </w:r>
          </w:p>
        </w:tc>
        <w:tc>
          <w:tcPr>
            <w:tcW w:w="3846" w:type="dxa"/>
          </w:tcPr>
          <w:p>
            <w:pPr>
              <w:pStyle w:val="TableParagraph"/>
              <w:spacing w:line="263" w:lineRule="exact"/>
              <w:ind w:left="802"/>
              <w:rPr>
                <w:sz w:val="21"/>
              </w:rPr>
            </w:pPr>
            <w:r>
              <w:rPr>
                <w:sz w:val="21"/>
              </w:rPr>
              <w:t>8.5 合同内容变更</w:t>
            </w:r>
          </w:p>
        </w:tc>
        <w:tc>
          <w:tcPr>
            <w:tcW w:w="735" w:type="dxa"/>
          </w:tcPr>
          <w:p>
            <w:pPr>
              <w:pStyle w:val="TableParagraph"/>
              <w:rPr>
                <w:rFonts w:ascii="Times New Roman"/>
                <w:sz w:val="20"/>
              </w:rPr>
            </w:pPr>
          </w:p>
        </w:tc>
        <w:tc>
          <w:tcPr>
            <w:tcW w:w="2772" w:type="dxa"/>
            <w:tcBorders>
              <w:right w:val="single" w:sz="6" w:space="0" w:color="000000"/>
            </w:tcBorders>
          </w:tcPr>
          <w:p>
            <w:pPr>
              <w:pStyle w:val="TableParagraph"/>
              <w:spacing w:line="263" w:lineRule="exact"/>
              <w:ind w:left="111"/>
              <w:rPr>
                <w:sz w:val="21"/>
              </w:rPr>
            </w:pPr>
            <w:r>
              <w:rPr>
                <w:sz w:val="21"/>
              </w:rPr>
              <w:t>异常</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3.3 保险金申请</w:t>
            </w:r>
          </w:p>
        </w:tc>
        <w:tc>
          <w:tcPr>
            <w:tcW w:w="3846" w:type="dxa"/>
          </w:tcPr>
          <w:p>
            <w:pPr>
              <w:pStyle w:val="TableParagraph"/>
              <w:spacing w:line="263" w:lineRule="exact"/>
              <w:ind w:left="802"/>
              <w:rPr>
                <w:sz w:val="21"/>
              </w:rPr>
            </w:pPr>
            <w:r>
              <w:rPr>
                <w:sz w:val="21"/>
              </w:rPr>
              <w:t>8.6 效力终止</w:t>
            </w:r>
          </w:p>
        </w:tc>
        <w:tc>
          <w:tcPr>
            <w:tcW w:w="735" w:type="dxa"/>
          </w:tcPr>
          <w:p>
            <w:pPr>
              <w:pStyle w:val="TableParagraph"/>
              <w:spacing w:line="263" w:lineRule="exact"/>
              <w:ind w:left="321" w:right="-15"/>
              <w:rPr>
                <w:sz w:val="21"/>
              </w:rPr>
            </w:pPr>
            <w:r>
              <w:rPr>
                <w:sz w:val="21"/>
              </w:rPr>
              <w:t>9.17</w:t>
            </w:r>
          </w:p>
        </w:tc>
        <w:tc>
          <w:tcPr>
            <w:tcW w:w="2772" w:type="dxa"/>
            <w:tcBorders>
              <w:right w:val="single" w:sz="6" w:space="0" w:color="000000"/>
            </w:tcBorders>
          </w:tcPr>
          <w:p>
            <w:pPr>
              <w:pStyle w:val="TableParagraph"/>
              <w:spacing w:line="263" w:lineRule="exact"/>
              <w:ind w:left="111"/>
              <w:rPr>
                <w:sz w:val="21"/>
              </w:rPr>
            </w:pPr>
            <w:r>
              <w:rPr>
                <w:sz w:val="21"/>
              </w:rPr>
              <w:t>医院</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3.4 保险金的给付</w:t>
            </w:r>
          </w:p>
        </w:tc>
        <w:tc>
          <w:tcPr>
            <w:tcW w:w="3846" w:type="dxa"/>
          </w:tcPr>
          <w:p>
            <w:pPr>
              <w:pStyle w:val="TableParagraph"/>
              <w:spacing w:line="263" w:lineRule="exact"/>
              <w:ind w:left="802"/>
              <w:rPr>
                <w:sz w:val="21"/>
              </w:rPr>
            </w:pPr>
            <w:r>
              <w:rPr>
                <w:sz w:val="21"/>
              </w:rPr>
              <w:t>8.7 适用主险合同条款</w:t>
            </w:r>
          </w:p>
        </w:tc>
        <w:tc>
          <w:tcPr>
            <w:tcW w:w="735" w:type="dxa"/>
          </w:tcPr>
          <w:p>
            <w:pPr>
              <w:pStyle w:val="TableParagraph"/>
              <w:spacing w:line="263" w:lineRule="exact"/>
              <w:ind w:left="321" w:right="-15"/>
              <w:rPr>
                <w:sz w:val="21"/>
              </w:rPr>
            </w:pPr>
            <w:r>
              <w:rPr>
                <w:sz w:val="21"/>
              </w:rPr>
              <w:t>9.18</w:t>
            </w:r>
          </w:p>
        </w:tc>
        <w:tc>
          <w:tcPr>
            <w:tcW w:w="2772" w:type="dxa"/>
            <w:tcBorders>
              <w:right w:val="single" w:sz="6" w:space="0" w:color="000000"/>
            </w:tcBorders>
          </w:tcPr>
          <w:p>
            <w:pPr>
              <w:pStyle w:val="TableParagraph"/>
              <w:spacing w:line="263" w:lineRule="exact"/>
              <w:ind w:left="111"/>
              <w:rPr>
                <w:sz w:val="21"/>
              </w:rPr>
            </w:pPr>
            <w:r>
              <w:rPr>
                <w:sz w:val="21"/>
              </w:rPr>
              <w:t>肢体机能完全丧失</w:t>
            </w:r>
          </w:p>
        </w:tc>
      </w:tr>
      <w:tr>
        <w:trPr>
          <w:trHeight w:val="615" w:hRule="atLeast"/>
        </w:trPr>
        <w:tc>
          <w:tcPr>
            <w:tcW w:w="2922" w:type="dxa"/>
            <w:tcBorders>
              <w:left w:val="single" w:sz="6" w:space="0" w:color="000000"/>
            </w:tcBorders>
          </w:tcPr>
          <w:p>
            <w:pPr>
              <w:pStyle w:val="TableParagraph"/>
              <w:spacing w:line="263" w:lineRule="exact"/>
              <w:ind w:left="323"/>
              <w:rPr>
                <w:sz w:val="21"/>
              </w:rPr>
            </w:pPr>
            <w:r>
              <w:rPr>
                <w:sz w:val="21"/>
              </w:rPr>
              <w:t>3.5 诉讼时效</w:t>
            </w:r>
          </w:p>
          <w:p>
            <w:pPr>
              <w:pStyle w:val="TableParagraph"/>
              <w:spacing w:before="25"/>
              <w:ind w:left="113"/>
              <w:rPr>
                <w:b/>
                <w:sz w:val="21"/>
              </w:rPr>
            </w:pPr>
            <w:r>
              <w:rPr>
                <w:b/>
                <w:w w:val="95"/>
                <w:sz w:val="21"/>
              </w:rPr>
              <w:t>4．如何交纳保险费</w:t>
            </w:r>
          </w:p>
        </w:tc>
        <w:tc>
          <w:tcPr>
            <w:tcW w:w="3846" w:type="dxa"/>
          </w:tcPr>
          <w:p>
            <w:pPr>
              <w:pStyle w:val="TableParagraph"/>
              <w:spacing w:line="263" w:lineRule="exact"/>
              <w:ind w:left="592"/>
              <w:rPr>
                <w:b/>
                <w:sz w:val="21"/>
              </w:rPr>
            </w:pPr>
            <w:r>
              <w:rPr>
                <w:b/>
                <w:w w:val="95"/>
                <w:sz w:val="21"/>
              </w:rPr>
              <w:t>9．释义</w:t>
            </w:r>
          </w:p>
          <w:p>
            <w:pPr>
              <w:pStyle w:val="TableParagraph"/>
              <w:spacing w:before="25"/>
              <w:ind w:left="802"/>
              <w:rPr>
                <w:sz w:val="21"/>
              </w:rPr>
            </w:pPr>
            <w:r>
              <w:rPr>
                <w:sz w:val="21"/>
              </w:rPr>
              <w:t>9.1 周岁</w:t>
            </w:r>
          </w:p>
        </w:tc>
        <w:tc>
          <w:tcPr>
            <w:tcW w:w="735" w:type="dxa"/>
          </w:tcPr>
          <w:p>
            <w:pPr>
              <w:pStyle w:val="TableParagraph"/>
              <w:spacing w:line="263" w:lineRule="exact"/>
              <w:ind w:left="321" w:right="-15"/>
              <w:rPr>
                <w:sz w:val="21"/>
              </w:rPr>
            </w:pPr>
            <w:r>
              <w:rPr>
                <w:sz w:val="21"/>
              </w:rPr>
              <w:t>9.19</w:t>
            </w:r>
          </w:p>
        </w:tc>
        <w:tc>
          <w:tcPr>
            <w:tcW w:w="2772" w:type="dxa"/>
            <w:tcBorders>
              <w:right w:val="single" w:sz="6" w:space="0" w:color="000000"/>
            </w:tcBorders>
          </w:tcPr>
          <w:p>
            <w:pPr>
              <w:pStyle w:val="TableParagraph"/>
              <w:spacing w:line="261" w:lineRule="auto"/>
              <w:ind w:left="111" w:right="125"/>
              <w:rPr>
                <w:sz w:val="21"/>
              </w:rPr>
            </w:pPr>
            <w:r>
              <w:rPr>
                <w:sz w:val="21"/>
              </w:rPr>
              <w:t>语言能力或咀嚼吞咽能力完全丧失</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4.1 保险费的交纳</w:t>
            </w:r>
          </w:p>
        </w:tc>
        <w:tc>
          <w:tcPr>
            <w:tcW w:w="3846" w:type="dxa"/>
          </w:tcPr>
          <w:p>
            <w:pPr>
              <w:pStyle w:val="TableParagraph"/>
              <w:spacing w:line="263" w:lineRule="exact"/>
              <w:ind w:left="802"/>
              <w:rPr>
                <w:sz w:val="21"/>
              </w:rPr>
            </w:pPr>
            <w:r>
              <w:rPr>
                <w:sz w:val="21"/>
              </w:rPr>
              <w:t>9.2 有效身份证件</w:t>
            </w:r>
          </w:p>
        </w:tc>
        <w:tc>
          <w:tcPr>
            <w:tcW w:w="735" w:type="dxa"/>
          </w:tcPr>
          <w:p>
            <w:pPr>
              <w:pStyle w:val="TableParagraph"/>
              <w:spacing w:line="263" w:lineRule="exact"/>
              <w:ind w:left="321" w:right="-15"/>
              <w:rPr>
                <w:sz w:val="21"/>
              </w:rPr>
            </w:pPr>
            <w:r>
              <w:rPr>
                <w:sz w:val="21"/>
              </w:rPr>
              <w:t>9.20</w:t>
            </w:r>
          </w:p>
        </w:tc>
        <w:tc>
          <w:tcPr>
            <w:tcW w:w="2772" w:type="dxa"/>
            <w:tcBorders>
              <w:right w:val="single" w:sz="6" w:space="0" w:color="000000"/>
            </w:tcBorders>
          </w:tcPr>
          <w:p>
            <w:pPr>
              <w:pStyle w:val="TableParagraph"/>
              <w:spacing w:line="263" w:lineRule="exact"/>
              <w:ind w:left="111"/>
              <w:rPr>
                <w:sz w:val="21"/>
              </w:rPr>
            </w:pPr>
            <w:r>
              <w:rPr>
                <w:sz w:val="21"/>
              </w:rPr>
              <w:t>六项基本日常生活活动</w:t>
            </w:r>
          </w:p>
        </w:tc>
      </w:tr>
      <w:tr>
        <w:trPr>
          <w:trHeight w:val="315" w:hRule="atLeast"/>
        </w:trPr>
        <w:tc>
          <w:tcPr>
            <w:tcW w:w="2922" w:type="dxa"/>
            <w:tcBorders>
              <w:left w:val="single" w:sz="6" w:space="0" w:color="000000"/>
            </w:tcBorders>
          </w:tcPr>
          <w:p>
            <w:pPr>
              <w:pStyle w:val="TableParagraph"/>
              <w:spacing w:line="263" w:lineRule="exact"/>
              <w:ind w:left="323"/>
              <w:rPr>
                <w:sz w:val="21"/>
              </w:rPr>
            </w:pPr>
            <w:r>
              <w:rPr>
                <w:sz w:val="21"/>
              </w:rPr>
              <w:t>4.2 宽限期</w:t>
            </w:r>
          </w:p>
        </w:tc>
        <w:tc>
          <w:tcPr>
            <w:tcW w:w="3846" w:type="dxa"/>
          </w:tcPr>
          <w:p>
            <w:pPr>
              <w:pStyle w:val="TableParagraph"/>
              <w:spacing w:line="263" w:lineRule="exact"/>
              <w:ind w:left="802"/>
              <w:rPr>
                <w:sz w:val="21"/>
              </w:rPr>
            </w:pPr>
            <w:r>
              <w:rPr>
                <w:sz w:val="21"/>
              </w:rPr>
              <w:t>9.3 意外伤害</w:t>
            </w:r>
          </w:p>
        </w:tc>
        <w:tc>
          <w:tcPr>
            <w:tcW w:w="735" w:type="dxa"/>
          </w:tcPr>
          <w:p>
            <w:pPr>
              <w:pStyle w:val="TableParagraph"/>
              <w:spacing w:line="263" w:lineRule="exact"/>
              <w:ind w:left="321" w:right="-15"/>
              <w:rPr>
                <w:sz w:val="21"/>
              </w:rPr>
            </w:pPr>
            <w:r>
              <w:rPr>
                <w:sz w:val="21"/>
              </w:rPr>
              <w:t>9.21</w:t>
            </w:r>
          </w:p>
        </w:tc>
        <w:tc>
          <w:tcPr>
            <w:tcW w:w="2772" w:type="dxa"/>
            <w:tcBorders>
              <w:right w:val="single" w:sz="6" w:space="0" w:color="000000"/>
            </w:tcBorders>
          </w:tcPr>
          <w:p>
            <w:pPr>
              <w:pStyle w:val="TableParagraph"/>
              <w:spacing w:line="263" w:lineRule="exact"/>
              <w:ind w:left="111"/>
              <w:rPr>
                <w:sz w:val="21"/>
              </w:rPr>
            </w:pPr>
            <w:r>
              <w:rPr>
                <w:sz w:val="21"/>
              </w:rPr>
              <w:t>永久不可逆</w:t>
            </w:r>
          </w:p>
        </w:tc>
      </w:tr>
      <w:tr>
        <w:trPr>
          <w:trHeight w:val="308" w:hRule="atLeast"/>
        </w:trPr>
        <w:tc>
          <w:tcPr>
            <w:tcW w:w="2922" w:type="dxa"/>
            <w:tcBorders>
              <w:left w:val="single" w:sz="6" w:space="0" w:color="000000"/>
            </w:tcBorders>
          </w:tcPr>
          <w:p>
            <w:pPr>
              <w:pStyle w:val="TableParagraph"/>
              <w:spacing w:line="263" w:lineRule="exact"/>
              <w:ind w:left="113"/>
              <w:rPr>
                <w:b/>
                <w:sz w:val="21"/>
              </w:rPr>
            </w:pPr>
            <w:r>
              <w:rPr>
                <w:b/>
                <w:w w:val="95"/>
                <w:sz w:val="21"/>
              </w:rPr>
              <w:t>5．现金价值权益</w:t>
            </w:r>
          </w:p>
        </w:tc>
        <w:tc>
          <w:tcPr>
            <w:tcW w:w="3846" w:type="dxa"/>
          </w:tcPr>
          <w:p>
            <w:pPr>
              <w:pStyle w:val="TableParagraph"/>
              <w:spacing w:line="263" w:lineRule="exact"/>
              <w:ind w:left="802"/>
              <w:rPr>
                <w:sz w:val="21"/>
              </w:rPr>
            </w:pPr>
            <w:r>
              <w:rPr>
                <w:sz w:val="21"/>
              </w:rPr>
              <w:t>9.4 专科医生</w:t>
            </w:r>
          </w:p>
        </w:tc>
        <w:tc>
          <w:tcPr>
            <w:tcW w:w="735" w:type="dxa"/>
          </w:tcPr>
          <w:p>
            <w:pPr>
              <w:pStyle w:val="TableParagraph"/>
              <w:rPr>
                <w:rFonts w:ascii="Times New Roman"/>
                <w:sz w:val="20"/>
              </w:rPr>
            </w:pPr>
          </w:p>
        </w:tc>
        <w:tc>
          <w:tcPr>
            <w:tcW w:w="2772" w:type="dxa"/>
            <w:tcBorders>
              <w:right w:val="single" w:sz="6" w:space="0" w:color="000000"/>
            </w:tcBorders>
          </w:tcPr>
          <w:p>
            <w:pPr>
              <w:pStyle w:val="TableParagraph"/>
              <w:rPr>
                <w:rFonts w:ascii="Times New Roman"/>
                <w:sz w:val="20"/>
              </w:rPr>
            </w:pPr>
          </w:p>
        </w:tc>
      </w:tr>
    </w:tbl>
    <w:p>
      <w:pPr>
        <w:spacing w:after="0"/>
        <w:rPr>
          <w:rFonts w:ascii="Times New Roman"/>
          <w:sz w:val="20"/>
        </w:rPr>
        <w:sectPr>
          <w:type w:val="continuous"/>
          <w:pgSz w:w="11910" w:h="16850"/>
          <w:pgMar w:top="540" w:bottom="1140" w:left="680" w:right="440"/>
        </w:sectPr>
      </w:pPr>
    </w:p>
    <w:p>
      <w:pPr>
        <w:spacing w:line="546" w:lineRule="exact" w:before="0"/>
        <w:ind w:left="2594" w:right="2596" w:firstLine="0"/>
        <w:jc w:val="center"/>
        <w:rPr>
          <w:rFonts w:ascii="Microsoft JhengHei" w:eastAsia="Microsoft JhengHei" w:hint="eastAsia"/>
          <w:b/>
          <w:sz w:val="43"/>
        </w:rPr>
      </w:pPr>
      <w:r>
        <w:rPr>
          <w:rFonts w:ascii="Microsoft JhengHei" w:eastAsia="Microsoft JhengHei" w:hint="eastAsia"/>
          <w:b/>
          <w:sz w:val="43"/>
        </w:rPr>
        <w:t>长城人寿保险股份有限公司</w:t>
      </w:r>
    </w:p>
    <w:p>
      <w:pPr>
        <w:pStyle w:val="BodyText"/>
        <w:spacing w:before="5"/>
        <w:rPr>
          <w:rFonts w:ascii="Microsoft JhengHei"/>
          <w:b/>
          <w:sz w:val="38"/>
        </w:rPr>
      </w:pPr>
    </w:p>
    <w:p>
      <w:pPr>
        <w:spacing w:before="0"/>
        <w:ind w:left="2584" w:right="2596" w:firstLine="0"/>
        <w:jc w:val="center"/>
        <w:rPr>
          <w:rFonts w:ascii="微软雅黑" w:eastAsia="微软雅黑" w:hint="eastAsia"/>
          <w:b/>
          <w:sz w:val="30"/>
        </w:rPr>
      </w:pPr>
      <w:r>
        <w:rPr>
          <w:rFonts w:ascii="微软雅黑" w:eastAsia="微软雅黑" w:hint="eastAsia"/>
          <w:b/>
          <w:sz w:val="30"/>
        </w:rPr>
        <w:t>长城附加吉祥人生重大疾病保险条款</w:t>
      </w:r>
    </w:p>
    <w:p>
      <w:pPr>
        <w:pStyle w:val="BodyText"/>
        <w:spacing w:before="14"/>
        <w:rPr>
          <w:rFonts w:ascii="微软雅黑"/>
          <w:b/>
          <w:sz w:val="43"/>
        </w:rPr>
      </w:pPr>
    </w:p>
    <w:p>
      <w:pPr>
        <w:pStyle w:val="BodyText"/>
        <w:spacing w:before="0"/>
        <w:ind w:left="426"/>
      </w:pPr>
      <w:r>
        <w:rPr>
          <w:spacing w:val="-22"/>
        </w:rPr>
        <w:t>在本条款中，“您”指投保人，“我们”、“本公司”均指长城人寿保险股份有限公司。</w:t>
      </w:r>
    </w:p>
    <w:p>
      <w:pPr>
        <w:pStyle w:val="BodyText"/>
        <w:spacing w:before="6"/>
        <w:rPr>
          <w:sz w:val="20"/>
        </w:rPr>
      </w:pPr>
    </w:p>
    <w:p>
      <w:pPr>
        <w:tabs>
          <w:tab w:pos="1237" w:val="left" w:leader="none"/>
        </w:tabs>
        <w:spacing w:before="0"/>
        <w:ind w:left="216" w:right="0" w:firstLine="0"/>
        <w:jc w:val="left"/>
        <w:rPr>
          <w:b/>
          <w:sz w:val="28"/>
        </w:rPr>
      </w:pPr>
      <w:r>
        <w:rPr/>
        <w:pict>
          <v:group style="position:absolute;margin-left:49.549999pt;margin-top:31.657682pt;width:508.45pt;height:.75pt;mso-position-horizontal-relative:page;mso-position-vertical-relative:paragraph;z-index:1072;mso-wrap-distance-left:0;mso-wrap-distance-right:0" coordorigin="991,633" coordsize="10169,15">
            <v:line style="position:absolute" from="991,641" to="2012,641" stroked="true" strokeweight=".75pt" strokecolor="#000000">
              <v:stroke dashstyle="solid"/>
            </v:line>
            <v:rect style="position:absolute;left:2012;top:633;width:15;height:15" filled="true" fillcolor="#000000" stroked="false">
              <v:fill type="solid"/>
            </v:rect>
            <v:line style="position:absolute" from="2027,641" to="3544,641" stroked="true" strokeweight=".75pt" strokecolor="#000000">
              <v:stroke dashstyle="solid"/>
            </v:line>
            <v:rect style="position:absolute;left:3544;top:633;width:15;height:15" filled="true" fillcolor="#000000" stroked="false">
              <v:fill type="solid"/>
            </v:rect>
            <v:line style="position:absolute" from="3560,641" to="11159,641" stroked="true" strokeweight=".75pt" strokecolor="#000000">
              <v:stroke dashstyle="solid"/>
            </v:line>
            <w10:wrap type="topAndBottom"/>
          </v:group>
        </w:pict>
      </w:r>
      <w:r>
        <w:rPr>
          <w:rFonts w:ascii="Arial" w:hAnsi="Arial" w:eastAsia="Arial"/>
          <w:b/>
          <w:w w:val="105"/>
          <w:position w:val="-7"/>
          <w:sz w:val="52"/>
        </w:rPr>
        <w:t></w:t>
        <w:tab/>
      </w:r>
      <w:r>
        <w:rPr>
          <w:b/>
          <w:spacing w:val="-3"/>
          <w:sz w:val="28"/>
        </w:rPr>
        <w:t>您与我们的合同</w:t>
      </w:r>
    </w:p>
    <w:p>
      <w:pPr>
        <w:pStyle w:val="BodyText"/>
        <w:spacing w:before="6"/>
        <w:rPr>
          <w:b/>
          <w:sz w:val="16"/>
        </w:rPr>
      </w:pPr>
    </w:p>
    <w:p>
      <w:pPr>
        <w:pStyle w:val="ListParagraph"/>
        <w:numPr>
          <w:ilvl w:val="1"/>
          <w:numId w:val="2"/>
        </w:numPr>
        <w:tabs>
          <w:tab w:pos="1237" w:val="left" w:leader="none"/>
          <w:tab w:pos="1238" w:val="left" w:leader="none"/>
          <w:tab w:pos="2769" w:val="left" w:leader="none"/>
        </w:tabs>
        <w:spacing w:line="223" w:lineRule="auto" w:before="59" w:after="0"/>
        <w:ind w:left="2769" w:right="225" w:hanging="2553"/>
        <w:jc w:val="left"/>
        <w:rPr>
          <w:sz w:val="21"/>
        </w:rPr>
      </w:pPr>
      <w:r>
        <w:rPr>
          <w:b/>
          <w:sz w:val="21"/>
        </w:rPr>
        <w:t>合同订立</w:t>
        <w:tab/>
      </w:r>
      <w:r>
        <w:rPr>
          <w:position w:val="1"/>
          <w:sz w:val="21"/>
        </w:rPr>
        <w:t>“长城附加吉祥人生重大疾病保险合</w:t>
      </w:r>
      <w:r>
        <w:rPr>
          <w:spacing w:val="11"/>
          <w:position w:val="1"/>
          <w:sz w:val="21"/>
        </w:rPr>
        <w:t>同</w:t>
      </w:r>
      <w:r>
        <w:rPr>
          <w:position w:val="1"/>
          <w:sz w:val="21"/>
        </w:rPr>
        <w:t>”（以下简称为“本附加</w:t>
      </w:r>
      <w:r>
        <w:rPr>
          <w:spacing w:val="12"/>
          <w:position w:val="1"/>
          <w:sz w:val="21"/>
        </w:rPr>
        <w:t>险</w:t>
      </w:r>
      <w:r>
        <w:rPr>
          <w:position w:val="1"/>
          <w:sz w:val="21"/>
        </w:rPr>
        <w:t>合同”）由主</w:t>
      </w:r>
      <w:r>
        <w:rPr>
          <w:sz w:val="21"/>
        </w:rPr>
        <w:t>保险合同（以下简称“主险合同”）投保人提出申请，经我们同意而订</w:t>
      </w:r>
      <w:r>
        <w:rPr>
          <w:spacing w:val="-8"/>
          <w:sz w:val="21"/>
        </w:rPr>
        <w:t>立</w:t>
      </w:r>
      <w:r>
        <w:rPr>
          <w:sz w:val="21"/>
        </w:rPr>
        <w:t>。</w:t>
      </w:r>
    </w:p>
    <w:p>
      <w:pPr>
        <w:pStyle w:val="BodyText"/>
        <w:spacing w:before="2"/>
        <w:rPr>
          <w:sz w:val="22"/>
        </w:rPr>
      </w:pPr>
    </w:p>
    <w:p>
      <w:pPr>
        <w:spacing w:after="0"/>
        <w:rPr>
          <w:sz w:val="22"/>
        </w:rPr>
        <w:sectPr>
          <w:pgSz w:w="11910" w:h="16850"/>
          <w:pgMar w:header="0" w:footer="944" w:top="1240" w:bottom="1180" w:left="880" w:right="640"/>
        </w:sectPr>
      </w:pPr>
    </w:p>
    <w:p>
      <w:pPr>
        <w:pStyle w:val="Heading3"/>
        <w:numPr>
          <w:ilvl w:val="1"/>
          <w:numId w:val="2"/>
        </w:numPr>
        <w:tabs>
          <w:tab w:pos="1237" w:val="left" w:leader="none"/>
          <w:tab w:pos="1238" w:val="left" w:leader="none"/>
        </w:tabs>
        <w:spacing w:line="261" w:lineRule="auto" w:before="35" w:after="0"/>
        <w:ind w:left="1237" w:right="0" w:hanging="1021"/>
        <w:jc w:val="left"/>
        <w:rPr>
          <w:rFonts w:ascii="宋体" w:eastAsia="宋体" w:hint="eastAsia"/>
        </w:rPr>
      </w:pPr>
      <w:r>
        <w:rPr>
          <w:rFonts w:ascii="宋体" w:eastAsia="宋体" w:hint="eastAsia"/>
          <w:w w:val="95"/>
        </w:rPr>
        <w:t>合同成立与生</w:t>
      </w:r>
      <w:r>
        <w:rPr>
          <w:rFonts w:ascii="宋体" w:eastAsia="宋体" w:hint="eastAsia"/>
        </w:rPr>
        <w:t>效</w:t>
      </w:r>
    </w:p>
    <w:p>
      <w:pPr>
        <w:pStyle w:val="BodyText"/>
        <w:spacing w:line="261" w:lineRule="auto" w:before="35"/>
        <w:ind w:left="216" w:right="250"/>
      </w:pPr>
      <w:r>
        <w:rPr/>
        <w:br w:type="column"/>
      </w:r>
      <w:r>
        <w:rPr/>
        <w:t>本附加险合同应与主险合同同时投保，本附加险合同的成立日、生效日与主险合同的成立日、生效日相同。</w:t>
      </w:r>
    </w:p>
    <w:p>
      <w:pPr>
        <w:spacing w:after="0" w:line="261" w:lineRule="auto"/>
        <w:sectPr>
          <w:type w:val="continuous"/>
          <w:pgSz w:w="11910" w:h="16850"/>
          <w:pgMar w:top="540" w:bottom="1140" w:left="880" w:right="640"/>
          <w:cols w:num="2" w:equalWidth="0">
            <w:col w:w="2501" w:space="52"/>
            <w:col w:w="7837"/>
          </w:cols>
        </w:sectPr>
      </w:pPr>
    </w:p>
    <w:p>
      <w:pPr>
        <w:pStyle w:val="BodyText"/>
        <w:spacing w:before="0"/>
        <w:rPr>
          <w:sz w:val="23"/>
        </w:rPr>
      </w:pPr>
    </w:p>
    <w:p>
      <w:pPr>
        <w:pStyle w:val="ListParagraph"/>
        <w:numPr>
          <w:ilvl w:val="1"/>
          <w:numId w:val="2"/>
        </w:numPr>
        <w:tabs>
          <w:tab w:pos="1238" w:val="left" w:leader="none"/>
        </w:tabs>
        <w:spacing w:line="276" w:lineRule="auto" w:before="35" w:after="0"/>
        <w:ind w:left="2769" w:right="243" w:hanging="2553"/>
        <w:jc w:val="both"/>
        <w:rPr>
          <w:sz w:val="21"/>
        </w:rPr>
      </w:pPr>
      <w:r>
        <w:rPr>
          <w:b/>
          <w:spacing w:val="5"/>
          <w:sz w:val="21"/>
        </w:rPr>
        <w:t>投保年龄     </w:t>
      </w:r>
      <w:r>
        <w:rPr>
          <w:spacing w:val="-1"/>
          <w:sz w:val="21"/>
        </w:rPr>
        <w:t>指投保时被保险人的年龄，投保年龄以周岁</w:t>
      </w:r>
      <w:r>
        <w:rPr>
          <w:sz w:val="21"/>
        </w:rPr>
        <w:t>（</w:t>
      </w:r>
      <w:r>
        <w:rPr>
          <w:spacing w:val="-24"/>
          <w:sz w:val="21"/>
        </w:rPr>
        <w:t>见 </w:t>
      </w:r>
      <w:r>
        <w:rPr>
          <w:sz w:val="21"/>
        </w:rPr>
        <w:t>9.1）计算，本附加险合同接受</w:t>
      </w:r>
      <w:r>
        <w:rPr>
          <w:spacing w:val="-7"/>
          <w:sz w:val="21"/>
        </w:rPr>
        <w:t>的投保年龄为 </w:t>
      </w:r>
      <w:r>
        <w:rPr>
          <w:sz w:val="21"/>
        </w:rPr>
        <w:t>0</w:t>
      </w:r>
      <w:r>
        <w:rPr>
          <w:spacing w:val="-16"/>
          <w:sz w:val="21"/>
        </w:rPr>
        <w:t> 周岁</w:t>
      </w:r>
      <w:r>
        <w:rPr>
          <w:sz w:val="21"/>
        </w:rPr>
        <w:t>（</w:t>
      </w:r>
      <w:r>
        <w:rPr>
          <w:spacing w:val="-10"/>
          <w:sz w:val="21"/>
        </w:rPr>
        <w:t>指出生满 </w:t>
      </w:r>
      <w:r>
        <w:rPr>
          <w:spacing w:val="-8"/>
          <w:sz w:val="21"/>
        </w:rPr>
        <w:t>30</w:t>
      </w:r>
      <w:r>
        <w:rPr>
          <w:spacing w:val="-7"/>
          <w:sz w:val="21"/>
        </w:rPr>
        <w:t> 日且已健康出院的婴儿</w:t>
      </w:r>
      <w:r>
        <w:rPr>
          <w:sz w:val="21"/>
        </w:rPr>
        <w:t>）</w:t>
      </w:r>
      <w:r>
        <w:rPr>
          <w:spacing w:val="-23"/>
          <w:sz w:val="21"/>
        </w:rPr>
        <w:t>至 </w:t>
      </w:r>
      <w:r>
        <w:rPr>
          <w:spacing w:val="-8"/>
          <w:sz w:val="21"/>
        </w:rPr>
        <w:t>55 周岁。不同交</w:t>
      </w:r>
      <w:r>
        <w:rPr>
          <w:spacing w:val="-1"/>
          <w:sz w:val="21"/>
        </w:rPr>
        <w:t>费方式及交费期间所接受的投保年龄区间会有所不同。</w:t>
      </w:r>
    </w:p>
    <w:p>
      <w:pPr>
        <w:pStyle w:val="BodyText"/>
        <w:spacing w:before="7"/>
        <w:rPr>
          <w:sz w:val="23"/>
        </w:rPr>
      </w:pPr>
    </w:p>
    <w:p>
      <w:pPr>
        <w:pStyle w:val="ListParagraph"/>
        <w:numPr>
          <w:ilvl w:val="1"/>
          <w:numId w:val="2"/>
        </w:numPr>
        <w:tabs>
          <w:tab w:pos="1237" w:val="left" w:leader="none"/>
          <w:tab w:pos="1238" w:val="left" w:leader="none"/>
          <w:tab w:pos="2769" w:val="left" w:leader="none"/>
        </w:tabs>
        <w:spacing w:line="271" w:lineRule="auto" w:before="0" w:after="0"/>
        <w:ind w:left="2769" w:right="197" w:hanging="2553"/>
        <w:jc w:val="left"/>
        <w:rPr>
          <w:sz w:val="21"/>
        </w:rPr>
      </w:pPr>
      <w:r>
        <w:rPr>
          <w:b/>
          <w:sz w:val="21"/>
        </w:rPr>
        <w:t>犹豫期</w:t>
        <w:tab/>
      </w:r>
      <w:r>
        <w:rPr>
          <w:sz w:val="21"/>
        </w:rPr>
        <w:t>自您签收本附加险合同之日起</w:t>
      </w:r>
      <w:r>
        <w:rPr>
          <w:spacing w:val="-30"/>
          <w:sz w:val="21"/>
        </w:rPr>
        <w:t>，</w:t>
      </w:r>
      <w:r>
        <w:rPr>
          <w:sz w:val="21"/>
        </w:rPr>
        <w:t>有</w:t>
      </w:r>
      <w:r>
        <w:rPr>
          <w:spacing w:val="-47"/>
          <w:sz w:val="21"/>
        </w:rPr>
        <w:t> </w:t>
      </w:r>
      <w:r>
        <w:rPr>
          <w:sz w:val="21"/>
        </w:rPr>
        <w:t>10</w:t>
      </w:r>
      <w:r>
        <w:rPr>
          <w:spacing w:val="-47"/>
          <w:sz w:val="21"/>
        </w:rPr>
        <w:t> </w:t>
      </w:r>
      <w:r>
        <w:rPr>
          <w:sz w:val="21"/>
        </w:rPr>
        <w:t>日的犹豫</w:t>
      </w:r>
      <w:r>
        <w:rPr>
          <w:spacing w:val="-31"/>
          <w:sz w:val="21"/>
        </w:rPr>
        <w:t>期</w:t>
      </w:r>
      <w:r>
        <w:rPr>
          <w:sz w:val="21"/>
        </w:rPr>
        <w:t>（若保险监督管理机构另有规定的</w:t>
      </w:r>
      <w:r>
        <w:rPr>
          <w:spacing w:val="-15"/>
          <w:sz w:val="21"/>
        </w:rPr>
        <w:t>，</w:t>
      </w:r>
      <w:r>
        <w:rPr>
          <w:sz w:val="21"/>
        </w:rPr>
        <w:t>从其规定并在保险单上载明</w:t>
      </w:r>
      <w:r>
        <w:rPr>
          <w:spacing w:val="-107"/>
          <w:sz w:val="21"/>
        </w:rPr>
        <w:t>）</w:t>
      </w:r>
      <w:r>
        <w:rPr>
          <w:spacing w:val="-15"/>
          <w:sz w:val="21"/>
        </w:rPr>
        <w:t>。</w:t>
      </w:r>
      <w:r>
        <w:rPr>
          <w:sz w:val="21"/>
        </w:rPr>
        <w:t>在此期间请您认真审视本附加险合同</w:t>
      </w:r>
      <w:r>
        <w:rPr>
          <w:spacing w:val="-15"/>
          <w:sz w:val="21"/>
        </w:rPr>
        <w:t>，</w:t>
      </w:r>
      <w:r>
        <w:rPr>
          <w:sz w:val="21"/>
        </w:rPr>
        <w:t>如果您认为本附加险合同与您的需求不相符，您可以在此期间提出解</w:t>
      </w:r>
      <w:r>
        <w:rPr>
          <w:spacing w:val="-5"/>
          <w:sz w:val="21"/>
        </w:rPr>
        <w:t>除</w:t>
      </w:r>
      <w:r>
        <w:rPr>
          <w:sz w:val="21"/>
        </w:rPr>
        <w:t>本附加险合同， 我们扣除不超过人民币</w:t>
      </w:r>
      <w:r>
        <w:rPr>
          <w:spacing w:val="-49"/>
          <w:sz w:val="21"/>
        </w:rPr>
        <w:t> </w:t>
      </w:r>
      <w:r>
        <w:rPr>
          <w:sz w:val="21"/>
        </w:rPr>
        <w:t>10</w:t>
      </w:r>
      <w:r>
        <w:rPr>
          <w:spacing w:val="-46"/>
          <w:sz w:val="21"/>
        </w:rPr>
        <w:t> </w:t>
      </w:r>
      <w:r>
        <w:rPr>
          <w:sz w:val="21"/>
        </w:rPr>
        <w:t>元的合同工本费后无息退还您所交纳</w:t>
      </w:r>
      <w:r>
        <w:rPr>
          <w:spacing w:val="-4"/>
          <w:sz w:val="21"/>
        </w:rPr>
        <w:t>的</w:t>
      </w:r>
      <w:r>
        <w:rPr>
          <w:sz w:val="21"/>
        </w:rPr>
        <w:t>本附加险合同</w:t>
      </w:r>
      <w:r>
        <w:rPr>
          <w:spacing w:val="-1"/>
          <w:sz w:val="21"/>
        </w:rPr>
        <w:t>的</w:t>
      </w:r>
      <w:r>
        <w:rPr>
          <w:sz w:val="21"/>
        </w:rPr>
        <w:t>保险费。</w:t>
      </w:r>
    </w:p>
    <w:p>
      <w:pPr>
        <w:spacing w:line="264" w:lineRule="auto" w:before="13"/>
        <w:ind w:left="2769" w:right="213" w:firstLine="0"/>
        <w:jc w:val="both"/>
        <w:rPr>
          <w:b/>
          <w:i/>
          <w:sz w:val="22"/>
        </w:rPr>
      </w:pPr>
      <w:r>
        <w:rPr>
          <w:sz w:val="21"/>
        </w:rPr>
        <w:t>犹豫期内解除本附加险合同时，您需要填写解除合同申请书，并提供您的保险合</w:t>
      </w:r>
      <w:r>
        <w:rPr>
          <w:spacing w:val="-3"/>
          <w:sz w:val="21"/>
        </w:rPr>
        <w:t>同及有效身份证件</w:t>
      </w:r>
      <w:r>
        <w:rPr>
          <w:sz w:val="21"/>
        </w:rPr>
        <w:t>（</w:t>
      </w:r>
      <w:r>
        <w:rPr>
          <w:spacing w:val="-23"/>
          <w:sz w:val="21"/>
        </w:rPr>
        <w:t>见 </w:t>
      </w:r>
      <w:r>
        <w:rPr>
          <w:sz w:val="21"/>
        </w:rPr>
        <w:t>9.2</w:t>
      </w:r>
      <w:r>
        <w:rPr>
          <w:spacing w:val="-105"/>
          <w:sz w:val="21"/>
        </w:rPr>
        <w:t>）</w:t>
      </w:r>
      <w:r>
        <w:rPr>
          <w:spacing w:val="-15"/>
          <w:sz w:val="21"/>
        </w:rPr>
        <w:t>。</w:t>
      </w:r>
      <w:r>
        <w:rPr>
          <w:b/>
          <w:i/>
          <w:spacing w:val="-1"/>
          <w:w w:val="95"/>
          <w:sz w:val="22"/>
        </w:rPr>
        <w:t>自我们收到您解除合同的书面申请时起，本附加险</w:t>
      </w:r>
      <w:r>
        <w:rPr>
          <w:b/>
          <w:i/>
          <w:spacing w:val="-1"/>
          <w:w w:val="95"/>
          <w:sz w:val="22"/>
        </w:rPr>
        <w:t>合同即被解除，对于合同解除前发生的保险事故，我们不承担保险责任。</w:t>
      </w:r>
    </w:p>
    <w:p>
      <w:pPr>
        <w:pStyle w:val="BodyText"/>
        <w:spacing w:before="3"/>
        <w:rPr>
          <w:b/>
          <w:i/>
          <w:sz w:val="24"/>
        </w:rPr>
      </w:pPr>
    </w:p>
    <w:p>
      <w:pPr>
        <w:pStyle w:val="ListParagraph"/>
        <w:numPr>
          <w:ilvl w:val="1"/>
          <w:numId w:val="2"/>
        </w:numPr>
        <w:tabs>
          <w:tab w:pos="1237" w:val="left" w:leader="none"/>
          <w:tab w:pos="1238" w:val="left" w:leader="none"/>
          <w:tab w:pos="2769" w:val="left" w:leader="none"/>
        </w:tabs>
        <w:spacing w:line="240" w:lineRule="auto" w:before="0" w:after="0"/>
        <w:ind w:left="2769" w:right="0" w:hanging="2553"/>
        <w:jc w:val="left"/>
        <w:rPr>
          <w:sz w:val="21"/>
        </w:rPr>
      </w:pPr>
      <w:r>
        <w:rPr>
          <w:b/>
          <w:sz w:val="21"/>
        </w:rPr>
        <w:t>保险期间</w:t>
        <w:tab/>
      </w:r>
      <w:r>
        <w:rPr>
          <w:spacing w:val="-1"/>
          <w:sz w:val="21"/>
        </w:rPr>
        <w:t>本附</w:t>
      </w:r>
      <w:r>
        <w:rPr>
          <w:sz w:val="21"/>
        </w:rPr>
        <w:t>加险合同的保险期间为终身，与主险合同的保险期间相</w:t>
      </w:r>
      <w:r>
        <w:rPr>
          <w:spacing w:val="-4"/>
          <w:sz w:val="21"/>
        </w:rPr>
        <w:t>同</w:t>
      </w:r>
      <w:r>
        <w:rPr>
          <w:sz w:val="21"/>
        </w:rPr>
        <w:t>。</w:t>
      </w:r>
    </w:p>
    <w:p>
      <w:pPr>
        <w:pStyle w:val="BodyText"/>
        <w:spacing w:before="6"/>
        <w:rPr>
          <w:sz w:val="28"/>
        </w:rPr>
      </w:pPr>
    </w:p>
    <w:p>
      <w:pPr>
        <w:tabs>
          <w:tab w:pos="1237" w:val="left" w:leader="none"/>
        </w:tabs>
        <w:spacing w:before="0"/>
        <w:ind w:left="216" w:right="0" w:firstLine="0"/>
        <w:jc w:val="left"/>
        <w:rPr>
          <w:b/>
          <w:sz w:val="28"/>
        </w:rPr>
      </w:pPr>
      <w:r>
        <w:rPr/>
        <w:pict>
          <v:group style="position:absolute;margin-left:49.549999pt;margin-top:31.657696pt;width:508.45pt;height:.75pt;mso-position-horizontal-relative:page;mso-position-vertical-relative:paragraph;z-index:1096;mso-wrap-distance-left:0;mso-wrap-distance-right:0" coordorigin="991,633" coordsize="10169,15">
            <v:line style="position:absolute" from="991,641" to="2012,641" stroked="true" strokeweight=".75pt" strokecolor="#000000">
              <v:stroke dashstyle="solid"/>
            </v:line>
            <v:rect style="position:absolute;left:2012;top:633;width:15;height:15" filled="true" fillcolor="#000000" stroked="false">
              <v:fill type="solid"/>
            </v:rect>
            <v:line style="position:absolute" from="2027,641" to="3544,641" stroked="true" strokeweight=".75pt" strokecolor="#000000">
              <v:stroke dashstyle="solid"/>
            </v:line>
            <v:rect style="position:absolute;left:3544;top:633;width:15;height:15" filled="true" fillcolor="#000000" stroked="false">
              <v:fill type="solid"/>
            </v:rect>
            <v:line style="position:absolute" from="3560,641" to="11159,641" stroked="true" strokeweight=".75pt" strokecolor="#000000">
              <v:stroke dashstyle="solid"/>
            </v:line>
            <w10:wrap type="topAndBottom"/>
          </v:group>
        </w:pict>
      </w:r>
      <w:r>
        <w:rPr>
          <w:rFonts w:ascii="Arial" w:hAnsi="Arial" w:eastAsia="Arial"/>
          <w:b/>
          <w:w w:val="105"/>
          <w:position w:val="-7"/>
          <w:sz w:val="52"/>
        </w:rPr>
        <w:t></w:t>
        <w:tab/>
      </w:r>
      <w:r>
        <w:rPr>
          <w:b/>
          <w:spacing w:val="-3"/>
          <w:sz w:val="28"/>
        </w:rPr>
        <w:t>我们提供的保障</w:t>
      </w:r>
    </w:p>
    <w:p>
      <w:pPr>
        <w:pStyle w:val="BodyText"/>
        <w:spacing w:before="6"/>
        <w:rPr>
          <w:b/>
          <w:sz w:val="16"/>
        </w:rPr>
      </w:pPr>
    </w:p>
    <w:p>
      <w:pPr>
        <w:pStyle w:val="ListParagraph"/>
        <w:numPr>
          <w:ilvl w:val="1"/>
          <w:numId w:val="3"/>
        </w:numPr>
        <w:tabs>
          <w:tab w:pos="1238" w:val="left" w:leader="none"/>
        </w:tabs>
        <w:spacing w:line="276" w:lineRule="auto" w:before="35" w:after="0"/>
        <w:ind w:left="2769" w:right="256" w:hanging="2553"/>
        <w:jc w:val="both"/>
        <w:rPr>
          <w:sz w:val="21"/>
        </w:rPr>
      </w:pPr>
      <w:r>
        <w:rPr>
          <w:b/>
          <w:spacing w:val="6"/>
          <w:sz w:val="21"/>
        </w:rPr>
        <w:t>基本保险金额 </w:t>
      </w:r>
      <w:r>
        <w:rPr>
          <w:spacing w:val="-1"/>
          <w:sz w:val="21"/>
        </w:rPr>
        <w:t>本附加险合同的基本保险金额由您在投保时与我们约定并在保险单上载明。本附</w:t>
      </w:r>
      <w:r>
        <w:rPr>
          <w:spacing w:val="-2"/>
          <w:sz w:val="21"/>
        </w:rPr>
        <w:t>加险合同的基本保险金额与主险合同的基本保险金额相同。若该金额发生变更， 则以变更后的金额为基本保险金额。</w:t>
      </w:r>
    </w:p>
    <w:p>
      <w:pPr>
        <w:pStyle w:val="BodyText"/>
        <w:spacing w:before="7"/>
        <w:rPr>
          <w:sz w:val="23"/>
        </w:rPr>
      </w:pPr>
    </w:p>
    <w:p>
      <w:pPr>
        <w:pStyle w:val="ListParagraph"/>
        <w:numPr>
          <w:ilvl w:val="1"/>
          <w:numId w:val="3"/>
        </w:numPr>
        <w:tabs>
          <w:tab w:pos="1237" w:val="left" w:leader="none"/>
          <w:tab w:pos="1238" w:val="left" w:leader="none"/>
          <w:tab w:pos="2769" w:val="left" w:leader="none"/>
        </w:tabs>
        <w:spacing w:line="240" w:lineRule="auto" w:before="0" w:after="0"/>
        <w:ind w:left="2769" w:right="0" w:hanging="2553"/>
        <w:jc w:val="left"/>
        <w:rPr>
          <w:sz w:val="21"/>
        </w:rPr>
      </w:pPr>
      <w:r>
        <w:rPr>
          <w:b/>
          <w:sz w:val="21"/>
        </w:rPr>
        <w:t>保险责任</w:t>
        <w:tab/>
      </w:r>
      <w:r>
        <w:rPr>
          <w:spacing w:val="-1"/>
          <w:sz w:val="21"/>
        </w:rPr>
        <w:t>在</w:t>
      </w:r>
      <w:r>
        <w:rPr>
          <w:sz w:val="21"/>
        </w:rPr>
        <w:t>本附加险合同有效期内，我们承担如下保险责任：</w:t>
      </w:r>
    </w:p>
    <w:p>
      <w:pPr>
        <w:pStyle w:val="BodyText"/>
        <w:spacing w:before="9"/>
        <w:rPr>
          <w:sz w:val="23"/>
        </w:rPr>
      </w:pPr>
    </w:p>
    <w:p>
      <w:pPr>
        <w:spacing w:after="0"/>
        <w:rPr>
          <w:sz w:val="23"/>
        </w:rPr>
        <w:sectPr>
          <w:type w:val="continuous"/>
          <w:pgSz w:w="11910" w:h="16850"/>
          <w:pgMar w:top="540" w:bottom="1140" w:left="880" w:right="640"/>
        </w:sectPr>
      </w:pPr>
    </w:p>
    <w:p>
      <w:pPr>
        <w:pStyle w:val="Heading3"/>
        <w:spacing w:line="276" w:lineRule="auto" w:before="45"/>
        <w:ind w:left="1237"/>
      </w:pPr>
      <w:r>
        <w:rPr>
          <w:w w:val="95"/>
        </w:rPr>
        <w:t>轻症疾病保险</w:t>
      </w:r>
      <w:r>
        <w:rPr/>
        <w:t>金</w:t>
      </w:r>
    </w:p>
    <w:p>
      <w:pPr>
        <w:spacing w:line="264" w:lineRule="auto" w:before="33"/>
        <w:ind w:left="229" w:right="213" w:firstLine="0"/>
        <w:jc w:val="both"/>
        <w:rPr>
          <w:b/>
          <w:i/>
          <w:sz w:val="22"/>
        </w:rPr>
      </w:pPr>
      <w:r>
        <w:rPr/>
        <w:br w:type="column"/>
      </w:r>
      <w:r>
        <w:rPr>
          <w:b/>
          <w:i/>
          <w:spacing w:val="-2"/>
          <w:w w:val="95"/>
          <w:sz w:val="22"/>
        </w:rPr>
        <w:t>若被保险人于本附加险合同生效或最后一次复效之日起 </w:t>
      </w:r>
      <w:r>
        <w:rPr>
          <w:b/>
          <w:i/>
          <w:w w:val="95"/>
          <w:sz w:val="22"/>
        </w:rPr>
        <w:t>90</w:t>
      </w:r>
      <w:r>
        <w:rPr>
          <w:b/>
          <w:i/>
          <w:spacing w:val="-16"/>
          <w:w w:val="95"/>
          <w:sz w:val="22"/>
        </w:rPr>
        <w:t> 日内</w:t>
      </w:r>
      <w:r>
        <w:rPr>
          <w:b/>
          <w:i/>
          <w:w w:val="95"/>
          <w:sz w:val="22"/>
        </w:rPr>
        <w:t>（</w:t>
      </w:r>
      <w:r>
        <w:rPr>
          <w:b/>
          <w:i/>
          <w:spacing w:val="-16"/>
          <w:w w:val="95"/>
          <w:sz w:val="22"/>
        </w:rPr>
        <w:t>含第 </w:t>
      </w:r>
      <w:r>
        <w:rPr>
          <w:b/>
          <w:i/>
          <w:w w:val="95"/>
          <w:sz w:val="22"/>
        </w:rPr>
        <w:t>90</w:t>
      </w:r>
      <w:r>
        <w:rPr>
          <w:b/>
          <w:i/>
          <w:spacing w:val="-23"/>
          <w:w w:val="95"/>
          <w:sz w:val="22"/>
        </w:rPr>
        <w:t> 日</w:t>
      </w:r>
      <w:r>
        <w:rPr>
          <w:b/>
          <w:i/>
          <w:w w:val="95"/>
          <w:sz w:val="22"/>
        </w:rPr>
        <w:t>）因</w:t>
      </w:r>
      <w:r>
        <w:rPr>
          <w:b/>
          <w:i/>
          <w:spacing w:val="-4"/>
          <w:w w:val="95"/>
          <w:sz w:val="22"/>
        </w:rPr>
        <w:t>意外伤害</w:t>
      </w:r>
      <w:r>
        <w:rPr>
          <w:b/>
          <w:i/>
          <w:w w:val="95"/>
          <w:sz w:val="22"/>
        </w:rPr>
        <w:t>（</w:t>
      </w:r>
      <w:r>
        <w:rPr>
          <w:b/>
          <w:i/>
          <w:spacing w:val="-22"/>
          <w:w w:val="95"/>
          <w:sz w:val="22"/>
        </w:rPr>
        <w:t>见 </w:t>
      </w:r>
      <w:r>
        <w:rPr>
          <w:b/>
          <w:i/>
          <w:spacing w:val="-8"/>
          <w:w w:val="95"/>
          <w:sz w:val="22"/>
        </w:rPr>
        <w:t>9.3）</w:t>
      </w:r>
      <w:r>
        <w:rPr>
          <w:b/>
          <w:i/>
          <w:spacing w:val="-3"/>
          <w:w w:val="95"/>
          <w:sz w:val="22"/>
        </w:rPr>
        <w:t>以外的原因导致疾病且经专科医生</w:t>
      </w:r>
      <w:r>
        <w:rPr>
          <w:b/>
          <w:i/>
          <w:w w:val="95"/>
          <w:sz w:val="22"/>
        </w:rPr>
        <w:t>（</w:t>
      </w:r>
      <w:r>
        <w:rPr>
          <w:b/>
          <w:i/>
          <w:spacing w:val="-22"/>
          <w:w w:val="95"/>
          <w:sz w:val="22"/>
        </w:rPr>
        <w:t>见 </w:t>
      </w:r>
      <w:r>
        <w:rPr>
          <w:b/>
          <w:i/>
          <w:spacing w:val="-8"/>
          <w:w w:val="95"/>
          <w:sz w:val="22"/>
        </w:rPr>
        <w:t>9.4）</w:t>
      </w:r>
      <w:r>
        <w:rPr>
          <w:b/>
          <w:i/>
          <w:w w:val="95"/>
          <w:sz w:val="22"/>
        </w:rPr>
        <w:t>明确诊断罹患本附加险合同约定的轻症疾病（</w:t>
      </w:r>
      <w:r>
        <w:rPr>
          <w:b/>
          <w:i/>
          <w:spacing w:val="-23"/>
          <w:w w:val="95"/>
          <w:sz w:val="22"/>
        </w:rPr>
        <w:t>见 </w:t>
      </w:r>
      <w:r>
        <w:rPr>
          <w:b/>
          <w:i/>
          <w:w w:val="95"/>
          <w:sz w:val="22"/>
        </w:rPr>
        <w:t>9.5）的一种或多种，我们不承担该种轻症疾病</w:t>
      </w:r>
    </w:p>
    <w:p>
      <w:pPr>
        <w:spacing w:after="0" w:line="264" w:lineRule="auto"/>
        <w:jc w:val="both"/>
        <w:rPr>
          <w:sz w:val="22"/>
        </w:rPr>
        <w:sectPr>
          <w:type w:val="continuous"/>
          <w:pgSz w:w="11910" w:h="16850"/>
          <w:pgMar w:top="540" w:bottom="1140" w:left="880" w:right="640"/>
          <w:cols w:num="2" w:equalWidth="0">
            <w:col w:w="2501" w:space="40"/>
            <w:col w:w="7849"/>
          </w:cols>
        </w:sectPr>
      </w:pPr>
    </w:p>
    <w:p>
      <w:pPr>
        <w:spacing w:before="9"/>
        <w:ind w:left="1969" w:right="0" w:firstLine="0"/>
        <w:jc w:val="left"/>
        <w:rPr>
          <w:b/>
          <w:i/>
          <w:sz w:val="22"/>
        </w:rPr>
      </w:pPr>
      <w:r>
        <w:rPr>
          <w:b/>
          <w:i/>
          <w:w w:val="95"/>
          <w:sz w:val="22"/>
        </w:rPr>
        <w:t>的保险责任，该种轻症疾病的保险责任终止。</w:t>
      </w:r>
    </w:p>
    <w:p>
      <w:pPr>
        <w:pStyle w:val="BodyText"/>
        <w:spacing w:line="273" w:lineRule="auto" w:before="38"/>
        <w:ind w:left="1969" w:right="106"/>
      </w:pPr>
      <w:r>
        <w:rPr>
          <w:spacing w:val="-8"/>
        </w:rPr>
        <w:t>若被保险人因意外伤害，或于本附加险合同生效或最后一次复效之日起 </w:t>
      </w:r>
      <w:r>
        <w:rPr/>
        <w:t>90</w:t>
      </w:r>
      <w:r>
        <w:rPr>
          <w:spacing w:val="-12"/>
        </w:rPr>
        <w:t> 日后因意外伤害以外的原因导致疾病且经专科医生明确诊断初次罹患本附加险合同约定</w:t>
      </w:r>
      <w:r>
        <w:rPr>
          <w:spacing w:val="-14"/>
        </w:rPr>
        <w:t>的轻症疾病，我们将按本附加险合同基本保险金额的 </w:t>
      </w:r>
      <w:r>
        <w:rPr/>
        <w:t>20%给付轻症疾病保险金。每</w:t>
      </w:r>
      <w:r>
        <w:rPr>
          <w:spacing w:val="-5"/>
        </w:rPr>
        <w:t>种轻症疾病只给付一次轻症疾病保险金，给付后该种轻症疾病的保险责任终止。本</w:t>
      </w:r>
      <w:r>
        <w:rPr>
          <w:spacing w:val="-8"/>
        </w:rPr>
        <w:t>附加险合同轻症疾病保险金累计给付次数以五次为限，当累计次数达到五次时， 本项保险责任终止。</w:t>
      </w:r>
    </w:p>
    <w:p>
      <w:pPr>
        <w:pStyle w:val="BodyText"/>
        <w:spacing w:before="2"/>
        <w:rPr>
          <w:sz w:val="22"/>
        </w:rPr>
      </w:pPr>
    </w:p>
    <w:p>
      <w:pPr>
        <w:spacing w:after="0"/>
        <w:rPr>
          <w:sz w:val="22"/>
        </w:rPr>
        <w:sectPr>
          <w:pgSz w:w="11910" w:h="16850"/>
          <w:pgMar w:header="0" w:footer="944" w:top="1200" w:bottom="1180" w:left="1680" w:right="640"/>
        </w:sectPr>
      </w:pPr>
    </w:p>
    <w:p>
      <w:pPr>
        <w:pStyle w:val="Heading3"/>
        <w:spacing w:line="261" w:lineRule="auto" w:before="36"/>
        <w:ind w:left="437"/>
      </w:pPr>
      <w:r>
        <w:rPr>
          <w:w w:val="95"/>
        </w:rPr>
        <w:t>重大疾病保险</w:t>
      </w:r>
      <w:r>
        <w:rPr/>
        <w:t>金</w:t>
      </w:r>
    </w:p>
    <w:p>
      <w:pPr>
        <w:pStyle w:val="BodyText"/>
        <w:spacing w:line="261" w:lineRule="auto" w:before="36"/>
        <w:ind w:left="229" w:right="304"/>
        <w:jc w:val="both"/>
      </w:pPr>
      <w:r>
        <w:rPr/>
        <w:br w:type="column"/>
      </w:r>
      <w:r>
        <w:rPr>
          <w:spacing w:val="-1"/>
        </w:rPr>
        <w:t>本附加险合同约定的重大疾病</w:t>
      </w:r>
      <w:r>
        <w:rPr/>
        <w:t>（</w:t>
      </w:r>
      <w:r>
        <w:rPr>
          <w:spacing w:val="-24"/>
        </w:rPr>
        <w:t>见 </w:t>
      </w:r>
      <w:r>
        <w:rPr/>
        <w:t>9.6）</w:t>
      </w:r>
      <w:r>
        <w:rPr>
          <w:spacing w:val="-16"/>
        </w:rPr>
        <w:t>分为 </w:t>
      </w:r>
      <w:r>
        <w:rPr/>
        <w:t>A</w:t>
      </w:r>
      <w:r>
        <w:rPr>
          <w:spacing w:val="-28"/>
        </w:rPr>
        <w:t> 组和 </w:t>
      </w:r>
      <w:r>
        <w:rPr/>
        <w:t>B</w:t>
      </w:r>
      <w:r>
        <w:rPr>
          <w:spacing w:val="-8"/>
        </w:rPr>
        <w:t> 组，具体分组情况详见</w:t>
      </w:r>
      <w:r>
        <w:rPr>
          <w:b/>
        </w:rPr>
        <w:t>重</w:t>
      </w:r>
      <w:r>
        <w:rPr>
          <w:b/>
          <w:spacing w:val="1"/>
        </w:rPr>
        <w:t>大疾病分组</w:t>
      </w:r>
      <w:r>
        <w:rPr/>
        <w:t>（</w:t>
      </w:r>
      <w:r>
        <w:rPr>
          <w:spacing w:val="-25"/>
        </w:rPr>
        <w:t>见 </w:t>
      </w:r>
      <w:r>
        <w:rPr/>
        <w:t>9.7）。</w:t>
      </w:r>
    </w:p>
    <w:p>
      <w:pPr>
        <w:pStyle w:val="Heading2"/>
        <w:spacing w:line="264" w:lineRule="auto" w:before="10"/>
        <w:ind w:left="229" w:right="226"/>
        <w:jc w:val="both"/>
      </w:pPr>
      <w:r>
        <w:rPr>
          <w:w w:val="95"/>
        </w:rPr>
        <w:t>每组重大疾病保险金的给付次数以一次为限，给付后该组重大疾病的保险责任终止。本附加险合同重大疾病保险金的累计给付次数以两次为限。</w:t>
      </w:r>
    </w:p>
    <w:p>
      <w:pPr>
        <w:pStyle w:val="BodyText"/>
        <w:spacing w:before="5"/>
        <w:rPr>
          <w:b/>
          <w:i/>
          <w:sz w:val="25"/>
        </w:rPr>
      </w:pPr>
    </w:p>
    <w:p>
      <w:pPr>
        <w:pStyle w:val="Heading3"/>
        <w:spacing w:before="0"/>
        <w:ind w:left="229"/>
        <w:jc w:val="both"/>
        <w:rPr>
          <w:rFonts w:ascii="宋体" w:eastAsia="宋体" w:hint="eastAsia"/>
        </w:rPr>
      </w:pPr>
      <w:r>
        <w:rPr>
          <w:rFonts w:ascii="宋体" w:eastAsia="宋体" w:hint="eastAsia"/>
          <w:w w:val="95"/>
        </w:rPr>
        <w:t>首次重大疾病保险金</w:t>
      </w:r>
    </w:p>
    <w:p>
      <w:pPr>
        <w:spacing w:line="264" w:lineRule="auto" w:before="13"/>
        <w:ind w:left="229" w:right="213" w:firstLine="0"/>
        <w:jc w:val="both"/>
        <w:rPr>
          <w:b/>
          <w:i/>
          <w:sz w:val="22"/>
        </w:rPr>
      </w:pPr>
      <w:r>
        <w:rPr>
          <w:b/>
          <w:i/>
          <w:spacing w:val="-2"/>
          <w:w w:val="95"/>
          <w:sz w:val="22"/>
        </w:rPr>
        <w:t>若被保险人于本附加险合同生效或最后一次复效之日起 </w:t>
      </w:r>
      <w:r>
        <w:rPr>
          <w:b/>
          <w:i/>
          <w:w w:val="95"/>
          <w:sz w:val="22"/>
        </w:rPr>
        <w:t>90</w:t>
      </w:r>
      <w:r>
        <w:rPr>
          <w:b/>
          <w:i/>
          <w:spacing w:val="-16"/>
          <w:w w:val="95"/>
          <w:sz w:val="22"/>
        </w:rPr>
        <w:t> 日内</w:t>
      </w:r>
      <w:r>
        <w:rPr>
          <w:b/>
          <w:i/>
          <w:w w:val="95"/>
          <w:sz w:val="22"/>
        </w:rPr>
        <w:t>（</w:t>
      </w:r>
      <w:r>
        <w:rPr>
          <w:b/>
          <w:i/>
          <w:spacing w:val="-16"/>
          <w:w w:val="95"/>
          <w:sz w:val="22"/>
        </w:rPr>
        <w:t>含第 </w:t>
      </w:r>
      <w:r>
        <w:rPr>
          <w:b/>
          <w:i/>
          <w:w w:val="95"/>
          <w:sz w:val="22"/>
        </w:rPr>
        <w:t>90</w:t>
      </w:r>
      <w:r>
        <w:rPr>
          <w:b/>
          <w:i/>
          <w:spacing w:val="-23"/>
          <w:w w:val="95"/>
          <w:sz w:val="22"/>
        </w:rPr>
        <w:t> 日</w:t>
      </w:r>
      <w:r>
        <w:rPr>
          <w:b/>
          <w:i/>
          <w:w w:val="95"/>
          <w:sz w:val="22"/>
        </w:rPr>
        <w:t>）因</w:t>
      </w:r>
      <w:r>
        <w:rPr>
          <w:b/>
          <w:i/>
          <w:spacing w:val="-1"/>
          <w:w w:val="95"/>
          <w:sz w:val="22"/>
        </w:rPr>
        <w:t>意外伤害以外的原因导致疾病且经专科医生明确诊断罹患本附加险合同约定的重</w:t>
      </w:r>
      <w:r>
        <w:rPr>
          <w:b/>
          <w:i/>
          <w:w w:val="95"/>
          <w:sz w:val="22"/>
        </w:rPr>
        <w:t>大疾病一种或多种，我们将向您返还本附加险合同及其主险合同累计已交保险费</w:t>
      </w:r>
    </w:p>
    <w:p>
      <w:pPr>
        <w:spacing w:before="5"/>
        <w:ind w:left="229" w:right="0" w:firstLine="0"/>
        <w:jc w:val="both"/>
        <w:rPr>
          <w:b/>
          <w:i/>
          <w:sz w:val="22"/>
        </w:rPr>
      </w:pPr>
      <w:r>
        <w:rPr>
          <w:b/>
          <w:i/>
          <w:w w:val="95"/>
          <w:sz w:val="22"/>
        </w:rPr>
        <w:t>（无息），同时本附加险合同终止，主险合同也终止。</w:t>
      </w:r>
    </w:p>
    <w:p>
      <w:pPr>
        <w:pStyle w:val="BodyText"/>
        <w:spacing w:before="12"/>
        <w:rPr>
          <w:b/>
          <w:i/>
          <w:sz w:val="25"/>
        </w:rPr>
      </w:pPr>
    </w:p>
    <w:p>
      <w:pPr>
        <w:pStyle w:val="BodyText"/>
        <w:spacing w:line="276" w:lineRule="auto" w:before="0"/>
        <w:ind w:left="229" w:right="198"/>
        <w:jc w:val="both"/>
      </w:pPr>
      <w:r>
        <w:rPr>
          <w:spacing w:val="-8"/>
        </w:rPr>
        <w:t>若被保险人因意外伤害，或于本附加险合同生效或最后一次复效之日起 </w:t>
      </w:r>
      <w:r>
        <w:rPr/>
        <w:t>90</w:t>
      </w:r>
      <w:r>
        <w:rPr>
          <w:spacing w:val="-12"/>
        </w:rPr>
        <w:t> 日后因意外伤害以外的原因导致疾病且经专科医生明确诊断初次罹患本附加险合同约定的重大疾病，我们将按以下三者中的最大者给付首次重大疾病保险金，给付后该种重大疾病所属组别的保险责任终止。</w:t>
      </w:r>
    </w:p>
    <w:p>
      <w:pPr>
        <w:pStyle w:val="BodyText"/>
        <w:spacing w:line="261" w:lineRule="auto" w:before="8"/>
        <w:ind w:left="229" w:right="256"/>
        <w:jc w:val="both"/>
      </w:pPr>
      <w:r>
        <w:rPr/>
        <w:t>（一）被保险人经专科医生明确诊断初次罹患该首次重大疾病时本附加险合同的基本保险金额；</w:t>
      </w:r>
    </w:p>
    <w:p>
      <w:pPr>
        <w:pStyle w:val="BodyText"/>
        <w:spacing w:line="276" w:lineRule="auto" w:before="20"/>
        <w:ind w:left="229" w:right="256"/>
        <w:jc w:val="both"/>
      </w:pPr>
      <w:r>
        <w:rPr/>
        <w:t>（二）被保险人经专科医生明确诊断初次罹患该首次重大疾病时本附加险合同及其主险合同累计已交保险费（无息）；</w:t>
      </w:r>
    </w:p>
    <w:p>
      <w:pPr>
        <w:pStyle w:val="BodyText"/>
        <w:spacing w:line="276" w:lineRule="auto" w:before="8"/>
        <w:ind w:left="229" w:right="256"/>
        <w:jc w:val="both"/>
      </w:pPr>
      <w:r>
        <w:rPr/>
        <w:t>（三）被保险人经专科医生明确诊断初次罹患该首次重大疾病时本附加险合同及其主险合同两者现金价值（见 9.8）之和。</w:t>
      </w:r>
    </w:p>
    <w:p>
      <w:pPr>
        <w:pStyle w:val="BodyText"/>
        <w:spacing w:line="276" w:lineRule="auto" w:before="0"/>
        <w:ind w:left="229" w:right="257"/>
        <w:jc w:val="both"/>
      </w:pPr>
      <w:r>
        <w:rPr/>
        <w:t>如果被保险人罹患的疾病为一种重大疾病，该种重大疾病即为首次重大疾病；如果被保险人罹患的疾病为两种或两种以上重大疾病，则最先被专科医生明确诊断罹患的重大疾病为首次重大疾病。</w:t>
      </w:r>
    </w:p>
    <w:p>
      <w:pPr>
        <w:pStyle w:val="Heading2"/>
        <w:spacing w:line="259" w:lineRule="auto" w:before="3"/>
        <w:ind w:left="229" w:right="221"/>
        <w:jc w:val="both"/>
      </w:pPr>
      <w:r>
        <w:rPr>
          <w:w w:val="95"/>
        </w:rPr>
        <w:t>若我们已按上述约定给付首次重大疾病保险金，则本附加险合同及其主险合同的现金价值自该首次重大疾病保险金给付之日起降为零，同时主险合同约定的身故或全残保险金、祝寿金及本附加险合同约定的轻症疾病保险金、疾病终末期保险金的保险责任终止，我们仅继续承担第二次重大疾病保险金的保险责任。</w:t>
      </w:r>
    </w:p>
    <w:p>
      <w:pPr>
        <w:pStyle w:val="BodyText"/>
        <w:spacing w:before="9"/>
        <w:rPr>
          <w:b/>
          <w:i/>
          <w:sz w:val="25"/>
        </w:rPr>
      </w:pPr>
    </w:p>
    <w:p>
      <w:pPr>
        <w:pStyle w:val="Heading3"/>
        <w:spacing w:before="0"/>
        <w:ind w:left="229"/>
        <w:jc w:val="both"/>
        <w:rPr>
          <w:rFonts w:ascii="宋体" w:eastAsia="宋体" w:hint="eastAsia"/>
        </w:rPr>
      </w:pPr>
      <w:r>
        <w:rPr>
          <w:rFonts w:ascii="宋体" w:eastAsia="宋体" w:hint="eastAsia"/>
          <w:w w:val="95"/>
        </w:rPr>
        <w:t>第二次重大疾病保险金</w:t>
      </w:r>
    </w:p>
    <w:p>
      <w:pPr>
        <w:pStyle w:val="BodyText"/>
        <w:spacing w:line="271" w:lineRule="auto"/>
        <w:ind w:left="229" w:right="197"/>
        <w:jc w:val="both"/>
      </w:pPr>
      <w:r>
        <w:rPr>
          <w:spacing w:val="-1"/>
        </w:rPr>
        <w:t>在我们已按本附加险合同的约定给付首次重大疾病保险金后，被保险人自首次重</w:t>
      </w:r>
      <w:r>
        <w:rPr>
          <w:spacing w:val="-7"/>
        </w:rPr>
        <w:t>大疾病确诊之日起 </w:t>
      </w:r>
      <w:r>
        <w:rPr>
          <w:b/>
        </w:rPr>
        <w:t>90</w:t>
      </w:r>
      <w:r>
        <w:rPr>
          <w:b/>
          <w:spacing w:val="-12"/>
        </w:rPr>
        <w:t> 日后</w:t>
      </w:r>
      <w:r>
        <w:rPr>
          <w:spacing w:val="-9"/>
        </w:rPr>
        <w:t>，经专科医生明确诊断初次罹患另一组别中的任何一种或多种重大疾病，我们将按以下两者的较大者给付第二次重大疾病保险金，同时本附加险合同终止，主险合同也终止。</w:t>
      </w:r>
    </w:p>
    <w:p>
      <w:pPr>
        <w:pStyle w:val="BodyText"/>
        <w:spacing w:line="276" w:lineRule="auto" w:before="13"/>
        <w:ind w:left="229" w:right="256"/>
        <w:jc w:val="both"/>
      </w:pPr>
      <w:r>
        <w:rPr/>
        <w:t>（一）被保险人经专科医生明确诊断初次罹患第二次重大疾病时本附加险合同的基本保险金额；</w:t>
      </w:r>
    </w:p>
    <w:p>
      <w:pPr>
        <w:pStyle w:val="BodyText"/>
        <w:spacing w:line="276" w:lineRule="auto" w:before="0"/>
        <w:ind w:left="229" w:right="256"/>
        <w:jc w:val="both"/>
      </w:pPr>
      <w:r>
        <w:rPr/>
        <w:t>（二）被保险人经专科医生明确诊断初次罹患第二次重大疾病时本附加险合同及其主险合同累计已交保险费（无息）；</w:t>
      </w:r>
    </w:p>
    <w:p>
      <w:pPr>
        <w:spacing w:after="0" w:line="276" w:lineRule="auto"/>
        <w:jc w:val="both"/>
        <w:sectPr>
          <w:type w:val="continuous"/>
          <w:pgSz w:w="11910" w:h="16850"/>
          <w:pgMar w:top="540" w:bottom="1140" w:left="1680" w:right="640"/>
          <w:cols w:num="2" w:equalWidth="0">
            <w:col w:w="1701" w:space="40"/>
            <w:col w:w="7849"/>
          </w:cols>
        </w:sectPr>
      </w:pPr>
    </w:p>
    <w:p>
      <w:pPr>
        <w:pStyle w:val="Heading2"/>
        <w:spacing w:line="259" w:lineRule="auto" w:before="4"/>
        <w:ind w:left="1969" w:right="246"/>
      </w:pPr>
      <w:r>
        <w:rPr>
          <w:w w:val="95"/>
        </w:rPr>
        <w:t>若被保险人由于同一疾病原因、同次医疗行为或同次意外伤害事故导致疾病且经专科医生明确诊断初次罹患本附加险合同约定的一种或多种轻症疾病或重大疾 病，我们按轻症疾病保险金或重大疾病保险金的规定，仅给付其中金额最高的一项保险金，若金额相同，仅给付其中一项保险金。</w:t>
      </w:r>
    </w:p>
    <w:p>
      <w:pPr>
        <w:pStyle w:val="BodyText"/>
        <w:spacing w:before="3"/>
        <w:rPr>
          <w:b/>
          <w:i/>
          <w:sz w:val="22"/>
        </w:rPr>
      </w:pPr>
    </w:p>
    <w:p>
      <w:pPr>
        <w:spacing w:after="0"/>
        <w:rPr>
          <w:sz w:val="22"/>
        </w:rPr>
        <w:sectPr>
          <w:pgSz w:w="11910" w:h="16850"/>
          <w:pgMar w:header="0" w:footer="944" w:top="1520" w:bottom="1180" w:left="1680" w:right="620"/>
        </w:sectPr>
      </w:pPr>
    </w:p>
    <w:p>
      <w:pPr>
        <w:pStyle w:val="Heading3"/>
        <w:spacing w:line="276" w:lineRule="auto" w:before="45"/>
        <w:ind w:left="437"/>
      </w:pPr>
      <w:r>
        <w:rPr>
          <w:w w:val="95"/>
        </w:rPr>
        <w:t>疾病终末期保险金</w:t>
      </w:r>
    </w:p>
    <w:p>
      <w:pPr>
        <w:spacing w:line="259" w:lineRule="auto" w:before="33"/>
        <w:ind w:left="229" w:right="77" w:firstLine="0"/>
        <w:jc w:val="left"/>
        <w:rPr>
          <w:b/>
          <w:i/>
          <w:sz w:val="22"/>
        </w:rPr>
      </w:pPr>
      <w:r>
        <w:rPr/>
        <w:br w:type="column"/>
      </w:r>
      <w:r>
        <w:rPr>
          <w:b/>
          <w:i/>
          <w:w w:val="95"/>
          <w:sz w:val="22"/>
        </w:rPr>
        <w:t>若被保险人于本附加险合同生效或最后一次复效之日起 90 日内（含第 90 日）因意外伤害以外的原因导致疾病且经专科医生明确诊断达到疾病终末期（见 9.9）， 我们将按本附加险合同及其主险合同累计已交保险费（无息）给付疾病终末期保险金，同时本附加险合同终止，主险合同也终止。</w:t>
      </w:r>
    </w:p>
    <w:p>
      <w:pPr>
        <w:pStyle w:val="BodyText"/>
        <w:spacing w:line="276" w:lineRule="auto" w:before="21"/>
        <w:ind w:left="229" w:right="218"/>
        <w:jc w:val="both"/>
      </w:pPr>
      <w:r>
        <w:rPr>
          <w:spacing w:val="-8"/>
        </w:rPr>
        <w:t>若被保险人因意外伤害，或于本附加险合同生效或最后一次复效之日起 </w:t>
      </w:r>
      <w:r>
        <w:rPr/>
        <w:t>90</w:t>
      </w:r>
      <w:r>
        <w:rPr>
          <w:spacing w:val="-12"/>
        </w:rPr>
        <w:t> 日后因意外伤害以外的原因导致疾病且经专科医生明确诊断达到疾病终末期，我们将按以下三者中的最大者给付疾病终末期保险金，同时本附加险合同终止，主险合同也终止。</w:t>
      </w:r>
    </w:p>
    <w:p>
      <w:pPr>
        <w:pStyle w:val="BodyText"/>
        <w:spacing w:line="276" w:lineRule="auto" w:before="0"/>
        <w:ind w:left="229" w:right="276"/>
      </w:pPr>
      <w:r>
        <w:rPr/>
        <w:t>（一）被保险人经专科医生明确诊断达到疾病终末期时本附加险合同的基本保险金额；</w:t>
      </w:r>
    </w:p>
    <w:p>
      <w:pPr>
        <w:pStyle w:val="BodyText"/>
        <w:spacing w:line="276" w:lineRule="auto" w:before="15"/>
        <w:ind w:left="229" w:right="276"/>
      </w:pPr>
      <w:r>
        <w:rPr/>
        <w:t>（二）被保险人经专科医生明确诊断达到疾病终末期时本附加险合同及其主险合同累计已交保险费（无息）；</w:t>
      </w:r>
    </w:p>
    <w:p>
      <w:pPr>
        <w:pStyle w:val="BodyText"/>
        <w:spacing w:line="261" w:lineRule="auto" w:before="8"/>
        <w:ind w:left="229" w:right="276"/>
      </w:pPr>
      <w:r>
        <w:rPr/>
        <w:t>（三）被保险人经专科医生明确诊断达到疾病终末期时本附加险合同及其主险合同两者现金价值之和。</w:t>
      </w:r>
    </w:p>
    <w:p>
      <w:pPr>
        <w:spacing w:after="0" w:line="261" w:lineRule="auto"/>
        <w:sectPr>
          <w:type w:val="continuous"/>
          <w:pgSz w:w="11910" w:h="16850"/>
          <w:pgMar w:top="540" w:bottom="1140" w:left="1680" w:right="620"/>
          <w:cols w:num="2" w:equalWidth="0">
            <w:col w:w="1701" w:space="40"/>
            <w:col w:w="7869"/>
          </w:cols>
        </w:sectPr>
      </w:pPr>
    </w:p>
    <w:p>
      <w:pPr>
        <w:pStyle w:val="BodyText"/>
        <w:spacing w:before="3"/>
        <w:rPr>
          <w:sz w:val="22"/>
        </w:rPr>
      </w:pPr>
    </w:p>
    <w:p>
      <w:pPr>
        <w:spacing w:after="0"/>
        <w:rPr>
          <w:sz w:val="22"/>
        </w:rPr>
        <w:sectPr>
          <w:type w:val="continuous"/>
          <w:pgSz w:w="11910" w:h="16850"/>
          <w:pgMar w:top="540" w:bottom="1140" w:left="1680" w:right="620"/>
        </w:sectPr>
      </w:pPr>
    </w:p>
    <w:p>
      <w:pPr>
        <w:pStyle w:val="Heading3"/>
        <w:spacing w:line="276" w:lineRule="auto" w:before="45"/>
        <w:ind w:left="437"/>
      </w:pPr>
      <w:r>
        <w:rPr>
          <w:w w:val="95"/>
        </w:rPr>
        <w:t>轻症疾病豁免保险费</w:t>
      </w:r>
    </w:p>
    <w:p>
      <w:pPr>
        <w:spacing w:line="259" w:lineRule="auto" w:before="33"/>
        <w:ind w:left="229" w:right="233" w:firstLine="0"/>
        <w:jc w:val="both"/>
        <w:rPr>
          <w:b/>
          <w:i/>
          <w:sz w:val="22"/>
        </w:rPr>
      </w:pPr>
      <w:r>
        <w:rPr/>
        <w:br w:type="column"/>
      </w:r>
      <w:r>
        <w:rPr>
          <w:b/>
          <w:i/>
          <w:spacing w:val="-2"/>
          <w:w w:val="95"/>
          <w:sz w:val="22"/>
        </w:rPr>
        <w:t>若被保险人于本附加险合同生效或最后一次复效之日起 </w:t>
      </w:r>
      <w:r>
        <w:rPr>
          <w:b/>
          <w:i/>
          <w:w w:val="95"/>
          <w:sz w:val="22"/>
        </w:rPr>
        <w:t>90</w:t>
      </w:r>
      <w:r>
        <w:rPr>
          <w:b/>
          <w:i/>
          <w:spacing w:val="-16"/>
          <w:w w:val="95"/>
          <w:sz w:val="22"/>
        </w:rPr>
        <w:t> 日内</w:t>
      </w:r>
      <w:r>
        <w:rPr>
          <w:b/>
          <w:i/>
          <w:w w:val="95"/>
          <w:sz w:val="22"/>
        </w:rPr>
        <w:t>（</w:t>
      </w:r>
      <w:r>
        <w:rPr>
          <w:b/>
          <w:i/>
          <w:spacing w:val="-16"/>
          <w:w w:val="95"/>
          <w:sz w:val="22"/>
        </w:rPr>
        <w:t>含第 </w:t>
      </w:r>
      <w:r>
        <w:rPr>
          <w:b/>
          <w:i/>
          <w:w w:val="95"/>
          <w:sz w:val="22"/>
        </w:rPr>
        <w:t>90</w:t>
      </w:r>
      <w:r>
        <w:rPr>
          <w:b/>
          <w:i/>
          <w:spacing w:val="-23"/>
          <w:w w:val="95"/>
          <w:sz w:val="22"/>
        </w:rPr>
        <w:t> 日</w:t>
      </w:r>
      <w:r>
        <w:rPr>
          <w:b/>
          <w:i/>
          <w:w w:val="95"/>
          <w:sz w:val="22"/>
        </w:rPr>
        <w:t>）因意外伤害以外的原因导致疾病且经专科医生明确诊断罹患本附加险合同约定的轻</w:t>
      </w:r>
      <w:r>
        <w:rPr>
          <w:b/>
          <w:i/>
          <w:spacing w:val="-1"/>
          <w:w w:val="95"/>
          <w:sz w:val="22"/>
        </w:rPr>
        <w:t>症疾病的一种或多种，我们不承担该种轻症疾病豁免保险费的保险责任，该种轻</w:t>
      </w:r>
      <w:r>
        <w:rPr>
          <w:b/>
          <w:i/>
          <w:w w:val="95"/>
          <w:sz w:val="22"/>
        </w:rPr>
        <w:t>症疾病豁免保险费的保险责任终止。</w:t>
      </w:r>
    </w:p>
    <w:p>
      <w:pPr>
        <w:pStyle w:val="BodyText"/>
        <w:spacing w:line="276" w:lineRule="auto" w:before="20"/>
        <w:ind w:left="229" w:right="218"/>
        <w:jc w:val="both"/>
      </w:pPr>
      <w:r>
        <w:rPr>
          <w:spacing w:val="-8"/>
        </w:rPr>
        <w:t>若被保险人因意外伤害，或于本附加险合同生效或最后一次复效之日起 </w:t>
      </w:r>
      <w:r>
        <w:rPr/>
        <w:t>90</w:t>
      </w:r>
      <w:r>
        <w:rPr>
          <w:spacing w:val="-12"/>
        </w:rPr>
        <w:t> 日后因意外伤害以外的原因导致疾病且经专科医生明确诊断初次罹患本附加险合同约定的轻症疾病，我们将豁免本附加险合同及其主险合同自轻症疾病确诊之日起的续期保险费，本附加险合同继续有效。</w:t>
      </w:r>
    </w:p>
    <w:p>
      <w:pPr>
        <w:spacing w:after="0" w:line="276" w:lineRule="auto"/>
        <w:jc w:val="both"/>
        <w:sectPr>
          <w:type w:val="continuous"/>
          <w:pgSz w:w="11910" w:h="16850"/>
          <w:pgMar w:top="540" w:bottom="1140" w:left="1680" w:right="620"/>
          <w:cols w:num="2" w:equalWidth="0">
            <w:col w:w="1701" w:space="40"/>
            <w:col w:w="7869"/>
          </w:cols>
        </w:sectPr>
      </w:pPr>
    </w:p>
    <w:p>
      <w:pPr>
        <w:pStyle w:val="BodyText"/>
        <w:spacing w:before="1"/>
        <w:rPr>
          <w:sz w:val="20"/>
        </w:rPr>
      </w:pPr>
    </w:p>
    <w:p>
      <w:pPr>
        <w:spacing w:after="0"/>
        <w:rPr>
          <w:sz w:val="20"/>
        </w:rPr>
        <w:sectPr>
          <w:type w:val="continuous"/>
          <w:pgSz w:w="11910" w:h="16850"/>
          <w:pgMar w:top="540" w:bottom="1140" w:left="1680" w:right="620"/>
        </w:sectPr>
      </w:pPr>
    </w:p>
    <w:p>
      <w:pPr>
        <w:pStyle w:val="Heading3"/>
        <w:spacing w:line="276" w:lineRule="auto" w:before="46"/>
        <w:ind w:left="437"/>
      </w:pPr>
      <w:r>
        <w:rPr>
          <w:w w:val="95"/>
        </w:rPr>
        <w:t>重大疾病豁免保险费</w:t>
      </w:r>
    </w:p>
    <w:p>
      <w:pPr>
        <w:spacing w:line="264" w:lineRule="auto" w:before="34"/>
        <w:ind w:left="229" w:right="233" w:firstLine="0"/>
        <w:jc w:val="both"/>
        <w:rPr>
          <w:b/>
          <w:i/>
          <w:sz w:val="22"/>
        </w:rPr>
      </w:pPr>
      <w:r>
        <w:rPr/>
        <w:br w:type="column"/>
      </w:r>
      <w:r>
        <w:rPr>
          <w:b/>
          <w:i/>
          <w:spacing w:val="-2"/>
          <w:w w:val="95"/>
          <w:sz w:val="22"/>
        </w:rPr>
        <w:t>若被保险人于本附加险合同生效或最后一次复效之日起 </w:t>
      </w:r>
      <w:r>
        <w:rPr>
          <w:b/>
          <w:i/>
          <w:w w:val="95"/>
          <w:sz w:val="22"/>
        </w:rPr>
        <w:t>90</w:t>
      </w:r>
      <w:r>
        <w:rPr>
          <w:b/>
          <w:i/>
          <w:spacing w:val="-16"/>
          <w:w w:val="95"/>
          <w:sz w:val="22"/>
        </w:rPr>
        <w:t> 日内</w:t>
      </w:r>
      <w:r>
        <w:rPr>
          <w:b/>
          <w:i/>
          <w:w w:val="95"/>
          <w:sz w:val="22"/>
        </w:rPr>
        <w:t>（</w:t>
      </w:r>
      <w:r>
        <w:rPr>
          <w:b/>
          <w:i/>
          <w:spacing w:val="-16"/>
          <w:w w:val="95"/>
          <w:sz w:val="22"/>
        </w:rPr>
        <w:t>含第 </w:t>
      </w:r>
      <w:r>
        <w:rPr>
          <w:b/>
          <w:i/>
          <w:w w:val="95"/>
          <w:sz w:val="22"/>
        </w:rPr>
        <w:t>90</w:t>
      </w:r>
      <w:r>
        <w:rPr>
          <w:b/>
          <w:i/>
          <w:spacing w:val="-23"/>
          <w:w w:val="95"/>
          <w:sz w:val="22"/>
        </w:rPr>
        <w:t> 日</w:t>
      </w:r>
      <w:r>
        <w:rPr>
          <w:b/>
          <w:i/>
          <w:w w:val="95"/>
          <w:sz w:val="22"/>
        </w:rPr>
        <w:t>）因意外伤害以外的原因导致疾病且经专科医生明确诊断罹患本附加险合同约定的重大疾病的一种或多种，我们不承担重大疾病豁免保险费的保险责任，同时本附加险合同终止，主险合同也终止。</w:t>
      </w:r>
    </w:p>
    <w:p>
      <w:pPr>
        <w:pStyle w:val="BodyText"/>
        <w:spacing w:line="276" w:lineRule="auto" w:before="1"/>
        <w:ind w:left="229" w:right="218"/>
        <w:jc w:val="both"/>
      </w:pPr>
      <w:r>
        <w:rPr>
          <w:spacing w:val="-8"/>
        </w:rPr>
        <w:t>若被保险人因意外伤害，或于本附加险合同生效或最后一次复效之日起 </w:t>
      </w:r>
      <w:r>
        <w:rPr/>
        <w:t>90</w:t>
      </w:r>
      <w:r>
        <w:rPr>
          <w:spacing w:val="-12"/>
        </w:rPr>
        <w:t> 日后因意外伤害以外的原因导致疾病且经专科医生明确诊断初次罹患本附加险合同约定的重大疾病，我们将豁免本附加险合同及其主险合同自首次重大疾病确诊之日起的续期保险费，本附加险合同继续有效。</w:t>
      </w:r>
    </w:p>
    <w:p>
      <w:pPr>
        <w:pStyle w:val="BodyText"/>
        <w:spacing w:before="7"/>
        <w:rPr>
          <w:sz w:val="23"/>
        </w:rPr>
      </w:pPr>
    </w:p>
    <w:p>
      <w:pPr>
        <w:pStyle w:val="BodyText"/>
        <w:spacing w:before="0"/>
        <w:ind w:left="229"/>
      </w:pPr>
      <w:r>
        <w:rPr/>
        <w:t>被豁免的本附加险合同及其主险合同的保险费视同已交纳。</w:t>
      </w:r>
    </w:p>
    <w:p>
      <w:pPr>
        <w:pStyle w:val="BodyText"/>
        <w:spacing w:line="276" w:lineRule="auto" w:before="39"/>
        <w:ind w:left="229" w:right="280"/>
        <w:jc w:val="both"/>
      </w:pPr>
      <w:r>
        <w:rPr/>
        <w:t>在豁免保险费期间，我们不接受本附加险合同及其主险合同基本保险金额及交费方式的变更。</w:t>
      </w:r>
    </w:p>
    <w:p>
      <w:pPr>
        <w:pStyle w:val="BodyText"/>
        <w:spacing w:before="10"/>
        <w:rPr>
          <w:sz w:val="23"/>
        </w:rPr>
      </w:pPr>
    </w:p>
    <w:p>
      <w:pPr>
        <w:pStyle w:val="Heading2"/>
        <w:spacing w:line="256" w:lineRule="auto" w:before="1"/>
        <w:ind w:left="229" w:right="243"/>
      </w:pPr>
      <w:r>
        <w:rPr>
          <w:w w:val="95"/>
        </w:rPr>
        <w:t>在任何情况下，我们仅给付本附加险合同约定的重大疾病保险金、疾病终末期保险金和主险合同约定的身故或全残保险金中的一项,给付后本附加险合同及主险合同现金价值降为零。若被保险人同时满足本附加险合同约定的重大疾病保险金</w:t>
      </w:r>
    </w:p>
    <w:p>
      <w:pPr>
        <w:spacing w:after="0" w:line="256" w:lineRule="auto"/>
        <w:sectPr>
          <w:type w:val="continuous"/>
          <w:pgSz w:w="11910" w:h="16850"/>
          <w:pgMar w:top="540" w:bottom="1140" w:left="1680" w:right="620"/>
          <w:cols w:num="2" w:equalWidth="0">
            <w:col w:w="1701" w:space="40"/>
            <w:col w:w="7869"/>
          </w:cols>
        </w:sectPr>
      </w:pPr>
    </w:p>
    <w:p>
      <w:pPr>
        <w:spacing w:line="261" w:lineRule="auto" w:before="9"/>
        <w:ind w:left="2769" w:right="221" w:firstLine="0"/>
        <w:jc w:val="both"/>
        <w:rPr>
          <w:b/>
          <w:i/>
          <w:sz w:val="22"/>
        </w:rPr>
      </w:pPr>
      <w:r>
        <w:rPr>
          <w:b/>
          <w:i/>
          <w:w w:val="95"/>
          <w:sz w:val="22"/>
        </w:rPr>
        <w:t>和主险合同约定的全残保险金的给付条件，为了保障您和被保险人的利益，我们按照本附加险合同约定的重大疾病保险责任（含重大疾病保险金、重大疾病豁免保险费）给付。</w:t>
      </w:r>
    </w:p>
    <w:p>
      <w:pPr>
        <w:pStyle w:val="BodyText"/>
        <w:spacing w:before="4"/>
        <w:rPr>
          <w:b/>
          <w:i/>
          <w:sz w:val="24"/>
        </w:rPr>
      </w:pPr>
    </w:p>
    <w:p>
      <w:pPr>
        <w:pStyle w:val="Heading3"/>
        <w:numPr>
          <w:ilvl w:val="1"/>
          <w:numId w:val="3"/>
        </w:numPr>
        <w:tabs>
          <w:tab w:pos="1237" w:val="left" w:leader="none"/>
          <w:tab w:pos="1238" w:val="left" w:leader="none"/>
          <w:tab w:pos="2769" w:val="left" w:leader="none"/>
        </w:tabs>
        <w:spacing w:line="276" w:lineRule="auto" w:before="0" w:after="0"/>
        <w:ind w:left="2769" w:right="214" w:hanging="2553"/>
        <w:jc w:val="left"/>
        <w:rPr>
          <w:rFonts w:ascii="黑体" w:eastAsia="黑体" w:hint="eastAsia"/>
        </w:rPr>
      </w:pPr>
      <w:r>
        <w:rPr>
          <w:rFonts w:ascii="黑体" w:eastAsia="黑体" w:hint="eastAsia"/>
        </w:rPr>
        <w:t>责任免除</w:t>
        <w:tab/>
      </w:r>
      <w:r>
        <w:rPr>
          <w:rFonts w:ascii="黑体" w:eastAsia="黑体" w:hint="eastAsia"/>
          <w:w w:val="95"/>
        </w:rPr>
        <w:t>因下列情形</w:t>
      </w:r>
      <w:r>
        <w:rPr>
          <w:rFonts w:ascii="黑体" w:eastAsia="黑体" w:hint="eastAsia"/>
          <w:spacing w:val="12"/>
          <w:w w:val="95"/>
        </w:rPr>
        <w:t>之</w:t>
      </w:r>
      <w:r>
        <w:rPr>
          <w:rFonts w:ascii="黑体" w:eastAsia="黑体" w:hint="eastAsia"/>
          <w:w w:val="95"/>
        </w:rPr>
        <w:t>一，导致被保险人罹患本</w:t>
      </w:r>
      <w:r>
        <w:rPr>
          <w:rFonts w:ascii="黑体" w:eastAsia="黑体" w:hint="eastAsia"/>
          <w:spacing w:val="12"/>
          <w:w w:val="95"/>
        </w:rPr>
        <w:t>附</w:t>
      </w:r>
      <w:r>
        <w:rPr>
          <w:rFonts w:ascii="黑体" w:eastAsia="黑体" w:hint="eastAsia"/>
          <w:w w:val="95"/>
        </w:rPr>
        <w:t>加险合同约定的轻症疾病</w:t>
      </w:r>
      <w:r>
        <w:rPr>
          <w:rFonts w:ascii="黑体" w:eastAsia="黑体" w:hint="eastAsia"/>
          <w:spacing w:val="11"/>
          <w:w w:val="95"/>
        </w:rPr>
        <w:t>、</w:t>
      </w:r>
      <w:r>
        <w:rPr>
          <w:rFonts w:ascii="黑体" w:eastAsia="黑体" w:hint="eastAsia"/>
          <w:w w:val="95"/>
        </w:rPr>
        <w:t>重大疾病或    达到疾病终末期</w:t>
      </w:r>
      <w:r>
        <w:rPr>
          <w:rFonts w:ascii="黑体" w:eastAsia="黑体" w:hint="eastAsia"/>
          <w:spacing w:val="12"/>
          <w:w w:val="95"/>
        </w:rPr>
        <w:t>的</w:t>
      </w:r>
      <w:r>
        <w:rPr>
          <w:rFonts w:ascii="黑体" w:eastAsia="黑体" w:hint="eastAsia"/>
          <w:w w:val="95"/>
        </w:rPr>
        <w:t>，我们不承担给付保险金的责任。</w:t>
      </w:r>
    </w:p>
    <w:p>
      <w:pPr>
        <w:spacing w:before="8"/>
        <w:ind w:left="2739" w:right="0" w:firstLine="0"/>
        <w:jc w:val="left"/>
        <w:rPr>
          <w:rFonts w:ascii="黑体" w:eastAsia="黑体" w:hint="eastAsia"/>
          <w:b/>
          <w:sz w:val="21"/>
        </w:rPr>
      </w:pPr>
      <w:r>
        <w:rPr>
          <w:rFonts w:ascii="黑体" w:eastAsia="黑体" w:hint="eastAsia"/>
          <w:b/>
          <w:sz w:val="21"/>
        </w:rPr>
        <w:t>(一) 投保人对被保险人的故意杀害、故意伤害；</w:t>
      </w:r>
    </w:p>
    <w:p>
      <w:pPr>
        <w:spacing w:before="39"/>
        <w:ind w:left="2739" w:right="0" w:firstLine="0"/>
        <w:jc w:val="left"/>
        <w:rPr>
          <w:rFonts w:ascii="黑体" w:eastAsia="黑体" w:hint="eastAsia"/>
          <w:b/>
          <w:sz w:val="21"/>
        </w:rPr>
      </w:pPr>
      <w:r>
        <w:rPr>
          <w:rFonts w:ascii="黑体" w:eastAsia="黑体" w:hint="eastAsia"/>
          <w:b/>
          <w:w w:val="95"/>
          <w:sz w:val="21"/>
        </w:rPr>
        <w:t>(二)   被保险人故意自伤、故意犯罪或抗拒依法采取的刑事强制措施；</w:t>
      </w:r>
    </w:p>
    <w:p>
      <w:pPr>
        <w:spacing w:line="261" w:lineRule="auto" w:before="40"/>
        <w:ind w:left="3295" w:right="214" w:hanging="556"/>
        <w:jc w:val="left"/>
        <w:rPr>
          <w:rFonts w:ascii="黑体" w:eastAsia="黑体" w:hint="eastAsia"/>
          <w:b/>
          <w:sz w:val="21"/>
        </w:rPr>
      </w:pPr>
      <w:r>
        <w:rPr>
          <w:rFonts w:ascii="黑体" w:eastAsia="黑体" w:hint="eastAsia"/>
          <w:b/>
          <w:sz w:val="21"/>
        </w:rPr>
        <w:t>(三) 被保险人自本附加险合同成立或者本附加险合同效力恢复之日起 2 年内自</w:t>
      </w:r>
      <w:r>
        <w:rPr>
          <w:rFonts w:ascii="黑体" w:eastAsia="黑体" w:hint="eastAsia"/>
          <w:b/>
          <w:w w:val="95"/>
          <w:sz w:val="21"/>
        </w:rPr>
        <w:t>杀，但被保险人自杀时为无民事行为能力人的除外；</w:t>
      </w:r>
    </w:p>
    <w:p>
      <w:pPr>
        <w:spacing w:before="22"/>
        <w:ind w:left="2739" w:right="0" w:firstLine="0"/>
        <w:jc w:val="both"/>
        <w:rPr>
          <w:rFonts w:ascii="黑体" w:eastAsia="黑体" w:hint="eastAsia"/>
          <w:b/>
          <w:sz w:val="21"/>
        </w:rPr>
      </w:pPr>
      <w:r>
        <w:rPr>
          <w:rFonts w:ascii="黑体" w:eastAsia="黑体" w:hint="eastAsia"/>
          <w:b/>
          <w:sz w:val="21"/>
        </w:rPr>
        <w:t>(四) 被保险人服用、吸食或注射毒品（见 9.10）；</w:t>
      </w:r>
    </w:p>
    <w:p>
      <w:pPr>
        <w:spacing w:before="40"/>
        <w:ind w:left="2739" w:right="0" w:firstLine="0"/>
        <w:jc w:val="both"/>
        <w:rPr>
          <w:rFonts w:ascii="黑体" w:eastAsia="黑体" w:hint="eastAsia"/>
          <w:b/>
          <w:sz w:val="21"/>
        </w:rPr>
      </w:pPr>
      <w:r>
        <w:rPr>
          <w:rFonts w:ascii="黑体" w:eastAsia="黑体" w:hint="eastAsia"/>
          <w:b/>
          <w:spacing w:val="-13"/>
          <w:sz w:val="21"/>
        </w:rPr>
        <w:t>(五) 被保险人酒后驾驶</w:t>
      </w:r>
      <w:r>
        <w:rPr>
          <w:rFonts w:ascii="黑体" w:eastAsia="黑体" w:hint="eastAsia"/>
          <w:b/>
          <w:sz w:val="21"/>
        </w:rPr>
        <w:t>（</w:t>
      </w:r>
      <w:r>
        <w:rPr>
          <w:rFonts w:ascii="黑体" w:eastAsia="黑体" w:hint="eastAsia"/>
          <w:b/>
          <w:spacing w:val="-31"/>
          <w:sz w:val="21"/>
        </w:rPr>
        <w:t>见 </w:t>
      </w:r>
      <w:r>
        <w:rPr>
          <w:rFonts w:ascii="黑体" w:eastAsia="黑体" w:hint="eastAsia"/>
          <w:b/>
          <w:spacing w:val="-15"/>
          <w:sz w:val="21"/>
        </w:rPr>
        <w:t>9.11），</w:t>
      </w:r>
      <w:r>
        <w:rPr>
          <w:rFonts w:ascii="黑体" w:eastAsia="黑体" w:hint="eastAsia"/>
          <w:b/>
          <w:spacing w:val="-5"/>
          <w:sz w:val="21"/>
        </w:rPr>
        <w:t>无合法有效驾驶证驾驶</w:t>
      </w:r>
      <w:r>
        <w:rPr>
          <w:rFonts w:ascii="黑体" w:eastAsia="黑体" w:hint="eastAsia"/>
          <w:b/>
          <w:sz w:val="21"/>
        </w:rPr>
        <w:t>（</w:t>
      </w:r>
      <w:r>
        <w:rPr>
          <w:rFonts w:ascii="黑体" w:eastAsia="黑体" w:hint="eastAsia"/>
          <w:b/>
          <w:spacing w:val="-31"/>
          <w:sz w:val="21"/>
        </w:rPr>
        <w:t>见 </w:t>
      </w:r>
      <w:r>
        <w:rPr>
          <w:rFonts w:ascii="黑体" w:eastAsia="黑体" w:hint="eastAsia"/>
          <w:b/>
          <w:spacing w:val="-9"/>
          <w:sz w:val="21"/>
        </w:rPr>
        <w:t>9.12）</w:t>
      </w:r>
      <w:r>
        <w:rPr>
          <w:rFonts w:ascii="黑体" w:eastAsia="黑体" w:hint="eastAsia"/>
          <w:b/>
          <w:spacing w:val="-15"/>
          <w:sz w:val="21"/>
        </w:rPr>
        <w:t>机动车</w:t>
      </w:r>
      <w:r>
        <w:rPr>
          <w:rFonts w:ascii="黑体" w:eastAsia="黑体" w:hint="eastAsia"/>
          <w:b/>
          <w:sz w:val="21"/>
        </w:rPr>
        <w:t>（见</w:t>
      </w:r>
    </w:p>
    <w:p>
      <w:pPr>
        <w:spacing w:before="39"/>
        <w:ind w:left="3295" w:right="0" w:firstLine="0"/>
        <w:jc w:val="left"/>
        <w:rPr>
          <w:rFonts w:ascii="黑体" w:eastAsia="黑体" w:hint="eastAsia"/>
          <w:b/>
          <w:sz w:val="21"/>
        </w:rPr>
      </w:pPr>
      <w:r>
        <w:rPr>
          <w:rFonts w:ascii="黑体" w:eastAsia="黑体" w:hint="eastAsia"/>
          <w:b/>
          <w:sz w:val="21"/>
        </w:rPr>
        <w:t>9.13），或驾驶无有效行驶证（见 9.14）的机动车；</w:t>
      </w:r>
    </w:p>
    <w:p>
      <w:pPr>
        <w:spacing w:before="40"/>
        <w:ind w:left="2739" w:right="0" w:firstLine="0"/>
        <w:jc w:val="both"/>
        <w:rPr>
          <w:rFonts w:ascii="黑体" w:eastAsia="黑体" w:hint="eastAsia"/>
          <w:b/>
          <w:sz w:val="21"/>
        </w:rPr>
      </w:pPr>
      <w:r>
        <w:rPr>
          <w:rFonts w:ascii="黑体" w:eastAsia="黑体" w:hint="eastAsia"/>
          <w:b/>
          <w:sz w:val="21"/>
        </w:rPr>
        <w:t>(六) 战争、军事冲突、暴乱或武装叛乱；</w:t>
      </w:r>
    </w:p>
    <w:p>
      <w:pPr>
        <w:spacing w:before="25"/>
        <w:ind w:left="2739" w:right="0" w:firstLine="0"/>
        <w:jc w:val="both"/>
        <w:rPr>
          <w:rFonts w:ascii="黑体" w:eastAsia="黑体" w:hint="eastAsia"/>
          <w:b/>
          <w:sz w:val="21"/>
        </w:rPr>
      </w:pPr>
      <w:r>
        <w:rPr>
          <w:rFonts w:ascii="黑体" w:eastAsia="黑体" w:hint="eastAsia"/>
          <w:b/>
          <w:sz w:val="21"/>
        </w:rPr>
        <w:t>(七) 核爆炸、核辐射或核污染；</w:t>
      </w:r>
    </w:p>
    <w:p>
      <w:pPr>
        <w:spacing w:before="41"/>
        <w:ind w:left="2739" w:right="0" w:firstLine="0"/>
        <w:jc w:val="both"/>
        <w:rPr>
          <w:rFonts w:ascii="黑体" w:eastAsia="黑体" w:hint="eastAsia"/>
          <w:b/>
          <w:sz w:val="21"/>
        </w:rPr>
      </w:pPr>
      <w:r>
        <w:rPr>
          <w:rFonts w:ascii="黑体" w:eastAsia="黑体" w:hint="eastAsia"/>
          <w:b/>
          <w:sz w:val="21"/>
        </w:rPr>
        <w:t>(八) 遗传性疾病（见 9.15），先天性畸形、变形或染色体异常（见 9.16）。</w:t>
      </w:r>
    </w:p>
    <w:p>
      <w:pPr>
        <w:pStyle w:val="BodyText"/>
        <w:spacing w:before="2"/>
        <w:rPr>
          <w:rFonts w:ascii="黑体"/>
          <w:b/>
          <w:sz w:val="27"/>
        </w:rPr>
      </w:pPr>
    </w:p>
    <w:p>
      <w:pPr>
        <w:spacing w:line="268" w:lineRule="auto" w:before="0"/>
        <w:ind w:left="2769" w:right="215" w:firstLine="0"/>
        <w:jc w:val="both"/>
        <w:rPr>
          <w:rFonts w:ascii="黑体" w:eastAsia="黑体" w:hint="eastAsia"/>
          <w:b/>
          <w:sz w:val="21"/>
        </w:rPr>
      </w:pPr>
      <w:r>
        <w:rPr>
          <w:rFonts w:ascii="黑体" w:eastAsia="黑体" w:hint="eastAsia"/>
          <w:b/>
          <w:w w:val="95"/>
          <w:sz w:val="21"/>
        </w:rPr>
        <w:t>发Th上述第</w:t>
      </w:r>
      <w:r>
        <w:rPr>
          <w:rFonts w:ascii="黑体" w:eastAsia="黑体" w:hint="eastAsia"/>
          <w:b/>
          <w:spacing w:val="11"/>
          <w:w w:val="95"/>
          <w:sz w:val="21"/>
        </w:rPr>
        <w:t>（</w:t>
      </w:r>
      <w:r>
        <w:rPr>
          <w:rFonts w:ascii="黑体" w:eastAsia="黑体" w:hint="eastAsia"/>
          <w:b/>
          <w:w w:val="95"/>
          <w:sz w:val="21"/>
        </w:rPr>
        <w:t>一）项情形导致被保险人罹患本附加险合同约定的轻症疾病、重大  </w:t>
      </w:r>
      <w:r>
        <w:rPr>
          <w:rFonts w:ascii="黑体" w:eastAsia="黑体" w:hint="eastAsia"/>
          <w:b/>
          <w:spacing w:val="-1"/>
          <w:w w:val="95"/>
          <w:sz w:val="21"/>
        </w:rPr>
        <w:t>疾病或达到疾病终末期，本附加险合同终止，主险合同也同时终止，我们向被保  </w:t>
      </w:r>
      <w:r>
        <w:rPr>
          <w:rFonts w:ascii="黑体" w:eastAsia="黑体" w:hint="eastAsia"/>
          <w:b/>
          <w:w w:val="95"/>
          <w:sz w:val="21"/>
        </w:rPr>
        <w:t>险人或被保险人继承人退还本附加险合同及主险合同的现金价值。</w:t>
      </w:r>
    </w:p>
    <w:p>
      <w:pPr>
        <w:spacing w:line="280" w:lineRule="auto" w:before="15"/>
        <w:ind w:left="2769" w:right="215" w:firstLine="0"/>
        <w:jc w:val="both"/>
        <w:rPr>
          <w:rFonts w:ascii="黑体" w:eastAsia="黑体" w:hint="eastAsia"/>
          <w:b/>
          <w:sz w:val="21"/>
        </w:rPr>
      </w:pPr>
      <w:r>
        <w:rPr>
          <w:rFonts w:ascii="黑体" w:eastAsia="黑体" w:hint="eastAsia"/>
          <w:b/>
          <w:w w:val="95"/>
          <w:sz w:val="21"/>
        </w:rPr>
        <w:t>发Th上述其他情形导致被保险人罹患本附加险合同约定的轻症疾病、重大疾病或  达到疾病终末期，本附加险合同终止，主险合同也同时终止，我们向您退还本附  加险合同及主险合同的现金价值。</w:t>
      </w:r>
    </w:p>
    <w:p>
      <w:pPr>
        <w:tabs>
          <w:tab w:pos="1237" w:val="left" w:leader="none"/>
        </w:tabs>
        <w:spacing w:before="157"/>
        <w:ind w:left="216" w:right="0" w:firstLine="0"/>
        <w:jc w:val="left"/>
        <w:rPr>
          <w:b/>
          <w:sz w:val="28"/>
        </w:rPr>
      </w:pPr>
      <w:r>
        <w:rPr/>
        <w:pict>
          <v:group style="position:absolute;margin-left:49.549999pt;margin-top:39.487701pt;width:508.45pt;height:.75pt;mso-position-horizontal-relative:page;mso-position-vertical-relative:paragraph;z-index:1120;mso-wrap-distance-left:0;mso-wrap-distance-right:0" coordorigin="991,790" coordsize="10169,15">
            <v:line style="position:absolute" from="991,797" to="2012,797" stroked="true" strokeweight=".75pt" strokecolor="#000000">
              <v:stroke dashstyle="solid"/>
            </v:line>
            <v:rect style="position:absolute;left:2012;top:789;width:15;height:15" filled="true" fillcolor="#000000" stroked="false">
              <v:fill type="solid"/>
            </v:rect>
            <v:line style="position:absolute" from="2027,797" to="3544,797" stroked="true" strokeweight=".75pt" strokecolor="#000000">
              <v:stroke dashstyle="solid"/>
            </v:line>
            <v:rect style="position:absolute;left:3544;top:789;width:15;height:15" filled="true" fillcolor="#000000" stroked="false">
              <v:fill type="solid"/>
            </v:rect>
            <v:line style="position:absolute" from="3560,797" to="11159,797" stroked="true" strokeweight=".75pt" strokecolor="#000000">
              <v:stroke dashstyle="solid"/>
            </v:line>
            <w10:wrap type="topAndBottom"/>
          </v:group>
        </w:pict>
      </w:r>
      <w:r>
        <w:rPr>
          <w:rFonts w:ascii="Arial" w:hAnsi="Arial" w:eastAsia="Arial"/>
          <w:b/>
          <w:w w:val="105"/>
          <w:position w:val="-7"/>
          <w:sz w:val="52"/>
        </w:rPr>
        <w:t></w:t>
        <w:tab/>
      </w:r>
      <w:r>
        <w:rPr>
          <w:b/>
          <w:spacing w:val="-3"/>
          <w:sz w:val="28"/>
        </w:rPr>
        <w:t>如何申请领取保险金</w:t>
      </w:r>
    </w:p>
    <w:p>
      <w:pPr>
        <w:pStyle w:val="BodyText"/>
        <w:spacing w:before="6"/>
        <w:rPr>
          <w:b/>
          <w:sz w:val="16"/>
        </w:rPr>
      </w:pPr>
    </w:p>
    <w:p>
      <w:pPr>
        <w:pStyle w:val="ListParagraph"/>
        <w:numPr>
          <w:ilvl w:val="1"/>
          <w:numId w:val="4"/>
        </w:numPr>
        <w:tabs>
          <w:tab w:pos="1237" w:val="left" w:leader="none"/>
          <w:tab w:pos="1238" w:val="left" w:leader="none"/>
          <w:tab w:pos="2769" w:val="left" w:leader="none"/>
        </w:tabs>
        <w:spacing w:line="276" w:lineRule="auto" w:before="35" w:after="0"/>
        <w:ind w:left="2769" w:right="257" w:hanging="2553"/>
        <w:jc w:val="left"/>
        <w:rPr>
          <w:sz w:val="21"/>
        </w:rPr>
      </w:pPr>
      <w:r>
        <w:rPr>
          <w:b/>
          <w:sz w:val="21"/>
        </w:rPr>
        <w:t>受益人</w:t>
        <w:tab/>
      </w:r>
      <w:r>
        <w:rPr>
          <w:spacing w:val="-1"/>
          <w:sz w:val="21"/>
        </w:rPr>
        <w:t>除另有约定外</w:t>
      </w:r>
      <w:r>
        <w:rPr>
          <w:sz w:val="21"/>
        </w:rPr>
        <w:t>，本附加险合同轻症疾病保险金、重大疾病保险金及疾病终末期保</w:t>
      </w:r>
      <w:r>
        <w:rPr>
          <w:spacing w:val="-1"/>
          <w:sz w:val="21"/>
        </w:rPr>
        <w:t>险金</w:t>
      </w:r>
      <w:r>
        <w:rPr>
          <w:sz w:val="21"/>
        </w:rPr>
        <w:t>的受益人为被保险人本人。</w:t>
      </w:r>
    </w:p>
    <w:p>
      <w:pPr>
        <w:pStyle w:val="BodyText"/>
        <w:spacing w:before="7"/>
        <w:rPr>
          <w:sz w:val="23"/>
        </w:rPr>
      </w:pPr>
    </w:p>
    <w:p>
      <w:pPr>
        <w:pStyle w:val="ListParagraph"/>
        <w:numPr>
          <w:ilvl w:val="1"/>
          <w:numId w:val="4"/>
        </w:numPr>
        <w:tabs>
          <w:tab w:pos="1237" w:val="left" w:leader="none"/>
          <w:tab w:pos="1238" w:val="left" w:leader="none"/>
          <w:tab w:pos="2769" w:val="left" w:leader="none"/>
        </w:tabs>
        <w:spacing w:line="240" w:lineRule="auto" w:before="1" w:after="0"/>
        <w:ind w:left="2769" w:right="0" w:hanging="2553"/>
        <w:jc w:val="left"/>
        <w:rPr>
          <w:sz w:val="21"/>
        </w:rPr>
      </w:pPr>
      <w:r>
        <w:rPr>
          <w:b/>
          <w:sz w:val="21"/>
        </w:rPr>
        <w:t>保险事故通知</w:t>
        <w:tab/>
      </w:r>
      <w:r>
        <w:rPr>
          <w:sz w:val="21"/>
        </w:rPr>
        <w:t>保险金申请人应在知道保险事故发生之日起</w:t>
      </w:r>
      <w:r>
        <w:rPr>
          <w:spacing w:val="-48"/>
          <w:sz w:val="21"/>
        </w:rPr>
        <w:t> </w:t>
      </w:r>
      <w:r>
        <w:rPr>
          <w:sz w:val="21"/>
        </w:rPr>
        <w:t>10</w:t>
      </w:r>
      <w:r>
        <w:rPr>
          <w:spacing w:val="-48"/>
          <w:sz w:val="21"/>
        </w:rPr>
        <w:t> </w:t>
      </w:r>
      <w:r>
        <w:rPr>
          <w:sz w:val="21"/>
        </w:rPr>
        <w:t>日内通知我们。</w:t>
      </w:r>
    </w:p>
    <w:p>
      <w:pPr>
        <w:spacing w:line="271" w:lineRule="auto" w:before="28"/>
        <w:ind w:left="2769" w:right="64" w:firstLine="0"/>
        <w:jc w:val="left"/>
        <w:rPr>
          <w:sz w:val="21"/>
        </w:rPr>
      </w:pPr>
      <w:r>
        <w:rPr>
          <w:b/>
          <w:i/>
          <w:w w:val="95"/>
          <w:sz w:val="22"/>
        </w:rPr>
        <w:t>如果保险金申请人故意或者因重大过失未及时通知，致使保险事故的性质、原因、损失程度等难以确定的，我们对无法确定的部分，不承担给付保险金的责任，</w:t>
      </w:r>
      <w:r>
        <w:rPr>
          <w:w w:val="95"/>
          <w:sz w:val="21"/>
        </w:rPr>
        <w:t>但</w:t>
      </w:r>
      <w:r>
        <w:rPr>
          <w:sz w:val="21"/>
        </w:rPr>
        <w:t>我们通过其他途径已经及时知道或者应当及时知道保险事故发生或者虽未及时通知但不影响本公司确定保险事故的性质、原因、损失程度的除外。</w:t>
      </w:r>
    </w:p>
    <w:p>
      <w:pPr>
        <w:pStyle w:val="BodyText"/>
        <w:spacing w:line="276" w:lineRule="auto" w:before="0"/>
        <w:ind w:left="2769" w:right="257"/>
        <w:jc w:val="both"/>
      </w:pPr>
      <w:r>
        <w:rPr/>
        <w:t>本附加险合同项下的保险金申请人包括您、被保险人或其监护人、轻症疾病保险金的受益人或其监护人、重大疾病保险金的受益人或其监护人、疾病终末期保险金的受益人或其监护人。</w:t>
      </w:r>
    </w:p>
    <w:p>
      <w:pPr>
        <w:pStyle w:val="BodyText"/>
        <w:spacing w:before="12"/>
        <w:rPr>
          <w:sz w:val="24"/>
        </w:rPr>
      </w:pPr>
    </w:p>
    <w:p>
      <w:pPr>
        <w:pStyle w:val="ListParagraph"/>
        <w:numPr>
          <w:ilvl w:val="1"/>
          <w:numId w:val="4"/>
        </w:numPr>
        <w:tabs>
          <w:tab w:pos="1237" w:val="left" w:leader="none"/>
          <w:tab w:pos="1238" w:val="left" w:leader="none"/>
          <w:tab w:pos="2769" w:val="left" w:leader="none"/>
        </w:tabs>
        <w:spacing w:line="240" w:lineRule="auto" w:before="0" w:after="0"/>
        <w:ind w:left="2769" w:right="0" w:hanging="2553"/>
        <w:jc w:val="left"/>
        <w:rPr>
          <w:sz w:val="21"/>
        </w:rPr>
      </w:pPr>
      <w:r>
        <w:rPr>
          <w:b/>
          <w:sz w:val="21"/>
        </w:rPr>
        <w:t>保险金申请</w:t>
        <w:tab/>
      </w:r>
      <w:r>
        <w:rPr>
          <w:sz w:val="21"/>
        </w:rPr>
        <w:t>在申请保险金时，请按照下列方式办理：</w:t>
      </w:r>
    </w:p>
    <w:p>
      <w:pPr>
        <w:pStyle w:val="BodyText"/>
        <w:spacing w:before="3"/>
        <w:rPr>
          <w:sz w:val="23"/>
        </w:rPr>
      </w:pPr>
    </w:p>
    <w:p>
      <w:pPr>
        <w:spacing w:after="0"/>
        <w:rPr>
          <w:sz w:val="23"/>
        </w:rPr>
        <w:sectPr>
          <w:pgSz w:w="11910" w:h="16850"/>
          <w:pgMar w:header="0" w:footer="944" w:top="1200" w:bottom="1180" w:left="880" w:right="640"/>
        </w:sectPr>
      </w:pPr>
    </w:p>
    <w:p>
      <w:pPr>
        <w:pStyle w:val="Heading3"/>
        <w:spacing w:line="271" w:lineRule="auto" w:before="36"/>
        <w:ind w:left="1237"/>
      </w:pPr>
      <w:r>
        <w:rPr>
          <w:w w:val="95"/>
        </w:rPr>
        <w:t>轻症疾病保险金、重大疾病保险金、疾病</w:t>
      </w:r>
      <w:r>
        <w:rPr/>
        <w:t>终末期保险 </w:t>
      </w:r>
      <w:r>
        <w:rPr>
          <w:w w:val="95"/>
        </w:rPr>
        <w:t>金、轻症疾病</w:t>
      </w:r>
    </w:p>
    <w:p>
      <w:pPr>
        <w:pStyle w:val="BodyText"/>
        <w:spacing w:before="51"/>
        <w:ind w:left="229"/>
      </w:pPr>
      <w:r>
        <w:rPr/>
        <w:br w:type="column"/>
      </w:r>
      <w:r>
        <w:rPr/>
        <w:t>由受益人或其监护人填写理赔申请书，并须提供下列证明和资料：</w:t>
      </w:r>
    </w:p>
    <w:p>
      <w:pPr>
        <w:pStyle w:val="ListParagraph"/>
        <w:numPr>
          <w:ilvl w:val="0"/>
          <w:numId w:val="5"/>
        </w:numPr>
        <w:tabs>
          <w:tab w:pos="800" w:val="left" w:leader="none"/>
        </w:tabs>
        <w:spacing w:line="240" w:lineRule="auto" w:before="10" w:after="0"/>
        <w:ind w:left="799" w:right="0" w:hanging="570"/>
        <w:jc w:val="left"/>
        <w:rPr>
          <w:sz w:val="21"/>
        </w:rPr>
      </w:pPr>
      <w:r>
        <w:rPr>
          <w:sz w:val="21"/>
        </w:rPr>
        <w:t>保险合同；</w:t>
      </w:r>
    </w:p>
    <w:p>
      <w:pPr>
        <w:pStyle w:val="ListParagraph"/>
        <w:numPr>
          <w:ilvl w:val="0"/>
          <w:numId w:val="5"/>
        </w:numPr>
        <w:tabs>
          <w:tab w:pos="800" w:val="left" w:leader="none"/>
        </w:tabs>
        <w:spacing w:line="276" w:lineRule="auto" w:before="25" w:after="0"/>
        <w:ind w:left="799" w:right="230" w:hanging="570"/>
        <w:jc w:val="left"/>
        <w:rPr>
          <w:sz w:val="21"/>
        </w:rPr>
      </w:pPr>
      <w:r>
        <w:rPr>
          <w:sz w:val="21"/>
        </w:rPr>
        <w:t>受益人或其监护人的有效身份证件，当监护人申请时，还需提供能够证明</w:t>
      </w:r>
      <w:r>
        <w:rPr>
          <w:spacing w:val="-1"/>
          <w:sz w:val="21"/>
        </w:rPr>
        <w:t>监护关系的证明文件；</w:t>
      </w:r>
    </w:p>
    <w:p>
      <w:pPr>
        <w:pStyle w:val="ListParagraph"/>
        <w:numPr>
          <w:ilvl w:val="0"/>
          <w:numId w:val="5"/>
        </w:numPr>
        <w:tabs>
          <w:tab w:pos="800" w:val="left" w:leader="none"/>
        </w:tabs>
        <w:spacing w:line="240" w:lineRule="auto" w:before="9" w:after="0"/>
        <w:ind w:left="799" w:right="0" w:hanging="570"/>
        <w:jc w:val="left"/>
        <w:rPr>
          <w:sz w:val="21"/>
        </w:rPr>
      </w:pPr>
      <w:r>
        <w:rPr>
          <w:sz w:val="21"/>
        </w:rPr>
        <w:t>医院（</w:t>
      </w:r>
      <w:r>
        <w:rPr>
          <w:spacing w:val="-1"/>
          <w:sz w:val="21"/>
        </w:rPr>
        <w:t>见 </w:t>
      </w:r>
      <w:r>
        <w:rPr>
          <w:sz w:val="21"/>
        </w:rPr>
        <w:t>9.17）出具的附有病理显微镜检查、血液检验及其他科学方法检</w:t>
      </w:r>
    </w:p>
    <w:p>
      <w:pPr>
        <w:spacing w:after="0" w:line="240" w:lineRule="auto"/>
        <w:jc w:val="left"/>
        <w:rPr>
          <w:sz w:val="21"/>
        </w:rPr>
        <w:sectPr>
          <w:type w:val="continuous"/>
          <w:pgSz w:w="11910" w:h="16850"/>
          <w:pgMar w:top="540" w:bottom="1140" w:left="880" w:right="640"/>
          <w:cols w:num="2" w:equalWidth="0">
            <w:col w:w="2501" w:space="40"/>
            <w:col w:w="7849"/>
          </w:cols>
        </w:sectPr>
      </w:pPr>
    </w:p>
    <w:p>
      <w:pPr>
        <w:pStyle w:val="Heading3"/>
        <w:spacing w:line="276" w:lineRule="auto" w:before="21"/>
        <w:ind w:left="1237"/>
        <w:jc w:val="both"/>
      </w:pPr>
      <w:r>
        <w:rPr>
          <w:w w:val="95"/>
        </w:rPr>
        <w:t>豁免保险费及重大疾病豁免保险费申请</w:t>
      </w:r>
    </w:p>
    <w:p>
      <w:pPr>
        <w:pStyle w:val="BodyText"/>
        <w:spacing w:before="21"/>
        <w:ind w:left="799"/>
      </w:pPr>
      <w:r>
        <w:rPr/>
        <w:br w:type="column"/>
      </w:r>
      <w:r>
        <w:rPr/>
        <w:t>验报告的被保险人疾病诊断证明；</w:t>
      </w:r>
    </w:p>
    <w:p>
      <w:pPr>
        <w:pStyle w:val="ListParagraph"/>
        <w:numPr>
          <w:ilvl w:val="0"/>
          <w:numId w:val="5"/>
        </w:numPr>
        <w:tabs>
          <w:tab w:pos="800" w:val="left" w:leader="none"/>
        </w:tabs>
        <w:spacing w:line="240" w:lineRule="auto" w:before="55" w:after="0"/>
        <w:ind w:left="799" w:right="0" w:hanging="570"/>
        <w:jc w:val="left"/>
        <w:rPr>
          <w:sz w:val="21"/>
        </w:rPr>
      </w:pPr>
      <w:r>
        <w:rPr>
          <w:sz w:val="21"/>
        </w:rPr>
        <w:t>所能提供的与确认保险事故性质、原因等有关的其他证明和资料。</w:t>
      </w:r>
    </w:p>
    <w:p>
      <w:pPr>
        <w:pStyle w:val="BodyText"/>
        <w:spacing w:before="0"/>
        <w:rPr>
          <w:sz w:val="20"/>
        </w:rPr>
      </w:pPr>
    </w:p>
    <w:p>
      <w:pPr>
        <w:pStyle w:val="BodyText"/>
        <w:spacing w:before="13"/>
        <w:rPr>
          <w:sz w:val="28"/>
        </w:rPr>
      </w:pPr>
    </w:p>
    <w:p>
      <w:pPr>
        <w:pStyle w:val="BodyText"/>
        <w:spacing w:before="0"/>
        <w:ind w:left="229"/>
      </w:pPr>
      <w:r>
        <w:rPr/>
        <w:t>保险金作为被保险人遗产时，必须提供可证明合法继承权的相关文件。</w:t>
      </w:r>
    </w:p>
    <w:p>
      <w:pPr>
        <w:pStyle w:val="BodyText"/>
        <w:spacing w:line="276" w:lineRule="auto"/>
        <w:ind w:left="229" w:right="252"/>
      </w:pPr>
      <w:r>
        <w:rPr/>
        <w:t>如果受益人或其监护人委托他人代为申请，则除上述证明和资料外，受托人还应提供授权委托书、受托人的有效身份证件等相关证明文件。</w:t>
      </w:r>
    </w:p>
    <w:p>
      <w:pPr>
        <w:pStyle w:val="BodyText"/>
        <w:spacing w:line="276" w:lineRule="auto" w:before="8"/>
        <w:ind w:left="229" w:right="250"/>
      </w:pPr>
      <w:r>
        <w:rPr/>
        <w:t>以上证明和资料不完整的，我们将及时一次性书面通知受益人或其监护人补充提供有关的证明和资料。</w:t>
      </w:r>
    </w:p>
    <w:p>
      <w:pPr>
        <w:spacing w:line="266" w:lineRule="auto" w:before="0"/>
        <w:ind w:left="229" w:right="221" w:firstLine="0"/>
        <w:jc w:val="both"/>
        <w:rPr>
          <w:b/>
          <w:i/>
          <w:sz w:val="22"/>
        </w:rPr>
      </w:pPr>
      <w:r>
        <w:rPr>
          <w:sz w:val="21"/>
        </w:rPr>
        <w:t>如被保险人罹患轻症疾病、重大疾病或达到疾病终末期，在申请本附加险合同保险金时，我们有权根据实际情况，要求由我们指定或认可的医疗机构或我们指定的司法鉴定机构对被保险人进行身体检查、检验或对保险事故进行必要的鉴定。</w:t>
      </w:r>
      <w:r>
        <w:rPr>
          <w:b/>
          <w:i/>
          <w:w w:val="95"/>
          <w:sz w:val="22"/>
        </w:rPr>
        <w:t>如被保险人拒绝检查、检验或鉴定，或因您、被保险人或申请人的原因导致前述检查、检验、鉴定无法进行，或检查、检验、鉴定结果不符合本附加险合同关于保险事故的约定，本公司不承担给付保险金的责任。</w:t>
      </w:r>
    </w:p>
    <w:p>
      <w:pPr>
        <w:spacing w:after="0" w:line="266" w:lineRule="auto"/>
        <w:jc w:val="both"/>
        <w:rPr>
          <w:sz w:val="22"/>
        </w:rPr>
        <w:sectPr>
          <w:pgSz w:w="11910" w:h="16850"/>
          <w:pgMar w:header="0" w:footer="944" w:top="1200" w:bottom="1180" w:left="880" w:right="640"/>
          <w:cols w:num="2" w:equalWidth="0">
            <w:col w:w="2501" w:space="40"/>
            <w:col w:w="7849"/>
          </w:cols>
        </w:sectPr>
      </w:pPr>
    </w:p>
    <w:p>
      <w:pPr>
        <w:pStyle w:val="BodyText"/>
        <w:spacing w:before="0"/>
        <w:rPr>
          <w:b/>
          <w:i/>
          <w:sz w:val="23"/>
        </w:rPr>
      </w:pPr>
    </w:p>
    <w:p>
      <w:pPr>
        <w:pStyle w:val="ListParagraph"/>
        <w:numPr>
          <w:ilvl w:val="1"/>
          <w:numId w:val="4"/>
        </w:numPr>
        <w:tabs>
          <w:tab w:pos="1237" w:val="left" w:leader="none"/>
          <w:tab w:pos="1238" w:val="left" w:leader="none"/>
          <w:tab w:pos="2769" w:val="left" w:leader="none"/>
        </w:tabs>
        <w:spacing w:line="276" w:lineRule="auto" w:before="36" w:after="0"/>
        <w:ind w:left="2769" w:right="214" w:hanging="2553"/>
        <w:jc w:val="left"/>
        <w:rPr>
          <w:sz w:val="21"/>
        </w:rPr>
      </w:pPr>
      <w:r>
        <w:rPr>
          <w:b/>
          <w:sz w:val="21"/>
        </w:rPr>
        <w:t>保险金的给付</w:t>
        <w:tab/>
      </w:r>
      <w:r>
        <w:rPr>
          <w:sz w:val="21"/>
        </w:rPr>
        <w:t>我们在收到受益人或其监护人的理赔申请书及有关证明和资料后，将在</w:t>
      </w:r>
      <w:r>
        <w:rPr>
          <w:spacing w:val="-36"/>
          <w:sz w:val="21"/>
        </w:rPr>
        <w:t> </w:t>
      </w:r>
      <w:r>
        <w:rPr>
          <w:sz w:val="21"/>
        </w:rPr>
        <w:t>5</w:t>
      </w:r>
      <w:r>
        <w:rPr>
          <w:spacing w:val="-33"/>
          <w:sz w:val="21"/>
        </w:rPr>
        <w:t> </w:t>
      </w:r>
      <w:r>
        <w:rPr>
          <w:sz w:val="21"/>
        </w:rPr>
        <w:t>日内作出核定；情形复杂的，在</w:t>
      </w:r>
      <w:r>
        <w:rPr>
          <w:spacing w:val="-48"/>
          <w:sz w:val="21"/>
        </w:rPr>
        <w:t> </w:t>
      </w:r>
      <w:r>
        <w:rPr>
          <w:sz w:val="21"/>
        </w:rPr>
        <w:t>30</w:t>
      </w:r>
      <w:r>
        <w:rPr>
          <w:spacing w:val="-46"/>
          <w:sz w:val="21"/>
        </w:rPr>
        <w:t> </w:t>
      </w:r>
      <w:r>
        <w:rPr>
          <w:sz w:val="21"/>
        </w:rPr>
        <w:t>日内作出核定。</w:t>
      </w:r>
    </w:p>
    <w:p>
      <w:pPr>
        <w:pStyle w:val="BodyText"/>
        <w:spacing w:line="261" w:lineRule="auto" w:before="8"/>
        <w:ind w:left="2769" w:right="229"/>
        <w:jc w:val="both"/>
      </w:pPr>
      <w:r>
        <w:rPr/>
        <w:t>对属于保险责任的，我们在与受益人或其监护人达成给付保险金的协议后 10 日内，履行给付保险金义务。</w:t>
      </w:r>
    </w:p>
    <w:p>
      <w:pPr>
        <w:pStyle w:val="BodyText"/>
        <w:spacing w:line="276" w:lineRule="auto" w:before="21"/>
        <w:ind w:left="2769" w:right="227"/>
        <w:jc w:val="both"/>
      </w:pPr>
      <w:r>
        <w:rPr/>
        <w:t>我们未及时履行前款规定义务的，除支付保险金外，应当赔偿受益人或其监护人因此受到的损失。</w:t>
      </w:r>
    </w:p>
    <w:p>
      <w:pPr>
        <w:pStyle w:val="BodyText"/>
        <w:spacing w:line="276" w:lineRule="auto" w:before="9"/>
        <w:ind w:left="2769" w:right="243"/>
        <w:jc w:val="both"/>
      </w:pPr>
      <w:r>
        <w:rPr>
          <w:spacing w:val="-4"/>
        </w:rPr>
        <w:t>对不属于保险责任的，我们自作出核定之日起 </w:t>
      </w:r>
      <w:r>
        <w:rPr/>
        <w:t>3</w:t>
      </w:r>
      <w:r>
        <w:rPr>
          <w:spacing w:val="-7"/>
        </w:rPr>
        <w:t> 日内向受益人或其监护人发出拒绝给付保险金通知书并说明理由。</w:t>
      </w:r>
    </w:p>
    <w:p>
      <w:pPr>
        <w:pStyle w:val="BodyText"/>
        <w:spacing w:line="276" w:lineRule="auto" w:before="0"/>
        <w:ind w:left="2769" w:right="198"/>
        <w:jc w:val="both"/>
      </w:pPr>
      <w:r>
        <w:rPr>
          <w:spacing w:val="-3"/>
        </w:rPr>
        <w:t>我们在收到理赔申请书及有关证明和资料之日起 </w:t>
      </w:r>
      <w:r>
        <w:rPr/>
        <w:t>60</w:t>
      </w:r>
      <w:r>
        <w:rPr>
          <w:spacing w:val="-12"/>
        </w:rPr>
        <w:t> 日内，对给付保险金的数额不能确定的，根据已有证明和资料可以确定的数额先予支付；我们最终确定给付保险金的数额后，将支付相应的差额。</w:t>
      </w:r>
    </w:p>
    <w:p>
      <w:pPr>
        <w:pStyle w:val="BodyText"/>
        <w:spacing w:before="2"/>
        <w:rPr>
          <w:sz w:val="25"/>
        </w:rPr>
      </w:pPr>
    </w:p>
    <w:p>
      <w:pPr>
        <w:pStyle w:val="ListParagraph"/>
        <w:numPr>
          <w:ilvl w:val="1"/>
          <w:numId w:val="4"/>
        </w:numPr>
        <w:tabs>
          <w:tab w:pos="1237" w:val="left" w:leader="none"/>
          <w:tab w:pos="1238" w:val="left" w:leader="none"/>
          <w:tab w:pos="2769" w:val="left" w:leader="none"/>
        </w:tabs>
        <w:spacing w:line="261" w:lineRule="auto" w:before="1" w:after="0"/>
        <w:ind w:left="2769" w:right="245" w:hanging="2553"/>
        <w:jc w:val="left"/>
        <w:rPr>
          <w:sz w:val="21"/>
        </w:rPr>
      </w:pPr>
      <w:r>
        <w:rPr>
          <w:b/>
          <w:sz w:val="21"/>
        </w:rPr>
        <w:t>诉讼时效</w:t>
        <w:tab/>
      </w:r>
      <w:r>
        <w:rPr>
          <w:sz w:val="21"/>
        </w:rPr>
        <w:t>受益人或其监护人对我们请求豁免保险费或给付保险金的诉讼时效期间为</w:t>
      </w:r>
      <w:r>
        <w:rPr>
          <w:spacing w:val="-50"/>
          <w:sz w:val="21"/>
        </w:rPr>
        <w:t> </w:t>
      </w:r>
      <w:r>
        <w:rPr>
          <w:sz w:val="21"/>
        </w:rPr>
        <w:t>2</w:t>
      </w:r>
      <w:r>
        <w:rPr>
          <w:spacing w:val="-48"/>
          <w:sz w:val="21"/>
        </w:rPr>
        <w:t> </w:t>
      </w:r>
      <w:r>
        <w:rPr>
          <w:sz w:val="21"/>
        </w:rPr>
        <w:t>年，自其知道或者应当知道保险事故发生之日起计算。</w:t>
      </w:r>
    </w:p>
    <w:p>
      <w:pPr>
        <w:pStyle w:val="BodyText"/>
        <w:spacing w:before="8"/>
        <w:rPr>
          <w:sz w:val="28"/>
        </w:rPr>
      </w:pPr>
    </w:p>
    <w:p>
      <w:pPr>
        <w:tabs>
          <w:tab w:pos="1237" w:val="left" w:leader="none"/>
        </w:tabs>
        <w:spacing w:before="0"/>
        <w:ind w:left="216" w:right="0" w:firstLine="0"/>
        <w:jc w:val="left"/>
        <w:rPr>
          <w:b/>
          <w:sz w:val="28"/>
        </w:rPr>
      </w:pPr>
      <w:r>
        <w:rPr/>
        <w:pict>
          <v:group style="position:absolute;margin-left:49.549999pt;margin-top:30.62207pt;width:508.45pt;height:.75pt;mso-position-horizontal-relative:page;mso-position-vertical-relative:paragraph;z-index:1144;mso-wrap-distance-left:0;mso-wrap-distance-right:0" coordorigin="991,612" coordsize="10169,15">
            <v:line style="position:absolute" from="991,620" to="2012,620" stroked="true" strokeweight=".75pt" strokecolor="#000000">
              <v:stroke dashstyle="solid"/>
            </v:line>
            <v:rect style="position:absolute;left:2012;top:612;width:15;height:15" filled="true" fillcolor="#000000" stroked="false">
              <v:fill type="solid"/>
            </v:rect>
            <v:line style="position:absolute" from="2027,620" to="3544,620" stroked="true" strokeweight=".75pt" strokecolor="#000000">
              <v:stroke dashstyle="solid"/>
            </v:line>
            <v:rect style="position:absolute;left:3544;top:612;width:15;height:15" filled="true" fillcolor="#000000" stroked="false">
              <v:fill type="solid"/>
            </v:rect>
            <v:line style="position:absolute" from="3560,620" to="11159,620" stroked="true" strokeweight=".75pt" strokecolor="#000000">
              <v:stroke dashstyle="solid"/>
            </v:line>
            <w10:wrap type="topAndBottom"/>
          </v:group>
        </w:pict>
      </w:r>
      <w:r>
        <w:rPr>
          <w:rFonts w:ascii="Wingdings" w:hAnsi="Wingdings" w:eastAsia="Wingdings"/>
          <w:position w:val="-7"/>
          <w:sz w:val="52"/>
        </w:rPr>
        <w:t></w:t>
      </w:r>
      <w:r>
        <w:rPr>
          <w:rFonts w:ascii="Times New Roman" w:hAnsi="Times New Roman" w:eastAsia="Times New Roman"/>
          <w:position w:val="-7"/>
          <w:sz w:val="52"/>
        </w:rPr>
        <w:tab/>
      </w:r>
      <w:r>
        <w:rPr>
          <w:b/>
          <w:spacing w:val="-3"/>
          <w:sz w:val="28"/>
        </w:rPr>
        <w:t>如何交纳保险费</w:t>
      </w:r>
    </w:p>
    <w:p>
      <w:pPr>
        <w:pStyle w:val="BodyText"/>
        <w:spacing w:before="6"/>
        <w:rPr>
          <w:b/>
          <w:sz w:val="16"/>
        </w:rPr>
      </w:pPr>
    </w:p>
    <w:p>
      <w:pPr>
        <w:pStyle w:val="ListParagraph"/>
        <w:numPr>
          <w:ilvl w:val="1"/>
          <w:numId w:val="6"/>
        </w:numPr>
        <w:tabs>
          <w:tab w:pos="1237" w:val="left" w:leader="none"/>
          <w:tab w:pos="1238" w:val="left" w:leader="none"/>
          <w:tab w:pos="2769" w:val="left" w:leader="none"/>
        </w:tabs>
        <w:spacing w:line="276" w:lineRule="auto" w:before="35" w:after="0"/>
        <w:ind w:left="2769" w:right="257" w:hanging="2553"/>
        <w:jc w:val="left"/>
        <w:rPr>
          <w:sz w:val="21"/>
        </w:rPr>
      </w:pPr>
      <w:r>
        <w:rPr>
          <w:b/>
          <w:sz w:val="21"/>
        </w:rPr>
        <w:t>保险费的交纳</w:t>
        <w:tab/>
      </w:r>
      <w:r>
        <w:rPr>
          <w:spacing w:val="-1"/>
          <w:sz w:val="21"/>
        </w:rPr>
        <w:t>本附加险合</w:t>
      </w:r>
      <w:r>
        <w:rPr>
          <w:sz w:val="21"/>
        </w:rPr>
        <w:t>同的交费方式和交费期间与主险合同的交费方式和交费期间相同，并在保险单上载明。</w:t>
      </w:r>
    </w:p>
    <w:p>
      <w:pPr>
        <w:pStyle w:val="BodyText"/>
        <w:spacing w:line="261" w:lineRule="auto" w:before="8"/>
        <w:ind w:left="2769" w:right="882"/>
      </w:pPr>
      <w:r>
        <w:rPr/>
        <w:t>在交纳首期保险费后，您应当按约定的交费日期交纳其余各期的保险费。本附加险合同的保险费必须随主险合同保险费一同支付，不能单独交纳。</w:t>
      </w:r>
    </w:p>
    <w:p>
      <w:pPr>
        <w:pStyle w:val="BodyText"/>
        <w:spacing w:line="276" w:lineRule="auto" w:before="21"/>
        <w:ind w:left="2769" w:right="257"/>
      </w:pPr>
      <w:r>
        <w:rPr/>
        <w:t>在本附加险合同有效期内，主险合同的保险费发生变化的，本附加险合同的保险费也相应调整。</w:t>
      </w:r>
    </w:p>
    <w:p>
      <w:pPr>
        <w:pStyle w:val="BodyText"/>
        <w:spacing w:before="10"/>
        <w:rPr>
          <w:sz w:val="24"/>
        </w:rPr>
      </w:pPr>
    </w:p>
    <w:p>
      <w:pPr>
        <w:pStyle w:val="ListParagraph"/>
        <w:numPr>
          <w:ilvl w:val="1"/>
          <w:numId w:val="6"/>
        </w:numPr>
        <w:tabs>
          <w:tab w:pos="1237" w:val="left" w:leader="none"/>
          <w:tab w:pos="1238" w:val="left" w:leader="none"/>
          <w:tab w:pos="2769" w:val="left" w:leader="none"/>
        </w:tabs>
        <w:spacing w:line="256" w:lineRule="auto" w:before="0" w:after="0"/>
        <w:ind w:left="2769" w:right="224" w:hanging="2553"/>
        <w:jc w:val="left"/>
        <w:rPr>
          <w:b/>
          <w:i/>
          <w:sz w:val="22"/>
        </w:rPr>
      </w:pPr>
      <w:r>
        <w:rPr>
          <w:b/>
          <w:sz w:val="21"/>
        </w:rPr>
        <w:t>宽限期</w:t>
        <w:tab/>
      </w:r>
      <w:r>
        <w:rPr>
          <w:sz w:val="21"/>
        </w:rPr>
        <w:t>如果您到期未交纳保险费，自保险单所约定的交费日的次日零时起</w:t>
      </w:r>
      <w:r>
        <w:rPr>
          <w:spacing w:val="-52"/>
          <w:sz w:val="21"/>
        </w:rPr>
        <w:t> </w:t>
      </w:r>
      <w:r>
        <w:rPr>
          <w:sz w:val="21"/>
        </w:rPr>
        <w:t>60</w:t>
      </w:r>
      <w:r>
        <w:rPr>
          <w:spacing w:val="-45"/>
          <w:sz w:val="21"/>
        </w:rPr>
        <w:t> </w:t>
      </w:r>
      <w:r>
        <w:rPr>
          <w:sz w:val="21"/>
        </w:rPr>
        <w:t>日为宽限</w:t>
      </w:r>
      <w:r>
        <w:rPr>
          <w:w w:val="95"/>
          <w:sz w:val="21"/>
        </w:rPr>
        <w:t>期。</w:t>
      </w:r>
      <w:r>
        <w:rPr>
          <w:b/>
          <w:i/>
          <w:w w:val="95"/>
          <w:sz w:val="22"/>
        </w:rPr>
        <w:t>宽限期内发生</w:t>
      </w:r>
      <w:r>
        <w:rPr>
          <w:b/>
          <w:i/>
          <w:spacing w:val="15"/>
          <w:w w:val="95"/>
          <w:sz w:val="22"/>
        </w:rPr>
        <w:t>的</w:t>
      </w:r>
      <w:r>
        <w:rPr>
          <w:b/>
          <w:i/>
          <w:w w:val="95"/>
          <w:sz w:val="22"/>
        </w:rPr>
        <w:t>保险事故，我们仍会承担保险责任，</w:t>
      </w:r>
      <w:r>
        <w:rPr>
          <w:b/>
          <w:i/>
          <w:spacing w:val="15"/>
          <w:w w:val="95"/>
          <w:sz w:val="22"/>
        </w:rPr>
        <w:t>但</w:t>
      </w:r>
      <w:r>
        <w:rPr>
          <w:b/>
          <w:i/>
          <w:w w:val="95"/>
          <w:sz w:val="22"/>
        </w:rPr>
        <w:t>在给付保险金时会扣除您欠交的保险</w:t>
      </w:r>
      <w:r>
        <w:rPr>
          <w:b/>
          <w:i/>
          <w:spacing w:val="15"/>
          <w:w w:val="95"/>
          <w:sz w:val="22"/>
        </w:rPr>
        <w:t>费</w:t>
      </w:r>
      <w:r>
        <w:rPr>
          <w:b/>
          <w:i/>
          <w:w w:val="95"/>
          <w:sz w:val="22"/>
        </w:rPr>
        <w:t>。</w:t>
      </w:r>
    </w:p>
    <w:p>
      <w:pPr>
        <w:pStyle w:val="Heading2"/>
        <w:spacing w:line="261" w:lineRule="auto" w:before="12"/>
        <w:ind w:left="2769" w:right="229"/>
      </w:pPr>
      <w:r>
        <w:rPr>
          <w:w w:val="95"/>
        </w:rPr>
        <w:t>如果您在宽限期结束之后仍未交纳保险费，除非本附加险合同另有约定，否则本附加险合同自宽限期满的次日零时起效力中止。</w:t>
      </w:r>
    </w:p>
    <w:p>
      <w:pPr>
        <w:spacing w:after="0" w:line="261" w:lineRule="auto"/>
        <w:sectPr>
          <w:type w:val="continuous"/>
          <w:pgSz w:w="11910" w:h="16850"/>
          <w:pgMar w:top="540" w:bottom="1140" w:left="880" w:right="640"/>
        </w:sectPr>
      </w:pPr>
    </w:p>
    <w:p>
      <w:pPr>
        <w:tabs>
          <w:tab w:pos="1237" w:val="left" w:leader="none"/>
        </w:tabs>
        <w:spacing w:before="54"/>
        <w:ind w:left="216" w:right="0" w:firstLine="0"/>
        <w:jc w:val="left"/>
        <w:rPr>
          <w:b/>
          <w:sz w:val="28"/>
        </w:rPr>
      </w:pPr>
      <w:r>
        <w:rPr/>
        <w:pict>
          <v:group style="position:absolute;margin-left:49.549999pt;margin-top:33.342052pt;width:508.45pt;height:.75pt;mso-position-horizontal-relative:page;mso-position-vertical-relative:paragraph;z-index:1168;mso-wrap-distance-left:0;mso-wrap-distance-right:0" coordorigin="991,667" coordsize="10169,15">
            <v:line style="position:absolute" from="991,674" to="2012,674" stroked="true" strokeweight=".75pt" strokecolor="#000000">
              <v:stroke dashstyle="solid"/>
            </v:line>
            <v:rect style="position:absolute;left:2012;top:666;width:15;height:15" filled="true" fillcolor="#000000" stroked="false">
              <v:fill type="solid"/>
            </v:rect>
            <v:line style="position:absolute" from="2027,674" to="3544,674" stroked="true" strokeweight=".75pt" strokecolor="#000000">
              <v:stroke dashstyle="solid"/>
            </v:line>
            <v:rect style="position:absolute;left:3544;top:666;width:15;height:15" filled="true" fillcolor="#000000" stroked="false">
              <v:fill type="solid"/>
            </v:rect>
            <v:line style="position:absolute" from="3560,674" to="11159,674" stroked="true" strokeweight=".75pt" strokecolor="#000000">
              <v:stroke dashstyle="solid"/>
            </v:line>
            <w10:wrap type="topAndBottom"/>
          </v:group>
        </w:pict>
      </w:r>
      <w:r>
        <w:rPr>
          <w:rFonts w:ascii="Wingdings" w:hAnsi="Wingdings" w:eastAsia="Wingdings"/>
          <w:position w:val="-7"/>
          <w:sz w:val="52"/>
        </w:rPr>
        <w:t></w:t>
      </w:r>
      <w:r>
        <w:rPr>
          <w:rFonts w:ascii="Times New Roman" w:hAnsi="Times New Roman" w:eastAsia="Times New Roman"/>
          <w:position w:val="-7"/>
          <w:sz w:val="52"/>
        </w:rPr>
        <w:tab/>
      </w:r>
      <w:r>
        <w:rPr>
          <w:b/>
          <w:spacing w:val="-3"/>
          <w:sz w:val="28"/>
        </w:rPr>
        <w:t>现金价值权益</w:t>
      </w:r>
    </w:p>
    <w:p>
      <w:pPr>
        <w:pStyle w:val="BodyText"/>
        <w:spacing w:before="6"/>
        <w:rPr>
          <w:b/>
          <w:sz w:val="16"/>
        </w:rPr>
      </w:pPr>
    </w:p>
    <w:p>
      <w:pPr>
        <w:pStyle w:val="ListParagraph"/>
        <w:numPr>
          <w:ilvl w:val="1"/>
          <w:numId w:val="7"/>
        </w:numPr>
        <w:tabs>
          <w:tab w:pos="1237" w:val="left" w:leader="none"/>
          <w:tab w:pos="1238" w:val="left" w:leader="none"/>
          <w:tab w:pos="2769" w:val="left" w:leader="none"/>
        </w:tabs>
        <w:spacing w:line="276" w:lineRule="auto" w:before="35" w:after="0"/>
        <w:ind w:left="2769" w:right="228" w:hanging="2553"/>
        <w:jc w:val="left"/>
        <w:rPr>
          <w:sz w:val="21"/>
        </w:rPr>
      </w:pPr>
      <w:r>
        <w:rPr>
          <w:b/>
          <w:sz w:val="21"/>
        </w:rPr>
        <w:t>现金价值</w:t>
        <w:tab/>
      </w:r>
      <w:r>
        <w:rPr>
          <w:sz w:val="21"/>
        </w:rPr>
        <w:t>本附加险合同保险单年度末的现金价</w:t>
      </w:r>
      <w:r>
        <w:rPr>
          <w:spacing w:val="11"/>
          <w:sz w:val="21"/>
        </w:rPr>
        <w:t>值</w:t>
      </w:r>
      <w:r>
        <w:rPr>
          <w:sz w:val="21"/>
        </w:rPr>
        <w:t>会在保险单上载明，保险</w:t>
      </w:r>
      <w:r>
        <w:rPr>
          <w:spacing w:val="12"/>
          <w:sz w:val="21"/>
        </w:rPr>
        <w:t>单</w:t>
      </w:r>
      <w:r>
        <w:rPr>
          <w:sz w:val="21"/>
        </w:rPr>
        <w:t>年度内的现金价值，您可以向我们咨询。</w:t>
      </w:r>
    </w:p>
    <w:p>
      <w:pPr>
        <w:pStyle w:val="BodyText"/>
        <w:spacing w:before="8"/>
        <w:rPr>
          <w:sz w:val="23"/>
        </w:rPr>
      </w:pPr>
    </w:p>
    <w:p>
      <w:pPr>
        <w:pStyle w:val="ListParagraph"/>
        <w:numPr>
          <w:ilvl w:val="1"/>
          <w:numId w:val="7"/>
        </w:numPr>
        <w:tabs>
          <w:tab w:pos="1238" w:val="left" w:leader="none"/>
        </w:tabs>
        <w:spacing w:line="276" w:lineRule="auto" w:before="0" w:after="0"/>
        <w:ind w:left="3190" w:right="195" w:hanging="2974"/>
        <w:jc w:val="both"/>
        <w:rPr>
          <w:sz w:val="21"/>
        </w:rPr>
      </w:pPr>
      <w:r>
        <w:rPr>
          <w:b/>
          <w:spacing w:val="5"/>
          <w:sz w:val="21"/>
        </w:rPr>
        <w:t>保险单借款   </w:t>
      </w:r>
      <w:r>
        <w:rPr>
          <w:sz w:val="21"/>
        </w:rPr>
        <w:t>一、在本附加险合同有效期内，且在本附加险合同生效满一年后，经我们同意， 您可以凭保险单向我们申请借款。借款金额不得超过借款时本附加险合同实</w:t>
      </w:r>
      <w:r>
        <w:rPr>
          <w:spacing w:val="-5"/>
          <w:sz w:val="21"/>
        </w:rPr>
        <w:t>际具有的现金价值的 </w:t>
      </w:r>
      <w:r>
        <w:rPr>
          <w:sz w:val="21"/>
        </w:rPr>
        <w:t>80％，每次借款期限最长不超过六个月，借款利率按我们当时确定的利率执行，并在借款协议中载明。</w:t>
      </w:r>
    </w:p>
    <w:p>
      <w:pPr>
        <w:pStyle w:val="BodyText"/>
        <w:spacing w:line="261" w:lineRule="auto" w:before="9"/>
        <w:ind w:left="3190" w:right="221" w:hanging="421"/>
      </w:pPr>
      <w:r>
        <w:rPr/>
        <w:t>二、借款本息应在借款到期前全部归还，若您到期未能足额偿还借款本息，则您所欠的借款本金及利息将作为新的借款本金计息。</w:t>
      </w:r>
    </w:p>
    <w:p>
      <w:pPr>
        <w:pStyle w:val="Heading2"/>
        <w:spacing w:line="261" w:lineRule="auto" w:before="10"/>
        <w:ind w:left="3115" w:right="214" w:hanging="436"/>
      </w:pPr>
      <w:r>
        <w:rPr>
          <w:w w:val="95"/>
        </w:rPr>
        <w:t>三、当未还借款本金及利息达到本附加险合同实际具有的现金价值时，本附加险合同效力即行中止。</w:t>
      </w:r>
    </w:p>
    <w:p>
      <w:pPr>
        <w:pStyle w:val="BodyText"/>
        <w:spacing w:line="276" w:lineRule="auto" w:before="19"/>
        <w:ind w:left="3190" w:right="228" w:hanging="421"/>
      </w:pPr>
      <w:r>
        <w:rPr/>
        <w:t>四、您不能单独对本附加险合同进行保险单借款。您对主险合同申请保险单借款时，本附加险合同应同时进行保险单借款，利息计算方式与主险合同一致。</w:t>
      </w:r>
    </w:p>
    <w:p>
      <w:pPr>
        <w:pStyle w:val="BodyText"/>
        <w:spacing w:before="6"/>
        <w:rPr>
          <w:sz w:val="26"/>
        </w:rPr>
      </w:pPr>
    </w:p>
    <w:p>
      <w:pPr>
        <w:pStyle w:val="Heading1"/>
        <w:numPr>
          <w:ilvl w:val="0"/>
          <w:numId w:val="8"/>
        </w:numPr>
        <w:tabs>
          <w:tab w:pos="1237" w:val="left" w:leader="none"/>
          <w:tab w:pos="1238" w:val="left" w:leader="none"/>
        </w:tabs>
        <w:spacing w:line="240" w:lineRule="auto" w:before="1" w:after="0"/>
        <w:ind w:left="1237" w:right="0" w:hanging="1021"/>
        <w:jc w:val="left"/>
      </w:pPr>
      <w:r>
        <w:rPr/>
        <w:pict>
          <v:group style="position:absolute;margin-left:49.549999pt;margin-top:30.672083pt;width:508.45pt;height:.75pt;mso-position-horizontal-relative:page;mso-position-vertical-relative:paragraph;z-index:1192;mso-wrap-distance-left:0;mso-wrap-distance-right:0" coordorigin="991,613" coordsize="10169,15">
            <v:line style="position:absolute" from="991,621" to="2012,621" stroked="true" strokeweight=".75pt" strokecolor="#000000">
              <v:stroke dashstyle="solid"/>
            </v:line>
            <v:rect style="position:absolute;left:2012;top:613;width:15;height:15" filled="true" fillcolor="#000000" stroked="false">
              <v:fill type="solid"/>
            </v:rect>
            <v:line style="position:absolute" from="2027,621" to="3544,621" stroked="true" strokeweight=".75pt" strokecolor="#000000">
              <v:stroke dashstyle="solid"/>
            </v:line>
            <v:rect style="position:absolute;left:3544;top:613;width:15;height:15" filled="true" fillcolor="#000000" stroked="false">
              <v:fill type="solid"/>
            </v:rect>
            <v:line style="position:absolute" from="3560,621" to="11159,621" stroked="true" strokeweight=".75pt" strokecolor="#000000">
              <v:stroke dashstyle="solid"/>
            </v:line>
            <w10:wrap type="topAndBottom"/>
          </v:group>
        </w:pict>
      </w:r>
      <w:r>
        <w:rPr>
          <w:spacing w:val="-5"/>
        </w:rPr>
        <w:t>合同效力的中止及恢复</w:t>
      </w:r>
    </w:p>
    <w:p>
      <w:pPr>
        <w:pStyle w:val="BodyText"/>
        <w:spacing w:before="9"/>
        <w:rPr>
          <w:b/>
          <w:sz w:val="15"/>
        </w:rPr>
      </w:pPr>
    </w:p>
    <w:p>
      <w:pPr>
        <w:pStyle w:val="Heading2"/>
        <w:numPr>
          <w:ilvl w:val="1"/>
          <w:numId w:val="9"/>
        </w:numPr>
        <w:tabs>
          <w:tab w:pos="1237" w:val="left" w:leader="none"/>
          <w:tab w:pos="1238" w:val="left" w:leader="none"/>
          <w:tab w:pos="2769" w:val="left" w:leader="none"/>
        </w:tabs>
        <w:spacing w:line="240" w:lineRule="auto" w:before="33" w:after="0"/>
        <w:ind w:left="2769" w:right="0" w:hanging="2553"/>
        <w:jc w:val="left"/>
      </w:pPr>
      <w:r>
        <w:rPr>
          <w:i w:val="0"/>
          <w:sz w:val="21"/>
        </w:rPr>
        <w:t>效力中止</w:t>
        <w:tab/>
      </w:r>
      <w:r>
        <w:rPr>
          <w:w w:val="95"/>
        </w:rPr>
        <w:t>在本附加险合同</w:t>
      </w:r>
      <w:r>
        <w:rPr>
          <w:spacing w:val="12"/>
          <w:w w:val="95"/>
        </w:rPr>
        <w:t>效</w:t>
      </w:r>
      <w:r>
        <w:rPr>
          <w:w w:val="95"/>
        </w:rPr>
        <w:t>力中止期间，我们不承担本附加险</w:t>
      </w:r>
      <w:r>
        <w:rPr>
          <w:spacing w:val="12"/>
          <w:w w:val="95"/>
        </w:rPr>
        <w:t>合</w:t>
      </w:r>
      <w:r>
        <w:rPr>
          <w:w w:val="95"/>
        </w:rPr>
        <w:t>同项下的保险责任。</w:t>
      </w:r>
    </w:p>
    <w:p>
      <w:pPr>
        <w:pStyle w:val="BodyText"/>
        <w:spacing w:before="0"/>
        <w:rPr>
          <w:b/>
          <w:i/>
          <w:sz w:val="27"/>
        </w:rPr>
      </w:pPr>
    </w:p>
    <w:p>
      <w:pPr>
        <w:pStyle w:val="ListParagraph"/>
        <w:numPr>
          <w:ilvl w:val="1"/>
          <w:numId w:val="9"/>
        </w:numPr>
        <w:tabs>
          <w:tab w:pos="1238" w:val="left" w:leader="none"/>
        </w:tabs>
        <w:spacing w:line="271" w:lineRule="auto" w:before="0" w:after="0"/>
        <w:ind w:left="2769" w:right="212" w:hanging="2553"/>
        <w:jc w:val="both"/>
        <w:rPr>
          <w:sz w:val="21"/>
        </w:rPr>
      </w:pPr>
      <w:r>
        <w:rPr>
          <w:b/>
          <w:spacing w:val="5"/>
          <w:sz w:val="21"/>
        </w:rPr>
        <w:t>效力恢复     </w:t>
      </w:r>
      <w:r>
        <w:rPr>
          <w:spacing w:val="-3"/>
          <w:sz w:val="21"/>
        </w:rPr>
        <w:t>本附加险合同效力中止后 </w:t>
      </w:r>
      <w:r>
        <w:rPr>
          <w:sz w:val="21"/>
        </w:rPr>
        <w:t>2</w:t>
      </w:r>
      <w:r>
        <w:rPr>
          <w:spacing w:val="-6"/>
          <w:sz w:val="21"/>
        </w:rPr>
        <w:t> 年内，您可以申请恢复本附加险合同效力。经我们与</w:t>
      </w:r>
      <w:r>
        <w:rPr>
          <w:spacing w:val="-5"/>
          <w:sz w:val="21"/>
        </w:rPr>
        <w:t>您协商并达成协议，并向我们补交您全部欠缴保险费及利息，如果您有未偿还的借款及借款利息，您需要同时向我们交清您的借款本金及借款利息，本附加险合同自我们收到上述所有款项并核准之日零时起效力恢复。</w:t>
      </w:r>
    </w:p>
    <w:p>
      <w:pPr>
        <w:pStyle w:val="BodyText"/>
        <w:spacing w:line="276" w:lineRule="auto" w:before="12"/>
        <w:ind w:left="2769" w:right="214"/>
        <w:jc w:val="both"/>
      </w:pPr>
      <w:r>
        <w:rPr>
          <w:spacing w:val="-3"/>
        </w:rPr>
        <w:t>自本附加险合同效力中止之日起满 </w:t>
      </w:r>
      <w:r>
        <w:rPr/>
        <w:t>2</w:t>
      </w:r>
      <w:r>
        <w:rPr>
          <w:spacing w:val="-6"/>
        </w:rPr>
        <w:t> 年您和我们未达成协议的，我们有权解除本</w:t>
      </w:r>
      <w:r>
        <w:rPr>
          <w:spacing w:val="-5"/>
        </w:rPr>
        <w:t>附加险合同。我们解除本附加险合同的，向您退还本附加险合同效力中止日的现金价值。</w:t>
      </w:r>
    </w:p>
    <w:p>
      <w:pPr>
        <w:pStyle w:val="BodyText"/>
        <w:spacing w:before="12"/>
        <w:rPr>
          <w:sz w:val="24"/>
        </w:rPr>
      </w:pPr>
    </w:p>
    <w:p>
      <w:pPr>
        <w:pStyle w:val="Heading1"/>
        <w:tabs>
          <w:tab w:pos="1237" w:val="left" w:leader="none"/>
        </w:tabs>
      </w:pPr>
      <w:r>
        <w:rPr/>
        <w:pict>
          <v:group style="position:absolute;margin-left:49.549999pt;margin-top:31.637695pt;width:508.45pt;height:.75pt;mso-position-horizontal-relative:page;mso-position-vertical-relative:paragraph;z-index:1216;mso-wrap-distance-left:0;mso-wrap-distance-right:0" coordorigin="991,633" coordsize="10169,15">
            <v:line style="position:absolute" from="991,640" to="2012,640" stroked="true" strokeweight=".75pt" strokecolor="#000000">
              <v:stroke dashstyle="solid"/>
            </v:line>
            <v:rect style="position:absolute;left:2012;top:632;width:15;height:15" filled="true" fillcolor="#000000" stroked="false">
              <v:fill type="solid"/>
            </v:rect>
            <v:line style="position:absolute" from="2027,640" to="3544,640" stroked="true" strokeweight=".75pt" strokecolor="#000000">
              <v:stroke dashstyle="solid"/>
            </v:line>
            <v:rect style="position:absolute;left:3544;top:632;width:15;height:15" filled="true" fillcolor="#000000" stroked="false">
              <v:fill type="solid"/>
            </v:rect>
            <v:line style="position:absolute" from="3560,640" to="11159,640" stroked="true" strokeweight=".75pt" strokecolor="#000000">
              <v:stroke dashstyle="solid"/>
            </v:line>
            <w10:wrap type="topAndBottom"/>
          </v:group>
        </w:pict>
      </w:r>
      <w:r>
        <w:rPr>
          <w:rFonts w:ascii="Arial" w:hAnsi="Arial" w:eastAsia="Arial"/>
          <w:w w:val="105"/>
          <w:position w:val="-7"/>
          <w:sz w:val="52"/>
        </w:rPr>
        <w:t></w:t>
        <w:tab/>
      </w:r>
      <w:r>
        <w:rPr>
          <w:spacing w:val="-3"/>
        </w:rPr>
        <w:t>如何解除保险合同</w:t>
      </w:r>
    </w:p>
    <w:p>
      <w:pPr>
        <w:pStyle w:val="BodyText"/>
        <w:spacing w:before="6"/>
        <w:rPr>
          <w:b/>
          <w:sz w:val="16"/>
        </w:rPr>
      </w:pPr>
    </w:p>
    <w:p>
      <w:pPr>
        <w:spacing w:after="0"/>
        <w:rPr>
          <w:sz w:val="16"/>
        </w:rPr>
        <w:sectPr>
          <w:pgSz w:w="11910" w:h="16850"/>
          <w:pgMar w:header="0" w:footer="944" w:top="1520" w:bottom="1180" w:left="880" w:right="640"/>
        </w:sectPr>
      </w:pPr>
    </w:p>
    <w:p>
      <w:pPr>
        <w:pStyle w:val="Heading3"/>
        <w:tabs>
          <w:tab w:pos="1237" w:val="left" w:leader="none"/>
        </w:tabs>
        <w:spacing w:line="276" w:lineRule="auto"/>
        <w:ind w:left="1237" w:hanging="1021"/>
        <w:rPr>
          <w:rFonts w:ascii="宋体" w:eastAsia="宋体" w:hint="eastAsia"/>
        </w:rPr>
      </w:pPr>
      <w:r>
        <w:rPr>
          <w:rFonts w:ascii="宋体" w:eastAsia="宋体" w:hint="eastAsia"/>
        </w:rPr>
        <w:t>7.1</w:t>
        <w:tab/>
      </w:r>
      <w:r>
        <w:rPr>
          <w:rFonts w:ascii="宋体" w:eastAsia="宋体" w:hint="eastAsia"/>
          <w:w w:val="95"/>
        </w:rPr>
        <w:t>您解除合同的 手续及风险</w:t>
      </w:r>
    </w:p>
    <w:p>
      <w:pPr>
        <w:pStyle w:val="BodyText"/>
        <w:spacing w:before="35"/>
        <w:ind w:left="216"/>
      </w:pPr>
      <w:r>
        <w:rPr/>
        <w:br w:type="column"/>
      </w:r>
      <w:r>
        <w:rPr/>
        <w:t>一、您不能单独解除本附加险合同，只能与主险合同一并解除。</w:t>
      </w:r>
    </w:p>
    <w:p>
      <w:pPr>
        <w:pStyle w:val="BodyText"/>
        <w:spacing w:line="276" w:lineRule="auto"/>
        <w:ind w:left="216" w:right="256"/>
      </w:pPr>
      <w:r>
        <w:rPr/>
        <w:t>二、您在犹豫期后，书面通知要求解除主险合同时，本附加险合同将同时解除， 您应向我们提供下列证明和资料：</w:t>
      </w:r>
    </w:p>
    <w:p>
      <w:pPr>
        <w:pStyle w:val="BodyText"/>
        <w:spacing w:before="9"/>
        <w:ind w:left="216"/>
      </w:pPr>
      <w:r>
        <w:rPr/>
        <w:t>（一） 保险合同；</w:t>
      </w:r>
    </w:p>
    <w:p>
      <w:pPr>
        <w:pStyle w:val="BodyText"/>
        <w:ind w:left="216"/>
      </w:pPr>
      <w:r>
        <w:rPr/>
        <w:t>（二） 解除合同申请书；</w:t>
      </w:r>
    </w:p>
    <w:p>
      <w:pPr>
        <w:pStyle w:val="BodyText"/>
        <w:spacing w:before="25"/>
        <w:ind w:left="216"/>
      </w:pPr>
      <w:r>
        <w:rPr/>
        <w:t>（三） 您的有效身份证件。</w:t>
      </w:r>
    </w:p>
    <w:p>
      <w:pPr>
        <w:pStyle w:val="BodyText"/>
        <w:spacing w:line="276" w:lineRule="auto" w:before="39"/>
        <w:ind w:left="216" w:right="228"/>
      </w:pPr>
      <w:r>
        <w:rPr/>
        <w:t>三、自我们收到解除合同申请书时起，本附加险合同终止。我们在收到上述证明和资料之日起 30 日内向您退还本附加险合同的现金价值。</w:t>
      </w:r>
    </w:p>
    <w:p>
      <w:pPr>
        <w:spacing w:line="285" w:lineRule="exact" w:before="0"/>
        <w:ind w:left="216" w:right="0" w:firstLine="0"/>
        <w:jc w:val="left"/>
        <w:rPr>
          <w:b/>
          <w:i/>
          <w:sz w:val="22"/>
        </w:rPr>
      </w:pPr>
      <w:r>
        <w:rPr>
          <w:w w:val="95"/>
          <w:sz w:val="21"/>
        </w:rPr>
        <w:t>四、</w:t>
      </w:r>
      <w:r>
        <w:rPr>
          <w:b/>
          <w:i/>
          <w:w w:val="95"/>
          <w:sz w:val="22"/>
        </w:rPr>
        <w:t>您在犹豫期后解除本附加险合同会遭受一定损失。</w:t>
      </w:r>
    </w:p>
    <w:p>
      <w:pPr>
        <w:spacing w:line="249" w:lineRule="auto" w:before="27"/>
        <w:ind w:left="216" w:right="215" w:firstLine="0"/>
        <w:jc w:val="left"/>
        <w:rPr>
          <w:b/>
          <w:i/>
          <w:sz w:val="22"/>
        </w:rPr>
      </w:pPr>
      <w:r>
        <w:rPr>
          <w:b/>
          <w:i/>
          <w:w w:val="95"/>
          <w:sz w:val="22"/>
        </w:rPr>
        <w:t>在被保险人或受益人已向您支付相当于本附加险合同现金价值的款项并书面通知我们的情况下，您解除本附加险合同应经被保险人或受益人同意。</w:t>
      </w:r>
    </w:p>
    <w:p>
      <w:pPr>
        <w:spacing w:after="0" w:line="249" w:lineRule="auto"/>
        <w:jc w:val="left"/>
        <w:rPr>
          <w:sz w:val="22"/>
        </w:rPr>
        <w:sectPr>
          <w:type w:val="continuous"/>
          <w:pgSz w:w="11910" w:h="16850"/>
          <w:pgMar w:top="540" w:bottom="1140" w:left="880" w:right="640"/>
          <w:cols w:num="2" w:equalWidth="0">
            <w:col w:w="2501" w:space="52"/>
            <w:col w:w="7837"/>
          </w:cols>
        </w:sectPr>
      </w:pPr>
    </w:p>
    <w:p>
      <w:pPr>
        <w:tabs>
          <w:tab w:pos="1237" w:val="left" w:leader="none"/>
        </w:tabs>
        <w:spacing w:before="39"/>
        <w:ind w:left="216" w:right="0" w:firstLine="0"/>
        <w:jc w:val="left"/>
        <w:rPr>
          <w:b/>
          <w:sz w:val="28"/>
        </w:rPr>
      </w:pPr>
      <w:r>
        <w:rPr/>
        <w:pict>
          <v:group style="position:absolute;margin-left:49.549999pt;margin-top:33.587677pt;width:508.45pt;height:.75pt;mso-position-horizontal-relative:page;mso-position-vertical-relative:paragraph;z-index:1240;mso-wrap-distance-left:0;mso-wrap-distance-right:0" coordorigin="991,672" coordsize="10169,15">
            <v:line style="position:absolute" from="991,679" to="2012,679" stroked="true" strokeweight=".75pt" strokecolor="#000000">
              <v:stroke dashstyle="solid"/>
            </v:line>
            <v:rect style="position:absolute;left:2012;top:671;width:15;height:15" filled="true" fillcolor="#000000" stroked="false">
              <v:fill type="solid"/>
            </v:rect>
            <v:line style="position:absolute" from="2027,679" to="3544,679" stroked="true" strokeweight=".75pt" strokecolor="#000000">
              <v:stroke dashstyle="solid"/>
            </v:line>
            <v:rect style="position:absolute;left:3544;top:671;width:15;height:15" filled="true" fillcolor="#000000" stroked="false">
              <v:fill type="solid"/>
            </v:rect>
            <v:line style="position:absolute" from="3560,679" to="11159,679" stroked="true" strokeweight=".75pt" strokecolor="#000000">
              <v:stroke dashstyle="solid"/>
            </v:line>
            <w10:wrap type="topAndBottom"/>
          </v:group>
        </w:pict>
      </w:r>
      <w:r>
        <w:rPr>
          <w:rFonts w:ascii="Arial" w:hAnsi="Arial" w:eastAsia="Arial"/>
          <w:b/>
          <w:w w:val="105"/>
          <w:position w:val="-7"/>
          <w:sz w:val="52"/>
        </w:rPr>
        <w:t></w:t>
        <w:tab/>
      </w:r>
      <w:r>
        <w:rPr>
          <w:b/>
          <w:spacing w:val="-3"/>
          <w:sz w:val="28"/>
        </w:rPr>
        <w:t>其他需要关注的事项</w:t>
      </w:r>
    </w:p>
    <w:p>
      <w:pPr>
        <w:pStyle w:val="BodyText"/>
        <w:spacing w:before="6"/>
        <w:rPr>
          <w:b/>
          <w:sz w:val="16"/>
        </w:rPr>
      </w:pPr>
    </w:p>
    <w:p>
      <w:pPr>
        <w:spacing w:after="0"/>
        <w:rPr>
          <w:sz w:val="16"/>
        </w:rPr>
        <w:sectPr>
          <w:pgSz w:w="11910" w:h="16850"/>
          <w:pgMar w:header="0" w:footer="944" w:top="1200" w:bottom="1180" w:left="880" w:right="640"/>
        </w:sectPr>
      </w:pPr>
    </w:p>
    <w:p>
      <w:pPr>
        <w:pStyle w:val="Heading3"/>
        <w:numPr>
          <w:ilvl w:val="1"/>
          <w:numId w:val="10"/>
        </w:numPr>
        <w:tabs>
          <w:tab w:pos="1237" w:val="left" w:leader="none"/>
          <w:tab w:pos="1238" w:val="left" w:leader="none"/>
        </w:tabs>
        <w:spacing w:line="276" w:lineRule="auto" w:before="35" w:after="0"/>
        <w:ind w:left="1237" w:right="0" w:hanging="1021"/>
        <w:jc w:val="left"/>
        <w:rPr>
          <w:rFonts w:ascii="宋体" w:eastAsia="宋体" w:hint="eastAsia"/>
        </w:rPr>
      </w:pPr>
      <w:r>
        <w:rPr>
          <w:rFonts w:ascii="宋体" w:eastAsia="宋体" w:hint="eastAsia"/>
          <w:w w:val="95"/>
        </w:rPr>
        <w:t>明确说明与如实告知</w:t>
      </w:r>
    </w:p>
    <w:p>
      <w:pPr>
        <w:pStyle w:val="BodyText"/>
        <w:spacing w:before="35"/>
        <w:ind w:left="216"/>
      </w:pPr>
      <w:r>
        <w:rPr/>
        <w:br w:type="column"/>
      </w:r>
      <w:r>
        <w:rPr/>
        <w:t>一、订立本附加险合同时，我们应向您说明本附加险合同的内容。</w:t>
      </w:r>
    </w:p>
    <w:p>
      <w:pPr>
        <w:pStyle w:val="BodyText"/>
        <w:spacing w:line="271" w:lineRule="auto"/>
        <w:ind w:left="216" w:right="255"/>
        <w:jc w:val="both"/>
      </w:pPr>
      <w:r>
        <w:rPr/>
        <w:t>二、对保险条款中免除我们责任的条款，我们在订立本附加险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3"/>
        <w:ind w:left="216"/>
      </w:pPr>
      <w:r>
        <w:rPr/>
        <w:t>三、我们就您和被保险人的有关情况提出询问，您应当如实告知。</w:t>
      </w:r>
    </w:p>
    <w:p>
      <w:pPr>
        <w:pStyle w:val="Heading2"/>
        <w:spacing w:line="261" w:lineRule="auto" w:before="29"/>
        <w:ind w:left="216" w:right="224"/>
        <w:jc w:val="both"/>
      </w:pPr>
      <w:r>
        <w:rPr>
          <w:b w:val="0"/>
          <w:i w:val="0"/>
          <w:w w:val="95"/>
          <w:sz w:val="21"/>
        </w:rPr>
        <w:t>四、</w:t>
      </w:r>
      <w:r>
        <w:rPr>
          <w:w w:val="95"/>
        </w:rPr>
        <w:t>如果您故意或者因重大过失未履行前款规定的如实告知义务，足以影响我们决定是否同意承保或者提高保险费率的，我们有权解除本附加险合同。</w:t>
      </w:r>
    </w:p>
    <w:p>
      <w:pPr>
        <w:spacing w:line="249" w:lineRule="auto" w:before="7"/>
        <w:ind w:left="216" w:right="74" w:firstLine="0"/>
        <w:jc w:val="left"/>
        <w:rPr>
          <w:b/>
          <w:i/>
          <w:sz w:val="22"/>
        </w:rPr>
      </w:pPr>
      <w:r>
        <w:rPr>
          <w:w w:val="95"/>
          <w:sz w:val="21"/>
        </w:rPr>
        <w:t>五、</w:t>
      </w:r>
      <w:r>
        <w:rPr>
          <w:b/>
          <w:i/>
          <w:w w:val="95"/>
          <w:sz w:val="22"/>
        </w:rPr>
        <w:t>如果您故意不履行如实告知义务，对于本附加险合同解除前发生的保险事故， 我们不承担给付保险金的责任，并不退还保险费。</w:t>
      </w:r>
    </w:p>
    <w:p>
      <w:pPr>
        <w:spacing w:line="264" w:lineRule="auto" w:before="18"/>
        <w:ind w:left="216" w:right="223" w:firstLine="0"/>
        <w:jc w:val="both"/>
        <w:rPr>
          <w:b/>
          <w:i/>
          <w:sz w:val="22"/>
        </w:rPr>
      </w:pPr>
      <w:r>
        <w:rPr>
          <w:w w:val="95"/>
          <w:sz w:val="21"/>
        </w:rPr>
        <w:t>六、</w:t>
      </w:r>
      <w:r>
        <w:rPr>
          <w:b/>
          <w:i/>
          <w:w w:val="95"/>
          <w:sz w:val="22"/>
        </w:rPr>
        <w:t>如果您因重大过失未履行如实告知义务，对保险事故的发生有严重影响的， 对于本附加险合同解除前发生的保险事故，我们不承担给付保险金的责任，但应当退还保险费（</w:t>
      </w:r>
      <w:r>
        <w:rPr>
          <w:b/>
          <w:i/>
          <w:spacing w:val="5"/>
          <w:w w:val="95"/>
          <w:sz w:val="22"/>
        </w:rPr>
        <w:t>无息</w:t>
      </w:r>
      <w:r>
        <w:rPr>
          <w:b/>
          <w:i/>
          <w:spacing w:val="-105"/>
          <w:w w:val="95"/>
          <w:sz w:val="22"/>
        </w:rPr>
        <w:t>）</w:t>
      </w:r>
      <w:r>
        <w:rPr>
          <w:b/>
          <w:i/>
          <w:w w:val="95"/>
          <w:sz w:val="22"/>
        </w:rPr>
        <w:t>。</w:t>
      </w:r>
    </w:p>
    <w:p>
      <w:pPr>
        <w:pStyle w:val="BodyText"/>
        <w:spacing w:line="261" w:lineRule="auto" w:before="16"/>
        <w:ind w:left="216" w:right="253"/>
        <w:jc w:val="both"/>
      </w:pPr>
      <w:r>
        <w:rPr/>
        <w:t>七、我们在本附加险合同订立时已经知道您未如实告知的情况的，我们不得解除本附加险合同；发生保险事故的，我们承担给付保险金的责任。</w:t>
      </w:r>
    </w:p>
    <w:p>
      <w:pPr>
        <w:spacing w:after="0" w:line="261" w:lineRule="auto"/>
        <w:jc w:val="both"/>
        <w:sectPr>
          <w:type w:val="continuous"/>
          <w:pgSz w:w="11910" w:h="16850"/>
          <w:pgMar w:top="540" w:bottom="1140" w:left="880" w:right="640"/>
          <w:cols w:num="2" w:equalWidth="0">
            <w:col w:w="2501" w:space="52"/>
            <w:col w:w="7837"/>
          </w:cols>
        </w:sectPr>
      </w:pPr>
    </w:p>
    <w:p>
      <w:pPr>
        <w:pStyle w:val="BodyText"/>
        <w:spacing w:before="0"/>
        <w:rPr>
          <w:sz w:val="23"/>
        </w:rPr>
      </w:pPr>
    </w:p>
    <w:p>
      <w:pPr>
        <w:spacing w:after="0"/>
        <w:rPr>
          <w:sz w:val="23"/>
        </w:rPr>
        <w:sectPr>
          <w:type w:val="continuous"/>
          <w:pgSz w:w="11910" w:h="16850"/>
          <w:pgMar w:top="540" w:bottom="1140" w:left="880" w:right="640"/>
        </w:sectPr>
      </w:pPr>
    </w:p>
    <w:p>
      <w:pPr>
        <w:pStyle w:val="Heading3"/>
        <w:numPr>
          <w:ilvl w:val="1"/>
          <w:numId w:val="10"/>
        </w:numPr>
        <w:tabs>
          <w:tab w:pos="1237" w:val="left" w:leader="none"/>
          <w:tab w:pos="1238" w:val="left" w:leader="none"/>
        </w:tabs>
        <w:spacing w:line="276" w:lineRule="auto" w:before="35" w:after="0"/>
        <w:ind w:left="1237" w:right="0" w:hanging="1021"/>
        <w:jc w:val="left"/>
        <w:rPr>
          <w:rFonts w:ascii="宋体" w:eastAsia="宋体" w:hint="eastAsia"/>
        </w:rPr>
      </w:pPr>
      <w:r>
        <w:rPr>
          <w:rFonts w:ascii="宋体" w:eastAsia="宋体" w:hint="eastAsia"/>
          <w:w w:val="95"/>
        </w:rPr>
        <w:t>我们合同解除权的限制</w:t>
      </w:r>
    </w:p>
    <w:p>
      <w:pPr>
        <w:pStyle w:val="BodyText"/>
        <w:spacing w:before="35"/>
        <w:ind w:left="216"/>
      </w:pPr>
      <w:r>
        <w:rPr/>
        <w:br w:type="column"/>
      </w:r>
      <w:r>
        <w:rPr>
          <w:spacing w:val="-15"/>
        </w:rPr>
        <w:t>前条规定的合同解除权，自我们知道有解除事由之日起，超过 </w:t>
      </w:r>
      <w:r>
        <w:rPr/>
        <w:t>30</w:t>
      </w:r>
      <w:r>
        <w:rPr>
          <w:spacing w:val="-7"/>
        </w:rPr>
        <w:t> 日不行使而消灭。</w:t>
      </w:r>
    </w:p>
    <w:p>
      <w:pPr>
        <w:pStyle w:val="BodyText"/>
        <w:spacing w:line="276" w:lineRule="auto"/>
        <w:ind w:left="216" w:right="239"/>
      </w:pPr>
      <w:r>
        <w:rPr>
          <w:spacing w:val="-4"/>
        </w:rPr>
        <w:t>自本附加险合同成立之日起超过 </w:t>
      </w:r>
      <w:r>
        <w:rPr/>
        <w:t>2</w:t>
      </w:r>
      <w:r>
        <w:rPr>
          <w:spacing w:val="-7"/>
        </w:rPr>
        <w:t> 年的，我们不得解除合同；发生保险事故的， 我们承担给付保险金的责任。</w:t>
      </w:r>
    </w:p>
    <w:p>
      <w:pPr>
        <w:spacing w:after="0" w:line="276" w:lineRule="auto"/>
        <w:sectPr>
          <w:type w:val="continuous"/>
          <w:pgSz w:w="11910" w:h="16850"/>
          <w:pgMar w:top="540" w:bottom="1140" w:left="880" w:right="640"/>
          <w:cols w:num="2" w:equalWidth="0">
            <w:col w:w="2501" w:space="52"/>
            <w:col w:w="7837"/>
          </w:cols>
        </w:sectPr>
      </w:pPr>
    </w:p>
    <w:p>
      <w:pPr>
        <w:pStyle w:val="BodyText"/>
        <w:spacing w:before="12"/>
        <w:rPr>
          <w:sz w:val="20"/>
        </w:rPr>
      </w:pPr>
    </w:p>
    <w:p>
      <w:pPr>
        <w:pStyle w:val="ListParagraph"/>
        <w:numPr>
          <w:ilvl w:val="1"/>
          <w:numId w:val="10"/>
        </w:numPr>
        <w:tabs>
          <w:tab w:pos="1238" w:val="left" w:leader="none"/>
        </w:tabs>
        <w:spacing w:line="276" w:lineRule="auto" w:before="35" w:after="0"/>
        <w:ind w:left="2769" w:right="250" w:hanging="2553"/>
        <w:jc w:val="both"/>
        <w:rPr>
          <w:sz w:val="21"/>
        </w:rPr>
      </w:pPr>
      <w:r>
        <w:rPr>
          <w:b/>
          <w:spacing w:val="5"/>
          <w:sz w:val="21"/>
        </w:rPr>
        <w:t>年龄错误     </w:t>
      </w:r>
      <w:r>
        <w:rPr>
          <w:sz w:val="21"/>
        </w:rPr>
        <w:t>您在申请投保时，应将与有效身份证件相符的被保险人的出生日期在投保书上填明，如果发生错误按照下列方式办理：</w:t>
      </w:r>
    </w:p>
    <w:p>
      <w:pPr>
        <w:pStyle w:val="Heading2"/>
        <w:spacing w:line="259" w:lineRule="auto"/>
        <w:ind w:left="3415" w:right="118" w:hanging="646"/>
      </w:pPr>
      <w:r>
        <w:rPr>
          <w:b w:val="0"/>
          <w:i w:val="0"/>
          <w:w w:val="95"/>
          <w:sz w:val="21"/>
        </w:rPr>
        <w:t>（一） </w:t>
      </w:r>
      <w:r>
        <w:rPr>
          <w:spacing w:val="-5"/>
          <w:w w:val="95"/>
        </w:rPr>
        <w:t>您申报的被保险人年龄不真实，并且其真实年龄不符合本附加险合同约定</w:t>
      </w:r>
      <w:r>
        <w:rPr>
          <w:spacing w:val="-4"/>
          <w:w w:val="95"/>
        </w:rPr>
        <w:t>投保年龄限制的，在保险事故发生之前我们有权解除本附加险合同。我们</w:t>
      </w:r>
      <w:r>
        <w:rPr>
          <w:spacing w:val="-10"/>
          <w:w w:val="95"/>
        </w:rPr>
        <w:t>行使合同解除权适用“我们合同解除权的限制”的规定。对于解除合同的， </w:t>
      </w:r>
      <w:r>
        <w:rPr>
          <w:spacing w:val="-8"/>
          <w:w w:val="95"/>
        </w:rPr>
        <w:t>我们向您退还本附加险合同的现金价值。</w:t>
      </w:r>
    </w:p>
    <w:p>
      <w:pPr>
        <w:spacing w:line="264" w:lineRule="auto" w:before="12"/>
        <w:ind w:left="3430" w:right="119" w:hanging="661"/>
        <w:jc w:val="left"/>
        <w:rPr>
          <w:b/>
          <w:i/>
          <w:sz w:val="22"/>
        </w:rPr>
      </w:pPr>
      <w:r>
        <w:rPr>
          <w:w w:val="95"/>
          <w:sz w:val="21"/>
        </w:rPr>
        <w:t>（二） </w:t>
      </w:r>
      <w:r>
        <w:rPr>
          <w:b/>
          <w:i/>
          <w:w w:val="95"/>
          <w:sz w:val="22"/>
        </w:rPr>
        <w:t>您申报的被保险人年龄不真实，致使您支付的保险费少于应交保险费的， 我们有权更正并要求您补交保险费。若已经发生保险事故，在给付保险金时按实交保险费和应交保险费的比例给付。</w:t>
      </w:r>
    </w:p>
    <w:p>
      <w:pPr>
        <w:pStyle w:val="BodyText"/>
        <w:spacing w:line="276" w:lineRule="auto" w:before="1"/>
        <w:ind w:left="3430" w:right="146" w:hanging="661"/>
      </w:pPr>
      <w:r>
        <w:rPr/>
        <w:t>（三） 您申报的被保险人年龄不真实，致使您支付的保险费多于应交保险费的， 我们会将多收的保险费（无息）退还给您。</w:t>
      </w:r>
    </w:p>
    <w:p>
      <w:pPr>
        <w:pStyle w:val="BodyText"/>
        <w:spacing w:before="10"/>
        <w:rPr>
          <w:sz w:val="24"/>
        </w:rPr>
      </w:pPr>
    </w:p>
    <w:p>
      <w:pPr>
        <w:pStyle w:val="ListParagraph"/>
        <w:numPr>
          <w:ilvl w:val="1"/>
          <w:numId w:val="10"/>
        </w:numPr>
        <w:tabs>
          <w:tab w:pos="1238" w:val="left" w:leader="none"/>
        </w:tabs>
        <w:spacing w:line="276" w:lineRule="auto" w:before="0" w:after="0"/>
        <w:ind w:left="2769" w:right="255" w:hanging="2553"/>
        <w:jc w:val="both"/>
        <w:rPr>
          <w:sz w:val="21"/>
        </w:rPr>
      </w:pPr>
      <w:r>
        <w:rPr>
          <w:b/>
          <w:spacing w:val="5"/>
          <w:sz w:val="21"/>
        </w:rPr>
        <w:t>未还款项     </w:t>
      </w:r>
      <w:r>
        <w:rPr>
          <w:spacing w:val="-1"/>
          <w:sz w:val="21"/>
        </w:rPr>
        <w:t>我们在给付各项保险金、退还现金价值或退还保险费时，如果您有欠交的保险费或其他未还清款项，我们会在扣除上述欠款后给付。</w:t>
      </w:r>
    </w:p>
    <w:p>
      <w:pPr>
        <w:pStyle w:val="BodyText"/>
        <w:spacing w:before="8"/>
        <w:rPr>
          <w:sz w:val="23"/>
        </w:rPr>
      </w:pPr>
    </w:p>
    <w:p>
      <w:pPr>
        <w:pStyle w:val="ListParagraph"/>
        <w:numPr>
          <w:ilvl w:val="1"/>
          <w:numId w:val="10"/>
        </w:numPr>
        <w:tabs>
          <w:tab w:pos="1238" w:val="left" w:leader="none"/>
        </w:tabs>
        <w:spacing w:line="276" w:lineRule="auto" w:before="0" w:after="0"/>
        <w:ind w:left="2769" w:right="250" w:hanging="2553"/>
        <w:jc w:val="both"/>
        <w:rPr>
          <w:sz w:val="21"/>
        </w:rPr>
      </w:pPr>
      <w:r>
        <w:rPr>
          <w:b/>
          <w:spacing w:val="6"/>
          <w:sz w:val="21"/>
        </w:rPr>
        <w:t>合同内容变更 </w:t>
      </w:r>
      <w:r>
        <w:rPr>
          <w:sz w:val="21"/>
        </w:rPr>
        <w:t>在本附加险合同有效期内，经您和我们协商一致，可以变更本附加险合同的有关内容。变更本附加险合同的，由我们对保险合同批注或者附贴批单，或者由您与我们订立书面的变更协议。</w:t>
      </w:r>
    </w:p>
    <w:p>
      <w:pPr>
        <w:pStyle w:val="BodyText"/>
        <w:spacing w:line="261" w:lineRule="auto" w:before="9"/>
        <w:ind w:left="2769" w:right="257"/>
        <w:jc w:val="both"/>
      </w:pPr>
      <w:r>
        <w:rPr/>
        <w:t>您不能单独对本附加险合同的有关内容进行变更。您对主险合同的有关内容进行变更时，本附加险合同应同时变更。</w:t>
      </w:r>
    </w:p>
    <w:p>
      <w:pPr>
        <w:pStyle w:val="BodyText"/>
        <w:spacing w:line="276" w:lineRule="auto" w:before="21"/>
        <w:ind w:left="2769" w:right="259"/>
        <w:jc w:val="both"/>
      </w:pPr>
      <w:r>
        <w:rPr/>
        <w:t>本附加险合同约定的轻症疾病豁免保险费、重大疾病豁免保险费的保险责任对应的保险事故发生后，您不得变更本附加险合同及其主险合同的基本保险金额、保险期间、交费期间等。</w:t>
      </w:r>
    </w:p>
    <w:p>
      <w:pPr>
        <w:spacing w:after="0" w:line="276" w:lineRule="auto"/>
        <w:jc w:val="both"/>
        <w:sectPr>
          <w:type w:val="continuous"/>
          <w:pgSz w:w="11910" w:h="16850"/>
          <w:pgMar w:top="540" w:bottom="1140" w:left="88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1750"/>
        <w:gridCol w:w="7644"/>
      </w:tblGrid>
      <w:tr>
        <w:trPr>
          <w:trHeight w:val="262" w:hRule="atLeast"/>
        </w:trPr>
        <w:tc>
          <w:tcPr>
            <w:tcW w:w="773" w:type="dxa"/>
          </w:tcPr>
          <w:p>
            <w:pPr>
              <w:pStyle w:val="TableParagraph"/>
              <w:spacing w:line="210" w:lineRule="exact"/>
              <w:ind w:left="105"/>
              <w:rPr>
                <w:b/>
                <w:sz w:val="21"/>
              </w:rPr>
            </w:pPr>
            <w:r>
              <w:rPr>
                <w:b/>
                <w:sz w:val="21"/>
              </w:rPr>
              <w:t>8.6</w:t>
            </w:r>
          </w:p>
        </w:tc>
        <w:tc>
          <w:tcPr>
            <w:tcW w:w="1750" w:type="dxa"/>
          </w:tcPr>
          <w:p>
            <w:pPr>
              <w:pStyle w:val="TableParagraph"/>
              <w:spacing w:line="210" w:lineRule="exact"/>
              <w:ind w:left="353"/>
              <w:rPr>
                <w:b/>
                <w:sz w:val="21"/>
              </w:rPr>
            </w:pPr>
            <w:r>
              <w:rPr>
                <w:b/>
                <w:w w:val="95"/>
                <w:sz w:val="21"/>
              </w:rPr>
              <w:t>效力终止</w:t>
            </w:r>
          </w:p>
        </w:tc>
        <w:tc>
          <w:tcPr>
            <w:tcW w:w="7644" w:type="dxa"/>
          </w:tcPr>
          <w:p>
            <w:pPr>
              <w:pStyle w:val="TableParagraph"/>
              <w:spacing w:line="210" w:lineRule="exact"/>
              <w:ind w:left="135"/>
              <w:rPr>
                <w:sz w:val="21"/>
              </w:rPr>
            </w:pPr>
            <w:r>
              <w:rPr>
                <w:sz w:val="21"/>
              </w:rPr>
              <w:t>发生下列情况之一时，本附加险合同效力终止：</w:t>
            </w:r>
          </w:p>
        </w:tc>
      </w:tr>
      <w:tr>
        <w:trPr>
          <w:trHeight w:val="31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（一）主险合同效力终止；</w:t>
            </w:r>
          </w:p>
        </w:tc>
      </w:tr>
      <w:tr>
        <w:trPr>
          <w:trHeight w:val="61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2" w:lineRule="exact"/>
              <w:ind w:left="135"/>
              <w:rPr>
                <w:sz w:val="21"/>
              </w:rPr>
            </w:pPr>
            <w:r>
              <w:rPr>
                <w:sz w:val="21"/>
              </w:rPr>
              <w:t>（二）您申请解除本附加险合同；</w:t>
            </w:r>
          </w:p>
          <w:p>
            <w:pPr>
              <w:pStyle w:val="TableParagraph"/>
              <w:spacing w:before="25"/>
              <w:ind w:left="135"/>
              <w:rPr>
                <w:sz w:val="21"/>
              </w:rPr>
            </w:pPr>
            <w:r>
              <w:rPr>
                <w:sz w:val="21"/>
              </w:rPr>
              <w:t>（三）被保险人重大疾病保险金累计给付次数达到 2 次；</w:t>
            </w:r>
          </w:p>
        </w:tc>
      </w:tr>
      <w:tr>
        <w:trPr>
          <w:trHeight w:val="31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2" w:lineRule="exact"/>
              <w:ind w:left="135"/>
              <w:rPr>
                <w:sz w:val="21"/>
              </w:rPr>
            </w:pPr>
            <w:r>
              <w:rPr>
                <w:sz w:val="21"/>
              </w:rPr>
              <w:t>（四）被保险人达到疾病终末期；</w:t>
            </w:r>
          </w:p>
        </w:tc>
      </w:tr>
      <w:tr>
        <w:trPr>
          <w:trHeight w:val="31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（五）自本附加险合同效力中止之日起满 2 年双方未达成复效协议；</w:t>
            </w:r>
          </w:p>
        </w:tc>
      </w:tr>
      <w:tr>
        <w:trPr>
          <w:trHeight w:val="46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（六）其他导致本附加险合同效力终止的情形。</w:t>
            </w:r>
          </w:p>
        </w:tc>
      </w:tr>
      <w:tr>
        <w:trPr>
          <w:trHeight w:val="465" w:hRule="atLeast"/>
        </w:trPr>
        <w:tc>
          <w:tcPr>
            <w:tcW w:w="773" w:type="dxa"/>
          </w:tcPr>
          <w:p>
            <w:pPr>
              <w:pStyle w:val="TableParagraph"/>
              <w:spacing w:before="138"/>
              <w:ind w:left="105"/>
              <w:rPr>
                <w:b/>
                <w:sz w:val="21"/>
              </w:rPr>
            </w:pPr>
            <w:r>
              <w:rPr>
                <w:b/>
                <w:sz w:val="21"/>
              </w:rPr>
              <w:t>8.7</w:t>
            </w:r>
          </w:p>
        </w:tc>
        <w:tc>
          <w:tcPr>
            <w:tcW w:w="1750" w:type="dxa"/>
          </w:tcPr>
          <w:p>
            <w:pPr>
              <w:pStyle w:val="TableParagraph"/>
              <w:spacing w:before="138"/>
              <w:ind w:left="353"/>
              <w:rPr>
                <w:b/>
                <w:sz w:val="21"/>
              </w:rPr>
            </w:pPr>
            <w:r>
              <w:rPr>
                <w:b/>
                <w:w w:val="95"/>
                <w:sz w:val="21"/>
              </w:rPr>
              <w:t>适用主险合同</w:t>
            </w:r>
          </w:p>
        </w:tc>
        <w:tc>
          <w:tcPr>
            <w:tcW w:w="7644" w:type="dxa"/>
          </w:tcPr>
          <w:p>
            <w:pPr>
              <w:pStyle w:val="TableParagraph"/>
              <w:spacing w:before="138"/>
              <w:ind w:left="135"/>
              <w:rPr>
                <w:sz w:val="21"/>
              </w:rPr>
            </w:pPr>
            <w:r>
              <w:rPr>
                <w:sz w:val="21"/>
              </w:rPr>
              <w:t>对于下列各项条款涉及的内容，适用主险合同条款的约定：</w:t>
            </w:r>
          </w:p>
        </w:tc>
      </w:tr>
      <w:tr>
        <w:trPr>
          <w:trHeight w:val="315" w:hRule="atLeast"/>
        </w:trPr>
        <w:tc>
          <w:tcPr>
            <w:tcW w:w="773" w:type="dxa"/>
          </w:tcPr>
          <w:p>
            <w:pPr>
              <w:pStyle w:val="TableParagraph"/>
              <w:rPr>
                <w:rFonts w:ascii="Times New Roman"/>
                <w:sz w:val="20"/>
              </w:rPr>
            </w:pPr>
          </w:p>
        </w:tc>
        <w:tc>
          <w:tcPr>
            <w:tcW w:w="1750" w:type="dxa"/>
          </w:tcPr>
          <w:p>
            <w:pPr>
              <w:pStyle w:val="TableParagraph"/>
              <w:spacing w:line="263" w:lineRule="exact"/>
              <w:ind w:left="353"/>
              <w:rPr>
                <w:b/>
                <w:sz w:val="21"/>
              </w:rPr>
            </w:pPr>
            <w:r>
              <w:rPr>
                <w:b/>
                <w:w w:val="95"/>
                <w:sz w:val="21"/>
              </w:rPr>
              <w:t>条款</w:t>
            </w:r>
          </w:p>
        </w:tc>
        <w:tc>
          <w:tcPr>
            <w:tcW w:w="7644" w:type="dxa"/>
          </w:tcPr>
          <w:p>
            <w:pPr>
              <w:pStyle w:val="TableParagraph"/>
              <w:spacing w:line="263" w:lineRule="exact"/>
              <w:ind w:left="135"/>
              <w:rPr>
                <w:sz w:val="21"/>
              </w:rPr>
            </w:pPr>
            <w:r>
              <w:rPr>
                <w:sz w:val="21"/>
              </w:rPr>
              <w:t>（一）争议处理；</w:t>
            </w:r>
          </w:p>
        </w:tc>
      </w:tr>
      <w:tr>
        <w:trPr>
          <w:trHeight w:val="372"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（二）本附加险合同中其他未明确约定事项。</w:t>
            </w:r>
          </w:p>
        </w:tc>
      </w:tr>
      <w:tr>
        <w:trPr>
          <w:trHeight w:val="565" w:hRule="atLeast"/>
        </w:trPr>
        <w:tc>
          <w:tcPr>
            <w:tcW w:w="773" w:type="dxa"/>
            <w:tcBorders>
              <w:bottom w:val="single" w:sz="6" w:space="0" w:color="000000"/>
            </w:tcBorders>
          </w:tcPr>
          <w:p>
            <w:pPr>
              <w:pStyle w:val="TableParagraph"/>
              <w:spacing w:line="541" w:lineRule="exact"/>
              <w:ind w:left="105"/>
              <w:rPr>
                <w:rFonts w:ascii="Arial" w:hAnsi="Arial"/>
                <w:b/>
                <w:sz w:val="52"/>
              </w:rPr>
            </w:pPr>
            <w:r>
              <w:rPr>
                <w:rFonts w:ascii="Arial" w:hAnsi="Arial"/>
                <w:b/>
                <w:w w:val="120"/>
                <w:sz w:val="52"/>
              </w:rPr>
              <w:t></w:t>
            </w:r>
          </w:p>
        </w:tc>
        <w:tc>
          <w:tcPr>
            <w:tcW w:w="1750" w:type="dxa"/>
            <w:tcBorders>
              <w:bottom w:val="single" w:sz="6" w:space="0" w:color="000000"/>
            </w:tcBorders>
          </w:tcPr>
          <w:p>
            <w:pPr>
              <w:pStyle w:val="TableParagraph"/>
              <w:spacing w:before="28"/>
              <w:ind w:left="353"/>
              <w:rPr>
                <w:b/>
                <w:sz w:val="28"/>
              </w:rPr>
            </w:pPr>
            <w:r>
              <w:rPr>
                <w:b/>
                <w:sz w:val="28"/>
              </w:rPr>
              <w:t>释义</w:t>
            </w:r>
          </w:p>
        </w:tc>
        <w:tc>
          <w:tcPr>
            <w:tcW w:w="7644" w:type="dxa"/>
            <w:tcBorders>
              <w:bottom w:val="single" w:sz="6" w:space="0" w:color="000000"/>
            </w:tcBorders>
          </w:tcPr>
          <w:p>
            <w:pPr>
              <w:pStyle w:val="TableParagraph"/>
              <w:rPr>
                <w:rFonts w:ascii="Times New Roman"/>
                <w:sz w:val="20"/>
              </w:rPr>
            </w:pPr>
          </w:p>
        </w:tc>
      </w:tr>
      <w:tr>
        <w:trPr>
          <w:trHeight w:val="622" w:hRule="atLeast"/>
        </w:trPr>
        <w:tc>
          <w:tcPr>
            <w:tcW w:w="773" w:type="dxa"/>
            <w:tcBorders>
              <w:top w:val="single" w:sz="6" w:space="0" w:color="000000"/>
            </w:tcBorders>
          </w:tcPr>
          <w:p>
            <w:pPr>
              <w:pStyle w:val="TableParagraph"/>
              <w:spacing w:before="7"/>
              <w:rPr>
                <w:sz w:val="22"/>
              </w:rPr>
            </w:pPr>
          </w:p>
          <w:p>
            <w:pPr>
              <w:pStyle w:val="TableParagraph"/>
              <w:ind w:left="105"/>
              <w:rPr>
                <w:b/>
                <w:sz w:val="21"/>
              </w:rPr>
            </w:pPr>
            <w:r>
              <w:rPr>
                <w:b/>
                <w:sz w:val="21"/>
              </w:rPr>
              <w:t>9.1</w:t>
            </w:r>
          </w:p>
        </w:tc>
        <w:tc>
          <w:tcPr>
            <w:tcW w:w="1750" w:type="dxa"/>
            <w:tcBorders>
              <w:top w:val="single" w:sz="6" w:space="0" w:color="000000"/>
            </w:tcBorders>
          </w:tcPr>
          <w:p>
            <w:pPr>
              <w:pStyle w:val="TableParagraph"/>
              <w:spacing w:before="7"/>
              <w:rPr>
                <w:sz w:val="22"/>
              </w:rPr>
            </w:pPr>
          </w:p>
          <w:p>
            <w:pPr>
              <w:pStyle w:val="TableParagraph"/>
              <w:ind w:left="353"/>
              <w:rPr>
                <w:b/>
                <w:sz w:val="21"/>
              </w:rPr>
            </w:pPr>
            <w:r>
              <w:rPr>
                <w:b/>
                <w:w w:val="95"/>
                <w:sz w:val="21"/>
              </w:rPr>
              <w:t>周岁</w:t>
            </w:r>
          </w:p>
        </w:tc>
        <w:tc>
          <w:tcPr>
            <w:tcW w:w="7644" w:type="dxa"/>
            <w:tcBorders>
              <w:top w:val="single" w:sz="6" w:space="0" w:color="000000"/>
            </w:tcBorders>
          </w:tcPr>
          <w:p>
            <w:pPr>
              <w:pStyle w:val="TableParagraph"/>
              <w:spacing w:before="7"/>
              <w:rPr>
                <w:sz w:val="22"/>
              </w:rPr>
            </w:pPr>
          </w:p>
          <w:p>
            <w:pPr>
              <w:pStyle w:val="TableParagraph"/>
              <w:ind w:left="135"/>
              <w:rPr>
                <w:sz w:val="21"/>
              </w:rPr>
            </w:pPr>
            <w:r>
              <w:rPr>
                <w:sz w:val="21"/>
              </w:rPr>
              <w:t>指按有效身份证件中记载的出生日期计算的年龄，自出生之日起为零周岁，每经</w:t>
            </w:r>
          </w:p>
        </w:tc>
      </w:tr>
      <w:tr>
        <w:trPr>
          <w:trHeight w:val="465"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过一年增加一岁，不足一年的不计。</w:t>
            </w:r>
          </w:p>
        </w:tc>
      </w:tr>
      <w:tr>
        <w:trPr>
          <w:trHeight w:val="465" w:hRule="atLeast"/>
        </w:trPr>
        <w:tc>
          <w:tcPr>
            <w:tcW w:w="773" w:type="dxa"/>
          </w:tcPr>
          <w:p>
            <w:pPr>
              <w:pStyle w:val="TableParagraph"/>
              <w:spacing w:before="138"/>
              <w:ind w:left="105"/>
              <w:rPr>
                <w:b/>
                <w:sz w:val="21"/>
              </w:rPr>
            </w:pPr>
            <w:r>
              <w:rPr>
                <w:b/>
                <w:sz w:val="21"/>
              </w:rPr>
              <w:t>9.2</w:t>
            </w:r>
          </w:p>
        </w:tc>
        <w:tc>
          <w:tcPr>
            <w:tcW w:w="1750" w:type="dxa"/>
          </w:tcPr>
          <w:p>
            <w:pPr>
              <w:pStyle w:val="TableParagraph"/>
              <w:spacing w:before="138"/>
              <w:ind w:left="353"/>
              <w:rPr>
                <w:b/>
                <w:sz w:val="21"/>
              </w:rPr>
            </w:pPr>
            <w:r>
              <w:rPr>
                <w:b/>
                <w:w w:val="95"/>
                <w:sz w:val="21"/>
              </w:rPr>
              <w:t>有效身份证件</w:t>
            </w:r>
          </w:p>
        </w:tc>
        <w:tc>
          <w:tcPr>
            <w:tcW w:w="7644" w:type="dxa"/>
          </w:tcPr>
          <w:p>
            <w:pPr>
              <w:pStyle w:val="TableParagraph"/>
              <w:spacing w:before="138"/>
              <w:ind w:left="135"/>
              <w:rPr>
                <w:sz w:val="21"/>
              </w:rPr>
            </w:pPr>
            <w:r>
              <w:rPr>
                <w:sz w:val="21"/>
              </w:rPr>
              <w:t>指由政府主管部门规定的证明其身份的证件，如：居民身份证、按规定可使用的</w:t>
            </w:r>
          </w:p>
        </w:tc>
      </w:tr>
      <w:tr>
        <w:trPr>
          <w:trHeight w:val="473" w:hRule="atLeast"/>
        </w:trPr>
        <w:tc>
          <w:tcPr>
            <w:tcW w:w="773" w:type="dxa"/>
          </w:tcPr>
          <w:p>
            <w:pPr>
              <w:pStyle w:val="TableParagraph"/>
              <w:rPr>
                <w:rFonts w:ascii="Times New Roman"/>
                <w:sz w:val="20"/>
              </w:rPr>
            </w:pPr>
          </w:p>
        </w:tc>
        <w:tc>
          <w:tcPr>
            <w:tcW w:w="1750" w:type="dxa"/>
          </w:tcPr>
          <w:p>
            <w:pPr>
              <w:pStyle w:val="TableParagraph"/>
              <w:rPr>
                <w:rFonts w:ascii="Times New Roman"/>
                <w:sz w:val="20"/>
              </w:rPr>
            </w:pPr>
          </w:p>
        </w:tc>
        <w:tc>
          <w:tcPr>
            <w:tcW w:w="7644" w:type="dxa"/>
          </w:tcPr>
          <w:p>
            <w:pPr>
              <w:pStyle w:val="TableParagraph"/>
              <w:spacing w:line="263" w:lineRule="exact"/>
              <w:ind w:left="135"/>
              <w:rPr>
                <w:sz w:val="21"/>
              </w:rPr>
            </w:pPr>
            <w:r>
              <w:rPr>
                <w:sz w:val="21"/>
              </w:rPr>
              <w:t>有效护照、军官证、警官证、士兵证、居民户口簿（仅限未成年人）等证件。</w:t>
            </w:r>
          </w:p>
        </w:tc>
      </w:tr>
      <w:tr>
        <w:trPr>
          <w:trHeight w:val="622" w:hRule="atLeast"/>
        </w:trPr>
        <w:tc>
          <w:tcPr>
            <w:tcW w:w="773" w:type="dxa"/>
          </w:tcPr>
          <w:p>
            <w:pPr>
              <w:pStyle w:val="TableParagraph"/>
              <w:spacing w:before="145"/>
              <w:ind w:left="105"/>
              <w:rPr>
                <w:b/>
                <w:sz w:val="21"/>
              </w:rPr>
            </w:pPr>
            <w:r>
              <w:rPr>
                <w:b/>
                <w:sz w:val="21"/>
              </w:rPr>
              <w:t>9.3</w:t>
            </w:r>
          </w:p>
        </w:tc>
        <w:tc>
          <w:tcPr>
            <w:tcW w:w="1750" w:type="dxa"/>
          </w:tcPr>
          <w:p>
            <w:pPr>
              <w:pStyle w:val="TableParagraph"/>
              <w:spacing w:before="145"/>
              <w:ind w:left="353"/>
              <w:rPr>
                <w:b/>
                <w:sz w:val="21"/>
              </w:rPr>
            </w:pPr>
            <w:r>
              <w:rPr>
                <w:b/>
                <w:w w:val="95"/>
                <w:sz w:val="21"/>
              </w:rPr>
              <w:t>意外伤害</w:t>
            </w:r>
          </w:p>
        </w:tc>
        <w:tc>
          <w:tcPr>
            <w:tcW w:w="7644" w:type="dxa"/>
          </w:tcPr>
          <w:p>
            <w:pPr>
              <w:pStyle w:val="TableParagraph"/>
              <w:spacing w:before="145"/>
              <w:ind w:left="135"/>
              <w:rPr>
                <w:sz w:val="21"/>
              </w:rPr>
            </w:pPr>
            <w:r>
              <w:rPr>
                <w:sz w:val="21"/>
              </w:rPr>
              <w:t>指外来的、突发的、非本意的、非疾病的客观事件直接导致身体受到的伤害。</w:t>
            </w:r>
          </w:p>
        </w:tc>
      </w:tr>
      <w:tr>
        <w:trPr>
          <w:trHeight w:val="412" w:hRule="atLeast"/>
        </w:trPr>
        <w:tc>
          <w:tcPr>
            <w:tcW w:w="773" w:type="dxa"/>
          </w:tcPr>
          <w:p>
            <w:pPr>
              <w:pStyle w:val="TableParagraph"/>
              <w:spacing w:line="255" w:lineRule="exact" w:before="138"/>
              <w:ind w:left="105"/>
              <w:rPr>
                <w:b/>
                <w:sz w:val="21"/>
              </w:rPr>
            </w:pPr>
            <w:r>
              <w:rPr>
                <w:b/>
                <w:sz w:val="21"/>
              </w:rPr>
              <w:t>9.4</w:t>
            </w:r>
          </w:p>
        </w:tc>
        <w:tc>
          <w:tcPr>
            <w:tcW w:w="1750" w:type="dxa"/>
          </w:tcPr>
          <w:p>
            <w:pPr>
              <w:pStyle w:val="TableParagraph"/>
              <w:spacing w:line="255" w:lineRule="exact" w:before="138"/>
              <w:ind w:left="353"/>
              <w:rPr>
                <w:b/>
                <w:sz w:val="21"/>
              </w:rPr>
            </w:pPr>
            <w:r>
              <w:rPr>
                <w:b/>
                <w:w w:val="95"/>
                <w:sz w:val="21"/>
              </w:rPr>
              <w:t>专科医生</w:t>
            </w:r>
          </w:p>
        </w:tc>
        <w:tc>
          <w:tcPr>
            <w:tcW w:w="7644" w:type="dxa"/>
          </w:tcPr>
          <w:p>
            <w:pPr>
              <w:pStyle w:val="TableParagraph"/>
              <w:spacing w:line="255" w:lineRule="exact" w:before="138"/>
              <w:ind w:left="135"/>
              <w:rPr>
                <w:sz w:val="21"/>
              </w:rPr>
            </w:pPr>
            <w:r>
              <w:rPr>
                <w:sz w:val="21"/>
              </w:rPr>
              <w:t>专科医生应当同时满足以下四项资格条件：</w:t>
            </w:r>
          </w:p>
        </w:tc>
      </w:tr>
    </w:tbl>
    <w:p>
      <w:pPr>
        <w:pStyle w:val="ListParagraph"/>
        <w:numPr>
          <w:ilvl w:val="2"/>
          <w:numId w:val="10"/>
        </w:numPr>
        <w:tabs>
          <w:tab w:pos="3401" w:val="left" w:leader="none"/>
        </w:tabs>
        <w:spacing w:line="240" w:lineRule="auto" w:before="40" w:after="0"/>
        <w:ind w:left="3400" w:right="0" w:hanging="631"/>
        <w:jc w:val="left"/>
        <w:rPr>
          <w:sz w:val="21"/>
        </w:rPr>
      </w:pPr>
      <w:r>
        <w:rPr>
          <w:sz w:val="21"/>
        </w:rPr>
        <w:t>具有有效的中华人民共和国《医师资格证书》；</w:t>
      </w:r>
    </w:p>
    <w:p>
      <w:pPr>
        <w:pStyle w:val="ListParagraph"/>
        <w:numPr>
          <w:ilvl w:val="2"/>
          <w:numId w:val="10"/>
        </w:numPr>
        <w:tabs>
          <w:tab w:pos="3401" w:val="left" w:leader="none"/>
        </w:tabs>
        <w:spacing w:line="276" w:lineRule="auto" w:before="39" w:after="0"/>
        <w:ind w:left="3400" w:right="251" w:hanging="631"/>
        <w:jc w:val="left"/>
        <w:rPr>
          <w:sz w:val="21"/>
        </w:rPr>
      </w:pPr>
      <w:r>
        <w:rPr>
          <w:sz w:val="21"/>
        </w:rPr>
        <w:t>具有有效的中华人民共和国《医师执业证书》，并按期到相关部门登记注册；</w:t>
      </w:r>
    </w:p>
    <w:p>
      <w:pPr>
        <w:pStyle w:val="ListParagraph"/>
        <w:numPr>
          <w:ilvl w:val="2"/>
          <w:numId w:val="10"/>
        </w:numPr>
        <w:tabs>
          <w:tab w:pos="3401" w:val="left" w:leader="none"/>
        </w:tabs>
        <w:spacing w:line="276" w:lineRule="auto" w:before="0" w:after="0"/>
        <w:ind w:left="3400" w:right="251" w:hanging="631"/>
        <w:jc w:val="left"/>
        <w:rPr>
          <w:sz w:val="21"/>
        </w:rPr>
      </w:pPr>
      <w:r>
        <w:rPr>
          <w:sz w:val="21"/>
        </w:rPr>
        <w:t>具有有效的中华人民共和国主治医师或主治医师以上职称的《医师职称证书》；</w:t>
      </w:r>
    </w:p>
    <w:p>
      <w:pPr>
        <w:pStyle w:val="ListParagraph"/>
        <w:numPr>
          <w:ilvl w:val="2"/>
          <w:numId w:val="10"/>
        </w:numPr>
        <w:tabs>
          <w:tab w:pos="3401" w:val="left" w:leader="none"/>
        </w:tabs>
        <w:spacing w:line="240" w:lineRule="auto" w:before="15" w:after="0"/>
        <w:ind w:left="3400" w:right="0" w:hanging="631"/>
        <w:jc w:val="left"/>
        <w:rPr>
          <w:sz w:val="21"/>
        </w:rPr>
      </w:pPr>
      <w:r>
        <w:rPr>
          <w:sz w:val="21"/>
        </w:rPr>
        <w:t>在二级或二级以上医院的相应科室从事临床工作三年以上。</w:t>
      </w:r>
    </w:p>
    <w:p>
      <w:pPr>
        <w:pStyle w:val="BodyText"/>
        <w:spacing w:before="0"/>
        <w:rPr>
          <w:sz w:val="20"/>
        </w:rPr>
      </w:pPr>
    </w:p>
    <w:p>
      <w:pPr>
        <w:pStyle w:val="BodyText"/>
        <w:spacing w:before="1" w:after="1"/>
        <w:rPr>
          <w:sz w:val="12"/>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46"/>
        <w:gridCol w:w="7553"/>
      </w:tblGrid>
      <w:tr>
        <w:trPr>
          <w:trHeight w:val="412" w:hRule="atLeast"/>
        </w:trPr>
        <w:tc>
          <w:tcPr>
            <w:tcW w:w="823" w:type="dxa"/>
          </w:tcPr>
          <w:p>
            <w:pPr>
              <w:pStyle w:val="TableParagraph"/>
              <w:spacing w:line="210" w:lineRule="exact"/>
              <w:ind w:left="50"/>
              <w:rPr>
                <w:b/>
                <w:sz w:val="21"/>
              </w:rPr>
            </w:pPr>
            <w:r>
              <w:rPr>
                <w:b/>
                <w:sz w:val="21"/>
              </w:rPr>
              <w:t>9.5</w:t>
            </w:r>
          </w:p>
        </w:tc>
        <w:tc>
          <w:tcPr>
            <w:tcW w:w="1646" w:type="dxa"/>
          </w:tcPr>
          <w:p>
            <w:pPr>
              <w:pStyle w:val="TableParagraph"/>
              <w:spacing w:line="210" w:lineRule="exact"/>
              <w:ind w:left="247"/>
              <w:rPr>
                <w:b/>
                <w:sz w:val="21"/>
              </w:rPr>
            </w:pPr>
            <w:r>
              <w:rPr>
                <w:b/>
                <w:w w:val="95"/>
                <w:sz w:val="21"/>
              </w:rPr>
              <w:t>轻症疾病</w:t>
            </w:r>
          </w:p>
        </w:tc>
        <w:tc>
          <w:tcPr>
            <w:tcW w:w="7553" w:type="dxa"/>
          </w:tcPr>
          <w:p>
            <w:pPr>
              <w:pStyle w:val="TableParagraph"/>
              <w:spacing w:line="210" w:lineRule="exact"/>
              <w:ind w:left="134"/>
              <w:rPr>
                <w:sz w:val="21"/>
              </w:rPr>
            </w:pPr>
            <w:r>
              <w:rPr>
                <w:sz w:val="21"/>
              </w:rPr>
              <w:t>指下面列出的 50 种轻症疾病</w:t>
            </w:r>
          </w:p>
        </w:tc>
      </w:tr>
      <w:tr>
        <w:trPr>
          <w:trHeight w:val="465" w:hRule="atLeast"/>
        </w:trPr>
        <w:tc>
          <w:tcPr>
            <w:tcW w:w="823" w:type="dxa"/>
          </w:tcPr>
          <w:p>
            <w:pPr>
              <w:pStyle w:val="TableParagraph"/>
              <w:spacing w:before="138"/>
              <w:ind w:left="50"/>
              <w:rPr>
                <w:b/>
                <w:sz w:val="21"/>
              </w:rPr>
            </w:pPr>
            <w:r>
              <w:rPr>
                <w:b/>
                <w:sz w:val="21"/>
              </w:rPr>
              <w:t>9.5.1</w:t>
            </w:r>
          </w:p>
        </w:tc>
        <w:tc>
          <w:tcPr>
            <w:tcW w:w="1646" w:type="dxa"/>
          </w:tcPr>
          <w:p>
            <w:pPr>
              <w:pStyle w:val="TableParagraph"/>
              <w:spacing w:before="138"/>
              <w:ind w:left="247"/>
              <w:rPr>
                <w:rFonts w:ascii="楷体" w:eastAsia="楷体" w:hint="eastAsia"/>
                <w:b/>
                <w:sz w:val="21"/>
              </w:rPr>
            </w:pPr>
            <w:r>
              <w:rPr>
                <w:rFonts w:ascii="楷体" w:eastAsia="楷体" w:hint="eastAsia"/>
                <w:b/>
                <w:w w:val="95"/>
                <w:sz w:val="21"/>
              </w:rPr>
              <w:t>极早期恶性肿</w:t>
            </w:r>
          </w:p>
        </w:tc>
        <w:tc>
          <w:tcPr>
            <w:tcW w:w="7553" w:type="dxa"/>
          </w:tcPr>
          <w:p>
            <w:pPr>
              <w:pStyle w:val="TableParagraph"/>
              <w:spacing w:before="138"/>
              <w:ind w:left="134"/>
              <w:rPr>
                <w:sz w:val="21"/>
              </w:rPr>
            </w:pPr>
            <w:r>
              <w:rPr>
                <w:sz w:val="21"/>
              </w:rPr>
              <w:t>指经组织病理学检查被明确诊断为下列恶性病变，并且接受了相应的治疗。</w:t>
            </w:r>
          </w:p>
        </w:tc>
      </w:tr>
      <w:tr>
        <w:trPr>
          <w:trHeight w:val="315" w:hRule="atLeast"/>
        </w:trPr>
        <w:tc>
          <w:tcPr>
            <w:tcW w:w="823" w:type="dxa"/>
          </w:tcPr>
          <w:p>
            <w:pPr>
              <w:pStyle w:val="TableParagraph"/>
              <w:rPr>
                <w:rFonts w:ascii="Times New Roman"/>
                <w:sz w:val="20"/>
              </w:rPr>
            </w:pPr>
          </w:p>
        </w:tc>
        <w:tc>
          <w:tcPr>
            <w:tcW w:w="1646" w:type="dxa"/>
          </w:tcPr>
          <w:p>
            <w:pPr>
              <w:pStyle w:val="TableParagraph"/>
              <w:spacing w:line="262" w:lineRule="exact"/>
              <w:ind w:left="247"/>
              <w:rPr>
                <w:rFonts w:ascii="楷体" w:eastAsia="楷体" w:hint="eastAsia"/>
                <w:b/>
                <w:sz w:val="21"/>
              </w:rPr>
            </w:pPr>
            <w:r>
              <w:rPr>
                <w:rFonts w:ascii="楷体" w:eastAsia="楷体" w:hint="eastAsia"/>
                <w:b/>
                <w:w w:val="95"/>
                <w:sz w:val="21"/>
              </w:rPr>
              <w:t>瘤或恶性病变</w:t>
            </w:r>
          </w:p>
        </w:tc>
        <w:tc>
          <w:tcPr>
            <w:tcW w:w="7553" w:type="dxa"/>
          </w:tcPr>
          <w:p>
            <w:pPr>
              <w:pStyle w:val="TableParagraph"/>
              <w:spacing w:line="262" w:lineRule="exact"/>
              <w:ind w:left="134"/>
              <w:rPr>
                <w:sz w:val="21"/>
              </w:rPr>
            </w:pPr>
            <w:r>
              <w:rPr>
                <w:sz w:val="21"/>
              </w:rPr>
              <w:t>（1） 原位癌；</w:t>
            </w:r>
          </w:p>
        </w:tc>
      </w:tr>
      <w:tr>
        <w:trPr>
          <w:trHeight w:val="315" w:hRule="atLeast"/>
        </w:trPr>
        <w:tc>
          <w:tcPr>
            <w:tcW w:w="823" w:type="dxa"/>
          </w:tcPr>
          <w:p>
            <w:pPr>
              <w:pStyle w:val="TableParagraph"/>
              <w:rPr>
                <w:rFonts w:ascii="Times New Roman"/>
                <w:sz w:val="20"/>
              </w:rPr>
            </w:pPr>
          </w:p>
        </w:tc>
        <w:tc>
          <w:tcPr>
            <w:tcW w:w="1646" w:type="dxa"/>
          </w:tcPr>
          <w:p>
            <w:pPr>
              <w:pStyle w:val="TableParagraph"/>
              <w:rPr>
                <w:rFonts w:ascii="Times New Roman"/>
                <w:sz w:val="20"/>
              </w:rPr>
            </w:pPr>
          </w:p>
        </w:tc>
        <w:tc>
          <w:tcPr>
            <w:tcW w:w="7553" w:type="dxa"/>
          </w:tcPr>
          <w:p>
            <w:pPr>
              <w:pStyle w:val="TableParagraph"/>
              <w:spacing w:line="263" w:lineRule="exact"/>
              <w:ind w:left="134"/>
              <w:rPr>
                <w:sz w:val="21"/>
              </w:rPr>
            </w:pPr>
            <w:r>
              <w:rPr>
                <w:sz w:val="21"/>
              </w:rPr>
              <w:t>（2） 相当于 Binet 分期方案 A 期程度的慢性淋巴细胞白血病；</w:t>
            </w:r>
          </w:p>
        </w:tc>
      </w:tr>
      <w:tr>
        <w:trPr>
          <w:trHeight w:val="615" w:hRule="atLeast"/>
        </w:trPr>
        <w:tc>
          <w:tcPr>
            <w:tcW w:w="823" w:type="dxa"/>
          </w:tcPr>
          <w:p>
            <w:pPr>
              <w:pStyle w:val="TableParagraph"/>
              <w:rPr>
                <w:rFonts w:ascii="Times New Roman"/>
                <w:sz w:val="20"/>
              </w:rPr>
            </w:pPr>
          </w:p>
        </w:tc>
        <w:tc>
          <w:tcPr>
            <w:tcW w:w="1646" w:type="dxa"/>
          </w:tcPr>
          <w:p>
            <w:pPr>
              <w:pStyle w:val="TableParagraph"/>
              <w:rPr>
                <w:rFonts w:ascii="Times New Roman"/>
                <w:sz w:val="20"/>
              </w:rPr>
            </w:pPr>
          </w:p>
        </w:tc>
        <w:tc>
          <w:tcPr>
            <w:tcW w:w="7553" w:type="dxa"/>
          </w:tcPr>
          <w:p>
            <w:pPr>
              <w:pStyle w:val="TableParagraph"/>
              <w:numPr>
                <w:ilvl w:val="0"/>
                <w:numId w:val="11"/>
              </w:numPr>
              <w:tabs>
                <w:tab w:pos="765" w:val="left" w:leader="none"/>
              </w:tabs>
              <w:spacing w:line="263" w:lineRule="exact" w:before="0" w:after="0"/>
              <w:ind w:left="764" w:right="0" w:hanging="630"/>
              <w:jc w:val="left"/>
              <w:rPr>
                <w:sz w:val="21"/>
              </w:rPr>
            </w:pPr>
            <w:r>
              <w:rPr>
                <w:spacing w:val="-12"/>
                <w:sz w:val="21"/>
              </w:rPr>
              <w:t>相当于 </w:t>
            </w:r>
            <w:r>
              <w:rPr>
                <w:sz w:val="21"/>
              </w:rPr>
              <w:t>Ann Arbor</w:t>
            </w:r>
            <w:r>
              <w:rPr>
                <w:spacing w:val="-19"/>
                <w:sz w:val="21"/>
              </w:rPr>
              <w:t> 分期方案 </w:t>
            </w:r>
            <w:r>
              <w:rPr>
                <w:sz w:val="21"/>
              </w:rPr>
              <w:t>I</w:t>
            </w:r>
            <w:r>
              <w:rPr>
                <w:spacing w:val="-7"/>
                <w:sz w:val="21"/>
              </w:rPr>
              <w:t> 期程度的何杰金氏病；</w:t>
            </w:r>
          </w:p>
          <w:p>
            <w:pPr>
              <w:pStyle w:val="TableParagraph"/>
              <w:numPr>
                <w:ilvl w:val="0"/>
                <w:numId w:val="11"/>
              </w:numPr>
              <w:tabs>
                <w:tab w:pos="765" w:val="left" w:leader="none"/>
              </w:tabs>
              <w:spacing w:line="240" w:lineRule="auto" w:before="25" w:after="0"/>
              <w:ind w:left="764" w:right="0" w:hanging="630"/>
              <w:jc w:val="left"/>
              <w:rPr>
                <w:sz w:val="21"/>
              </w:rPr>
            </w:pPr>
            <w:r>
              <w:rPr>
                <w:sz w:val="21"/>
              </w:rPr>
              <w:t>皮肤癌（不包括恶性黑色素瘤及已发生转移的皮肤癌</w:t>
            </w:r>
            <w:r>
              <w:rPr>
                <w:spacing w:val="-105"/>
                <w:sz w:val="21"/>
              </w:rPr>
              <w:t>）</w:t>
            </w:r>
            <w:r>
              <w:rPr>
                <w:sz w:val="21"/>
              </w:rPr>
              <w:t>；</w:t>
            </w:r>
          </w:p>
        </w:tc>
      </w:tr>
      <w:tr>
        <w:trPr>
          <w:trHeight w:val="472" w:hRule="atLeast"/>
        </w:trPr>
        <w:tc>
          <w:tcPr>
            <w:tcW w:w="823" w:type="dxa"/>
          </w:tcPr>
          <w:p>
            <w:pPr>
              <w:pStyle w:val="TableParagraph"/>
              <w:rPr>
                <w:rFonts w:ascii="Times New Roman"/>
                <w:sz w:val="20"/>
              </w:rPr>
            </w:pPr>
          </w:p>
        </w:tc>
        <w:tc>
          <w:tcPr>
            <w:tcW w:w="1646" w:type="dxa"/>
          </w:tcPr>
          <w:p>
            <w:pPr>
              <w:pStyle w:val="TableParagraph"/>
              <w:rPr>
                <w:rFonts w:ascii="Times New Roman"/>
                <w:sz w:val="20"/>
              </w:rPr>
            </w:pPr>
          </w:p>
        </w:tc>
        <w:tc>
          <w:tcPr>
            <w:tcW w:w="7553" w:type="dxa"/>
          </w:tcPr>
          <w:p>
            <w:pPr>
              <w:pStyle w:val="TableParagraph"/>
              <w:spacing w:line="268" w:lineRule="exact"/>
              <w:ind w:left="134"/>
              <w:rPr>
                <w:sz w:val="21"/>
              </w:rPr>
            </w:pPr>
            <w:r>
              <w:rPr>
                <w:position w:val="1"/>
                <w:sz w:val="21"/>
              </w:rPr>
              <w:t>（5） TNM</w:t>
            </w:r>
            <w:r>
              <w:rPr>
                <w:spacing w:val="-19"/>
                <w:position w:val="1"/>
                <w:sz w:val="21"/>
              </w:rPr>
              <w:t> 分期为 </w:t>
            </w:r>
            <w:r>
              <w:rPr>
                <w:position w:val="1"/>
                <w:sz w:val="21"/>
              </w:rPr>
              <w:t>T</w:t>
            </w:r>
            <w:r>
              <w:rPr>
                <w:spacing w:val="6"/>
                <w:w w:val="105"/>
                <w:sz w:val="10"/>
              </w:rPr>
              <w:t>1</w:t>
            </w:r>
            <w:r>
              <w:rPr>
                <w:spacing w:val="-15"/>
                <w:position w:val="1"/>
                <w:sz w:val="21"/>
              </w:rPr>
              <w:t>N</w:t>
            </w:r>
            <w:r>
              <w:rPr>
                <w:spacing w:val="6"/>
                <w:w w:val="105"/>
                <w:sz w:val="10"/>
              </w:rPr>
              <w:t>0</w:t>
            </w:r>
            <w:r>
              <w:rPr>
                <w:position w:val="1"/>
                <w:sz w:val="21"/>
              </w:rPr>
              <w:t>M</w:t>
            </w:r>
            <w:r>
              <w:rPr>
                <w:w w:val="105"/>
                <w:sz w:val="10"/>
              </w:rPr>
              <w:t>0</w:t>
            </w:r>
            <w:r>
              <w:rPr>
                <w:spacing w:val="-12"/>
                <w:sz w:val="10"/>
              </w:rPr>
              <w:t> </w:t>
            </w:r>
            <w:r>
              <w:rPr>
                <w:position w:val="1"/>
                <w:sz w:val="21"/>
              </w:rPr>
              <w:t>期或更轻分期的前列腺癌。</w:t>
            </w:r>
          </w:p>
        </w:tc>
      </w:tr>
      <w:tr>
        <w:trPr>
          <w:trHeight w:val="472" w:hRule="atLeast"/>
        </w:trPr>
        <w:tc>
          <w:tcPr>
            <w:tcW w:w="823" w:type="dxa"/>
          </w:tcPr>
          <w:p>
            <w:pPr>
              <w:pStyle w:val="TableParagraph"/>
              <w:spacing w:before="145"/>
              <w:ind w:left="50"/>
              <w:rPr>
                <w:b/>
                <w:sz w:val="21"/>
              </w:rPr>
            </w:pPr>
            <w:r>
              <w:rPr>
                <w:b/>
                <w:sz w:val="21"/>
              </w:rPr>
              <w:t>9.5.2</w:t>
            </w:r>
          </w:p>
        </w:tc>
        <w:tc>
          <w:tcPr>
            <w:tcW w:w="1646" w:type="dxa"/>
          </w:tcPr>
          <w:p>
            <w:pPr>
              <w:pStyle w:val="TableParagraph"/>
              <w:spacing w:before="145"/>
              <w:ind w:left="247"/>
              <w:rPr>
                <w:rFonts w:ascii="楷体" w:eastAsia="楷体" w:hint="eastAsia"/>
                <w:b/>
                <w:sz w:val="21"/>
              </w:rPr>
            </w:pPr>
            <w:r>
              <w:rPr>
                <w:rFonts w:ascii="楷体" w:eastAsia="楷体" w:hint="eastAsia"/>
                <w:b/>
                <w:w w:val="95"/>
                <w:sz w:val="21"/>
              </w:rPr>
              <w:t>不典型心肌梗</w:t>
            </w:r>
          </w:p>
        </w:tc>
        <w:tc>
          <w:tcPr>
            <w:tcW w:w="7553" w:type="dxa"/>
          </w:tcPr>
          <w:p>
            <w:pPr>
              <w:pStyle w:val="TableParagraph"/>
              <w:spacing w:before="145"/>
              <w:ind w:left="134"/>
              <w:rPr>
                <w:sz w:val="21"/>
              </w:rPr>
            </w:pPr>
            <w:r>
              <w:rPr>
                <w:sz w:val="21"/>
              </w:rPr>
              <w:t>指被临床诊断为急性心肌梗塞并接受了急性心肌梗塞治疗虽然未达到重大疾病</w:t>
            </w:r>
          </w:p>
        </w:tc>
      </w:tr>
      <w:tr>
        <w:trPr>
          <w:trHeight w:val="615" w:hRule="atLeast"/>
        </w:trPr>
        <w:tc>
          <w:tcPr>
            <w:tcW w:w="823" w:type="dxa"/>
          </w:tcPr>
          <w:p>
            <w:pPr>
              <w:pStyle w:val="TableParagraph"/>
              <w:rPr>
                <w:rFonts w:ascii="Times New Roman"/>
                <w:sz w:val="20"/>
              </w:rPr>
            </w:pPr>
          </w:p>
        </w:tc>
        <w:tc>
          <w:tcPr>
            <w:tcW w:w="1646" w:type="dxa"/>
          </w:tcPr>
          <w:p>
            <w:pPr>
              <w:pStyle w:val="TableParagraph"/>
              <w:spacing w:line="263" w:lineRule="exact"/>
              <w:ind w:left="247"/>
              <w:rPr>
                <w:rFonts w:ascii="楷体" w:eastAsia="楷体" w:hint="eastAsia"/>
                <w:b/>
                <w:sz w:val="21"/>
              </w:rPr>
            </w:pPr>
            <w:r>
              <w:rPr>
                <w:rFonts w:ascii="楷体" w:eastAsia="楷体" w:hint="eastAsia"/>
                <w:b/>
                <w:w w:val="99"/>
                <w:sz w:val="21"/>
              </w:rPr>
              <w:t>塞</w:t>
            </w:r>
          </w:p>
        </w:tc>
        <w:tc>
          <w:tcPr>
            <w:tcW w:w="7553" w:type="dxa"/>
          </w:tcPr>
          <w:p>
            <w:pPr>
              <w:pStyle w:val="TableParagraph"/>
              <w:spacing w:line="263" w:lineRule="exact"/>
              <w:ind w:left="134"/>
              <w:rPr>
                <w:sz w:val="21"/>
              </w:rPr>
            </w:pPr>
            <w:r>
              <w:rPr>
                <w:sz w:val="21"/>
              </w:rPr>
              <w:t>“急性心肌梗塞”的给付标准，但满足下列全部条件：</w:t>
            </w:r>
          </w:p>
          <w:p>
            <w:pPr>
              <w:pStyle w:val="TableParagraph"/>
              <w:spacing w:before="25"/>
              <w:ind w:left="134"/>
              <w:rPr>
                <w:sz w:val="21"/>
              </w:rPr>
            </w:pPr>
            <w:r>
              <w:rPr>
                <w:sz w:val="21"/>
              </w:rPr>
              <w:t>（1） 肌钙蛋白有诊断意义的升高；</w:t>
            </w:r>
          </w:p>
        </w:tc>
      </w:tr>
      <w:tr>
        <w:trPr>
          <w:trHeight w:val="315" w:hRule="atLeast"/>
        </w:trPr>
        <w:tc>
          <w:tcPr>
            <w:tcW w:w="823" w:type="dxa"/>
          </w:tcPr>
          <w:p>
            <w:pPr>
              <w:pStyle w:val="TableParagraph"/>
              <w:rPr>
                <w:rFonts w:ascii="Times New Roman"/>
                <w:sz w:val="20"/>
              </w:rPr>
            </w:pPr>
          </w:p>
        </w:tc>
        <w:tc>
          <w:tcPr>
            <w:tcW w:w="1646" w:type="dxa"/>
          </w:tcPr>
          <w:p>
            <w:pPr>
              <w:pStyle w:val="TableParagraph"/>
              <w:rPr>
                <w:rFonts w:ascii="Times New Roman"/>
                <w:sz w:val="20"/>
              </w:rPr>
            </w:pPr>
          </w:p>
        </w:tc>
        <w:tc>
          <w:tcPr>
            <w:tcW w:w="7553" w:type="dxa"/>
          </w:tcPr>
          <w:p>
            <w:pPr>
              <w:pStyle w:val="TableParagraph"/>
              <w:spacing w:line="263" w:lineRule="exact"/>
              <w:ind w:left="134"/>
              <w:rPr>
                <w:sz w:val="21"/>
              </w:rPr>
            </w:pPr>
            <w:r>
              <w:rPr>
                <w:sz w:val="21"/>
              </w:rPr>
              <w:t>（2） 心电图有损伤性的 ST 段改变但未出现病理 Q 波。</w:t>
            </w:r>
          </w:p>
        </w:tc>
      </w:tr>
      <w:tr>
        <w:trPr>
          <w:trHeight w:val="315" w:hRule="atLeast"/>
        </w:trPr>
        <w:tc>
          <w:tcPr>
            <w:tcW w:w="823" w:type="dxa"/>
          </w:tcPr>
          <w:p>
            <w:pPr>
              <w:pStyle w:val="TableParagraph"/>
              <w:rPr>
                <w:rFonts w:ascii="Times New Roman"/>
                <w:sz w:val="20"/>
              </w:rPr>
            </w:pPr>
          </w:p>
        </w:tc>
        <w:tc>
          <w:tcPr>
            <w:tcW w:w="1646" w:type="dxa"/>
          </w:tcPr>
          <w:p>
            <w:pPr>
              <w:pStyle w:val="TableParagraph"/>
              <w:rPr>
                <w:rFonts w:ascii="Times New Roman"/>
                <w:sz w:val="20"/>
              </w:rPr>
            </w:pPr>
          </w:p>
        </w:tc>
        <w:tc>
          <w:tcPr>
            <w:tcW w:w="7553" w:type="dxa"/>
          </w:tcPr>
          <w:p>
            <w:pPr>
              <w:pStyle w:val="TableParagraph"/>
              <w:spacing w:line="263" w:lineRule="exact"/>
              <w:ind w:left="134"/>
              <w:rPr>
                <w:sz w:val="21"/>
              </w:rPr>
            </w:pPr>
            <w:r>
              <w:rPr>
                <w:sz w:val="21"/>
              </w:rPr>
              <w:t>如果被保险人在出现不典型心肌梗塞以后接受微创冠状动脉搭桥手术（或称微创</w:t>
            </w:r>
          </w:p>
        </w:tc>
      </w:tr>
      <w:tr>
        <w:trPr>
          <w:trHeight w:val="262" w:hRule="atLeast"/>
        </w:trPr>
        <w:tc>
          <w:tcPr>
            <w:tcW w:w="823" w:type="dxa"/>
          </w:tcPr>
          <w:p>
            <w:pPr>
              <w:pStyle w:val="TableParagraph"/>
              <w:rPr>
                <w:rFonts w:ascii="Times New Roman"/>
                <w:sz w:val="18"/>
              </w:rPr>
            </w:pPr>
          </w:p>
        </w:tc>
        <w:tc>
          <w:tcPr>
            <w:tcW w:w="1646" w:type="dxa"/>
          </w:tcPr>
          <w:p>
            <w:pPr>
              <w:pStyle w:val="TableParagraph"/>
              <w:rPr>
                <w:rFonts w:ascii="Times New Roman"/>
                <w:sz w:val="18"/>
              </w:rPr>
            </w:pPr>
          </w:p>
        </w:tc>
        <w:tc>
          <w:tcPr>
            <w:tcW w:w="7553" w:type="dxa"/>
          </w:tcPr>
          <w:p>
            <w:pPr>
              <w:pStyle w:val="TableParagraph"/>
              <w:spacing w:line="243" w:lineRule="exact"/>
              <w:ind w:left="134"/>
              <w:rPr>
                <w:sz w:val="21"/>
              </w:rPr>
            </w:pPr>
            <w:r>
              <w:rPr>
                <w:sz w:val="21"/>
              </w:rPr>
              <w:t>冠状动脉旁路移植术）治疗，本合同只给予在本疾病项下的理赔，不再给予微创</w:t>
            </w:r>
          </w:p>
        </w:tc>
      </w:tr>
    </w:tbl>
    <w:p>
      <w:pPr>
        <w:spacing w:after="0" w:line="243" w:lineRule="exact"/>
        <w:rPr>
          <w:sz w:val="21"/>
        </w:rPr>
        <w:sectPr>
          <w:pgSz w:w="11910" w:h="16850"/>
          <w:pgMar w:header="0" w:footer="944" w:top="1600" w:bottom="1180" w:left="880" w:right="640"/>
        </w:sectPr>
      </w:pPr>
    </w:p>
    <w:p>
      <w:pPr>
        <w:pStyle w:val="BodyText"/>
        <w:spacing w:before="21"/>
        <w:ind w:left="2669"/>
      </w:pPr>
      <w:r>
        <w:rPr/>
        <w:t>冠状动脉搭桥手术（或称微创冠状动脉旁路移植术）理赔。</w:t>
      </w:r>
    </w:p>
    <w:p>
      <w:pPr>
        <w:pStyle w:val="BodyText"/>
        <w:spacing w:line="276" w:lineRule="auto"/>
        <w:ind w:left="2669" w:right="40"/>
      </w:pPr>
      <w:r>
        <w:rPr/>
        <w:t>理赔后不典型心肌梗塞和微创冠状动脉搭桥手术（或称微创冠状动脉旁路移植术） 保障同时终止。</w:t>
      </w:r>
    </w:p>
    <w:p>
      <w:pPr>
        <w:pStyle w:val="BodyText"/>
        <w:spacing w:before="8"/>
        <w:rPr>
          <w:sz w:val="23"/>
        </w:rPr>
      </w:pPr>
    </w:p>
    <w:p>
      <w:pPr>
        <w:pStyle w:val="ListParagraph"/>
        <w:numPr>
          <w:ilvl w:val="2"/>
          <w:numId w:val="12"/>
        </w:numPr>
        <w:tabs>
          <w:tab w:pos="1138" w:val="left" w:leader="none"/>
        </w:tabs>
        <w:spacing w:line="276" w:lineRule="auto" w:before="0" w:after="0"/>
        <w:ind w:left="2669" w:right="199" w:hanging="2553"/>
        <w:jc w:val="both"/>
        <w:rPr>
          <w:sz w:val="21"/>
        </w:rPr>
      </w:pPr>
      <w:r>
        <w:rPr>
          <w:rFonts w:ascii="楷体" w:eastAsia="楷体" w:hint="eastAsia"/>
          <w:b/>
          <w:spacing w:val="7"/>
          <w:sz w:val="21"/>
        </w:rPr>
        <w:t>轻微脑中风 </w:t>
      </w:r>
      <w:r>
        <w:rPr>
          <w:sz w:val="21"/>
        </w:rPr>
        <w:t>实际发生了脑血管的突发病变出现神经系统功能障碍表现，并接受住院治疗，头颅断层扫描</w:t>
      </w:r>
      <w:r>
        <w:rPr>
          <w:spacing w:val="-2"/>
          <w:sz w:val="21"/>
        </w:rPr>
        <w:t>（</w:t>
      </w:r>
      <w:r>
        <w:rPr>
          <w:sz w:val="21"/>
        </w:rPr>
        <w:t>CT</w:t>
      </w:r>
      <w:r>
        <w:rPr>
          <w:spacing w:val="-105"/>
          <w:sz w:val="21"/>
        </w:rPr>
        <w:t>）</w:t>
      </w:r>
      <w:r>
        <w:rPr>
          <w:sz w:val="21"/>
        </w:rPr>
        <w:t>、核磁共振</w:t>
      </w:r>
      <w:r>
        <w:rPr>
          <w:spacing w:val="-1"/>
          <w:sz w:val="21"/>
        </w:rPr>
        <w:t>（</w:t>
      </w:r>
      <w:r>
        <w:rPr>
          <w:sz w:val="21"/>
        </w:rPr>
        <w:t>MRI）等影像学检查证实存在对应病灶，确诊为脑出</w:t>
      </w:r>
      <w:r>
        <w:rPr>
          <w:spacing w:val="-2"/>
          <w:sz w:val="21"/>
        </w:rPr>
        <w:t>血、脑栓塞或脑梗塞，在确诊 </w:t>
      </w:r>
      <w:r>
        <w:rPr>
          <w:sz w:val="21"/>
        </w:rPr>
        <w:t>180</w:t>
      </w:r>
      <w:r>
        <w:rPr>
          <w:spacing w:val="-5"/>
          <w:sz w:val="21"/>
        </w:rPr>
        <w:t> 天后仍然遗留一肢或一肢以上肢体肌力 </w:t>
      </w:r>
      <w:r>
        <w:rPr>
          <w:sz w:val="21"/>
        </w:rPr>
        <w:t>III </w:t>
      </w:r>
      <w:r>
        <w:rPr>
          <w:spacing w:val="-16"/>
          <w:sz w:val="21"/>
        </w:rPr>
        <w:t>级或 </w:t>
      </w:r>
      <w:r>
        <w:rPr>
          <w:sz w:val="21"/>
        </w:rPr>
        <w:t>III</w:t>
      </w:r>
      <w:r>
        <w:rPr>
          <w:spacing w:val="-7"/>
          <w:sz w:val="21"/>
        </w:rPr>
        <w:t> 级以下的运动功能障碍。</w:t>
      </w:r>
    </w:p>
    <w:p>
      <w:pPr>
        <w:pStyle w:val="BodyText"/>
        <w:spacing w:before="11"/>
        <w:rPr>
          <w:sz w:val="20"/>
        </w:rPr>
      </w:pPr>
    </w:p>
    <w:p>
      <w:pPr>
        <w:spacing w:after="0"/>
        <w:rPr>
          <w:sz w:val="20"/>
        </w:rPr>
        <w:sectPr>
          <w:pgSz w:w="11910" w:h="16850"/>
          <w:pgMar w:header="0" w:footer="944" w:top="1200" w:bottom="1180" w:left="980" w:right="640"/>
        </w:sectPr>
      </w:pPr>
    </w:p>
    <w:p>
      <w:pPr>
        <w:pStyle w:val="Heading3"/>
        <w:numPr>
          <w:ilvl w:val="2"/>
          <w:numId w:val="12"/>
        </w:numPr>
        <w:tabs>
          <w:tab w:pos="1137" w:val="left" w:leader="none"/>
          <w:tab w:pos="1138" w:val="left" w:leader="none"/>
        </w:tabs>
        <w:spacing w:line="276" w:lineRule="auto" w:before="36" w:after="0"/>
        <w:ind w:left="1137" w:right="0" w:hanging="1021"/>
        <w:jc w:val="left"/>
      </w:pPr>
      <w:r>
        <w:rPr>
          <w:w w:val="95"/>
        </w:rPr>
        <w:t>微创冠状动脉搭桥手术（或称微创冠状动</w:t>
      </w:r>
      <w:r>
        <w:rPr/>
        <w:t>脉旁路移植 </w:t>
      </w:r>
      <w:r>
        <w:rPr>
          <w:w w:val="95"/>
        </w:rPr>
        <w:t>术）</w:t>
      </w:r>
    </w:p>
    <w:p>
      <w:pPr>
        <w:pStyle w:val="BodyText"/>
        <w:spacing w:line="276" w:lineRule="auto" w:before="36"/>
        <w:ind w:left="116" w:right="250"/>
        <w:jc w:val="both"/>
      </w:pPr>
      <w:r>
        <w:rPr/>
        <w:br w:type="column"/>
      </w:r>
      <w:r>
        <w:rPr/>
        <w:t>为纠正冠状动脉的狭窄或堵塞，而实际实施的冠状动脉旁路移植手术。手术通过微创开胸术（肋骨间小切口）进行，且诊断须由冠状动脉血管造影检查确诊狭窄或堵塞。微创冠状动脉绕道也包括"锁孔"冠脉搭桥手术。</w:t>
      </w:r>
    </w:p>
    <w:p>
      <w:pPr>
        <w:pStyle w:val="BodyText"/>
        <w:spacing w:before="8"/>
        <w:ind w:left="116"/>
      </w:pPr>
      <w:r>
        <w:rPr/>
        <w:t>理赔必须满足所有以下条件：</w:t>
      </w:r>
    </w:p>
    <w:p>
      <w:pPr>
        <w:pStyle w:val="ListParagraph"/>
        <w:numPr>
          <w:ilvl w:val="0"/>
          <w:numId w:val="13"/>
        </w:numPr>
        <w:tabs>
          <w:tab w:pos="687" w:val="left" w:leader="none"/>
        </w:tabs>
        <w:spacing w:line="261" w:lineRule="auto" w:before="40" w:after="0"/>
        <w:ind w:left="116" w:right="200" w:firstLine="0"/>
        <w:jc w:val="both"/>
        <w:rPr>
          <w:sz w:val="21"/>
        </w:rPr>
      </w:pPr>
      <w:r>
        <w:rPr>
          <w:spacing w:val="-3"/>
          <w:sz w:val="21"/>
        </w:rPr>
        <w:t>血管造影显示至少两支冠状动脉狭窄超过 </w:t>
      </w:r>
      <w:r>
        <w:rPr>
          <w:sz w:val="21"/>
        </w:rPr>
        <w:t>50%</w:t>
      </w:r>
      <w:r>
        <w:rPr>
          <w:spacing w:val="-5"/>
          <w:sz w:val="21"/>
        </w:rPr>
        <w:t>或一支冠状动脉狭窄 </w:t>
      </w:r>
      <w:r>
        <w:rPr>
          <w:sz w:val="21"/>
        </w:rPr>
        <w:t>70%或更高；</w:t>
      </w:r>
    </w:p>
    <w:p>
      <w:pPr>
        <w:pStyle w:val="ListParagraph"/>
        <w:numPr>
          <w:ilvl w:val="0"/>
          <w:numId w:val="13"/>
        </w:numPr>
        <w:tabs>
          <w:tab w:pos="748" w:val="left" w:leader="none"/>
        </w:tabs>
        <w:spacing w:line="240" w:lineRule="auto" w:before="21" w:after="0"/>
        <w:ind w:left="747" w:right="0" w:hanging="631"/>
        <w:jc w:val="left"/>
        <w:rPr>
          <w:sz w:val="21"/>
        </w:rPr>
      </w:pPr>
      <w:r>
        <w:rPr>
          <w:sz w:val="21"/>
        </w:rPr>
        <w:t>手术须由心脏专科医师进行，并确认该手术是必要的。</w:t>
      </w:r>
    </w:p>
    <w:p>
      <w:pPr>
        <w:pStyle w:val="BodyText"/>
        <w:spacing w:line="276" w:lineRule="auto" w:before="39"/>
        <w:ind w:left="116" w:right="250"/>
        <w:jc w:val="both"/>
      </w:pPr>
      <w:r>
        <w:rPr/>
        <w:t>冠状动脉包括：左冠状动脉主干、右冠状动脉、左前降支、左旋支，这四条血管的分支血管的狭窄和堵塞不作为本保障的衡量指标。</w:t>
      </w:r>
    </w:p>
    <w:p>
      <w:pPr>
        <w:pStyle w:val="BodyText"/>
        <w:spacing w:line="271" w:lineRule="auto" w:before="8"/>
        <w:ind w:left="116" w:right="250"/>
        <w:jc w:val="both"/>
      </w:pPr>
      <w:r>
        <w:rPr/>
        <w:t>如果被保险人在微创冠状动脉搭桥（或称微创冠状动脉旁路移植）治疗时发生不典型心肌梗塞，本合同只给予在本疾病项下的理赔，不再给予不典型心肌梗塞理赔。理赔后微创冠状动脉搭桥手术（或称微创冠状动脉旁路移植术）和不典型心肌梗塞保障同时终止。</w:t>
      </w:r>
    </w:p>
    <w:p>
      <w:pPr>
        <w:spacing w:after="0" w:line="271" w:lineRule="auto"/>
        <w:jc w:val="both"/>
        <w:sectPr>
          <w:type w:val="continuous"/>
          <w:pgSz w:w="11910" w:h="16850"/>
          <w:pgMar w:top="540" w:bottom="1140" w:left="980" w:right="640"/>
          <w:cols w:num="2" w:equalWidth="0">
            <w:col w:w="2401" w:space="152"/>
            <w:col w:w="7737"/>
          </w:cols>
        </w:sectPr>
      </w:pPr>
    </w:p>
    <w:p>
      <w:pPr>
        <w:pStyle w:val="BodyText"/>
        <w:spacing w:before="5"/>
        <w:rPr>
          <w:sz w:val="22"/>
        </w:rPr>
      </w:pPr>
    </w:p>
    <w:p>
      <w:pPr>
        <w:spacing w:after="0"/>
        <w:rPr>
          <w:sz w:val="22"/>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61" w:lineRule="auto" w:before="35" w:after="0"/>
        <w:ind w:left="1137" w:right="0" w:hanging="1021"/>
        <w:jc w:val="left"/>
      </w:pPr>
      <w:r>
        <w:rPr>
          <w:spacing w:val="-11"/>
        </w:rPr>
        <w:t>较小面积 </w:t>
      </w:r>
      <w:r>
        <w:rPr/>
        <w:t>III </w:t>
      </w:r>
      <w:r>
        <w:rPr>
          <w:w w:val="95"/>
        </w:rPr>
        <w:t>度烧伤</w:t>
      </w:r>
    </w:p>
    <w:p>
      <w:pPr>
        <w:spacing w:line="256" w:lineRule="auto" w:before="35"/>
        <w:ind w:left="116" w:right="214" w:firstLine="0"/>
        <w:jc w:val="left"/>
        <w:rPr>
          <w:b/>
          <w:i/>
          <w:sz w:val="22"/>
        </w:rPr>
      </w:pPr>
      <w:r>
        <w:rPr/>
        <w:br w:type="column"/>
      </w:r>
      <w:r>
        <w:rPr>
          <w:spacing w:val="-7"/>
          <w:sz w:val="21"/>
        </w:rPr>
        <w:t>指烧伤程度为 </w:t>
      </w:r>
      <w:r>
        <w:rPr>
          <w:sz w:val="21"/>
        </w:rPr>
        <w:t>III</w:t>
      </w:r>
      <w:r>
        <w:rPr>
          <w:spacing w:val="-19"/>
          <w:sz w:val="21"/>
        </w:rPr>
        <w:t> 度，且 </w:t>
      </w:r>
      <w:r>
        <w:rPr>
          <w:spacing w:val="-5"/>
          <w:sz w:val="21"/>
        </w:rPr>
        <w:t>III</w:t>
      </w:r>
      <w:r>
        <w:rPr>
          <w:spacing w:val="-10"/>
          <w:sz w:val="21"/>
        </w:rPr>
        <w:t> 度烧伤面积达到全身体表面积的 </w:t>
      </w:r>
      <w:r>
        <w:rPr>
          <w:sz w:val="21"/>
        </w:rPr>
        <w:t>10%（百分之十） </w:t>
      </w:r>
      <w:r>
        <w:rPr>
          <w:w w:val="95"/>
          <w:sz w:val="21"/>
        </w:rPr>
        <w:t>但少于  20%（百分之二十</w:t>
      </w:r>
      <w:r>
        <w:rPr>
          <w:spacing w:val="-105"/>
          <w:w w:val="95"/>
          <w:sz w:val="21"/>
        </w:rPr>
        <w:t>）</w:t>
      </w:r>
      <w:r>
        <w:rPr>
          <w:spacing w:val="-2"/>
          <w:w w:val="95"/>
          <w:sz w:val="21"/>
        </w:rPr>
        <w:t>。体表面积根据《中国新九分法》计算。</w:t>
      </w:r>
      <w:r>
        <w:rPr>
          <w:b/>
          <w:i/>
          <w:w w:val="95"/>
          <w:sz w:val="22"/>
        </w:rPr>
        <w:t>若被保险人已</w:t>
      </w:r>
      <w:r>
        <w:rPr>
          <w:b/>
          <w:i/>
          <w:spacing w:val="-5"/>
          <w:w w:val="95"/>
          <w:sz w:val="22"/>
        </w:rPr>
        <w:t>符合重大疾病“严重 </w:t>
      </w:r>
      <w:r>
        <w:rPr>
          <w:b/>
          <w:i/>
          <w:w w:val="95"/>
          <w:sz w:val="22"/>
        </w:rPr>
        <w:t>III</w:t>
      </w:r>
      <w:r>
        <w:rPr>
          <w:b/>
          <w:i/>
          <w:spacing w:val="-6"/>
          <w:w w:val="95"/>
          <w:sz w:val="22"/>
        </w:rPr>
        <w:t> 度烧伤”给付标准的，则不在本疾病保障范围内。</w:t>
      </w:r>
    </w:p>
    <w:p>
      <w:pPr>
        <w:spacing w:after="0" w:line="256" w:lineRule="auto"/>
        <w:jc w:val="left"/>
        <w:rPr>
          <w:sz w:val="22"/>
        </w:rPr>
        <w:sectPr>
          <w:type w:val="continuous"/>
          <w:pgSz w:w="11910" w:h="16850"/>
          <w:pgMar w:top="540" w:bottom="1140" w:left="980" w:right="640"/>
          <w:cols w:num="2" w:equalWidth="0">
            <w:col w:w="2354" w:space="199"/>
            <w:col w:w="7737"/>
          </w:cols>
        </w:sectPr>
      </w:pPr>
    </w:p>
    <w:p>
      <w:pPr>
        <w:pStyle w:val="BodyText"/>
        <w:spacing w:before="2"/>
        <w:rPr>
          <w:b/>
          <w:i/>
          <w:sz w:val="23"/>
        </w:rPr>
      </w:pPr>
    </w:p>
    <w:p>
      <w:pPr>
        <w:spacing w:after="0"/>
        <w:rPr>
          <w:sz w:val="23"/>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76" w:lineRule="auto" w:before="35" w:after="0"/>
        <w:ind w:left="1137" w:right="0" w:hanging="1021"/>
        <w:jc w:val="left"/>
      </w:pPr>
      <w:r>
        <w:rPr>
          <w:w w:val="95"/>
        </w:rPr>
        <w:t>脑垂体瘤、脑囊肿</w:t>
      </w:r>
    </w:p>
    <w:p>
      <w:pPr>
        <w:pStyle w:val="BodyText"/>
        <w:spacing w:line="276" w:lineRule="auto" w:before="35"/>
        <w:ind w:left="116" w:right="107"/>
      </w:pPr>
      <w:r>
        <w:rPr/>
        <w:br w:type="column"/>
      </w:r>
      <w:r>
        <w:rPr>
          <w:spacing w:val="-2"/>
        </w:rPr>
        <w:t>指经头颅断层扫描（</w:t>
      </w:r>
      <w:r>
        <w:rPr/>
        <w:t>CT</w:t>
      </w:r>
      <w:r>
        <w:rPr>
          <w:spacing w:val="-105"/>
        </w:rPr>
        <w:t>）</w:t>
      </w:r>
      <w:r>
        <w:rPr>
          <w:spacing w:val="-7"/>
        </w:rPr>
        <w:t>、核磁共振</w:t>
      </w:r>
      <w:r>
        <w:rPr/>
        <w:t>（MRI</w:t>
      </w:r>
      <w:r>
        <w:rPr>
          <w:spacing w:val="-15"/>
        </w:rPr>
        <w:t>）</w:t>
      </w:r>
      <w:r>
        <w:rPr/>
        <w:t>或其他影像学检查被确诊为下列病变，并实际接受了手术或放射治疗。</w:t>
      </w:r>
    </w:p>
    <w:p>
      <w:pPr>
        <w:pStyle w:val="ListParagraph"/>
        <w:numPr>
          <w:ilvl w:val="0"/>
          <w:numId w:val="14"/>
        </w:numPr>
        <w:tabs>
          <w:tab w:pos="748" w:val="left" w:leader="none"/>
        </w:tabs>
        <w:spacing w:line="269" w:lineRule="exact" w:before="0" w:after="0"/>
        <w:ind w:left="747" w:right="0" w:hanging="631"/>
        <w:jc w:val="left"/>
        <w:rPr>
          <w:sz w:val="21"/>
        </w:rPr>
      </w:pPr>
      <w:r>
        <w:rPr>
          <w:sz w:val="21"/>
        </w:rPr>
        <w:t>脑垂体瘤；</w:t>
      </w:r>
    </w:p>
    <w:p>
      <w:pPr>
        <w:pStyle w:val="ListParagraph"/>
        <w:numPr>
          <w:ilvl w:val="0"/>
          <w:numId w:val="14"/>
        </w:numPr>
        <w:tabs>
          <w:tab w:pos="748" w:val="left" w:leader="none"/>
        </w:tabs>
        <w:spacing w:line="240" w:lineRule="auto" w:before="41" w:after="0"/>
        <w:ind w:left="747" w:right="0" w:hanging="631"/>
        <w:jc w:val="left"/>
        <w:rPr>
          <w:sz w:val="21"/>
        </w:rPr>
      </w:pPr>
      <w:r>
        <w:rPr>
          <w:sz w:val="21"/>
        </w:rPr>
        <w:t>脑囊肿。</w:t>
      </w:r>
    </w:p>
    <w:p>
      <w:pPr>
        <w:spacing w:after="0" w:line="240" w:lineRule="auto"/>
        <w:jc w:val="left"/>
        <w:rPr>
          <w:sz w:val="21"/>
        </w:rPr>
        <w:sectPr>
          <w:type w:val="continuous"/>
          <w:pgSz w:w="11910" w:h="16850"/>
          <w:pgMar w:top="540" w:bottom="1140" w:left="980" w:right="640"/>
          <w:cols w:num="2" w:equalWidth="0">
            <w:col w:w="2401" w:space="152"/>
            <w:col w:w="7737"/>
          </w:cols>
        </w:sectPr>
      </w:pPr>
    </w:p>
    <w:p>
      <w:pPr>
        <w:pStyle w:val="BodyText"/>
        <w:spacing w:before="6"/>
        <w:rPr>
          <w:sz w:val="24"/>
        </w:rPr>
      </w:pPr>
    </w:p>
    <w:p>
      <w:pPr>
        <w:spacing w:after="0"/>
        <w:rPr>
          <w:sz w:val="24"/>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76" w:lineRule="auto" w:before="35" w:after="0"/>
        <w:ind w:left="1137" w:right="0" w:hanging="1021"/>
        <w:jc w:val="left"/>
      </w:pPr>
      <w:r>
        <w:rPr>
          <w:w w:val="95"/>
        </w:rPr>
        <w:t>脑动脉瘤及脑血管瘤</w:t>
      </w:r>
    </w:p>
    <w:p>
      <w:pPr>
        <w:pStyle w:val="BodyText"/>
        <w:spacing w:line="276" w:lineRule="auto" w:before="35"/>
        <w:ind w:left="116" w:right="107"/>
      </w:pPr>
      <w:r>
        <w:rPr/>
        <w:br w:type="column"/>
      </w:r>
      <w:r>
        <w:rPr>
          <w:spacing w:val="-2"/>
        </w:rPr>
        <w:t>指经头颅断层扫描（</w:t>
      </w:r>
      <w:r>
        <w:rPr/>
        <w:t>CT</w:t>
      </w:r>
      <w:r>
        <w:rPr>
          <w:spacing w:val="-105"/>
        </w:rPr>
        <w:t>）</w:t>
      </w:r>
      <w:r>
        <w:rPr>
          <w:spacing w:val="-7"/>
        </w:rPr>
        <w:t>、核磁共振</w:t>
      </w:r>
      <w:r>
        <w:rPr/>
        <w:t>（MRI</w:t>
      </w:r>
      <w:r>
        <w:rPr>
          <w:spacing w:val="-15"/>
        </w:rPr>
        <w:t>）</w:t>
      </w:r>
      <w:r>
        <w:rPr/>
        <w:t>或其他影像学检查被确诊为脑动脉瘤、脑血管瘤，并实际接受了手术或放射治疗。</w:t>
      </w:r>
    </w:p>
    <w:p>
      <w:pPr>
        <w:spacing w:after="0" w:line="276" w:lineRule="auto"/>
        <w:sectPr>
          <w:type w:val="continuous"/>
          <w:pgSz w:w="11910" w:h="16850"/>
          <w:pgMar w:top="540" w:bottom="1140" w:left="980" w:right="640"/>
          <w:cols w:num="2" w:equalWidth="0">
            <w:col w:w="2401" w:space="152"/>
            <w:col w:w="7737"/>
          </w:cols>
        </w:sectPr>
      </w:pPr>
    </w:p>
    <w:p>
      <w:pPr>
        <w:pStyle w:val="BodyText"/>
        <w:spacing w:before="11"/>
        <w:rPr>
          <w:sz w:val="20"/>
        </w:rPr>
      </w:pPr>
    </w:p>
    <w:p>
      <w:pPr>
        <w:pStyle w:val="ListParagraph"/>
        <w:numPr>
          <w:ilvl w:val="2"/>
          <w:numId w:val="12"/>
        </w:numPr>
        <w:tabs>
          <w:tab w:pos="1137" w:val="left" w:leader="none"/>
          <w:tab w:pos="1138" w:val="left" w:leader="none"/>
          <w:tab w:pos="2669" w:val="left" w:leader="none"/>
        </w:tabs>
        <w:spacing w:line="276" w:lineRule="auto" w:before="36" w:after="0"/>
        <w:ind w:left="2669" w:right="196" w:hanging="2553"/>
        <w:jc w:val="left"/>
        <w:rPr>
          <w:sz w:val="21"/>
        </w:rPr>
      </w:pPr>
      <w:r>
        <w:rPr>
          <w:rFonts w:ascii="楷体" w:hAnsi="楷体" w:eastAsia="楷体" w:hint="eastAsia"/>
          <w:b/>
          <w:sz w:val="21"/>
        </w:rPr>
        <w:t>视力严重受损</w:t>
        <w:tab/>
      </w:r>
      <w:r>
        <w:rPr>
          <w:sz w:val="21"/>
        </w:rPr>
        <w:t>指因疾病或意外伤害导致双目视力永久不可逆</w:t>
      </w:r>
      <w:r>
        <w:rPr>
          <w:spacing w:val="-5"/>
          <w:sz w:val="21"/>
        </w:rPr>
        <w:t>性</w:t>
      </w:r>
      <w:r>
        <w:rPr>
          <w:sz w:val="21"/>
        </w:rPr>
        <w:t>（见</w:t>
      </w:r>
      <w:r>
        <w:rPr>
          <w:spacing w:val="-46"/>
          <w:sz w:val="21"/>
        </w:rPr>
        <w:t> </w:t>
      </w:r>
      <w:r>
        <w:rPr>
          <w:sz w:val="21"/>
        </w:rPr>
        <w:t>9.21）丧失，虽然未达到重大疾病“双目失明”的给付标准，但满足下列全部条件：</w:t>
      </w:r>
    </w:p>
    <w:p>
      <w:pPr>
        <w:pStyle w:val="ListParagraph"/>
        <w:numPr>
          <w:ilvl w:val="3"/>
          <w:numId w:val="12"/>
        </w:numPr>
        <w:tabs>
          <w:tab w:pos="3301" w:val="left" w:leader="none"/>
        </w:tabs>
        <w:spacing w:line="276" w:lineRule="auto" w:before="9" w:after="0"/>
        <w:ind w:left="2669" w:right="301" w:firstLine="0"/>
        <w:jc w:val="left"/>
        <w:rPr>
          <w:sz w:val="21"/>
        </w:rPr>
      </w:pPr>
      <w:r>
        <w:rPr>
          <w:spacing w:val="-4"/>
          <w:sz w:val="21"/>
        </w:rPr>
        <w:t>双眼中较好眼矫正视力低于 </w:t>
      </w:r>
      <w:r>
        <w:rPr>
          <w:sz w:val="21"/>
        </w:rPr>
        <w:t>0.1（采用国际标准视力表，如果使用其他视力表应进行换算</w:t>
      </w:r>
      <w:r>
        <w:rPr>
          <w:spacing w:val="-105"/>
          <w:sz w:val="21"/>
        </w:rPr>
        <w:t>）</w:t>
      </w:r>
      <w:r>
        <w:rPr>
          <w:sz w:val="21"/>
        </w:rPr>
        <w:t>；</w:t>
      </w:r>
    </w:p>
    <w:p>
      <w:pPr>
        <w:pStyle w:val="ListParagraph"/>
        <w:numPr>
          <w:ilvl w:val="3"/>
          <w:numId w:val="12"/>
        </w:numPr>
        <w:tabs>
          <w:tab w:pos="3301" w:val="left" w:leader="none"/>
        </w:tabs>
        <w:spacing w:line="269" w:lineRule="exact" w:before="0" w:after="0"/>
        <w:ind w:left="2669" w:right="0" w:firstLine="0"/>
        <w:jc w:val="left"/>
        <w:rPr>
          <w:sz w:val="21"/>
        </w:rPr>
      </w:pPr>
      <w:r>
        <w:rPr>
          <w:spacing w:val="-4"/>
          <w:sz w:val="21"/>
        </w:rPr>
        <w:t>双眼中较好眼视野半径小于 </w:t>
      </w:r>
      <w:r>
        <w:rPr>
          <w:sz w:val="21"/>
        </w:rPr>
        <w:t>20</w:t>
      </w:r>
      <w:r>
        <w:rPr>
          <w:spacing w:val="-16"/>
          <w:sz w:val="21"/>
        </w:rPr>
        <w:t> 度。</w:t>
      </w:r>
    </w:p>
    <w:p>
      <w:pPr>
        <w:pStyle w:val="Heading2"/>
        <w:spacing w:line="264" w:lineRule="auto" w:before="29"/>
        <w:ind w:left="2669" w:right="162"/>
        <w:rPr>
          <w:b w:val="0"/>
          <w:i w:val="0"/>
          <w:sz w:val="21"/>
        </w:rPr>
      </w:pPr>
      <w:r>
        <w:rPr>
          <w:w w:val="95"/>
        </w:rPr>
        <w:t>申请理赔时，被保险人年龄必须在 3 周岁以上，并且须提供理赔当时的视力丧失诊断及检查证据</w:t>
      </w:r>
      <w:r>
        <w:rPr>
          <w:b w:val="0"/>
          <w:i w:val="0"/>
          <w:w w:val="95"/>
          <w:sz w:val="21"/>
        </w:rPr>
        <w:t>。</w:t>
      </w:r>
    </w:p>
    <w:p>
      <w:pPr>
        <w:pStyle w:val="BodyText"/>
        <w:spacing w:before="9"/>
        <w:rPr>
          <w:sz w:val="22"/>
        </w:rPr>
      </w:pPr>
    </w:p>
    <w:p>
      <w:pPr>
        <w:spacing w:after="0"/>
        <w:rPr>
          <w:sz w:val="22"/>
        </w:rPr>
        <w:sectPr>
          <w:type w:val="continuous"/>
          <w:pgSz w:w="11910" w:h="16850"/>
          <w:pgMar w:top="540" w:bottom="1140" w:left="980" w:right="640"/>
        </w:sectPr>
      </w:pPr>
    </w:p>
    <w:p>
      <w:pPr>
        <w:pStyle w:val="Heading3"/>
        <w:numPr>
          <w:ilvl w:val="2"/>
          <w:numId w:val="12"/>
        </w:numPr>
        <w:tabs>
          <w:tab w:pos="1138" w:val="left" w:leader="none"/>
        </w:tabs>
        <w:spacing w:line="268" w:lineRule="auto" w:before="35" w:after="0"/>
        <w:ind w:left="1137" w:right="0" w:hanging="1021"/>
        <w:jc w:val="both"/>
      </w:pPr>
      <w:r>
        <w:rPr>
          <w:w w:val="95"/>
        </w:rPr>
        <w:t>心脏瓣膜介入手术（非开胸手术）</w:t>
      </w:r>
    </w:p>
    <w:p>
      <w:pPr>
        <w:pStyle w:val="BodyText"/>
        <w:spacing w:line="261" w:lineRule="auto" w:before="35"/>
        <w:ind w:left="116" w:right="250"/>
      </w:pPr>
      <w:r>
        <w:rPr/>
        <w:br w:type="column"/>
      </w:r>
      <w:r>
        <w:rPr/>
        <w:t>为了治疗心脏瓣膜疾病，实际实施了非开胸的经胸壁打孔内镜手术或经皮经导管介入手术进行的心脏瓣膜置换或修复手术。</w:t>
      </w:r>
    </w:p>
    <w:p>
      <w:pPr>
        <w:spacing w:after="0" w:line="261" w:lineRule="auto"/>
        <w:sectPr>
          <w:type w:val="continuous"/>
          <w:pgSz w:w="11910" w:h="16850"/>
          <w:pgMar w:top="540" w:bottom="1140" w:left="980" w:right="640"/>
          <w:cols w:num="2" w:equalWidth="0">
            <w:col w:w="2401" w:space="152"/>
            <w:col w:w="7737"/>
          </w:cols>
        </w:sectPr>
      </w:pPr>
    </w:p>
    <w:p>
      <w:pPr>
        <w:pStyle w:val="ListParagraph"/>
        <w:numPr>
          <w:ilvl w:val="2"/>
          <w:numId w:val="12"/>
        </w:numPr>
        <w:tabs>
          <w:tab w:pos="1137" w:val="left" w:leader="none"/>
          <w:tab w:pos="1138" w:val="left" w:leader="none"/>
          <w:tab w:pos="2669" w:val="left" w:leader="none"/>
        </w:tabs>
        <w:spacing w:line="271" w:lineRule="auto" w:before="16" w:after="0"/>
        <w:ind w:left="2669" w:right="124" w:hanging="2553"/>
        <w:jc w:val="left"/>
        <w:rPr>
          <w:sz w:val="21"/>
        </w:rPr>
      </w:pPr>
      <w:r>
        <w:rPr>
          <w:rFonts w:ascii="楷体" w:eastAsia="楷体" w:hint="eastAsia"/>
          <w:b/>
          <w:sz w:val="21"/>
        </w:rPr>
        <w:t>重度头部外伤</w:t>
        <w:tab/>
      </w:r>
      <w:r>
        <w:rPr>
          <w:sz w:val="21"/>
        </w:rPr>
        <w:t>指因头部遭受机械性外力，引起脑重要部位损伤，导致神经系统永久性的功能障碍</w:t>
      </w:r>
      <w:r>
        <w:rPr>
          <w:spacing w:val="-30"/>
          <w:sz w:val="21"/>
        </w:rPr>
        <w:t>。</w:t>
      </w:r>
      <w:r>
        <w:rPr>
          <w:sz w:val="21"/>
        </w:rPr>
        <w:t>须由头颅断层扫</w:t>
      </w:r>
      <w:r>
        <w:rPr>
          <w:spacing w:val="-30"/>
          <w:sz w:val="21"/>
        </w:rPr>
        <w:t>描</w:t>
      </w:r>
      <w:r>
        <w:rPr>
          <w:spacing w:val="-1"/>
          <w:sz w:val="21"/>
        </w:rPr>
        <w:t>（</w:t>
      </w:r>
      <w:r>
        <w:rPr>
          <w:sz w:val="21"/>
        </w:rPr>
        <w:t>CT</w:t>
      </w:r>
      <w:r>
        <w:rPr>
          <w:spacing w:val="-105"/>
          <w:sz w:val="21"/>
        </w:rPr>
        <w:t>）</w:t>
      </w:r>
      <w:r>
        <w:rPr>
          <w:spacing w:val="-31"/>
          <w:sz w:val="21"/>
        </w:rPr>
        <w:t>、</w:t>
      </w:r>
      <w:r>
        <w:rPr>
          <w:sz w:val="21"/>
        </w:rPr>
        <w:t>核磁共振检</w:t>
      </w:r>
      <w:r>
        <w:rPr>
          <w:spacing w:val="-30"/>
          <w:sz w:val="21"/>
        </w:rPr>
        <w:t>查</w:t>
      </w:r>
      <w:r>
        <w:rPr>
          <w:spacing w:val="-1"/>
          <w:sz w:val="21"/>
        </w:rPr>
        <w:t>（</w:t>
      </w:r>
      <w:r>
        <w:rPr>
          <w:sz w:val="21"/>
        </w:rPr>
        <w:t>MRI</w:t>
      </w:r>
      <w:r>
        <w:rPr>
          <w:spacing w:val="-31"/>
          <w:sz w:val="21"/>
        </w:rPr>
        <w:t>）</w:t>
      </w:r>
      <w:r>
        <w:rPr>
          <w:sz w:val="21"/>
        </w:rPr>
        <w:t>或正电子发射断层扫</w:t>
      </w:r>
      <w:r>
        <w:rPr>
          <w:spacing w:val="-30"/>
          <w:sz w:val="21"/>
        </w:rPr>
        <w:t>描</w:t>
      </w:r>
      <w:r>
        <w:rPr>
          <w:spacing w:val="-1"/>
          <w:sz w:val="21"/>
        </w:rPr>
        <w:t>（</w:t>
      </w:r>
      <w:r>
        <w:rPr>
          <w:sz w:val="21"/>
        </w:rPr>
        <w:t>PET）等影像学检查证实。神经系统永久性的功能障碍，指脑损伤</w:t>
      </w:r>
      <w:r>
        <w:rPr>
          <w:spacing w:val="-50"/>
          <w:sz w:val="21"/>
        </w:rPr>
        <w:t> </w:t>
      </w:r>
      <w:r>
        <w:rPr>
          <w:sz w:val="21"/>
        </w:rPr>
        <w:t>180</w:t>
      </w:r>
      <w:r>
        <w:rPr>
          <w:spacing w:val="-46"/>
          <w:sz w:val="21"/>
        </w:rPr>
        <w:t> </w:t>
      </w:r>
      <w:r>
        <w:rPr>
          <w:sz w:val="21"/>
        </w:rPr>
        <w:t>天后，仍然遗留一肢或一肢以上肢体肌力</w:t>
      </w:r>
      <w:r>
        <w:rPr>
          <w:spacing w:val="-47"/>
          <w:sz w:val="21"/>
        </w:rPr>
        <w:t> </w:t>
      </w:r>
      <w:r>
        <w:rPr>
          <w:sz w:val="21"/>
        </w:rPr>
        <w:t>III</w:t>
      </w:r>
      <w:r>
        <w:rPr>
          <w:spacing w:val="-45"/>
          <w:sz w:val="21"/>
        </w:rPr>
        <w:t> </w:t>
      </w:r>
      <w:r>
        <w:rPr>
          <w:sz w:val="21"/>
        </w:rPr>
        <w:t>级或</w:t>
      </w:r>
      <w:r>
        <w:rPr>
          <w:spacing w:val="-46"/>
          <w:sz w:val="21"/>
        </w:rPr>
        <w:t> </w:t>
      </w:r>
      <w:r>
        <w:rPr>
          <w:spacing w:val="-5"/>
          <w:sz w:val="21"/>
        </w:rPr>
        <w:t>III</w:t>
      </w:r>
      <w:r>
        <w:rPr>
          <w:spacing w:val="-45"/>
          <w:sz w:val="21"/>
        </w:rPr>
        <w:t> </w:t>
      </w:r>
      <w:r>
        <w:rPr>
          <w:sz w:val="21"/>
        </w:rPr>
        <w:t>级以下的运动功能障碍。</w:t>
      </w:r>
    </w:p>
    <w:p>
      <w:pPr>
        <w:pStyle w:val="BodyText"/>
        <w:spacing w:before="5"/>
        <w:rPr>
          <w:sz w:val="22"/>
        </w:rPr>
      </w:pPr>
    </w:p>
    <w:p>
      <w:pPr>
        <w:spacing w:after="0"/>
        <w:rPr>
          <w:sz w:val="22"/>
        </w:rPr>
        <w:sectPr>
          <w:pgSz w:w="11910" w:h="16850"/>
          <w:pgMar w:header="0" w:footer="944" w:top="1520" w:bottom="1180" w:left="980" w:right="640"/>
        </w:sectPr>
      </w:pPr>
    </w:p>
    <w:p>
      <w:pPr>
        <w:pStyle w:val="Heading3"/>
        <w:numPr>
          <w:ilvl w:val="2"/>
          <w:numId w:val="12"/>
        </w:numPr>
        <w:tabs>
          <w:tab w:pos="1137" w:val="left" w:leader="none"/>
          <w:tab w:pos="1138" w:val="left" w:leader="none"/>
        </w:tabs>
        <w:spacing w:line="240" w:lineRule="auto" w:before="35" w:after="0"/>
        <w:ind w:left="2669" w:right="0" w:hanging="2553"/>
        <w:jc w:val="left"/>
      </w:pPr>
      <w:r>
        <w:rPr>
          <w:w w:val="95"/>
        </w:rPr>
        <w:t>主动脉内手术</w:t>
      </w:r>
    </w:p>
    <w:p>
      <w:pPr>
        <w:spacing w:line="276" w:lineRule="auto" w:before="40"/>
        <w:ind w:left="1137" w:right="208" w:firstLine="0"/>
        <w:jc w:val="left"/>
        <w:rPr>
          <w:rFonts w:ascii="楷体" w:eastAsia="楷体" w:hint="eastAsia"/>
          <w:b/>
          <w:sz w:val="21"/>
        </w:rPr>
      </w:pPr>
      <w:r>
        <w:rPr>
          <w:rFonts w:ascii="楷体" w:eastAsia="楷体" w:hint="eastAsia"/>
          <w:b/>
          <w:w w:val="95"/>
          <w:sz w:val="21"/>
        </w:rPr>
        <w:t>（非开胸手术）</w:t>
      </w:r>
    </w:p>
    <w:p>
      <w:pPr>
        <w:spacing w:line="264" w:lineRule="auto" w:before="35"/>
        <w:ind w:left="116" w:right="250" w:firstLine="0"/>
        <w:jc w:val="left"/>
        <w:rPr>
          <w:sz w:val="21"/>
        </w:rPr>
      </w:pPr>
      <w:r>
        <w:rPr/>
        <w:br w:type="column"/>
      </w:r>
      <w:r>
        <w:rPr>
          <w:sz w:val="21"/>
        </w:rPr>
        <w:t>为了治疗主动脉疾病实际实施了经皮经导管进行的动脉内手术。主动脉指胸主动</w:t>
      </w:r>
      <w:r>
        <w:rPr>
          <w:w w:val="95"/>
          <w:sz w:val="21"/>
        </w:rPr>
        <w:t>脉和腹主动脉，</w:t>
      </w:r>
      <w:r>
        <w:rPr>
          <w:b/>
          <w:i/>
          <w:w w:val="95"/>
          <w:sz w:val="22"/>
        </w:rPr>
        <w:t>不包括胸主动脉和腹主动脉的分支血管</w:t>
      </w:r>
      <w:r>
        <w:rPr>
          <w:w w:val="95"/>
          <w:sz w:val="21"/>
        </w:rPr>
        <w:t>。</w:t>
      </w:r>
    </w:p>
    <w:p>
      <w:pPr>
        <w:spacing w:after="0" w:line="264" w:lineRule="auto"/>
        <w:jc w:val="left"/>
        <w:rPr>
          <w:sz w:val="21"/>
        </w:rPr>
        <w:sectPr>
          <w:type w:val="continuous"/>
          <w:pgSz w:w="11910" w:h="16850"/>
          <w:pgMar w:top="540" w:bottom="1140" w:left="980" w:right="640"/>
          <w:cols w:num="2" w:equalWidth="0">
            <w:col w:w="2401" w:space="152"/>
            <w:col w:w="7737"/>
          </w:cols>
        </w:sectPr>
      </w:pPr>
    </w:p>
    <w:p>
      <w:pPr>
        <w:pStyle w:val="BodyText"/>
        <w:spacing w:before="2"/>
        <w:rPr>
          <w:sz w:val="20"/>
        </w:rPr>
      </w:pPr>
    </w:p>
    <w:p>
      <w:pPr>
        <w:pStyle w:val="ListParagraph"/>
        <w:numPr>
          <w:ilvl w:val="2"/>
          <w:numId w:val="12"/>
        </w:numPr>
        <w:tabs>
          <w:tab w:pos="1137" w:val="left" w:leader="none"/>
          <w:tab w:pos="1138" w:val="left" w:leader="none"/>
          <w:tab w:pos="2669" w:val="left" w:leader="none"/>
        </w:tabs>
        <w:spacing w:line="264" w:lineRule="auto" w:before="34" w:after="0"/>
        <w:ind w:left="2669" w:right="242" w:hanging="2553"/>
        <w:jc w:val="left"/>
        <w:rPr>
          <w:sz w:val="21"/>
        </w:rPr>
      </w:pPr>
      <w:r>
        <w:rPr>
          <w:rFonts w:ascii="楷体" w:eastAsia="楷体" w:hint="eastAsia"/>
          <w:b/>
          <w:sz w:val="21"/>
        </w:rPr>
        <w:t>单侧肺脏切除</w:t>
        <w:tab/>
      </w:r>
      <w:r>
        <w:rPr>
          <w:w w:val="95"/>
          <w:sz w:val="21"/>
        </w:rPr>
        <w:t>因疾病或意外事故实际实施的一侧肺脏切除术</w:t>
      </w:r>
      <w:r>
        <w:rPr>
          <w:spacing w:val="-5"/>
          <w:w w:val="95"/>
          <w:sz w:val="21"/>
        </w:rPr>
        <w:t>，</w:t>
      </w:r>
      <w:r>
        <w:rPr>
          <w:b/>
          <w:i/>
          <w:w w:val="95"/>
          <w:sz w:val="22"/>
        </w:rPr>
        <w:t>部分切除</w:t>
      </w:r>
      <w:r>
        <w:rPr>
          <w:b/>
          <w:i/>
          <w:spacing w:val="15"/>
          <w:w w:val="95"/>
          <w:sz w:val="22"/>
        </w:rPr>
        <w:t>手</w:t>
      </w:r>
      <w:r>
        <w:rPr>
          <w:b/>
          <w:i/>
          <w:w w:val="95"/>
          <w:sz w:val="22"/>
        </w:rPr>
        <w:t>术和肺脏捐献引起的   手术不在保障范</w:t>
      </w:r>
      <w:r>
        <w:rPr>
          <w:b/>
          <w:i/>
          <w:spacing w:val="15"/>
          <w:w w:val="95"/>
          <w:sz w:val="22"/>
        </w:rPr>
        <w:t>围</w:t>
      </w:r>
      <w:r>
        <w:rPr>
          <w:b/>
          <w:i/>
          <w:spacing w:val="11"/>
          <w:w w:val="95"/>
          <w:sz w:val="22"/>
        </w:rPr>
        <w:t>内</w:t>
      </w:r>
      <w:r>
        <w:rPr>
          <w:w w:val="95"/>
          <w:sz w:val="21"/>
        </w:rPr>
        <w:t>。</w:t>
      </w:r>
    </w:p>
    <w:p>
      <w:pPr>
        <w:pStyle w:val="BodyText"/>
        <w:spacing w:before="5"/>
        <w:rPr>
          <w:sz w:val="25"/>
        </w:rPr>
      </w:pPr>
    </w:p>
    <w:p>
      <w:pPr>
        <w:pStyle w:val="ListParagraph"/>
        <w:numPr>
          <w:ilvl w:val="2"/>
          <w:numId w:val="12"/>
        </w:numPr>
        <w:tabs>
          <w:tab w:pos="1137" w:val="left" w:leader="none"/>
          <w:tab w:pos="1138" w:val="left" w:leader="none"/>
          <w:tab w:pos="2669" w:val="left" w:leader="none"/>
        </w:tabs>
        <w:spacing w:line="261" w:lineRule="auto" w:before="0" w:after="0"/>
        <w:ind w:left="2669" w:right="250" w:hanging="2553"/>
        <w:jc w:val="left"/>
        <w:rPr>
          <w:sz w:val="21"/>
        </w:rPr>
      </w:pPr>
      <w:r>
        <w:rPr>
          <w:rFonts w:ascii="楷体" w:eastAsia="楷体" w:hint="eastAsia"/>
          <w:b/>
          <w:sz w:val="21"/>
        </w:rPr>
        <w:t>一肢缺失</w:t>
        <w:tab/>
      </w:r>
      <w:r>
        <w:rPr>
          <w:sz w:val="21"/>
        </w:rPr>
        <w:t>指因疾病或意外伤害导致一个肢体自腕关节或踝关节近端（靠近躯干端）以上完全断离。</w:t>
      </w:r>
    </w:p>
    <w:p>
      <w:pPr>
        <w:pStyle w:val="BodyText"/>
        <w:spacing w:before="9"/>
        <w:rPr>
          <w:sz w:val="25"/>
        </w:rPr>
      </w:pPr>
    </w:p>
    <w:p>
      <w:pPr>
        <w:pStyle w:val="ListParagraph"/>
        <w:numPr>
          <w:ilvl w:val="2"/>
          <w:numId w:val="12"/>
        </w:numPr>
        <w:tabs>
          <w:tab w:pos="1137" w:val="left" w:leader="none"/>
          <w:tab w:pos="1138" w:val="left" w:leader="none"/>
          <w:tab w:pos="2669" w:val="left" w:leader="none"/>
        </w:tabs>
        <w:spacing w:line="276" w:lineRule="auto" w:before="0" w:after="0"/>
        <w:ind w:left="2669" w:right="250" w:hanging="2553"/>
        <w:jc w:val="left"/>
        <w:rPr>
          <w:sz w:val="21"/>
        </w:rPr>
      </w:pPr>
      <w:r>
        <w:rPr>
          <w:rFonts w:ascii="楷体" w:eastAsia="楷体" w:hint="eastAsia"/>
          <w:b/>
          <w:sz w:val="21"/>
        </w:rPr>
        <w:t>肝脏手术</w:t>
        <w:tab/>
      </w:r>
      <w:r>
        <w:rPr>
          <w:sz w:val="21"/>
        </w:rPr>
        <w:t>指因疾病或意外事故实际实施的肝脏部分切除术，手术须有至少一个完整的肝叶切除。</w:t>
      </w:r>
    </w:p>
    <w:p>
      <w:pPr>
        <w:pStyle w:val="BodyText"/>
        <w:spacing w:before="11"/>
        <w:rPr>
          <w:sz w:val="20"/>
        </w:rPr>
      </w:pPr>
    </w:p>
    <w:p>
      <w:pPr>
        <w:spacing w:after="0"/>
        <w:rPr>
          <w:sz w:val="20"/>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40" w:lineRule="auto" w:before="36" w:after="0"/>
        <w:ind w:left="2669" w:right="0" w:hanging="2553"/>
        <w:jc w:val="left"/>
      </w:pPr>
      <w:r>
        <w:rPr>
          <w:w w:val="95"/>
        </w:rPr>
        <w:t>早期运动神经</w:t>
      </w:r>
    </w:p>
    <w:p>
      <w:pPr>
        <w:spacing w:before="40"/>
        <w:ind w:left="1137" w:right="0" w:firstLine="0"/>
        <w:jc w:val="left"/>
        <w:rPr>
          <w:rFonts w:ascii="楷体" w:eastAsia="楷体" w:hint="eastAsia"/>
          <w:b/>
          <w:sz w:val="21"/>
        </w:rPr>
      </w:pPr>
      <w:r>
        <w:rPr>
          <w:rFonts w:ascii="楷体" w:eastAsia="楷体" w:hint="eastAsia"/>
          <w:b/>
          <w:w w:val="95"/>
          <w:sz w:val="21"/>
        </w:rPr>
        <w:t>元疾病</w:t>
      </w:r>
    </w:p>
    <w:p>
      <w:pPr>
        <w:pStyle w:val="BodyText"/>
        <w:spacing w:line="276" w:lineRule="auto" w:before="36"/>
        <w:ind w:left="116" w:right="250"/>
        <w:jc w:val="both"/>
      </w:pPr>
      <w:r>
        <w:rPr/>
        <w:br w:type="column"/>
      </w:r>
      <w:r>
        <w:rPr/>
        <w:t>是一组中枢神经系统运动神经元的进行性变性疾病，进行性脊肌萎缩症、进行性延髓麻痹症、原发性侧索硬化症、肌萎缩性侧索硬化症。须满足自主生活能力完全丧失，无法独立完成六项基本日常生活活动（见 9.20）中的两项。</w:t>
      </w:r>
    </w:p>
    <w:p>
      <w:pPr>
        <w:spacing w:after="0" w:line="276" w:lineRule="auto"/>
        <w:jc w:val="both"/>
        <w:sectPr>
          <w:type w:val="continuous"/>
          <w:pgSz w:w="11910" w:h="16850"/>
          <w:pgMar w:top="540" w:bottom="1140" w:left="980" w:right="640"/>
          <w:cols w:num="2" w:equalWidth="0">
            <w:col w:w="2401" w:space="152"/>
            <w:col w:w="7737"/>
          </w:cols>
        </w:sectPr>
      </w:pPr>
    </w:p>
    <w:p>
      <w:pPr>
        <w:pStyle w:val="BodyText"/>
        <w:spacing w:before="0"/>
        <w:rPr>
          <w:sz w:val="22"/>
        </w:rPr>
      </w:pPr>
    </w:p>
    <w:p>
      <w:pPr>
        <w:spacing w:after="0"/>
        <w:rPr>
          <w:sz w:val="22"/>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61" w:lineRule="auto" w:before="36" w:after="0"/>
        <w:ind w:left="1137" w:right="0" w:hanging="1021"/>
        <w:jc w:val="left"/>
      </w:pPr>
      <w:r>
        <w:rPr>
          <w:w w:val="95"/>
        </w:rPr>
        <w:t>慢性肾功能障</w:t>
      </w:r>
      <w:r>
        <w:rPr/>
        <w:t>碍</w:t>
      </w:r>
    </w:p>
    <w:p>
      <w:pPr>
        <w:pStyle w:val="BodyText"/>
        <w:spacing w:before="36"/>
        <w:ind w:left="116"/>
      </w:pPr>
      <w:r>
        <w:rPr/>
        <w:br w:type="column"/>
      </w:r>
      <w:r>
        <w:rPr/>
        <w:t>慢性肾功能障碍是指慢性肾功能不全的晚期。必须满足下列全部条件：</w:t>
      </w:r>
    </w:p>
    <w:p>
      <w:pPr>
        <w:pStyle w:val="ListParagraph"/>
        <w:numPr>
          <w:ilvl w:val="0"/>
          <w:numId w:val="15"/>
        </w:numPr>
        <w:tabs>
          <w:tab w:pos="748" w:val="left" w:leader="none"/>
        </w:tabs>
        <w:spacing w:line="276" w:lineRule="auto" w:before="25" w:after="0"/>
        <w:ind w:left="116" w:right="242" w:firstLine="0"/>
        <w:jc w:val="left"/>
        <w:rPr>
          <w:sz w:val="21"/>
        </w:rPr>
      </w:pPr>
      <w:r>
        <w:rPr>
          <w:sz w:val="21"/>
        </w:rPr>
        <w:t>肾小球滤过率（</w:t>
      </w:r>
      <w:r>
        <w:rPr>
          <w:spacing w:val="-16"/>
          <w:sz w:val="21"/>
        </w:rPr>
        <w:t>使用 </w:t>
      </w:r>
      <w:r>
        <w:rPr>
          <w:sz w:val="21"/>
        </w:rPr>
        <w:t>MDRD</w:t>
      </w:r>
      <w:r>
        <w:rPr>
          <w:spacing w:val="-19"/>
          <w:sz w:val="21"/>
        </w:rPr>
        <w:t> 公式或 </w:t>
      </w:r>
      <w:r>
        <w:rPr>
          <w:sz w:val="21"/>
        </w:rPr>
        <w:t>Cockcrof</w:t>
      </w:r>
      <w:r>
        <w:rPr>
          <w:spacing w:val="0"/>
          <w:sz w:val="21"/>
        </w:rPr>
        <w:t>t</w:t>
      </w:r>
      <w:r>
        <w:rPr>
          <w:sz w:val="21"/>
        </w:rPr>
        <w:t>-Gau</w:t>
      </w:r>
      <w:r>
        <w:rPr>
          <w:spacing w:val="-15"/>
          <w:sz w:val="21"/>
        </w:rPr>
        <w:t>l</w:t>
      </w:r>
      <w:r>
        <w:rPr>
          <w:sz w:val="21"/>
        </w:rPr>
        <w:t>t</w:t>
      </w:r>
      <w:r>
        <w:rPr>
          <w:spacing w:val="-7"/>
          <w:sz w:val="21"/>
        </w:rPr>
        <w:t> 公式计算的结果</w:t>
      </w:r>
      <w:r>
        <w:rPr>
          <w:spacing w:val="-105"/>
          <w:sz w:val="21"/>
        </w:rPr>
        <w:t>）</w:t>
      </w:r>
      <w:r>
        <w:rPr>
          <w:sz w:val="21"/>
        </w:rPr>
        <w:t>，低</w:t>
      </w:r>
      <w:r>
        <w:rPr>
          <w:spacing w:val="-23"/>
          <w:sz w:val="21"/>
        </w:rPr>
        <w:t>于 </w:t>
      </w:r>
      <w:r>
        <w:rPr>
          <w:sz w:val="21"/>
        </w:rPr>
        <w:t>30ml./min/1.73</w:t>
      </w:r>
      <w:r>
        <w:rPr>
          <w:spacing w:val="-10"/>
          <w:sz w:val="21"/>
        </w:rPr>
        <w:t> 平方米，且此状态须持续至少 </w:t>
      </w:r>
      <w:r>
        <w:rPr>
          <w:spacing w:val="-15"/>
          <w:sz w:val="21"/>
        </w:rPr>
        <w:t>9</w:t>
      </w:r>
      <w:r>
        <w:rPr>
          <w:sz w:val="21"/>
        </w:rPr>
        <w:t>0</w:t>
      </w:r>
      <w:r>
        <w:rPr>
          <w:spacing w:val="-23"/>
          <w:sz w:val="21"/>
        </w:rPr>
        <w:t> 天</w:t>
      </w:r>
      <w:r>
        <w:rPr>
          <w:spacing w:val="-105"/>
          <w:sz w:val="21"/>
        </w:rPr>
        <w:t>）</w:t>
      </w:r>
      <w:r>
        <w:rPr>
          <w:sz w:val="21"/>
        </w:rPr>
        <w:t>；</w:t>
      </w:r>
    </w:p>
    <w:p>
      <w:pPr>
        <w:pStyle w:val="ListParagraph"/>
        <w:numPr>
          <w:ilvl w:val="0"/>
          <w:numId w:val="15"/>
        </w:numPr>
        <w:tabs>
          <w:tab w:pos="748" w:val="left" w:leader="none"/>
        </w:tabs>
        <w:spacing w:line="240" w:lineRule="auto" w:before="8" w:after="0"/>
        <w:ind w:left="116" w:right="0" w:firstLine="0"/>
        <w:jc w:val="left"/>
        <w:rPr>
          <w:sz w:val="21"/>
        </w:rPr>
      </w:pPr>
      <w:r>
        <w:rPr>
          <w:sz w:val="21"/>
        </w:rPr>
        <w:t>慢性肾功能障碍的诊断必须由泌尿科或肾脏科医师确诊。</w:t>
      </w:r>
    </w:p>
    <w:p>
      <w:pPr>
        <w:spacing w:after="0" w:line="240" w:lineRule="auto"/>
        <w:jc w:val="left"/>
        <w:rPr>
          <w:sz w:val="21"/>
        </w:rPr>
        <w:sectPr>
          <w:type w:val="continuous"/>
          <w:pgSz w:w="11910" w:h="16850"/>
          <w:pgMar w:top="540" w:bottom="1140" w:left="980" w:right="640"/>
          <w:cols w:num="2" w:equalWidth="0">
            <w:col w:w="2401" w:space="152"/>
            <w:col w:w="7737"/>
          </w:cols>
        </w:sectPr>
      </w:pPr>
    </w:p>
    <w:p>
      <w:pPr>
        <w:pStyle w:val="BodyText"/>
        <w:spacing w:before="6"/>
        <w:rPr>
          <w:sz w:val="24"/>
        </w:rPr>
      </w:pPr>
    </w:p>
    <w:p>
      <w:pPr>
        <w:pStyle w:val="ListParagraph"/>
        <w:numPr>
          <w:ilvl w:val="2"/>
          <w:numId w:val="12"/>
        </w:numPr>
        <w:tabs>
          <w:tab w:pos="1137" w:val="left" w:leader="none"/>
          <w:tab w:pos="1138" w:val="left" w:leader="none"/>
          <w:tab w:pos="2669" w:val="left" w:leader="none"/>
        </w:tabs>
        <w:spacing w:line="261" w:lineRule="auto" w:before="35" w:after="0"/>
        <w:ind w:left="2669" w:right="257" w:hanging="2553"/>
        <w:jc w:val="left"/>
        <w:rPr>
          <w:sz w:val="21"/>
        </w:rPr>
      </w:pPr>
      <w:r>
        <w:rPr>
          <w:rFonts w:ascii="楷体" w:eastAsia="楷体" w:hint="eastAsia"/>
          <w:b/>
          <w:sz w:val="21"/>
        </w:rPr>
        <w:t>早期肝硬化</w:t>
        <w:tab/>
      </w:r>
      <w:r>
        <w:rPr>
          <w:sz w:val="21"/>
        </w:rPr>
        <w:t>肝硬化须由专科医生明确诊断。必须由活检证</w:t>
      </w:r>
      <w:r>
        <w:rPr>
          <w:spacing w:val="-5"/>
          <w:sz w:val="21"/>
        </w:rPr>
        <w:t>实</w:t>
      </w:r>
      <w:r>
        <w:rPr>
          <w:sz w:val="21"/>
        </w:rPr>
        <w:t>有再生的肝细胞结节和典型的肝组织纤维化。下列条件必须全部满足并至少持续一年：</w:t>
      </w:r>
    </w:p>
    <w:p>
      <w:pPr>
        <w:pStyle w:val="ListParagraph"/>
        <w:numPr>
          <w:ilvl w:val="0"/>
          <w:numId w:val="16"/>
        </w:numPr>
        <w:tabs>
          <w:tab w:pos="3301" w:val="left" w:leader="none"/>
        </w:tabs>
        <w:spacing w:line="240" w:lineRule="auto" w:before="21" w:after="0"/>
        <w:ind w:left="2669" w:right="0" w:firstLine="0"/>
        <w:jc w:val="left"/>
        <w:rPr>
          <w:sz w:val="21"/>
        </w:rPr>
      </w:pPr>
      <w:r>
        <w:rPr>
          <w:spacing w:val="-3"/>
          <w:sz w:val="21"/>
        </w:rPr>
        <w:t>持续性黄疸，胆红素水平升高超过 </w:t>
      </w:r>
      <w:r>
        <w:rPr>
          <w:sz w:val="21"/>
        </w:rPr>
        <w:t>50mol/L；</w:t>
      </w:r>
    </w:p>
    <w:p>
      <w:pPr>
        <w:pStyle w:val="ListParagraph"/>
        <w:numPr>
          <w:ilvl w:val="0"/>
          <w:numId w:val="16"/>
        </w:numPr>
        <w:tabs>
          <w:tab w:pos="3301" w:val="left" w:leader="none"/>
        </w:tabs>
        <w:spacing w:line="240" w:lineRule="auto" w:before="40" w:after="0"/>
        <w:ind w:left="2669" w:right="0" w:firstLine="0"/>
        <w:jc w:val="left"/>
        <w:rPr>
          <w:sz w:val="21"/>
        </w:rPr>
      </w:pPr>
      <w:r>
        <w:rPr>
          <w:spacing w:val="-3"/>
          <w:sz w:val="21"/>
        </w:rPr>
        <w:t>蛋白质合成异常，白蛋白水平低于 </w:t>
      </w:r>
      <w:r>
        <w:rPr>
          <w:sz w:val="21"/>
        </w:rPr>
        <w:t>27g/L；</w:t>
      </w:r>
    </w:p>
    <w:p>
      <w:pPr>
        <w:pStyle w:val="ListParagraph"/>
        <w:numPr>
          <w:ilvl w:val="0"/>
          <w:numId w:val="16"/>
        </w:numPr>
        <w:tabs>
          <w:tab w:pos="3301" w:val="left" w:leader="none"/>
        </w:tabs>
        <w:spacing w:line="276" w:lineRule="auto" w:before="39" w:after="0"/>
        <w:ind w:left="2669" w:right="241" w:firstLine="0"/>
        <w:jc w:val="left"/>
        <w:rPr>
          <w:sz w:val="21"/>
        </w:rPr>
      </w:pPr>
      <w:r>
        <w:rPr>
          <w:spacing w:val="-3"/>
          <w:sz w:val="21"/>
        </w:rPr>
        <w:t>异常凝血功能，凝血酶原时间超过正常上限的 </w:t>
      </w:r>
      <w:r>
        <w:rPr>
          <w:sz w:val="21"/>
        </w:rPr>
        <w:t>2</w:t>
      </w:r>
      <w:r>
        <w:rPr>
          <w:spacing w:val="-7"/>
          <w:sz w:val="21"/>
        </w:rPr>
        <w:t> 倍或以上，或者国际正常化比率（INR）</w:t>
      </w:r>
      <w:r>
        <w:rPr>
          <w:spacing w:val="-27"/>
          <w:sz w:val="21"/>
        </w:rPr>
        <w:t>在 </w:t>
      </w:r>
      <w:r>
        <w:rPr>
          <w:sz w:val="21"/>
        </w:rPr>
        <w:t>2.0</w:t>
      </w:r>
      <w:r>
        <w:rPr>
          <w:spacing w:val="-12"/>
          <w:sz w:val="21"/>
        </w:rPr>
        <w:t> 以上。</w:t>
      </w:r>
    </w:p>
    <w:p>
      <w:pPr>
        <w:pStyle w:val="BodyText"/>
        <w:spacing w:before="11"/>
        <w:rPr>
          <w:sz w:val="20"/>
        </w:rPr>
      </w:pPr>
    </w:p>
    <w:p>
      <w:pPr>
        <w:spacing w:after="0"/>
        <w:rPr>
          <w:sz w:val="20"/>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40" w:lineRule="auto" w:before="35" w:after="0"/>
        <w:ind w:left="2669" w:right="0" w:hanging="2553"/>
        <w:jc w:val="left"/>
      </w:pPr>
      <w:r>
        <w:rPr>
          <w:w w:val="95"/>
        </w:rPr>
        <w:t>轻度脑炎或脑</w:t>
      </w:r>
    </w:p>
    <w:p>
      <w:pPr>
        <w:spacing w:before="39"/>
        <w:ind w:left="1137" w:right="0" w:firstLine="0"/>
        <w:jc w:val="left"/>
        <w:rPr>
          <w:rFonts w:ascii="楷体" w:eastAsia="楷体" w:hint="eastAsia"/>
          <w:b/>
          <w:sz w:val="21"/>
        </w:rPr>
      </w:pPr>
      <w:r>
        <w:rPr>
          <w:rFonts w:ascii="楷体" w:eastAsia="楷体" w:hint="eastAsia"/>
          <w:b/>
          <w:w w:val="95"/>
          <w:sz w:val="21"/>
        </w:rPr>
        <w:t>膜炎后遗症</w:t>
      </w:r>
    </w:p>
    <w:p>
      <w:pPr>
        <w:pStyle w:val="BodyText"/>
        <w:spacing w:line="276" w:lineRule="auto" w:before="35"/>
        <w:ind w:left="116" w:right="107"/>
      </w:pPr>
      <w:r>
        <w:rPr/>
        <w:br w:type="column"/>
      </w:r>
      <w:r>
        <w:rPr>
          <w:spacing w:val="-4"/>
        </w:rPr>
        <w:t>指因患脑炎或脑膜炎导致的神经系统的永久功能障碍。神经系统的永久功能障碍， </w:t>
      </w:r>
      <w:r>
        <w:rPr>
          <w:spacing w:val="-9"/>
        </w:rPr>
        <w:t>指疾病确诊 </w:t>
      </w:r>
      <w:r>
        <w:rPr/>
        <w:t>180</w:t>
      </w:r>
      <w:r>
        <w:rPr>
          <w:spacing w:val="-6"/>
        </w:rPr>
        <w:t> 天后，仍存在自主活动能力完全丧失，无法独立完成六项基本日常生活活动中的两项。</w:t>
      </w:r>
    </w:p>
    <w:p>
      <w:pPr>
        <w:spacing w:after="0" w:line="276" w:lineRule="auto"/>
        <w:sectPr>
          <w:type w:val="continuous"/>
          <w:pgSz w:w="11910" w:h="16850"/>
          <w:pgMar w:top="540" w:bottom="1140" w:left="980" w:right="640"/>
          <w:cols w:num="2" w:equalWidth="0">
            <w:col w:w="2401" w:space="152"/>
            <w:col w:w="7737"/>
          </w:cols>
        </w:sectPr>
      </w:pPr>
    </w:p>
    <w:p>
      <w:pPr>
        <w:pStyle w:val="BodyText"/>
        <w:spacing w:before="11"/>
        <w:rPr>
          <w:sz w:val="20"/>
        </w:rPr>
      </w:pPr>
    </w:p>
    <w:p>
      <w:pPr>
        <w:spacing w:after="0"/>
        <w:rPr>
          <w:sz w:val="20"/>
        </w:rPr>
        <w:sectPr>
          <w:type w:val="continuous"/>
          <w:pgSz w:w="11910" w:h="16850"/>
          <w:pgMar w:top="540" w:bottom="1140" w:left="980" w:right="640"/>
        </w:sectPr>
      </w:pPr>
    </w:p>
    <w:p>
      <w:pPr>
        <w:pStyle w:val="Heading3"/>
        <w:numPr>
          <w:ilvl w:val="2"/>
          <w:numId w:val="12"/>
        </w:numPr>
        <w:tabs>
          <w:tab w:pos="1137" w:val="left" w:leader="none"/>
          <w:tab w:pos="1138" w:val="left" w:leader="none"/>
        </w:tabs>
        <w:spacing w:line="276" w:lineRule="auto" w:before="35" w:after="0"/>
        <w:ind w:left="1137" w:right="0" w:hanging="1021"/>
        <w:jc w:val="left"/>
      </w:pPr>
      <w:r>
        <w:rPr>
          <w:w w:val="95"/>
        </w:rPr>
        <w:t>中度帕金森氏</w:t>
      </w:r>
      <w:r>
        <w:rPr/>
        <w:t>病</w:t>
      </w:r>
    </w:p>
    <w:p>
      <w:pPr>
        <w:pStyle w:val="BodyText"/>
        <w:spacing w:line="276" w:lineRule="auto" w:before="35"/>
        <w:ind w:left="116" w:right="250"/>
      </w:pPr>
      <w:r>
        <w:rPr/>
        <w:br w:type="column"/>
      </w:r>
      <w:r>
        <w:rPr/>
        <w:t>是一种中枢神经系统的退行性疾病，临床表现为震颤麻痹、共济失调等。必须满足下列全部条件：</w:t>
      </w:r>
    </w:p>
    <w:p>
      <w:pPr>
        <w:pStyle w:val="ListParagraph"/>
        <w:numPr>
          <w:ilvl w:val="0"/>
          <w:numId w:val="17"/>
        </w:numPr>
        <w:tabs>
          <w:tab w:pos="748" w:val="left" w:leader="none"/>
        </w:tabs>
        <w:spacing w:line="240" w:lineRule="auto" w:before="8" w:after="0"/>
        <w:ind w:left="747" w:right="0" w:hanging="631"/>
        <w:jc w:val="left"/>
        <w:rPr>
          <w:sz w:val="21"/>
        </w:rPr>
      </w:pPr>
      <w:r>
        <w:rPr>
          <w:sz w:val="21"/>
        </w:rPr>
        <w:t>药物治疗无法控制病情；</w:t>
      </w:r>
    </w:p>
    <w:p>
      <w:pPr>
        <w:pStyle w:val="ListParagraph"/>
        <w:numPr>
          <w:ilvl w:val="0"/>
          <w:numId w:val="17"/>
        </w:numPr>
        <w:tabs>
          <w:tab w:pos="748" w:val="left" w:leader="none"/>
        </w:tabs>
        <w:spacing w:line="240" w:lineRule="auto" w:before="40" w:after="0"/>
        <w:ind w:left="747" w:right="0" w:hanging="631"/>
        <w:jc w:val="left"/>
        <w:rPr>
          <w:sz w:val="21"/>
        </w:rPr>
      </w:pPr>
      <w:r>
        <w:rPr>
          <w:sz w:val="21"/>
        </w:rPr>
        <w:t>自主生活能力完全丧失，无法独立完成六项基本日常生活活动中的两项。</w:t>
      </w:r>
    </w:p>
    <w:p>
      <w:pPr>
        <w:pStyle w:val="Heading2"/>
        <w:spacing w:before="28"/>
      </w:pPr>
      <w:r>
        <w:rPr>
          <w:w w:val="95"/>
        </w:rPr>
        <w:t>继发性帕金森综合症不在保障范围内。</w:t>
      </w:r>
    </w:p>
    <w:p>
      <w:pPr>
        <w:spacing w:after="0"/>
        <w:sectPr>
          <w:type w:val="continuous"/>
          <w:pgSz w:w="11910" w:h="16850"/>
          <w:pgMar w:top="540" w:bottom="1140" w:left="980" w:right="640"/>
          <w:cols w:num="2" w:equalWidth="0">
            <w:col w:w="2401" w:space="152"/>
            <w:col w:w="7737"/>
          </w:cols>
        </w:sectPr>
      </w:pPr>
    </w:p>
    <w:p>
      <w:pPr>
        <w:pStyle w:val="BodyText"/>
        <w:spacing w:before="3"/>
        <w:rPr>
          <w:b/>
          <w:i/>
          <w:sz w:val="23"/>
        </w:rPr>
      </w:pPr>
    </w:p>
    <w:p>
      <w:pPr>
        <w:pStyle w:val="ListParagraph"/>
        <w:numPr>
          <w:ilvl w:val="2"/>
          <w:numId w:val="12"/>
        </w:numPr>
        <w:tabs>
          <w:tab w:pos="1137" w:val="left" w:leader="none"/>
          <w:tab w:pos="1138" w:val="left" w:leader="none"/>
          <w:tab w:pos="2669" w:val="left" w:leader="none"/>
        </w:tabs>
        <w:spacing w:line="240" w:lineRule="auto" w:before="35" w:after="0"/>
        <w:ind w:left="2669" w:right="0" w:hanging="2553"/>
        <w:jc w:val="left"/>
        <w:rPr>
          <w:sz w:val="21"/>
        </w:rPr>
      </w:pPr>
      <w:r>
        <w:rPr>
          <w:rFonts w:ascii="楷体" w:eastAsia="楷体" w:hint="eastAsia"/>
          <w:b/>
          <w:sz w:val="21"/>
        </w:rPr>
        <w:t>人工耳蜗植入</w:t>
        <w:tab/>
      </w:r>
      <w:r>
        <w:rPr>
          <w:sz w:val="21"/>
        </w:rPr>
        <w:t>指由于耳蜗的永久损害而实际实施了人工耳蜗植入手术。诊断须经专科医师确认</w:t>
      </w:r>
    </w:p>
    <w:p>
      <w:pPr>
        <w:spacing w:after="0" w:line="240" w:lineRule="auto"/>
        <w:jc w:val="left"/>
        <w:rPr>
          <w:sz w:val="21"/>
        </w:rPr>
        <w:sectPr>
          <w:type w:val="continuous"/>
          <w:pgSz w:w="11910" w:h="16850"/>
          <w:pgMar w:top="540" w:bottom="1140" w:left="980" w:right="6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593"/>
        <w:gridCol w:w="7702"/>
      </w:tblGrid>
      <w:tr>
        <w:trPr>
          <w:trHeight w:val="1043" w:hRule="atLeast"/>
        </w:trPr>
        <w:tc>
          <w:tcPr>
            <w:tcW w:w="875" w:type="dxa"/>
          </w:tcPr>
          <w:p>
            <w:pPr>
              <w:pStyle w:val="TableParagraph"/>
              <w:rPr>
                <w:rFonts w:ascii="Times New Roman"/>
                <w:sz w:val="20"/>
              </w:rPr>
            </w:pPr>
          </w:p>
        </w:tc>
        <w:tc>
          <w:tcPr>
            <w:tcW w:w="1593" w:type="dxa"/>
          </w:tcPr>
          <w:p>
            <w:pPr>
              <w:pStyle w:val="TableParagraph"/>
              <w:spacing w:line="210" w:lineRule="exact"/>
              <w:ind w:left="195"/>
              <w:rPr>
                <w:rFonts w:ascii="楷体" w:eastAsia="楷体" w:hint="eastAsia"/>
                <w:b/>
                <w:sz w:val="21"/>
              </w:rPr>
            </w:pPr>
            <w:r>
              <w:rPr>
                <w:rFonts w:ascii="楷体" w:eastAsia="楷体" w:hint="eastAsia"/>
                <w:b/>
                <w:w w:val="99"/>
                <w:sz w:val="21"/>
              </w:rPr>
              <w:t>术</w:t>
            </w:r>
          </w:p>
        </w:tc>
        <w:tc>
          <w:tcPr>
            <w:tcW w:w="7702" w:type="dxa"/>
          </w:tcPr>
          <w:p>
            <w:pPr>
              <w:pStyle w:val="TableParagraph"/>
              <w:spacing w:line="210" w:lineRule="exact"/>
              <w:ind w:left="135"/>
              <w:rPr>
                <w:sz w:val="21"/>
              </w:rPr>
            </w:pPr>
            <w:r>
              <w:rPr>
                <w:sz w:val="21"/>
              </w:rPr>
              <w:t>在医学上是必要的，且在植入手术之前已经符合下列全部条件：</w:t>
            </w:r>
          </w:p>
          <w:p>
            <w:pPr>
              <w:pStyle w:val="TableParagraph"/>
              <w:numPr>
                <w:ilvl w:val="0"/>
                <w:numId w:val="18"/>
              </w:numPr>
              <w:tabs>
                <w:tab w:pos="766" w:val="left" w:leader="none"/>
              </w:tabs>
              <w:spacing w:line="240" w:lineRule="auto" w:before="40" w:after="0"/>
              <w:ind w:left="765" w:right="0" w:hanging="630"/>
              <w:jc w:val="left"/>
              <w:rPr>
                <w:sz w:val="21"/>
              </w:rPr>
            </w:pPr>
            <w:r>
              <w:rPr>
                <w:spacing w:val="-10"/>
                <w:sz w:val="21"/>
              </w:rPr>
              <w:t>双耳持续 </w:t>
            </w:r>
            <w:r>
              <w:rPr>
                <w:sz w:val="21"/>
              </w:rPr>
              <w:t>12</w:t>
            </w:r>
            <w:r>
              <w:rPr>
                <w:spacing w:val="-7"/>
                <w:sz w:val="21"/>
              </w:rPr>
              <w:t> 个月以上重度感音神经性耳聋；</w:t>
            </w:r>
          </w:p>
          <w:p>
            <w:pPr>
              <w:pStyle w:val="TableParagraph"/>
              <w:numPr>
                <w:ilvl w:val="0"/>
                <w:numId w:val="18"/>
              </w:numPr>
              <w:tabs>
                <w:tab w:pos="766" w:val="left" w:leader="none"/>
              </w:tabs>
              <w:spacing w:line="240" w:lineRule="auto" w:before="40" w:after="0"/>
              <w:ind w:left="765" w:right="0" w:hanging="630"/>
              <w:jc w:val="left"/>
              <w:rPr>
                <w:sz w:val="21"/>
              </w:rPr>
            </w:pPr>
            <w:r>
              <w:rPr>
                <w:spacing w:val="-1"/>
                <w:sz w:val="21"/>
              </w:rPr>
              <w:t>使用相应的听力辅助设备效果不佳。</w:t>
            </w:r>
          </w:p>
        </w:tc>
      </w:tr>
      <w:tr>
        <w:trPr>
          <w:trHeight w:val="727" w:hRule="atLeast"/>
        </w:trPr>
        <w:tc>
          <w:tcPr>
            <w:tcW w:w="875" w:type="dxa"/>
          </w:tcPr>
          <w:p>
            <w:pPr>
              <w:pStyle w:val="TableParagraph"/>
              <w:spacing w:before="138"/>
              <w:ind w:left="50"/>
              <w:rPr>
                <w:b/>
                <w:sz w:val="21"/>
              </w:rPr>
            </w:pPr>
            <w:r>
              <w:rPr>
                <w:b/>
                <w:sz w:val="21"/>
              </w:rPr>
              <w:t>9.5.21</w:t>
            </w:r>
          </w:p>
        </w:tc>
        <w:tc>
          <w:tcPr>
            <w:tcW w:w="1593" w:type="dxa"/>
          </w:tcPr>
          <w:p>
            <w:pPr>
              <w:pStyle w:val="TableParagraph"/>
              <w:spacing w:line="310" w:lineRule="atLeast" w:before="102"/>
              <w:ind w:left="195" w:right="132"/>
              <w:rPr>
                <w:rFonts w:ascii="楷体" w:eastAsia="楷体" w:hint="eastAsia"/>
                <w:b/>
                <w:sz w:val="21"/>
              </w:rPr>
            </w:pPr>
            <w:r>
              <w:rPr>
                <w:rFonts w:ascii="楷体" w:eastAsia="楷体" w:hint="eastAsia"/>
                <w:b/>
                <w:w w:val="95"/>
                <w:sz w:val="21"/>
              </w:rPr>
              <w:t>可逆性再生障碍性贫血</w:t>
            </w:r>
          </w:p>
        </w:tc>
        <w:tc>
          <w:tcPr>
            <w:tcW w:w="7702" w:type="dxa"/>
          </w:tcPr>
          <w:p>
            <w:pPr>
              <w:pStyle w:val="TableParagraph"/>
              <w:spacing w:line="310" w:lineRule="atLeast" w:before="102"/>
              <w:ind w:left="135" w:right="3"/>
              <w:rPr>
                <w:sz w:val="21"/>
              </w:rPr>
            </w:pPr>
            <w:r>
              <w:rPr>
                <w:sz w:val="21"/>
              </w:rPr>
              <w:t>指因急性可逆性的骨髓造血功能衰竭而导致贫血、中性粒细胞减少和血小板减少， 必须由血液科医生的诊断，且病历资料显示接受了下列任一治疗：</w:t>
            </w:r>
          </w:p>
        </w:tc>
      </w:tr>
    </w:tbl>
    <w:p>
      <w:pPr>
        <w:pStyle w:val="ListParagraph"/>
        <w:numPr>
          <w:ilvl w:val="0"/>
          <w:numId w:val="19"/>
        </w:numPr>
        <w:tabs>
          <w:tab w:pos="3341" w:val="left" w:leader="none"/>
        </w:tabs>
        <w:spacing w:line="240" w:lineRule="auto" w:before="47" w:after="0"/>
        <w:ind w:left="3340" w:right="0" w:hanging="631"/>
        <w:jc w:val="left"/>
        <w:rPr>
          <w:sz w:val="21"/>
        </w:rPr>
      </w:pPr>
      <w:r>
        <w:rPr>
          <w:sz w:val="21"/>
        </w:rPr>
        <w:t>骨髓刺激疗法至少一个月；</w:t>
      </w:r>
    </w:p>
    <w:p>
      <w:pPr>
        <w:pStyle w:val="ListParagraph"/>
        <w:numPr>
          <w:ilvl w:val="0"/>
          <w:numId w:val="19"/>
        </w:numPr>
        <w:tabs>
          <w:tab w:pos="3341" w:val="left" w:leader="none"/>
        </w:tabs>
        <w:spacing w:line="240" w:lineRule="auto" w:before="40" w:after="0"/>
        <w:ind w:left="3340" w:right="0" w:hanging="631"/>
        <w:jc w:val="left"/>
        <w:rPr>
          <w:sz w:val="21"/>
        </w:rPr>
      </w:pPr>
      <w:r>
        <w:rPr>
          <w:sz w:val="21"/>
        </w:rPr>
        <w:t>免疫抑制剂治疗至少一个月；</w:t>
      </w:r>
    </w:p>
    <w:p>
      <w:pPr>
        <w:pStyle w:val="ListParagraph"/>
        <w:numPr>
          <w:ilvl w:val="0"/>
          <w:numId w:val="19"/>
        </w:numPr>
        <w:tabs>
          <w:tab w:pos="3341" w:val="left" w:leader="none"/>
        </w:tabs>
        <w:spacing w:line="240" w:lineRule="auto" w:before="40" w:after="0"/>
        <w:ind w:left="3340" w:right="0" w:hanging="631"/>
        <w:jc w:val="left"/>
        <w:rPr>
          <w:sz w:val="21"/>
        </w:rPr>
      </w:pPr>
      <w:r>
        <w:rPr>
          <w:sz w:val="21"/>
        </w:rPr>
        <w:t>接受了骨髓移植。</w:t>
      </w:r>
    </w:p>
    <w:p>
      <w:pPr>
        <w:pStyle w:val="BodyText"/>
        <w:spacing w:before="0"/>
        <w:rPr>
          <w:sz w:val="26"/>
        </w:rPr>
      </w:pPr>
    </w:p>
    <w:p>
      <w:pPr>
        <w:pStyle w:val="ListParagraph"/>
        <w:numPr>
          <w:ilvl w:val="2"/>
          <w:numId w:val="20"/>
        </w:numPr>
        <w:tabs>
          <w:tab w:pos="1177" w:val="left" w:leader="none"/>
          <w:tab w:pos="1178" w:val="left" w:leader="none"/>
          <w:tab w:pos="2709" w:val="left" w:leader="none"/>
        </w:tabs>
        <w:spacing w:line="240" w:lineRule="auto" w:before="0" w:after="0"/>
        <w:ind w:left="1177" w:right="0" w:hanging="1021"/>
        <w:jc w:val="left"/>
        <w:rPr>
          <w:sz w:val="21"/>
        </w:rPr>
      </w:pPr>
      <w:r>
        <w:rPr>
          <w:rFonts w:ascii="楷体" w:eastAsia="楷体" w:hint="eastAsia"/>
          <w:b/>
          <w:sz w:val="21"/>
        </w:rPr>
        <w:t>单眼失明</w:t>
        <w:tab/>
      </w:r>
      <w:r>
        <w:rPr>
          <w:sz w:val="21"/>
        </w:rPr>
        <w:t>指因疾病或意外伤害导致单眼视力永久不可逆性丧失</w:t>
      </w:r>
      <w:r>
        <w:rPr>
          <w:spacing w:val="-60"/>
          <w:sz w:val="21"/>
        </w:rPr>
        <w:t>，</w:t>
      </w:r>
      <w:r>
        <w:rPr>
          <w:sz w:val="21"/>
        </w:rPr>
        <w:t>须满足下列至少一项条件：</w:t>
      </w:r>
    </w:p>
    <w:p>
      <w:pPr>
        <w:pStyle w:val="ListParagraph"/>
        <w:numPr>
          <w:ilvl w:val="3"/>
          <w:numId w:val="20"/>
        </w:numPr>
        <w:tabs>
          <w:tab w:pos="3341" w:val="left" w:leader="none"/>
        </w:tabs>
        <w:spacing w:line="240" w:lineRule="auto" w:before="40" w:after="0"/>
        <w:ind w:left="2709" w:right="0" w:firstLine="0"/>
        <w:jc w:val="left"/>
        <w:rPr>
          <w:sz w:val="21"/>
        </w:rPr>
      </w:pPr>
      <w:r>
        <w:rPr>
          <w:sz w:val="21"/>
        </w:rPr>
        <w:t>眼球缺失或摘除；</w:t>
      </w:r>
    </w:p>
    <w:p>
      <w:pPr>
        <w:pStyle w:val="ListParagraph"/>
        <w:numPr>
          <w:ilvl w:val="3"/>
          <w:numId w:val="20"/>
        </w:numPr>
        <w:tabs>
          <w:tab w:pos="3341" w:val="left" w:leader="none"/>
        </w:tabs>
        <w:spacing w:line="276" w:lineRule="auto" w:before="40" w:after="0"/>
        <w:ind w:left="2709" w:right="253" w:firstLine="0"/>
        <w:jc w:val="left"/>
        <w:rPr>
          <w:sz w:val="21"/>
        </w:rPr>
      </w:pPr>
      <w:r>
        <w:rPr>
          <w:spacing w:val="-7"/>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3"/>
          <w:numId w:val="20"/>
        </w:numPr>
        <w:tabs>
          <w:tab w:pos="3341" w:val="left" w:leader="none"/>
        </w:tabs>
        <w:spacing w:line="268" w:lineRule="exact" w:before="0" w:after="0"/>
        <w:ind w:left="2709" w:right="0" w:firstLine="0"/>
        <w:jc w:val="left"/>
        <w:rPr>
          <w:sz w:val="21"/>
        </w:rPr>
      </w:pPr>
      <w:r>
        <w:rPr>
          <w:spacing w:val="-7"/>
          <w:sz w:val="21"/>
        </w:rPr>
        <w:t>视野半径小于 </w:t>
      </w:r>
      <w:r>
        <w:rPr>
          <w:sz w:val="21"/>
        </w:rPr>
        <w:t>5</w:t>
      </w:r>
      <w:r>
        <w:rPr>
          <w:spacing w:val="-16"/>
          <w:sz w:val="21"/>
        </w:rPr>
        <w:t> 度。</w:t>
      </w:r>
    </w:p>
    <w:p>
      <w:pPr>
        <w:pStyle w:val="BodyText"/>
        <w:spacing w:before="6"/>
        <w:rPr>
          <w:sz w:val="24"/>
        </w:rPr>
      </w:pPr>
    </w:p>
    <w:p>
      <w:pPr>
        <w:spacing w:after="0"/>
        <w:rPr>
          <w:sz w:val="24"/>
        </w:rPr>
        <w:sectPr>
          <w:pgSz w:w="11910" w:h="16850"/>
          <w:pgMar w:header="0" w:footer="944" w:top="1280" w:bottom="1180" w:left="940" w:right="580"/>
        </w:sectPr>
      </w:pPr>
    </w:p>
    <w:p>
      <w:pPr>
        <w:pStyle w:val="Heading3"/>
        <w:numPr>
          <w:ilvl w:val="2"/>
          <w:numId w:val="20"/>
        </w:numPr>
        <w:tabs>
          <w:tab w:pos="1177" w:val="left" w:leader="none"/>
          <w:tab w:pos="1178" w:val="left" w:leader="none"/>
        </w:tabs>
        <w:spacing w:line="240" w:lineRule="auto" w:before="35" w:after="0"/>
        <w:ind w:left="1177" w:right="0" w:hanging="1021"/>
        <w:jc w:val="left"/>
      </w:pPr>
      <w:r>
        <w:rPr>
          <w:w w:val="95"/>
        </w:rPr>
        <w:t>中度严重溃疡</w:t>
      </w:r>
    </w:p>
    <w:p>
      <w:pPr>
        <w:spacing w:before="40"/>
        <w:ind w:left="1177" w:right="0" w:firstLine="0"/>
        <w:jc w:val="left"/>
        <w:rPr>
          <w:rFonts w:ascii="楷体" w:eastAsia="楷体" w:hint="eastAsia"/>
          <w:b/>
          <w:sz w:val="21"/>
        </w:rPr>
      </w:pPr>
      <w:r>
        <w:rPr>
          <w:rFonts w:ascii="楷体" w:eastAsia="楷体" w:hint="eastAsia"/>
          <w:b/>
          <w:w w:val="95"/>
          <w:sz w:val="21"/>
        </w:rPr>
        <w:t>性结肠炎</w:t>
      </w:r>
    </w:p>
    <w:p>
      <w:pPr>
        <w:pStyle w:val="BodyText"/>
        <w:spacing w:line="276" w:lineRule="auto" w:before="35"/>
        <w:ind w:left="156" w:right="310"/>
      </w:pPr>
      <w:r>
        <w:rPr/>
        <w:br w:type="column"/>
      </w:r>
      <w:r>
        <w:rPr/>
        <w:t>溃疡性结肠炎是指伴有致命性电解质紊乱的大肠（结肠及直肠）粘膜炎症，病变累及全大肠。须满足下列所有条件：</w:t>
      </w:r>
    </w:p>
    <w:p>
      <w:pPr>
        <w:pStyle w:val="ListParagraph"/>
        <w:numPr>
          <w:ilvl w:val="0"/>
          <w:numId w:val="21"/>
        </w:numPr>
        <w:tabs>
          <w:tab w:pos="788" w:val="left" w:leader="none"/>
        </w:tabs>
        <w:spacing w:line="261" w:lineRule="auto" w:before="8" w:after="0"/>
        <w:ind w:left="156" w:right="314" w:firstLine="0"/>
        <w:jc w:val="left"/>
        <w:rPr>
          <w:sz w:val="21"/>
        </w:rPr>
      </w:pPr>
      <w:r>
        <w:rPr>
          <w:spacing w:val="-1"/>
          <w:sz w:val="21"/>
        </w:rPr>
        <w:t>须经由内窥镜检查证实该疾病侵犯全部结肠及直肠，并经病理学组织切片检查证实为溃疡性结肠炎；</w:t>
      </w:r>
    </w:p>
    <w:p>
      <w:pPr>
        <w:pStyle w:val="ListParagraph"/>
        <w:numPr>
          <w:ilvl w:val="0"/>
          <w:numId w:val="21"/>
        </w:numPr>
        <w:tabs>
          <w:tab w:pos="788" w:val="left" w:leader="none"/>
        </w:tabs>
        <w:spacing w:line="240" w:lineRule="auto" w:before="21" w:after="0"/>
        <w:ind w:left="156" w:right="0" w:firstLine="0"/>
        <w:jc w:val="left"/>
        <w:rPr>
          <w:sz w:val="21"/>
        </w:rPr>
      </w:pPr>
      <w:r>
        <w:rPr>
          <w:spacing w:val="-3"/>
          <w:sz w:val="21"/>
        </w:rPr>
        <w:t>经专科医生以类固醇或免疫抑制剂连续治疗 </w:t>
      </w:r>
      <w:r>
        <w:rPr>
          <w:sz w:val="21"/>
        </w:rPr>
        <w:t>6</w:t>
      </w:r>
      <w:r>
        <w:rPr>
          <w:spacing w:val="-12"/>
          <w:sz w:val="21"/>
        </w:rPr>
        <w:t> 个月。</w:t>
      </w:r>
    </w:p>
    <w:p>
      <w:pPr>
        <w:pStyle w:val="BodyText"/>
        <w:spacing w:line="276" w:lineRule="auto" w:before="39"/>
        <w:ind w:left="156" w:right="528"/>
      </w:pPr>
      <w:r>
        <w:rPr/>
        <w:t>诊断及治疗均须在本公司认可的医院内由专科医生认为是医疗必须的情况下进行。</w:t>
      </w:r>
    </w:p>
    <w:p>
      <w:pPr>
        <w:spacing w:after="0" w:line="276" w:lineRule="auto"/>
        <w:sectPr>
          <w:type w:val="continuous"/>
          <w:pgSz w:w="11910" w:h="16850"/>
          <w:pgMar w:top="540" w:bottom="1140" w:left="940" w:right="580"/>
          <w:cols w:num="2" w:equalWidth="0">
            <w:col w:w="2441" w:space="112"/>
            <w:col w:w="7837"/>
          </w:cols>
        </w:sectPr>
      </w:pPr>
    </w:p>
    <w:p>
      <w:pPr>
        <w:pStyle w:val="BodyText"/>
        <w:spacing w:before="11"/>
        <w:rPr>
          <w:sz w:val="20"/>
        </w:rPr>
      </w:pPr>
    </w:p>
    <w:p>
      <w:pPr>
        <w:spacing w:after="0"/>
        <w:rPr>
          <w:sz w:val="20"/>
        </w:rPr>
        <w:sectPr>
          <w:type w:val="continuous"/>
          <w:pgSz w:w="11910" w:h="16850"/>
          <w:pgMar w:top="540" w:bottom="1140" w:left="940" w:right="580"/>
        </w:sectPr>
      </w:pPr>
    </w:p>
    <w:p>
      <w:pPr>
        <w:pStyle w:val="Heading3"/>
        <w:numPr>
          <w:ilvl w:val="2"/>
          <w:numId w:val="20"/>
        </w:numPr>
        <w:tabs>
          <w:tab w:pos="1177" w:val="left" w:leader="none"/>
          <w:tab w:pos="1178" w:val="left" w:leader="none"/>
        </w:tabs>
        <w:spacing w:line="276" w:lineRule="auto" w:before="36" w:after="0"/>
        <w:ind w:left="1177" w:right="0" w:hanging="1021"/>
        <w:jc w:val="left"/>
      </w:pPr>
      <w:r>
        <w:rPr>
          <w:w w:val="95"/>
        </w:rPr>
        <w:t>中度肌营养不良症</w:t>
      </w:r>
    </w:p>
    <w:p>
      <w:pPr>
        <w:pStyle w:val="BodyText"/>
        <w:spacing w:line="276" w:lineRule="auto" w:before="36"/>
        <w:ind w:left="156" w:right="310"/>
        <w:jc w:val="both"/>
      </w:pPr>
      <w:r>
        <w:rPr/>
        <w:br w:type="column"/>
      </w:r>
      <w:r>
        <w:rPr/>
        <w:t>指一组原发于肌肉的遗传性疾病，临床表现为与神经系统无关的肌肉无力和肌肉萎缩。须满足下列全部条件：</w:t>
      </w:r>
    </w:p>
    <w:p>
      <w:pPr>
        <w:pStyle w:val="ListParagraph"/>
        <w:numPr>
          <w:ilvl w:val="0"/>
          <w:numId w:val="22"/>
        </w:numPr>
        <w:tabs>
          <w:tab w:pos="788" w:val="left" w:leader="none"/>
        </w:tabs>
        <w:spacing w:line="240" w:lineRule="auto" w:before="9" w:after="0"/>
        <w:ind w:left="156" w:right="0" w:firstLine="0"/>
        <w:jc w:val="left"/>
        <w:rPr>
          <w:sz w:val="21"/>
        </w:rPr>
      </w:pPr>
      <w:r>
        <w:rPr>
          <w:sz w:val="21"/>
        </w:rPr>
        <w:t>肌肉组织活检结果满足肌营养不良症的肌肉细胞变性、坏死等阳性改变；</w:t>
      </w:r>
    </w:p>
    <w:p>
      <w:pPr>
        <w:pStyle w:val="ListParagraph"/>
        <w:numPr>
          <w:ilvl w:val="0"/>
          <w:numId w:val="22"/>
        </w:numPr>
        <w:tabs>
          <w:tab w:pos="788" w:val="left" w:leader="none"/>
        </w:tabs>
        <w:spacing w:line="268" w:lineRule="auto" w:before="40" w:after="0"/>
        <w:ind w:left="156" w:right="310" w:firstLine="0"/>
        <w:jc w:val="both"/>
        <w:rPr>
          <w:sz w:val="21"/>
        </w:rPr>
      </w:pPr>
      <w:r>
        <w:rPr>
          <w:sz w:val="21"/>
        </w:rPr>
        <w:t>自主生活能力严重丧失，无法独立完成六项基本日常生活活动中的两项。我们承担本项疾病责任不受本附加险合同“责任免除”中“遗传性疾病，先天性畸形、变形或染色体异常”的限制。</w:t>
      </w:r>
    </w:p>
    <w:p>
      <w:pPr>
        <w:spacing w:after="0" w:line="268" w:lineRule="auto"/>
        <w:jc w:val="both"/>
        <w:rPr>
          <w:sz w:val="21"/>
        </w:rPr>
        <w:sectPr>
          <w:type w:val="continuous"/>
          <w:pgSz w:w="11910" w:h="16850"/>
          <w:pgMar w:top="540" w:bottom="1140" w:left="940" w:right="580"/>
          <w:cols w:num="2" w:equalWidth="0">
            <w:col w:w="2441" w:space="112"/>
            <w:col w:w="7837"/>
          </w:cols>
        </w:sectPr>
      </w:pPr>
    </w:p>
    <w:p>
      <w:pPr>
        <w:pStyle w:val="BodyText"/>
        <w:spacing w:before="7"/>
        <w:rPr>
          <w:sz w:val="22"/>
        </w:rPr>
      </w:pPr>
    </w:p>
    <w:p>
      <w:pPr>
        <w:spacing w:after="0"/>
        <w:rPr>
          <w:sz w:val="22"/>
        </w:rPr>
        <w:sectPr>
          <w:type w:val="continuous"/>
          <w:pgSz w:w="11910" w:h="16850"/>
          <w:pgMar w:top="540" w:bottom="1140" w:left="940" w:right="580"/>
        </w:sectPr>
      </w:pPr>
    </w:p>
    <w:p>
      <w:pPr>
        <w:pStyle w:val="Heading3"/>
        <w:numPr>
          <w:ilvl w:val="2"/>
          <w:numId w:val="20"/>
        </w:numPr>
        <w:tabs>
          <w:tab w:pos="1177" w:val="left" w:leader="none"/>
          <w:tab w:pos="1178" w:val="left" w:leader="none"/>
        </w:tabs>
        <w:spacing w:line="240" w:lineRule="auto" w:before="36" w:after="0"/>
        <w:ind w:left="1177" w:right="0" w:hanging="1021"/>
        <w:jc w:val="left"/>
      </w:pPr>
      <w:r>
        <w:rPr>
          <w:w w:val="95"/>
        </w:rPr>
        <w:t>中度严重脊髓</w:t>
      </w:r>
    </w:p>
    <w:p>
      <w:pPr>
        <w:spacing w:before="40"/>
        <w:ind w:left="1177" w:right="0" w:firstLine="0"/>
        <w:jc w:val="left"/>
        <w:rPr>
          <w:rFonts w:ascii="楷体" w:eastAsia="楷体" w:hint="eastAsia"/>
          <w:b/>
          <w:sz w:val="21"/>
        </w:rPr>
      </w:pPr>
      <w:r>
        <w:rPr>
          <w:rFonts w:ascii="楷体" w:eastAsia="楷体" w:hint="eastAsia"/>
          <w:b/>
          <w:w w:val="95"/>
          <w:sz w:val="21"/>
        </w:rPr>
        <w:t>灰质炎</w:t>
      </w:r>
    </w:p>
    <w:p>
      <w:pPr>
        <w:pStyle w:val="BodyText"/>
        <w:spacing w:line="271" w:lineRule="auto" w:before="36"/>
        <w:ind w:left="156" w:right="301"/>
        <w:jc w:val="both"/>
      </w:pPr>
      <w:r>
        <w:rPr/>
        <w:br w:type="column"/>
      </w:r>
      <w:r>
        <w:rPr/>
        <w:t>脊髓灰质炎是由于脊髓灰质炎病毒感染所致的瘫痪性疾病，临床表现为运动功能</w:t>
      </w:r>
      <w:r>
        <w:rPr>
          <w:spacing w:val="-1"/>
        </w:rPr>
        <w:t>损害或呼吸无力。脊髓灰质炎必须明确诊断。本保险合同仅对脊髓灰质炎造成的</w:t>
      </w:r>
      <w:r>
        <w:rPr>
          <w:spacing w:val="-2"/>
        </w:rPr>
        <w:t>神经系统功能损害导致被保险人一肢或一肢以上肢体机能永久完全丧失的情况予</w:t>
      </w:r>
      <w:r>
        <w:rPr>
          <w:spacing w:val="-5"/>
        </w:rPr>
        <w:t>以理赔。肢体机能永久完全丧失，指疾病确诊 </w:t>
      </w:r>
      <w:r>
        <w:rPr/>
        <w:t>180</w:t>
      </w:r>
      <w:r>
        <w:rPr>
          <w:spacing w:val="-7"/>
        </w:rPr>
        <w:t> 天后，每肢三大关节中的一个大关节仍然完全僵硬，或不能随意识活动。</w:t>
      </w:r>
    </w:p>
    <w:p>
      <w:pPr>
        <w:spacing w:after="0" w:line="271" w:lineRule="auto"/>
        <w:jc w:val="both"/>
        <w:sectPr>
          <w:type w:val="continuous"/>
          <w:pgSz w:w="11910" w:h="16850"/>
          <w:pgMar w:top="540" w:bottom="1140" w:left="940" w:right="580"/>
          <w:cols w:num="2" w:equalWidth="0">
            <w:col w:w="2441" w:space="112"/>
            <w:col w:w="7837"/>
          </w:cols>
        </w:sectPr>
      </w:pPr>
    </w:p>
    <w:p>
      <w:pPr>
        <w:pStyle w:val="BodyText"/>
        <w:spacing w:before="5"/>
        <w:rPr>
          <w:sz w:val="22"/>
        </w:rPr>
      </w:pPr>
    </w:p>
    <w:p>
      <w:pPr>
        <w:spacing w:after="0"/>
        <w:rPr>
          <w:sz w:val="22"/>
        </w:rPr>
        <w:sectPr>
          <w:type w:val="continuous"/>
          <w:pgSz w:w="11910" w:h="16850"/>
          <w:pgMar w:top="540" w:bottom="1140" w:left="940" w:right="580"/>
        </w:sectPr>
      </w:pPr>
    </w:p>
    <w:p>
      <w:pPr>
        <w:pStyle w:val="Heading3"/>
        <w:numPr>
          <w:ilvl w:val="2"/>
          <w:numId w:val="20"/>
        </w:numPr>
        <w:tabs>
          <w:tab w:pos="1177" w:val="left" w:leader="none"/>
          <w:tab w:pos="1178" w:val="left" w:leader="none"/>
        </w:tabs>
        <w:spacing w:line="276" w:lineRule="auto" w:before="35" w:after="0"/>
        <w:ind w:left="1177" w:right="0" w:hanging="1021"/>
        <w:jc w:val="left"/>
      </w:pPr>
      <w:r>
        <w:rPr>
          <w:w w:val="95"/>
        </w:rPr>
        <w:t>双侧睾丸切除</w:t>
      </w:r>
      <w:r>
        <w:rPr/>
        <w:t>术</w:t>
      </w:r>
    </w:p>
    <w:p>
      <w:pPr>
        <w:pStyle w:val="BodyText"/>
        <w:spacing w:before="35"/>
        <w:ind w:left="156"/>
      </w:pPr>
      <w:r>
        <w:rPr/>
        <w:br w:type="column"/>
      </w:r>
      <w:r>
        <w:rPr/>
        <w:t>指为治疗疾病实际接受了双侧睾丸完全切除手术。</w:t>
      </w:r>
    </w:p>
    <w:p>
      <w:pPr>
        <w:pStyle w:val="Heading2"/>
        <w:spacing w:before="28"/>
        <w:ind w:left="156"/>
      </w:pPr>
      <w:r>
        <w:rPr>
          <w:w w:val="95"/>
        </w:rPr>
        <w:t>部分睾丸切除不在保障范围内。</w:t>
      </w:r>
    </w:p>
    <w:p>
      <w:pPr>
        <w:spacing w:after="0"/>
        <w:sectPr>
          <w:type w:val="continuous"/>
          <w:pgSz w:w="11910" w:h="16850"/>
          <w:pgMar w:top="540" w:bottom="1140" w:left="940" w:right="580"/>
          <w:cols w:num="2" w:equalWidth="0">
            <w:col w:w="2441" w:space="112"/>
            <w:col w:w="7837"/>
          </w:cols>
        </w:sectPr>
      </w:pPr>
    </w:p>
    <w:p>
      <w:pPr>
        <w:pStyle w:val="BodyText"/>
        <w:spacing w:before="11"/>
        <w:rPr>
          <w:b/>
          <w:i/>
          <w:sz w:val="20"/>
        </w:rPr>
      </w:pPr>
    </w:p>
    <w:p>
      <w:pPr>
        <w:spacing w:after="0"/>
        <w:rPr>
          <w:sz w:val="20"/>
        </w:rPr>
        <w:sectPr>
          <w:type w:val="continuous"/>
          <w:pgSz w:w="11910" w:h="16850"/>
          <w:pgMar w:top="540" w:bottom="1140" w:left="940" w:right="580"/>
        </w:sectPr>
      </w:pPr>
    </w:p>
    <w:p>
      <w:pPr>
        <w:pStyle w:val="Heading3"/>
        <w:numPr>
          <w:ilvl w:val="2"/>
          <w:numId w:val="20"/>
        </w:numPr>
        <w:tabs>
          <w:tab w:pos="1177" w:val="left" w:leader="none"/>
          <w:tab w:pos="1178" w:val="left" w:leader="none"/>
        </w:tabs>
        <w:spacing w:line="276" w:lineRule="auto" w:before="36" w:after="0"/>
        <w:ind w:left="1177" w:right="0" w:hanging="1021"/>
        <w:jc w:val="left"/>
      </w:pPr>
      <w:r>
        <w:rPr>
          <w:w w:val="95"/>
        </w:rPr>
        <w:t>双侧卵巢切除</w:t>
      </w:r>
      <w:r>
        <w:rPr/>
        <w:t>术</w:t>
      </w:r>
    </w:p>
    <w:p>
      <w:pPr>
        <w:pStyle w:val="BodyText"/>
        <w:spacing w:before="36"/>
        <w:ind w:left="156"/>
      </w:pPr>
      <w:r>
        <w:rPr/>
        <w:br w:type="column"/>
      </w:r>
      <w:r>
        <w:rPr/>
        <w:t>指为治疗疾病实际接受了经腹部切开或腹腔镜进行的双侧卵巢完全切除手术。</w:t>
      </w:r>
    </w:p>
    <w:p>
      <w:pPr>
        <w:pStyle w:val="Heading2"/>
        <w:spacing w:before="29"/>
        <w:ind w:left="156"/>
      </w:pPr>
      <w:r>
        <w:rPr>
          <w:w w:val="95"/>
        </w:rPr>
        <w:t>部分卵巢切除不在保障范围内。</w:t>
      </w:r>
    </w:p>
    <w:p>
      <w:pPr>
        <w:spacing w:after="0"/>
        <w:sectPr>
          <w:type w:val="continuous"/>
          <w:pgSz w:w="11910" w:h="16850"/>
          <w:pgMar w:top="540" w:bottom="1140" w:left="940" w:right="580"/>
          <w:cols w:num="2" w:equalWidth="0">
            <w:col w:w="2441" w:space="112"/>
            <w:col w:w="7837"/>
          </w:cols>
        </w:sectPr>
      </w:pPr>
    </w:p>
    <w:p>
      <w:pPr>
        <w:pStyle w:val="BodyText"/>
        <w:spacing w:before="1"/>
        <w:rPr>
          <w:b/>
          <w:i/>
          <w:sz w:val="22"/>
        </w:rPr>
      </w:pPr>
    </w:p>
    <w:p>
      <w:pPr>
        <w:pStyle w:val="ListParagraph"/>
        <w:numPr>
          <w:ilvl w:val="2"/>
          <w:numId w:val="20"/>
        </w:numPr>
        <w:tabs>
          <w:tab w:pos="1177" w:val="left" w:leader="none"/>
          <w:tab w:pos="1178" w:val="left" w:leader="none"/>
          <w:tab w:pos="2709" w:val="left" w:leader="none"/>
        </w:tabs>
        <w:spacing w:line="240" w:lineRule="auto" w:before="35" w:after="0"/>
        <w:ind w:left="1177" w:right="0" w:hanging="1021"/>
        <w:jc w:val="left"/>
        <w:rPr>
          <w:sz w:val="21"/>
        </w:rPr>
      </w:pPr>
      <w:r>
        <w:rPr>
          <w:rFonts w:ascii="楷体" w:eastAsia="楷体" w:hint="eastAsia"/>
          <w:b/>
          <w:sz w:val="21"/>
        </w:rPr>
        <w:t>单侧肾脏切除</w:t>
        <w:tab/>
      </w:r>
      <w:r>
        <w:rPr>
          <w:sz w:val="21"/>
        </w:rPr>
        <w:t>指因疾病或意外事故实际实施的一侧肾脏切除术。</w:t>
      </w:r>
    </w:p>
    <w:p>
      <w:pPr>
        <w:pStyle w:val="Heading2"/>
        <w:spacing w:before="13"/>
        <w:ind w:left="2709"/>
      </w:pPr>
      <w:r>
        <w:rPr>
          <w:w w:val="95"/>
        </w:rPr>
        <w:t>肾脏部分切除手术和肾脏捐献引起的手术不在保障范围内。</w:t>
      </w:r>
    </w:p>
    <w:p>
      <w:pPr>
        <w:spacing w:after="0"/>
        <w:sectPr>
          <w:type w:val="continuous"/>
          <w:pgSz w:w="11910" w:h="16850"/>
          <w:pgMar w:top="540" w:bottom="1140" w:left="94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593"/>
        <w:gridCol w:w="7604"/>
      </w:tblGrid>
      <w:tr>
        <w:trPr>
          <w:trHeight w:val="262" w:hRule="atLeast"/>
        </w:trPr>
        <w:tc>
          <w:tcPr>
            <w:tcW w:w="875" w:type="dxa"/>
          </w:tcPr>
          <w:p>
            <w:pPr>
              <w:pStyle w:val="TableParagraph"/>
              <w:spacing w:line="210" w:lineRule="exact"/>
              <w:ind w:left="50"/>
              <w:rPr>
                <w:b/>
                <w:sz w:val="21"/>
              </w:rPr>
            </w:pPr>
            <w:r>
              <w:rPr>
                <w:b/>
                <w:sz w:val="21"/>
              </w:rPr>
              <w:t>9.5.29</w:t>
            </w:r>
          </w:p>
        </w:tc>
        <w:tc>
          <w:tcPr>
            <w:tcW w:w="1593" w:type="dxa"/>
          </w:tcPr>
          <w:p>
            <w:pPr>
              <w:pStyle w:val="TableParagraph"/>
              <w:spacing w:line="210" w:lineRule="exact"/>
              <w:ind w:left="195"/>
              <w:rPr>
                <w:rFonts w:ascii="楷体" w:eastAsia="楷体" w:hint="eastAsia"/>
                <w:b/>
                <w:sz w:val="21"/>
              </w:rPr>
            </w:pPr>
            <w:r>
              <w:rPr>
                <w:rFonts w:ascii="楷体" w:eastAsia="楷体" w:hint="eastAsia"/>
                <w:b/>
                <w:w w:val="95"/>
                <w:sz w:val="21"/>
              </w:rPr>
              <w:t>单耳失聪</w:t>
            </w:r>
          </w:p>
        </w:tc>
        <w:tc>
          <w:tcPr>
            <w:tcW w:w="7604" w:type="dxa"/>
          </w:tcPr>
          <w:p>
            <w:pPr>
              <w:pStyle w:val="TableParagraph"/>
              <w:spacing w:line="210" w:lineRule="exact"/>
              <w:ind w:left="135"/>
              <w:rPr>
                <w:sz w:val="21"/>
              </w:rPr>
            </w:pPr>
            <w:r>
              <w:rPr>
                <w:spacing w:val="-2"/>
                <w:sz w:val="21"/>
              </w:rPr>
              <w:t>指因疾病或者意外伤害导致单耳听力永久不可逆性丧失，在 </w:t>
            </w:r>
            <w:r>
              <w:rPr>
                <w:sz w:val="21"/>
              </w:rPr>
              <w:t>500</w:t>
            </w:r>
            <w:r>
              <w:rPr>
                <w:spacing w:val="-16"/>
                <w:sz w:val="21"/>
              </w:rPr>
              <w:t> 赫兹、</w:t>
            </w:r>
            <w:r>
              <w:rPr>
                <w:sz w:val="21"/>
              </w:rPr>
              <w:t>1000</w:t>
            </w:r>
            <w:r>
              <w:rPr>
                <w:spacing w:val="-16"/>
                <w:sz w:val="21"/>
              </w:rPr>
              <w:t> 赫兹</w:t>
            </w:r>
          </w:p>
        </w:tc>
      </w:tr>
      <w:tr>
        <w:trPr>
          <w:trHeight w:val="315"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pacing w:val="-23"/>
                <w:sz w:val="21"/>
              </w:rPr>
              <w:t>和 </w:t>
            </w:r>
            <w:r>
              <w:rPr>
                <w:sz w:val="21"/>
              </w:rPr>
              <w:t>2000</w:t>
            </w:r>
            <w:r>
              <w:rPr>
                <w:spacing w:val="-10"/>
                <w:sz w:val="21"/>
              </w:rPr>
              <w:t> 赫兹语音频率下，平均听阈大于 </w:t>
            </w:r>
            <w:r>
              <w:rPr>
                <w:spacing w:val="-8"/>
                <w:sz w:val="21"/>
              </w:rPr>
              <w:t>90</w:t>
            </w:r>
            <w:r>
              <w:rPr>
                <w:spacing w:val="-7"/>
                <w:sz w:val="21"/>
              </w:rPr>
              <w:t> 分贝，且经纯音听力测试、声导抗检</w:t>
            </w:r>
          </w:p>
        </w:tc>
      </w:tr>
      <w:tr>
        <w:trPr>
          <w:trHeight w:val="31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测或者听觉诱发电位检测等证实。</w:t>
            </w:r>
          </w:p>
        </w:tc>
      </w:tr>
      <w:tr>
        <w:trPr>
          <w:trHeight w:val="47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9" w:lineRule="exact"/>
              <w:ind w:left="135"/>
              <w:rPr>
                <w:b/>
                <w:i/>
                <w:sz w:val="22"/>
              </w:rPr>
            </w:pPr>
            <w:r>
              <w:rPr>
                <w:b/>
                <w:i/>
                <w:w w:val="95"/>
                <w:sz w:val="22"/>
              </w:rPr>
              <w:t>在 0 周岁至 3 周岁保单周年日期间，被保险人初患单耳失聪除外。</w:t>
            </w:r>
          </w:p>
        </w:tc>
      </w:tr>
      <w:tr>
        <w:trPr>
          <w:trHeight w:val="464" w:hRule="atLeast"/>
        </w:trPr>
        <w:tc>
          <w:tcPr>
            <w:tcW w:w="875" w:type="dxa"/>
          </w:tcPr>
          <w:p>
            <w:pPr>
              <w:pStyle w:val="TableParagraph"/>
              <w:spacing w:before="137"/>
              <w:ind w:left="50"/>
              <w:rPr>
                <w:b/>
                <w:sz w:val="21"/>
              </w:rPr>
            </w:pPr>
            <w:r>
              <w:rPr>
                <w:b/>
                <w:sz w:val="21"/>
              </w:rPr>
              <w:t>9.5.30</w:t>
            </w:r>
          </w:p>
        </w:tc>
        <w:tc>
          <w:tcPr>
            <w:tcW w:w="1593" w:type="dxa"/>
          </w:tcPr>
          <w:p>
            <w:pPr>
              <w:pStyle w:val="TableParagraph"/>
              <w:spacing w:before="137"/>
              <w:ind w:left="195"/>
              <w:rPr>
                <w:rFonts w:ascii="楷体" w:eastAsia="楷体" w:hint="eastAsia"/>
                <w:b/>
                <w:sz w:val="21"/>
              </w:rPr>
            </w:pPr>
            <w:r>
              <w:rPr>
                <w:rFonts w:ascii="楷体" w:eastAsia="楷体" w:hint="eastAsia"/>
                <w:b/>
                <w:w w:val="95"/>
                <w:sz w:val="21"/>
              </w:rPr>
              <w:t>于颈动脉进行</w:t>
            </w:r>
          </w:p>
        </w:tc>
        <w:tc>
          <w:tcPr>
            <w:tcW w:w="7604" w:type="dxa"/>
          </w:tcPr>
          <w:p>
            <w:pPr>
              <w:pStyle w:val="TableParagraph"/>
              <w:spacing w:before="137"/>
              <w:ind w:left="135"/>
              <w:rPr>
                <w:sz w:val="21"/>
              </w:rPr>
            </w:pPr>
            <w:r>
              <w:rPr>
                <w:sz w:val="21"/>
              </w:rPr>
              <w:t>指根据颈动脉造影检查结果，确诊一条或以上颈动脉存在严重狭窄性病变（至少</w:t>
            </w:r>
          </w:p>
        </w:tc>
      </w:tr>
      <w:tr>
        <w:trPr>
          <w:trHeight w:val="315" w:hRule="atLeast"/>
        </w:trPr>
        <w:tc>
          <w:tcPr>
            <w:tcW w:w="875" w:type="dxa"/>
          </w:tcPr>
          <w:p>
            <w:pPr>
              <w:pStyle w:val="TableParagraph"/>
              <w:rPr>
                <w:rFonts w:ascii="Times New Roman"/>
                <w:sz w:val="20"/>
              </w:rPr>
            </w:pPr>
          </w:p>
        </w:tc>
        <w:tc>
          <w:tcPr>
            <w:tcW w:w="1593" w:type="dxa"/>
          </w:tcPr>
          <w:p>
            <w:pPr>
              <w:pStyle w:val="TableParagraph"/>
              <w:spacing w:line="263" w:lineRule="exact"/>
              <w:ind w:left="195"/>
              <w:rPr>
                <w:rFonts w:ascii="楷体" w:eastAsia="楷体" w:hint="eastAsia"/>
                <w:b/>
                <w:sz w:val="21"/>
              </w:rPr>
            </w:pPr>
            <w:r>
              <w:rPr>
                <w:rFonts w:ascii="楷体" w:eastAsia="楷体" w:hint="eastAsia"/>
                <w:b/>
                <w:w w:val="95"/>
                <w:sz w:val="21"/>
              </w:rPr>
              <w:t>血管成形术或</w:t>
            </w:r>
          </w:p>
        </w:tc>
        <w:tc>
          <w:tcPr>
            <w:tcW w:w="7604" w:type="dxa"/>
          </w:tcPr>
          <w:p>
            <w:pPr>
              <w:pStyle w:val="TableParagraph"/>
              <w:spacing w:line="263" w:lineRule="exact"/>
              <w:ind w:left="135"/>
              <w:rPr>
                <w:sz w:val="21"/>
              </w:rPr>
            </w:pPr>
            <w:r>
              <w:rPr>
                <w:spacing w:val="-5"/>
                <w:sz w:val="21"/>
              </w:rPr>
              <w:t>一支血管管腔直径减少 </w:t>
            </w:r>
            <w:r>
              <w:rPr>
                <w:sz w:val="21"/>
              </w:rPr>
              <w:t>50％以上</w:t>
            </w:r>
            <w:r>
              <w:rPr>
                <w:spacing w:val="-105"/>
                <w:sz w:val="21"/>
              </w:rPr>
              <w:t>）</w:t>
            </w:r>
            <w:r>
              <w:rPr>
                <w:sz w:val="21"/>
              </w:rPr>
              <w:t>。本病须经国家机关认可的有合法资质的专科</w:t>
            </w:r>
          </w:p>
        </w:tc>
      </w:tr>
      <w:tr>
        <w:trPr>
          <w:trHeight w:val="315" w:hRule="atLeast"/>
        </w:trPr>
        <w:tc>
          <w:tcPr>
            <w:tcW w:w="875" w:type="dxa"/>
          </w:tcPr>
          <w:p>
            <w:pPr>
              <w:pStyle w:val="TableParagraph"/>
              <w:rPr>
                <w:rFonts w:ascii="Times New Roman"/>
                <w:sz w:val="20"/>
              </w:rPr>
            </w:pPr>
          </w:p>
        </w:tc>
        <w:tc>
          <w:tcPr>
            <w:tcW w:w="1593" w:type="dxa"/>
          </w:tcPr>
          <w:p>
            <w:pPr>
              <w:pStyle w:val="TableParagraph"/>
              <w:spacing w:line="263" w:lineRule="exact"/>
              <w:ind w:left="195"/>
              <w:rPr>
                <w:rFonts w:ascii="楷体" w:eastAsia="楷体" w:hint="eastAsia"/>
                <w:b/>
                <w:sz w:val="21"/>
              </w:rPr>
            </w:pPr>
            <w:r>
              <w:rPr>
                <w:rFonts w:ascii="楷体" w:eastAsia="楷体" w:hint="eastAsia"/>
                <w:b/>
                <w:w w:val="95"/>
                <w:sz w:val="21"/>
              </w:rPr>
              <w:t>内膜切除术</w:t>
            </w:r>
          </w:p>
        </w:tc>
        <w:tc>
          <w:tcPr>
            <w:tcW w:w="7604" w:type="dxa"/>
          </w:tcPr>
          <w:p>
            <w:pPr>
              <w:pStyle w:val="TableParagraph"/>
              <w:spacing w:line="263" w:lineRule="exact"/>
              <w:ind w:left="135"/>
              <w:rPr>
                <w:sz w:val="21"/>
              </w:rPr>
            </w:pPr>
            <w:r>
              <w:rPr>
                <w:sz w:val="21"/>
              </w:rPr>
              <w:t>医生明确诊断，同时必须已经采取以下手术以减轻症状：</w:t>
            </w:r>
          </w:p>
        </w:tc>
      </w:tr>
      <w:tr>
        <w:trPr>
          <w:trHeight w:val="307"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（1） 确实进行动脉内膜切除术；</w:t>
            </w:r>
          </w:p>
        </w:tc>
      </w:tr>
      <w:tr>
        <w:trPr>
          <w:trHeight w:val="307"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55" w:lineRule="exact"/>
              <w:ind w:left="135"/>
              <w:rPr>
                <w:sz w:val="21"/>
              </w:rPr>
            </w:pPr>
            <w:r>
              <w:rPr>
                <w:sz w:val="21"/>
              </w:rPr>
              <w:t>（2） 确实进行血管介入治疗，例如血管成形术及/或进行植入支架或动脉粥样瘤</w:t>
            </w:r>
          </w:p>
        </w:tc>
      </w:tr>
      <w:tr>
        <w:trPr>
          <w:trHeight w:val="473"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清除手术。</w:t>
            </w:r>
          </w:p>
        </w:tc>
      </w:tr>
      <w:tr>
        <w:trPr>
          <w:trHeight w:val="468" w:hRule="atLeast"/>
        </w:trPr>
        <w:tc>
          <w:tcPr>
            <w:tcW w:w="875" w:type="dxa"/>
          </w:tcPr>
          <w:p>
            <w:pPr>
              <w:pStyle w:val="TableParagraph"/>
              <w:spacing w:before="145"/>
              <w:ind w:left="50"/>
              <w:rPr>
                <w:b/>
                <w:sz w:val="21"/>
              </w:rPr>
            </w:pPr>
            <w:r>
              <w:rPr>
                <w:b/>
                <w:sz w:val="21"/>
              </w:rPr>
              <w:t>9.5.31</w:t>
            </w:r>
          </w:p>
        </w:tc>
        <w:tc>
          <w:tcPr>
            <w:tcW w:w="1593" w:type="dxa"/>
          </w:tcPr>
          <w:p>
            <w:pPr>
              <w:pStyle w:val="TableParagraph"/>
              <w:spacing w:before="145"/>
              <w:ind w:left="195"/>
              <w:rPr>
                <w:rFonts w:ascii="楷体" w:eastAsia="楷体" w:hint="eastAsia"/>
                <w:b/>
                <w:sz w:val="21"/>
              </w:rPr>
            </w:pPr>
            <w:r>
              <w:rPr>
                <w:rFonts w:ascii="楷体" w:eastAsia="楷体" w:hint="eastAsia"/>
                <w:b/>
                <w:w w:val="95"/>
                <w:sz w:val="21"/>
              </w:rPr>
              <w:t>心包膜切除术</w:t>
            </w:r>
          </w:p>
        </w:tc>
        <w:tc>
          <w:tcPr>
            <w:tcW w:w="7604" w:type="dxa"/>
          </w:tcPr>
          <w:p>
            <w:pPr>
              <w:pStyle w:val="TableParagraph"/>
              <w:spacing w:before="145"/>
              <w:ind w:left="135"/>
              <w:rPr>
                <w:sz w:val="21"/>
              </w:rPr>
            </w:pPr>
            <w:r>
              <w:rPr>
                <w:sz w:val="21"/>
              </w:rPr>
              <w:t>因心包膜疾病导致已接受心包膜切除术或已进行任何需要心脏小切口技术的手</w:t>
            </w:r>
          </w:p>
        </w:tc>
      </w:tr>
      <w:tr>
        <w:trPr>
          <w:trHeight w:val="778"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9" w:lineRule="exact"/>
              <w:ind w:left="135"/>
              <w:rPr>
                <w:b/>
                <w:i/>
                <w:sz w:val="22"/>
              </w:rPr>
            </w:pPr>
            <w:r>
              <w:rPr>
                <w:w w:val="95"/>
                <w:sz w:val="21"/>
              </w:rPr>
              <w:t>术。</w:t>
            </w:r>
            <w:r>
              <w:rPr>
                <w:b/>
                <w:i/>
                <w:w w:val="95"/>
                <w:sz w:val="22"/>
              </w:rPr>
              <w:t>此手术必须在本公司认可医院内由心脏科医生认为是医疗上必需的情况下进</w:t>
            </w:r>
          </w:p>
          <w:p>
            <w:pPr>
              <w:pStyle w:val="TableParagraph"/>
              <w:spacing w:before="12"/>
              <w:ind w:left="135"/>
              <w:rPr>
                <w:b/>
                <w:i/>
                <w:sz w:val="22"/>
              </w:rPr>
            </w:pPr>
            <w:r>
              <w:rPr>
                <w:b/>
                <w:i/>
                <w:w w:val="95"/>
                <w:sz w:val="22"/>
              </w:rPr>
              <w:t>行。</w:t>
            </w:r>
          </w:p>
        </w:tc>
      </w:tr>
      <w:tr>
        <w:trPr>
          <w:trHeight w:val="467" w:hRule="atLeast"/>
        </w:trPr>
        <w:tc>
          <w:tcPr>
            <w:tcW w:w="875" w:type="dxa"/>
          </w:tcPr>
          <w:p>
            <w:pPr>
              <w:pStyle w:val="TableParagraph"/>
              <w:spacing w:before="144"/>
              <w:ind w:left="50"/>
              <w:rPr>
                <w:b/>
                <w:sz w:val="21"/>
              </w:rPr>
            </w:pPr>
            <w:r>
              <w:rPr>
                <w:b/>
                <w:sz w:val="21"/>
              </w:rPr>
              <w:t>9.5.32</w:t>
            </w:r>
          </w:p>
        </w:tc>
        <w:tc>
          <w:tcPr>
            <w:tcW w:w="1593" w:type="dxa"/>
          </w:tcPr>
          <w:p>
            <w:pPr>
              <w:pStyle w:val="TableParagraph"/>
              <w:spacing w:before="144"/>
              <w:ind w:left="195"/>
              <w:rPr>
                <w:rFonts w:ascii="楷体" w:eastAsia="楷体" w:hint="eastAsia"/>
                <w:b/>
                <w:sz w:val="21"/>
              </w:rPr>
            </w:pPr>
            <w:r>
              <w:rPr>
                <w:rFonts w:ascii="楷体" w:eastAsia="楷体" w:hint="eastAsia"/>
                <w:b/>
                <w:w w:val="95"/>
                <w:sz w:val="21"/>
              </w:rPr>
              <w:t>硬脑膜下血肿</w:t>
            </w:r>
          </w:p>
        </w:tc>
        <w:tc>
          <w:tcPr>
            <w:tcW w:w="7604" w:type="dxa"/>
          </w:tcPr>
          <w:p>
            <w:pPr>
              <w:pStyle w:val="TableParagraph"/>
              <w:spacing w:before="144"/>
              <w:ind w:left="135"/>
              <w:rPr>
                <w:sz w:val="21"/>
              </w:rPr>
            </w:pPr>
            <w:r>
              <w:rPr>
                <w:sz w:val="21"/>
              </w:rPr>
              <w:t>为清除或引流因意外导致的血肿，需于头部进行开颅或钻孔手术。</w:t>
            </w:r>
          </w:p>
        </w:tc>
      </w:tr>
      <w:tr>
        <w:trPr>
          <w:trHeight w:val="315" w:hRule="atLeast"/>
        </w:trPr>
        <w:tc>
          <w:tcPr>
            <w:tcW w:w="875" w:type="dxa"/>
          </w:tcPr>
          <w:p>
            <w:pPr>
              <w:pStyle w:val="TableParagraph"/>
              <w:rPr>
                <w:rFonts w:ascii="Times New Roman"/>
                <w:sz w:val="20"/>
              </w:rPr>
            </w:pPr>
          </w:p>
        </w:tc>
        <w:tc>
          <w:tcPr>
            <w:tcW w:w="1593" w:type="dxa"/>
          </w:tcPr>
          <w:p>
            <w:pPr>
              <w:pStyle w:val="TableParagraph"/>
              <w:spacing w:line="268" w:lineRule="exact"/>
              <w:ind w:left="195"/>
              <w:rPr>
                <w:rFonts w:ascii="楷体" w:eastAsia="楷体" w:hint="eastAsia"/>
                <w:b/>
                <w:sz w:val="21"/>
              </w:rPr>
            </w:pPr>
            <w:r>
              <w:rPr>
                <w:rFonts w:ascii="楷体" w:eastAsia="楷体" w:hint="eastAsia"/>
                <w:b/>
                <w:w w:val="95"/>
                <w:sz w:val="21"/>
              </w:rPr>
              <w:t>手术</w:t>
            </w:r>
          </w:p>
        </w:tc>
        <w:tc>
          <w:tcPr>
            <w:tcW w:w="7604" w:type="dxa"/>
          </w:tcPr>
          <w:p>
            <w:pPr>
              <w:pStyle w:val="TableParagraph"/>
              <w:spacing w:line="269" w:lineRule="exact"/>
              <w:ind w:left="135"/>
              <w:rPr>
                <w:b/>
                <w:i/>
                <w:sz w:val="22"/>
              </w:rPr>
            </w:pPr>
            <w:r>
              <w:rPr>
                <w:b/>
                <w:i/>
                <w:w w:val="95"/>
                <w:sz w:val="22"/>
              </w:rPr>
              <w:t>开颅或钻孔手术必须在本公司认可医院内由专科医生认为是医疗必须的情况下进</w:t>
            </w:r>
          </w:p>
        </w:tc>
      </w:tr>
      <w:tr>
        <w:trPr>
          <w:trHeight w:val="47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8" w:lineRule="exact"/>
              <w:ind w:left="135"/>
              <w:rPr>
                <w:b/>
                <w:i/>
                <w:sz w:val="22"/>
              </w:rPr>
            </w:pPr>
            <w:r>
              <w:rPr>
                <w:b/>
                <w:i/>
                <w:w w:val="95"/>
                <w:sz w:val="22"/>
              </w:rPr>
              <w:t>行。</w:t>
            </w:r>
          </w:p>
        </w:tc>
      </w:tr>
      <w:tr>
        <w:trPr>
          <w:trHeight w:val="459" w:hRule="atLeast"/>
        </w:trPr>
        <w:tc>
          <w:tcPr>
            <w:tcW w:w="875" w:type="dxa"/>
          </w:tcPr>
          <w:p>
            <w:pPr>
              <w:pStyle w:val="TableParagraph"/>
              <w:spacing w:before="137"/>
              <w:ind w:left="50"/>
              <w:rPr>
                <w:b/>
                <w:sz w:val="21"/>
              </w:rPr>
            </w:pPr>
            <w:r>
              <w:rPr>
                <w:b/>
                <w:sz w:val="21"/>
              </w:rPr>
              <w:t>9.5.33</w:t>
            </w:r>
          </w:p>
        </w:tc>
        <w:tc>
          <w:tcPr>
            <w:tcW w:w="1593" w:type="dxa"/>
          </w:tcPr>
          <w:p>
            <w:pPr>
              <w:pStyle w:val="TableParagraph"/>
              <w:spacing w:before="137"/>
              <w:ind w:left="195"/>
              <w:rPr>
                <w:rFonts w:ascii="楷体" w:eastAsia="楷体" w:hint="eastAsia"/>
                <w:b/>
                <w:sz w:val="21"/>
              </w:rPr>
            </w:pPr>
            <w:r>
              <w:rPr>
                <w:rFonts w:ascii="楷体" w:eastAsia="楷体" w:hint="eastAsia"/>
                <w:b/>
                <w:w w:val="95"/>
                <w:sz w:val="21"/>
              </w:rPr>
              <w:t>角膜移植</w:t>
            </w:r>
          </w:p>
        </w:tc>
        <w:tc>
          <w:tcPr>
            <w:tcW w:w="7604" w:type="dxa"/>
          </w:tcPr>
          <w:p>
            <w:pPr>
              <w:pStyle w:val="TableParagraph"/>
              <w:spacing w:before="137"/>
              <w:ind w:left="135"/>
              <w:rPr>
                <w:sz w:val="21"/>
              </w:rPr>
            </w:pPr>
            <w:r>
              <w:rPr>
                <w:sz w:val="21"/>
              </w:rPr>
              <w:t>指为增进视力或治疗某些角膜疾患，已经实施了异体的角膜移植手术。</w:t>
            </w:r>
          </w:p>
        </w:tc>
      </w:tr>
      <w:tr>
        <w:trPr>
          <w:trHeight w:val="478"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9" w:lineRule="exact"/>
              <w:ind w:left="135"/>
              <w:rPr>
                <w:b/>
                <w:i/>
                <w:sz w:val="22"/>
              </w:rPr>
            </w:pPr>
            <w:r>
              <w:rPr>
                <w:b/>
                <w:i/>
                <w:w w:val="95"/>
                <w:sz w:val="22"/>
              </w:rPr>
              <w:t>此手术必须在本公司认可医院内由专科医生认为是医疗必须的情况下进行。</w:t>
            </w:r>
          </w:p>
        </w:tc>
      </w:tr>
      <w:tr>
        <w:trPr>
          <w:trHeight w:val="464" w:hRule="atLeast"/>
        </w:trPr>
        <w:tc>
          <w:tcPr>
            <w:tcW w:w="875" w:type="dxa"/>
          </w:tcPr>
          <w:p>
            <w:pPr>
              <w:pStyle w:val="TableParagraph"/>
              <w:spacing w:before="144"/>
              <w:ind w:left="50"/>
              <w:rPr>
                <w:b/>
                <w:sz w:val="21"/>
              </w:rPr>
            </w:pPr>
            <w:r>
              <w:rPr>
                <w:b/>
                <w:sz w:val="21"/>
              </w:rPr>
              <w:t>9.5.34</w:t>
            </w:r>
          </w:p>
        </w:tc>
        <w:tc>
          <w:tcPr>
            <w:tcW w:w="1593" w:type="dxa"/>
          </w:tcPr>
          <w:p>
            <w:pPr>
              <w:pStyle w:val="TableParagraph"/>
              <w:spacing w:before="144"/>
              <w:ind w:left="195"/>
              <w:rPr>
                <w:rFonts w:ascii="楷体" w:eastAsia="楷体" w:hint="eastAsia"/>
                <w:b/>
                <w:sz w:val="21"/>
              </w:rPr>
            </w:pPr>
            <w:r>
              <w:rPr>
                <w:rFonts w:ascii="楷体" w:eastAsia="楷体" w:hint="eastAsia"/>
                <w:b/>
                <w:w w:val="95"/>
                <w:sz w:val="21"/>
              </w:rPr>
              <w:t>特定周围动脉</w:t>
            </w:r>
          </w:p>
        </w:tc>
        <w:tc>
          <w:tcPr>
            <w:tcW w:w="7604" w:type="dxa"/>
          </w:tcPr>
          <w:p>
            <w:pPr>
              <w:pStyle w:val="TableParagraph"/>
              <w:spacing w:before="144"/>
              <w:ind w:left="135"/>
              <w:rPr>
                <w:sz w:val="21"/>
              </w:rPr>
            </w:pPr>
            <w:r>
              <w:rPr>
                <w:sz w:val="21"/>
              </w:rPr>
              <w:t>指为治疗一条或者一条以上的下</w:t>
            </w:r>
            <w:r>
              <w:rPr>
                <w:rFonts w:ascii="Arial" w:eastAsia="Arial"/>
                <w:w w:val="115"/>
                <w:sz w:val="21"/>
              </w:rPr>
              <w:t>列</w:t>
            </w:r>
            <w:r>
              <w:rPr>
                <w:sz w:val="21"/>
              </w:rPr>
              <w:t>动脉狭窄而实施的血管介入治疗：</w:t>
            </w:r>
          </w:p>
        </w:tc>
      </w:tr>
      <w:tr>
        <w:trPr>
          <w:trHeight w:val="307" w:hRule="atLeast"/>
        </w:trPr>
        <w:tc>
          <w:tcPr>
            <w:tcW w:w="875" w:type="dxa"/>
          </w:tcPr>
          <w:p>
            <w:pPr>
              <w:pStyle w:val="TableParagraph"/>
              <w:rPr>
                <w:rFonts w:ascii="Times New Roman"/>
                <w:sz w:val="20"/>
              </w:rPr>
            </w:pPr>
          </w:p>
        </w:tc>
        <w:tc>
          <w:tcPr>
            <w:tcW w:w="1593" w:type="dxa"/>
          </w:tcPr>
          <w:p>
            <w:pPr>
              <w:pStyle w:val="TableParagraph"/>
              <w:spacing w:line="255" w:lineRule="exact"/>
              <w:ind w:left="195"/>
              <w:rPr>
                <w:rFonts w:ascii="楷体" w:eastAsia="楷体" w:hint="eastAsia"/>
                <w:b/>
                <w:sz w:val="21"/>
              </w:rPr>
            </w:pPr>
            <w:r>
              <w:rPr>
                <w:rFonts w:ascii="楷体" w:eastAsia="楷体" w:hint="eastAsia"/>
                <w:b/>
                <w:w w:val="95"/>
                <w:sz w:val="21"/>
              </w:rPr>
              <w:t>疾病的血管介</w:t>
            </w:r>
          </w:p>
        </w:tc>
        <w:tc>
          <w:tcPr>
            <w:tcW w:w="7604" w:type="dxa"/>
          </w:tcPr>
          <w:p>
            <w:pPr>
              <w:pStyle w:val="TableParagraph"/>
              <w:spacing w:line="255" w:lineRule="exact"/>
              <w:ind w:left="135"/>
              <w:rPr>
                <w:sz w:val="21"/>
              </w:rPr>
            </w:pPr>
            <w:r>
              <w:rPr>
                <w:sz w:val="21"/>
              </w:rPr>
              <w:t>（1） 为下肢或者上肢供血的动脉；</w:t>
            </w:r>
          </w:p>
        </w:tc>
      </w:tr>
      <w:tr>
        <w:trPr>
          <w:trHeight w:val="315" w:hRule="atLeast"/>
        </w:trPr>
        <w:tc>
          <w:tcPr>
            <w:tcW w:w="875" w:type="dxa"/>
          </w:tcPr>
          <w:p>
            <w:pPr>
              <w:pStyle w:val="TableParagraph"/>
              <w:rPr>
                <w:rFonts w:ascii="Times New Roman"/>
                <w:sz w:val="20"/>
              </w:rPr>
            </w:pPr>
          </w:p>
        </w:tc>
        <w:tc>
          <w:tcPr>
            <w:tcW w:w="1593" w:type="dxa"/>
          </w:tcPr>
          <w:p>
            <w:pPr>
              <w:pStyle w:val="TableParagraph"/>
              <w:spacing w:line="262" w:lineRule="exact"/>
              <w:ind w:left="195"/>
              <w:rPr>
                <w:rFonts w:ascii="楷体" w:eastAsia="楷体" w:hint="eastAsia"/>
                <w:b/>
                <w:sz w:val="21"/>
              </w:rPr>
            </w:pPr>
            <w:r>
              <w:rPr>
                <w:rFonts w:ascii="楷体" w:eastAsia="楷体" w:hint="eastAsia"/>
                <w:b/>
                <w:w w:val="95"/>
                <w:sz w:val="21"/>
              </w:rPr>
              <w:t>入治疗</w:t>
            </w:r>
          </w:p>
        </w:tc>
        <w:tc>
          <w:tcPr>
            <w:tcW w:w="7604" w:type="dxa"/>
          </w:tcPr>
          <w:p>
            <w:pPr>
              <w:pStyle w:val="TableParagraph"/>
              <w:spacing w:line="262" w:lineRule="exact"/>
              <w:ind w:left="135"/>
              <w:rPr>
                <w:sz w:val="21"/>
              </w:rPr>
            </w:pPr>
            <w:r>
              <w:rPr>
                <w:sz w:val="21"/>
              </w:rPr>
              <w:t>（2） 肾动脉；</w:t>
            </w:r>
          </w:p>
        </w:tc>
      </w:tr>
      <w:tr>
        <w:trPr>
          <w:trHeight w:val="315"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（3） 肠系膜动脉。</w:t>
            </w:r>
          </w:p>
        </w:tc>
      </w:tr>
      <w:tr>
        <w:trPr>
          <w:trHeight w:val="315"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须满足下列全部条件：</w:t>
            </w:r>
          </w:p>
        </w:tc>
      </w:tr>
      <w:tr>
        <w:trPr>
          <w:trHeight w:val="307"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（1） 经血管造影术证实一条或者一条以上的上述动脉狭窄达到 50%或者以上；</w:t>
            </w:r>
          </w:p>
        </w:tc>
      </w:tr>
      <w:tr>
        <w:trPr>
          <w:trHeight w:val="307"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55" w:lineRule="exact"/>
              <w:ind w:left="135"/>
              <w:rPr>
                <w:sz w:val="21"/>
              </w:rPr>
            </w:pPr>
            <w:r>
              <w:rPr>
                <w:sz w:val="21"/>
              </w:rPr>
              <w:t>（2） 对一条或者一条以上的上述动脉施行了血管介入治疗，如血管成形术及/</w:t>
            </w:r>
          </w:p>
        </w:tc>
      </w:tr>
      <w:tr>
        <w:trPr>
          <w:trHeight w:val="31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3" w:lineRule="exact"/>
              <w:ind w:left="135"/>
              <w:rPr>
                <w:sz w:val="21"/>
              </w:rPr>
            </w:pPr>
            <w:r>
              <w:rPr>
                <w:sz w:val="21"/>
              </w:rPr>
              <w:t>或者进行植入支架或者动脉粥样样瘤清除手术。</w:t>
            </w:r>
          </w:p>
        </w:tc>
      </w:tr>
      <w:tr>
        <w:trPr>
          <w:trHeight w:val="316"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9" w:lineRule="exact"/>
              <w:ind w:left="135"/>
              <w:rPr>
                <w:b/>
                <w:i/>
                <w:sz w:val="22"/>
              </w:rPr>
            </w:pPr>
            <w:r>
              <w:rPr>
                <w:b/>
                <w:i/>
                <w:w w:val="95"/>
                <w:sz w:val="22"/>
              </w:rPr>
              <w:t>此诊断及治疗均须在本公司认可医院内由血管疾病的专科医生认为是医疗必须的</w:t>
            </w:r>
          </w:p>
        </w:tc>
      </w:tr>
      <w:tr>
        <w:trPr>
          <w:trHeight w:val="47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8" w:lineRule="exact"/>
              <w:ind w:left="135"/>
              <w:rPr>
                <w:b/>
                <w:i/>
                <w:sz w:val="22"/>
              </w:rPr>
            </w:pPr>
            <w:r>
              <w:rPr>
                <w:b/>
                <w:i/>
                <w:w w:val="95"/>
                <w:sz w:val="22"/>
              </w:rPr>
              <w:t>情况下进行。</w:t>
            </w:r>
          </w:p>
        </w:tc>
      </w:tr>
      <w:tr>
        <w:trPr>
          <w:trHeight w:val="464" w:hRule="atLeast"/>
        </w:trPr>
        <w:tc>
          <w:tcPr>
            <w:tcW w:w="875" w:type="dxa"/>
          </w:tcPr>
          <w:p>
            <w:pPr>
              <w:pStyle w:val="TableParagraph"/>
              <w:spacing w:before="137"/>
              <w:ind w:left="50"/>
              <w:rPr>
                <w:b/>
                <w:sz w:val="21"/>
              </w:rPr>
            </w:pPr>
            <w:r>
              <w:rPr>
                <w:b/>
                <w:sz w:val="21"/>
              </w:rPr>
              <w:t>9.5.35</w:t>
            </w:r>
          </w:p>
        </w:tc>
        <w:tc>
          <w:tcPr>
            <w:tcW w:w="1593" w:type="dxa"/>
          </w:tcPr>
          <w:p>
            <w:pPr>
              <w:pStyle w:val="TableParagraph"/>
              <w:spacing w:before="137"/>
              <w:ind w:left="195"/>
              <w:rPr>
                <w:rFonts w:ascii="楷体" w:eastAsia="楷体" w:hint="eastAsia"/>
                <w:b/>
                <w:sz w:val="21"/>
              </w:rPr>
            </w:pPr>
            <w:r>
              <w:rPr>
                <w:rFonts w:ascii="楷体" w:eastAsia="楷体" w:hint="eastAsia"/>
                <w:b/>
                <w:w w:val="95"/>
                <w:sz w:val="21"/>
              </w:rPr>
              <w:t>因肾上腺皮质</w:t>
            </w:r>
          </w:p>
        </w:tc>
        <w:tc>
          <w:tcPr>
            <w:tcW w:w="7604" w:type="dxa"/>
          </w:tcPr>
          <w:p>
            <w:pPr>
              <w:pStyle w:val="TableParagraph"/>
              <w:spacing w:before="137"/>
              <w:ind w:left="135"/>
              <w:rPr>
                <w:sz w:val="21"/>
              </w:rPr>
            </w:pPr>
            <w:r>
              <w:rPr>
                <w:sz w:val="21"/>
              </w:rPr>
              <w:t>因肾上腺皮质腺瘤所导致的醛固酮分泌过多而产生的继发性恶性高血压而实际接</w:t>
            </w:r>
          </w:p>
        </w:tc>
      </w:tr>
      <w:tr>
        <w:trPr>
          <w:trHeight w:val="310" w:hRule="atLeast"/>
        </w:trPr>
        <w:tc>
          <w:tcPr>
            <w:tcW w:w="875" w:type="dxa"/>
          </w:tcPr>
          <w:p>
            <w:pPr>
              <w:pStyle w:val="TableParagraph"/>
              <w:rPr>
                <w:rFonts w:ascii="Times New Roman"/>
                <w:sz w:val="20"/>
              </w:rPr>
            </w:pPr>
          </w:p>
        </w:tc>
        <w:tc>
          <w:tcPr>
            <w:tcW w:w="1593" w:type="dxa"/>
          </w:tcPr>
          <w:p>
            <w:pPr>
              <w:pStyle w:val="TableParagraph"/>
              <w:spacing w:line="263" w:lineRule="exact"/>
              <w:ind w:left="195"/>
              <w:rPr>
                <w:rFonts w:ascii="楷体" w:eastAsia="楷体" w:hint="eastAsia"/>
                <w:b/>
                <w:sz w:val="21"/>
              </w:rPr>
            </w:pPr>
            <w:r>
              <w:rPr>
                <w:rFonts w:ascii="楷体" w:eastAsia="楷体" w:hint="eastAsia"/>
                <w:b/>
                <w:w w:val="95"/>
                <w:sz w:val="21"/>
              </w:rPr>
              <w:t>腺瘤切除肾上</w:t>
            </w:r>
          </w:p>
        </w:tc>
        <w:tc>
          <w:tcPr>
            <w:tcW w:w="7604" w:type="dxa"/>
          </w:tcPr>
          <w:p>
            <w:pPr>
              <w:pStyle w:val="TableParagraph"/>
              <w:spacing w:line="263" w:lineRule="exact"/>
              <w:ind w:left="135"/>
              <w:rPr>
                <w:sz w:val="21"/>
              </w:rPr>
            </w:pPr>
            <w:r>
              <w:rPr>
                <w:sz w:val="21"/>
              </w:rPr>
              <w:t>受了肾上腺切除术治疗。</w:t>
            </w:r>
          </w:p>
        </w:tc>
      </w:tr>
      <w:tr>
        <w:trPr>
          <w:trHeight w:val="316" w:hRule="atLeast"/>
        </w:trPr>
        <w:tc>
          <w:tcPr>
            <w:tcW w:w="875" w:type="dxa"/>
          </w:tcPr>
          <w:p>
            <w:pPr>
              <w:pStyle w:val="TableParagraph"/>
              <w:rPr>
                <w:rFonts w:ascii="Times New Roman"/>
                <w:sz w:val="20"/>
              </w:rPr>
            </w:pPr>
          </w:p>
        </w:tc>
        <w:tc>
          <w:tcPr>
            <w:tcW w:w="1593" w:type="dxa"/>
          </w:tcPr>
          <w:p>
            <w:pPr>
              <w:pStyle w:val="TableParagraph"/>
              <w:spacing w:line="267" w:lineRule="exact"/>
              <w:ind w:left="195"/>
              <w:rPr>
                <w:rFonts w:ascii="楷体" w:eastAsia="楷体" w:hint="eastAsia"/>
                <w:b/>
                <w:sz w:val="21"/>
              </w:rPr>
            </w:pPr>
            <w:r>
              <w:rPr>
                <w:rFonts w:ascii="楷体" w:eastAsia="楷体" w:hint="eastAsia"/>
                <w:b/>
                <w:w w:val="99"/>
                <w:sz w:val="21"/>
              </w:rPr>
              <w:t>腺</w:t>
            </w:r>
          </w:p>
        </w:tc>
        <w:tc>
          <w:tcPr>
            <w:tcW w:w="7604" w:type="dxa"/>
          </w:tcPr>
          <w:p>
            <w:pPr>
              <w:pStyle w:val="TableParagraph"/>
              <w:spacing w:line="269" w:lineRule="exact"/>
              <w:ind w:left="135"/>
              <w:rPr>
                <w:b/>
                <w:i/>
                <w:sz w:val="22"/>
              </w:rPr>
            </w:pPr>
            <w:r>
              <w:rPr>
                <w:b/>
                <w:i/>
                <w:w w:val="95"/>
                <w:sz w:val="22"/>
              </w:rPr>
              <w:t>此诊断及治疗均须在本公司认可医院内由专科医生认为是医疗必须的情况下进</w:t>
            </w:r>
          </w:p>
        </w:tc>
      </w:tr>
      <w:tr>
        <w:trPr>
          <w:trHeight w:val="470" w:hRule="atLeast"/>
        </w:trPr>
        <w:tc>
          <w:tcPr>
            <w:tcW w:w="875" w:type="dxa"/>
          </w:tcPr>
          <w:p>
            <w:pPr>
              <w:pStyle w:val="TableParagraph"/>
              <w:rPr>
                <w:rFonts w:ascii="Times New Roman"/>
                <w:sz w:val="20"/>
              </w:rPr>
            </w:pPr>
          </w:p>
        </w:tc>
        <w:tc>
          <w:tcPr>
            <w:tcW w:w="1593" w:type="dxa"/>
          </w:tcPr>
          <w:p>
            <w:pPr>
              <w:pStyle w:val="TableParagraph"/>
              <w:rPr>
                <w:rFonts w:ascii="Times New Roman"/>
                <w:sz w:val="20"/>
              </w:rPr>
            </w:pPr>
          </w:p>
        </w:tc>
        <w:tc>
          <w:tcPr>
            <w:tcW w:w="7604" w:type="dxa"/>
          </w:tcPr>
          <w:p>
            <w:pPr>
              <w:pStyle w:val="TableParagraph"/>
              <w:spacing w:line="268" w:lineRule="exact"/>
              <w:ind w:left="135"/>
              <w:rPr>
                <w:b/>
                <w:i/>
                <w:sz w:val="22"/>
              </w:rPr>
            </w:pPr>
            <w:r>
              <w:rPr>
                <w:b/>
                <w:i/>
                <w:w w:val="95"/>
                <w:sz w:val="22"/>
              </w:rPr>
              <w:t>行。</w:t>
            </w:r>
          </w:p>
        </w:tc>
      </w:tr>
      <w:tr>
        <w:trPr>
          <w:trHeight w:val="459" w:hRule="atLeast"/>
        </w:trPr>
        <w:tc>
          <w:tcPr>
            <w:tcW w:w="875" w:type="dxa"/>
          </w:tcPr>
          <w:p>
            <w:pPr>
              <w:pStyle w:val="TableParagraph"/>
              <w:spacing w:before="137"/>
              <w:ind w:left="50"/>
              <w:rPr>
                <w:b/>
                <w:sz w:val="21"/>
              </w:rPr>
            </w:pPr>
            <w:r>
              <w:rPr>
                <w:b/>
                <w:sz w:val="21"/>
              </w:rPr>
              <w:t>9.5.36</w:t>
            </w:r>
          </w:p>
        </w:tc>
        <w:tc>
          <w:tcPr>
            <w:tcW w:w="1593" w:type="dxa"/>
          </w:tcPr>
          <w:p>
            <w:pPr>
              <w:pStyle w:val="TableParagraph"/>
              <w:spacing w:before="137"/>
              <w:ind w:left="195"/>
              <w:rPr>
                <w:rFonts w:ascii="楷体" w:eastAsia="楷体" w:hint="eastAsia"/>
                <w:b/>
                <w:sz w:val="21"/>
              </w:rPr>
            </w:pPr>
            <w:r>
              <w:rPr>
                <w:rFonts w:ascii="楷体" w:eastAsia="楷体" w:hint="eastAsia"/>
                <w:b/>
                <w:w w:val="95"/>
                <w:sz w:val="21"/>
              </w:rPr>
              <w:t>植入腔静脉过</w:t>
            </w:r>
          </w:p>
        </w:tc>
        <w:tc>
          <w:tcPr>
            <w:tcW w:w="7604" w:type="dxa"/>
          </w:tcPr>
          <w:p>
            <w:pPr>
              <w:pStyle w:val="TableParagraph"/>
              <w:spacing w:before="137"/>
              <w:ind w:left="135"/>
              <w:rPr>
                <w:sz w:val="21"/>
              </w:rPr>
            </w:pPr>
            <w:r>
              <w:rPr>
                <w:sz w:val="21"/>
              </w:rPr>
              <w:t>指患者因反复肺栓塞发作，抗凝血疗法无效而接受手术植入腔静脉过滤器。</w:t>
            </w:r>
          </w:p>
        </w:tc>
      </w:tr>
      <w:tr>
        <w:trPr>
          <w:trHeight w:val="478" w:hRule="atLeast"/>
        </w:trPr>
        <w:tc>
          <w:tcPr>
            <w:tcW w:w="875" w:type="dxa"/>
          </w:tcPr>
          <w:p>
            <w:pPr>
              <w:pStyle w:val="TableParagraph"/>
              <w:rPr>
                <w:rFonts w:ascii="Times New Roman"/>
                <w:sz w:val="20"/>
              </w:rPr>
            </w:pPr>
          </w:p>
        </w:tc>
        <w:tc>
          <w:tcPr>
            <w:tcW w:w="1593" w:type="dxa"/>
          </w:tcPr>
          <w:p>
            <w:pPr>
              <w:pStyle w:val="TableParagraph"/>
              <w:spacing w:line="267" w:lineRule="exact"/>
              <w:ind w:left="195"/>
              <w:rPr>
                <w:rFonts w:ascii="楷体" w:eastAsia="楷体" w:hint="eastAsia"/>
                <w:b/>
                <w:sz w:val="21"/>
              </w:rPr>
            </w:pPr>
            <w:r>
              <w:rPr>
                <w:rFonts w:ascii="楷体" w:eastAsia="楷体" w:hint="eastAsia"/>
                <w:b/>
                <w:w w:val="95"/>
                <w:sz w:val="21"/>
              </w:rPr>
              <w:t>滤器</w:t>
            </w:r>
          </w:p>
        </w:tc>
        <w:tc>
          <w:tcPr>
            <w:tcW w:w="7604" w:type="dxa"/>
          </w:tcPr>
          <w:p>
            <w:pPr>
              <w:pStyle w:val="TableParagraph"/>
              <w:spacing w:line="269" w:lineRule="exact"/>
              <w:ind w:left="135"/>
              <w:rPr>
                <w:b/>
                <w:i/>
                <w:sz w:val="22"/>
              </w:rPr>
            </w:pPr>
            <w:r>
              <w:rPr>
                <w:b/>
                <w:i/>
                <w:w w:val="95"/>
                <w:sz w:val="22"/>
              </w:rPr>
              <w:t>此手术须在本公司认可医院内由专科医生认为是医疗必须的情况下进行。</w:t>
            </w:r>
          </w:p>
        </w:tc>
      </w:tr>
      <w:tr>
        <w:trPr>
          <w:trHeight w:val="472" w:hRule="atLeast"/>
        </w:trPr>
        <w:tc>
          <w:tcPr>
            <w:tcW w:w="875" w:type="dxa"/>
          </w:tcPr>
          <w:p>
            <w:pPr>
              <w:pStyle w:val="TableParagraph"/>
              <w:spacing w:before="145"/>
              <w:ind w:left="50"/>
              <w:rPr>
                <w:b/>
                <w:sz w:val="21"/>
              </w:rPr>
            </w:pPr>
            <w:r>
              <w:rPr>
                <w:b/>
                <w:sz w:val="21"/>
              </w:rPr>
              <w:t>9.5.37</w:t>
            </w:r>
          </w:p>
        </w:tc>
        <w:tc>
          <w:tcPr>
            <w:tcW w:w="1593" w:type="dxa"/>
          </w:tcPr>
          <w:p>
            <w:pPr>
              <w:pStyle w:val="TableParagraph"/>
              <w:spacing w:before="145"/>
              <w:ind w:left="195"/>
              <w:rPr>
                <w:rFonts w:ascii="楷体" w:eastAsia="楷体" w:hint="eastAsia"/>
                <w:b/>
                <w:sz w:val="21"/>
              </w:rPr>
            </w:pPr>
            <w:r>
              <w:rPr>
                <w:rFonts w:ascii="楷体" w:eastAsia="楷体" w:hint="eastAsia"/>
                <w:b/>
                <w:w w:val="95"/>
                <w:sz w:val="21"/>
              </w:rPr>
              <w:t>糖尿病视网膜</w:t>
            </w:r>
          </w:p>
        </w:tc>
        <w:tc>
          <w:tcPr>
            <w:tcW w:w="7604" w:type="dxa"/>
          </w:tcPr>
          <w:p>
            <w:pPr>
              <w:pStyle w:val="TableParagraph"/>
              <w:spacing w:before="145"/>
              <w:ind w:left="135"/>
              <w:rPr>
                <w:sz w:val="21"/>
              </w:rPr>
            </w:pPr>
            <w:r>
              <w:rPr>
                <w:sz w:val="21"/>
              </w:rPr>
              <w:t>因糖尿病而并发视网膜晚期增生性血管病变，并必须符合下列所有条件：</w:t>
            </w:r>
          </w:p>
        </w:tc>
      </w:tr>
      <w:tr>
        <w:trPr>
          <w:trHeight w:val="307" w:hRule="atLeast"/>
        </w:trPr>
        <w:tc>
          <w:tcPr>
            <w:tcW w:w="875" w:type="dxa"/>
          </w:tcPr>
          <w:p>
            <w:pPr>
              <w:pStyle w:val="TableParagraph"/>
              <w:rPr>
                <w:rFonts w:ascii="Times New Roman"/>
                <w:sz w:val="20"/>
              </w:rPr>
            </w:pPr>
          </w:p>
        </w:tc>
        <w:tc>
          <w:tcPr>
            <w:tcW w:w="1593" w:type="dxa"/>
          </w:tcPr>
          <w:p>
            <w:pPr>
              <w:pStyle w:val="TableParagraph"/>
              <w:spacing w:line="263" w:lineRule="exact"/>
              <w:ind w:left="195"/>
              <w:rPr>
                <w:rFonts w:ascii="楷体" w:eastAsia="楷体" w:hint="eastAsia"/>
                <w:b/>
                <w:sz w:val="21"/>
              </w:rPr>
            </w:pPr>
            <w:r>
              <w:rPr>
                <w:rFonts w:ascii="楷体" w:eastAsia="楷体" w:hint="eastAsia"/>
                <w:b/>
                <w:w w:val="95"/>
                <w:sz w:val="21"/>
              </w:rPr>
              <w:t>晚期增生性病</w:t>
            </w:r>
          </w:p>
        </w:tc>
        <w:tc>
          <w:tcPr>
            <w:tcW w:w="7604" w:type="dxa"/>
          </w:tcPr>
          <w:p>
            <w:pPr>
              <w:pStyle w:val="TableParagraph"/>
              <w:spacing w:line="263" w:lineRule="exact"/>
              <w:ind w:left="135"/>
              <w:rPr>
                <w:sz w:val="21"/>
              </w:rPr>
            </w:pPr>
            <w:r>
              <w:rPr>
                <w:sz w:val="21"/>
              </w:rPr>
              <w:t>（1） 确诊糖尿病视网膜病变时被保险人已患有糖尿病；</w:t>
            </w:r>
          </w:p>
        </w:tc>
      </w:tr>
      <w:tr>
        <w:trPr>
          <w:trHeight w:val="307" w:hRule="atLeast"/>
        </w:trPr>
        <w:tc>
          <w:tcPr>
            <w:tcW w:w="875" w:type="dxa"/>
          </w:tcPr>
          <w:p>
            <w:pPr>
              <w:pStyle w:val="TableParagraph"/>
              <w:rPr>
                <w:rFonts w:ascii="Times New Roman"/>
                <w:sz w:val="20"/>
              </w:rPr>
            </w:pPr>
          </w:p>
        </w:tc>
        <w:tc>
          <w:tcPr>
            <w:tcW w:w="1593" w:type="dxa"/>
          </w:tcPr>
          <w:p>
            <w:pPr>
              <w:pStyle w:val="TableParagraph"/>
              <w:spacing w:line="255" w:lineRule="exact"/>
              <w:ind w:left="195"/>
              <w:rPr>
                <w:rFonts w:ascii="楷体" w:eastAsia="楷体" w:hint="eastAsia"/>
                <w:b/>
                <w:sz w:val="21"/>
              </w:rPr>
            </w:pPr>
            <w:r>
              <w:rPr>
                <w:rFonts w:ascii="楷体" w:eastAsia="楷体" w:hint="eastAsia"/>
                <w:b/>
                <w:w w:val="99"/>
                <w:sz w:val="21"/>
              </w:rPr>
              <w:t>变</w:t>
            </w:r>
          </w:p>
        </w:tc>
        <w:tc>
          <w:tcPr>
            <w:tcW w:w="7604" w:type="dxa"/>
          </w:tcPr>
          <w:p>
            <w:pPr>
              <w:pStyle w:val="TableParagraph"/>
              <w:spacing w:line="255" w:lineRule="exact"/>
              <w:ind w:left="135"/>
              <w:rPr>
                <w:sz w:val="21"/>
              </w:rPr>
            </w:pPr>
            <w:r>
              <w:rPr>
                <w:sz w:val="21"/>
              </w:rPr>
              <w:t>（2） 双眼最佳矫正视力低于 0.3（采用国际标准视力表，如果使用其他视力表</w:t>
            </w:r>
          </w:p>
        </w:tc>
      </w:tr>
      <w:tr>
        <w:trPr>
          <w:trHeight w:val="262" w:hRule="atLeast"/>
        </w:trPr>
        <w:tc>
          <w:tcPr>
            <w:tcW w:w="875" w:type="dxa"/>
          </w:tcPr>
          <w:p>
            <w:pPr>
              <w:pStyle w:val="TableParagraph"/>
              <w:rPr>
                <w:rFonts w:ascii="Times New Roman"/>
                <w:sz w:val="18"/>
              </w:rPr>
            </w:pPr>
          </w:p>
        </w:tc>
        <w:tc>
          <w:tcPr>
            <w:tcW w:w="1593" w:type="dxa"/>
          </w:tcPr>
          <w:p>
            <w:pPr>
              <w:pStyle w:val="TableParagraph"/>
              <w:rPr>
                <w:rFonts w:ascii="Times New Roman"/>
                <w:sz w:val="18"/>
              </w:rPr>
            </w:pPr>
          </w:p>
        </w:tc>
        <w:tc>
          <w:tcPr>
            <w:tcW w:w="7604" w:type="dxa"/>
          </w:tcPr>
          <w:p>
            <w:pPr>
              <w:pStyle w:val="TableParagraph"/>
              <w:spacing w:line="243" w:lineRule="exact"/>
              <w:ind w:left="135"/>
              <w:rPr>
                <w:sz w:val="21"/>
              </w:rPr>
            </w:pPr>
            <w:r>
              <w:rPr>
                <w:sz w:val="21"/>
              </w:rPr>
              <w:t>应进行换算</w:t>
            </w:r>
            <w:r>
              <w:rPr>
                <w:spacing w:val="-105"/>
                <w:sz w:val="21"/>
              </w:rPr>
              <w:t>）</w:t>
            </w:r>
            <w:r>
              <w:rPr>
                <w:sz w:val="21"/>
              </w:rPr>
              <w:t>；</w:t>
            </w:r>
          </w:p>
        </w:tc>
      </w:tr>
    </w:tbl>
    <w:p>
      <w:pPr>
        <w:spacing w:after="0" w:line="243" w:lineRule="exact"/>
        <w:rPr>
          <w:sz w:val="21"/>
        </w:rPr>
        <w:sectPr>
          <w:pgSz w:w="11910" w:h="16850"/>
          <w:pgMar w:header="0" w:footer="944" w:top="1280" w:bottom="1180" w:left="940" w:right="680"/>
        </w:sectPr>
      </w:pPr>
    </w:p>
    <w:p>
      <w:pPr>
        <w:pStyle w:val="ListParagraph"/>
        <w:numPr>
          <w:ilvl w:val="0"/>
          <w:numId w:val="22"/>
        </w:numPr>
        <w:tabs>
          <w:tab w:pos="3301" w:val="left" w:leader="none"/>
        </w:tabs>
        <w:spacing w:line="240" w:lineRule="auto" w:before="21" w:after="0"/>
        <w:ind w:left="3300" w:right="0" w:hanging="631"/>
        <w:jc w:val="left"/>
        <w:rPr>
          <w:sz w:val="21"/>
        </w:rPr>
      </w:pPr>
      <w:r>
        <w:rPr>
          <w:sz w:val="21"/>
        </w:rPr>
        <w:t>被保险人已确实进行了激光治疗等以改善视力障碍；</w:t>
      </w:r>
    </w:p>
    <w:p>
      <w:pPr>
        <w:pStyle w:val="Heading2"/>
        <w:numPr>
          <w:ilvl w:val="0"/>
          <w:numId w:val="22"/>
        </w:numPr>
        <w:tabs>
          <w:tab w:pos="3301" w:val="left" w:leader="none"/>
        </w:tabs>
        <w:spacing w:line="264" w:lineRule="auto" w:before="28" w:after="0"/>
        <w:ind w:left="2669" w:right="225" w:firstLine="0"/>
        <w:jc w:val="left"/>
      </w:pPr>
      <w:r>
        <w:rPr>
          <w:w w:val="95"/>
        </w:rPr>
        <w:t>糖尿病视网膜病变的诊断、视力障碍的程度及治疗的医疗之必要性必须由本公司认可医院的眼科专科医生确定。</w:t>
      </w:r>
    </w:p>
    <w:p>
      <w:pPr>
        <w:pStyle w:val="BodyText"/>
        <w:spacing w:before="7"/>
        <w:rPr>
          <w:b/>
          <w:i/>
        </w:rPr>
      </w:pPr>
    </w:p>
    <w:p>
      <w:pPr>
        <w:spacing w:after="0"/>
        <w:sectPr>
          <w:pgSz w:w="11910" w:h="16850"/>
          <w:pgMar w:header="0" w:footer="944" w:top="1200" w:bottom="1180" w:left="980" w:right="640"/>
        </w:sectPr>
      </w:pPr>
    </w:p>
    <w:p>
      <w:pPr>
        <w:pStyle w:val="Heading3"/>
        <w:numPr>
          <w:ilvl w:val="2"/>
          <w:numId w:val="23"/>
        </w:numPr>
        <w:tabs>
          <w:tab w:pos="1137" w:val="left" w:leader="none"/>
          <w:tab w:pos="1138" w:val="left" w:leader="none"/>
        </w:tabs>
        <w:spacing w:line="276" w:lineRule="auto" w:before="35" w:after="0"/>
        <w:ind w:left="1137" w:right="0" w:hanging="1021"/>
        <w:jc w:val="left"/>
      </w:pPr>
      <w:r>
        <w:rPr>
          <w:w w:val="95"/>
        </w:rPr>
        <w:t>早期原发性心肌病</w:t>
      </w:r>
    </w:p>
    <w:p>
      <w:pPr>
        <w:pStyle w:val="BodyText"/>
        <w:spacing w:before="35"/>
        <w:ind w:left="116"/>
      </w:pPr>
      <w:r>
        <w:rPr/>
        <w:br w:type="column"/>
      </w:r>
      <w:r>
        <w:rPr/>
        <w:t>被诊断为原发性心肌病，并符合下列所有条件：</w:t>
      </w:r>
    </w:p>
    <w:p>
      <w:pPr>
        <w:pStyle w:val="ListParagraph"/>
        <w:numPr>
          <w:ilvl w:val="0"/>
          <w:numId w:val="24"/>
        </w:numPr>
        <w:tabs>
          <w:tab w:pos="748" w:val="left" w:leader="none"/>
        </w:tabs>
        <w:spacing w:line="276" w:lineRule="auto" w:before="40" w:after="0"/>
        <w:ind w:left="116" w:right="240" w:firstLine="0"/>
        <w:jc w:val="both"/>
        <w:rPr>
          <w:sz w:val="21"/>
        </w:rPr>
      </w:pPr>
      <w:r>
        <w:rPr>
          <w:sz w:val="21"/>
        </w:rPr>
        <w:t>导致心室功能受损，其受损程度达到美国纽约心脏病学会心脏功能分级的</w:t>
      </w:r>
      <w:r>
        <w:rPr>
          <w:spacing w:val="-23"/>
          <w:sz w:val="21"/>
        </w:rPr>
        <w:t>第 </w:t>
      </w:r>
      <w:r>
        <w:rPr>
          <w:sz w:val="21"/>
        </w:rPr>
        <w:t>III</w:t>
      </w:r>
      <w:r>
        <w:rPr>
          <w:spacing w:val="-7"/>
          <w:sz w:val="21"/>
        </w:rPr>
        <w:t> 级，或其同等级別，即：体力活动明显受限，休息时无症状，轻于日常的活动即可引起充血性心力衰竭的症状；</w:t>
      </w:r>
    </w:p>
    <w:p>
      <w:pPr>
        <w:pStyle w:val="ListParagraph"/>
        <w:numPr>
          <w:ilvl w:val="0"/>
          <w:numId w:val="24"/>
        </w:numPr>
        <w:tabs>
          <w:tab w:pos="748" w:val="left" w:leader="none"/>
        </w:tabs>
        <w:spacing w:line="240" w:lineRule="auto" w:before="9" w:after="0"/>
        <w:ind w:left="116" w:right="0" w:firstLine="0"/>
        <w:jc w:val="left"/>
        <w:rPr>
          <w:sz w:val="21"/>
        </w:rPr>
      </w:pPr>
      <w:r>
        <w:rPr>
          <w:spacing w:val="-1"/>
          <w:sz w:val="21"/>
        </w:rPr>
        <w:t>左室射血分数 </w:t>
      </w:r>
      <w:r>
        <w:rPr>
          <w:sz w:val="21"/>
        </w:rPr>
        <w:t>LVEF &lt;35%；</w:t>
      </w:r>
    </w:p>
    <w:p>
      <w:pPr>
        <w:pStyle w:val="ListParagraph"/>
        <w:numPr>
          <w:ilvl w:val="0"/>
          <w:numId w:val="24"/>
        </w:numPr>
        <w:tabs>
          <w:tab w:pos="748" w:val="left" w:leader="none"/>
        </w:tabs>
        <w:spacing w:line="276" w:lineRule="auto" w:before="25" w:after="0"/>
        <w:ind w:left="116" w:right="251" w:firstLine="0"/>
        <w:jc w:val="left"/>
        <w:rPr>
          <w:sz w:val="21"/>
        </w:rPr>
      </w:pPr>
      <w:r>
        <w:rPr>
          <w:sz w:val="21"/>
        </w:rPr>
        <w:t>原发性心肌病的诊断必须由本公司认可医院的心脏专科医生确认，并提供心脏超声检查结果报告。</w:t>
      </w:r>
    </w:p>
    <w:p>
      <w:pPr>
        <w:pStyle w:val="Heading2"/>
        <w:spacing w:line="285" w:lineRule="exact"/>
        <w:jc w:val="both"/>
      </w:pPr>
      <w:r>
        <w:rPr>
          <w:w w:val="95"/>
        </w:rPr>
        <w:t>本保障范围内的心肌病包括扩张型心肌病、肥厚型心肌病及限制型心肌病。</w:t>
      </w:r>
    </w:p>
    <w:p>
      <w:pPr>
        <w:spacing w:after="0" w:line="285" w:lineRule="exact"/>
        <w:jc w:val="both"/>
        <w:sectPr>
          <w:type w:val="continuous"/>
          <w:pgSz w:w="11910" w:h="16850"/>
          <w:pgMar w:top="540" w:bottom="1140" w:left="980" w:right="640"/>
          <w:cols w:num="2" w:equalWidth="0">
            <w:col w:w="2401" w:space="152"/>
            <w:col w:w="7737"/>
          </w:cols>
        </w:sectPr>
      </w:pPr>
    </w:p>
    <w:p>
      <w:pPr>
        <w:pStyle w:val="BodyText"/>
        <w:spacing w:before="5"/>
        <w:rPr>
          <w:b/>
          <w:i/>
          <w:sz w:val="24"/>
        </w:rPr>
      </w:pPr>
    </w:p>
    <w:p>
      <w:pPr>
        <w:pStyle w:val="ListParagraph"/>
        <w:numPr>
          <w:ilvl w:val="2"/>
          <w:numId w:val="23"/>
        </w:numPr>
        <w:tabs>
          <w:tab w:pos="1137" w:val="left" w:leader="none"/>
          <w:tab w:pos="1138" w:val="left" w:leader="none"/>
          <w:tab w:pos="2669" w:val="left" w:leader="none"/>
        </w:tabs>
        <w:spacing w:line="268" w:lineRule="auto" w:before="35" w:after="0"/>
        <w:ind w:left="2669" w:right="257" w:hanging="2553"/>
        <w:jc w:val="left"/>
        <w:rPr>
          <w:sz w:val="21"/>
        </w:rPr>
      </w:pPr>
      <w:r>
        <w:rPr>
          <w:rFonts w:ascii="楷体" w:hAnsi="楷体" w:eastAsia="楷体" w:hint="eastAsia"/>
          <w:b/>
          <w:sz w:val="21"/>
        </w:rPr>
        <w:t>早期象皮病</w:t>
        <w:tab/>
      </w:r>
      <w:r>
        <w:rPr>
          <w:sz w:val="21"/>
        </w:rPr>
        <w:t>指因丝虫感染导致淋巴管阻塞而造成身体组织出现严重淋巴水</w:t>
      </w:r>
      <w:r>
        <w:rPr>
          <w:spacing w:val="-7"/>
          <w:sz w:val="21"/>
        </w:rPr>
        <w:t>肿</w:t>
      </w:r>
      <w:r>
        <w:rPr>
          <w:sz w:val="21"/>
        </w:rPr>
        <w:t>。此病症须经本公司认可医院的专科医生根据临床表现和微丝蚴的化验结果确</w:t>
      </w:r>
      <w:r>
        <w:rPr>
          <w:spacing w:val="-7"/>
          <w:sz w:val="21"/>
        </w:rPr>
        <w:t>诊</w:t>
      </w:r>
      <w:r>
        <w:rPr>
          <w:sz w:val="21"/>
        </w:rPr>
        <w:t>,并且未达重大疾病“丝虫病所致象皮肿”的诊断标准。</w:t>
      </w:r>
    </w:p>
    <w:p>
      <w:pPr>
        <w:pStyle w:val="Heading2"/>
        <w:spacing w:before="3"/>
        <w:ind w:left="2669"/>
      </w:pPr>
      <w:r>
        <w:rPr>
          <w:w w:val="95"/>
        </w:rPr>
        <w:t>急性淋巴管炎或其它原因引起的淋巴水肿并不在保障范围內。</w:t>
      </w:r>
    </w:p>
    <w:p>
      <w:pPr>
        <w:pStyle w:val="BodyText"/>
        <w:spacing w:before="5"/>
        <w:rPr>
          <w:b/>
          <w:i/>
          <w:sz w:val="24"/>
        </w:rPr>
      </w:pPr>
    </w:p>
    <w:p>
      <w:pPr>
        <w:spacing w:after="0"/>
        <w:rPr>
          <w:sz w:val="24"/>
        </w:rPr>
        <w:sectPr>
          <w:type w:val="continuous"/>
          <w:pgSz w:w="11910" w:h="16850"/>
          <w:pgMar w:top="540" w:bottom="1140" w:left="980" w:right="640"/>
        </w:sectPr>
      </w:pPr>
    </w:p>
    <w:p>
      <w:pPr>
        <w:pStyle w:val="Heading3"/>
        <w:numPr>
          <w:ilvl w:val="2"/>
          <w:numId w:val="23"/>
        </w:numPr>
        <w:tabs>
          <w:tab w:pos="1137" w:val="left" w:leader="none"/>
          <w:tab w:pos="1138" w:val="left" w:leader="none"/>
        </w:tabs>
        <w:spacing w:line="240" w:lineRule="auto" w:before="35" w:after="0"/>
        <w:ind w:left="1137" w:right="0" w:hanging="1021"/>
        <w:jc w:val="left"/>
      </w:pPr>
      <w:r>
        <w:rPr>
          <w:w w:val="95"/>
        </w:rPr>
        <w:t>心脏起搏器或</w:t>
      </w:r>
    </w:p>
    <w:p>
      <w:pPr>
        <w:spacing w:before="25"/>
        <w:ind w:left="1137" w:right="0" w:firstLine="0"/>
        <w:jc w:val="left"/>
        <w:rPr>
          <w:rFonts w:ascii="楷体" w:eastAsia="楷体" w:hint="eastAsia"/>
          <w:b/>
          <w:sz w:val="21"/>
        </w:rPr>
      </w:pPr>
      <w:r>
        <w:rPr>
          <w:rFonts w:ascii="楷体" w:eastAsia="楷体" w:hint="eastAsia"/>
          <w:b/>
          <w:w w:val="95"/>
          <w:sz w:val="21"/>
        </w:rPr>
        <w:t>除颤器植入</w:t>
      </w:r>
    </w:p>
    <w:p>
      <w:pPr>
        <w:pStyle w:val="BodyText"/>
        <w:spacing w:line="261" w:lineRule="auto" w:before="35"/>
        <w:ind w:left="116" w:right="258"/>
      </w:pPr>
      <w:r>
        <w:rPr/>
        <w:br w:type="column"/>
      </w:r>
      <w:r>
        <w:rPr/>
        <w:t>因严重心律失常而确实已行植入永久性心脏起搏器或除颤器的手术。理赔时须提供完整病历资料及手术记录以证实此严重心律失常并不能以其他方法治疗。</w:t>
      </w:r>
    </w:p>
    <w:p>
      <w:pPr>
        <w:pStyle w:val="Heading2"/>
        <w:spacing w:line="261" w:lineRule="auto" w:before="9"/>
        <w:ind w:right="433"/>
      </w:pPr>
      <w:r>
        <w:rPr>
          <w:w w:val="95"/>
        </w:rPr>
        <w:t>诊断及治疗均须在本公司认可的医院内由专科医生认为是医疗必须的情况下进行。</w:t>
      </w:r>
    </w:p>
    <w:p>
      <w:pPr>
        <w:spacing w:after="0" w:line="261" w:lineRule="auto"/>
        <w:sectPr>
          <w:type w:val="continuous"/>
          <w:pgSz w:w="11910" w:h="16850"/>
          <w:pgMar w:top="540" w:bottom="1140" w:left="980" w:right="640"/>
          <w:cols w:num="2" w:equalWidth="0">
            <w:col w:w="2401" w:space="152"/>
            <w:col w:w="7737"/>
          </w:cols>
        </w:sectPr>
      </w:pPr>
    </w:p>
    <w:p>
      <w:pPr>
        <w:pStyle w:val="BodyText"/>
        <w:spacing w:before="10"/>
        <w:rPr>
          <w:b/>
          <w:i/>
          <w:sz w:val="22"/>
        </w:rPr>
      </w:pPr>
    </w:p>
    <w:p>
      <w:pPr>
        <w:pStyle w:val="ListParagraph"/>
        <w:numPr>
          <w:ilvl w:val="2"/>
          <w:numId w:val="23"/>
        </w:numPr>
        <w:tabs>
          <w:tab w:pos="1137" w:val="left" w:leader="none"/>
          <w:tab w:pos="1138" w:val="left" w:leader="none"/>
          <w:tab w:pos="2669" w:val="left" w:leader="none"/>
        </w:tabs>
        <w:spacing w:line="240" w:lineRule="auto" w:before="35" w:after="0"/>
        <w:ind w:left="1137" w:right="0" w:hanging="1021"/>
        <w:jc w:val="left"/>
        <w:rPr>
          <w:sz w:val="21"/>
        </w:rPr>
      </w:pPr>
      <w:r>
        <w:rPr>
          <w:rFonts w:ascii="楷体" w:eastAsia="楷体" w:hint="eastAsia"/>
          <w:b/>
          <w:sz w:val="21"/>
        </w:rPr>
        <w:t>出血性登革热</w:t>
        <w:tab/>
      </w:r>
      <w:r>
        <w:rPr>
          <w:sz w:val="21"/>
        </w:rPr>
        <w:t>出血性登革热须出现全部四种症状，包</w:t>
      </w:r>
      <w:r>
        <w:rPr>
          <w:spacing w:val="-5"/>
          <w:sz w:val="21"/>
        </w:rPr>
        <w:t>括</w:t>
      </w:r>
      <w:r>
        <w:rPr>
          <w:sz w:val="21"/>
        </w:rPr>
        <w:t>发高烧、出血现象、肝肿大和循环衰竭</w:t>
      </w:r>
    </w:p>
    <w:p>
      <w:pPr>
        <w:spacing w:line="271" w:lineRule="auto" w:before="13"/>
        <w:ind w:left="2669" w:right="198" w:firstLine="0"/>
        <w:jc w:val="left"/>
        <w:rPr>
          <w:sz w:val="21"/>
        </w:rPr>
      </w:pPr>
      <w:r>
        <w:rPr>
          <w:w w:val="95"/>
          <w:sz w:val="21"/>
        </w:rPr>
        <w:t>（</w:t>
      </w:r>
      <w:r>
        <w:rPr>
          <w:b/>
          <w:i/>
          <w:spacing w:val="-2"/>
          <w:w w:val="95"/>
          <w:sz w:val="22"/>
        </w:rPr>
        <w:t>登革热休克综合症即符合 </w:t>
      </w:r>
      <w:r>
        <w:rPr>
          <w:b/>
          <w:i/>
          <w:w w:val="95"/>
          <w:sz w:val="22"/>
        </w:rPr>
        <w:t>WHO</w:t>
      </w:r>
      <w:r>
        <w:rPr>
          <w:b/>
          <w:i/>
          <w:spacing w:val="-6"/>
          <w:w w:val="95"/>
          <w:sz w:val="22"/>
        </w:rPr>
        <w:t> 登革热第 </w:t>
      </w:r>
      <w:r>
        <w:rPr>
          <w:b/>
          <w:i/>
          <w:spacing w:val="-5"/>
          <w:w w:val="95"/>
          <w:sz w:val="22"/>
        </w:rPr>
        <w:t>III</w:t>
      </w:r>
      <w:r>
        <w:rPr>
          <w:b/>
          <w:i/>
          <w:spacing w:val="-2"/>
          <w:w w:val="95"/>
          <w:sz w:val="22"/>
        </w:rPr>
        <w:t> 级及第Ⅳ级</w:t>
      </w:r>
      <w:r>
        <w:rPr>
          <w:spacing w:val="-105"/>
          <w:w w:val="95"/>
          <w:sz w:val="21"/>
        </w:rPr>
        <w:t>）</w:t>
      </w:r>
      <w:r>
        <w:rPr>
          <w:spacing w:val="-12"/>
          <w:w w:val="95"/>
          <w:sz w:val="21"/>
        </w:rPr>
        <w:t>。出血性登革热的诊断</w:t>
      </w:r>
      <w:r>
        <w:rPr>
          <w:spacing w:val="-12"/>
          <w:sz w:val="21"/>
        </w:rPr>
        <w:t>必须由本公司认可医院的专科医生证实。</w:t>
      </w:r>
    </w:p>
    <w:p>
      <w:pPr>
        <w:pStyle w:val="Heading2"/>
        <w:spacing w:before="1"/>
        <w:ind w:left="2669"/>
      </w:pPr>
      <w:r>
        <w:rPr>
          <w:w w:val="95"/>
        </w:rPr>
        <w:t>非出血性登革热不在保障范围内。</w:t>
      </w:r>
    </w:p>
    <w:p>
      <w:pPr>
        <w:pStyle w:val="BodyText"/>
        <w:spacing w:before="4"/>
        <w:rPr>
          <w:b/>
          <w:i/>
          <w:sz w:val="24"/>
        </w:rPr>
      </w:pPr>
    </w:p>
    <w:p>
      <w:pPr>
        <w:spacing w:after="0"/>
        <w:rPr>
          <w:sz w:val="24"/>
        </w:rPr>
        <w:sectPr>
          <w:type w:val="continuous"/>
          <w:pgSz w:w="11910" w:h="16850"/>
          <w:pgMar w:top="540" w:bottom="1140" w:left="980" w:right="640"/>
        </w:sectPr>
      </w:pPr>
    </w:p>
    <w:p>
      <w:pPr>
        <w:pStyle w:val="Heading3"/>
        <w:numPr>
          <w:ilvl w:val="2"/>
          <w:numId w:val="23"/>
        </w:numPr>
        <w:tabs>
          <w:tab w:pos="1137" w:val="left" w:leader="none"/>
          <w:tab w:pos="1138" w:val="left" w:leader="none"/>
        </w:tabs>
        <w:spacing w:line="240" w:lineRule="auto" w:before="36" w:after="0"/>
        <w:ind w:left="1137" w:right="0" w:hanging="1021"/>
        <w:jc w:val="left"/>
      </w:pPr>
      <w:r>
        <w:rPr>
          <w:w w:val="95"/>
        </w:rPr>
        <w:t>糖尿病导致脚</w:t>
      </w:r>
    </w:p>
    <w:p>
      <w:pPr>
        <w:spacing w:before="25"/>
        <w:ind w:left="1137" w:right="0" w:firstLine="0"/>
        <w:jc w:val="left"/>
        <w:rPr>
          <w:rFonts w:ascii="楷体" w:eastAsia="楷体" w:hint="eastAsia"/>
          <w:b/>
          <w:sz w:val="21"/>
        </w:rPr>
      </w:pPr>
      <w:r>
        <w:rPr>
          <w:rFonts w:ascii="楷体" w:eastAsia="楷体" w:hint="eastAsia"/>
          <w:b/>
          <w:w w:val="95"/>
          <w:sz w:val="21"/>
        </w:rPr>
        <w:t>趾截除</w:t>
      </w:r>
    </w:p>
    <w:p>
      <w:pPr>
        <w:pStyle w:val="BodyText"/>
        <w:spacing w:line="261" w:lineRule="auto" w:before="36"/>
        <w:ind w:left="116" w:right="250"/>
      </w:pPr>
      <w:r>
        <w:rPr/>
        <w:br w:type="column"/>
      </w:r>
      <w:r>
        <w:rPr/>
        <w:t>糖尿病导致脚趾截除：因糖尿病引起的神经及血管病变累及足部，为了维持生命在本公司认可医院内已经进行了至少一个脚趾的截除术。</w:t>
      </w:r>
    </w:p>
    <w:p>
      <w:pPr>
        <w:spacing w:after="0" w:line="261" w:lineRule="auto"/>
        <w:sectPr>
          <w:type w:val="continuous"/>
          <w:pgSz w:w="11910" w:h="16850"/>
          <w:pgMar w:top="540" w:bottom="1140" w:left="980" w:right="640"/>
          <w:cols w:num="2" w:equalWidth="0">
            <w:col w:w="2401" w:space="152"/>
            <w:col w:w="7737"/>
          </w:cols>
        </w:sectPr>
      </w:pPr>
    </w:p>
    <w:p>
      <w:pPr>
        <w:pStyle w:val="BodyText"/>
        <w:spacing w:before="1"/>
        <w:rPr>
          <w:sz w:val="23"/>
        </w:rPr>
      </w:pPr>
    </w:p>
    <w:p>
      <w:pPr>
        <w:spacing w:after="0"/>
        <w:rPr>
          <w:sz w:val="23"/>
        </w:rPr>
        <w:sectPr>
          <w:type w:val="continuous"/>
          <w:pgSz w:w="11910" w:h="16850"/>
          <w:pgMar w:top="540" w:bottom="1140" w:left="980" w:right="640"/>
        </w:sectPr>
      </w:pPr>
    </w:p>
    <w:p>
      <w:pPr>
        <w:pStyle w:val="Heading3"/>
        <w:numPr>
          <w:ilvl w:val="2"/>
          <w:numId w:val="23"/>
        </w:numPr>
        <w:tabs>
          <w:tab w:pos="1137" w:val="left" w:leader="none"/>
          <w:tab w:pos="1138" w:val="left" w:leader="none"/>
        </w:tabs>
        <w:spacing w:line="276" w:lineRule="auto" w:before="35" w:after="0"/>
        <w:ind w:left="1137" w:right="0" w:hanging="1021"/>
        <w:jc w:val="left"/>
      </w:pPr>
      <w:r>
        <w:rPr>
          <w:w w:val="95"/>
        </w:rPr>
        <w:t>冠状动脉介入手术</w:t>
      </w:r>
    </w:p>
    <w:p>
      <w:pPr>
        <w:pStyle w:val="BodyText"/>
        <w:spacing w:line="276" w:lineRule="auto" w:before="35"/>
        <w:ind w:left="116" w:right="250"/>
      </w:pPr>
      <w:r>
        <w:rPr/>
        <w:br w:type="column"/>
      </w:r>
      <w:r>
        <w:rPr/>
        <w:t>指被保险人为了治疗明显的冠状动脉狭窄性疾病，首次实际实施了冠状动脉球囊扩张成形术、冠状动脉支架植入术或激光冠状动脉成形术。</w:t>
      </w:r>
    </w:p>
    <w:p>
      <w:pPr>
        <w:spacing w:after="0" w:line="276" w:lineRule="auto"/>
        <w:sectPr>
          <w:type w:val="continuous"/>
          <w:pgSz w:w="11910" w:h="16850"/>
          <w:pgMar w:top="540" w:bottom="1140" w:left="980" w:right="640"/>
          <w:cols w:num="2" w:equalWidth="0">
            <w:col w:w="2401" w:space="152"/>
            <w:col w:w="7737"/>
          </w:cols>
        </w:sectPr>
      </w:pPr>
    </w:p>
    <w:p>
      <w:pPr>
        <w:pStyle w:val="BodyText"/>
        <w:spacing w:before="12"/>
        <w:rPr>
          <w:sz w:val="20"/>
        </w:rPr>
      </w:pPr>
    </w:p>
    <w:p>
      <w:pPr>
        <w:spacing w:after="0"/>
        <w:rPr>
          <w:sz w:val="20"/>
        </w:rPr>
        <w:sectPr>
          <w:type w:val="continuous"/>
          <w:pgSz w:w="11910" w:h="16850"/>
          <w:pgMar w:top="540" w:bottom="1140" w:left="980" w:right="640"/>
        </w:sectPr>
      </w:pPr>
    </w:p>
    <w:p>
      <w:pPr>
        <w:pStyle w:val="Heading3"/>
        <w:numPr>
          <w:ilvl w:val="2"/>
          <w:numId w:val="23"/>
        </w:numPr>
        <w:tabs>
          <w:tab w:pos="1137" w:val="left" w:leader="none"/>
          <w:tab w:pos="1138" w:val="left" w:leader="none"/>
        </w:tabs>
        <w:spacing w:line="240" w:lineRule="auto" w:before="35" w:after="0"/>
        <w:ind w:left="1137" w:right="0" w:hanging="1021"/>
        <w:jc w:val="left"/>
      </w:pPr>
      <w:r>
        <w:rPr>
          <w:w w:val="95"/>
        </w:rPr>
        <w:t>严重阻塞性睡</w:t>
      </w:r>
    </w:p>
    <w:p>
      <w:pPr>
        <w:spacing w:line="276" w:lineRule="auto" w:before="40"/>
        <w:ind w:left="1137" w:right="0" w:firstLine="0"/>
        <w:jc w:val="left"/>
        <w:rPr>
          <w:rFonts w:ascii="楷体" w:eastAsia="楷体" w:hint="eastAsia"/>
          <w:b/>
          <w:sz w:val="21"/>
        </w:rPr>
      </w:pPr>
      <w:r>
        <w:rPr>
          <w:rFonts w:ascii="楷体" w:eastAsia="楷体" w:hint="eastAsia"/>
          <w:b/>
          <w:w w:val="95"/>
          <w:sz w:val="21"/>
        </w:rPr>
        <w:t>眠呼吸暂停综合征</w:t>
      </w:r>
    </w:p>
    <w:p>
      <w:pPr>
        <w:pStyle w:val="BodyText"/>
        <w:spacing w:line="276" w:lineRule="auto" w:before="35"/>
        <w:ind w:left="116" w:right="250"/>
      </w:pPr>
      <w:r>
        <w:rPr/>
        <w:br w:type="column"/>
      </w:r>
      <w:r>
        <w:rPr/>
        <w:t>须由相关医学范畴的注册专科医生，经多导睡眠监测仪检查明确诊断为严重阻塞性睡眠呼吸暂停综合征(OSA)，并必须符合以下两项条件：</w:t>
      </w:r>
    </w:p>
    <w:p>
      <w:pPr>
        <w:pStyle w:val="ListParagraph"/>
        <w:numPr>
          <w:ilvl w:val="0"/>
          <w:numId w:val="25"/>
        </w:numPr>
        <w:tabs>
          <w:tab w:pos="748" w:val="left" w:leader="none"/>
        </w:tabs>
        <w:spacing w:line="240" w:lineRule="auto" w:before="8" w:after="0"/>
        <w:ind w:left="747" w:right="0" w:hanging="631"/>
        <w:jc w:val="left"/>
        <w:rPr>
          <w:sz w:val="21"/>
        </w:rPr>
      </w:pPr>
      <w:r>
        <w:rPr>
          <w:spacing w:val="-1"/>
          <w:sz w:val="21"/>
        </w:rPr>
        <w:t>被保险人必须现正接受持续气道正压呼吸器</w:t>
      </w:r>
      <w:r>
        <w:rPr>
          <w:sz w:val="21"/>
        </w:rPr>
        <w:t>(CPAP)之夜间治疗；</w:t>
      </w:r>
    </w:p>
    <w:p>
      <w:pPr>
        <w:pStyle w:val="ListParagraph"/>
        <w:numPr>
          <w:ilvl w:val="0"/>
          <w:numId w:val="25"/>
        </w:numPr>
        <w:tabs>
          <w:tab w:pos="748" w:val="left" w:leader="none"/>
        </w:tabs>
        <w:spacing w:line="240" w:lineRule="auto" w:before="40" w:after="0"/>
        <w:ind w:left="747" w:right="0" w:hanging="631"/>
        <w:jc w:val="left"/>
        <w:rPr>
          <w:sz w:val="21"/>
        </w:rPr>
      </w:pPr>
      <w:r>
        <w:rPr>
          <w:spacing w:val="-3"/>
          <w:sz w:val="21"/>
        </w:rPr>
        <w:t>必须提供睡眠测试的文件证明，显示 </w:t>
      </w:r>
      <w:r>
        <w:rPr>
          <w:sz w:val="21"/>
        </w:rPr>
        <w:t>AHI</w:t>
      </w:r>
      <w:r>
        <w:rPr>
          <w:spacing w:val="-42"/>
          <w:sz w:val="21"/>
        </w:rPr>
        <w:t> &gt; </w:t>
      </w:r>
      <w:r>
        <w:rPr>
          <w:sz w:val="21"/>
        </w:rPr>
        <w:t>30</w:t>
      </w:r>
      <w:r>
        <w:rPr>
          <w:spacing w:val="-12"/>
          <w:sz w:val="21"/>
        </w:rPr>
        <w:t> 及夜间血氧饱和平均值&lt; </w:t>
      </w:r>
      <w:r>
        <w:rPr>
          <w:sz w:val="21"/>
        </w:rPr>
        <w:t>85。</w:t>
      </w:r>
    </w:p>
    <w:p>
      <w:pPr>
        <w:spacing w:after="0" w:line="240" w:lineRule="auto"/>
        <w:jc w:val="left"/>
        <w:rPr>
          <w:sz w:val="21"/>
        </w:rPr>
        <w:sectPr>
          <w:type w:val="continuous"/>
          <w:pgSz w:w="11910" w:h="16850"/>
          <w:pgMar w:top="540" w:bottom="1140" w:left="980" w:right="640"/>
          <w:cols w:num="2" w:equalWidth="0">
            <w:col w:w="2401" w:space="152"/>
            <w:col w:w="7737"/>
          </w:cols>
        </w:sectPr>
      </w:pPr>
    </w:p>
    <w:p>
      <w:pPr>
        <w:pStyle w:val="BodyText"/>
        <w:spacing w:before="3"/>
        <w:rPr>
          <w:sz w:val="23"/>
        </w:rPr>
      </w:pPr>
    </w:p>
    <w:p>
      <w:pPr>
        <w:pStyle w:val="ListParagraph"/>
        <w:numPr>
          <w:ilvl w:val="2"/>
          <w:numId w:val="23"/>
        </w:numPr>
        <w:tabs>
          <w:tab w:pos="1020" w:val="left" w:leader="none"/>
          <w:tab w:pos="1138" w:val="left" w:leader="none"/>
          <w:tab w:pos="2553" w:val="left" w:leader="none"/>
        </w:tabs>
        <w:spacing w:line="240" w:lineRule="auto" w:before="36" w:after="0"/>
        <w:ind w:left="1137" w:right="765" w:hanging="1021"/>
        <w:jc w:val="left"/>
        <w:rPr>
          <w:sz w:val="21"/>
        </w:rPr>
      </w:pPr>
      <w:r>
        <w:rPr>
          <w:rFonts w:ascii="楷体" w:eastAsia="楷体" w:hint="eastAsia"/>
          <w:b/>
          <w:sz w:val="21"/>
        </w:rPr>
        <w:t>微创颅脑手术</w:t>
        <w:tab/>
      </w:r>
      <w:r>
        <w:rPr>
          <w:sz w:val="21"/>
        </w:rPr>
        <w:t>因疾病被保险人确已实施全麻下的颅骨钻孔手术或者经鼻蝶窦入颅手术。</w:t>
      </w:r>
    </w:p>
    <w:p>
      <w:pPr>
        <w:pStyle w:val="Heading2"/>
        <w:spacing w:before="28"/>
        <w:ind w:left="2664" w:right="3388"/>
        <w:jc w:val="center"/>
      </w:pPr>
      <w:r>
        <w:rPr>
          <w:w w:val="95"/>
        </w:rPr>
        <w:t>因外伤而实施的脑外科手术不在保障范围内。</w:t>
      </w:r>
    </w:p>
    <w:p>
      <w:pPr>
        <w:pStyle w:val="BodyText"/>
        <w:spacing w:before="5"/>
        <w:rPr>
          <w:b/>
          <w:i/>
          <w:sz w:val="24"/>
        </w:rPr>
      </w:pPr>
    </w:p>
    <w:p>
      <w:pPr>
        <w:spacing w:after="0"/>
        <w:rPr>
          <w:sz w:val="24"/>
        </w:rPr>
        <w:sectPr>
          <w:type w:val="continuous"/>
          <w:pgSz w:w="11910" w:h="16850"/>
          <w:pgMar w:top="540" w:bottom="1140" w:left="980" w:right="640"/>
        </w:sectPr>
      </w:pPr>
    </w:p>
    <w:p>
      <w:pPr>
        <w:pStyle w:val="Heading3"/>
        <w:numPr>
          <w:ilvl w:val="2"/>
          <w:numId w:val="23"/>
        </w:numPr>
        <w:tabs>
          <w:tab w:pos="1137" w:val="left" w:leader="none"/>
          <w:tab w:pos="1138" w:val="left" w:leader="none"/>
        </w:tabs>
        <w:spacing w:line="240" w:lineRule="auto" w:before="35" w:after="0"/>
        <w:ind w:left="1137" w:right="0" w:hanging="1021"/>
        <w:jc w:val="left"/>
      </w:pPr>
      <w:r>
        <w:rPr>
          <w:w w:val="95"/>
        </w:rPr>
        <w:t>中度类风湿性</w:t>
      </w:r>
    </w:p>
    <w:p>
      <w:pPr>
        <w:spacing w:before="40"/>
        <w:ind w:left="1137" w:right="0" w:firstLine="0"/>
        <w:jc w:val="left"/>
        <w:rPr>
          <w:rFonts w:ascii="楷体" w:eastAsia="楷体" w:hint="eastAsia"/>
          <w:b/>
          <w:sz w:val="21"/>
        </w:rPr>
      </w:pPr>
      <w:r>
        <w:rPr>
          <w:rFonts w:ascii="楷体" w:eastAsia="楷体" w:hint="eastAsia"/>
          <w:b/>
          <w:w w:val="95"/>
          <w:sz w:val="21"/>
        </w:rPr>
        <w:t>关节炎</w:t>
      </w:r>
    </w:p>
    <w:p>
      <w:pPr>
        <w:pStyle w:val="BodyText"/>
        <w:spacing w:line="271" w:lineRule="auto" w:before="35"/>
        <w:ind w:left="116" w:right="225"/>
        <w:jc w:val="both"/>
      </w:pPr>
      <w:r>
        <w:rPr/>
        <w:br w:type="column"/>
      </w:r>
      <w:r>
        <w:rPr/>
        <w:t>根据美国风湿病学院的诊断标准，由风湿科专科医生明确诊断并符合下列所有理赔条件，但未达到本合同所指重大疾病“严重类风湿性关节炎”的标准：表现为关节严重变形，侵犯至少两个主要关节或关节组（如：双手（多手指）关节、双</w:t>
      </w:r>
      <w:r>
        <w:rPr>
          <w:spacing w:val="-15"/>
        </w:rPr>
        <w:t>足</w:t>
      </w:r>
      <w:r>
        <w:rPr/>
        <w:t>（多足趾</w:t>
      </w:r>
      <w:r>
        <w:rPr>
          <w:spacing w:val="-15"/>
        </w:rPr>
        <w:t>）</w:t>
      </w:r>
      <w:r>
        <w:rPr>
          <w:spacing w:val="-6"/>
        </w:rPr>
        <w:t>关节、双腕关节、双膝关节和双髋关节</w:t>
      </w:r>
      <w:r>
        <w:rPr>
          <w:spacing w:val="-105"/>
        </w:rPr>
        <w:t>）</w:t>
      </w:r>
      <w:r>
        <w:rPr>
          <w:spacing w:val="-4"/>
        </w:rPr>
        <w:t>。类风湿性关节炎必须明确</w:t>
      </w:r>
    </w:p>
    <w:p>
      <w:pPr>
        <w:spacing w:after="0" w:line="271" w:lineRule="auto"/>
        <w:jc w:val="both"/>
        <w:sectPr>
          <w:type w:val="continuous"/>
          <w:pgSz w:w="11910" w:h="16850"/>
          <w:pgMar w:top="540" w:bottom="1140" w:left="980" w:right="640"/>
          <w:cols w:num="2" w:equalWidth="0">
            <w:col w:w="2401" w:space="152"/>
            <w:col w:w="7737"/>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14"/>
        <w:gridCol w:w="7679"/>
      </w:tblGrid>
      <w:tr>
        <w:trPr>
          <w:trHeight w:val="262" w:hRule="atLeast"/>
        </w:trPr>
        <w:tc>
          <w:tcPr>
            <w:tcW w:w="2489" w:type="dxa"/>
            <w:gridSpan w:val="2"/>
            <w:vMerge w:val="restart"/>
          </w:tcPr>
          <w:p>
            <w:pPr>
              <w:pStyle w:val="TableParagraph"/>
              <w:rPr>
                <w:rFonts w:ascii="Times New Roman"/>
                <w:sz w:val="20"/>
              </w:rPr>
            </w:pPr>
          </w:p>
        </w:tc>
        <w:tc>
          <w:tcPr>
            <w:tcW w:w="7679" w:type="dxa"/>
          </w:tcPr>
          <w:p>
            <w:pPr>
              <w:pStyle w:val="TableParagraph"/>
              <w:spacing w:line="210" w:lineRule="exact"/>
              <w:ind w:left="114"/>
              <w:rPr>
                <w:sz w:val="21"/>
              </w:rPr>
            </w:pPr>
            <w:r>
              <w:rPr>
                <w:sz w:val="21"/>
              </w:rPr>
              <w:t>诊断并且已经达到类风湿性关节炎功能分级 III 级以上的功能障碍（关节活动严</w:t>
            </w:r>
          </w:p>
        </w:tc>
      </w:tr>
      <w:tr>
        <w:trPr>
          <w:trHeight w:val="472" w:hRule="atLeast"/>
        </w:trPr>
        <w:tc>
          <w:tcPr>
            <w:tcW w:w="2489" w:type="dxa"/>
            <w:gridSpan w:val="2"/>
            <w:vMerge/>
            <w:tcBorders>
              <w:top w:val="nil"/>
            </w:tcBorders>
          </w:tcPr>
          <w:p>
            <w:pPr>
              <w:rPr>
                <w:sz w:val="2"/>
                <w:szCs w:val="2"/>
              </w:rPr>
            </w:pPr>
          </w:p>
        </w:tc>
        <w:tc>
          <w:tcPr>
            <w:tcW w:w="7679" w:type="dxa"/>
          </w:tcPr>
          <w:p>
            <w:pPr>
              <w:pStyle w:val="TableParagraph"/>
              <w:spacing w:line="263" w:lineRule="exact"/>
              <w:ind w:left="114"/>
              <w:rPr>
                <w:sz w:val="21"/>
              </w:rPr>
            </w:pPr>
            <w:r>
              <w:rPr>
                <w:sz w:val="21"/>
              </w:rPr>
              <w:t>重限制，不能完成大部分的日常工作和活动</w:t>
            </w:r>
            <w:r>
              <w:rPr>
                <w:spacing w:val="-105"/>
                <w:sz w:val="21"/>
              </w:rPr>
              <w:t>）</w:t>
            </w:r>
            <w:r>
              <w:rPr>
                <w:sz w:val="21"/>
              </w:rPr>
              <w:t>。</w:t>
            </w:r>
          </w:p>
        </w:tc>
      </w:tr>
      <w:tr>
        <w:trPr>
          <w:trHeight w:val="769" w:hRule="atLeast"/>
        </w:trPr>
        <w:tc>
          <w:tcPr>
            <w:tcW w:w="875" w:type="dxa"/>
          </w:tcPr>
          <w:p>
            <w:pPr>
              <w:pStyle w:val="TableParagraph"/>
              <w:spacing w:before="145"/>
              <w:ind w:left="50"/>
              <w:rPr>
                <w:b/>
                <w:sz w:val="21"/>
              </w:rPr>
            </w:pPr>
            <w:r>
              <w:rPr>
                <w:b/>
                <w:sz w:val="21"/>
              </w:rPr>
              <w:t>9.5.47</w:t>
            </w:r>
          </w:p>
        </w:tc>
        <w:tc>
          <w:tcPr>
            <w:tcW w:w="1614" w:type="dxa"/>
          </w:tcPr>
          <w:p>
            <w:pPr>
              <w:pStyle w:val="TableParagraph"/>
              <w:spacing w:line="261" w:lineRule="auto" w:before="145"/>
              <w:ind w:left="195" w:right="94"/>
              <w:rPr>
                <w:rFonts w:ascii="楷体" w:eastAsia="楷体" w:hint="eastAsia"/>
                <w:b/>
                <w:sz w:val="21"/>
              </w:rPr>
            </w:pPr>
            <w:r>
              <w:rPr>
                <w:rFonts w:ascii="楷体" w:eastAsia="楷体" w:hint="eastAsia"/>
                <w:b/>
                <w:w w:val="95"/>
                <w:sz w:val="21"/>
              </w:rPr>
              <w:t>植入大脑内分流器</w:t>
            </w:r>
          </w:p>
        </w:tc>
        <w:tc>
          <w:tcPr>
            <w:tcW w:w="7679" w:type="dxa"/>
          </w:tcPr>
          <w:p>
            <w:pPr>
              <w:pStyle w:val="TableParagraph"/>
              <w:spacing w:before="145"/>
              <w:ind w:left="114"/>
              <w:rPr>
                <w:sz w:val="21"/>
              </w:rPr>
            </w:pPr>
            <w:r>
              <w:rPr>
                <w:sz w:val="21"/>
              </w:rPr>
              <w:t>为缓解已升高的脑脊液压力而确实已在脑室进行分流器植入手术。</w:t>
            </w:r>
          </w:p>
          <w:p>
            <w:pPr>
              <w:pStyle w:val="TableParagraph"/>
              <w:spacing w:before="13"/>
              <w:ind w:left="114"/>
              <w:rPr>
                <w:b/>
                <w:i/>
                <w:sz w:val="22"/>
              </w:rPr>
            </w:pPr>
            <w:r>
              <w:rPr>
                <w:b/>
                <w:i/>
                <w:w w:val="95"/>
                <w:sz w:val="22"/>
              </w:rPr>
              <w:t>诊断及治疗均须在本公司认可医院内由脑神经科专科医生认为是医疗必须的情况</w:t>
            </w:r>
          </w:p>
        </w:tc>
      </w:tr>
      <w:tr>
        <w:trPr>
          <w:trHeight w:val="47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8" w:lineRule="exact"/>
              <w:ind w:left="114"/>
              <w:rPr>
                <w:b/>
                <w:i/>
                <w:sz w:val="22"/>
              </w:rPr>
            </w:pPr>
            <w:r>
              <w:rPr>
                <w:b/>
                <w:i/>
                <w:w w:val="95"/>
                <w:sz w:val="22"/>
              </w:rPr>
              <w:t>下进行。</w:t>
            </w:r>
          </w:p>
        </w:tc>
      </w:tr>
      <w:tr>
        <w:trPr>
          <w:trHeight w:val="472" w:hRule="atLeast"/>
        </w:trPr>
        <w:tc>
          <w:tcPr>
            <w:tcW w:w="875" w:type="dxa"/>
          </w:tcPr>
          <w:p>
            <w:pPr>
              <w:pStyle w:val="TableParagraph"/>
              <w:spacing w:before="144"/>
              <w:ind w:left="50"/>
              <w:rPr>
                <w:b/>
                <w:sz w:val="21"/>
              </w:rPr>
            </w:pPr>
            <w:r>
              <w:rPr>
                <w:b/>
                <w:sz w:val="21"/>
              </w:rPr>
              <w:t>9.5.48</w:t>
            </w:r>
          </w:p>
        </w:tc>
        <w:tc>
          <w:tcPr>
            <w:tcW w:w="1614" w:type="dxa"/>
          </w:tcPr>
          <w:p>
            <w:pPr>
              <w:pStyle w:val="TableParagraph"/>
              <w:spacing w:before="144"/>
              <w:ind w:left="195"/>
              <w:rPr>
                <w:rFonts w:ascii="楷体" w:eastAsia="楷体" w:hint="eastAsia"/>
                <w:b/>
                <w:sz w:val="21"/>
              </w:rPr>
            </w:pPr>
            <w:r>
              <w:rPr>
                <w:rFonts w:ascii="楷体" w:eastAsia="楷体" w:hint="eastAsia"/>
                <w:b/>
                <w:w w:val="95"/>
                <w:sz w:val="21"/>
              </w:rPr>
              <w:t>因意外毁容而</w:t>
            </w:r>
          </w:p>
        </w:tc>
        <w:tc>
          <w:tcPr>
            <w:tcW w:w="7679" w:type="dxa"/>
          </w:tcPr>
          <w:p>
            <w:pPr>
              <w:pStyle w:val="TableParagraph"/>
              <w:spacing w:before="144"/>
              <w:ind w:left="114"/>
              <w:rPr>
                <w:sz w:val="21"/>
              </w:rPr>
            </w:pPr>
            <w:r>
              <w:rPr>
                <w:sz w:val="21"/>
              </w:rPr>
              <w:t>指为修复意外伤害或暴力袭击造成的面部毁损，实际接受了在全身麻醉的情況下，</w:t>
            </w:r>
          </w:p>
        </w:tc>
      </w:tr>
      <w:tr>
        <w:trPr>
          <w:trHeight w:val="307" w:hRule="atLeast"/>
        </w:trPr>
        <w:tc>
          <w:tcPr>
            <w:tcW w:w="875" w:type="dxa"/>
          </w:tcPr>
          <w:p>
            <w:pPr>
              <w:pStyle w:val="TableParagraph"/>
              <w:rPr>
                <w:rFonts w:ascii="Times New Roman"/>
                <w:sz w:val="20"/>
              </w:rPr>
            </w:pPr>
          </w:p>
        </w:tc>
        <w:tc>
          <w:tcPr>
            <w:tcW w:w="1614" w:type="dxa"/>
          </w:tcPr>
          <w:p>
            <w:pPr>
              <w:pStyle w:val="TableParagraph"/>
              <w:spacing w:line="263" w:lineRule="exact"/>
              <w:ind w:left="195"/>
              <w:rPr>
                <w:rFonts w:ascii="楷体" w:eastAsia="楷体" w:hint="eastAsia"/>
                <w:b/>
                <w:sz w:val="21"/>
              </w:rPr>
            </w:pPr>
            <w:r>
              <w:rPr>
                <w:rFonts w:ascii="楷体" w:eastAsia="楷体" w:hint="eastAsia"/>
                <w:b/>
                <w:w w:val="95"/>
                <w:sz w:val="21"/>
              </w:rPr>
              <w:t>施行的面部整</w:t>
            </w:r>
          </w:p>
        </w:tc>
        <w:tc>
          <w:tcPr>
            <w:tcW w:w="7679" w:type="dxa"/>
          </w:tcPr>
          <w:p>
            <w:pPr>
              <w:pStyle w:val="TableParagraph"/>
              <w:spacing w:line="263" w:lineRule="exact"/>
              <w:ind w:left="114"/>
              <w:rPr>
                <w:sz w:val="21"/>
              </w:rPr>
            </w:pPr>
            <w:r>
              <w:rPr>
                <w:sz w:val="21"/>
              </w:rPr>
              <w:t>由整形外科医生实施的对严重损害或变形的面部形态和结构进行修复或重建的面</w:t>
            </w:r>
          </w:p>
        </w:tc>
      </w:tr>
      <w:tr>
        <w:trPr>
          <w:trHeight w:val="307" w:hRule="atLeast"/>
        </w:trPr>
        <w:tc>
          <w:tcPr>
            <w:tcW w:w="875" w:type="dxa"/>
          </w:tcPr>
          <w:p>
            <w:pPr>
              <w:pStyle w:val="TableParagraph"/>
              <w:rPr>
                <w:rFonts w:ascii="Times New Roman"/>
                <w:sz w:val="20"/>
              </w:rPr>
            </w:pPr>
          </w:p>
        </w:tc>
        <w:tc>
          <w:tcPr>
            <w:tcW w:w="1614" w:type="dxa"/>
          </w:tcPr>
          <w:p>
            <w:pPr>
              <w:pStyle w:val="TableParagraph"/>
              <w:spacing w:line="255" w:lineRule="exact"/>
              <w:ind w:left="195"/>
              <w:rPr>
                <w:rFonts w:ascii="楷体" w:eastAsia="楷体" w:hint="eastAsia"/>
                <w:b/>
                <w:sz w:val="21"/>
              </w:rPr>
            </w:pPr>
            <w:r>
              <w:rPr>
                <w:rFonts w:ascii="楷体" w:eastAsia="楷体" w:hint="eastAsia"/>
                <w:b/>
                <w:w w:val="95"/>
                <w:sz w:val="21"/>
              </w:rPr>
              <w:t>形手术</w:t>
            </w:r>
          </w:p>
        </w:tc>
        <w:tc>
          <w:tcPr>
            <w:tcW w:w="7679" w:type="dxa"/>
          </w:tcPr>
          <w:p>
            <w:pPr>
              <w:pStyle w:val="TableParagraph"/>
              <w:spacing w:line="255" w:lineRule="exact"/>
              <w:ind w:left="114"/>
              <w:rPr>
                <w:sz w:val="21"/>
              </w:rPr>
            </w:pPr>
            <w:r>
              <w:rPr>
                <w:sz w:val="21"/>
              </w:rPr>
              <w:t>部整形手术，但未达到重大疾病“严重面部烧伤”的给付标准。</w:t>
            </w:r>
          </w:p>
        </w:tc>
      </w:tr>
      <w:tr>
        <w:trPr>
          <w:trHeight w:val="310"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面部整形手术必须在意外伤害后的 180 天内实施。</w:t>
            </w:r>
          </w:p>
        </w:tc>
      </w:tr>
      <w:tr>
        <w:trPr>
          <w:trHeight w:val="320"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9" w:lineRule="exact"/>
              <w:ind w:left="114"/>
              <w:rPr>
                <w:sz w:val="21"/>
              </w:rPr>
            </w:pPr>
            <w:r>
              <w:rPr>
                <w:b/>
                <w:i/>
                <w:w w:val="95"/>
                <w:sz w:val="22"/>
              </w:rPr>
              <w:t>因面部外伤后遗留的线条状瘢痕及色素沉着而施行的手术不在保障范围内</w:t>
            </w:r>
            <w:r>
              <w:rPr>
                <w:w w:val="95"/>
                <w:sz w:val="21"/>
              </w:rPr>
              <w:t>。</w:t>
            </w:r>
          </w:p>
        </w:tc>
      </w:tr>
      <w:tr>
        <w:trPr>
          <w:trHeight w:val="314"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2" w:lineRule="exact"/>
              <w:ind w:left="114"/>
              <w:rPr>
                <w:sz w:val="21"/>
              </w:rPr>
            </w:pPr>
            <w:r>
              <w:rPr>
                <w:sz w:val="21"/>
              </w:rPr>
              <w:t>意外伤害必须满足下列全部条件：</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（1） 由外在暴力引起并且造成表面可视性伤口和面部骨结构损害的，或面部皮</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55" w:lineRule="exact"/>
              <w:ind w:left="114"/>
              <w:rPr>
                <w:sz w:val="21"/>
              </w:rPr>
            </w:pPr>
            <w:r>
              <w:rPr>
                <w:sz w:val="21"/>
              </w:rPr>
              <w:t>肤三度或全层意外烧伤；</w:t>
            </w:r>
          </w:p>
        </w:tc>
      </w:tr>
      <w:tr>
        <w:trPr>
          <w:trHeight w:val="472"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（2） 是造成面部毁损的直接和独立的原因。</w:t>
            </w:r>
          </w:p>
        </w:tc>
      </w:tr>
      <w:tr>
        <w:trPr>
          <w:trHeight w:val="472" w:hRule="atLeast"/>
        </w:trPr>
        <w:tc>
          <w:tcPr>
            <w:tcW w:w="875" w:type="dxa"/>
          </w:tcPr>
          <w:p>
            <w:pPr>
              <w:pStyle w:val="TableParagraph"/>
              <w:spacing w:before="145"/>
              <w:ind w:left="50"/>
              <w:rPr>
                <w:b/>
                <w:sz w:val="21"/>
              </w:rPr>
            </w:pPr>
            <w:r>
              <w:rPr>
                <w:b/>
                <w:sz w:val="21"/>
              </w:rPr>
              <w:t>9.5.49</w:t>
            </w:r>
          </w:p>
        </w:tc>
        <w:tc>
          <w:tcPr>
            <w:tcW w:w="1614" w:type="dxa"/>
          </w:tcPr>
          <w:p>
            <w:pPr>
              <w:pStyle w:val="TableParagraph"/>
              <w:spacing w:before="145"/>
              <w:ind w:left="195"/>
              <w:rPr>
                <w:rFonts w:ascii="楷体" w:eastAsia="楷体" w:hint="eastAsia"/>
                <w:b/>
                <w:sz w:val="21"/>
              </w:rPr>
            </w:pPr>
            <w:r>
              <w:rPr>
                <w:rFonts w:ascii="楷体" w:eastAsia="楷体" w:hint="eastAsia"/>
                <w:b/>
                <w:w w:val="95"/>
                <w:sz w:val="21"/>
              </w:rPr>
              <w:t>系统性红斑狼</w:t>
            </w:r>
          </w:p>
        </w:tc>
        <w:tc>
          <w:tcPr>
            <w:tcW w:w="7679" w:type="dxa"/>
          </w:tcPr>
          <w:p>
            <w:pPr>
              <w:pStyle w:val="TableParagraph"/>
              <w:spacing w:before="145"/>
              <w:ind w:left="114"/>
              <w:rPr>
                <w:sz w:val="21"/>
              </w:rPr>
            </w:pPr>
            <w:r>
              <w:rPr>
                <w:sz w:val="21"/>
              </w:rPr>
              <w:t>是一种累及多脏器的自身免疫性的炎症性结缔组织病。其诊断须满足下列两个条</w:t>
            </w:r>
          </w:p>
        </w:tc>
      </w:tr>
      <w:tr>
        <w:trPr>
          <w:trHeight w:val="307" w:hRule="atLeast"/>
        </w:trPr>
        <w:tc>
          <w:tcPr>
            <w:tcW w:w="875" w:type="dxa"/>
          </w:tcPr>
          <w:p>
            <w:pPr>
              <w:pStyle w:val="TableParagraph"/>
              <w:rPr>
                <w:rFonts w:ascii="Times New Roman"/>
                <w:sz w:val="20"/>
              </w:rPr>
            </w:pPr>
          </w:p>
        </w:tc>
        <w:tc>
          <w:tcPr>
            <w:tcW w:w="1614" w:type="dxa"/>
          </w:tcPr>
          <w:p>
            <w:pPr>
              <w:pStyle w:val="TableParagraph"/>
              <w:spacing w:line="262" w:lineRule="exact"/>
              <w:ind w:left="195"/>
              <w:rPr>
                <w:rFonts w:ascii="楷体" w:eastAsia="楷体" w:hint="eastAsia"/>
                <w:b/>
                <w:sz w:val="21"/>
              </w:rPr>
            </w:pPr>
            <w:r>
              <w:rPr>
                <w:rFonts w:ascii="楷体" w:eastAsia="楷体" w:hint="eastAsia"/>
                <w:b/>
                <w:w w:val="99"/>
                <w:sz w:val="21"/>
              </w:rPr>
              <w:t>疮</w:t>
            </w:r>
          </w:p>
        </w:tc>
        <w:tc>
          <w:tcPr>
            <w:tcW w:w="7679" w:type="dxa"/>
          </w:tcPr>
          <w:p>
            <w:pPr>
              <w:pStyle w:val="TableParagraph"/>
              <w:spacing w:line="262" w:lineRule="exact"/>
              <w:ind w:left="114"/>
              <w:rPr>
                <w:sz w:val="21"/>
              </w:rPr>
            </w:pPr>
            <w:r>
              <w:rPr>
                <w:sz w:val="21"/>
              </w:rPr>
              <w:t>件：</w:t>
            </w:r>
          </w:p>
        </w:tc>
      </w:tr>
      <w:tr>
        <w:trPr>
          <w:trHeight w:val="308"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55" w:lineRule="exact"/>
              <w:ind w:left="114"/>
              <w:rPr>
                <w:sz w:val="21"/>
              </w:rPr>
            </w:pPr>
            <w:r>
              <w:rPr>
                <w:sz w:val="21"/>
              </w:rPr>
              <w:t>（1） 临床表现至少具备如下条件的四个：①蝶形红斑或盘形红斑；②光敏感；</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③口腔溃疡；④非畸形关节炎或多关节痛；⑤浆膜炎、胸膜炎或心包炎；⑥神经</w:t>
            </w:r>
          </w:p>
        </w:tc>
      </w:tr>
      <w:tr>
        <w:trPr>
          <w:trHeight w:val="322"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70" w:lineRule="exact"/>
              <w:ind w:left="114"/>
              <w:rPr>
                <w:sz w:val="21"/>
              </w:rPr>
            </w:pPr>
            <w:r>
              <w:rPr>
                <w:sz w:val="21"/>
              </w:rPr>
              <w:t>系统损伤（癫痫或精神症状</w:t>
            </w:r>
            <w:r>
              <w:rPr>
                <w:spacing w:val="-105"/>
                <w:sz w:val="21"/>
              </w:rPr>
              <w:t>）</w:t>
            </w:r>
            <w:r>
              <w:rPr>
                <w:sz w:val="21"/>
              </w:rPr>
              <w:t>；⑦血象异常</w:t>
            </w:r>
            <w:r>
              <w:rPr>
                <w:spacing w:val="-5"/>
                <w:sz w:val="21"/>
              </w:rPr>
              <w:t>（</w:t>
            </w:r>
            <w:r>
              <w:rPr>
                <w:sz w:val="21"/>
              </w:rPr>
              <w:t>WBC&lt; 4x1</w:t>
            </w:r>
            <w:r>
              <w:rPr>
                <w:spacing w:val="0"/>
                <w:sz w:val="21"/>
              </w:rPr>
              <w:t>0</w:t>
            </w:r>
            <w:r>
              <w:rPr>
                <w:spacing w:val="6"/>
                <w:w w:val="105"/>
                <w:position w:val="10"/>
                <w:sz w:val="10"/>
              </w:rPr>
              <w:t>9</w:t>
            </w:r>
            <w:r>
              <w:rPr>
                <w:spacing w:val="-1"/>
                <w:sz w:val="21"/>
              </w:rPr>
              <w:t>／升或血小板</w:t>
            </w:r>
            <w:r>
              <w:rPr>
                <w:sz w:val="21"/>
              </w:rPr>
              <w:t>&lt;100x10</w:t>
            </w:r>
            <w:r>
              <w:rPr>
                <w:spacing w:val="6"/>
                <w:w w:val="105"/>
                <w:position w:val="10"/>
                <w:sz w:val="10"/>
              </w:rPr>
              <w:t>9</w:t>
            </w:r>
            <w:r>
              <w:rPr>
                <w:sz w:val="21"/>
              </w:rPr>
              <w:t>／</w:t>
            </w:r>
          </w:p>
        </w:tc>
      </w:tr>
      <w:tr>
        <w:trPr>
          <w:trHeight w:val="315"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升或溶血性贫血</w:t>
            </w:r>
            <w:r>
              <w:rPr>
                <w:spacing w:val="-105"/>
                <w:sz w:val="21"/>
              </w:rPr>
              <w:t>）</w:t>
            </w:r>
            <w:r>
              <w:rPr>
                <w:sz w:val="21"/>
              </w:rPr>
              <w:t>。</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2" w:lineRule="exact"/>
              <w:ind w:left="114"/>
              <w:rPr>
                <w:sz w:val="21"/>
              </w:rPr>
            </w:pPr>
            <w:r>
              <w:rPr>
                <w:sz w:val="21"/>
              </w:rPr>
              <w:t>（2） 检测结果至少具备如下条件的两个：①狼疮细胞或抗双链 DNA 抗体阳性；</w:t>
            </w:r>
          </w:p>
        </w:tc>
      </w:tr>
      <w:tr>
        <w:trPr>
          <w:trHeight w:val="465"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55" w:lineRule="exact"/>
              <w:ind w:left="114"/>
              <w:rPr>
                <w:sz w:val="21"/>
              </w:rPr>
            </w:pPr>
            <w:r>
              <w:rPr>
                <w:sz w:val="21"/>
              </w:rPr>
              <w:t>②抗 Sm 抗体阳性；③抗核抗体阳性；④狼疮带试验阳性；⑤C3 补体低于正常。</w:t>
            </w:r>
          </w:p>
        </w:tc>
      </w:tr>
      <w:tr>
        <w:trPr>
          <w:trHeight w:val="472" w:hRule="atLeast"/>
        </w:trPr>
        <w:tc>
          <w:tcPr>
            <w:tcW w:w="875" w:type="dxa"/>
          </w:tcPr>
          <w:p>
            <w:pPr>
              <w:pStyle w:val="TableParagraph"/>
              <w:spacing w:before="145"/>
              <w:ind w:left="50"/>
              <w:rPr>
                <w:b/>
                <w:sz w:val="21"/>
              </w:rPr>
            </w:pPr>
            <w:r>
              <w:rPr>
                <w:b/>
                <w:sz w:val="21"/>
              </w:rPr>
              <w:t>9.5.50</w:t>
            </w:r>
          </w:p>
        </w:tc>
        <w:tc>
          <w:tcPr>
            <w:tcW w:w="1614" w:type="dxa"/>
          </w:tcPr>
          <w:p>
            <w:pPr>
              <w:pStyle w:val="TableParagraph"/>
              <w:spacing w:before="145"/>
              <w:ind w:left="195"/>
              <w:rPr>
                <w:rFonts w:ascii="楷体" w:eastAsia="楷体" w:hint="eastAsia"/>
                <w:b/>
                <w:sz w:val="21"/>
              </w:rPr>
            </w:pPr>
            <w:r>
              <w:rPr>
                <w:rFonts w:ascii="楷体" w:eastAsia="楷体" w:hint="eastAsia"/>
                <w:b/>
                <w:w w:val="95"/>
                <w:sz w:val="21"/>
              </w:rPr>
              <w:t>严重的骨质疏</w:t>
            </w:r>
          </w:p>
        </w:tc>
        <w:tc>
          <w:tcPr>
            <w:tcW w:w="7679" w:type="dxa"/>
          </w:tcPr>
          <w:p>
            <w:pPr>
              <w:pStyle w:val="TableParagraph"/>
              <w:spacing w:before="145"/>
              <w:ind w:left="114"/>
              <w:rPr>
                <w:sz w:val="21"/>
              </w:rPr>
            </w:pPr>
            <w:r>
              <w:rPr>
                <w:sz w:val="21"/>
              </w:rPr>
              <w:t>严重的骨质疏松，并因此而直接导致脊椎、骨盆、桡骨、尺骨、肱骨、胫骨、股</w:t>
            </w:r>
          </w:p>
        </w:tc>
      </w:tr>
      <w:tr>
        <w:trPr>
          <w:trHeight w:val="315" w:hRule="atLeast"/>
        </w:trPr>
        <w:tc>
          <w:tcPr>
            <w:tcW w:w="875" w:type="dxa"/>
          </w:tcPr>
          <w:p>
            <w:pPr>
              <w:pStyle w:val="TableParagraph"/>
              <w:rPr>
                <w:rFonts w:ascii="Times New Roman"/>
                <w:sz w:val="20"/>
              </w:rPr>
            </w:pPr>
          </w:p>
        </w:tc>
        <w:tc>
          <w:tcPr>
            <w:tcW w:w="1614" w:type="dxa"/>
          </w:tcPr>
          <w:p>
            <w:pPr>
              <w:pStyle w:val="TableParagraph"/>
              <w:spacing w:line="263" w:lineRule="exact"/>
              <w:ind w:left="195"/>
              <w:rPr>
                <w:rFonts w:ascii="楷体" w:eastAsia="楷体" w:hint="eastAsia"/>
                <w:b/>
                <w:sz w:val="21"/>
              </w:rPr>
            </w:pPr>
            <w:r>
              <w:rPr>
                <w:rFonts w:ascii="楷体" w:eastAsia="楷体" w:hint="eastAsia"/>
                <w:b/>
                <w:w w:val="99"/>
                <w:sz w:val="21"/>
              </w:rPr>
              <w:t>松</w:t>
            </w:r>
          </w:p>
        </w:tc>
        <w:tc>
          <w:tcPr>
            <w:tcW w:w="7679" w:type="dxa"/>
          </w:tcPr>
          <w:p>
            <w:pPr>
              <w:pStyle w:val="TableParagraph"/>
              <w:spacing w:line="263" w:lineRule="exact"/>
              <w:ind w:left="114"/>
              <w:rPr>
                <w:sz w:val="21"/>
              </w:rPr>
            </w:pPr>
            <w:r>
              <w:rPr>
                <w:sz w:val="21"/>
              </w:rPr>
              <w:t>骨骨折。骨质疏松的诊断必须由本公司认可医院合格的专科医生做出，并符合世</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114"/>
              <w:rPr>
                <w:sz w:val="21"/>
              </w:rPr>
            </w:pPr>
            <w:r>
              <w:rPr>
                <w:sz w:val="21"/>
              </w:rPr>
              <w:t>界卫生组织关于骨质疏松的诊断标准*。</w:t>
            </w:r>
          </w:p>
        </w:tc>
      </w:tr>
      <w:tr>
        <w:trPr>
          <w:trHeight w:val="465"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55" w:lineRule="exact"/>
              <w:ind w:left="114"/>
              <w:rPr>
                <w:sz w:val="21"/>
              </w:rPr>
            </w:pPr>
            <w:r>
              <w:rPr>
                <w:sz w:val="21"/>
              </w:rPr>
              <w:t>*世界卫生组织关于骨质疏松的定义：骨密度检测，T 值小于-2.5。</w:t>
            </w:r>
          </w:p>
        </w:tc>
      </w:tr>
      <w:tr>
        <w:trPr>
          <w:trHeight w:val="630" w:hRule="atLeast"/>
        </w:trPr>
        <w:tc>
          <w:tcPr>
            <w:tcW w:w="875" w:type="dxa"/>
          </w:tcPr>
          <w:p>
            <w:pPr>
              <w:pStyle w:val="TableParagraph"/>
              <w:spacing w:before="145"/>
              <w:ind w:left="50"/>
              <w:rPr>
                <w:b/>
                <w:sz w:val="21"/>
              </w:rPr>
            </w:pPr>
            <w:r>
              <w:rPr>
                <w:b/>
                <w:sz w:val="21"/>
              </w:rPr>
              <w:t>9.6</w:t>
            </w:r>
          </w:p>
        </w:tc>
        <w:tc>
          <w:tcPr>
            <w:tcW w:w="1614" w:type="dxa"/>
          </w:tcPr>
          <w:p>
            <w:pPr>
              <w:pStyle w:val="TableParagraph"/>
              <w:spacing w:before="145"/>
              <w:ind w:left="195"/>
              <w:rPr>
                <w:b/>
                <w:sz w:val="21"/>
              </w:rPr>
            </w:pPr>
            <w:r>
              <w:rPr>
                <w:b/>
                <w:w w:val="95"/>
                <w:sz w:val="21"/>
              </w:rPr>
              <w:t>重大疾病</w:t>
            </w:r>
          </w:p>
        </w:tc>
        <w:tc>
          <w:tcPr>
            <w:tcW w:w="7679" w:type="dxa"/>
          </w:tcPr>
          <w:p>
            <w:pPr>
              <w:pStyle w:val="TableParagraph"/>
              <w:spacing w:before="145"/>
              <w:ind w:left="99"/>
              <w:rPr>
                <w:sz w:val="21"/>
              </w:rPr>
            </w:pPr>
            <w:r>
              <w:rPr>
                <w:sz w:val="21"/>
              </w:rPr>
              <w:t>指下面列出的 100 种重大疾病</w:t>
            </w:r>
          </w:p>
        </w:tc>
      </w:tr>
      <w:tr>
        <w:trPr>
          <w:trHeight w:val="465" w:hRule="atLeast"/>
        </w:trPr>
        <w:tc>
          <w:tcPr>
            <w:tcW w:w="875" w:type="dxa"/>
          </w:tcPr>
          <w:p>
            <w:pPr>
              <w:pStyle w:val="TableParagraph"/>
              <w:spacing w:before="145"/>
              <w:ind w:left="50"/>
              <w:rPr>
                <w:b/>
                <w:sz w:val="21"/>
              </w:rPr>
            </w:pPr>
            <w:r>
              <w:rPr>
                <w:b/>
                <w:sz w:val="21"/>
              </w:rPr>
              <w:t>9.6.1</w:t>
            </w:r>
          </w:p>
        </w:tc>
        <w:tc>
          <w:tcPr>
            <w:tcW w:w="1614" w:type="dxa"/>
          </w:tcPr>
          <w:p>
            <w:pPr>
              <w:pStyle w:val="TableParagraph"/>
              <w:spacing w:before="145"/>
              <w:ind w:left="195"/>
              <w:rPr>
                <w:rFonts w:ascii="楷体" w:eastAsia="楷体" w:hint="eastAsia"/>
                <w:b/>
                <w:sz w:val="21"/>
              </w:rPr>
            </w:pPr>
            <w:r>
              <w:rPr>
                <w:rFonts w:ascii="楷体" w:eastAsia="楷体" w:hint="eastAsia"/>
                <w:b/>
                <w:w w:val="95"/>
                <w:sz w:val="21"/>
              </w:rPr>
              <w:t>恶性肿瘤</w:t>
            </w:r>
          </w:p>
        </w:tc>
        <w:tc>
          <w:tcPr>
            <w:tcW w:w="7679" w:type="dxa"/>
          </w:tcPr>
          <w:p>
            <w:pPr>
              <w:pStyle w:val="TableParagraph"/>
              <w:spacing w:before="145"/>
              <w:ind w:left="99"/>
              <w:rPr>
                <w:sz w:val="21"/>
              </w:rPr>
            </w:pPr>
            <w:r>
              <w:rPr>
                <w:sz w:val="21"/>
              </w:rPr>
              <w:t>指恶性细胞不受控制的进行性增长和扩散，浸润和破坏周围正常组织，可以经血</w:t>
            </w:r>
          </w:p>
        </w:tc>
      </w:tr>
      <w:tr>
        <w:trPr>
          <w:trHeight w:val="307"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55" w:lineRule="exact"/>
              <w:ind w:left="99"/>
              <w:rPr>
                <w:sz w:val="21"/>
              </w:rPr>
            </w:pPr>
            <w:r>
              <w:rPr>
                <w:sz w:val="21"/>
              </w:rPr>
              <w:t>管、淋巴管和体腔扩散转移到身体其它部位的疾病。经病理学检查结果明确诊断，</w:t>
            </w:r>
          </w:p>
        </w:tc>
      </w:tr>
      <w:tr>
        <w:trPr>
          <w:trHeight w:val="315"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99"/>
              <w:rPr>
                <w:sz w:val="21"/>
              </w:rPr>
            </w:pPr>
            <w:r>
              <w:rPr>
                <w:sz w:val="21"/>
              </w:rPr>
              <w:t>临床诊断属于世界卫生组织《疾病和有关健康问题的国际统计分类》（ICD-10）</w:t>
            </w:r>
          </w:p>
        </w:tc>
      </w:tr>
      <w:tr>
        <w:trPr>
          <w:trHeight w:val="310" w:hRule="atLeast"/>
        </w:trPr>
        <w:tc>
          <w:tcPr>
            <w:tcW w:w="875" w:type="dxa"/>
          </w:tcPr>
          <w:p>
            <w:pPr>
              <w:pStyle w:val="TableParagraph"/>
              <w:rPr>
                <w:rFonts w:ascii="Times New Roman"/>
                <w:sz w:val="20"/>
              </w:rPr>
            </w:pPr>
          </w:p>
        </w:tc>
        <w:tc>
          <w:tcPr>
            <w:tcW w:w="1614" w:type="dxa"/>
          </w:tcPr>
          <w:p>
            <w:pPr>
              <w:pStyle w:val="TableParagraph"/>
              <w:rPr>
                <w:rFonts w:ascii="Times New Roman"/>
                <w:sz w:val="20"/>
              </w:rPr>
            </w:pPr>
          </w:p>
        </w:tc>
        <w:tc>
          <w:tcPr>
            <w:tcW w:w="7679" w:type="dxa"/>
          </w:tcPr>
          <w:p>
            <w:pPr>
              <w:pStyle w:val="TableParagraph"/>
              <w:spacing w:line="263" w:lineRule="exact"/>
              <w:ind w:left="99"/>
              <w:rPr>
                <w:sz w:val="21"/>
              </w:rPr>
            </w:pPr>
            <w:r>
              <w:rPr>
                <w:sz w:val="21"/>
              </w:rPr>
              <w:t>的恶性肿瘤范畴。</w:t>
            </w:r>
          </w:p>
        </w:tc>
      </w:tr>
      <w:tr>
        <w:trPr>
          <w:trHeight w:val="269" w:hRule="atLeast"/>
        </w:trPr>
        <w:tc>
          <w:tcPr>
            <w:tcW w:w="875" w:type="dxa"/>
          </w:tcPr>
          <w:p>
            <w:pPr>
              <w:pStyle w:val="TableParagraph"/>
              <w:rPr>
                <w:rFonts w:ascii="Times New Roman"/>
                <w:sz w:val="18"/>
              </w:rPr>
            </w:pPr>
          </w:p>
        </w:tc>
        <w:tc>
          <w:tcPr>
            <w:tcW w:w="1614" w:type="dxa"/>
          </w:tcPr>
          <w:p>
            <w:pPr>
              <w:pStyle w:val="TableParagraph"/>
              <w:rPr>
                <w:rFonts w:ascii="Times New Roman"/>
                <w:sz w:val="18"/>
              </w:rPr>
            </w:pPr>
          </w:p>
        </w:tc>
        <w:tc>
          <w:tcPr>
            <w:tcW w:w="7679" w:type="dxa"/>
          </w:tcPr>
          <w:p>
            <w:pPr>
              <w:pStyle w:val="TableParagraph"/>
              <w:spacing w:line="249" w:lineRule="exact"/>
              <w:ind w:left="99"/>
              <w:rPr>
                <w:b/>
                <w:i/>
                <w:sz w:val="22"/>
              </w:rPr>
            </w:pPr>
            <w:r>
              <w:rPr>
                <w:b/>
                <w:i/>
                <w:w w:val="95"/>
                <w:sz w:val="22"/>
              </w:rPr>
              <w:t>下列疾病不在保障范围内：</w:t>
            </w:r>
          </w:p>
        </w:tc>
      </w:tr>
    </w:tbl>
    <w:p>
      <w:pPr>
        <w:pStyle w:val="Heading2"/>
        <w:numPr>
          <w:ilvl w:val="3"/>
          <w:numId w:val="23"/>
        </w:numPr>
        <w:tabs>
          <w:tab w:pos="3326" w:val="left" w:leader="none"/>
        </w:tabs>
        <w:spacing w:line="240" w:lineRule="auto" w:before="33" w:after="0"/>
        <w:ind w:left="3325" w:right="0" w:hanging="631"/>
        <w:jc w:val="left"/>
      </w:pPr>
      <w:r>
        <w:rPr>
          <w:w w:val="95"/>
        </w:rPr>
        <w:t>原位癌；</w:t>
      </w:r>
    </w:p>
    <w:p>
      <w:pPr>
        <w:pStyle w:val="ListParagraph"/>
        <w:numPr>
          <w:ilvl w:val="3"/>
          <w:numId w:val="23"/>
        </w:numPr>
        <w:tabs>
          <w:tab w:pos="3326" w:val="left" w:leader="none"/>
        </w:tabs>
        <w:spacing w:line="240" w:lineRule="auto" w:before="12" w:after="0"/>
        <w:ind w:left="3325" w:right="0" w:hanging="631"/>
        <w:jc w:val="left"/>
        <w:rPr>
          <w:b/>
          <w:i/>
          <w:sz w:val="22"/>
        </w:rPr>
      </w:pPr>
      <w:r>
        <w:rPr>
          <w:b/>
          <w:i/>
          <w:spacing w:val="-12"/>
          <w:w w:val="95"/>
          <w:sz w:val="22"/>
        </w:rPr>
        <w:t>相当于 </w:t>
      </w:r>
      <w:r>
        <w:rPr>
          <w:b/>
          <w:i/>
          <w:w w:val="95"/>
          <w:sz w:val="22"/>
        </w:rPr>
        <w:t>Binet</w:t>
      </w:r>
      <w:r>
        <w:rPr>
          <w:b/>
          <w:i/>
          <w:spacing w:val="-16"/>
          <w:w w:val="95"/>
          <w:sz w:val="22"/>
        </w:rPr>
        <w:t> 分期方案 </w:t>
      </w:r>
      <w:r>
        <w:rPr>
          <w:b/>
          <w:i/>
          <w:w w:val="95"/>
          <w:sz w:val="22"/>
        </w:rPr>
        <w:t>A</w:t>
      </w:r>
      <w:r>
        <w:rPr>
          <w:b/>
          <w:i/>
          <w:spacing w:val="-7"/>
          <w:w w:val="95"/>
          <w:sz w:val="22"/>
        </w:rPr>
        <w:t> 期程度的慢性淋巴细胞白血病；</w:t>
      </w:r>
    </w:p>
    <w:p>
      <w:pPr>
        <w:pStyle w:val="ListParagraph"/>
        <w:numPr>
          <w:ilvl w:val="3"/>
          <w:numId w:val="23"/>
        </w:numPr>
        <w:tabs>
          <w:tab w:pos="3326" w:val="left" w:leader="none"/>
        </w:tabs>
        <w:spacing w:line="240" w:lineRule="auto" w:before="26" w:after="0"/>
        <w:ind w:left="3325" w:right="0" w:hanging="631"/>
        <w:jc w:val="left"/>
        <w:rPr>
          <w:b/>
          <w:i/>
          <w:sz w:val="22"/>
        </w:rPr>
      </w:pPr>
      <w:r>
        <w:rPr>
          <w:b/>
          <w:i/>
          <w:spacing w:val="-12"/>
          <w:w w:val="95"/>
          <w:sz w:val="22"/>
        </w:rPr>
        <w:t>相当于 </w:t>
      </w:r>
      <w:r>
        <w:rPr>
          <w:b/>
          <w:i/>
          <w:w w:val="95"/>
          <w:sz w:val="22"/>
        </w:rPr>
        <w:t>Ann</w:t>
      </w:r>
      <w:r>
        <w:rPr>
          <w:b/>
          <w:i/>
          <w:spacing w:val="-1"/>
          <w:w w:val="95"/>
          <w:sz w:val="22"/>
        </w:rPr>
        <w:t> </w:t>
      </w:r>
      <w:r>
        <w:rPr>
          <w:b/>
          <w:i/>
          <w:w w:val="95"/>
          <w:sz w:val="22"/>
        </w:rPr>
        <w:t>Arbor</w:t>
      </w:r>
      <w:r>
        <w:rPr>
          <w:b/>
          <w:i/>
          <w:spacing w:val="-17"/>
          <w:w w:val="95"/>
          <w:sz w:val="22"/>
        </w:rPr>
        <w:t> 分期方案 </w:t>
      </w:r>
      <w:r>
        <w:rPr>
          <w:b/>
          <w:i/>
          <w:w w:val="95"/>
          <w:sz w:val="22"/>
        </w:rPr>
        <w:t>I</w:t>
      </w:r>
      <w:r>
        <w:rPr>
          <w:b/>
          <w:i/>
          <w:spacing w:val="-7"/>
          <w:w w:val="95"/>
          <w:sz w:val="22"/>
        </w:rPr>
        <w:t> 期程度的何杰金氏病；</w:t>
      </w:r>
    </w:p>
    <w:p>
      <w:pPr>
        <w:pStyle w:val="ListParagraph"/>
        <w:numPr>
          <w:ilvl w:val="3"/>
          <w:numId w:val="23"/>
        </w:numPr>
        <w:tabs>
          <w:tab w:pos="3326" w:val="left" w:leader="none"/>
        </w:tabs>
        <w:spacing w:line="240" w:lineRule="auto" w:before="27" w:after="0"/>
        <w:ind w:left="3325" w:right="0" w:hanging="631"/>
        <w:jc w:val="left"/>
        <w:rPr>
          <w:b/>
          <w:i/>
          <w:sz w:val="22"/>
        </w:rPr>
      </w:pPr>
      <w:r>
        <w:rPr>
          <w:b/>
          <w:i/>
          <w:w w:val="95"/>
          <w:sz w:val="22"/>
        </w:rPr>
        <w:t>皮肤癌</w:t>
      </w:r>
      <w:r>
        <w:rPr>
          <w:b/>
          <w:i/>
          <w:spacing w:val="15"/>
          <w:w w:val="95"/>
          <w:sz w:val="22"/>
        </w:rPr>
        <w:t>（</w:t>
      </w:r>
      <w:r>
        <w:rPr>
          <w:b/>
          <w:i/>
          <w:w w:val="95"/>
          <w:sz w:val="22"/>
        </w:rPr>
        <w:t>不包括恶性黑色素瘤及已发生转移的皮肤癌）；</w:t>
      </w:r>
    </w:p>
    <w:p>
      <w:pPr>
        <w:pStyle w:val="ListParagraph"/>
        <w:numPr>
          <w:ilvl w:val="3"/>
          <w:numId w:val="23"/>
        </w:numPr>
        <w:tabs>
          <w:tab w:pos="3326" w:val="left" w:leader="none"/>
        </w:tabs>
        <w:spacing w:line="240" w:lineRule="auto" w:before="33" w:after="0"/>
        <w:ind w:left="3325" w:right="0" w:hanging="631"/>
        <w:jc w:val="left"/>
        <w:rPr>
          <w:b/>
          <w:i/>
          <w:sz w:val="22"/>
        </w:rPr>
      </w:pPr>
      <w:r>
        <w:rPr>
          <w:b/>
          <w:i/>
          <w:w w:val="95"/>
          <w:position w:val="1"/>
          <w:sz w:val="22"/>
        </w:rPr>
        <w:t>TNM</w:t>
      </w:r>
      <w:r>
        <w:rPr>
          <w:b/>
          <w:i/>
          <w:spacing w:val="-17"/>
          <w:w w:val="95"/>
          <w:position w:val="1"/>
          <w:sz w:val="22"/>
        </w:rPr>
        <w:t> 分期为 </w:t>
      </w:r>
      <w:r>
        <w:rPr>
          <w:b/>
          <w:i/>
          <w:w w:val="95"/>
          <w:position w:val="1"/>
          <w:sz w:val="22"/>
        </w:rPr>
        <w:t>T</w:t>
      </w:r>
      <w:r>
        <w:rPr>
          <w:b/>
          <w:i/>
          <w:w w:val="95"/>
          <w:sz w:val="11"/>
        </w:rPr>
        <w:t>1</w:t>
      </w:r>
      <w:r>
        <w:rPr>
          <w:b/>
          <w:i/>
          <w:w w:val="95"/>
          <w:position w:val="1"/>
          <w:sz w:val="22"/>
        </w:rPr>
        <w:t>N</w:t>
      </w:r>
      <w:r>
        <w:rPr>
          <w:b/>
          <w:i/>
          <w:w w:val="95"/>
          <w:sz w:val="11"/>
        </w:rPr>
        <w:t>0</w:t>
      </w:r>
      <w:r>
        <w:rPr>
          <w:b/>
          <w:i/>
          <w:w w:val="95"/>
          <w:position w:val="1"/>
          <w:sz w:val="22"/>
        </w:rPr>
        <w:t>M</w:t>
      </w:r>
      <w:r>
        <w:rPr>
          <w:b/>
          <w:i/>
          <w:w w:val="95"/>
          <w:sz w:val="11"/>
        </w:rPr>
        <w:t>0</w:t>
      </w:r>
      <w:r>
        <w:rPr>
          <w:b/>
          <w:i/>
          <w:spacing w:val="-13"/>
          <w:w w:val="95"/>
          <w:sz w:val="11"/>
        </w:rPr>
        <w:t> </w:t>
      </w:r>
      <w:r>
        <w:rPr>
          <w:b/>
          <w:i/>
          <w:w w:val="95"/>
          <w:position w:val="1"/>
          <w:sz w:val="22"/>
        </w:rPr>
        <w:t>期或更轻分期的前列腺癌；</w:t>
      </w:r>
    </w:p>
    <w:p>
      <w:pPr>
        <w:pStyle w:val="ListParagraph"/>
        <w:numPr>
          <w:ilvl w:val="3"/>
          <w:numId w:val="23"/>
        </w:numPr>
        <w:tabs>
          <w:tab w:pos="3326" w:val="left" w:leader="none"/>
        </w:tabs>
        <w:spacing w:line="240" w:lineRule="auto" w:before="22" w:after="0"/>
        <w:ind w:left="3325" w:right="0" w:hanging="631"/>
        <w:jc w:val="left"/>
        <w:rPr>
          <w:b/>
          <w:i/>
          <w:sz w:val="22"/>
        </w:rPr>
      </w:pPr>
      <w:r>
        <w:rPr>
          <w:b/>
          <w:i/>
          <w:w w:val="95"/>
          <w:sz w:val="22"/>
        </w:rPr>
        <w:t>感染艾滋病病毒或患艾滋病期间所患恶性肿瘤。</w:t>
      </w:r>
    </w:p>
    <w:p>
      <w:pPr>
        <w:pStyle w:val="BodyText"/>
        <w:spacing w:before="11"/>
        <w:rPr>
          <w:b/>
          <w:i/>
          <w:sz w:val="25"/>
        </w:rPr>
      </w:pPr>
    </w:p>
    <w:p>
      <w:pPr>
        <w:pStyle w:val="ListParagraph"/>
        <w:numPr>
          <w:ilvl w:val="2"/>
          <w:numId w:val="26"/>
        </w:numPr>
        <w:tabs>
          <w:tab w:pos="1177" w:val="left" w:leader="none"/>
          <w:tab w:pos="1178" w:val="left" w:leader="none"/>
          <w:tab w:pos="2694" w:val="left" w:leader="none"/>
        </w:tabs>
        <w:spacing w:line="240" w:lineRule="auto" w:before="1" w:after="0"/>
        <w:ind w:left="2654" w:right="0" w:hanging="2498"/>
        <w:jc w:val="left"/>
        <w:rPr>
          <w:sz w:val="21"/>
        </w:rPr>
      </w:pPr>
      <w:r>
        <w:rPr>
          <w:rFonts w:ascii="楷体" w:eastAsia="楷体" w:hint="eastAsia"/>
          <w:b/>
          <w:sz w:val="21"/>
        </w:rPr>
        <w:t>急性心肌梗塞</w:t>
        <w:tab/>
      </w:r>
      <w:r>
        <w:rPr>
          <w:sz w:val="21"/>
        </w:rPr>
        <w:t>指因冠状动脉阻塞导致的相</w:t>
      </w:r>
      <w:r>
        <w:rPr>
          <w:spacing w:val="15"/>
          <w:sz w:val="21"/>
        </w:rPr>
        <w:t>应</w:t>
      </w:r>
      <w:r>
        <w:rPr>
          <w:sz w:val="21"/>
        </w:rPr>
        <w:t>区域供血不足造成</w:t>
      </w:r>
      <w:r>
        <w:rPr>
          <w:spacing w:val="15"/>
          <w:sz w:val="21"/>
        </w:rPr>
        <w:t>部</w:t>
      </w:r>
      <w:r>
        <w:rPr>
          <w:sz w:val="21"/>
        </w:rPr>
        <w:t>分心肌坏死。须满</w:t>
      </w:r>
      <w:r>
        <w:rPr>
          <w:spacing w:val="15"/>
          <w:sz w:val="21"/>
        </w:rPr>
        <w:t>足</w:t>
      </w:r>
      <w:r>
        <w:rPr>
          <w:sz w:val="21"/>
        </w:rPr>
        <w:t>下列至少</w:t>
      </w:r>
    </w:p>
    <w:p>
      <w:pPr>
        <w:spacing w:after="0" w:line="240" w:lineRule="auto"/>
        <w:jc w:val="left"/>
        <w:rPr>
          <w:sz w:val="21"/>
        </w:rPr>
        <w:sectPr>
          <w:pgSz w:w="11910" w:h="16850"/>
          <w:pgMar w:header="0" w:footer="944" w:top="1280" w:bottom="1180" w:left="940" w:right="580"/>
        </w:sectPr>
      </w:pPr>
    </w:p>
    <w:p>
      <w:pPr>
        <w:pStyle w:val="BodyText"/>
        <w:spacing w:before="21"/>
        <w:ind w:left="2654"/>
      </w:pPr>
      <w:r>
        <w:rPr/>
        <w:t>三项条件：</w:t>
      </w:r>
    </w:p>
    <w:p>
      <w:pPr>
        <w:pStyle w:val="ListParagraph"/>
        <w:numPr>
          <w:ilvl w:val="3"/>
          <w:numId w:val="26"/>
        </w:numPr>
        <w:tabs>
          <w:tab w:pos="3286" w:val="left" w:leader="none"/>
        </w:tabs>
        <w:spacing w:line="240" w:lineRule="auto" w:before="40" w:after="0"/>
        <w:ind w:left="2654" w:right="0" w:firstLine="0"/>
        <w:jc w:val="left"/>
        <w:rPr>
          <w:sz w:val="21"/>
        </w:rPr>
      </w:pPr>
      <w:r>
        <w:rPr>
          <w:sz w:val="21"/>
        </w:rPr>
        <w:t>典型临床表现，例如急性胸痛等；</w:t>
      </w:r>
    </w:p>
    <w:p>
      <w:pPr>
        <w:pStyle w:val="ListParagraph"/>
        <w:numPr>
          <w:ilvl w:val="3"/>
          <w:numId w:val="26"/>
        </w:numPr>
        <w:tabs>
          <w:tab w:pos="3286" w:val="left" w:leader="none"/>
        </w:tabs>
        <w:spacing w:line="240" w:lineRule="auto" w:before="40" w:after="0"/>
        <w:ind w:left="2654" w:right="0" w:firstLine="0"/>
        <w:jc w:val="left"/>
        <w:rPr>
          <w:sz w:val="21"/>
        </w:rPr>
      </w:pPr>
      <w:r>
        <w:rPr>
          <w:sz w:val="21"/>
        </w:rPr>
        <w:t>新近的心电图改变提示急性心肌梗塞；</w:t>
      </w:r>
    </w:p>
    <w:p>
      <w:pPr>
        <w:pStyle w:val="ListParagraph"/>
        <w:numPr>
          <w:ilvl w:val="3"/>
          <w:numId w:val="26"/>
        </w:numPr>
        <w:tabs>
          <w:tab w:pos="3286" w:val="left" w:leader="none"/>
        </w:tabs>
        <w:spacing w:line="261" w:lineRule="auto" w:before="39" w:after="0"/>
        <w:ind w:left="2654" w:right="242" w:firstLine="0"/>
        <w:jc w:val="left"/>
        <w:rPr>
          <w:sz w:val="21"/>
        </w:rPr>
      </w:pPr>
      <w:r>
        <w:rPr>
          <w:sz w:val="21"/>
        </w:rPr>
        <w:t>心肌酶或肌钙蛋白有诊断意义的升高，或呈符合急性心肌梗塞的动态性变化；</w:t>
      </w:r>
    </w:p>
    <w:p>
      <w:pPr>
        <w:pStyle w:val="ListParagraph"/>
        <w:numPr>
          <w:ilvl w:val="3"/>
          <w:numId w:val="26"/>
        </w:numPr>
        <w:tabs>
          <w:tab w:pos="3286" w:val="left" w:leader="none"/>
        </w:tabs>
        <w:spacing w:line="240" w:lineRule="auto" w:before="21" w:after="0"/>
        <w:ind w:left="2654" w:right="0" w:firstLine="0"/>
        <w:jc w:val="left"/>
        <w:rPr>
          <w:sz w:val="21"/>
        </w:rPr>
      </w:pPr>
      <w:r>
        <w:rPr>
          <w:spacing w:val="-15"/>
          <w:sz w:val="21"/>
        </w:rPr>
        <w:t>发病 </w:t>
      </w:r>
      <w:r>
        <w:rPr>
          <w:sz w:val="21"/>
        </w:rPr>
        <w:t>90</w:t>
      </w:r>
      <w:r>
        <w:rPr>
          <w:spacing w:val="-9"/>
          <w:sz w:val="21"/>
        </w:rPr>
        <w:t> 天后，经检查证实左心室功能降低，如左心室射血分数低于 </w:t>
      </w:r>
      <w:r>
        <w:rPr>
          <w:sz w:val="21"/>
        </w:rPr>
        <w:t>50%。</w:t>
      </w:r>
    </w:p>
    <w:p>
      <w:pPr>
        <w:pStyle w:val="BodyText"/>
        <w:spacing w:before="2"/>
        <w:rPr>
          <w:sz w:val="27"/>
        </w:rPr>
      </w:pPr>
    </w:p>
    <w:p>
      <w:pPr>
        <w:pStyle w:val="ListParagraph"/>
        <w:numPr>
          <w:ilvl w:val="2"/>
          <w:numId w:val="26"/>
        </w:numPr>
        <w:tabs>
          <w:tab w:pos="1138" w:val="left" w:leader="none"/>
        </w:tabs>
        <w:spacing w:line="268" w:lineRule="auto" w:before="0" w:after="0"/>
        <w:ind w:left="2654" w:right="241" w:hanging="2538"/>
        <w:jc w:val="both"/>
        <w:rPr>
          <w:sz w:val="21"/>
        </w:rPr>
      </w:pPr>
      <w:r>
        <w:rPr>
          <w:rFonts w:ascii="楷体" w:eastAsia="楷体" w:hint="eastAsia"/>
          <w:b/>
          <w:spacing w:val="5"/>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27"/>
        </w:numPr>
        <w:tabs>
          <w:tab w:pos="3286" w:val="left" w:leader="none"/>
        </w:tabs>
        <w:spacing w:line="240" w:lineRule="auto" w:before="15" w:after="0"/>
        <w:ind w:left="2654" w:right="0" w:firstLine="0"/>
        <w:jc w:val="left"/>
        <w:rPr>
          <w:sz w:val="21"/>
        </w:rPr>
      </w:pPr>
      <w:r>
        <w:rPr>
          <w:spacing w:val="-1"/>
          <w:sz w:val="21"/>
        </w:rPr>
        <w:t>一肢或一肢以上肢体机能完全丧失</w:t>
      </w:r>
      <w:r>
        <w:rPr>
          <w:sz w:val="21"/>
        </w:rPr>
        <w:t>（</w:t>
      </w:r>
      <w:r>
        <w:rPr>
          <w:spacing w:val="-23"/>
          <w:sz w:val="21"/>
        </w:rPr>
        <w:t>见 </w:t>
      </w:r>
      <w:r>
        <w:rPr>
          <w:sz w:val="21"/>
        </w:rPr>
        <w:t>9.18）；</w:t>
      </w:r>
    </w:p>
    <w:p>
      <w:pPr>
        <w:pStyle w:val="ListParagraph"/>
        <w:numPr>
          <w:ilvl w:val="0"/>
          <w:numId w:val="27"/>
        </w:numPr>
        <w:tabs>
          <w:tab w:pos="3286" w:val="left" w:leader="none"/>
        </w:tabs>
        <w:spacing w:line="240" w:lineRule="auto" w:before="40" w:after="0"/>
        <w:ind w:left="2654" w:right="0" w:firstLine="0"/>
        <w:jc w:val="left"/>
        <w:rPr>
          <w:sz w:val="21"/>
        </w:rPr>
      </w:pPr>
      <w:r>
        <w:rPr>
          <w:spacing w:val="-1"/>
          <w:sz w:val="21"/>
        </w:rPr>
        <w:t>语言能力或咀嚼吞咽能力完全丧失</w:t>
      </w:r>
      <w:r>
        <w:rPr>
          <w:sz w:val="21"/>
        </w:rPr>
        <w:t>（</w:t>
      </w:r>
      <w:r>
        <w:rPr>
          <w:spacing w:val="-23"/>
          <w:sz w:val="21"/>
        </w:rPr>
        <w:t>见 </w:t>
      </w:r>
      <w:r>
        <w:rPr>
          <w:sz w:val="21"/>
        </w:rPr>
        <w:t>9.19）；</w:t>
      </w:r>
    </w:p>
    <w:p>
      <w:pPr>
        <w:pStyle w:val="ListParagraph"/>
        <w:numPr>
          <w:ilvl w:val="0"/>
          <w:numId w:val="27"/>
        </w:numPr>
        <w:tabs>
          <w:tab w:pos="3286" w:val="left" w:leader="none"/>
        </w:tabs>
        <w:spacing w:line="276" w:lineRule="auto" w:before="39" w:after="0"/>
        <w:ind w:left="2654" w:right="234" w:firstLine="0"/>
        <w:jc w:val="left"/>
        <w:rPr>
          <w:sz w:val="21"/>
        </w:rPr>
      </w:pPr>
      <w:r>
        <w:rPr>
          <w:spacing w:val="-1"/>
          <w:sz w:val="21"/>
        </w:rPr>
        <w:t>自主生活能力完全丧失，无法独立完成六项基本日常生活活动</w:t>
      </w:r>
      <w:r>
        <w:rPr>
          <w:sz w:val="21"/>
        </w:rPr>
        <w:t>（</w:t>
      </w:r>
      <w:r>
        <w:rPr>
          <w:spacing w:val="-23"/>
          <w:sz w:val="21"/>
        </w:rPr>
        <w:t>见 </w:t>
      </w:r>
      <w:r>
        <w:rPr>
          <w:sz w:val="21"/>
        </w:rPr>
        <w:t>9.20） 中的三项或三项以上。</w:t>
      </w:r>
    </w:p>
    <w:p>
      <w:pPr>
        <w:pStyle w:val="BodyText"/>
        <w:spacing w:before="11"/>
        <w:rPr>
          <w:sz w:val="20"/>
        </w:rPr>
      </w:pPr>
    </w:p>
    <w:p>
      <w:pPr>
        <w:spacing w:after="0"/>
        <w:rPr>
          <w:sz w:val="20"/>
        </w:rPr>
        <w:sectPr>
          <w:pgSz w:w="11910" w:h="16850"/>
          <w:pgMar w:header="0" w:footer="944" w:top="1200" w:bottom="1180" w:left="980" w:right="620"/>
        </w:sectPr>
      </w:pPr>
    </w:p>
    <w:p>
      <w:pPr>
        <w:pStyle w:val="Heading3"/>
        <w:numPr>
          <w:ilvl w:val="2"/>
          <w:numId w:val="26"/>
        </w:numPr>
        <w:tabs>
          <w:tab w:pos="1138" w:val="left" w:leader="none"/>
        </w:tabs>
        <w:spacing w:line="276" w:lineRule="auto" w:before="36" w:after="0"/>
        <w:ind w:left="1137" w:right="0" w:hanging="1021"/>
        <w:jc w:val="both"/>
      </w:pPr>
      <w:r>
        <w:rPr>
          <w:w w:val="95"/>
        </w:rPr>
        <w:t>重大器官移植术或造血干细胞移植术</w:t>
      </w:r>
    </w:p>
    <w:p>
      <w:pPr>
        <w:pStyle w:val="BodyText"/>
        <w:spacing w:line="276" w:lineRule="auto" w:before="36"/>
        <w:ind w:left="116" w:right="241"/>
        <w:jc w:val="both"/>
      </w:pPr>
      <w:r>
        <w:rPr/>
        <w:br w:type="column"/>
      </w:r>
      <w:r>
        <w:rPr/>
        <w:t>重大器官移植术，指因相应器官功能衰竭，已经实施了肾脏、肝脏、心脏或肺脏的异体移植手术。</w:t>
      </w:r>
    </w:p>
    <w:p>
      <w:pPr>
        <w:pStyle w:val="BodyText"/>
        <w:spacing w:line="268" w:lineRule="auto" w:before="9"/>
        <w:ind w:left="116" w:right="285"/>
        <w:jc w:val="both"/>
      </w:pPr>
      <w:r>
        <w:rPr/>
        <w:t>造血干细胞移植术，指因造血功能损害或造血系统恶性肿瘤，已经实施了造血干细胞（包括骨髓造血干细胞、外周血造血干细胞和脐血造血干细胞）的异体移植手术。</w:t>
      </w:r>
    </w:p>
    <w:p>
      <w:pPr>
        <w:spacing w:after="0" w:line="268" w:lineRule="auto"/>
        <w:jc w:val="both"/>
        <w:sectPr>
          <w:type w:val="continuous"/>
          <w:pgSz w:w="11910" w:h="16850"/>
          <w:pgMar w:top="540" w:bottom="1140" w:left="980" w:right="620"/>
          <w:cols w:num="2" w:equalWidth="0">
            <w:col w:w="2401" w:space="137"/>
            <w:col w:w="7772"/>
          </w:cols>
        </w:sectPr>
      </w:pPr>
    </w:p>
    <w:p>
      <w:pPr>
        <w:pStyle w:val="BodyText"/>
        <w:spacing w:before="7"/>
        <w:rPr>
          <w:sz w:val="22"/>
        </w:rPr>
      </w:pPr>
    </w:p>
    <w:p>
      <w:pPr>
        <w:spacing w:after="0"/>
        <w:rPr>
          <w:sz w:val="22"/>
        </w:rPr>
        <w:sectPr>
          <w:type w:val="continuous"/>
          <w:pgSz w:w="11910" w:h="16850"/>
          <w:pgMar w:top="540" w:bottom="1140" w:left="980" w:right="620"/>
        </w:sectPr>
      </w:pPr>
    </w:p>
    <w:p>
      <w:pPr>
        <w:pStyle w:val="Heading3"/>
        <w:numPr>
          <w:ilvl w:val="2"/>
          <w:numId w:val="26"/>
        </w:numPr>
        <w:tabs>
          <w:tab w:pos="1138" w:val="left" w:leader="none"/>
        </w:tabs>
        <w:spacing w:line="271" w:lineRule="auto" w:before="35" w:after="0"/>
        <w:ind w:left="1137" w:right="0" w:hanging="1021"/>
        <w:jc w:val="both"/>
      </w:pPr>
      <w:r>
        <w:rPr>
          <w:w w:val="95"/>
        </w:rPr>
        <w:t>冠状动脉搭桥术（或称冠状动脉旁路移植术）</w:t>
      </w:r>
    </w:p>
    <w:p>
      <w:pPr>
        <w:spacing w:line="264" w:lineRule="auto" w:before="35"/>
        <w:ind w:left="116" w:right="256" w:firstLine="0"/>
        <w:jc w:val="both"/>
        <w:rPr>
          <w:b/>
          <w:i/>
          <w:sz w:val="22"/>
        </w:rPr>
      </w:pPr>
      <w:r>
        <w:rPr/>
        <w:br w:type="column"/>
      </w:r>
      <w:r>
        <w:rPr>
          <w:sz w:val="21"/>
        </w:rPr>
        <w:t>指为治疗严重的冠心病，实际实施了开胸进行的冠状动脉血管旁路移植的手术。</w:t>
      </w:r>
      <w:r>
        <w:rPr>
          <w:b/>
          <w:i/>
          <w:w w:val="95"/>
          <w:sz w:val="22"/>
        </w:rPr>
        <w:t>冠状动脉支架植入术、心导管球囊扩张术、激光射频技术及其它非开胸的介入手术、腔镜手术不在保障范围内。</w:t>
      </w:r>
    </w:p>
    <w:p>
      <w:pPr>
        <w:spacing w:after="0" w:line="264" w:lineRule="auto"/>
        <w:jc w:val="both"/>
        <w:rPr>
          <w:sz w:val="22"/>
        </w:rPr>
        <w:sectPr>
          <w:type w:val="continuous"/>
          <w:pgSz w:w="11910" w:h="16850"/>
          <w:pgMar w:top="540" w:bottom="1140" w:left="980" w:right="620"/>
          <w:cols w:num="2" w:equalWidth="0">
            <w:col w:w="2401" w:space="137"/>
            <w:col w:w="7772"/>
          </w:cols>
        </w:sectPr>
      </w:pPr>
    </w:p>
    <w:p>
      <w:pPr>
        <w:pStyle w:val="BodyText"/>
        <w:spacing w:before="4"/>
        <w:rPr>
          <w:b/>
          <w:i/>
          <w:sz w:val="22"/>
        </w:rPr>
      </w:pPr>
    </w:p>
    <w:p>
      <w:pPr>
        <w:spacing w:after="0"/>
        <w:rPr>
          <w:sz w:val="22"/>
        </w:rPr>
        <w:sectPr>
          <w:type w:val="continuous"/>
          <w:pgSz w:w="11910" w:h="16850"/>
          <w:pgMar w:top="540" w:bottom="1140" w:left="980" w:right="620"/>
        </w:sectPr>
      </w:pPr>
    </w:p>
    <w:p>
      <w:pPr>
        <w:pStyle w:val="Heading3"/>
        <w:numPr>
          <w:ilvl w:val="2"/>
          <w:numId w:val="26"/>
        </w:numPr>
        <w:tabs>
          <w:tab w:pos="1137" w:val="left" w:leader="none"/>
          <w:tab w:pos="1138" w:val="left" w:leader="none"/>
        </w:tabs>
        <w:spacing w:line="240" w:lineRule="auto" w:before="36" w:after="0"/>
        <w:ind w:left="1137" w:right="0" w:hanging="1021"/>
        <w:jc w:val="left"/>
      </w:pPr>
      <w:r>
        <w:rPr>
          <w:w w:val="95"/>
        </w:rPr>
        <w:t>终末期肾病</w:t>
      </w:r>
    </w:p>
    <w:p>
      <w:pPr>
        <w:spacing w:line="268" w:lineRule="auto" w:before="40"/>
        <w:ind w:left="1137" w:right="0" w:firstLine="0"/>
        <w:jc w:val="both"/>
        <w:rPr>
          <w:rFonts w:ascii="楷体" w:eastAsia="楷体" w:hint="eastAsia"/>
          <w:b/>
          <w:sz w:val="21"/>
        </w:rPr>
      </w:pPr>
      <w:r>
        <w:rPr>
          <w:rFonts w:ascii="楷体" w:eastAsia="楷体" w:hint="eastAsia"/>
          <w:b/>
          <w:w w:val="95"/>
          <w:sz w:val="21"/>
        </w:rPr>
        <w:t>（或称慢性肾功能衰竭尿毒症期）</w:t>
      </w:r>
    </w:p>
    <w:p>
      <w:pPr>
        <w:pStyle w:val="BodyText"/>
        <w:spacing w:line="276" w:lineRule="auto" w:before="36"/>
        <w:ind w:left="116" w:right="235"/>
      </w:pPr>
      <w:r>
        <w:rPr/>
        <w:br w:type="column"/>
      </w:r>
      <w:r>
        <w:rPr>
          <w:spacing w:val="-8"/>
        </w:rPr>
        <w:t>指双肾功能慢性不可逆性衰竭，达到尿毒症期，经诊断后已经进行了至少 </w:t>
      </w:r>
      <w:r>
        <w:rPr/>
        <w:t>90</w:t>
      </w:r>
      <w:r>
        <w:rPr>
          <w:spacing w:val="-16"/>
        </w:rPr>
        <w:t> 天的规律性透析治疗或实施了肾脏移植手术。</w:t>
      </w:r>
    </w:p>
    <w:p>
      <w:pPr>
        <w:spacing w:after="0" w:line="276" w:lineRule="auto"/>
        <w:sectPr>
          <w:type w:val="continuous"/>
          <w:pgSz w:w="11910" w:h="16850"/>
          <w:pgMar w:top="540" w:bottom="1140" w:left="980" w:right="620"/>
          <w:cols w:num="2" w:equalWidth="0">
            <w:col w:w="2401" w:space="137"/>
            <w:col w:w="7772"/>
          </w:cols>
        </w:sectPr>
      </w:pPr>
    </w:p>
    <w:p>
      <w:pPr>
        <w:pStyle w:val="BodyText"/>
        <w:spacing w:before="7"/>
        <w:rPr>
          <w:sz w:val="22"/>
        </w:rPr>
      </w:pPr>
    </w:p>
    <w:p>
      <w:pPr>
        <w:pStyle w:val="ListParagraph"/>
        <w:numPr>
          <w:ilvl w:val="2"/>
          <w:numId w:val="26"/>
        </w:numPr>
        <w:tabs>
          <w:tab w:pos="1137" w:val="left" w:leader="none"/>
          <w:tab w:pos="1138" w:val="left" w:leader="none"/>
          <w:tab w:pos="2654" w:val="left" w:leader="none"/>
        </w:tabs>
        <w:spacing w:line="276" w:lineRule="auto" w:before="36" w:after="0"/>
        <w:ind w:left="2654" w:right="285" w:hanging="2538"/>
        <w:jc w:val="left"/>
        <w:rPr>
          <w:sz w:val="21"/>
        </w:rPr>
      </w:pPr>
      <w:r>
        <w:rPr>
          <w:rFonts w:ascii="楷体" w:eastAsia="楷体" w:hint="eastAsia"/>
          <w:b/>
          <w:sz w:val="21"/>
        </w:rPr>
        <w:t>多个肢体缺失</w:t>
        <w:tab/>
      </w:r>
      <w:r>
        <w:rPr>
          <w:sz w:val="21"/>
        </w:rPr>
        <w:t>指因疾病或意外伤害导致两个或两个以上肢体自腕关节或踝关节近端（靠近躯干端）以上完全性断离。</w:t>
      </w:r>
    </w:p>
    <w:p>
      <w:pPr>
        <w:pStyle w:val="BodyText"/>
        <w:spacing w:before="12"/>
        <w:rPr>
          <w:sz w:val="20"/>
        </w:rPr>
      </w:pPr>
    </w:p>
    <w:p>
      <w:pPr>
        <w:spacing w:after="0"/>
        <w:rPr>
          <w:sz w:val="20"/>
        </w:rPr>
        <w:sectPr>
          <w:type w:val="continuous"/>
          <w:pgSz w:w="11910" w:h="16850"/>
          <w:pgMar w:top="540" w:bottom="1140" w:left="980" w:right="620"/>
        </w:sectPr>
      </w:pPr>
    </w:p>
    <w:p>
      <w:pPr>
        <w:pStyle w:val="Heading3"/>
        <w:numPr>
          <w:ilvl w:val="2"/>
          <w:numId w:val="26"/>
        </w:numPr>
        <w:tabs>
          <w:tab w:pos="1137" w:val="left" w:leader="none"/>
          <w:tab w:pos="1138" w:val="left" w:leader="none"/>
        </w:tabs>
        <w:spacing w:line="276" w:lineRule="auto" w:before="35" w:after="0"/>
        <w:ind w:left="1137" w:right="0" w:hanging="1021"/>
        <w:jc w:val="left"/>
      </w:pPr>
      <w:r>
        <w:rPr>
          <w:w w:val="95"/>
        </w:rPr>
        <w:t>急性或亚急性重症肝炎</w:t>
      </w:r>
    </w:p>
    <w:p>
      <w:pPr>
        <w:pStyle w:val="BodyText"/>
        <w:spacing w:line="276" w:lineRule="auto" w:before="35"/>
        <w:ind w:left="116" w:right="241"/>
      </w:pPr>
      <w:r>
        <w:rPr/>
        <w:br w:type="column"/>
      </w:r>
      <w:r>
        <w:rPr/>
        <w:t>指因肝炎病毒感染引起肝脏组织弥漫性坏死，导致急性肝功能衰竭，且经血清学或病毒学检查证实，并须满足下列全部条件：</w:t>
      </w:r>
    </w:p>
    <w:p>
      <w:pPr>
        <w:pStyle w:val="ListParagraph"/>
        <w:numPr>
          <w:ilvl w:val="0"/>
          <w:numId w:val="28"/>
        </w:numPr>
        <w:tabs>
          <w:tab w:pos="748" w:val="left" w:leader="none"/>
        </w:tabs>
        <w:spacing w:line="240" w:lineRule="auto" w:before="8" w:after="0"/>
        <w:ind w:left="747" w:right="0" w:hanging="631"/>
        <w:jc w:val="left"/>
        <w:rPr>
          <w:sz w:val="21"/>
        </w:rPr>
      </w:pPr>
      <w:r>
        <w:rPr>
          <w:sz w:val="21"/>
        </w:rPr>
        <w:t>重度黄疸或黄疸迅速加重；</w:t>
      </w:r>
    </w:p>
    <w:p>
      <w:pPr>
        <w:pStyle w:val="ListParagraph"/>
        <w:numPr>
          <w:ilvl w:val="0"/>
          <w:numId w:val="28"/>
        </w:numPr>
        <w:tabs>
          <w:tab w:pos="748" w:val="left" w:leader="none"/>
        </w:tabs>
        <w:spacing w:line="240" w:lineRule="auto" w:before="41" w:after="0"/>
        <w:ind w:left="747" w:right="0" w:hanging="631"/>
        <w:jc w:val="left"/>
        <w:rPr>
          <w:sz w:val="21"/>
        </w:rPr>
      </w:pPr>
      <w:r>
        <w:rPr>
          <w:sz w:val="21"/>
        </w:rPr>
        <w:t>肝性脑病；</w:t>
      </w:r>
    </w:p>
    <w:p>
      <w:pPr>
        <w:pStyle w:val="ListParagraph"/>
        <w:numPr>
          <w:ilvl w:val="0"/>
          <w:numId w:val="28"/>
        </w:numPr>
        <w:tabs>
          <w:tab w:pos="748" w:val="left" w:leader="none"/>
        </w:tabs>
        <w:spacing w:line="240" w:lineRule="auto" w:before="40" w:after="0"/>
        <w:ind w:left="747" w:right="0" w:hanging="631"/>
        <w:jc w:val="left"/>
        <w:rPr>
          <w:sz w:val="21"/>
        </w:rPr>
      </w:pPr>
      <w:r>
        <w:rPr>
          <w:sz w:val="21"/>
        </w:rPr>
        <w:t>B</w:t>
      </w:r>
      <w:r>
        <w:rPr>
          <w:spacing w:val="-7"/>
          <w:sz w:val="21"/>
        </w:rPr>
        <w:t> 超或其它影像学检查显示肝脏体积急速萎缩；</w:t>
      </w:r>
    </w:p>
    <w:p>
      <w:pPr>
        <w:pStyle w:val="ListParagraph"/>
        <w:numPr>
          <w:ilvl w:val="0"/>
          <w:numId w:val="28"/>
        </w:numPr>
        <w:tabs>
          <w:tab w:pos="748" w:val="left" w:leader="none"/>
        </w:tabs>
        <w:spacing w:line="240" w:lineRule="auto" w:before="25" w:after="0"/>
        <w:ind w:left="747" w:right="0" w:hanging="631"/>
        <w:jc w:val="left"/>
        <w:rPr>
          <w:sz w:val="21"/>
        </w:rPr>
      </w:pPr>
      <w:r>
        <w:rPr>
          <w:sz w:val="21"/>
        </w:rPr>
        <w:t>肝功能指标进行性恶化。</w:t>
      </w:r>
    </w:p>
    <w:p>
      <w:pPr>
        <w:spacing w:after="0" w:line="240" w:lineRule="auto"/>
        <w:jc w:val="left"/>
        <w:rPr>
          <w:sz w:val="21"/>
        </w:rPr>
        <w:sectPr>
          <w:type w:val="continuous"/>
          <w:pgSz w:w="11910" w:h="16850"/>
          <w:pgMar w:top="540" w:bottom="1140" w:left="980" w:right="620"/>
          <w:cols w:num="2" w:equalWidth="0">
            <w:col w:w="2401" w:space="137"/>
            <w:col w:w="7772"/>
          </w:cols>
        </w:sectPr>
      </w:pPr>
    </w:p>
    <w:p>
      <w:pPr>
        <w:pStyle w:val="BodyText"/>
        <w:spacing w:before="6"/>
        <w:rPr>
          <w:sz w:val="24"/>
        </w:rPr>
      </w:pPr>
    </w:p>
    <w:p>
      <w:pPr>
        <w:pStyle w:val="ListParagraph"/>
        <w:numPr>
          <w:ilvl w:val="2"/>
          <w:numId w:val="26"/>
        </w:numPr>
        <w:tabs>
          <w:tab w:pos="1138" w:val="left" w:leader="none"/>
        </w:tabs>
        <w:spacing w:line="276" w:lineRule="auto" w:before="35" w:after="0"/>
        <w:ind w:left="2654" w:right="114" w:hanging="2538"/>
        <w:jc w:val="both"/>
        <w:rPr>
          <w:sz w:val="21"/>
        </w:rPr>
      </w:pPr>
      <w:r>
        <w:rPr>
          <w:rFonts w:ascii="楷体" w:eastAsia="楷体" w:hint="eastAsia"/>
          <w:b/>
          <w:spacing w:val="5"/>
          <w:sz w:val="21"/>
        </w:rPr>
        <w:t>良性脑肿瘤 </w:t>
      </w:r>
      <w:r>
        <w:rPr>
          <w:spacing w:val="-4"/>
          <w:sz w:val="21"/>
        </w:rPr>
        <w:t>指脑的良性肿瘤，已经引起颅内压增高，临床表现为视神经乳头水肿、精神症状、癫</w:t>
      </w:r>
      <w:r>
        <w:rPr>
          <w:spacing w:val="-20"/>
          <w:sz w:val="21"/>
        </w:rPr>
        <w:t>痫及运动感觉障碍等，并危及生命。须由头颅断层扫描</w:t>
      </w:r>
      <w:r>
        <w:rPr>
          <w:spacing w:val="-5"/>
          <w:sz w:val="21"/>
        </w:rPr>
        <w:t>（</w:t>
      </w:r>
      <w:r>
        <w:rPr>
          <w:sz w:val="21"/>
        </w:rPr>
        <w:t>CT</w:t>
      </w:r>
      <w:r>
        <w:rPr>
          <w:spacing w:val="-105"/>
          <w:sz w:val="21"/>
        </w:rPr>
        <w:t>）</w:t>
      </w:r>
      <w:r>
        <w:rPr>
          <w:spacing w:val="-28"/>
          <w:sz w:val="21"/>
        </w:rPr>
        <w:t>、核磁共振检查</w:t>
      </w:r>
      <w:r>
        <w:rPr>
          <w:spacing w:val="-1"/>
          <w:sz w:val="21"/>
        </w:rPr>
        <w:t>（</w:t>
      </w:r>
      <w:r>
        <w:rPr>
          <w:sz w:val="21"/>
        </w:rPr>
        <w:t>MRI）</w:t>
      </w:r>
      <w:r>
        <w:rPr>
          <w:spacing w:val="-1"/>
          <w:sz w:val="21"/>
        </w:rPr>
        <w:t>或正电子发射断层扫描</w:t>
      </w:r>
      <w:r>
        <w:rPr>
          <w:sz w:val="21"/>
        </w:rPr>
        <w:t>（PET）等影像学检查证实，并须满足下列至少一项条件：</w:t>
      </w:r>
    </w:p>
    <w:p>
      <w:pPr>
        <w:pStyle w:val="ListParagraph"/>
        <w:numPr>
          <w:ilvl w:val="0"/>
          <w:numId w:val="29"/>
        </w:numPr>
        <w:tabs>
          <w:tab w:pos="3286" w:val="left" w:leader="none"/>
        </w:tabs>
        <w:spacing w:line="269" w:lineRule="exact" w:before="0" w:after="0"/>
        <w:ind w:left="3285" w:right="0" w:hanging="631"/>
        <w:jc w:val="left"/>
        <w:rPr>
          <w:sz w:val="21"/>
        </w:rPr>
      </w:pPr>
      <w:r>
        <w:rPr>
          <w:sz w:val="21"/>
        </w:rPr>
        <w:t>实际实施了开颅进行的脑肿瘤完全切除或部分切除的手术；</w:t>
      </w:r>
    </w:p>
    <w:p>
      <w:pPr>
        <w:pStyle w:val="ListParagraph"/>
        <w:numPr>
          <w:ilvl w:val="0"/>
          <w:numId w:val="29"/>
        </w:numPr>
        <w:tabs>
          <w:tab w:pos="3286" w:val="left" w:leader="none"/>
        </w:tabs>
        <w:spacing w:line="240" w:lineRule="auto" w:before="40" w:after="0"/>
        <w:ind w:left="3285" w:right="0" w:hanging="631"/>
        <w:jc w:val="left"/>
        <w:rPr>
          <w:sz w:val="21"/>
        </w:rPr>
      </w:pPr>
      <w:r>
        <w:rPr>
          <w:sz w:val="21"/>
        </w:rPr>
        <w:t>实际实施了对脑肿瘤进行的放射治疗。</w:t>
      </w:r>
    </w:p>
    <w:p>
      <w:pPr>
        <w:spacing w:after="0" w:line="240" w:lineRule="auto"/>
        <w:jc w:val="left"/>
        <w:rPr>
          <w:sz w:val="21"/>
        </w:rPr>
        <w:sectPr>
          <w:type w:val="continuous"/>
          <w:pgSz w:w="11910" w:h="16850"/>
          <w:pgMar w:top="540" w:bottom="1140" w:left="980" w:right="620"/>
        </w:sectPr>
      </w:pPr>
    </w:p>
    <w:p>
      <w:pPr>
        <w:pStyle w:val="Heading2"/>
        <w:spacing w:before="9"/>
        <w:ind w:left="2694"/>
      </w:pPr>
      <w:r>
        <w:rPr>
          <w:w w:val="95"/>
        </w:rPr>
        <w:t>脑垂体瘤、脑囊肿、脑血管性疾病不在保障范围内。</w:t>
      </w:r>
    </w:p>
    <w:p>
      <w:pPr>
        <w:pStyle w:val="BodyText"/>
        <w:spacing w:before="4"/>
        <w:rPr>
          <w:b/>
          <w:i/>
          <w:sz w:val="24"/>
        </w:rPr>
      </w:pPr>
    </w:p>
    <w:p>
      <w:pPr>
        <w:spacing w:after="0"/>
        <w:rPr>
          <w:sz w:val="24"/>
        </w:rPr>
        <w:sectPr>
          <w:pgSz w:w="11910" w:h="16850"/>
          <w:pgMar w:header="0" w:footer="944" w:top="1200" w:bottom="1180" w:left="940" w:right="680"/>
        </w:sectPr>
      </w:pPr>
    </w:p>
    <w:p>
      <w:pPr>
        <w:pStyle w:val="Heading3"/>
        <w:numPr>
          <w:ilvl w:val="2"/>
          <w:numId w:val="26"/>
        </w:numPr>
        <w:tabs>
          <w:tab w:pos="1177" w:val="left" w:leader="none"/>
          <w:tab w:pos="1178" w:val="left" w:leader="none"/>
        </w:tabs>
        <w:spacing w:line="240" w:lineRule="auto" w:before="35" w:after="0"/>
        <w:ind w:left="2654" w:right="0" w:hanging="2498"/>
        <w:jc w:val="left"/>
      </w:pPr>
      <w:r>
        <w:rPr>
          <w:w w:val="95"/>
        </w:rPr>
        <w:t>慢性肝功能衰</w:t>
      </w:r>
    </w:p>
    <w:p>
      <w:pPr>
        <w:spacing w:before="39"/>
        <w:ind w:left="1177" w:right="0" w:firstLine="0"/>
        <w:jc w:val="left"/>
        <w:rPr>
          <w:rFonts w:ascii="楷体" w:eastAsia="楷体" w:hint="eastAsia"/>
          <w:b/>
          <w:sz w:val="21"/>
        </w:rPr>
      </w:pPr>
      <w:r>
        <w:rPr>
          <w:rFonts w:ascii="楷体" w:eastAsia="楷体" w:hint="eastAsia"/>
          <w:b/>
          <w:w w:val="95"/>
          <w:sz w:val="21"/>
        </w:rPr>
        <w:t>竭失代偿期</w:t>
      </w:r>
    </w:p>
    <w:p>
      <w:pPr>
        <w:pStyle w:val="BodyText"/>
        <w:spacing w:before="35"/>
        <w:ind w:left="156"/>
      </w:pPr>
      <w:r>
        <w:rPr/>
        <w:br w:type="column"/>
      </w:r>
      <w:r>
        <w:rPr/>
        <w:t>指因慢性肝脏疾病导致肝功能衰竭。须满足下列全部条件：</w:t>
      </w:r>
    </w:p>
    <w:p>
      <w:pPr>
        <w:pStyle w:val="ListParagraph"/>
        <w:numPr>
          <w:ilvl w:val="0"/>
          <w:numId w:val="30"/>
        </w:numPr>
        <w:tabs>
          <w:tab w:pos="788" w:val="left" w:leader="none"/>
        </w:tabs>
        <w:spacing w:line="240" w:lineRule="auto" w:before="39" w:after="0"/>
        <w:ind w:left="787" w:right="0" w:hanging="631"/>
        <w:jc w:val="left"/>
        <w:rPr>
          <w:sz w:val="21"/>
        </w:rPr>
      </w:pPr>
      <w:r>
        <w:rPr>
          <w:sz w:val="21"/>
        </w:rPr>
        <w:t>持续性黄疸；</w:t>
      </w:r>
    </w:p>
    <w:p>
      <w:pPr>
        <w:pStyle w:val="ListParagraph"/>
        <w:numPr>
          <w:ilvl w:val="0"/>
          <w:numId w:val="30"/>
        </w:numPr>
        <w:tabs>
          <w:tab w:pos="788" w:val="left" w:leader="none"/>
        </w:tabs>
        <w:spacing w:line="240" w:lineRule="auto" w:before="25" w:after="0"/>
        <w:ind w:left="787" w:right="0" w:hanging="631"/>
        <w:jc w:val="left"/>
        <w:rPr>
          <w:sz w:val="21"/>
        </w:rPr>
      </w:pPr>
      <w:r>
        <w:rPr>
          <w:sz w:val="21"/>
        </w:rPr>
        <w:t>腹水；</w:t>
      </w:r>
    </w:p>
    <w:p>
      <w:pPr>
        <w:pStyle w:val="ListParagraph"/>
        <w:numPr>
          <w:ilvl w:val="0"/>
          <w:numId w:val="30"/>
        </w:numPr>
        <w:tabs>
          <w:tab w:pos="788" w:val="left" w:leader="none"/>
        </w:tabs>
        <w:spacing w:line="240" w:lineRule="auto" w:before="40" w:after="0"/>
        <w:ind w:left="787" w:right="0" w:hanging="631"/>
        <w:jc w:val="left"/>
        <w:rPr>
          <w:sz w:val="21"/>
        </w:rPr>
      </w:pPr>
      <w:r>
        <w:rPr>
          <w:sz w:val="21"/>
        </w:rPr>
        <w:t>肝性脑病；</w:t>
      </w:r>
    </w:p>
    <w:p>
      <w:pPr>
        <w:pStyle w:val="ListParagraph"/>
        <w:numPr>
          <w:ilvl w:val="0"/>
          <w:numId w:val="30"/>
        </w:numPr>
        <w:tabs>
          <w:tab w:pos="788" w:val="left" w:leader="none"/>
        </w:tabs>
        <w:spacing w:line="240" w:lineRule="auto" w:before="40" w:after="0"/>
        <w:ind w:left="787" w:right="0" w:hanging="631"/>
        <w:jc w:val="left"/>
        <w:rPr>
          <w:sz w:val="21"/>
        </w:rPr>
      </w:pPr>
      <w:r>
        <w:rPr>
          <w:sz w:val="21"/>
        </w:rPr>
        <w:t>充血性脾肿大伴脾功能亢进或食管胃底静脉曲张。</w:t>
      </w:r>
    </w:p>
    <w:p>
      <w:pPr>
        <w:spacing w:after="0" w:line="240" w:lineRule="auto"/>
        <w:jc w:val="left"/>
        <w:rPr>
          <w:sz w:val="21"/>
        </w:rPr>
        <w:sectPr>
          <w:type w:val="continuous"/>
          <w:pgSz w:w="11910" w:h="16850"/>
          <w:pgMar w:top="540" w:bottom="1140" w:left="940" w:right="680"/>
          <w:cols w:num="2" w:equalWidth="0">
            <w:col w:w="2441" w:space="97"/>
            <w:col w:w="7752"/>
          </w:cols>
        </w:sectPr>
      </w:pPr>
    </w:p>
    <w:p>
      <w:pPr>
        <w:pStyle w:val="BodyText"/>
        <w:spacing w:before="3"/>
        <w:rPr>
          <w:sz w:val="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585"/>
        <w:gridCol w:w="7613"/>
      </w:tblGrid>
      <w:tr>
        <w:trPr>
          <w:trHeight w:val="423" w:hRule="atLeast"/>
        </w:trPr>
        <w:tc>
          <w:tcPr>
            <w:tcW w:w="2460" w:type="dxa"/>
            <w:gridSpan w:val="2"/>
          </w:tcPr>
          <w:p>
            <w:pPr>
              <w:pStyle w:val="TableParagraph"/>
              <w:rPr>
                <w:rFonts w:ascii="Times New Roman"/>
                <w:sz w:val="20"/>
              </w:rPr>
            </w:pPr>
          </w:p>
        </w:tc>
        <w:tc>
          <w:tcPr>
            <w:tcW w:w="7613" w:type="dxa"/>
          </w:tcPr>
          <w:p>
            <w:pPr>
              <w:pStyle w:val="TableParagraph"/>
              <w:spacing w:line="221" w:lineRule="exact"/>
              <w:ind w:left="128"/>
              <w:rPr>
                <w:b/>
                <w:i/>
                <w:sz w:val="22"/>
              </w:rPr>
            </w:pPr>
            <w:r>
              <w:rPr>
                <w:b/>
                <w:i/>
                <w:w w:val="95"/>
                <w:sz w:val="22"/>
              </w:rPr>
              <w:t>因酗酒或药物滥用导致的肝功能衰竭不在保障范围内。</w:t>
            </w:r>
          </w:p>
        </w:tc>
      </w:tr>
      <w:tr>
        <w:trPr>
          <w:trHeight w:val="464" w:hRule="atLeast"/>
        </w:trPr>
        <w:tc>
          <w:tcPr>
            <w:tcW w:w="875" w:type="dxa"/>
          </w:tcPr>
          <w:p>
            <w:pPr>
              <w:pStyle w:val="TableParagraph"/>
              <w:spacing w:before="137"/>
              <w:ind w:left="50"/>
              <w:rPr>
                <w:b/>
                <w:sz w:val="21"/>
              </w:rPr>
            </w:pPr>
            <w:r>
              <w:rPr>
                <w:b/>
                <w:sz w:val="21"/>
              </w:rPr>
              <w:t>9.6.11</w:t>
            </w:r>
          </w:p>
        </w:tc>
        <w:tc>
          <w:tcPr>
            <w:tcW w:w="1585" w:type="dxa"/>
          </w:tcPr>
          <w:p>
            <w:pPr>
              <w:pStyle w:val="TableParagraph"/>
              <w:spacing w:before="137"/>
              <w:ind w:left="195"/>
              <w:rPr>
                <w:rFonts w:ascii="楷体" w:eastAsia="楷体" w:hint="eastAsia"/>
                <w:b/>
                <w:sz w:val="21"/>
              </w:rPr>
            </w:pPr>
            <w:r>
              <w:rPr>
                <w:rFonts w:ascii="楷体" w:eastAsia="楷体" w:hint="eastAsia"/>
                <w:b/>
                <w:w w:val="95"/>
                <w:sz w:val="21"/>
              </w:rPr>
              <w:t>脑炎后遗症或</w:t>
            </w:r>
          </w:p>
        </w:tc>
        <w:tc>
          <w:tcPr>
            <w:tcW w:w="7613" w:type="dxa"/>
          </w:tcPr>
          <w:p>
            <w:pPr>
              <w:pStyle w:val="TableParagraph"/>
              <w:spacing w:before="137"/>
              <w:ind w:left="128"/>
              <w:rPr>
                <w:sz w:val="21"/>
              </w:rPr>
            </w:pPr>
            <w:r>
              <w:rPr>
                <w:sz w:val="21"/>
              </w:rPr>
              <w:t>指因患脑炎或脑膜炎导致的神经系统永久性的功能障碍。神经系统永久性的功能</w:t>
            </w:r>
          </w:p>
        </w:tc>
      </w:tr>
      <w:tr>
        <w:trPr>
          <w:trHeight w:val="315" w:hRule="atLeast"/>
        </w:trPr>
        <w:tc>
          <w:tcPr>
            <w:tcW w:w="875" w:type="dxa"/>
          </w:tcPr>
          <w:p>
            <w:pPr>
              <w:pStyle w:val="TableParagraph"/>
              <w:rPr>
                <w:rFonts w:ascii="Times New Roman"/>
                <w:sz w:val="20"/>
              </w:rPr>
            </w:pPr>
          </w:p>
        </w:tc>
        <w:tc>
          <w:tcPr>
            <w:tcW w:w="1585" w:type="dxa"/>
          </w:tcPr>
          <w:p>
            <w:pPr>
              <w:pStyle w:val="TableParagraph"/>
              <w:spacing w:line="263" w:lineRule="exact"/>
              <w:ind w:left="195"/>
              <w:rPr>
                <w:rFonts w:ascii="楷体" w:eastAsia="楷体" w:hint="eastAsia"/>
                <w:b/>
                <w:sz w:val="21"/>
              </w:rPr>
            </w:pPr>
            <w:r>
              <w:rPr>
                <w:rFonts w:ascii="楷体" w:eastAsia="楷体" w:hint="eastAsia"/>
                <w:b/>
                <w:w w:val="95"/>
                <w:sz w:val="21"/>
              </w:rPr>
              <w:t>脑膜炎后遗症</w:t>
            </w:r>
          </w:p>
        </w:tc>
        <w:tc>
          <w:tcPr>
            <w:tcW w:w="7613" w:type="dxa"/>
          </w:tcPr>
          <w:p>
            <w:pPr>
              <w:pStyle w:val="TableParagraph"/>
              <w:spacing w:line="263" w:lineRule="exact"/>
              <w:ind w:left="128"/>
              <w:rPr>
                <w:sz w:val="21"/>
              </w:rPr>
            </w:pPr>
            <w:r>
              <w:rPr>
                <w:sz w:val="21"/>
              </w:rPr>
              <w:t>障碍，指疾病确诊 180 天后，仍遗留下列一种或一种以上障碍：</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（1） 一肢或一肢以上肢体机能完全丧失；</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2" w:lineRule="exact"/>
              <w:ind w:left="128"/>
              <w:rPr>
                <w:sz w:val="21"/>
              </w:rPr>
            </w:pPr>
            <w:r>
              <w:rPr>
                <w:sz w:val="21"/>
              </w:rPr>
              <w:t>（2） 语言能力或咀嚼吞咽能力完全丧失；</w:t>
            </w:r>
          </w:p>
        </w:tc>
      </w:tr>
      <w:tr>
        <w:trPr>
          <w:trHeight w:val="307"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（3） 自主生活能力完全丧失，无法独立完成六项基本日常生活活动中的三项或</w:t>
            </w:r>
          </w:p>
        </w:tc>
      </w:tr>
      <w:tr>
        <w:trPr>
          <w:trHeight w:val="46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55" w:lineRule="exact"/>
              <w:ind w:left="128"/>
              <w:rPr>
                <w:sz w:val="21"/>
              </w:rPr>
            </w:pPr>
            <w:r>
              <w:rPr>
                <w:sz w:val="21"/>
              </w:rPr>
              <w:t>三项以上。</w:t>
            </w:r>
          </w:p>
        </w:tc>
      </w:tr>
      <w:tr>
        <w:trPr>
          <w:trHeight w:val="472" w:hRule="atLeast"/>
        </w:trPr>
        <w:tc>
          <w:tcPr>
            <w:tcW w:w="875" w:type="dxa"/>
          </w:tcPr>
          <w:p>
            <w:pPr>
              <w:pStyle w:val="TableParagraph"/>
              <w:spacing w:before="145"/>
              <w:ind w:left="50"/>
              <w:rPr>
                <w:b/>
                <w:sz w:val="21"/>
              </w:rPr>
            </w:pPr>
            <w:r>
              <w:rPr>
                <w:b/>
                <w:sz w:val="21"/>
              </w:rPr>
              <w:t>9.6.12</w:t>
            </w:r>
          </w:p>
        </w:tc>
        <w:tc>
          <w:tcPr>
            <w:tcW w:w="1585" w:type="dxa"/>
          </w:tcPr>
          <w:p>
            <w:pPr>
              <w:pStyle w:val="TableParagraph"/>
              <w:spacing w:before="145"/>
              <w:ind w:left="195"/>
              <w:rPr>
                <w:rFonts w:ascii="楷体" w:eastAsia="楷体" w:hint="eastAsia"/>
                <w:b/>
                <w:sz w:val="21"/>
              </w:rPr>
            </w:pPr>
            <w:r>
              <w:rPr>
                <w:rFonts w:ascii="楷体" w:eastAsia="楷体" w:hint="eastAsia"/>
                <w:b/>
                <w:w w:val="95"/>
                <w:sz w:val="21"/>
              </w:rPr>
              <w:t>深度昏迷</w:t>
            </w:r>
          </w:p>
        </w:tc>
        <w:tc>
          <w:tcPr>
            <w:tcW w:w="7613" w:type="dxa"/>
          </w:tcPr>
          <w:p>
            <w:pPr>
              <w:pStyle w:val="TableParagraph"/>
              <w:spacing w:before="145"/>
              <w:ind w:left="128"/>
              <w:rPr>
                <w:sz w:val="21"/>
              </w:rPr>
            </w:pPr>
            <w:r>
              <w:rPr>
                <w:sz w:val="21"/>
              </w:rPr>
              <w:t>指因疾病或意外伤害导致意识丧失,对外界刺激和体内需求均无反应,昏迷程度按</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照格拉斯哥昏迷分级（Glasgow coma scale）</w:t>
            </w:r>
            <w:r>
              <w:rPr>
                <w:spacing w:val="-12"/>
                <w:sz w:val="21"/>
              </w:rPr>
              <w:t>结果为 </w:t>
            </w:r>
            <w:r>
              <w:rPr>
                <w:sz w:val="21"/>
              </w:rPr>
              <w:t>5</w:t>
            </w:r>
            <w:r>
              <w:rPr>
                <w:spacing w:val="-20"/>
                <w:sz w:val="21"/>
              </w:rPr>
              <w:t> 分或 </w:t>
            </w:r>
            <w:r>
              <w:rPr>
                <w:sz w:val="21"/>
              </w:rPr>
              <w:t>5</w:t>
            </w:r>
            <w:r>
              <w:rPr>
                <w:spacing w:val="-7"/>
                <w:sz w:val="21"/>
              </w:rPr>
              <w:t> 分以下，且已经持</w:t>
            </w:r>
          </w:p>
        </w:tc>
      </w:tr>
      <w:tr>
        <w:trPr>
          <w:trHeight w:val="774"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2" w:lineRule="exact"/>
              <w:ind w:left="128"/>
              <w:rPr>
                <w:sz w:val="21"/>
              </w:rPr>
            </w:pPr>
            <w:r>
              <w:rPr>
                <w:sz w:val="21"/>
              </w:rPr>
              <w:t>续使用呼吸机及其它生命维持系统 96 小时以上。</w:t>
            </w:r>
          </w:p>
          <w:p>
            <w:pPr>
              <w:pStyle w:val="TableParagraph"/>
              <w:spacing w:before="14"/>
              <w:ind w:left="128"/>
              <w:rPr>
                <w:b/>
                <w:i/>
                <w:sz w:val="22"/>
              </w:rPr>
            </w:pPr>
            <w:r>
              <w:rPr>
                <w:b/>
                <w:i/>
                <w:w w:val="95"/>
                <w:sz w:val="22"/>
              </w:rPr>
              <w:t>因酗酒或药物滥用导致的深度昏迷不在保障范围内。</w:t>
            </w:r>
          </w:p>
        </w:tc>
      </w:tr>
      <w:tr>
        <w:trPr>
          <w:trHeight w:val="472" w:hRule="atLeast"/>
        </w:trPr>
        <w:tc>
          <w:tcPr>
            <w:tcW w:w="875" w:type="dxa"/>
          </w:tcPr>
          <w:p>
            <w:pPr>
              <w:pStyle w:val="TableParagraph"/>
              <w:spacing w:before="144"/>
              <w:ind w:left="50"/>
              <w:rPr>
                <w:b/>
                <w:sz w:val="21"/>
              </w:rPr>
            </w:pPr>
            <w:r>
              <w:rPr>
                <w:b/>
                <w:sz w:val="21"/>
              </w:rPr>
              <w:t>9.6.13</w:t>
            </w:r>
          </w:p>
        </w:tc>
        <w:tc>
          <w:tcPr>
            <w:tcW w:w="1585" w:type="dxa"/>
          </w:tcPr>
          <w:p>
            <w:pPr>
              <w:pStyle w:val="TableParagraph"/>
              <w:spacing w:before="144"/>
              <w:ind w:left="195"/>
              <w:rPr>
                <w:rFonts w:ascii="楷体" w:eastAsia="楷体" w:hint="eastAsia"/>
                <w:b/>
                <w:sz w:val="21"/>
              </w:rPr>
            </w:pPr>
            <w:r>
              <w:rPr>
                <w:rFonts w:ascii="楷体" w:eastAsia="楷体" w:hint="eastAsia"/>
                <w:b/>
                <w:w w:val="95"/>
                <w:sz w:val="21"/>
              </w:rPr>
              <w:t>双耳失聪</w:t>
            </w:r>
          </w:p>
        </w:tc>
        <w:tc>
          <w:tcPr>
            <w:tcW w:w="7613" w:type="dxa"/>
          </w:tcPr>
          <w:p>
            <w:pPr>
              <w:pStyle w:val="TableParagraph"/>
              <w:spacing w:before="144"/>
              <w:ind w:left="128"/>
              <w:rPr>
                <w:sz w:val="21"/>
              </w:rPr>
            </w:pPr>
            <w:r>
              <w:rPr>
                <w:sz w:val="21"/>
              </w:rPr>
              <w:t>指因疾病或意外伤害导致双耳听力永久不可逆（</w:t>
            </w:r>
            <w:r>
              <w:rPr>
                <w:spacing w:val="-25"/>
                <w:sz w:val="21"/>
              </w:rPr>
              <w:t>见 </w:t>
            </w:r>
            <w:r>
              <w:rPr>
                <w:sz w:val="21"/>
              </w:rPr>
              <w:t>9.21）</w:t>
            </w:r>
            <w:r>
              <w:rPr>
                <w:spacing w:val="-8"/>
                <w:sz w:val="21"/>
              </w:rPr>
              <w:t>性丧失，在 </w:t>
            </w:r>
            <w:r>
              <w:rPr>
                <w:sz w:val="21"/>
              </w:rPr>
              <w:t>500</w:t>
            </w:r>
            <w:r>
              <w:rPr>
                <w:spacing w:val="-12"/>
                <w:sz w:val="21"/>
              </w:rPr>
              <w:t> 赫兹、</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1000</w:t>
            </w:r>
            <w:r>
              <w:rPr>
                <w:spacing w:val="-19"/>
                <w:sz w:val="21"/>
              </w:rPr>
              <w:t> 赫兹和 </w:t>
            </w:r>
            <w:r>
              <w:rPr>
                <w:sz w:val="21"/>
              </w:rPr>
              <w:t>2000</w:t>
            </w:r>
            <w:r>
              <w:rPr>
                <w:spacing w:val="-11"/>
                <w:sz w:val="21"/>
              </w:rPr>
              <w:t> 赫兹语音频率下，平均听阈大于 </w:t>
            </w:r>
            <w:r>
              <w:rPr>
                <w:sz w:val="21"/>
              </w:rPr>
              <w:t>90</w:t>
            </w:r>
            <w:r>
              <w:rPr>
                <w:spacing w:val="-7"/>
                <w:sz w:val="21"/>
              </w:rPr>
              <w:t> 分贝，且经纯音听力测试、</w:t>
            </w:r>
          </w:p>
        </w:tc>
      </w:tr>
      <w:tr>
        <w:trPr>
          <w:trHeight w:val="781"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2" w:lineRule="exact"/>
              <w:ind w:left="128"/>
              <w:rPr>
                <w:sz w:val="21"/>
              </w:rPr>
            </w:pPr>
            <w:r>
              <w:rPr>
                <w:sz w:val="21"/>
              </w:rPr>
              <w:t>声导抗检测或听觉诱发电位检测等证实。</w:t>
            </w:r>
          </w:p>
          <w:p>
            <w:pPr>
              <w:pStyle w:val="TableParagraph"/>
              <w:spacing w:before="14"/>
              <w:ind w:left="128"/>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周岁的保险单周年日期间，被保险人初患双耳失聪除外。</w:t>
            </w:r>
          </w:p>
        </w:tc>
      </w:tr>
      <w:tr>
        <w:trPr>
          <w:trHeight w:val="464" w:hRule="atLeast"/>
        </w:trPr>
        <w:tc>
          <w:tcPr>
            <w:tcW w:w="875" w:type="dxa"/>
          </w:tcPr>
          <w:p>
            <w:pPr>
              <w:pStyle w:val="TableParagraph"/>
              <w:spacing w:before="137"/>
              <w:ind w:left="50"/>
              <w:rPr>
                <w:b/>
                <w:sz w:val="21"/>
              </w:rPr>
            </w:pPr>
            <w:r>
              <w:rPr>
                <w:b/>
                <w:sz w:val="21"/>
              </w:rPr>
              <w:t>9.6.14</w:t>
            </w:r>
          </w:p>
        </w:tc>
        <w:tc>
          <w:tcPr>
            <w:tcW w:w="1585" w:type="dxa"/>
          </w:tcPr>
          <w:p>
            <w:pPr>
              <w:pStyle w:val="TableParagraph"/>
              <w:spacing w:before="137"/>
              <w:ind w:left="195"/>
              <w:rPr>
                <w:rFonts w:ascii="楷体" w:eastAsia="楷体" w:hint="eastAsia"/>
                <w:b/>
                <w:sz w:val="21"/>
              </w:rPr>
            </w:pPr>
            <w:r>
              <w:rPr>
                <w:rFonts w:ascii="楷体" w:eastAsia="楷体" w:hint="eastAsia"/>
                <w:b/>
                <w:w w:val="95"/>
                <w:sz w:val="21"/>
              </w:rPr>
              <w:t>双目失明</w:t>
            </w:r>
          </w:p>
        </w:tc>
        <w:tc>
          <w:tcPr>
            <w:tcW w:w="7613" w:type="dxa"/>
          </w:tcPr>
          <w:p>
            <w:pPr>
              <w:pStyle w:val="TableParagraph"/>
              <w:spacing w:before="137"/>
              <w:ind w:left="128"/>
              <w:rPr>
                <w:sz w:val="21"/>
              </w:rPr>
            </w:pPr>
            <w:r>
              <w:rPr>
                <w:sz w:val="21"/>
              </w:rPr>
              <w:t>指因疾病或意外伤害导致双眼视力永久不可逆性丧失，双眼中较好眼须满足下列</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至少一项条件：</w:t>
            </w:r>
          </w:p>
        </w:tc>
      </w:tr>
      <w:tr>
        <w:trPr>
          <w:trHeight w:val="307"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（1） 眼球缺失或摘除；</w:t>
            </w:r>
          </w:p>
        </w:tc>
      </w:tr>
      <w:tr>
        <w:trPr>
          <w:trHeight w:val="307"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55" w:lineRule="exact"/>
              <w:ind w:left="128"/>
              <w:rPr>
                <w:sz w:val="21"/>
              </w:rPr>
            </w:pPr>
            <w:r>
              <w:rPr>
                <w:sz w:val="21"/>
              </w:rPr>
              <w:t>（2） 矫正视力低于 0.02（采用国际标准视力表，如果使用其它视力表应进行换</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算）；</w:t>
            </w:r>
          </w:p>
        </w:tc>
      </w:tr>
      <w:tr>
        <w:trPr>
          <w:trHeight w:val="473"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（3） 视野半径小于 5 度。</w:t>
            </w:r>
          </w:p>
        </w:tc>
      </w:tr>
      <w:tr>
        <w:trPr>
          <w:trHeight w:val="465" w:hRule="atLeast"/>
        </w:trPr>
        <w:tc>
          <w:tcPr>
            <w:tcW w:w="875" w:type="dxa"/>
          </w:tcPr>
          <w:p>
            <w:pPr>
              <w:pStyle w:val="TableParagraph"/>
              <w:spacing w:before="145"/>
              <w:ind w:left="50"/>
              <w:rPr>
                <w:b/>
                <w:sz w:val="21"/>
              </w:rPr>
            </w:pPr>
            <w:r>
              <w:rPr>
                <w:b/>
                <w:sz w:val="21"/>
              </w:rPr>
              <w:t>9.6.15</w:t>
            </w:r>
          </w:p>
        </w:tc>
        <w:tc>
          <w:tcPr>
            <w:tcW w:w="1585" w:type="dxa"/>
          </w:tcPr>
          <w:p>
            <w:pPr>
              <w:pStyle w:val="TableParagraph"/>
              <w:spacing w:before="145"/>
              <w:ind w:left="195"/>
              <w:rPr>
                <w:rFonts w:ascii="楷体" w:eastAsia="楷体" w:hint="eastAsia"/>
                <w:b/>
                <w:sz w:val="21"/>
              </w:rPr>
            </w:pPr>
            <w:r>
              <w:rPr>
                <w:rFonts w:ascii="楷体" w:eastAsia="楷体" w:hint="eastAsia"/>
                <w:b/>
                <w:w w:val="95"/>
                <w:sz w:val="21"/>
              </w:rPr>
              <w:t>瘫痪</w:t>
            </w:r>
          </w:p>
        </w:tc>
        <w:tc>
          <w:tcPr>
            <w:tcW w:w="7613" w:type="dxa"/>
          </w:tcPr>
          <w:p>
            <w:pPr>
              <w:pStyle w:val="TableParagraph"/>
              <w:spacing w:before="145"/>
              <w:ind w:left="128"/>
              <w:rPr>
                <w:sz w:val="21"/>
              </w:rPr>
            </w:pPr>
            <w:r>
              <w:rPr>
                <w:sz w:val="21"/>
              </w:rPr>
              <w:t>指因疾病或意外伤害导致两肢或两肢以上肢体机能永久完全丧失。肢体机能永久</w:t>
            </w:r>
          </w:p>
        </w:tc>
      </w:tr>
      <w:tr>
        <w:trPr>
          <w:trHeight w:val="307"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55" w:lineRule="exact"/>
              <w:ind w:left="128"/>
              <w:rPr>
                <w:sz w:val="21"/>
              </w:rPr>
            </w:pPr>
            <w:r>
              <w:rPr>
                <w:spacing w:val="-5"/>
                <w:sz w:val="21"/>
              </w:rPr>
              <w:t>完全丧失，指疾病确诊 </w:t>
            </w:r>
            <w:r>
              <w:rPr>
                <w:sz w:val="21"/>
              </w:rPr>
              <w:t>180</w:t>
            </w:r>
            <w:r>
              <w:rPr>
                <w:spacing w:val="-11"/>
                <w:sz w:val="21"/>
              </w:rPr>
              <w:t> 天后或意外伤害发生 </w:t>
            </w:r>
            <w:r>
              <w:rPr>
                <w:spacing w:val="-5"/>
                <w:sz w:val="21"/>
              </w:rPr>
              <w:t>180</w:t>
            </w:r>
            <w:r>
              <w:rPr>
                <w:spacing w:val="-7"/>
                <w:sz w:val="21"/>
              </w:rPr>
              <w:t> 天后，每肢三大关节中的两</w:t>
            </w:r>
          </w:p>
        </w:tc>
      </w:tr>
      <w:tr>
        <w:trPr>
          <w:trHeight w:val="472"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大关节仍然完全僵硬，或不能随意识活动。</w:t>
            </w:r>
          </w:p>
        </w:tc>
      </w:tr>
      <w:tr>
        <w:trPr>
          <w:trHeight w:val="623" w:hRule="atLeast"/>
        </w:trPr>
        <w:tc>
          <w:tcPr>
            <w:tcW w:w="875" w:type="dxa"/>
          </w:tcPr>
          <w:p>
            <w:pPr>
              <w:pStyle w:val="TableParagraph"/>
              <w:spacing w:before="145"/>
              <w:ind w:left="50"/>
              <w:rPr>
                <w:b/>
                <w:sz w:val="21"/>
              </w:rPr>
            </w:pPr>
            <w:r>
              <w:rPr>
                <w:b/>
                <w:sz w:val="21"/>
              </w:rPr>
              <w:t>9.6.16</w:t>
            </w:r>
          </w:p>
        </w:tc>
        <w:tc>
          <w:tcPr>
            <w:tcW w:w="1585" w:type="dxa"/>
          </w:tcPr>
          <w:p>
            <w:pPr>
              <w:pStyle w:val="TableParagraph"/>
              <w:spacing w:before="145"/>
              <w:ind w:left="195"/>
              <w:rPr>
                <w:rFonts w:ascii="楷体" w:eastAsia="楷体" w:hint="eastAsia"/>
                <w:b/>
                <w:sz w:val="21"/>
              </w:rPr>
            </w:pPr>
            <w:r>
              <w:rPr>
                <w:rFonts w:ascii="楷体" w:eastAsia="楷体" w:hint="eastAsia"/>
                <w:b/>
                <w:w w:val="95"/>
                <w:sz w:val="21"/>
              </w:rPr>
              <w:t>心脏瓣膜手术</w:t>
            </w:r>
          </w:p>
        </w:tc>
        <w:tc>
          <w:tcPr>
            <w:tcW w:w="7613" w:type="dxa"/>
          </w:tcPr>
          <w:p>
            <w:pPr>
              <w:pStyle w:val="TableParagraph"/>
              <w:spacing w:before="145"/>
              <w:ind w:left="128"/>
              <w:rPr>
                <w:sz w:val="21"/>
              </w:rPr>
            </w:pPr>
            <w:r>
              <w:rPr>
                <w:sz w:val="21"/>
              </w:rPr>
              <w:t>指为治疗心脏瓣膜疾病，实际实施了开胸进行的心脏瓣膜置换或修复的手术。</w:t>
            </w:r>
          </w:p>
        </w:tc>
      </w:tr>
      <w:tr>
        <w:trPr>
          <w:trHeight w:val="465" w:hRule="atLeast"/>
        </w:trPr>
        <w:tc>
          <w:tcPr>
            <w:tcW w:w="875" w:type="dxa"/>
          </w:tcPr>
          <w:p>
            <w:pPr>
              <w:pStyle w:val="TableParagraph"/>
              <w:spacing w:before="138"/>
              <w:ind w:left="50"/>
              <w:rPr>
                <w:b/>
                <w:sz w:val="21"/>
              </w:rPr>
            </w:pPr>
            <w:r>
              <w:rPr>
                <w:b/>
                <w:sz w:val="21"/>
              </w:rPr>
              <w:t>9.6.17</w:t>
            </w:r>
          </w:p>
        </w:tc>
        <w:tc>
          <w:tcPr>
            <w:tcW w:w="1585" w:type="dxa"/>
          </w:tcPr>
          <w:p>
            <w:pPr>
              <w:pStyle w:val="TableParagraph"/>
              <w:spacing w:before="138"/>
              <w:ind w:left="195"/>
              <w:rPr>
                <w:rFonts w:ascii="楷体" w:eastAsia="楷体" w:hint="eastAsia"/>
                <w:b/>
                <w:sz w:val="21"/>
              </w:rPr>
            </w:pPr>
            <w:r>
              <w:rPr>
                <w:rFonts w:ascii="楷体" w:eastAsia="楷体" w:hint="eastAsia"/>
                <w:b/>
                <w:w w:val="95"/>
                <w:sz w:val="21"/>
              </w:rPr>
              <w:t>严重阿尔茨海</w:t>
            </w:r>
          </w:p>
        </w:tc>
        <w:tc>
          <w:tcPr>
            <w:tcW w:w="7613" w:type="dxa"/>
          </w:tcPr>
          <w:p>
            <w:pPr>
              <w:pStyle w:val="TableParagraph"/>
              <w:spacing w:before="138"/>
              <w:ind w:left="128"/>
              <w:rPr>
                <w:sz w:val="21"/>
              </w:rPr>
            </w:pPr>
            <w:r>
              <w:rPr>
                <w:sz w:val="21"/>
              </w:rPr>
              <w:t>指因大脑进行性、不可逆性改变导致智能严重衰退或丧失，临床表现为明显的认</w:t>
            </w:r>
          </w:p>
        </w:tc>
      </w:tr>
      <w:tr>
        <w:trPr>
          <w:trHeight w:val="315" w:hRule="atLeast"/>
        </w:trPr>
        <w:tc>
          <w:tcPr>
            <w:tcW w:w="875" w:type="dxa"/>
          </w:tcPr>
          <w:p>
            <w:pPr>
              <w:pStyle w:val="TableParagraph"/>
              <w:rPr>
                <w:rFonts w:ascii="Times New Roman"/>
                <w:sz w:val="20"/>
              </w:rPr>
            </w:pPr>
          </w:p>
        </w:tc>
        <w:tc>
          <w:tcPr>
            <w:tcW w:w="1585" w:type="dxa"/>
          </w:tcPr>
          <w:p>
            <w:pPr>
              <w:pStyle w:val="TableParagraph"/>
              <w:spacing w:line="263" w:lineRule="exact"/>
              <w:ind w:left="195"/>
              <w:rPr>
                <w:rFonts w:ascii="楷体" w:eastAsia="楷体" w:hint="eastAsia"/>
                <w:b/>
                <w:sz w:val="21"/>
              </w:rPr>
            </w:pPr>
            <w:r>
              <w:rPr>
                <w:rFonts w:ascii="楷体" w:eastAsia="楷体" w:hint="eastAsia"/>
                <w:b/>
                <w:w w:val="95"/>
                <w:sz w:val="21"/>
              </w:rPr>
              <w:t>默病</w:t>
            </w:r>
          </w:p>
        </w:tc>
        <w:tc>
          <w:tcPr>
            <w:tcW w:w="7613" w:type="dxa"/>
          </w:tcPr>
          <w:p>
            <w:pPr>
              <w:pStyle w:val="TableParagraph"/>
              <w:spacing w:line="263" w:lineRule="exact"/>
              <w:ind w:left="128"/>
              <w:rPr>
                <w:sz w:val="21"/>
              </w:rPr>
            </w:pPr>
            <w:r>
              <w:rPr>
                <w:sz w:val="21"/>
              </w:rPr>
              <w:t>知能力障碍、行为异常和社交能力减退，其日常生活必须持续受到他人监护。须</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由头颅断层扫描（CT）、核磁共振检查（MRI）或正电子发射断层扫描（PET）等</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影像学检查证实，且自主生活能力完全丧失，无法独立完成六项基本日常生活活</w:t>
            </w:r>
          </w:p>
        </w:tc>
      </w:tr>
      <w:tr>
        <w:trPr>
          <w:trHeight w:val="564"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13" w:type="dxa"/>
          </w:tcPr>
          <w:p>
            <w:pPr>
              <w:pStyle w:val="TableParagraph"/>
              <w:spacing w:line="263" w:lineRule="exact"/>
              <w:ind w:left="128"/>
              <w:rPr>
                <w:sz w:val="21"/>
              </w:rPr>
            </w:pPr>
            <w:r>
              <w:rPr>
                <w:sz w:val="21"/>
              </w:rPr>
              <w:t>动中的三项或三项以上。</w:t>
            </w:r>
          </w:p>
          <w:p>
            <w:pPr>
              <w:pStyle w:val="TableParagraph"/>
              <w:spacing w:line="268" w:lineRule="exact" w:before="14"/>
              <w:ind w:left="128"/>
              <w:rPr>
                <w:b/>
                <w:i/>
                <w:sz w:val="22"/>
              </w:rPr>
            </w:pPr>
            <w:r>
              <w:rPr>
                <w:b/>
                <w:i/>
                <w:w w:val="95"/>
                <w:sz w:val="22"/>
              </w:rPr>
              <w:t>神经官能症和精神疾病不在保障范围内。</w:t>
            </w:r>
          </w:p>
        </w:tc>
      </w:tr>
    </w:tbl>
    <w:p>
      <w:pPr>
        <w:spacing w:after="0" w:line="268" w:lineRule="exact"/>
        <w:rPr>
          <w:sz w:val="22"/>
        </w:rPr>
        <w:sectPr>
          <w:type w:val="continuous"/>
          <w:pgSz w:w="11910" w:h="16850"/>
          <w:pgMar w:top="540" w:bottom="1140" w:left="940" w:right="680"/>
        </w:sectPr>
      </w:pPr>
    </w:p>
    <w:p>
      <w:pPr>
        <w:pStyle w:val="ListParagraph"/>
        <w:numPr>
          <w:ilvl w:val="2"/>
          <w:numId w:val="31"/>
        </w:numPr>
        <w:tabs>
          <w:tab w:pos="1137" w:val="left" w:leader="none"/>
          <w:tab w:pos="1138" w:val="left" w:leader="none"/>
          <w:tab w:pos="2654" w:val="left" w:leader="none"/>
        </w:tabs>
        <w:spacing w:line="276" w:lineRule="auto" w:before="21" w:after="0"/>
        <w:ind w:left="2654" w:right="114" w:hanging="2538"/>
        <w:jc w:val="left"/>
        <w:rPr>
          <w:sz w:val="21"/>
        </w:rPr>
      </w:pPr>
      <w:r>
        <w:rPr>
          <w:rFonts w:ascii="楷体" w:eastAsia="楷体" w:hint="eastAsia"/>
          <w:b/>
          <w:sz w:val="21"/>
        </w:rPr>
        <w:t>严重脑损伤</w:t>
        <w:tab/>
      </w:r>
      <w:r>
        <w:rPr>
          <w:sz w:val="21"/>
        </w:rPr>
        <w:t>指因头部遭受机械性外力，</w:t>
      </w:r>
      <w:r>
        <w:rPr>
          <w:spacing w:val="15"/>
          <w:sz w:val="21"/>
        </w:rPr>
        <w:t>引</w:t>
      </w:r>
      <w:r>
        <w:rPr>
          <w:sz w:val="21"/>
        </w:rPr>
        <w:t>起脑重要部位损伤</w:t>
      </w:r>
      <w:r>
        <w:rPr>
          <w:spacing w:val="15"/>
          <w:sz w:val="21"/>
        </w:rPr>
        <w:t>，</w:t>
      </w:r>
      <w:r>
        <w:rPr>
          <w:sz w:val="21"/>
        </w:rPr>
        <w:t>导致神经系统永久</w:t>
      </w:r>
      <w:r>
        <w:rPr>
          <w:spacing w:val="15"/>
          <w:sz w:val="21"/>
        </w:rPr>
        <w:t>性</w:t>
      </w:r>
      <w:r>
        <w:rPr>
          <w:sz w:val="21"/>
        </w:rPr>
        <w:t>的功能障碍</w:t>
      </w:r>
      <w:r>
        <w:rPr>
          <w:spacing w:val="-30"/>
          <w:sz w:val="21"/>
        </w:rPr>
        <w:t>。</w:t>
      </w:r>
      <w:r>
        <w:rPr>
          <w:sz w:val="21"/>
        </w:rPr>
        <w:t>须由头颅断层扫</w:t>
      </w:r>
      <w:r>
        <w:rPr>
          <w:spacing w:val="-30"/>
          <w:sz w:val="21"/>
        </w:rPr>
        <w:t>描</w:t>
      </w:r>
      <w:r>
        <w:rPr>
          <w:spacing w:val="-12"/>
          <w:sz w:val="21"/>
        </w:rPr>
        <w:t>（CT）</w:t>
      </w:r>
      <w:r>
        <w:rPr>
          <w:spacing w:val="-31"/>
          <w:sz w:val="21"/>
        </w:rPr>
        <w:t>、</w:t>
      </w:r>
      <w:r>
        <w:rPr>
          <w:sz w:val="21"/>
        </w:rPr>
        <w:t>核磁共振检</w:t>
      </w:r>
      <w:r>
        <w:rPr>
          <w:spacing w:val="-30"/>
          <w:sz w:val="21"/>
        </w:rPr>
        <w:t>查</w:t>
      </w:r>
      <w:r>
        <w:rPr>
          <w:spacing w:val="-10"/>
          <w:sz w:val="21"/>
        </w:rPr>
        <w:t>（MRI）</w:t>
      </w:r>
      <w:r>
        <w:rPr>
          <w:sz w:val="21"/>
        </w:rPr>
        <w:t>或正电子发射断层扫</w:t>
      </w:r>
      <w:r>
        <w:rPr>
          <w:spacing w:val="-30"/>
          <w:sz w:val="21"/>
        </w:rPr>
        <w:t>描</w:t>
      </w:r>
      <w:r>
        <w:rPr>
          <w:sz w:val="21"/>
        </w:rPr>
        <w:t>（PET） 等影像学检查证实。神经系统永久性的功能障碍，指脑损伤</w:t>
      </w:r>
      <w:r>
        <w:rPr>
          <w:spacing w:val="-36"/>
          <w:sz w:val="21"/>
        </w:rPr>
        <w:t> </w:t>
      </w:r>
      <w:r>
        <w:rPr>
          <w:sz w:val="21"/>
        </w:rPr>
        <w:t>180</w:t>
      </w:r>
      <w:r>
        <w:rPr>
          <w:spacing w:val="-30"/>
          <w:sz w:val="21"/>
        </w:rPr>
        <w:t> </w:t>
      </w:r>
      <w:r>
        <w:rPr>
          <w:sz w:val="21"/>
        </w:rPr>
        <w:t>天后，仍遗留下列一种或一种以上障碍：</w:t>
      </w:r>
    </w:p>
    <w:p>
      <w:pPr>
        <w:pStyle w:val="ListParagraph"/>
        <w:numPr>
          <w:ilvl w:val="3"/>
          <w:numId w:val="31"/>
        </w:numPr>
        <w:tabs>
          <w:tab w:pos="3286" w:val="left" w:leader="none"/>
        </w:tabs>
        <w:spacing w:line="269" w:lineRule="exact" w:before="0" w:after="0"/>
        <w:ind w:left="2654" w:right="0" w:firstLine="0"/>
        <w:jc w:val="left"/>
        <w:rPr>
          <w:sz w:val="21"/>
        </w:rPr>
      </w:pPr>
      <w:r>
        <w:rPr>
          <w:sz w:val="21"/>
        </w:rPr>
        <w:t>一肢或一肢以上肢体机能完全丧失；</w:t>
      </w:r>
    </w:p>
    <w:p>
      <w:pPr>
        <w:pStyle w:val="ListParagraph"/>
        <w:numPr>
          <w:ilvl w:val="3"/>
          <w:numId w:val="31"/>
        </w:numPr>
        <w:tabs>
          <w:tab w:pos="3286" w:val="left" w:leader="none"/>
        </w:tabs>
        <w:spacing w:line="240" w:lineRule="auto" w:before="40" w:after="0"/>
        <w:ind w:left="2654" w:right="0" w:firstLine="0"/>
        <w:jc w:val="left"/>
        <w:rPr>
          <w:sz w:val="21"/>
        </w:rPr>
      </w:pPr>
      <w:r>
        <w:rPr>
          <w:sz w:val="21"/>
        </w:rPr>
        <w:t>语言能力或咀嚼吞咽能力完全丧失；</w:t>
      </w:r>
    </w:p>
    <w:p>
      <w:pPr>
        <w:pStyle w:val="ListParagraph"/>
        <w:numPr>
          <w:ilvl w:val="3"/>
          <w:numId w:val="31"/>
        </w:numPr>
        <w:tabs>
          <w:tab w:pos="3286" w:val="left" w:leader="none"/>
        </w:tabs>
        <w:spacing w:line="276" w:lineRule="auto" w:before="40" w:after="0"/>
        <w:ind w:left="2654" w:right="286" w:firstLine="0"/>
        <w:jc w:val="left"/>
        <w:rPr>
          <w:sz w:val="21"/>
        </w:rPr>
      </w:pPr>
      <w:r>
        <w:rPr>
          <w:sz w:val="21"/>
        </w:rPr>
        <w:t>自主生活能力完全丧失，无法独立完成六项基本日常生活活动中的三项或三项以上。</w:t>
      </w:r>
    </w:p>
    <w:p>
      <w:pPr>
        <w:pStyle w:val="BodyText"/>
        <w:spacing w:before="7"/>
        <w:rPr>
          <w:sz w:val="23"/>
        </w:rPr>
      </w:pPr>
    </w:p>
    <w:p>
      <w:pPr>
        <w:pStyle w:val="ListParagraph"/>
        <w:numPr>
          <w:ilvl w:val="2"/>
          <w:numId w:val="31"/>
        </w:numPr>
        <w:tabs>
          <w:tab w:pos="1137" w:val="left" w:leader="none"/>
          <w:tab w:pos="1138" w:val="left" w:leader="none"/>
          <w:tab w:pos="2654" w:val="left" w:leader="none"/>
        </w:tabs>
        <w:spacing w:line="276" w:lineRule="auto" w:before="1" w:after="0"/>
        <w:ind w:left="2654" w:right="241" w:hanging="2538"/>
        <w:jc w:val="left"/>
        <w:rPr>
          <w:sz w:val="21"/>
        </w:rPr>
      </w:pPr>
      <w:r>
        <w:rPr>
          <w:rFonts w:ascii="楷体" w:eastAsia="楷体" w:hint="eastAsia"/>
          <w:b/>
          <w:sz w:val="21"/>
        </w:rPr>
        <w:t>严重帕金森病</w:t>
        <w:tab/>
      </w:r>
      <w:r>
        <w:rPr>
          <w:sz w:val="21"/>
        </w:rPr>
        <w:t>是一种中枢神经系统的退行</w:t>
      </w:r>
      <w:r>
        <w:rPr>
          <w:spacing w:val="15"/>
          <w:sz w:val="21"/>
        </w:rPr>
        <w:t>性</w:t>
      </w:r>
      <w:r>
        <w:rPr>
          <w:sz w:val="21"/>
        </w:rPr>
        <w:t>疾病，临床表现为</w:t>
      </w:r>
      <w:r>
        <w:rPr>
          <w:spacing w:val="15"/>
          <w:sz w:val="21"/>
        </w:rPr>
        <w:t>震</w:t>
      </w:r>
      <w:r>
        <w:rPr>
          <w:sz w:val="21"/>
        </w:rPr>
        <w:t>颤麻痹、共济失调</w:t>
      </w:r>
      <w:r>
        <w:rPr>
          <w:spacing w:val="15"/>
          <w:sz w:val="21"/>
        </w:rPr>
        <w:t>等</w:t>
      </w:r>
      <w:r>
        <w:rPr>
          <w:sz w:val="21"/>
        </w:rPr>
        <w:t>。须满足下列全部条件：</w:t>
      </w:r>
    </w:p>
    <w:p>
      <w:pPr>
        <w:pStyle w:val="ListParagraph"/>
        <w:numPr>
          <w:ilvl w:val="0"/>
          <w:numId w:val="32"/>
        </w:numPr>
        <w:tabs>
          <w:tab w:pos="3286" w:val="left" w:leader="none"/>
        </w:tabs>
        <w:spacing w:line="240" w:lineRule="auto" w:before="9" w:after="0"/>
        <w:ind w:left="3270" w:right="0" w:hanging="616"/>
        <w:jc w:val="left"/>
        <w:rPr>
          <w:sz w:val="21"/>
        </w:rPr>
      </w:pPr>
      <w:r>
        <w:rPr>
          <w:sz w:val="21"/>
        </w:rPr>
        <w:t>药物治疗无法控制病情；</w:t>
      </w:r>
    </w:p>
    <w:p>
      <w:pPr>
        <w:pStyle w:val="ListParagraph"/>
        <w:numPr>
          <w:ilvl w:val="0"/>
          <w:numId w:val="32"/>
        </w:numPr>
        <w:tabs>
          <w:tab w:pos="3286" w:val="left" w:leader="none"/>
        </w:tabs>
        <w:spacing w:line="276" w:lineRule="auto" w:before="40" w:after="0"/>
        <w:ind w:left="3270" w:right="242" w:hanging="616"/>
        <w:jc w:val="left"/>
        <w:rPr>
          <w:sz w:val="21"/>
        </w:rPr>
      </w:pPr>
      <w:r>
        <w:rPr>
          <w:sz w:val="21"/>
        </w:rPr>
        <w:t>自主生活能力完全丧失，无法独立完成六项基本日常生活活动中的三项或三项以上。</w:t>
      </w:r>
    </w:p>
    <w:p>
      <w:pPr>
        <w:pStyle w:val="Heading2"/>
        <w:spacing w:line="270" w:lineRule="exact"/>
        <w:ind w:left="2654"/>
      </w:pPr>
      <w:r>
        <w:rPr>
          <w:w w:val="95"/>
        </w:rPr>
        <w:t>继发性帕金森综合征不在保障范围内。</w:t>
      </w:r>
    </w:p>
    <w:p>
      <w:pPr>
        <w:pStyle w:val="BodyText"/>
        <w:spacing w:before="5"/>
        <w:rPr>
          <w:b/>
          <w:i/>
          <w:sz w:val="24"/>
        </w:rPr>
      </w:pPr>
    </w:p>
    <w:p>
      <w:pPr>
        <w:spacing w:after="0"/>
        <w:rPr>
          <w:sz w:val="24"/>
        </w:rPr>
        <w:sectPr>
          <w:pgSz w:w="11910" w:h="16850"/>
          <w:pgMar w:header="0" w:footer="944" w:top="1200" w:bottom="1180" w:left="980" w:right="620"/>
        </w:sectPr>
      </w:pPr>
    </w:p>
    <w:p>
      <w:pPr>
        <w:pStyle w:val="Heading3"/>
        <w:numPr>
          <w:ilvl w:val="2"/>
          <w:numId w:val="31"/>
        </w:numPr>
        <w:tabs>
          <w:tab w:pos="1137" w:val="left" w:leader="none"/>
          <w:tab w:pos="1138" w:val="left" w:leader="none"/>
        </w:tabs>
        <w:spacing w:line="276" w:lineRule="auto" w:before="35" w:after="0"/>
        <w:ind w:left="1137" w:right="0" w:hanging="1021"/>
        <w:jc w:val="left"/>
      </w:pPr>
      <w:r>
        <w:rPr>
          <w:spacing w:val="-17"/>
        </w:rPr>
        <w:t>严重 </w:t>
      </w:r>
      <w:r>
        <w:rPr/>
        <w:t>III</w:t>
      </w:r>
      <w:r>
        <w:rPr>
          <w:spacing w:val="-17"/>
        </w:rPr>
        <w:t> 度烧伤</w:t>
      </w:r>
    </w:p>
    <w:p>
      <w:pPr>
        <w:pStyle w:val="BodyText"/>
        <w:spacing w:line="276" w:lineRule="auto" w:before="35"/>
        <w:ind w:left="116" w:right="173"/>
      </w:pPr>
      <w:r>
        <w:rPr/>
        <w:br w:type="column"/>
      </w:r>
      <w:r>
        <w:rPr>
          <w:spacing w:val="-7"/>
        </w:rPr>
        <w:t>指烧伤程度为 </w:t>
      </w:r>
      <w:r>
        <w:rPr/>
        <w:t>III</w:t>
      </w:r>
      <w:r>
        <w:rPr>
          <w:spacing w:val="-19"/>
        </w:rPr>
        <w:t> 度，且 </w:t>
      </w:r>
      <w:r>
        <w:rPr>
          <w:spacing w:val="-5"/>
        </w:rPr>
        <w:t>III</w:t>
      </w:r>
      <w:r>
        <w:rPr>
          <w:spacing w:val="-10"/>
        </w:rPr>
        <w:t> 度烧伤的面积达到全身体表面积的 </w:t>
      </w:r>
      <w:r>
        <w:rPr>
          <w:spacing w:val="-5"/>
        </w:rPr>
        <w:t>20</w:t>
      </w:r>
      <w:r>
        <w:rPr>
          <w:spacing w:val="-17"/>
        </w:rPr>
        <w:t>%或 </w:t>
      </w:r>
      <w:r>
        <w:rPr/>
        <w:t>20%以上。体表面积根据《中国新九分法》计算。</w:t>
      </w:r>
    </w:p>
    <w:p>
      <w:pPr>
        <w:spacing w:after="0" w:line="276" w:lineRule="auto"/>
        <w:sectPr>
          <w:type w:val="continuous"/>
          <w:pgSz w:w="11910" w:h="16850"/>
          <w:pgMar w:top="540" w:bottom="1140" w:left="980" w:right="620"/>
          <w:cols w:num="2" w:equalWidth="0">
            <w:col w:w="2415" w:space="123"/>
            <w:col w:w="7772"/>
          </w:cols>
        </w:sectPr>
      </w:pPr>
    </w:p>
    <w:p>
      <w:pPr>
        <w:pStyle w:val="BodyText"/>
        <w:spacing w:before="12"/>
        <w:rPr>
          <w:sz w:val="20"/>
        </w:rPr>
      </w:pPr>
    </w:p>
    <w:p>
      <w:pPr>
        <w:spacing w:after="0"/>
        <w:rPr>
          <w:sz w:val="20"/>
        </w:rPr>
        <w:sectPr>
          <w:type w:val="continuous"/>
          <w:pgSz w:w="11910" w:h="16850"/>
          <w:pgMar w:top="540" w:bottom="1140" w:left="980" w:right="620"/>
        </w:sectPr>
      </w:pPr>
    </w:p>
    <w:p>
      <w:pPr>
        <w:pStyle w:val="Heading3"/>
        <w:numPr>
          <w:ilvl w:val="2"/>
          <w:numId w:val="31"/>
        </w:numPr>
        <w:tabs>
          <w:tab w:pos="1137" w:val="left" w:leader="none"/>
          <w:tab w:pos="1138" w:val="left" w:leader="none"/>
        </w:tabs>
        <w:spacing w:line="240" w:lineRule="auto" w:before="35" w:after="0"/>
        <w:ind w:left="2654" w:right="0" w:hanging="2538"/>
        <w:jc w:val="left"/>
      </w:pPr>
      <w:r>
        <w:rPr>
          <w:w w:val="95"/>
        </w:rPr>
        <w:t>严重原发性肺</w:t>
      </w:r>
    </w:p>
    <w:p>
      <w:pPr>
        <w:spacing w:before="40"/>
        <w:ind w:left="1137" w:right="0" w:firstLine="0"/>
        <w:jc w:val="left"/>
        <w:rPr>
          <w:rFonts w:ascii="楷体" w:eastAsia="楷体" w:hint="eastAsia"/>
          <w:b/>
          <w:sz w:val="21"/>
        </w:rPr>
      </w:pPr>
      <w:r>
        <w:rPr>
          <w:rFonts w:ascii="楷体" w:eastAsia="楷体" w:hint="eastAsia"/>
          <w:b/>
          <w:w w:val="95"/>
          <w:sz w:val="21"/>
        </w:rPr>
        <w:t>动脉高压</w:t>
      </w:r>
    </w:p>
    <w:p>
      <w:pPr>
        <w:pStyle w:val="BodyText"/>
        <w:spacing w:line="276" w:lineRule="auto" w:before="35"/>
        <w:ind w:left="116" w:right="234"/>
        <w:jc w:val="both"/>
      </w:pPr>
      <w:r>
        <w:rPr/>
        <w:br w:type="column"/>
      </w:r>
      <w:r>
        <w:rPr>
          <w:spacing w:val="-1"/>
        </w:rPr>
        <w:t>指不明原因的肺动脉压力持续性增高，进行性发展而导致的慢性疾病，已经造成</w:t>
      </w:r>
      <w:r>
        <w:rPr>
          <w:spacing w:val="-3"/>
        </w:rPr>
        <w:t>永久不可逆性的体力活动能力受限，达到美国纽约心脏病学会心功能状态分级 </w:t>
      </w:r>
      <w:r>
        <w:rPr/>
        <w:t>IV </w:t>
      </w:r>
      <w:r>
        <w:rPr>
          <w:spacing w:val="-3"/>
        </w:rPr>
        <w:t>级，且静息状态下肺动脉平均压超过 </w:t>
      </w:r>
      <w:r>
        <w:rPr/>
        <w:t>30mmHg。</w:t>
      </w:r>
    </w:p>
    <w:p>
      <w:pPr>
        <w:spacing w:after="0" w:line="276" w:lineRule="auto"/>
        <w:jc w:val="both"/>
        <w:sectPr>
          <w:type w:val="continuous"/>
          <w:pgSz w:w="11910" w:h="16850"/>
          <w:pgMar w:top="540" w:bottom="1140" w:left="980" w:right="620"/>
          <w:cols w:num="2" w:equalWidth="0">
            <w:col w:w="2401" w:space="137"/>
            <w:col w:w="7772"/>
          </w:cols>
        </w:sectPr>
      </w:pPr>
    </w:p>
    <w:p>
      <w:pPr>
        <w:pStyle w:val="BodyText"/>
        <w:spacing w:before="0"/>
        <w:rPr>
          <w:sz w:val="22"/>
        </w:rPr>
      </w:pPr>
    </w:p>
    <w:p>
      <w:pPr>
        <w:spacing w:after="0"/>
        <w:rPr>
          <w:sz w:val="22"/>
        </w:rPr>
        <w:sectPr>
          <w:type w:val="continuous"/>
          <w:pgSz w:w="11910" w:h="16850"/>
          <w:pgMar w:top="540" w:bottom="1140" w:left="980" w:right="620"/>
        </w:sectPr>
      </w:pPr>
    </w:p>
    <w:p>
      <w:pPr>
        <w:pStyle w:val="Heading3"/>
        <w:numPr>
          <w:ilvl w:val="2"/>
          <w:numId w:val="31"/>
        </w:numPr>
        <w:tabs>
          <w:tab w:pos="1137" w:val="left" w:leader="none"/>
          <w:tab w:pos="1138" w:val="left" w:leader="none"/>
        </w:tabs>
        <w:spacing w:line="261" w:lineRule="auto" w:before="36" w:after="0"/>
        <w:ind w:left="1137" w:right="0" w:hanging="1021"/>
        <w:jc w:val="left"/>
      </w:pPr>
      <w:r>
        <w:rPr>
          <w:w w:val="95"/>
        </w:rPr>
        <w:t>严重运动神经元病</w:t>
      </w:r>
    </w:p>
    <w:p>
      <w:pPr>
        <w:pStyle w:val="BodyText"/>
        <w:spacing w:line="268" w:lineRule="auto" w:before="36"/>
        <w:ind w:left="116" w:right="28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68" w:lineRule="auto"/>
        <w:jc w:val="both"/>
        <w:sectPr>
          <w:type w:val="continuous"/>
          <w:pgSz w:w="11910" w:h="16850"/>
          <w:pgMar w:top="540" w:bottom="1140" w:left="980" w:right="620"/>
          <w:cols w:num="2" w:equalWidth="0">
            <w:col w:w="2401" w:space="137"/>
            <w:col w:w="7772"/>
          </w:cols>
        </w:sectPr>
      </w:pPr>
    </w:p>
    <w:p>
      <w:pPr>
        <w:pStyle w:val="BodyText"/>
        <w:spacing w:before="7"/>
        <w:rPr>
          <w:sz w:val="22"/>
        </w:rPr>
      </w:pPr>
    </w:p>
    <w:p>
      <w:pPr>
        <w:pStyle w:val="ListParagraph"/>
        <w:numPr>
          <w:ilvl w:val="2"/>
          <w:numId w:val="31"/>
        </w:numPr>
        <w:tabs>
          <w:tab w:pos="1137" w:val="left" w:leader="none"/>
          <w:tab w:pos="1138" w:val="left" w:leader="none"/>
          <w:tab w:pos="2654" w:val="left" w:leader="none"/>
        </w:tabs>
        <w:spacing w:line="276" w:lineRule="auto" w:before="35" w:after="0"/>
        <w:ind w:left="2654" w:right="234" w:hanging="2538"/>
        <w:jc w:val="left"/>
        <w:rPr>
          <w:sz w:val="21"/>
        </w:rPr>
      </w:pPr>
      <w:r>
        <w:rPr>
          <w:rFonts w:ascii="楷体" w:eastAsia="楷体" w:hint="eastAsia"/>
          <w:b/>
          <w:sz w:val="21"/>
        </w:rPr>
        <w:t>语言能力丧失</w:t>
        <w:tab/>
      </w:r>
      <w:r>
        <w:rPr>
          <w:sz w:val="21"/>
        </w:rPr>
        <w:t>指因疾病或意外伤害导致完全丧失语言能力</w:t>
      </w:r>
      <w:r>
        <w:rPr>
          <w:spacing w:val="-30"/>
          <w:sz w:val="21"/>
        </w:rPr>
        <w:t>，</w:t>
      </w:r>
      <w:r>
        <w:rPr>
          <w:sz w:val="21"/>
        </w:rPr>
        <w:t>经过积极治疗至少</w:t>
      </w:r>
      <w:r>
        <w:rPr>
          <w:spacing w:val="-51"/>
          <w:sz w:val="21"/>
        </w:rPr>
        <w:t> </w:t>
      </w:r>
      <w:r>
        <w:rPr>
          <w:sz w:val="21"/>
        </w:rPr>
        <w:t>12</w:t>
      </w:r>
      <w:r>
        <w:rPr>
          <w:spacing w:val="-45"/>
          <w:sz w:val="21"/>
        </w:rPr>
        <w:t> </w:t>
      </w:r>
      <w:r>
        <w:rPr>
          <w:sz w:val="21"/>
        </w:rPr>
        <w:t>个</w:t>
      </w:r>
      <w:r>
        <w:rPr>
          <w:spacing w:val="-30"/>
          <w:sz w:val="21"/>
        </w:rPr>
        <w:t>月</w:t>
      </w:r>
      <w:r>
        <w:rPr>
          <w:sz w:val="21"/>
        </w:rPr>
        <w:t>（声带完</w:t>
      </w:r>
      <w:r>
        <w:rPr>
          <w:spacing w:val="-1"/>
          <w:sz w:val="21"/>
        </w:rPr>
        <w:t>全切</w:t>
      </w:r>
      <w:r>
        <w:rPr>
          <w:sz w:val="21"/>
        </w:rPr>
        <w:t>除不受此时间限制），仍无法通过现有医疗手段恢复。</w:t>
      </w:r>
    </w:p>
    <w:p>
      <w:pPr>
        <w:pStyle w:val="Heading2"/>
        <w:spacing w:line="270" w:lineRule="exact"/>
        <w:ind w:left="2654"/>
        <w:rPr>
          <w:b w:val="0"/>
          <w:i w:val="0"/>
          <w:sz w:val="21"/>
        </w:rPr>
      </w:pPr>
      <w:r>
        <w:rPr>
          <w:w w:val="95"/>
        </w:rPr>
        <w:t>精神心理因素所致的语言能力丧失不在保障范围内</w:t>
      </w:r>
      <w:r>
        <w:rPr>
          <w:b w:val="0"/>
          <w:i w:val="0"/>
          <w:w w:val="95"/>
          <w:sz w:val="21"/>
        </w:rPr>
        <w:t>。</w:t>
      </w:r>
    </w:p>
    <w:p>
      <w:pPr>
        <w:spacing w:before="28"/>
        <w:ind w:left="2654" w:right="0" w:firstLine="0"/>
        <w:jc w:val="left"/>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周岁的保险单周年日期间，被保险人初患语言能力丧失除外。</w:t>
      </w:r>
    </w:p>
    <w:p>
      <w:pPr>
        <w:pStyle w:val="BodyText"/>
        <w:spacing w:before="3"/>
        <w:rPr>
          <w:b/>
          <w:i/>
          <w:sz w:val="23"/>
        </w:rPr>
      </w:pPr>
    </w:p>
    <w:p>
      <w:pPr>
        <w:spacing w:after="0"/>
        <w:rPr>
          <w:sz w:val="23"/>
        </w:rPr>
        <w:sectPr>
          <w:type w:val="continuous"/>
          <w:pgSz w:w="11910" w:h="16850"/>
          <w:pgMar w:top="540" w:bottom="1140" w:left="980" w:right="620"/>
        </w:sectPr>
      </w:pPr>
    </w:p>
    <w:p>
      <w:pPr>
        <w:pStyle w:val="Heading3"/>
        <w:numPr>
          <w:ilvl w:val="2"/>
          <w:numId w:val="31"/>
        </w:numPr>
        <w:tabs>
          <w:tab w:pos="1137" w:val="left" w:leader="none"/>
          <w:tab w:pos="1138" w:val="left" w:leader="none"/>
        </w:tabs>
        <w:spacing w:line="240" w:lineRule="auto" w:before="36" w:after="0"/>
        <w:ind w:left="2654" w:right="0" w:hanging="2538"/>
        <w:jc w:val="left"/>
      </w:pPr>
      <w:r>
        <w:rPr>
          <w:w w:val="95"/>
        </w:rPr>
        <w:t>重型再生障碍</w:t>
      </w:r>
    </w:p>
    <w:p>
      <w:pPr>
        <w:spacing w:before="41"/>
        <w:ind w:left="1137" w:right="0" w:firstLine="0"/>
        <w:jc w:val="left"/>
        <w:rPr>
          <w:rFonts w:ascii="楷体" w:eastAsia="楷体" w:hint="eastAsia"/>
          <w:b/>
          <w:sz w:val="21"/>
        </w:rPr>
      </w:pPr>
      <w:r>
        <w:rPr>
          <w:rFonts w:ascii="楷体" w:eastAsia="楷体" w:hint="eastAsia"/>
          <w:b/>
          <w:w w:val="95"/>
          <w:sz w:val="21"/>
        </w:rPr>
        <w:t>性贫血</w:t>
      </w:r>
    </w:p>
    <w:p>
      <w:pPr>
        <w:pStyle w:val="BodyText"/>
        <w:spacing w:line="276" w:lineRule="auto" w:before="36"/>
        <w:ind w:left="116" w:right="241"/>
      </w:pPr>
      <w:r>
        <w:rPr/>
        <w:br w:type="column"/>
      </w:r>
      <w:r>
        <w:rPr/>
        <w:t>指因骨髓造血功能慢性持续性衰竭导致的贫血、中性粒细胞减少及血小板减少。须满足下列全部条件：</w:t>
      </w:r>
    </w:p>
    <w:p>
      <w:pPr>
        <w:pStyle w:val="ListParagraph"/>
        <w:numPr>
          <w:ilvl w:val="0"/>
          <w:numId w:val="33"/>
        </w:numPr>
        <w:tabs>
          <w:tab w:pos="748" w:val="left" w:leader="none"/>
        </w:tabs>
        <w:spacing w:line="269" w:lineRule="exact" w:before="0" w:after="0"/>
        <w:ind w:left="747" w:right="0" w:hanging="631"/>
        <w:jc w:val="left"/>
        <w:rPr>
          <w:sz w:val="21"/>
        </w:rPr>
      </w:pPr>
      <w:r>
        <w:rPr>
          <w:sz w:val="21"/>
        </w:rPr>
        <w:t>骨髓穿刺检查或骨髓活检结果支持诊断；</w:t>
      </w:r>
    </w:p>
    <w:p>
      <w:pPr>
        <w:pStyle w:val="ListParagraph"/>
        <w:numPr>
          <w:ilvl w:val="0"/>
          <w:numId w:val="33"/>
        </w:numPr>
        <w:tabs>
          <w:tab w:pos="748" w:val="left" w:leader="none"/>
        </w:tabs>
        <w:spacing w:line="240" w:lineRule="auto" w:before="40" w:after="0"/>
        <w:ind w:left="747" w:right="0" w:hanging="631"/>
        <w:jc w:val="left"/>
        <w:rPr>
          <w:sz w:val="21"/>
        </w:rPr>
      </w:pPr>
      <w:r>
        <w:rPr>
          <w:sz w:val="21"/>
        </w:rPr>
        <w:t>外周血象须具备以下三项条件：</w:t>
      </w:r>
    </w:p>
    <w:p>
      <w:pPr>
        <w:pStyle w:val="BodyText"/>
        <w:spacing w:before="39"/>
        <w:ind w:left="747"/>
      </w:pPr>
      <w:r>
        <w:rPr/>
        <w:t>2.1</w:t>
      </w:r>
      <w:r>
        <w:rPr>
          <w:spacing w:val="-7"/>
        </w:rPr>
        <w:t> 中性粒细胞绝对值≤</w:t>
      </w:r>
      <w:r>
        <w:rPr/>
        <w:t>0.5×10</w:t>
      </w:r>
      <w:r>
        <w:rPr>
          <w:spacing w:val="6"/>
          <w:w w:val="105"/>
          <w:position w:val="10"/>
          <w:sz w:val="10"/>
        </w:rPr>
        <w:t>9</w:t>
      </w:r>
      <w:r>
        <w:rPr/>
        <w:t>/L；</w:t>
      </w:r>
    </w:p>
    <w:p>
      <w:pPr>
        <w:pStyle w:val="ListParagraph"/>
        <w:numPr>
          <w:ilvl w:val="1"/>
          <w:numId w:val="34"/>
        </w:numPr>
        <w:tabs>
          <w:tab w:pos="1123" w:val="left" w:leader="none"/>
        </w:tabs>
        <w:spacing w:line="240" w:lineRule="auto" w:before="40" w:after="0"/>
        <w:ind w:left="1122" w:right="0" w:hanging="375"/>
        <w:jc w:val="left"/>
        <w:rPr>
          <w:sz w:val="21"/>
        </w:rPr>
      </w:pPr>
      <w:r>
        <w:rPr>
          <w:spacing w:val="-1"/>
          <w:sz w:val="21"/>
        </w:rPr>
        <w:t>网织红细胞＜</w:t>
      </w:r>
      <w:r>
        <w:rPr>
          <w:sz w:val="21"/>
        </w:rPr>
        <w:t>1%；</w:t>
      </w:r>
    </w:p>
    <w:p>
      <w:pPr>
        <w:pStyle w:val="ListParagraph"/>
        <w:numPr>
          <w:ilvl w:val="1"/>
          <w:numId w:val="34"/>
        </w:numPr>
        <w:tabs>
          <w:tab w:pos="1123" w:val="left" w:leader="none"/>
        </w:tabs>
        <w:spacing w:line="240" w:lineRule="auto" w:before="40" w:after="0"/>
        <w:ind w:left="1122" w:right="0" w:hanging="375"/>
        <w:jc w:val="left"/>
        <w:rPr>
          <w:sz w:val="21"/>
        </w:rPr>
      </w:pPr>
      <w:r>
        <w:rPr>
          <w:spacing w:val="-1"/>
          <w:sz w:val="21"/>
        </w:rPr>
        <w:t>血小板绝对值≤</w:t>
      </w:r>
      <w:r>
        <w:rPr>
          <w:sz w:val="21"/>
        </w:rPr>
        <w:t>20×10</w:t>
      </w:r>
      <w:r>
        <w:rPr>
          <w:spacing w:val="6"/>
          <w:w w:val="105"/>
          <w:position w:val="10"/>
          <w:sz w:val="10"/>
        </w:rPr>
        <w:t>9</w:t>
      </w:r>
      <w:r>
        <w:rPr>
          <w:sz w:val="21"/>
        </w:rPr>
        <w:t>/L。</w:t>
      </w:r>
    </w:p>
    <w:p>
      <w:pPr>
        <w:spacing w:after="0" w:line="240" w:lineRule="auto"/>
        <w:jc w:val="left"/>
        <w:rPr>
          <w:sz w:val="21"/>
        </w:rPr>
        <w:sectPr>
          <w:type w:val="continuous"/>
          <w:pgSz w:w="11910" w:h="16850"/>
          <w:pgMar w:top="540" w:bottom="1140" w:left="980" w:right="620"/>
          <w:cols w:num="2" w:equalWidth="0">
            <w:col w:w="2401" w:space="137"/>
            <w:col w:w="7772"/>
          </w:cols>
        </w:sectPr>
      </w:pPr>
    </w:p>
    <w:p>
      <w:pPr>
        <w:pStyle w:val="BodyText"/>
        <w:spacing w:before="4"/>
        <w:rPr>
          <w:sz w:val="23"/>
        </w:rPr>
      </w:pPr>
    </w:p>
    <w:p>
      <w:pPr>
        <w:pStyle w:val="ListParagraph"/>
        <w:numPr>
          <w:ilvl w:val="2"/>
          <w:numId w:val="31"/>
        </w:numPr>
        <w:tabs>
          <w:tab w:pos="1138" w:val="left" w:leader="none"/>
        </w:tabs>
        <w:spacing w:line="276" w:lineRule="auto" w:before="35" w:after="0"/>
        <w:ind w:left="2654" w:right="241" w:hanging="2538"/>
        <w:jc w:val="both"/>
        <w:rPr>
          <w:sz w:val="21"/>
        </w:rPr>
      </w:pPr>
      <w:r>
        <w:rPr>
          <w:rFonts w:ascii="楷体" w:eastAsia="楷体" w:hint="eastAsia"/>
          <w:b/>
          <w:spacing w:val="3"/>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Heading2"/>
        <w:spacing w:line="285" w:lineRule="exact"/>
        <w:ind w:left="2654"/>
      </w:pPr>
      <w:r>
        <w:rPr>
          <w:w w:val="95"/>
        </w:rPr>
        <w:t>动脉内血管成形术不在保障范围内。</w:t>
      </w:r>
    </w:p>
    <w:p>
      <w:pPr>
        <w:pStyle w:val="BodyText"/>
        <w:spacing w:before="12"/>
        <w:rPr>
          <w:b/>
          <w:i/>
          <w:sz w:val="25"/>
        </w:rPr>
      </w:pPr>
    </w:p>
    <w:p>
      <w:pPr>
        <w:pStyle w:val="BodyText"/>
        <w:spacing w:before="0"/>
        <w:ind w:left="1137"/>
      </w:pPr>
      <w:r>
        <w:rPr/>
        <w:t>以上 25 种重大疾病是《重大疾病保险的疾病定义使用规范》列明的重大疾病。</w:t>
      </w:r>
    </w:p>
    <w:p>
      <w:pPr>
        <w:spacing w:after="0"/>
        <w:sectPr>
          <w:type w:val="continuous"/>
          <w:pgSz w:w="11910" w:h="16850"/>
          <w:pgMar w:top="540" w:bottom="1140" w:left="980" w:right="620"/>
        </w:sectPr>
      </w:pPr>
    </w:p>
    <w:p>
      <w:pPr>
        <w:pStyle w:val="ListParagraph"/>
        <w:numPr>
          <w:ilvl w:val="2"/>
          <w:numId w:val="31"/>
        </w:numPr>
        <w:tabs>
          <w:tab w:pos="1137" w:val="left" w:leader="none"/>
          <w:tab w:pos="1138" w:val="left" w:leader="none"/>
          <w:tab w:pos="2654" w:val="left" w:leader="none"/>
        </w:tabs>
        <w:spacing w:line="240" w:lineRule="auto" w:before="16" w:after="0"/>
        <w:ind w:left="2654" w:right="0" w:hanging="2538"/>
        <w:jc w:val="left"/>
        <w:rPr>
          <w:sz w:val="21"/>
        </w:rPr>
      </w:pPr>
      <w:r>
        <w:rPr>
          <w:rFonts w:ascii="楷体" w:eastAsia="楷体" w:hint="eastAsia"/>
          <w:b/>
          <w:sz w:val="21"/>
        </w:rPr>
        <w:t>胰腺移植</w:t>
        <w:tab/>
      </w:r>
      <w:r>
        <w:rPr>
          <w:sz w:val="21"/>
        </w:rPr>
        <w:t>指胰腺功能衰竭，已经实施了在全身麻醉下进行的胰腺的异体器官移植手术。</w:t>
      </w:r>
    </w:p>
    <w:p>
      <w:pPr>
        <w:pStyle w:val="Heading2"/>
        <w:spacing w:before="28"/>
        <w:ind w:left="2654"/>
      </w:pPr>
      <w:r>
        <w:rPr>
          <w:w w:val="95"/>
        </w:rPr>
        <w:t>单纯胰岛移植、部分胰腺组织或细胞的移植不在本保障范围内。</w:t>
      </w:r>
    </w:p>
    <w:p>
      <w:pPr>
        <w:pStyle w:val="BodyText"/>
        <w:spacing w:before="2"/>
        <w:rPr>
          <w:b/>
          <w:i/>
          <w:sz w:val="23"/>
        </w:rPr>
      </w:pPr>
    </w:p>
    <w:p>
      <w:pPr>
        <w:spacing w:after="0"/>
        <w:rPr>
          <w:sz w:val="23"/>
        </w:rPr>
        <w:sectPr>
          <w:pgSz w:w="11910" w:h="16850"/>
          <w:pgMar w:header="0" w:footer="944" w:top="1520" w:bottom="1180" w:left="980" w:right="640"/>
        </w:sectPr>
      </w:pPr>
    </w:p>
    <w:p>
      <w:pPr>
        <w:pStyle w:val="Heading3"/>
        <w:numPr>
          <w:ilvl w:val="2"/>
          <w:numId w:val="31"/>
        </w:numPr>
        <w:tabs>
          <w:tab w:pos="1137" w:val="left" w:leader="none"/>
          <w:tab w:pos="1138" w:val="left" w:leader="none"/>
        </w:tabs>
        <w:spacing w:line="276" w:lineRule="auto" w:before="35" w:after="0"/>
        <w:ind w:left="1137" w:right="0" w:hanging="1021"/>
        <w:jc w:val="left"/>
      </w:pPr>
      <w:r>
        <w:rPr>
          <w:spacing w:val="2"/>
          <w:w w:val="95"/>
        </w:rPr>
        <w:t>埃博拉病毒感</w:t>
      </w:r>
      <w:r>
        <w:rPr>
          <w:spacing w:val="2"/>
        </w:rPr>
        <w:t>染</w:t>
      </w:r>
    </w:p>
    <w:p>
      <w:pPr>
        <w:pStyle w:val="BodyText"/>
        <w:spacing w:before="35"/>
        <w:ind w:left="116"/>
      </w:pPr>
      <w:r>
        <w:rPr/>
        <w:br w:type="column"/>
      </w:r>
      <w:r>
        <w:rPr/>
        <w:t>指埃博拉病毒感染导致的烈性传染病，并须满足下列全部条件：</w:t>
      </w:r>
    </w:p>
    <w:p>
      <w:pPr>
        <w:pStyle w:val="ListParagraph"/>
        <w:numPr>
          <w:ilvl w:val="0"/>
          <w:numId w:val="35"/>
        </w:numPr>
        <w:tabs>
          <w:tab w:pos="748" w:val="left" w:leader="none"/>
        </w:tabs>
        <w:spacing w:line="240" w:lineRule="auto" w:before="39" w:after="0"/>
        <w:ind w:left="747" w:right="0" w:hanging="631"/>
        <w:jc w:val="left"/>
        <w:rPr>
          <w:sz w:val="21"/>
        </w:rPr>
      </w:pPr>
      <w:r>
        <w:rPr>
          <w:sz w:val="21"/>
        </w:rPr>
        <w:t>实验室检查证实埃博拉病毒的存在；</w:t>
      </w:r>
    </w:p>
    <w:p>
      <w:pPr>
        <w:pStyle w:val="ListParagraph"/>
        <w:numPr>
          <w:ilvl w:val="0"/>
          <w:numId w:val="35"/>
        </w:numPr>
        <w:tabs>
          <w:tab w:pos="748" w:val="left" w:leader="none"/>
        </w:tabs>
        <w:spacing w:line="240" w:lineRule="auto" w:before="40" w:after="0"/>
        <w:ind w:left="747" w:right="0" w:hanging="631"/>
        <w:jc w:val="left"/>
        <w:rPr>
          <w:sz w:val="21"/>
        </w:rPr>
      </w:pPr>
      <w:r>
        <w:rPr>
          <w:spacing w:val="-6"/>
          <w:sz w:val="21"/>
        </w:rPr>
        <w:t>从发病开始有超过 </w:t>
      </w:r>
      <w:r>
        <w:rPr>
          <w:sz w:val="21"/>
        </w:rPr>
        <w:t>30</w:t>
      </w:r>
      <w:r>
        <w:rPr>
          <w:spacing w:val="-7"/>
          <w:sz w:val="21"/>
        </w:rPr>
        <w:t> 天的进行性感染症状。</w:t>
      </w:r>
    </w:p>
    <w:p>
      <w:pPr>
        <w:spacing w:after="0" w:line="240" w:lineRule="auto"/>
        <w:jc w:val="left"/>
        <w:rPr>
          <w:sz w:val="21"/>
        </w:rPr>
        <w:sectPr>
          <w:type w:val="continuous"/>
          <w:pgSz w:w="11910" w:h="16850"/>
          <w:pgMar w:top="540" w:bottom="1140" w:left="980" w:right="640"/>
          <w:cols w:num="2" w:equalWidth="0">
            <w:col w:w="2430" w:space="108"/>
            <w:col w:w="7752"/>
          </w:cols>
        </w:sectPr>
      </w:pPr>
    </w:p>
    <w:p>
      <w:pPr>
        <w:pStyle w:val="BodyText"/>
        <w:spacing w:before="6"/>
        <w:rPr>
          <w:sz w:val="24"/>
        </w:rPr>
      </w:pPr>
    </w:p>
    <w:p>
      <w:pPr>
        <w:spacing w:after="0"/>
        <w:rPr>
          <w:sz w:val="24"/>
        </w:rPr>
        <w:sectPr>
          <w:type w:val="continuous"/>
          <w:pgSz w:w="11910" w:h="16850"/>
          <w:pgMar w:top="540" w:bottom="1140" w:left="980" w:right="640"/>
        </w:sectPr>
      </w:pPr>
    </w:p>
    <w:p>
      <w:pPr>
        <w:pStyle w:val="Heading3"/>
        <w:numPr>
          <w:ilvl w:val="2"/>
          <w:numId w:val="31"/>
        </w:numPr>
        <w:tabs>
          <w:tab w:pos="1137" w:val="left" w:leader="none"/>
          <w:tab w:pos="1138" w:val="left" w:leader="none"/>
        </w:tabs>
        <w:spacing w:line="261" w:lineRule="auto" w:before="35" w:after="0"/>
        <w:ind w:left="1137" w:right="0" w:hanging="1021"/>
        <w:jc w:val="left"/>
      </w:pPr>
      <w:r>
        <w:rPr>
          <w:spacing w:val="2"/>
          <w:w w:val="95"/>
        </w:rPr>
        <w:t>丝虫病所致象皮肿</w:t>
      </w:r>
    </w:p>
    <w:p>
      <w:pPr>
        <w:pStyle w:val="BodyText"/>
        <w:spacing w:line="268" w:lineRule="auto" w:before="35"/>
        <w:ind w:left="116" w:right="265"/>
        <w:jc w:val="both"/>
      </w:pPr>
      <w:r>
        <w:rPr/>
        <w:br w:type="column"/>
      </w:r>
      <w:r>
        <w:rPr/>
        <w:t>指末期丝虫病，按国际淋巴学会分级为三度淋巴液肿，其临床表现为肢体非凹陷性水肿伴畸形增大、硬皮症和疣状增生。此病症须经本公司认可的专科医生根据临床表现和微丝蚴的化验结果确诊。</w:t>
      </w:r>
    </w:p>
    <w:p>
      <w:pPr>
        <w:spacing w:after="0" w:line="268" w:lineRule="auto"/>
        <w:jc w:val="both"/>
        <w:sectPr>
          <w:type w:val="continuous"/>
          <w:pgSz w:w="11910" w:h="16850"/>
          <w:pgMar w:top="540" w:bottom="1140" w:left="980" w:right="640"/>
          <w:cols w:num="2" w:equalWidth="0">
            <w:col w:w="2430" w:space="108"/>
            <w:col w:w="7752"/>
          </w:cols>
        </w:sectPr>
      </w:pPr>
    </w:p>
    <w:p>
      <w:pPr>
        <w:pStyle w:val="BodyText"/>
        <w:spacing w:before="7"/>
        <w:rPr>
          <w:sz w:val="22"/>
        </w:rPr>
      </w:pPr>
    </w:p>
    <w:p>
      <w:pPr>
        <w:spacing w:after="0"/>
        <w:rPr>
          <w:sz w:val="22"/>
        </w:rPr>
        <w:sectPr>
          <w:type w:val="continuous"/>
          <w:pgSz w:w="11910" w:h="16850"/>
          <w:pgMar w:top="540" w:bottom="1140" w:left="980" w:right="640"/>
        </w:sectPr>
      </w:pPr>
    </w:p>
    <w:p>
      <w:pPr>
        <w:pStyle w:val="Heading3"/>
        <w:numPr>
          <w:ilvl w:val="2"/>
          <w:numId w:val="31"/>
        </w:numPr>
        <w:tabs>
          <w:tab w:pos="1137" w:val="left" w:leader="none"/>
          <w:tab w:pos="1138" w:val="left" w:leader="none"/>
        </w:tabs>
        <w:spacing w:line="276" w:lineRule="auto" w:before="35" w:after="0"/>
        <w:ind w:left="1137" w:right="0" w:hanging="1021"/>
        <w:jc w:val="left"/>
      </w:pPr>
      <w:r>
        <w:rPr>
          <w:spacing w:val="2"/>
          <w:w w:val="95"/>
        </w:rPr>
        <w:t>主动脉夹层血</w:t>
      </w:r>
      <w:r>
        <w:rPr>
          <w:spacing w:val="2"/>
        </w:rPr>
        <w:t>肿</w:t>
      </w:r>
    </w:p>
    <w:p>
      <w:pPr>
        <w:pStyle w:val="BodyText"/>
        <w:spacing w:line="268" w:lineRule="auto" w:before="35"/>
        <w:ind w:left="116" w:right="229"/>
        <w:jc w:val="both"/>
      </w:pPr>
      <w:r>
        <w:rPr/>
        <w:br w:type="column"/>
      </w:r>
      <w:r>
        <w:rPr/>
        <w:t>是指主动脉壁在受到某些病理因素的破坏后，高速、高压的主动脉血流将其内膜</w:t>
      </w:r>
      <w:r>
        <w:rPr>
          <w:spacing w:val="-1"/>
        </w:rPr>
        <w:t>撕裂，以致主动脉腔内的血流通过主动脉内膜的破裂口进入主动脉内壁而形成血</w:t>
      </w:r>
      <w:r>
        <w:rPr>
          <w:spacing w:val="-9"/>
        </w:rPr>
        <w:t>肿。被保险人需通过 </w:t>
      </w:r>
      <w:r>
        <w:rPr/>
        <w:t>X</w:t>
      </w:r>
      <w:r>
        <w:rPr>
          <w:spacing w:val="-11"/>
        </w:rPr>
        <w:t> 线断层扫描</w:t>
      </w:r>
      <w:r>
        <w:rPr>
          <w:spacing w:val="-1"/>
        </w:rPr>
        <w:t>（</w:t>
      </w:r>
      <w:r>
        <w:rPr/>
        <w:t>CT</w:t>
      </w:r>
      <w:r>
        <w:rPr>
          <w:spacing w:val="-105"/>
        </w:rPr>
        <w:t>）</w:t>
      </w:r>
      <w:r>
        <w:rPr>
          <w:spacing w:val="-6"/>
        </w:rPr>
        <w:t>、磁共振扫描</w:t>
      </w:r>
      <w:r>
        <w:rPr/>
        <w:t>（MRI</w:t>
      </w:r>
      <w:r>
        <w:rPr>
          <w:spacing w:val="-105"/>
        </w:rPr>
        <w:t>）</w:t>
      </w:r>
      <w:r>
        <w:rPr>
          <w:spacing w:val="-4"/>
        </w:rPr>
        <w:t>、磁共振血管检验法</w:t>
      </w:r>
    </w:p>
    <w:p>
      <w:pPr>
        <w:pStyle w:val="BodyText"/>
        <w:spacing w:before="15"/>
        <w:ind w:left="116"/>
        <w:jc w:val="both"/>
      </w:pPr>
      <w:r>
        <w:rPr/>
        <w:t>（MRA）或血管扫描等检查，并且实施了胸腹切开的主动脉内血管成形术。</w:t>
      </w:r>
    </w:p>
    <w:p>
      <w:pPr>
        <w:spacing w:after="0"/>
        <w:jc w:val="both"/>
        <w:sectPr>
          <w:type w:val="continuous"/>
          <w:pgSz w:w="11910" w:h="16850"/>
          <w:pgMar w:top="540" w:bottom="1140" w:left="980" w:right="640"/>
          <w:cols w:num="2" w:equalWidth="0">
            <w:col w:w="2430" w:space="108"/>
            <w:col w:w="7752"/>
          </w:cols>
        </w:sectPr>
      </w:pPr>
    </w:p>
    <w:p>
      <w:pPr>
        <w:pStyle w:val="BodyText"/>
        <w:spacing w:before="5"/>
        <w:rPr>
          <w:sz w:val="24"/>
        </w:rPr>
      </w:pPr>
    </w:p>
    <w:p>
      <w:pPr>
        <w:pStyle w:val="ListParagraph"/>
        <w:numPr>
          <w:ilvl w:val="2"/>
          <w:numId w:val="31"/>
        </w:numPr>
        <w:tabs>
          <w:tab w:pos="1137" w:val="left" w:leader="none"/>
          <w:tab w:pos="1138" w:val="left" w:leader="none"/>
          <w:tab w:pos="2654" w:val="left" w:leader="none"/>
        </w:tabs>
        <w:spacing w:line="240" w:lineRule="auto" w:before="36" w:after="0"/>
        <w:ind w:left="2654" w:right="0" w:hanging="2538"/>
        <w:jc w:val="left"/>
        <w:rPr>
          <w:sz w:val="21"/>
        </w:rPr>
      </w:pPr>
      <w:r>
        <w:rPr>
          <w:rFonts w:ascii="楷体" w:eastAsia="楷体" w:hint="eastAsia"/>
          <w:b/>
          <w:sz w:val="21"/>
        </w:rPr>
        <w:t>疯牛病</w:t>
        <w:tab/>
      </w:r>
      <w:r>
        <w:rPr>
          <w:spacing w:val="-1"/>
          <w:sz w:val="21"/>
        </w:rPr>
        <w:t>神</w:t>
      </w:r>
      <w:r>
        <w:rPr>
          <w:sz w:val="21"/>
        </w:rPr>
        <w:t>经系统疾病及致命的成胶质状脑病，并有以</w:t>
      </w:r>
      <w:r>
        <w:rPr>
          <w:spacing w:val="-5"/>
          <w:sz w:val="21"/>
        </w:rPr>
        <w:t>下</w:t>
      </w:r>
      <w:r>
        <w:rPr>
          <w:sz w:val="21"/>
        </w:rPr>
        <w:t>全部症状：</w:t>
      </w:r>
    </w:p>
    <w:p>
      <w:pPr>
        <w:pStyle w:val="ListParagraph"/>
        <w:numPr>
          <w:ilvl w:val="0"/>
          <w:numId w:val="36"/>
        </w:numPr>
        <w:tabs>
          <w:tab w:pos="3286" w:val="left" w:leader="none"/>
        </w:tabs>
        <w:spacing w:line="240" w:lineRule="auto" w:before="40" w:after="0"/>
        <w:ind w:left="3285" w:right="0" w:hanging="631"/>
        <w:jc w:val="left"/>
        <w:rPr>
          <w:sz w:val="21"/>
        </w:rPr>
      </w:pPr>
      <w:r>
        <w:rPr>
          <w:sz w:val="21"/>
        </w:rPr>
        <w:t>不能控制的肌肉痉挛及震颤；</w:t>
      </w:r>
    </w:p>
    <w:p>
      <w:pPr>
        <w:pStyle w:val="ListParagraph"/>
        <w:numPr>
          <w:ilvl w:val="0"/>
          <w:numId w:val="36"/>
        </w:numPr>
        <w:tabs>
          <w:tab w:pos="3286" w:val="left" w:leader="none"/>
        </w:tabs>
        <w:spacing w:line="240" w:lineRule="auto" w:before="25" w:after="0"/>
        <w:ind w:left="3285" w:right="0" w:hanging="631"/>
        <w:jc w:val="left"/>
        <w:rPr>
          <w:sz w:val="21"/>
        </w:rPr>
      </w:pPr>
      <w:r>
        <w:rPr>
          <w:sz w:val="21"/>
        </w:rPr>
        <w:t>逐渐痴呆；</w:t>
      </w:r>
    </w:p>
    <w:p>
      <w:pPr>
        <w:pStyle w:val="ListParagraph"/>
        <w:numPr>
          <w:ilvl w:val="0"/>
          <w:numId w:val="36"/>
        </w:numPr>
        <w:tabs>
          <w:tab w:pos="3286" w:val="left" w:leader="none"/>
        </w:tabs>
        <w:spacing w:line="240" w:lineRule="auto" w:before="40" w:after="0"/>
        <w:ind w:left="3285" w:right="0" w:hanging="631"/>
        <w:jc w:val="left"/>
        <w:rPr>
          <w:sz w:val="21"/>
        </w:rPr>
      </w:pPr>
      <w:r>
        <w:rPr>
          <w:sz w:val="21"/>
        </w:rPr>
        <w:t>小脑功能不良，共济失调；</w:t>
      </w:r>
    </w:p>
    <w:p>
      <w:pPr>
        <w:pStyle w:val="ListParagraph"/>
        <w:numPr>
          <w:ilvl w:val="0"/>
          <w:numId w:val="36"/>
        </w:numPr>
        <w:tabs>
          <w:tab w:pos="3286" w:val="left" w:leader="none"/>
        </w:tabs>
        <w:spacing w:line="240" w:lineRule="auto" w:before="40" w:after="0"/>
        <w:ind w:left="3285" w:right="0" w:hanging="631"/>
        <w:jc w:val="left"/>
        <w:rPr>
          <w:sz w:val="21"/>
        </w:rPr>
      </w:pPr>
      <w:r>
        <w:rPr>
          <w:spacing w:val="-1"/>
          <w:sz w:val="21"/>
        </w:rPr>
        <w:t>手足徐动症。</w:t>
      </w:r>
    </w:p>
    <w:p>
      <w:pPr>
        <w:pStyle w:val="BodyText"/>
        <w:spacing w:line="276" w:lineRule="auto"/>
        <w:ind w:left="2654" w:right="265"/>
      </w:pPr>
      <w:r>
        <w:rPr/>
        <w:t>诊断必须由神经科专科医生基于以下检查报告作出：脑电图、脑脊液报告、电脑断层扫描(CT)及核磁共振(MRI)。</w:t>
      </w:r>
    </w:p>
    <w:p>
      <w:pPr>
        <w:pStyle w:val="BodyText"/>
        <w:spacing w:before="12"/>
        <w:rPr>
          <w:sz w:val="20"/>
        </w:rPr>
      </w:pPr>
    </w:p>
    <w:p>
      <w:pPr>
        <w:spacing w:after="0"/>
        <w:rPr>
          <w:sz w:val="20"/>
        </w:rPr>
        <w:sectPr>
          <w:type w:val="continuous"/>
          <w:pgSz w:w="11910" w:h="16850"/>
          <w:pgMar w:top="540" w:bottom="1140" w:left="980" w:right="640"/>
        </w:sectPr>
      </w:pPr>
    </w:p>
    <w:p>
      <w:pPr>
        <w:pStyle w:val="Heading3"/>
        <w:numPr>
          <w:ilvl w:val="2"/>
          <w:numId w:val="31"/>
        </w:numPr>
        <w:tabs>
          <w:tab w:pos="1137" w:val="left" w:leader="none"/>
          <w:tab w:pos="1138" w:val="left" w:leader="none"/>
        </w:tabs>
        <w:spacing w:line="240" w:lineRule="auto" w:before="35" w:after="0"/>
        <w:ind w:left="2654" w:right="0" w:hanging="2538"/>
        <w:jc w:val="left"/>
      </w:pPr>
      <w:r>
        <w:rPr>
          <w:spacing w:val="2"/>
          <w:w w:val="95"/>
        </w:rPr>
        <w:t>破裂脑动脉瘤</w:t>
      </w:r>
    </w:p>
    <w:p>
      <w:pPr>
        <w:spacing w:before="40"/>
        <w:ind w:left="1137" w:right="0" w:firstLine="0"/>
        <w:jc w:val="left"/>
        <w:rPr>
          <w:rFonts w:ascii="楷体" w:eastAsia="楷体" w:hint="eastAsia"/>
          <w:b/>
          <w:sz w:val="21"/>
        </w:rPr>
      </w:pPr>
      <w:r>
        <w:rPr>
          <w:rFonts w:ascii="楷体" w:eastAsia="楷体" w:hint="eastAsia"/>
          <w:b/>
          <w:w w:val="95"/>
          <w:sz w:val="21"/>
        </w:rPr>
        <w:t>夹闭手术</w:t>
      </w:r>
    </w:p>
    <w:p>
      <w:pPr>
        <w:pStyle w:val="BodyText"/>
        <w:spacing w:line="276" w:lineRule="auto" w:before="35"/>
        <w:ind w:left="116" w:right="265"/>
      </w:pPr>
      <w:r>
        <w:rPr/>
        <w:br w:type="column"/>
      </w:r>
      <w:r>
        <w:rPr/>
        <w:t>指因脑动脉瘤破裂造成蛛网膜下腔出血，被保险人实际接受了在全麻下进行的开颅动脉夹闭手术</w:t>
      </w:r>
    </w:p>
    <w:p>
      <w:pPr>
        <w:pStyle w:val="Heading2"/>
        <w:spacing w:line="264" w:lineRule="auto"/>
        <w:ind w:right="236"/>
      </w:pPr>
      <w:r>
        <w:rPr>
          <w:w w:val="95"/>
        </w:rPr>
        <w:t>脑动脉瘤（未破裂）预防性手术、颅骨打孔手术、动脉瘤栓塞手术、血管内手术及其他颅脑手术不在本保障范围内。</w:t>
      </w:r>
    </w:p>
    <w:p>
      <w:pPr>
        <w:spacing w:after="0" w:line="264" w:lineRule="auto"/>
        <w:sectPr>
          <w:type w:val="continuous"/>
          <w:pgSz w:w="11910" w:h="16850"/>
          <w:pgMar w:top="540" w:bottom="1140" w:left="980" w:right="640"/>
          <w:cols w:num="2" w:equalWidth="0">
            <w:col w:w="2430" w:space="108"/>
            <w:col w:w="7752"/>
          </w:cols>
        </w:sectPr>
      </w:pPr>
    </w:p>
    <w:p>
      <w:pPr>
        <w:pStyle w:val="BodyText"/>
        <w:spacing w:before="10"/>
        <w:rPr>
          <w:b/>
          <w:i/>
        </w:rPr>
      </w:pPr>
    </w:p>
    <w:p>
      <w:pPr>
        <w:spacing w:after="0"/>
        <w:sectPr>
          <w:type w:val="continuous"/>
          <w:pgSz w:w="11910" w:h="16850"/>
          <w:pgMar w:top="540" w:bottom="1140" w:left="980" w:right="640"/>
        </w:sectPr>
      </w:pPr>
    </w:p>
    <w:p>
      <w:pPr>
        <w:pStyle w:val="Heading3"/>
        <w:numPr>
          <w:ilvl w:val="2"/>
          <w:numId w:val="31"/>
        </w:numPr>
        <w:tabs>
          <w:tab w:pos="1137" w:val="left" w:leader="none"/>
          <w:tab w:pos="1138" w:val="left" w:leader="none"/>
        </w:tabs>
        <w:spacing w:line="240" w:lineRule="auto" w:before="35" w:after="0"/>
        <w:ind w:left="2654" w:right="0" w:hanging="2538"/>
        <w:jc w:val="left"/>
      </w:pPr>
      <w:r>
        <w:rPr>
          <w:spacing w:val="2"/>
          <w:w w:val="95"/>
        </w:rPr>
        <w:t>经输血导致的</w:t>
      </w:r>
    </w:p>
    <w:p>
      <w:pPr>
        <w:spacing w:line="276" w:lineRule="auto" w:before="40"/>
        <w:ind w:left="1137" w:right="0" w:firstLine="0"/>
        <w:jc w:val="left"/>
        <w:rPr>
          <w:rFonts w:ascii="楷体" w:eastAsia="楷体" w:hint="eastAsia"/>
          <w:b/>
          <w:sz w:val="21"/>
        </w:rPr>
      </w:pPr>
      <w:r>
        <w:rPr>
          <w:rFonts w:ascii="楷体" w:eastAsia="楷体" w:hint="eastAsia"/>
          <w:b/>
          <w:w w:val="95"/>
          <w:sz w:val="21"/>
        </w:rPr>
        <w:t>人类免疫缺陷病毒感染</w:t>
      </w:r>
    </w:p>
    <w:p>
      <w:pPr>
        <w:pStyle w:val="BodyText"/>
        <w:spacing w:before="35"/>
        <w:ind w:left="116"/>
      </w:pPr>
      <w:r>
        <w:rPr/>
        <w:br w:type="column"/>
      </w:r>
      <w:r>
        <w:rPr/>
        <w:t>是指被保险人感染上人类免疫缺陷病毒并且符合下列所有条件：</w:t>
      </w:r>
    </w:p>
    <w:p>
      <w:pPr>
        <w:pStyle w:val="ListParagraph"/>
        <w:numPr>
          <w:ilvl w:val="0"/>
          <w:numId w:val="37"/>
        </w:numPr>
        <w:tabs>
          <w:tab w:pos="748" w:val="left" w:leader="none"/>
        </w:tabs>
        <w:spacing w:line="276" w:lineRule="auto" w:before="40" w:after="0"/>
        <w:ind w:left="116" w:right="266" w:firstLine="0"/>
        <w:jc w:val="left"/>
        <w:rPr>
          <w:sz w:val="21"/>
        </w:rPr>
      </w:pPr>
      <w:r>
        <w:rPr>
          <w:sz w:val="21"/>
        </w:rPr>
        <w:t>在保障起始日或复效日之后，被保险人因治疗必需而接受输血，并且因输血而感染人类免疫缺陷病毒；</w:t>
      </w:r>
    </w:p>
    <w:p>
      <w:pPr>
        <w:pStyle w:val="ListParagraph"/>
        <w:numPr>
          <w:ilvl w:val="0"/>
          <w:numId w:val="37"/>
        </w:numPr>
        <w:tabs>
          <w:tab w:pos="702" w:val="left" w:leader="none"/>
        </w:tabs>
        <w:spacing w:line="261" w:lineRule="auto" w:before="9" w:after="0"/>
        <w:ind w:left="116" w:right="101" w:firstLine="0"/>
        <w:jc w:val="left"/>
        <w:rPr>
          <w:sz w:val="21"/>
        </w:rPr>
      </w:pPr>
      <w:r>
        <w:rPr>
          <w:sz w:val="21"/>
        </w:rPr>
        <w:t>提供输血治疗的输血中心或医院出具该项输血感染属医疗责任事故的报告， </w:t>
      </w:r>
      <w:r>
        <w:rPr>
          <w:spacing w:val="-1"/>
          <w:sz w:val="21"/>
        </w:rPr>
        <w:t>或者法院终审裁定为医疗责任并且不准上诉；</w:t>
      </w:r>
    </w:p>
    <w:p>
      <w:pPr>
        <w:pStyle w:val="ListParagraph"/>
        <w:numPr>
          <w:ilvl w:val="0"/>
          <w:numId w:val="37"/>
        </w:numPr>
        <w:tabs>
          <w:tab w:pos="748" w:val="left" w:leader="none"/>
        </w:tabs>
        <w:spacing w:line="240" w:lineRule="auto" w:before="21" w:after="0"/>
        <w:ind w:left="116" w:right="0" w:firstLine="0"/>
        <w:jc w:val="left"/>
        <w:rPr>
          <w:sz w:val="21"/>
        </w:rPr>
      </w:pPr>
      <w:r>
        <w:rPr>
          <w:sz w:val="21"/>
        </w:rPr>
        <w:t>提供输血治疗的输血中心或医院必须拥有合法经营执照；</w:t>
      </w:r>
    </w:p>
    <w:p>
      <w:pPr>
        <w:pStyle w:val="ListParagraph"/>
        <w:numPr>
          <w:ilvl w:val="0"/>
          <w:numId w:val="37"/>
        </w:numPr>
        <w:tabs>
          <w:tab w:pos="748" w:val="left" w:leader="none"/>
        </w:tabs>
        <w:spacing w:line="240" w:lineRule="auto" w:before="39" w:after="0"/>
        <w:ind w:left="116" w:right="0" w:firstLine="0"/>
        <w:jc w:val="left"/>
        <w:rPr>
          <w:sz w:val="21"/>
        </w:rPr>
      </w:pPr>
      <w:r>
        <w:rPr>
          <w:sz w:val="21"/>
        </w:rPr>
        <w:t>受感染的被保险人不是血友病患者。</w:t>
      </w:r>
    </w:p>
    <w:p>
      <w:pPr>
        <w:pStyle w:val="Heading2"/>
        <w:spacing w:line="261" w:lineRule="auto" w:before="28"/>
        <w:ind w:right="236"/>
      </w:pPr>
      <w:r>
        <w:rPr>
          <w:w w:val="95"/>
        </w:rPr>
        <w:t>在任何治愈艾滋病或阻止人类免疫缺陷病毒病毒作用的疗法被发现以后，或能防止艾滋病发生的医疗方法被研究出来以后，本保障将不再予以赔付。</w:t>
      </w:r>
    </w:p>
    <w:p>
      <w:pPr>
        <w:spacing w:line="261" w:lineRule="auto" w:before="0"/>
        <w:ind w:left="116" w:right="236" w:firstLine="0"/>
        <w:jc w:val="left"/>
        <w:rPr>
          <w:b/>
          <w:i/>
          <w:sz w:val="22"/>
        </w:rPr>
      </w:pPr>
      <w:r>
        <w:rPr>
          <w:b/>
          <w:i/>
          <w:w w:val="95"/>
          <w:sz w:val="22"/>
        </w:rPr>
        <w:t>任何因其他传播方式（包括：性传播或静脉注射毒品）导致的人类免疫缺陷病毒感染不在本保障范围内。</w:t>
      </w:r>
    </w:p>
    <w:p>
      <w:pPr>
        <w:pStyle w:val="BodyText"/>
        <w:spacing w:line="276" w:lineRule="auto" w:before="27"/>
        <w:ind w:left="116" w:right="265"/>
      </w:pPr>
      <w:r>
        <w:rPr/>
        <w:t>我们拥有获得使用被保险人的血液样本的权利和能够对这些样本进行独立检验的权利。</w:t>
      </w:r>
    </w:p>
    <w:p>
      <w:pPr>
        <w:spacing w:after="0" w:line="276" w:lineRule="auto"/>
        <w:sectPr>
          <w:type w:val="continuous"/>
          <w:pgSz w:w="11910" w:h="16850"/>
          <w:pgMar w:top="540" w:bottom="1140" w:left="980" w:right="640"/>
          <w:cols w:num="2" w:equalWidth="0">
            <w:col w:w="2430" w:space="108"/>
            <w:col w:w="7752"/>
          </w:cols>
        </w:sectPr>
      </w:pPr>
    </w:p>
    <w:p>
      <w:pPr>
        <w:pStyle w:val="BodyText"/>
        <w:spacing w:before="12"/>
        <w:rPr>
          <w:sz w:val="20"/>
        </w:rPr>
      </w:pPr>
    </w:p>
    <w:p>
      <w:pPr>
        <w:spacing w:after="0"/>
        <w:rPr>
          <w:sz w:val="20"/>
        </w:rPr>
        <w:sectPr>
          <w:type w:val="continuous"/>
          <w:pgSz w:w="11910" w:h="16850"/>
          <w:pgMar w:top="540" w:bottom="1140" w:left="980" w:right="640"/>
        </w:sectPr>
      </w:pPr>
    </w:p>
    <w:p>
      <w:pPr>
        <w:pStyle w:val="Heading3"/>
        <w:numPr>
          <w:ilvl w:val="2"/>
          <w:numId w:val="31"/>
        </w:numPr>
        <w:tabs>
          <w:tab w:pos="1137" w:val="left" w:leader="none"/>
          <w:tab w:pos="1138" w:val="left" w:leader="none"/>
        </w:tabs>
        <w:spacing w:line="240" w:lineRule="auto" w:before="35" w:after="0"/>
        <w:ind w:left="2654" w:right="0" w:hanging="2538"/>
        <w:jc w:val="left"/>
      </w:pPr>
      <w:r>
        <w:rPr>
          <w:spacing w:val="2"/>
          <w:w w:val="95"/>
        </w:rPr>
        <w:t>原发性硬化性</w:t>
      </w:r>
    </w:p>
    <w:p>
      <w:pPr>
        <w:spacing w:before="40"/>
        <w:ind w:left="1137" w:right="0" w:firstLine="0"/>
        <w:jc w:val="left"/>
        <w:rPr>
          <w:rFonts w:ascii="楷体" w:eastAsia="楷体" w:hint="eastAsia"/>
          <w:b/>
          <w:sz w:val="21"/>
        </w:rPr>
      </w:pPr>
      <w:r>
        <w:rPr>
          <w:rFonts w:ascii="楷体" w:eastAsia="楷体" w:hint="eastAsia"/>
          <w:b/>
          <w:w w:val="95"/>
          <w:sz w:val="21"/>
        </w:rPr>
        <w:t>胆管炎</w:t>
      </w:r>
    </w:p>
    <w:p>
      <w:pPr>
        <w:pStyle w:val="BodyText"/>
        <w:spacing w:line="276" w:lineRule="auto" w:before="35"/>
        <w:ind w:left="116" w:right="265"/>
      </w:pPr>
      <w:r>
        <w:rPr/>
        <w:br w:type="column"/>
      </w:r>
      <w:r>
        <w:rPr/>
        <w:t>指一种胆汁淤积综合征，其特征是肝内、肝外胆道因纤维化性炎症逐渐狭窄，并最终导致完全阻塞而发展为肝硬化。本病须经内镜逆行胰胆管造影等影像学检查</w:t>
      </w:r>
    </w:p>
    <w:p>
      <w:pPr>
        <w:spacing w:after="0" w:line="276" w:lineRule="auto"/>
        <w:sectPr>
          <w:type w:val="continuous"/>
          <w:pgSz w:w="11910" w:h="16850"/>
          <w:pgMar w:top="540" w:bottom="1140" w:left="980" w:right="640"/>
          <w:cols w:num="2" w:equalWidth="0">
            <w:col w:w="2430" w:space="108"/>
            <w:col w:w="7752"/>
          </w:cols>
        </w:sectPr>
      </w:pPr>
    </w:p>
    <w:p>
      <w:pPr>
        <w:pStyle w:val="BodyText"/>
        <w:spacing w:before="21"/>
        <w:ind w:left="2694"/>
      </w:pPr>
      <w:r>
        <w:rPr/>
        <w:t>证实，并须满足下列全部条件：</w:t>
      </w:r>
    </w:p>
    <w:p>
      <w:pPr>
        <w:pStyle w:val="ListParagraph"/>
        <w:numPr>
          <w:ilvl w:val="0"/>
          <w:numId w:val="38"/>
        </w:numPr>
        <w:tabs>
          <w:tab w:pos="3326" w:val="left" w:leader="none"/>
        </w:tabs>
        <w:spacing w:line="240" w:lineRule="auto" w:before="40" w:after="0"/>
        <w:ind w:left="3325" w:right="0" w:hanging="631"/>
        <w:jc w:val="left"/>
        <w:rPr>
          <w:sz w:val="21"/>
        </w:rPr>
      </w:pPr>
      <w:r>
        <w:rPr>
          <w:spacing w:val="-3"/>
          <w:sz w:val="21"/>
        </w:rPr>
        <w:t>总胆红素和直接胆红素同时升高，血清 </w:t>
      </w:r>
      <w:r>
        <w:rPr>
          <w:sz w:val="21"/>
        </w:rPr>
        <w:t>ALP&gt;200U/L；</w:t>
      </w:r>
    </w:p>
    <w:p>
      <w:pPr>
        <w:pStyle w:val="ListParagraph"/>
        <w:numPr>
          <w:ilvl w:val="0"/>
          <w:numId w:val="38"/>
        </w:numPr>
        <w:tabs>
          <w:tab w:pos="3326" w:val="left" w:leader="none"/>
        </w:tabs>
        <w:spacing w:line="240" w:lineRule="auto" w:before="40" w:after="0"/>
        <w:ind w:left="3325" w:right="0" w:hanging="631"/>
        <w:jc w:val="left"/>
        <w:rPr>
          <w:sz w:val="21"/>
        </w:rPr>
      </w:pPr>
      <w:r>
        <w:rPr>
          <w:sz w:val="21"/>
        </w:rPr>
        <w:t>持续性黄疸病史；</w:t>
      </w:r>
    </w:p>
    <w:p>
      <w:pPr>
        <w:pStyle w:val="ListParagraph"/>
        <w:numPr>
          <w:ilvl w:val="0"/>
          <w:numId w:val="38"/>
        </w:numPr>
        <w:tabs>
          <w:tab w:pos="3326" w:val="left" w:leader="none"/>
        </w:tabs>
        <w:spacing w:line="240" w:lineRule="auto" w:before="39" w:after="0"/>
        <w:ind w:left="3325" w:right="0" w:hanging="631"/>
        <w:jc w:val="left"/>
        <w:rPr>
          <w:sz w:val="21"/>
        </w:rPr>
      </w:pPr>
      <w:r>
        <w:rPr>
          <w:sz w:val="21"/>
        </w:rPr>
        <w:t>出现胆汁性肝硬化或门脉高压。</w:t>
      </w:r>
    </w:p>
    <w:p>
      <w:pPr>
        <w:pStyle w:val="Heading2"/>
        <w:spacing w:before="13"/>
        <w:ind w:left="2694"/>
      </w:pPr>
      <w:r>
        <w:rPr>
          <w:w w:val="95"/>
        </w:rPr>
        <w:t>因肿瘤或胆管损伤等继发性的硬化性胆管炎不在保障范围内。</w:t>
      </w:r>
    </w:p>
    <w:p>
      <w:pPr>
        <w:pStyle w:val="BodyText"/>
        <w:spacing w:before="4"/>
        <w:rPr>
          <w:b/>
          <w:i/>
          <w:sz w:val="24"/>
        </w:rPr>
      </w:pPr>
    </w:p>
    <w:p>
      <w:pPr>
        <w:spacing w:after="0"/>
        <w:rPr>
          <w:sz w:val="24"/>
        </w:rPr>
        <w:sectPr>
          <w:pgSz w:w="11910" w:h="16850"/>
          <w:pgMar w:header="0" w:footer="944" w:top="1200" w:bottom="1180" w:left="940" w:right="600"/>
        </w:sectPr>
      </w:pPr>
    </w:p>
    <w:p>
      <w:pPr>
        <w:pStyle w:val="Heading3"/>
        <w:numPr>
          <w:ilvl w:val="2"/>
          <w:numId w:val="31"/>
        </w:numPr>
        <w:tabs>
          <w:tab w:pos="1177" w:val="left" w:leader="none"/>
          <w:tab w:pos="1178" w:val="left" w:leader="none"/>
        </w:tabs>
        <w:spacing w:line="240" w:lineRule="auto" w:before="36" w:after="0"/>
        <w:ind w:left="1177" w:right="0" w:hanging="1021"/>
        <w:jc w:val="left"/>
      </w:pPr>
      <w:r>
        <w:rPr>
          <w:spacing w:val="2"/>
          <w:w w:val="95"/>
        </w:rPr>
        <w:t>特发性慢性肾</w:t>
      </w:r>
    </w:p>
    <w:p>
      <w:pPr>
        <w:spacing w:line="276" w:lineRule="auto" w:before="40"/>
        <w:ind w:left="1177" w:right="0" w:firstLine="0"/>
        <w:jc w:val="left"/>
        <w:rPr>
          <w:rFonts w:ascii="楷体" w:eastAsia="楷体" w:hint="eastAsia"/>
          <w:b/>
          <w:sz w:val="21"/>
        </w:rPr>
      </w:pPr>
      <w:r>
        <w:rPr>
          <w:rFonts w:ascii="楷体" w:eastAsia="楷体" w:hint="eastAsia"/>
          <w:b/>
          <w:w w:val="95"/>
          <w:sz w:val="21"/>
        </w:rPr>
        <w:t>上腺皮质功能减退</w:t>
      </w:r>
    </w:p>
    <w:p>
      <w:pPr>
        <w:pStyle w:val="BodyText"/>
        <w:spacing w:line="276" w:lineRule="auto" w:before="36"/>
        <w:ind w:left="156" w:right="305"/>
        <w:jc w:val="both"/>
      </w:pPr>
      <w:r>
        <w:rPr/>
        <w:br w:type="column"/>
      </w:r>
      <w:r>
        <w:rPr/>
        <w:t>因为自身免疫功能紊乱，使肾上腺组织逐渐受损，而需要长期接受糖皮质激素及肾上腺皮质激素替代疗法。该病必须经内分泌专科医生确诊，并有以下报告作为证据：</w:t>
      </w:r>
    </w:p>
    <w:p>
      <w:pPr>
        <w:pStyle w:val="ListParagraph"/>
        <w:numPr>
          <w:ilvl w:val="0"/>
          <w:numId w:val="39"/>
        </w:numPr>
        <w:tabs>
          <w:tab w:pos="788" w:val="left" w:leader="none"/>
        </w:tabs>
        <w:spacing w:line="268" w:lineRule="exact" w:before="0" w:after="0"/>
        <w:ind w:left="787" w:right="0" w:hanging="631"/>
        <w:jc w:val="both"/>
        <w:rPr>
          <w:sz w:val="21"/>
        </w:rPr>
      </w:pPr>
      <w:r>
        <w:rPr>
          <w:spacing w:val="-1"/>
          <w:sz w:val="21"/>
        </w:rPr>
        <w:t>促肾上腺皮质激素</w:t>
      </w:r>
      <w:r>
        <w:rPr>
          <w:sz w:val="21"/>
        </w:rPr>
        <w:t>(ACTH)刺激试验；</w:t>
      </w:r>
    </w:p>
    <w:p>
      <w:pPr>
        <w:pStyle w:val="ListParagraph"/>
        <w:numPr>
          <w:ilvl w:val="0"/>
          <w:numId w:val="39"/>
        </w:numPr>
        <w:tabs>
          <w:tab w:pos="788" w:val="left" w:leader="none"/>
        </w:tabs>
        <w:spacing w:line="240" w:lineRule="auto" w:before="40" w:after="0"/>
        <w:ind w:left="787" w:right="0" w:hanging="631"/>
        <w:jc w:val="both"/>
        <w:rPr>
          <w:sz w:val="21"/>
        </w:rPr>
      </w:pPr>
      <w:r>
        <w:rPr>
          <w:sz w:val="21"/>
        </w:rPr>
        <w:t>胰岛素血糖减少测试；</w:t>
      </w:r>
    </w:p>
    <w:p>
      <w:pPr>
        <w:pStyle w:val="ListParagraph"/>
        <w:numPr>
          <w:ilvl w:val="0"/>
          <w:numId w:val="39"/>
        </w:numPr>
        <w:tabs>
          <w:tab w:pos="788" w:val="left" w:leader="none"/>
        </w:tabs>
        <w:spacing w:line="240" w:lineRule="auto" w:before="40" w:after="0"/>
        <w:ind w:left="787" w:right="0" w:hanging="631"/>
        <w:jc w:val="both"/>
        <w:rPr>
          <w:sz w:val="21"/>
        </w:rPr>
      </w:pPr>
      <w:r>
        <w:rPr>
          <w:spacing w:val="-1"/>
          <w:sz w:val="21"/>
        </w:rPr>
        <w:t>血浆促肾上腺皮质激素</w:t>
      </w:r>
      <w:r>
        <w:rPr>
          <w:sz w:val="21"/>
        </w:rPr>
        <w:t>(ACTH)水平测定；</w:t>
      </w:r>
    </w:p>
    <w:p>
      <w:pPr>
        <w:pStyle w:val="ListParagraph"/>
        <w:numPr>
          <w:ilvl w:val="0"/>
          <w:numId w:val="39"/>
        </w:numPr>
        <w:tabs>
          <w:tab w:pos="788" w:val="left" w:leader="none"/>
        </w:tabs>
        <w:spacing w:line="240" w:lineRule="auto" w:before="40" w:after="0"/>
        <w:ind w:left="787" w:right="0" w:hanging="631"/>
        <w:jc w:val="both"/>
        <w:rPr>
          <w:sz w:val="21"/>
        </w:rPr>
      </w:pPr>
      <w:r>
        <w:rPr>
          <w:spacing w:val="-1"/>
          <w:sz w:val="21"/>
        </w:rPr>
        <w:t>血浆肾素活性</w:t>
      </w:r>
      <w:r>
        <w:rPr>
          <w:sz w:val="21"/>
        </w:rPr>
        <w:t>(PRA)测定。</w:t>
      </w:r>
    </w:p>
    <w:p>
      <w:pPr>
        <w:pStyle w:val="Heading2"/>
        <w:spacing w:line="249" w:lineRule="auto" w:before="29"/>
        <w:ind w:left="156" w:right="278"/>
      </w:pPr>
      <w:r>
        <w:rPr>
          <w:w w:val="95"/>
        </w:rPr>
        <w:t>慢性肾上腺皮质功能减退只对由自身免疫功能紊乱引起的承担保险责任，其他原因引起的除外。</w:t>
      </w:r>
    </w:p>
    <w:p>
      <w:pPr>
        <w:spacing w:after="0" w:line="249" w:lineRule="auto"/>
        <w:sectPr>
          <w:type w:val="continuous"/>
          <w:pgSz w:w="11910" w:h="16850"/>
          <w:pgMar w:top="540" w:bottom="1140" w:left="940" w:right="600"/>
          <w:cols w:num="2" w:equalWidth="0">
            <w:col w:w="2470" w:space="68"/>
            <w:col w:w="7832"/>
          </w:cols>
        </w:sectPr>
      </w:pPr>
    </w:p>
    <w:p>
      <w:pPr>
        <w:pStyle w:val="BodyText"/>
        <w:spacing w:before="9"/>
        <w:rPr>
          <w:b/>
          <w:i/>
          <w:sz w:val="23"/>
        </w:rPr>
      </w:pPr>
    </w:p>
    <w:p>
      <w:pPr>
        <w:spacing w:after="0"/>
        <w:rPr>
          <w:sz w:val="23"/>
        </w:rPr>
        <w:sectPr>
          <w:type w:val="continuous"/>
          <w:pgSz w:w="11910" w:h="16850"/>
          <w:pgMar w:top="540" w:bottom="1140" w:left="940" w:right="600"/>
        </w:sectPr>
      </w:pPr>
    </w:p>
    <w:p>
      <w:pPr>
        <w:pStyle w:val="Heading3"/>
        <w:numPr>
          <w:ilvl w:val="2"/>
          <w:numId w:val="31"/>
        </w:numPr>
        <w:tabs>
          <w:tab w:pos="1177" w:val="left" w:leader="none"/>
          <w:tab w:pos="1178" w:val="left" w:leader="none"/>
        </w:tabs>
        <w:spacing w:line="240" w:lineRule="auto" w:before="35" w:after="0"/>
        <w:ind w:left="1177" w:right="0" w:hanging="1021"/>
        <w:jc w:val="left"/>
      </w:pPr>
      <w:r>
        <w:rPr>
          <w:spacing w:val="2"/>
          <w:w w:val="95"/>
        </w:rPr>
        <w:t>系统性红斑狼</w:t>
      </w:r>
    </w:p>
    <w:p>
      <w:pPr>
        <w:spacing w:before="40"/>
        <w:ind w:left="1177" w:right="0" w:firstLine="0"/>
        <w:jc w:val="left"/>
        <w:rPr>
          <w:rFonts w:ascii="楷体" w:eastAsia="楷体" w:hint="eastAsia"/>
          <w:b/>
          <w:sz w:val="21"/>
        </w:rPr>
      </w:pPr>
      <w:r>
        <w:rPr>
          <w:rFonts w:ascii="楷体" w:eastAsia="楷体" w:hint="eastAsia"/>
          <w:b/>
          <w:spacing w:val="-3"/>
          <w:sz w:val="21"/>
        </w:rPr>
        <w:t>疮 </w:t>
      </w:r>
      <w:r>
        <w:rPr>
          <w:rFonts w:ascii="楷体" w:eastAsia="楷体" w:hint="eastAsia"/>
          <w:b/>
          <w:sz w:val="21"/>
        </w:rPr>
        <w:t>－（并发）</w:t>
      </w:r>
    </w:p>
    <w:p>
      <w:pPr>
        <w:spacing w:line="261" w:lineRule="auto" w:before="40"/>
        <w:ind w:left="1177" w:right="74" w:firstLine="0"/>
        <w:jc w:val="left"/>
        <w:rPr>
          <w:rFonts w:ascii="楷体" w:eastAsia="楷体" w:hint="eastAsia"/>
          <w:b/>
          <w:sz w:val="21"/>
        </w:rPr>
      </w:pPr>
      <w:r>
        <w:rPr>
          <w:rFonts w:ascii="楷体" w:eastAsia="楷体" w:hint="eastAsia"/>
          <w:b/>
          <w:sz w:val="21"/>
        </w:rPr>
        <w:t>III 型或以上</w:t>
      </w:r>
      <w:r>
        <w:rPr>
          <w:rFonts w:ascii="楷体" w:eastAsia="楷体" w:hint="eastAsia"/>
          <w:b/>
          <w:w w:val="95"/>
          <w:sz w:val="21"/>
        </w:rPr>
        <w:t>狼疮性肾炎</w:t>
      </w:r>
    </w:p>
    <w:p>
      <w:pPr>
        <w:pStyle w:val="BodyText"/>
        <w:spacing w:line="276" w:lineRule="auto" w:before="35"/>
        <w:ind w:left="109" w:right="305"/>
      </w:pPr>
      <w:r>
        <w:rPr/>
        <w:br w:type="column"/>
      </w:r>
      <w:r>
        <w:rPr/>
        <w:t>系统性红斑狼疮是由多种因素引起，累及多系统的自身免疫性疾病。其特点是生成自身抗体对抗多种自身抗原。多见于育龄妇女。</w:t>
      </w:r>
    </w:p>
    <w:p>
      <w:pPr>
        <w:spacing w:line="256" w:lineRule="auto" w:before="0"/>
        <w:ind w:left="109" w:right="253" w:firstLine="0"/>
        <w:jc w:val="both"/>
        <w:rPr>
          <w:sz w:val="21"/>
        </w:rPr>
      </w:pPr>
      <w:r>
        <w:rPr>
          <w:spacing w:val="-3"/>
          <w:w w:val="95"/>
          <w:sz w:val="21"/>
        </w:rPr>
        <w:t>本保险合同所指的系统性红斑狼疮仅限于累及肾脏</w:t>
      </w:r>
      <w:r>
        <w:rPr>
          <w:spacing w:val="-5"/>
          <w:w w:val="95"/>
          <w:sz w:val="21"/>
        </w:rPr>
        <w:t>（</w:t>
      </w:r>
      <w:r>
        <w:rPr>
          <w:b/>
          <w:i/>
          <w:spacing w:val="-4"/>
          <w:w w:val="95"/>
          <w:sz w:val="22"/>
        </w:rPr>
        <w:t>经肾脏活检确认的，符合 </w:t>
      </w:r>
      <w:r>
        <w:rPr>
          <w:b/>
          <w:i/>
          <w:w w:val="95"/>
          <w:sz w:val="22"/>
        </w:rPr>
        <w:t>WHO </w:t>
      </w:r>
      <w:r>
        <w:rPr>
          <w:b/>
          <w:i/>
          <w:spacing w:val="-4"/>
          <w:w w:val="95"/>
          <w:sz w:val="22"/>
        </w:rPr>
        <w:t>诊断标准定义 </w:t>
      </w:r>
      <w:r>
        <w:rPr>
          <w:b/>
          <w:i/>
          <w:w w:val="95"/>
          <w:sz w:val="22"/>
        </w:rPr>
        <w:t>III</w:t>
      </w:r>
      <w:r>
        <w:rPr>
          <w:b/>
          <w:i/>
          <w:spacing w:val="-12"/>
          <w:w w:val="95"/>
          <w:sz w:val="22"/>
        </w:rPr>
        <w:t> 型至 </w:t>
      </w:r>
      <w:r>
        <w:rPr>
          <w:b/>
          <w:i/>
          <w:w w:val="95"/>
          <w:sz w:val="22"/>
        </w:rPr>
        <w:t>V</w:t>
      </w:r>
      <w:r>
        <w:rPr>
          <w:b/>
          <w:i/>
          <w:spacing w:val="5"/>
          <w:w w:val="95"/>
          <w:sz w:val="22"/>
        </w:rPr>
        <w:t> 型狼疮性肾炎</w:t>
      </w:r>
      <w:r>
        <w:rPr>
          <w:spacing w:val="-15"/>
          <w:w w:val="95"/>
          <w:sz w:val="21"/>
        </w:rPr>
        <w:t>）</w:t>
      </w:r>
      <w:r>
        <w:rPr>
          <w:spacing w:val="-4"/>
          <w:w w:val="95"/>
          <w:sz w:val="21"/>
        </w:rPr>
        <w:t>的系统性红斑狼疮。</w:t>
      </w:r>
      <w:r>
        <w:rPr>
          <w:b/>
          <w:i/>
          <w:w w:val="95"/>
          <w:sz w:val="22"/>
        </w:rPr>
        <w:t>其他类型的红斑性狼疮，如盘状狼疮、仅累及血液及关节的狼疮不在本保险合同保障范围內</w:t>
      </w:r>
      <w:r>
        <w:rPr>
          <w:w w:val="95"/>
          <w:sz w:val="21"/>
        </w:rPr>
        <w:t>。</w:t>
      </w:r>
    </w:p>
    <w:p>
      <w:pPr>
        <w:pStyle w:val="BodyText"/>
        <w:spacing w:line="276" w:lineRule="auto" w:before="27"/>
        <w:ind w:left="109" w:right="3884"/>
      </w:pPr>
      <w:r>
        <w:rPr/>
        <w:t>本病必须由免疫和风湿科专家医师确诊。世界卫生组织（WHO）狼疮性肾炎分型：</w:t>
      </w:r>
    </w:p>
    <w:p>
      <w:pPr>
        <w:pStyle w:val="ListParagraph"/>
        <w:numPr>
          <w:ilvl w:val="0"/>
          <w:numId w:val="40"/>
        </w:numPr>
        <w:tabs>
          <w:tab w:pos="320" w:val="left" w:leader="none"/>
        </w:tabs>
        <w:spacing w:line="240" w:lineRule="auto" w:before="8" w:after="0"/>
        <w:ind w:left="319" w:right="0" w:hanging="210"/>
        <w:jc w:val="both"/>
        <w:rPr>
          <w:sz w:val="21"/>
        </w:rPr>
      </w:pPr>
      <w:r>
        <w:rPr>
          <w:sz w:val="21"/>
        </w:rPr>
        <w:t>型（微小病变型）</w:t>
      </w:r>
      <w:r>
        <w:rPr>
          <w:spacing w:val="-1"/>
          <w:sz w:val="21"/>
        </w:rPr>
        <w:t> 镜下阴性，尿液正常</w:t>
      </w:r>
    </w:p>
    <w:p>
      <w:pPr>
        <w:pStyle w:val="ListParagraph"/>
        <w:numPr>
          <w:ilvl w:val="0"/>
          <w:numId w:val="40"/>
        </w:numPr>
        <w:tabs>
          <w:tab w:pos="425" w:val="left" w:leader="none"/>
        </w:tabs>
        <w:spacing w:line="240" w:lineRule="auto" w:before="25" w:after="0"/>
        <w:ind w:left="424" w:right="0" w:hanging="315"/>
        <w:jc w:val="both"/>
        <w:rPr>
          <w:sz w:val="21"/>
        </w:rPr>
      </w:pPr>
      <w:r>
        <w:rPr>
          <w:sz w:val="21"/>
        </w:rPr>
        <w:t>型（系膜病变型）</w:t>
      </w:r>
      <w:r>
        <w:rPr>
          <w:spacing w:val="-1"/>
          <w:sz w:val="21"/>
        </w:rPr>
        <w:t> 中度蛋白尿，偶有尿沉渣改变</w:t>
      </w:r>
    </w:p>
    <w:p>
      <w:pPr>
        <w:pStyle w:val="ListParagraph"/>
        <w:numPr>
          <w:ilvl w:val="0"/>
          <w:numId w:val="40"/>
        </w:numPr>
        <w:tabs>
          <w:tab w:pos="530" w:val="left" w:leader="none"/>
        </w:tabs>
        <w:spacing w:line="240" w:lineRule="auto" w:before="40" w:after="0"/>
        <w:ind w:left="529" w:right="0" w:hanging="420"/>
        <w:jc w:val="both"/>
        <w:rPr>
          <w:sz w:val="21"/>
        </w:rPr>
      </w:pPr>
      <w:r>
        <w:rPr>
          <w:sz w:val="21"/>
        </w:rPr>
        <w:t>型（局灶及节段增生型）</w:t>
      </w:r>
      <w:r>
        <w:rPr>
          <w:spacing w:val="-1"/>
          <w:sz w:val="21"/>
        </w:rPr>
        <w:t> 蛋白尿，尿沉渣改变</w:t>
      </w:r>
    </w:p>
    <w:p>
      <w:pPr>
        <w:pStyle w:val="ListParagraph"/>
        <w:numPr>
          <w:ilvl w:val="0"/>
          <w:numId w:val="40"/>
        </w:numPr>
        <w:tabs>
          <w:tab w:pos="425" w:val="left" w:leader="none"/>
        </w:tabs>
        <w:spacing w:line="240" w:lineRule="auto" w:before="40" w:after="0"/>
        <w:ind w:left="424" w:right="0" w:hanging="315"/>
        <w:jc w:val="both"/>
        <w:rPr>
          <w:sz w:val="21"/>
        </w:rPr>
      </w:pPr>
      <w:r>
        <w:rPr>
          <w:sz w:val="21"/>
        </w:rPr>
        <w:t>型（弥漫增生型）</w:t>
      </w:r>
      <w:r>
        <w:rPr>
          <w:spacing w:val="-1"/>
          <w:sz w:val="21"/>
        </w:rPr>
        <w:t> 急性肾炎伴有尿沉渣改变及／或肾病综合征</w:t>
      </w:r>
    </w:p>
    <w:p>
      <w:pPr>
        <w:pStyle w:val="ListParagraph"/>
        <w:numPr>
          <w:ilvl w:val="0"/>
          <w:numId w:val="40"/>
        </w:numPr>
        <w:tabs>
          <w:tab w:pos="320" w:val="left" w:leader="none"/>
        </w:tabs>
        <w:spacing w:line="240" w:lineRule="auto" w:before="39" w:after="0"/>
        <w:ind w:left="319" w:right="0" w:hanging="210"/>
        <w:jc w:val="both"/>
        <w:rPr>
          <w:sz w:val="21"/>
        </w:rPr>
      </w:pPr>
      <w:r>
        <w:rPr>
          <w:sz w:val="21"/>
        </w:rPr>
        <w:t>型（膜型）</w:t>
      </w:r>
      <w:r>
        <w:rPr>
          <w:spacing w:val="-1"/>
          <w:sz w:val="21"/>
        </w:rPr>
        <w:t> 肾病综合征或重度蛋白尿</w:t>
      </w:r>
    </w:p>
    <w:p>
      <w:pPr>
        <w:spacing w:after="0" w:line="240" w:lineRule="auto"/>
        <w:jc w:val="both"/>
        <w:rPr>
          <w:sz w:val="21"/>
        </w:rPr>
        <w:sectPr>
          <w:type w:val="continuous"/>
          <w:pgSz w:w="11910" w:h="16850"/>
          <w:pgMar w:top="540" w:bottom="1140" w:left="940" w:right="600"/>
          <w:cols w:num="2" w:equalWidth="0">
            <w:col w:w="2546" w:space="40"/>
            <w:col w:w="7784"/>
          </w:cols>
        </w:sectPr>
      </w:pPr>
    </w:p>
    <w:p>
      <w:pPr>
        <w:pStyle w:val="BodyText"/>
        <w:spacing w:before="4"/>
        <w:rPr>
          <w:sz w:val="23"/>
        </w:rPr>
      </w:pPr>
    </w:p>
    <w:p>
      <w:pPr>
        <w:spacing w:after="0"/>
        <w:rPr>
          <w:sz w:val="23"/>
        </w:rPr>
        <w:sectPr>
          <w:type w:val="continuous"/>
          <w:pgSz w:w="11910" w:h="16850"/>
          <w:pgMar w:top="540" w:bottom="1140" w:left="940" w:right="600"/>
        </w:sectPr>
      </w:pPr>
    </w:p>
    <w:p>
      <w:pPr>
        <w:pStyle w:val="Heading3"/>
        <w:numPr>
          <w:ilvl w:val="2"/>
          <w:numId w:val="31"/>
        </w:numPr>
        <w:tabs>
          <w:tab w:pos="1177" w:val="left" w:leader="none"/>
          <w:tab w:pos="1178" w:val="left" w:leader="none"/>
        </w:tabs>
        <w:spacing w:line="240" w:lineRule="auto" w:before="35" w:after="0"/>
        <w:ind w:left="1177" w:right="0" w:hanging="1021"/>
        <w:jc w:val="left"/>
      </w:pPr>
      <w:r>
        <w:rPr>
          <w:spacing w:val="2"/>
          <w:w w:val="95"/>
        </w:rPr>
        <w:t>严重类风湿性</w:t>
      </w:r>
    </w:p>
    <w:p>
      <w:pPr>
        <w:spacing w:before="40"/>
        <w:ind w:left="1177" w:right="0" w:firstLine="0"/>
        <w:jc w:val="left"/>
        <w:rPr>
          <w:rFonts w:ascii="楷体" w:eastAsia="楷体" w:hint="eastAsia"/>
          <w:b/>
          <w:sz w:val="21"/>
        </w:rPr>
      </w:pPr>
      <w:r>
        <w:rPr>
          <w:rFonts w:ascii="楷体" w:eastAsia="楷体" w:hint="eastAsia"/>
          <w:b/>
          <w:w w:val="95"/>
          <w:sz w:val="21"/>
        </w:rPr>
        <w:t>关节炎</w:t>
      </w:r>
    </w:p>
    <w:p>
      <w:pPr>
        <w:pStyle w:val="BodyText"/>
        <w:spacing w:line="276" w:lineRule="auto" w:before="35"/>
        <w:ind w:left="156" w:right="126"/>
      </w:pPr>
      <w:r>
        <w:rPr/>
        <w:br w:type="column"/>
      </w:r>
      <w:r>
        <w:rPr/>
        <w:t>类风湿性关节炎为广泛分布的慢性进行性多关节病变，表现为关节严重变形，侵犯至少三个主要关节或关节组（如：双手（</w:t>
      </w:r>
      <w:r>
        <w:rPr>
          <w:spacing w:val="-6"/>
        </w:rPr>
        <w:t>多手指</w:t>
      </w:r>
      <w:r>
        <w:rPr/>
        <w:t>）</w:t>
      </w:r>
      <w:r>
        <w:rPr>
          <w:spacing w:val="-4"/>
        </w:rPr>
        <w:t>关节、双足</w:t>
      </w:r>
      <w:r>
        <w:rPr/>
        <w:t>（多足趾）关节、</w:t>
      </w:r>
      <w:r>
        <w:rPr>
          <w:spacing w:val="-6"/>
        </w:rPr>
        <w:t>双腕关节、双膝关节和双髋关节</w:t>
      </w:r>
      <w:r>
        <w:rPr>
          <w:spacing w:val="-105"/>
        </w:rPr>
        <w:t>）</w:t>
      </w:r>
      <w:r>
        <w:rPr>
          <w:spacing w:val="-6"/>
        </w:rPr>
        <w:t>。类风湿性关节炎必须明确诊断并且已经达到类</w:t>
      </w:r>
      <w:r>
        <w:rPr>
          <w:spacing w:val="-10"/>
        </w:rPr>
        <w:t>风湿性关节炎功能分级 </w:t>
      </w:r>
      <w:r>
        <w:rPr/>
        <w:t>III 级以上的功能障碍（关节活动严重限制，不能完成大部分的日常工作和活动）并且满足下列全部条件：</w:t>
      </w:r>
    </w:p>
    <w:p>
      <w:pPr>
        <w:pStyle w:val="ListParagraph"/>
        <w:numPr>
          <w:ilvl w:val="0"/>
          <w:numId w:val="41"/>
        </w:numPr>
        <w:tabs>
          <w:tab w:pos="788" w:val="left" w:leader="none"/>
        </w:tabs>
        <w:spacing w:line="269" w:lineRule="exact" w:before="0" w:after="0"/>
        <w:ind w:left="787" w:right="0" w:hanging="631"/>
        <w:jc w:val="left"/>
        <w:rPr>
          <w:sz w:val="21"/>
        </w:rPr>
      </w:pPr>
      <w:r>
        <w:rPr>
          <w:sz w:val="21"/>
        </w:rPr>
        <w:t>晨僵；</w:t>
      </w:r>
    </w:p>
    <w:p>
      <w:pPr>
        <w:pStyle w:val="ListParagraph"/>
        <w:numPr>
          <w:ilvl w:val="0"/>
          <w:numId w:val="41"/>
        </w:numPr>
        <w:tabs>
          <w:tab w:pos="788" w:val="left" w:leader="none"/>
        </w:tabs>
        <w:spacing w:line="240" w:lineRule="auto" w:before="41" w:after="0"/>
        <w:ind w:left="787" w:right="0" w:hanging="631"/>
        <w:jc w:val="left"/>
        <w:rPr>
          <w:sz w:val="21"/>
        </w:rPr>
      </w:pPr>
      <w:r>
        <w:rPr>
          <w:sz w:val="21"/>
        </w:rPr>
        <w:t>对称性关节炎；</w:t>
      </w:r>
    </w:p>
    <w:p>
      <w:pPr>
        <w:pStyle w:val="ListParagraph"/>
        <w:numPr>
          <w:ilvl w:val="0"/>
          <w:numId w:val="41"/>
        </w:numPr>
        <w:tabs>
          <w:tab w:pos="788" w:val="left" w:leader="none"/>
        </w:tabs>
        <w:spacing w:line="240" w:lineRule="auto" w:before="40" w:after="0"/>
        <w:ind w:left="787" w:right="0" w:hanging="631"/>
        <w:jc w:val="left"/>
        <w:rPr>
          <w:sz w:val="21"/>
        </w:rPr>
      </w:pPr>
      <w:r>
        <w:rPr>
          <w:sz w:val="21"/>
        </w:rPr>
        <w:t>类风湿性皮下结节；</w:t>
      </w:r>
    </w:p>
    <w:p>
      <w:pPr>
        <w:pStyle w:val="ListParagraph"/>
        <w:numPr>
          <w:ilvl w:val="0"/>
          <w:numId w:val="41"/>
        </w:numPr>
        <w:tabs>
          <w:tab w:pos="788" w:val="left" w:leader="none"/>
        </w:tabs>
        <w:spacing w:line="240" w:lineRule="auto" w:before="40" w:after="0"/>
        <w:ind w:left="787" w:right="0" w:hanging="631"/>
        <w:jc w:val="left"/>
        <w:rPr>
          <w:sz w:val="21"/>
        </w:rPr>
      </w:pPr>
      <w:r>
        <w:rPr>
          <w:sz w:val="21"/>
        </w:rPr>
        <w:t>类风湿因子滴度升高。</w:t>
      </w:r>
    </w:p>
    <w:p>
      <w:pPr>
        <w:spacing w:after="0" w:line="240" w:lineRule="auto"/>
        <w:jc w:val="left"/>
        <w:rPr>
          <w:sz w:val="21"/>
        </w:rPr>
        <w:sectPr>
          <w:type w:val="continuous"/>
          <w:pgSz w:w="11910" w:h="16850"/>
          <w:pgMar w:top="540" w:bottom="1140" w:left="940" w:right="600"/>
          <w:cols w:num="2" w:equalWidth="0">
            <w:col w:w="2471" w:space="67"/>
            <w:col w:w="7832"/>
          </w:cols>
        </w:sectPr>
      </w:pPr>
    </w:p>
    <w:p>
      <w:pPr>
        <w:pStyle w:val="BodyText"/>
        <w:spacing w:before="0"/>
        <w:rPr>
          <w:sz w:val="20"/>
        </w:rPr>
      </w:pPr>
    </w:p>
    <w:p>
      <w:pPr>
        <w:pStyle w:val="BodyText"/>
        <w:spacing w:before="12"/>
        <w:rPr>
          <w:sz w:val="1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00"/>
        <w:gridCol w:w="7679"/>
      </w:tblGrid>
      <w:tr>
        <w:trPr>
          <w:trHeight w:val="262" w:hRule="atLeast"/>
        </w:trPr>
        <w:tc>
          <w:tcPr>
            <w:tcW w:w="875" w:type="dxa"/>
          </w:tcPr>
          <w:p>
            <w:pPr>
              <w:pStyle w:val="TableParagraph"/>
              <w:spacing w:line="210" w:lineRule="exact"/>
              <w:ind w:left="50"/>
              <w:rPr>
                <w:b/>
                <w:sz w:val="21"/>
              </w:rPr>
            </w:pPr>
            <w:r>
              <w:rPr>
                <w:b/>
                <w:sz w:val="21"/>
              </w:rPr>
              <w:t>9.6.37</w:t>
            </w:r>
          </w:p>
        </w:tc>
        <w:tc>
          <w:tcPr>
            <w:tcW w:w="1600" w:type="dxa"/>
          </w:tcPr>
          <w:p>
            <w:pPr>
              <w:pStyle w:val="TableParagraph"/>
              <w:spacing w:line="210" w:lineRule="exact"/>
              <w:ind w:left="195"/>
              <w:rPr>
                <w:rFonts w:ascii="楷体" w:eastAsia="楷体" w:hint="eastAsia"/>
                <w:b/>
                <w:sz w:val="21"/>
              </w:rPr>
            </w:pPr>
            <w:r>
              <w:rPr>
                <w:rFonts w:ascii="楷体" w:eastAsia="楷体" w:hint="eastAsia"/>
                <w:b/>
                <w:w w:val="95"/>
                <w:sz w:val="21"/>
              </w:rPr>
              <w:t>重症急性坏死</w:t>
            </w:r>
          </w:p>
        </w:tc>
        <w:tc>
          <w:tcPr>
            <w:tcW w:w="7679" w:type="dxa"/>
          </w:tcPr>
          <w:p>
            <w:pPr>
              <w:pStyle w:val="TableParagraph"/>
              <w:spacing w:line="210" w:lineRule="exact"/>
              <w:ind w:left="113"/>
              <w:rPr>
                <w:sz w:val="21"/>
              </w:rPr>
            </w:pPr>
            <w:r>
              <w:rPr>
                <w:sz w:val="21"/>
              </w:rPr>
              <w:t>坏死性筋膜炎的诊断须同时符合下列要求：</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性筋膜炎</w:t>
            </w:r>
          </w:p>
        </w:tc>
        <w:tc>
          <w:tcPr>
            <w:tcW w:w="7679" w:type="dxa"/>
          </w:tcPr>
          <w:p>
            <w:pPr>
              <w:pStyle w:val="TableParagraph"/>
              <w:spacing w:line="263" w:lineRule="exact"/>
              <w:ind w:left="113"/>
              <w:rPr>
                <w:sz w:val="21"/>
              </w:rPr>
            </w:pPr>
            <w:r>
              <w:rPr>
                <w:sz w:val="21"/>
              </w:rPr>
              <w:t>（1） 符合坏死性筋膜炎的一般临床表现；</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79" w:type="dxa"/>
          </w:tcPr>
          <w:p>
            <w:pPr>
              <w:pStyle w:val="TableParagraph"/>
              <w:spacing w:line="263" w:lineRule="exact"/>
              <w:ind w:left="113"/>
              <w:rPr>
                <w:sz w:val="21"/>
              </w:rPr>
            </w:pPr>
            <w:r>
              <w:rPr>
                <w:sz w:val="21"/>
              </w:rPr>
              <w:t>（2） 细菌培养检出致病菌；</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79" w:type="dxa"/>
          </w:tcPr>
          <w:p>
            <w:pPr>
              <w:pStyle w:val="TableParagraph"/>
              <w:spacing w:line="263" w:lineRule="exact"/>
              <w:ind w:left="113"/>
              <w:rPr>
                <w:sz w:val="21"/>
              </w:rPr>
            </w:pPr>
            <w:r>
              <w:rPr>
                <w:sz w:val="21"/>
              </w:rPr>
              <w:t>（3） 出现广泛性肌肉及软组织坏死，并导致身体受影响部位永久完全失去功能。</w:t>
            </w:r>
          </w:p>
        </w:tc>
      </w:tr>
      <w:tr>
        <w:trPr>
          <w:trHeight w:val="877" w:hRule="atLeast"/>
        </w:trPr>
        <w:tc>
          <w:tcPr>
            <w:tcW w:w="875" w:type="dxa"/>
          </w:tcPr>
          <w:p>
            <w:pPr>
              <w:pStyle w:val="TableParagraph"/>
              <w:rPr>
                <w:sz w:val="20"/>
              </w:rPr>
            </w:pPr>
          </w:p>
          <w:p>
            <w:pPr>
              <w:pStyle w:val="TableParagraph"/>
              <w:spacing w:before="1"/>
              <w:rPr>
                <w:sz w:val="26"/>
              </w:rPr>
            </w:pPr>
          </w:p>
          <w:p>
            <w:pPr>
              <w:pStyle w:val="TableParagraph"/>
              <w:spacing w:line="255" w:lineRule="exact"/>
              <w:ind w:left="50"/>
              <w:rPr>
                <w:b/>
                <w:sz w:val="21"/>
              </w:rPr>
            </w:pPr>
            <w:r>
              <w:rPr>
                <w:b/>
                <w:sz w:val="21"/>
              </w:rPr>
              <w:t>9.6.38</w:t>
            </w:r>
          </w:p>
        </w:tc>
        <w:tc>
          <w:tcPr>
            <w:tcW w:w="1600" w:type="dxa"/>
          </w:tcPr>
          <w:p>
            <w:pPr>
              <w:pStyle w:val="TableParagraph"/>
              <w:rPr>
                <w:sz w:val="20"/>
              </w:rPr>
            </w:pPr>
          </w:p>
          <w:p>
            <w:pPr>
              <w:pStyle w:val="TableParagraph"/>
              <w:spacing w:before="1"/>
              <w:rPr>
                <w:sz w:val="26"/>
              </w:rPr>
            </w:pPr>
          </w:p>
          <w:p>
            <w:pPr>
              <w:pStyle w:val="TableParagraph"/>
              <w:spacing w:line="255" w:lineRule="exact"/>
              <w:ind w:left="195"/>
              <w:rPr>
                <w:rFonts w:ascii="楷体" w:eastAsia="楷体" w:hint="eastAsia"/>
                <w:b/>
                <w:sz w:val="21"/>
              </w:rPr>
            </w:pPr>
            <w:r>
              <w:rPr>
                <w:rFonts w:ascii="楷体" w:eastAsia="楷体" w:hint="eastAsia"/>
                <w:b/>
                <w:w w:val="95"/>
                <w:sz w:val="21"/>
              </w:rPr>
              <w:t>急性坏死性胰</w:t>
            </w:r>
          </w:p>
        </w:tc>
        <w:tc>
          <w:tcPr>
            <w:tcW w:w="7679" w:type="dxa"/>
          </w:tcPr>
          <w:p>
            <w:pPr>
              <w:pStyle w:val="TableParagraph"/>
              <w:spacing w:line="263" w:lineRule="exact"/>
              <w:ind w:left="113"/>
              <w:rPr>
                <w:sz w:val="21"/>
              </w:rPr>
            </w:pPr>
            <w:r>
              <w:rPr>
                <w:sz w:val="21"/>
              </w:rPr>
              <w:t>所谓永久完全失去功能是指受影响部位的全部功能完全丧失超过 180 天者。</w:t>
            </w:r>
          </w:p>
          <w:p>
            <w:pPr>
              <w:pStyle w:val="TableParagraph"/>
              <w:rPr>
                <w:sz w:val="26"/>
              </w:rPr>
            </w:pPr>
          </w:p>
          <w:p>
            <w:pPr>
              <w:pStyle w:val="TableParagraph"/>
              <w:spacing w:line="255" w:lineRule="exact"/>
              <w:ind w:left="113"/>
              <w:rPr>
                <w:sz w:val="21"/>
              </w:rPr>
            </w:pPr>
            <w:r>
              <w:rPr>
                <w:sz w:val="21"/>
              </w:rPr>
              <w:t>指被保险人因为急性出血坏死性胰腺炎已经接受了外科开腹手术治疗，以进行坏</w:t>
            </w:r>
          </w:p>
        </w:tc>
      </w:tr>
    </w:tbl>
    <w:p>
      <w:pPr>
        <w:spacing w:after="0" w:line="255" w:lineRule="exact"/>
        <w:rPr>
          <w:sz w:val="21"/>
        </w:rPr>
        <w:sectPr>
          <w:type w:val="continuous"/>
          <w:pgSz w:w="11910" w:h="16850"/>
          <w:pgMar w:top="540" w:bottom="1140" w:left="940" w:right="600"/>
        </w:sectPr>
      </w:pPr>
    </w:p>
    <w:p>
      <w:pPr>
        <w:tabs>
          <w:tab w:pos="2654" w:val="left" w:leader="none"/>
        </w:tabs>
        <w:spacing w:before="21"/>
        <w:ind w:left="1137" w:right="0" w:firstLine="0"/>
        <w:jc w:val="left"/>
        <w:rPr>
          <w:sz w:val="21"/>
        </w:rPr>
      </w:pPr>
      <w:r>
        <w:rPr>
          <w:rFonts w:ascii="楷体" w:eastAsia="楷体" w:hint="eastAsia"/>
          <w:b/>
          <w:sz w:val="21"/>
        </w:rPr>
        <w:t>腺炎开腹手术</w:t>
        <w:tab/>
      </w:r>
      <w:r>
        <w:rPr>
          <w:sz w:val="21"/>
        </w:rPr>
        <w:t>死组织清除、坏死病灶切除或胰腺切除。</w:t>
      </w:r>
    </w:p>
    <w:p>
      <w:pPr>
        <w:pStyle w:val="Heading2"/>
        <w:spacing w:line="264" w:lineRule="auto" w:before="28"/>
        <w:ind w:left="2654" w:right="348"/>
      </w:pPr>
      <w:r>
        <w:rPr>
          <w:w w:val="95"/>
        </w:rPr>
        <w:t>因饮酒所致的急性出血坏死性胰腺炎或经腹腔镜手术进行的治疗不在保障范围内。</w:t>
      </w:r>
    </w:p>
    <w:p>
      <w:pPr>
        <w:pStyle w:val="BodyText"/>
        <w:spacing w:before="2"/>
        <w:rPr>
          <w:b/>
          <w:i/>
          <w:sz w:val="24"/>
        </w:rPr>
      </w:pPr>
    </w:p>
    <w:p>
      <w:pPr>
        <w:pStyle w:val="ListParagraph"/>
        <w:numPr>
          <w:ilvl w:val="2"/>
          <w:numId w:val="42"/>
        </w:numPr>
        <w:tabs>
          <w:tab w:pos="1138" w:val="left" w:leader="none"/>
        </w:tabs>
        <w:spacing w:line="276" w:lineRule="auto" w:before="1" w:after="0"/>
        <w:ind w:left="2654" w:right="165" w:hanging="2538"/>
        <w:jc w:val="both"/>
        <w:rPr>
          <w:sz w:val="21"/>
        </w:rPr>
      </w:pPr>
      <w:r>
        <w:rPr>
          <w:rFonts w:ascii="楷体" w:eastAsia="楷体" w:hint="eastAsia"/>
          <w:b/>
          <w:spacing w:val="5"/>
          <w:sz w:val="21"/>
        </w:rPr>
        <w:t>系统性硬皮病 </w:t>
      </w:r>
      <w:r>
        <w:rPr>
          <w:sz w:val="21"/>
        </w:rPr>
        <w:t>指一种全身性的胶原血管性疾病，可以导致皮肤、血管及内脏器官进行性弥漫性纤维化。诊断必须经活检及血清学检查证实，疾病必须是全身性，且须满足下列至少一项条件：</w:t>
      </w:r>
    </w:p>
    <w:p>
      <w:pPr>
        <w:pStyle w:val="ListParagraph"/>
        <w:numPr>
          <w:ilvl w:val="3"/>
          <w:numId w:val="42"/>
        </w:numPr>
        <w:tabs>
          <w:tab w:pos="3286" w:val="left" w:leader="none"/>
        </w:tabs>
        <w:spacing w:line="240" w:lineRule="auto" w:before="8" w:after="0"/>
        <w:ind w:left="3285" w:right="0" w:hanging="631"/>
        <w:jc w:val="left"/>
        <w:rPr>
          <w:sz w:val="21"/>
        </w:rPr>
      </w:pPr>
      <w:r>
        <w:rPr>
          <w:sz w:val="21"/>
        </w:rPr>
        <w:t>肺脏：肺部病变进而发展为肺间质纤维化和肺动脉高压；</w:t>
      </w:r>
    </w:p>
    <w:p>
      <w:pPr>
        <w:pStyle w:val="ListParagraph"/>
        <w:numPr>
          <w:ilvl w:val="3"/>
          <w:numId w:val="42"/>
        </w:numPr>
        <w:tabs>
          <w:tab w:pos="3286" w:val="left" w:leader="none"/>
        </w:tabs>
        <w:spacing w:line="240" w:lineRule="auto" w:before="40" w:after="0"/>
        <w:ind w:left="3285" w:right="0" w:hanging="631"/>
        <w:jc w:val="left"/>
        <w:rPr>
          <w:sz w:val="21"/>
        </w:rPr>
      </w:pPr>
      <w:r>
        <w:rPr>
          <w:spacing w:val="-2"/>
          <w:sz w:val="21"/>
        </w:rPr>
        <w:t>心脏：心功能受损达到美国纽约心脏病学会心功能状态分级 </w:t>
      </w:r>
      <w:r>
        <w:rPr>
          <w:sz w:val="21"/>
        </w:rPr>
        <w:t>IV</w:t>
      </w:r>
      <w:r>
        <w:rPr>
          <w:spacing w:val="-16"/>
          <w:sz w:val="21"/>
        </w:rPr>
        <w:t> 级；</w:t>
      </w:r>
    </w:p>
    <w:p>
      <w:pPr>
        <w:pStyle w:val="ListParagraph"/>
        <w:numPr>
          <w:ilvl w:val="3"/>
          <w:numId w:val="42"/>
        </w:numPr>
        <w:tabs>
          <w:tab w:pos="3286" w:val="left" w:leader="none"/>
        </w:tabs>
        <w:spacing w:line="240" w:lineRule="auto" w:before="25" w:after="0"/>
        <w:ind w:left="3285" w:right="0" w:hanging="631"/>
        <w:jc w:val="left"/>
        <w:rPr>
          <w:sz w:val="21"/>
        </w:rPr>
      </w:pPr>
      <w:r>
        <w:rPr>
          <w:sz w:val="21"/>
        </w:rPr>
        <w:t>肾脏：肾脏受损导致双肾功能慢性不可逆衰竭，达到尿毒症期。</w:t>
      </w:r>
    </w:p>
    <w:p>
      <w:pPr>
        <w:pStyle w:val="Heading2"/>
        <w:spacing w:before="28"/>
        <w:ind w:left="2654"/>
      </w:pPr>
      <w:r>
        <w:rPr>
          <w:w w:val="95"/>
        </w:rPr>
        <w:t>以下情况不在保障范围内：</w:t>
      </w:r>
    </w:p>
    <w:p>
      <w:pPr>
        <w:pStyle w:val="ListParagraph"/>
        <w:numPr>
          <w:ilvl w:val="0"/>
          <w:numId w:val="43"/>
        </w:numPr>
        <w:tabs>
          <w:tab w:pos="3286" w:val="left" w:leader="none"/>
        </w:tabs>
        <w:spacing w:line="240" w:lineRule="auto" w:before="26" w:after="0"/>
        <w:ind w:left="3285" w:right="0" w:hanging="631"/>
        <w:jc w:val="left"/>
        <w:rPr>
          <w:b/>
          <w:i/>
          <w:sz w:val="22"/>
        </w:rPr>
      </w:pPr>
      <w:r>
        <w:rPr>
          <w:b/>
          <w:i/>
          <w:spacing w:val="0"/>
          <w:w w:val="95"/>
          <w:sz w:val="22"/>
        </w:rPr>
        <w:t>局限性硬皮病</w:t>
      </w:r>
      <w:r>
        <w:rPr>
          <w:b/>
          <w:i/>
          <w:w w:val="95"/>
          <w:sz w:val="22"/>
        </w:rPr>
        <w:t>（带状硬皮病或斑状损害）</w:t>
      </w:r>
    </w:p>
    <w:p>
      <w:pPr>
        <w:pStyle w:val="ListParagraph"/>
        <w:numPr>
          <w:ilvl w:val="0"/>
          <w:numId w:val="43"/>
        </w:numPr>
        <w:tabs>
          <w:tab w:pos="3286" w:val="left" w:leader="none"/>
        </w:tabs>
        <w:spacing w:line="240" w:lineRule="auto" w:before="26" w:after="0"/>
        <w:ind w:left="3285" w:right="0" w:hanging="631"/>
        <w:jc w:val="left"/>
        <w:rPr>
          <w:b/>
          <w:i/>
          <w:sz w:val="22"/>
        </w:rPr>
      </w:pPr>
      <w:r>
        <w:rPr>
          <w:b/>
          <w:i/>
          <w:spacing w:val="0"/>
          <w:w w:val="95"/>
          <w:sz w:val="22"/>
        </w:rPr>
        <w:t>嗜酸性筋膜炎</w:t>
      </w:r>
    </w:p>
    <w:p>
      <w:pPr>
        <w:pStyle w:val="ListParagraph"/>
        <w:numPr>
          <w:ilvl w:val="0"/>
          <w:numId w:val="43"/>
        </w:numPr>
        <w:tabs>
          <w:tab w:pos="3286" w:val="left" w:leader="none"/>
        </w:tabs>
        <w:spacing w:line="240" w:lineRule="auto" w:before="27" w:after="0"/>
        <w:ind w:left="3285" w:right="0" w:hanging="631"/>
        <w:jc w:val="left"/>
        <w:rPr>
          <w:b/>
          <w:i/>
          <w:sz w:val="22"/>
        </w:rPr>
      </w:pPr>
      <w:r>
        <w:rPr>
          <w:b/>
          <w:i/>
          <w:w w:val="95"/>
          <w:sz w:val="22"/>
        </w:rPr>
        <w:t>CREST</w:t>
      </w:r>
      <w:r>
        <w:rPr>
          <w:b/>
          <w:i/>
          <w:spacing w:val="-12"/>
          <w:w w:val="95"/>
          <w:sz w:val="22"/>
        </w:rPr>
        <w:t> 综合征</w:t>
      </w:r>
    </w:p>
    <w:p>
      <w:pPr>
        <w:pStyle w:val="BodyText"/>
        <w:spacing w:before="11"/>
        <w:rPr>
          <w:b/>
          <w:i/>
          <w:sz w:val="25"/>
        </w:rPr>
      </w:pPr>
    </w:p>
    <w:p>
      <w:pPr>
        <w:pStyle w:val="ListParagraph"/>
        <w:numPr>
          <w:ilvl w:val="2"/>
          <w:numId w:val="42"/>
        </w:numPr>
        <w:tabs>
          <w:tab w:pos="1138" w:val="left" w:leader="none"/>
        </w:tabs>
        <w:spacing w:line="266" w:lineRule="auto" w:before="1" w:after="0"/>
        <w:ind w:left="2654" w:right="159" w:hanging="2538"/>
        <w:jc w:val="both"/>
        <w:rPr>
          <w:b/>
          <w:i/>
          <w:sz w:val="22"/>
        </w:rPr>
      </w:pPr>
      <w:r>
        <w:rPr>
          <w:rFonts w:ascii="楷体" w:eastAsia="楷体" w:hint="eastAsia"/>
          <w:b/>
          <w:spacing w:val="3"/>
          <w:sz w:val="21"/>
        </w:rPr>
        <w:t>额颞叶痴呆   </w:t>
      </w:r>
      <w:r>
        <w:rPr>
          <w:sz w:val="21"/>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w:t>
      </w:r>
      <w:r>
        <w:rPr>
          <w:spacing w:val="-1"/>
          <w:w w:val="95"/>
          <w:sz w:val="21"/>
        </w:rPr>
        <w:t>须明确诊断，并且有完整的临床、实验室和影像学检查结果证实。</w:t>
      </w:r>
      <w:r>
        <w:rPr>
          <w:b/>
          <w:i/>
          <w:spacing w:val="0"/>
          <w:w w:val="95"/>
          <w:sz w:val="22"/>
        </w:rPr>
        <w:t>神经官能症，  </w:t>
      </w:r>
      <w:r>
        <w:rPr>
          <w:b/>
          <w:i/>
          <w:w w:val="95"/>
          <w:sz w:val="22"/>
        </w:rPr>
        <w:t>精神疾病及酒精中毒所致脑损害不在保障范围内。</w:t>
      </w:r>
    </w:p>
    <w:p>
      <w:pPr>
        <w:pStyle w:val="BodyText"/>
        <w:spacing w:before="7"/>
        <w:rPr>
          <w:b/>
          <w:i/>
          <w:sz w:val="22"/>
        </w:rPr>
      </w:pPr>
    </w:p>
    <w:p>
      <w:pPr>
        <w:spacing w:after="0"/>
        <w:rPr>
          <w:sz w:val="22"/>
        </w:rPr>
        <w:sectPr>
          <w:pgSz w:w="11910" w:h="16850"/>
          <w:pgMar w:header="0" w:footer="944" w:top="1200" w:bottom="1180" w:left="980" w:right="740"/>
        </w:sectPr>
      </w:pPr>
    </w:p>
    <w:p>
      <w:pPr>
        <w:pStyle w:val="Heading3"/>
        <w:numPr>
          <w:ilvl w:val="2"/>
          <w:numId w:val="42"/>
        </w:numPr>
        <w:tabs>
          <w:tab w:pos="1137" w:val="left" w:leader="none"/>
          <w:tab w:pos="1138" w:val="left" w:leader="none"/>
        </w:tabs>
        <w:spacing w:line="276" w:lineRule="auto" w:before="35" w:after="0"/>
        <w:ind w:left="1137" w:right="0" w:hanging="1021"/>
        <w:jc w:val="left"/>
      </w:pPr>
      <w:r>
        <w:rPr>
          <w:spacing w:val="2"/>
          <w:w w:val="95"/>
        </w:rPr>
        <w:t>严重肌营养不良症</w:t>
      </w:r>
    </w:p>
    <w:p>
      <w:pPr>
        <w:pStyle w:val="BodyText"/>
        <w:spacing w:line="276" w:lineRule="auto" w:before="35"/>
        <w:ind w:left="116" w:right="165"/>
      </w:pPr>
      <w:r>
        <w:rPr/>
        <w:br w:type="column"/>
      </w:r>
      <w:r>
        <w:rPr/>
        <w:t>指一组原发于肌肉的遗传性疾病，临床表现为与神经系统无关的肌肉无力和肌肉萎缩。须满足下列全部条件：</w:t>
      </w:r>
    </w:p>
    <w:p>
      <w:pPr>
        <w:pStyle w:val="ListParagraph"/>
        <w:numPr>
          <w:ilvl w:val="0"/>
          <w:numId w:val="44"/>
        </w:numPr>
        <w:tabs>
          <w:tab w:pos="748" w:val="left" w:leader="none"/>
        </w:tabs>
        <w:spacing w:line="240" w:lineRule="auto" w:before="8" w:after="0"/>
        <w:ind w:left="116" w:right="0" w:firstLine="0"/>
        <w:jc w:val="left"/>
        <w:rPr>
          <w:sz w:val="21"/>
        </w:rPr>
      </w:pPr>
      <w:r>
        <w:rPr>
          <w:spacing w:val="-1"/>
          <w:sz w:val="21"/>
        </w:rPr>
        <w:t>肌肉组织活检结果满足肌营养不良症的肌肉细胞变性、坏死等阳性改变；</w:t>
      </w:r>
    </w:p>
    <w:p>
      <w:pPr>
        <w:pStyle w:val="ListParagraph"/>
        <w:numPr>
          <w:ilvl w:val="0"/>
          <w:numId w:val="44"/>
        </w:numPr>
        <w:tabs>
          <w:tab w:pos="748" w:val="left" w:leader="none"/>
        </w:tabs>
        <w:spacing w:line="276" w:lineRule="auto" w:before="25" w:after="0"/>
        <w:ind w:left="116" w:right="166" w:firstLine="0"/>
        <w:jc w:val="left"/>
        <w:rPr>
          <w:sz w:val="21"/>
        </w:rPr>
      </w:pPr>
      <w:r>
        <w:rPr>
          <w:sz w:val="21"/>
        </w:rPr>
        <w:t>自主生活能力严重丧失，无法独立完成六项基本日常生活活动中的三项或三项以上。</w:t>
      </w:r>
    </w:p>
    <w:p>
      <w:pPr>
        <w:pStyle w:val="BodyText"/>
        <w:spacing w:line="276" w:lineRule="auto" w:before="8"/>
        <w:ind w:left="116" w:right="165"/>
      </w:pPr>
      <w:r>
        <w:rPr/>
        <w:t>我们承担本项疾病责任不受本附加险合同“责任免除”中“遗传性疾病，先天性畸形、变形或染色体异常”的限制。</w:t>
      </w:r>
    </w:p>
    <w:p>
      <w:pPr>
        <w:spacing w:after="0" w:line="276" w:lineRule="auto"/>
        <w:sectPr>
          <w:type w:val="continuous"/>
          <w:pgSz w:w="11910" w:h="16850"/>
          <w:pgMar w:top="540" w:bottom="1140" w:left="980" w:right="740"/>
          <w:cols w:num="2" w:equalWidth="0">
            <w:col w:w="2430" w:space="108"/>
            <w:col w:w="7652"/>
          </w:cols>
        </w:sectPr>
      </w:pPr>
    </w:p>
    <w:p>
      <w:pPr>
        <w:pStyle w:val="BodyText"/>
        <w:spacing w:before="11"/>
        <w:rPr>
          <w:sz w:val="20"/>
        </w:rPr>
      </w:pPr>
    </w:p>
    <w:p>
      <w:pPr>
        <w:spacing w:after="0"/>
        <w:rPr>
          <w:sz w:val="20"/>
        </w:rPr>
        <w:sectPr>
          <w:type w:val="continuous"/>
          <w:pgSz w:w="11910" w:h="16850"/>
          <w:pgMar w:top="540" w:bottom="1140" w:left="980" w:right="740"/>
        </w:sectPr>
      </w:pPr>
    </w:p>
    <w:p>
      <w:pPr>
        <w:pStyle w:val="Heading3"/>
        <w:numPr>
          <w:ilvl w:val="2"/>
          <w:numId w:val="42"/>
        </w:numPr>
        <w:tabs>
          <w:tab w:pos="1137" w:val="left" w:leader="none"/>
          <w:tab w:pos="1138" w:val="left" w:leader="none"/>
        </w:tabs>
        <w:spacing w:line="240" w:lineRule="auto" w:before="35" w:after="0"/>
        <w:ind w:left="2654" w:right="0" w:hanging="2538"/>
        <w:jc w:val="left"/>
      </w:pPr>
      <w:r>
        <w:rPr>
          <w:w w:val="95"/>
        </w:rPr>
        <w:t>严重克隆病</w:t>
      </w:r>
    </w:p>
    <w:p>
      <w:pPr>
        <w:spacing w:before="40"/>
        <w:ind w:left="1137" w:right="0" w:firstLine="0"/>
        <w:jc w:val="left"/>
        <w:rPr>
          <w:rFonts w:ascii="楷体" w:hAnsi="楷体" w:eastAsia="楷体" w:hint="eastAsia"/>
          <w:b/>
          <w:sz w:val="21"/>
        </w:rPr>
      </w:pPr>
      <w:r>
        <w:rPr>
          <w:rFonts w:ascii="楷体" w:hAnsi="楷体" w:eastAsia="楷体" w:hint="eastAsia"/>
          <w:b/>
          <w:w w:val="99"/>
          <w:sz w:val="21"/>
        </w:rPr>
        <w:t>（</w:t>
      </w:r>
      <w:r>
        <w:rPr>
          <w:rFonts w:ascii="楷体" w:hAnsi="楷体" w:eastAsia="楷体" w:hint="eastAsia"/>
          <w:b/>
          <w:w w:val="99"/>
          <w:sz w:val="21"/>
        </w:rPr>
        <w:t>Crohn</w:t>
      </w:r>
      <w:r>
        <w:rPr>
          <w:rFonts w:ascii="楷体" w:hAnsi="楷体" w:eastAsia="楷体" w:hint="eastAsia"/>
          <w:b/>
          <w:spacing w:val="-105"/>
          <w:w w:val="99"/>
          <w:sz w:val="21"/>
        </w:rPr>
        <w:t>’</w:t>
      </w:r>
      <w:r>
        <w:rPr>
          <w:rFonts w:ascii="楷体" w:hAnsi="楷体" w:eastAsia="楷体" w:hint="eastAsia"/>
          <w:b/>
          <w:w w:val="99"/>
          <w:sz w:val="21"/>
        </w:rPr>
        <w:t>s</w:t>
      </w:r>
      <w:r>
        <w:rPr>
          <w:rFonts w:ascii="楷体" w:hAnsi="楷体" w:eastAsia="楷体" w:hint="eastAsia"/>
          <w:b/>
          <w:spacing w:val="-76"/>
          <w:sz w:val="21"/>
        </w:rPr>
        <w:t> </w:t>
      </w:r>
      <w:r>
        <w:rPr>
          <w:rFonts w:ascii="楷体" w:hAnsi="楷体" w:eastAsia="楷体" w:hint="eastAsia"/>
          <w:b/>
          <w:w w:val="99"/>
          <w:sz w:val="21"/>
        </w:rPr>
        <w:t>病）</w:t>
      </w:r>
    </w:p>
    <w:p>
      <w:pPr>
        <w:pStyle w:val="BodyText"/>
        <w:spacing w:line="276" w:lineRule="auto" w:before="35"/>
        <w:ind w:left="79" w:right="165"/>
        <w:jc w:val="both"/>
      </w:pPr>
      <w:r>
        <w:rPr/>
        <w:br w:type="column"/>
      </w:r>
      <w:r>
        <w:rPr/>
        <w:t>克隆病是一种慢性肉芽肿性肠炎，具有特征性的克隆病病理组织学变化。诊断必须由病理检查结果证实。被保险人所患的克隆病必须已经造成瘘管形成并伴有肠梗阻或肠穿孔。</w:t>
      </w:r>
    </w:p>
    <w:p>
      <w:pPr>
        <w:spacing w:after="0" w:line="276" w:lineRule="auto"/>
        <w:jc w:val="both"/>
        <w:sectPr>
          <w:type w:val="continuous"/>
          <w:pgSz w:w="11910" w:h="16850"/>
          <w:pgMar w:top="540" w:bottom="1140" w:left="980" w:right="740"/>
          <w:cols w:num="2" w:equalWidth="0">
            <w:col w:w="2536" w:space="40"/>
            <w:col w:w="7614"/>
          </w:cols>
        </w:sectPr>
      </w:pPr>
    </w:p>
    <w:p>
      <w:pPr>
        <w:pStyle w:val="BodyText"/>
        <w:spacing w:before="0"/>
        <w:rPr>
          <w:sz w:val="22"/>
        </w:rPr>
      </w:pPr>
    </w:p>
    <w:p>
      <w:pPr>
        <w:spacing w:after="0"/>
        <w:rPr>
          <w:sz w:val="22"/>
        </w:rPr>
        <w:sectPr>
          <w:type w:val="continuous"/>
          <w:pgSz w:w="11910" w:h="16850"/>
          <w:pgMar w:top="540" w:bottom="1140" w:left="980" w:right="740"/>
        </w:sectPr>
      </w:pPr>
    </w:p>
    <w:p>
      <w:pPr>
        <w:pStyle w:val="Heading3"/>
        <w:numPr>
          <w:ilvl w:val="2"/>
          <w:numId w:val="42"/>
        </w:numPr>
        <w:tabs>
          <w:tab w:pos="1137" w:val="left" w:leader="none"/>
          <w:tab w:pos="1138" w:val="left" w:leader="none"/>
        </w:tabs>
        <w:spacing w:line="261" w:lineRule="auto" w:before="35" w:after="0"/>
        <w:ind w:left="1137" w:right="0" w:hanging="1021"/>
        <w:jc w:val="left"/>
      </w:pPr>
      <w:r>
        <w:rPr>
          <w:spacing w:val="2"/>
          <w:w w:val="95"/>
        </w:rPr>
        <w:t>严重溃疡性结肠炎</w:t>
      </w:r>
    </w:p>
    <w:p>
      <w:pPr>
        <w:pStyle w:val="BodyText"/>
        <w:spacing w:line="271" w:lineRule="auto" w:before="35"/>
        <w:ind w:left="116" w:right="165"/>
        <w:jc w:val="both"/>
      </w:pPr>
      <w:r>
        <w:rPr/>
        <w:br w:type="column"/>
      </w: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1" w:lineRule="auto"/>
        <w:jc w:val="both"/>
        <w:sectPr>
          <w:type w:val="continuous"/>
          <w:pgSz w:w="11910" w:h="16850"/>
          <w:pgMar w:top="540" w:bottom="1140" w:left="980" w:right="740"/>
          <w:cols w:num="2" w:equalWidth="0">
            <w:col w:w="2430" w:space="108"/>
            <w:col w:w="7652"/>
          </w:cols>
        </w:sectPr>
      </w:pPr>
    </w:p>
    <w:p>
      <w:pPr>
        <w:pStyle w:val="BodyText"/>
        <w:spacing w:before="4"/>
        <w:rPr>
          <w:sz w:val="22"/>
        </w:rPr>
      </w:pPr>
    </w:p>
    <w:p>
      <w:pPr>
        <w:spacing w:after="0"/>
        <w:rPr>
          <w:sz w:val="22"/>
        </w:rPr>
        <w:sectPr>
          <w:type w:val="continuous"/>
          <w:pgSz w:w="11910" w:h="16850"/>
          <w:pgMar w:top="540" w:bottom="1140" w:left="980" w:right="740"/>
        </w:sectPr>
      </w:pPr>
    </w:p>
    <w:p>
      <w:pPr>
        <w:pStyle w:val="Heading3"/>
        <w:numPr>
          <w:ilvl w:val="2"/>
          <w:numId w:val="42"/>
        </w:numPr>
        <w:tabs>
          <w:tab w:pos="1137" w:val="left" w:leader="none"/>
          <w:tab w:pos="1138" w:val="left" w:leader="none"/>
        </w:tabs>
        <w:spacing w:line="240" w:lineRule="auto" w:before="36" w:after="0"/>
        <w:ind w:left="2654" w:right="0" w:hanging="2538"/>
        <w:jc w:val="left"/>
      </w:pPr>
      <w:r>
        <w:rPr>
          <w:spacing w:val="2"/>
          <w:w w:val="95"/>
        </w:rPr>
        <w:t>溶血性链球菌</w:t>
      </w:r>
    </w:p>
    <w:p>
      <w:pPr>
        <w:spacing w:before="25"/>
        <w:ind w:left="1137" w:right="0" w:firstLine="0"/>
        <w:jc w:val="left"/>
        <w:rPr>
          <w:rFonts w:ascii="楷体" w:eastAsia="楷体" w:hint="eastAsia"/>
          <w:b/>
          <w:sz w:val="21"/>
        </w:rPr>
      </w:pPr>
      <w:r>
        <w:rPr>
          <w:rFonts w:ascii="楷体" w:eastAsia="楷体" w:hint="eastAsia"/>
          <w:b/>
          <w:w w:val="95"/>
          <w:sz w:val="21"/>
        </w:rPr>
        <w:t>引起的坏疽</w:t>
      </w:r>
    </w:p>
    <w:p>
      <w:pPr>
        <w:pStyle w:val="BodyText"/>
        <w:spacing w:line="268" w:lineRule="auto" w:before="36"/>
        <w:ind w:left="116" w:right="109"/>
        <w:jc w:val="both"/>
      </w:pPr>
      <w:r>
        <w:rPr/>
        <w:br w:type="column"/>
      </w:r>
      <w:r>
        <w:rPr>
          <w:spacing w:val="-1"/>
        </w:rPr>
        <w:t>包围肢体或躯干的浅筋膜和</w:t>
      </w:r>
      <w:r>
        <w:rPr/>
        <w:t>/</w:t>
      </w:r>
      <w:r>
        <w:rPr>
          <w:spacing w:val="-3"/>
        </w:rPr>
        <w:t>或深筋膜受到溶血性链球菌的感染，病情在短时间内急剧恶化，已经立刻进行了手术及清创术。最后的诊断必须由微生物或病理学专家进行相关检查后证实。</w:t>
      </w:r>
    </w:p>
    <w:p>
      <w:pPr>
        <w:spacing w:after="0" w:line="268" w:lineRule="auto"/>
        <w:jc w:val="both"/>
        <w:sectPr>
          <w:type w:val="continuous"/>
          <w:pgSz w:w="11910" w:h="16850"/>
          <w:pgMar w:top="540" w:bottom="1140" w:left="980" w:right="740"/>
          <w:cols w:num="2" w:equalWidth="0">
            <w:col w:w="2430" w:space="108"/>
            <w:col w:w="7652"/>
          </w:cols>
        </w:sectPr>
      </w:pPr>
    </w:p>
    <w:p>
      <w:pPr>
        <w:pStyle w:val="BodyText"/>
        <w:spacing w:before="7"/>
        <w:rPr>
          <w:sz w:val="22"/>
        </w:rPr>
      </w:pPr>
    </w:p>
    <w:p>
      <w:pPr>
        <w:spacing w:after="0"/>
        <w:rPr>
          <w:sz w:val="22"/>
        </w:rPr>
        <w:sectPr>
          <w:type w:val="continuous"/>
          <w:pgSz w:w="11910" w:h="16850"/>
          <w:pgMar w:top="540" w:bottom="1140" w:left="980" w:right="740"/>
        </w:sectPr>
      </w:pPr>
    </w:p>
    <w:p>
      <w:pPr>
        <w:pStyle w:val="Heading3"/>
        <w:numPr>
          <w:ilvl w:val="2"/>
          <w:numId w:val="42"/>
        </w:numPr>
        <w:tabs>
          <w:tab w:pos="1137" w:val="left" w:leader="none"/>
          <w:tab w:pos="1138" w:val="left" w:leader="none"/>
        </w:tabs>
        <w:spacing w:line="240" w:lineRule="auto" w:before="36" w:after="0"/>
        <w:ind w:left="2654" w:right="0" w:hanging="2538"/>
        <w:jc w:val="left"/>
      </w:pPr>
      <w:r>
        <w:rPr>
          <w:spacing w:val="2"/>
          <w:w w:val="95"/>
        </w:rPr>
        <w:t>因职业关系导</w:t>
      </w:r>
    </w:p>
    <w:p>
      <w:pPr>
        <w:spacing w:before="40"/>
        <w:ind w:left="1137" w:right="0" w:firstLine="0"/>
        <w:jc w:val="left"/>
        <w:rPr>
          <w:rFonts w:ascii="楷体" w:eastAsia="楷体" w:hint="eastAsia"/>
          <w:b/>
          <w:sz w:val="21"/>
        </w:rPr>
      </w:pPr>
      <w:r>
        <w:rPr>
          <w:rFonts w:ascii="楷体" w:eastAsia="楷体" w:hint="eastAsia"/>
          <w:b/>
          <w:spacing w:val="-17"/>
          <w:sz w:val="21"/>
        </w:rPr>
        <w:t>致的 </w:t>
      </w:r>
      <w:r>
        <w:rPr>
          <w:rFonts w:ascii="楷体" w:eastAsia="楷体" w:hint="eastAsia"/>
          <w:b/>
          <w:sz w:val="21"/>
        </w:rPr>
        <w:t>HIV</w:t>
      </w:r>
      <w:r>
        <w:rPr>
          <w:rFonts w:ascii="楷体" w:eastAsia="楷体" w:hint="eastAsia"/>
          <w:b/>
          <w:spacing w:val="-17"/>
          <w:sz w:val="21"/>
        </w:rPr>
        <w:t> 感染</w:t>
      </w:r>
    </w:p>
    <w:p>
      <w:pPr>
        <w:pStyle w:val="BodyText"/>
        <w:spacing w:line="276" w:lineRule="auto" w:before="36"/>
        <w:ind w:left="116" w:right="173"/>
      </w:pPr>
      <w:r>
        <w:rPr/>
        <w:br w:type="column"/>
      </w:r>
      <w:r>
        <w:rPr>
          <w:spacing w:val="-1"/>
        </w:rPr>
        <w:t>被保险人在其常规职业工作过程中遭遇外伤，或职业需要处理血液或其它体液时感染上人类免疫缺陷病毒</w:t>
      </w:r>
      <w:r>
        <w:rPr>
          <w:spacing w:val="-3"/>
        </w:rPr>
        <w:t>（</w:t>
      </w:r>
      <w:r>
        <w:rPr/>
        <w:t>HIV</w:t>
      </w:r>
      <w:r>
        <w:rPr>
          <w:spacing w:val="-105"/>
        </w:rPr>
        <w:t>）</w:t>
      </w:r>
      <w:r>
        <w:rPr/>
        <w:t>。必须满足下列全部条件：</w:t>
      </w:r>
    </w:p>
    <w:p>
      <w:pPr>
        <w:pStyle w:val="ListParagraph"/>
        <w:numPr>
          <w:ilvl w:val="0"/>
          <w:numId w:val="45"/>
        </w:numPr>
        <w:tabs>
          <w:tab w:pos="748" w:val="left" w:leader="none"/>
        </w:tabs>
        <w:spacing w:line="276" w:lineRule="auto" w:before="0" w:after="0"/>
        <w:ind w:left="116" w:right="166" w:firstLine="0"/>
        <w:jc w:val="left"/>
        <w:rPr>
          <w:sz w:val="21"/>
        </w:rPr>
      </w:pPr>
      <w:r>
        <w:rPr>
          <w:sz w:val="21"/>
        </w:rPr>
        <w:t>感染必须是在被保险人正在从事其职业工作中发生，该职业必须属于下列限定职业范围内的职业；</w:t>
      </w:r>
    </w:p>
    <w:p>
      <w:pPr>
        <w:spacing w:after="0" w:line="276" w:lineRule="auto"/>
        <w:jc w:val="left"/>
        <w:rPr>
          <w:sz w:val="21"/>
        </w:rPr>
        <w:sectPr>
          <w:type w:val="continuous"/>
          <w:pgSz w:w="11910" w:h="16850"/>
          <w:pgMar w:top="540" w:bottom="1140" w:left="980" w:right="740"/>
          <w:cols w:num="2" w:equalWidth="0">
            <w:col w:w="2430" w:space="108"/>
            <w:col w:w="7652"/>
          </w:cols>
        </w:sectPr>
      </w:pPr>
    </w:p>
    <w:p>
      <w:pPr>
        <w:pStyle w:val="ListParagraph"/>
        <w:numPr>
          <w:ilvl w:val="1"/>
          <w:numId w:val="45"/>
        </w:numPr>
        <w:tabs>
          <w:tab w:pos="3286" w:val="left" w:leader="none"/>
        </w:tabs>
        <w:spacing w:line="240" w:lineRule="auto" w:before="21" w:after="0"/>
        <w:ind w:left="2654" w:right="0" w:firstLine="0"/>
        <w:jc w:val="left"/>
        <w:rPr>
          <w:sz w:val="21"/>
        </w:rPr>
      </w:pPr>
      <w:r>
        <w:rPr>
          <w:spacing w:val="-3"/>
          <w:sz w:val="21"/>
        </w:rPr>
        <w:t>血清转化必须出现在事故发生后的 </w:t>
      </w:r>
      <w:r>
        <w:rPr>
          <w:sz w:val="21"/>
        </w:rPr>
        <w:t>6</w:t>
      </w:r>
      <w:r>
        <w:rPr>
          <w:spacing w:val="-9"/>
          <w:sz w:val="21"/>
        </w:rPr>
        <w:t> 个月以内；</w:t>
      </w:r>
    </w:p>
    <w:p>
      <w:pPr>
        <w:pStyle w:val="ListParagraph"/>
        <w:numPr>
          <w:ilvl w:val="1"/>
          <w:numId w:val="45"/>
        </w:numPr>
        <w:tabs>
          <w:tab w:pos="3286" w:val="left" w:leader="none"/>
        </w:tabs>
        <w:spacing w:line="276" w:lineRule="auto" w:before="40" w:after="0"/>
        <w:ind w:left="2654" w:right="257" w:firstLine="0"/>
        <w:jc w:val="left"/>
        <w:rPr>
          <w:sz w:val="21"/>
        </w:rPr>
      </w:pPr>
      <w:r>
        <w:rPr>
          <w:spacing w:val="-3"/>
          <w:sz w:val="21"/>
        </w:rPr>
        <w:t>必须提供被保险人在所报事故后发生的 </w:t>
      </w:r>
      <w:r>
        <w:rPr>
          <w:sz w:val="21"/>
        </w:rPr>
        <w:t>5</w:t>
      </w:r>
      <w:r>
        <w:rPr>
          <w:spacing w:val="-7"/>
          <w:sz w:val="21"/>
        </w:rPr>
        <w:t> 天以内进行的检查报告，该报告</w:t>
      </w:r>
      <w:r>
        <w:rPr>
          <w:spacing w:val="-1"/>
          <w:sz w:val="21"/>
        </w:rPr>
        <w:t>必须显示被保险人血液人类免疫缺陷病毒</w:t>
      </w:r>
      <w:r>
        <w:rPr>
          <w:sz w:val="21"/>
        </w:rPr>
        <w:t>（HIV）阴性和/或人类免疫缺陷病毒</w:t>
      </w:r>
    </w:p>
    <w:p>
      <w:pPr>
        <w:pStyle w:val="BodyText"/>
        <w:spacing w:before="9"/>
        <w:ind w:left="2654"/>
      </w:pPr>
      <w:r>
        <w:rPr/>
        <w:t>（HIV）抗体阴性；</w:t>
      </w:r>
    </w:p>
    <w:p>
      <w:pPr>
        <w:pStyle w:val="ListParagraph"/>
        <w:numPr>
          <w:ilvl w:val="1"/>
          <w:numId w:val="45"/>
        </w:numPr>
        <w:tabs>
          <w:tab w:pos="3286" w:val="left" w:leader="none"/>
        </w:tabs>
        <w:spacing w:line="240" w:lineRule="auto" w:before="25" w:after="0"/>
        <w:ind w:left="2654" w:right="0" w:firstLine="0"/>
        <w:jc w:val="left"/>
        <w:rPr>
          <w:sz w:val="21"/>
        </w:rPr>
      </w:pPr>
      <w:r>
        <w:rPr>
          <w:spacing w:val="-5"/>
          <w:sz w:val="21"/>
        </w:rPr>
        <w:t>必须在事故发生后的 </w:t>
      </w:r>
      <w:r>
        <w:rPr>
          <w:sz w:val="21"/>
        </w:rPr>
        <w:t>12</w:t>
      </w:r>
      <w:r>
        <w:rPr>
          <w:spacing w:val="-7"/>
          <w:sz w:val="21"/>
        </w:rPr>
        <w:t> 个月内证实被保险人体内存在人类免疫缺陷病毒</w:t>
      </w:r>
    </w:p>
    <w:p>
      <w:pPr>
        <w:pStyle w:val="BodyText"/>
        <w:spacing w:line="276" w:lineRule="auto" w:before="39"/>
        <w:ind w:left="2654" w:right="3637"/>
      </w:pPr>
      <w:r>
        <w:rPr/>
        <w:t>（HIV）或人类免疫缺陷病毒（HIV）抗体。限定职业：</w:t>
      </w:r>
    </w:p>
    <w:p>
      <w:pPr>
        <w:pStyle w:val="BodyText"/>
        <w:spacing w:line="276" w:lineRule="auto" w:before="8"/>
        <w:ind w:left="2654" w:right="120"/>
      </w:pPr>
      <w:r>
        <w:rPr>
          <w:spacing w:val="-6"/>
        </w:rPr>
        <w:t>医生和牙科医生、护士、医院化验室工作人员、医院护工、医生助理和牙医助理、救护车工作人员、助产士、消防队员、警察、狱警。</w:t>
      </w:r>
    </w:p>
    <w:p>
      <w:pPr>
        <w:pStyle w:val="BodyText"/>
        <w:spacing w:before="12"/>
        <w:rPr>
          <w:sz w:val="20"/>
        </w:rPr>
      </w:pPr>
    </w:p>
    <w:p>
      <w:pPr>
        <w:spacing w:after="0"/>
        <w:rPr>
          <w:sz w:val="20"/>
        </w:rPr>
        <w:sectPr>
          <w:pgSz w:w="11910" w:h="16850"/>
          <w:pgMar w:header="0" w:footer="944" w:top="1200" w:bottom="1180" w:left="980" w:right="640"/>
        </w:sectPr>
      </w:pPr>
    </w:p>
    <w:p>
      <w:pPr>
        <w:pStyle w:val="Heading3"/>
        <w:numPr>
          <w:ilvl w:val="2"/>
          <w:numId w:val="42"/>
        </w:numPr>
        <w:tabs>
          <w:tab w:pos="1137" w:val="left" w:leader="none"/>
          <w:tab w:pos="1138" w:val="left" w:leader="none"/>
        </w:tabs>
        <w:spacing w:line="276" w:lineRule="auto" w:before="35" w:after="0"/>
        <w:ind w:left="1137" w:right="0" w:hanging="1021"/>
        <w:jc w:val="left"/>
      </w:pPr>
      <w:r>
        <w:rPr>
          <w:spacing w:val="2"/>
          <w:w w:val="95"/>
        </w:rPr>
        <w:t>重度脊髓灰质</w:t>
      </w:r>
      <w:r>
        <w:rPr>
          <w:spacing w:val="2"/>
        </w:rPr>
        <w:t>炎</w:t>
      </w:r>
    </w:p>
    <w:p>
      <w:pPr>
        <w:pStyle w:val="BodyText"/>
        <w:spacing w:line="271" w:lineRule="auto" w:before="35"/>
        <w:ind w:left="116" w:right="211"/>
        <w:jc w:val="both"/>
      </w:pPr>
      <w:r>
        <w:rPr/>
        <w:br w:type="column"/>
      </w:r>
      <w:r>
        <w:rPr/>
        <w:t>是由于脊髓灰质炎病毒感染所致的瘫痪性疾病，临床表现为运动功能损害或呼吸无力。脊髓灰质炎必须明确诊断。本保险合同仅对脊髓灰质炎造成的神经系统功能损害导致被保险人一肢或一肢以上肢体机能永久完全丧失的情况予以理赔。肢</w:t>
      </w:r>
      <w:r>
        <w:rPr>
          <w:spacing w:val="-4"/>
        </w:rPr>
        <w:t>体机能永久完全丧失，指疾病确诊 </w:t>
      </w:r>
      <w:r>
        <w:rPr/>
        <w:t>180 天后，每肢三大关节中的两大关节仍然完全僵硬，或不能随意识活动。</w:t>
      </w:r>
    </w:p>
    <w:p>
      <w:pPr>
        <w:spacing w:after="0" w:line="271" w:lineRule="auto"/>
        <w:jc w:val="both"/>
        <w:sectPr>
          <w:type w:val="continuous"/>
          <w:pgSz w:w="11910" w:h="16850"/>
          <w:pgMar w:top="540" w:bottom="1140" w:left="980" w:right="640"/>
          <w:cols w:num="2" w:equalWidth="0">
            <w:col w:w="2430" w:space="108"/>
            <w:col w:w="7752"/>
          </w:cols>
        </w:sectPr>
      </w:pPr>
    </w:p>
    <w:p>
      <w:pPr>
        <w:pStyle w:val="BodyText"/>
        <w:spacing w:before="5"/>
        <w:rPr>
          <w:sz w:val="22"/>
        </w:rPr>
      </w:pPr>
    </w:p>
    <w:p>
      <w:pPr>
        <w:pStyle w:val="ListParagraph"/>
        <w:numPr>
          <w:ilvl w:val="2"/>
          <w:numId w:val="42"/>
        </w:numPr>
        <w:tabs>
          <w:tab w:pos="1137" w:val="left" w:leader="none"/>
          <w:tab w:pos="1138" w:val="left" w:leader="none"/>
          <w:tab w:pos="2654" w:val="left" w:leader="none"/>
        </w:tabs>
        <w:spacing w:line="276" w:lineRule="auto" w:before="35" w:after="0"/>
        <w:ind w:left="2654" w:right="109" w:hanging="2538"/>
        <w:jc w:val="left"/>
        <w:rPr>
          <w:sz w:val="21"/>
        </w:rPr>
      </w:pPr>
      <w:r>
        <w:rPr>
          <w:rFonts w:ascii="楷体" w:eastAsia="楷体" w:hint="eastAsia"/>
          <w:b/>
          <w:sz w:val="21"/>
        </w:rPr>
        <w:t>植物人状态</w:t>
        <w:tab/>
      </w:r>
      <w:r>
        <w:rPr>
          <w:spacing w:val="-1"/>
          <w:sz w:val="21"/>
        </w:rPr>
        <w:t>指</w:t>
      </w:r>
      <w:r>
        <w:rPr>
          <w:sz w:val="21"/>
        </w:rPr>
        <w:t>脑皮质广泛性坏死而导致对自身及周边的认知能力完全丧</w:t>
      </w:r>
      <w:r>
        <w:rPr>
          <w:spacing w:val="-6"/>
          <w:sz w:val="21"/>
        </w:rPr>
        <w:t>失</w:t>
      </w:r>
      <w:r>
        <w:rPr>
          <w:sz w:val="21"/>
        </w:rPr>
        <w:t>,但脑干功能依然 存在</w:t>
      </w:r>
      <w:r>
        <w:rPr>
          <w:spacing w:val="-91"/>
          <w:sz w:val="21"/>
        </w:rPr>
        <w:t>。</w:t>
      </w:r>
      <w:r>
        <w:rPr>
          <w:sz w:val="21"/>
        </w:rPr>
        <w:t>必须由神经专科医生明确诊</w:t>
      </w:r>
      <w:r>
        <w:rPr>
          <w:spacing w:val="-2"/>
          <w:sz w:val="21"/>
        </w:rPr>
        <w:t>断</w:t>
      </w:r>
      <w:r>
        <w:rPr>
          <w:sz w:val="21"/>
        </w:rPr>
        <w:t>,并有头颅断层扫</w:t>
      </w:r>
      <w:r>
        <w:rPr>
          <w:spacing w:val="-91"/>
          <w:sz w:val="21"/>
        </w:rPr>
        <w:t>描</w:t>
      </w:r>
      <w:r>
        <w:rPr>
          <w:spacing w:val="-1"/>
          <w:sz w:val="21"/>
        </w:rPr>
        <w:t>（</w:t>
      </w:r>
      <w:r>
        <w:rPr>
          <w:sz w:val="21"/>
        </w:rPr>
        <w:t>CT</w:t>
      </w:r>
      <w:r>
        <w:rPr>
          <w:spacing w:val="-105"/>
          <w:sz w:val="21"/>
        </w:rPr>
        <w:t>）</w:t>
      </w:r>
      <w:r>
        <w:rPr>
          <w:spacing w:val="-91"/>
          <w:sz w:val="21"/>
        </w:rPr>
        <w:t>，</w:t>
      </w:r>
      <w:r>
        <w:rPr>
          <w:sz w:val="21"/>
        </w:rPr>
        <w:t>核磁共振检</w:t>
      </w:r>
      <w:r>
        <w:rPr>
          <w:spacing w:val="-90"/>
          <w:sz w:val="21"/>
        </w:rPr>
        <w:t>查</w:t>
      </w:r>
      <w:r>
        <w:rPr>
          <w:spacing w:val="-1"/>
          <w:sz w:val="21"/>
        </w:rPr>
        <w:t>（</w:t>
      </w:r>
      <w:r>
        <w:rPr>
          <w:sz w:val="21"/>
        </w:rPr>
        <w:t>MRI）</w:t>
      </w:r>
      <w:r>
        <w:rPr>
          <w:spacing w:val="-1"/>
          <w:sz w:val="21"/>
        </w:rPr>
        <w:t>或正</w:t>
      </w:r>
      <w:r>
        <w:rPr>
          <w:sz w:val="21"/>
        </w:rPr>
        <w:t>电子发射断层扫描（PET）等影像学检查证实。</w:t>
      </w:r>
    </w:p>
    <w:p>
      <w:pPr>
        <w:spacing w:line="271" w:lineRule="exact" w:before="0"/>
        <w:ind w:left="2654" w:right="0" w:firstLine="0"/>
        <w:jc w:val="left"/>
        <w:rPr>
          <w:b/>
          <w:i/>
          <w:sz w:val="22"/>
        </w:rPr>
      </w:pPr>
      <w:r>
        <w:rPr>
          <w:w w:val="95"/>
          <w:sz w:val="21"/>
        </w:rPr>
        <w:t>上述情况必须有至少一个月的病历记录加以证实。</w:t>
      </w:r>
      <w:r>
        <w:rPr>
          <w:b/>
          <w:i/>
          <w:w w:val="95"/>
          <w:sz w:val="22"/>
        </w:rPr>
        <w:t>由于酗酒或滥用药物所致的植</w:t>
      </w:r>
    </w:p>
    <w:p>
      <w:pPr>
        <w:pStyle w:val="Heading2"/>
        <w:spacing w:before="28"/>
        <w:ind w:left="2654"/>
      </w:pPr>
      <w:r>
        <w:rPr>
          <w:w w:val="95"/>
        </w:rPr>
        <w:t>物人状态不在保障范围内。</w:t>
      </w:r>
    </w:p>
    <w:p>
      <w:pPr>
        <w:pStyle w:val="BodyText"/>
        <w:spacing w:before="5"/>
        <w:rPr>
          <w:b/>
          <w:i/>
          <w:sz w:val="24"/>
        </w:rPr>
      </w:pPr>
    </w:p>
    <w:p>
      <w:pPr>
        <w:spacing w:after="0"/>
        <w:rPr>
          <w:sz w:val="24"/>
        </w:rPr>
        <w:sectPr>
          <w:type w:val="continuous"/>
          <w:pgSz w:w="11910" w:h="16850"/>
          <w:pgMar w:top="540" w:bottom="1140" w:left="980" w:right="640"/>
        </w:sectPr>
      </w:pPr>
    </w:p>
    <w:p>
      <w:pPr>
        <w:pStyle w:val="Heading3"/>
        <w:numPr>
          <w:ilvl w:val="2"/>
          <w:numId w:val="42"/>
        </w:numPr>
        <w:tabs>
          <w:tab w:pos="1137" w:val="left" w:leader="none"/>
          <w:tab w:pos="1138" w:val="left" w:leader="none"/>
        </w:tabs>
        <w:spacing w:line="276" w:lineRule="auto" w:before="35" w:after="0"/>
        <w:ind w:left="1137" w:right="0" w:hanging="1021"/>
        <w:jc w:val="left"/>
      </w:pPr>
      <w:r>
        <w:rPr>
          <w:spacing w:val="-12"/>
        </w:rPr>
        <w:t>严重 </w:t>
      </w:r>
      <w:r>
        <w:rPr/>
        <w:t>1</w:t>
      </w:r>
      <w:r>
        <w:rPr>
          <w:spacing w:val="-9"/>
        </w:rPr>
        <w:t> 型糖尿病</w:t>
      </w:r>
    </w:p>
    <w:p>
      <w:pPr>
        <w:pStyle w:val="BodyText"/>
        <w:spacing w:line="271" w:lineRule="auto" w:before="35"/>
        <w:ind w:left="116" w:right="251"/>
        <w:jc w:val="both"/>
      </w:pPr>
      <w:r>
        <w:rPr/>
        <w:br w:type="column"/>
      </w:r>
      <w:r>
        <w:rPr>
          <w:spacing w:val="-16"/>
        </w:rPr>
        <w:t>严重 </w:t>
      </w:r>
      <w:r>
        <w:rPr/>
        <w:t>1</w:t>
      </w:r>
      <w:r>
        <w:rPr>
          <w:spacing w:val="-7"/>
        </w:rPr>
        <w:t> 型糖尿病为由于胰岛素分泌绝对不足引起的慢性血糖升高，且已经持续性</w:t>
      </w:r>
      <w:r>
        <w:rPr>
          <w:spacing w:val="-11"/>
        </w:rPr>
        <w:t>地依赖外源性胰岛素维持 </w:t>
      </w:r>
      <w:r>
        <w:rPr/>
        <w:t>180</w:t>
      </w:r>
      <w:r>
        <w:rPr>
          <w:spacing w:val="-11"/>
        </w:rPr>
        <w:t> 日以上。须经血胰岛素测定、血 </w:t>
      </w:r>
      <w:r>
        <w:rPr/>
        <w:t>C</w:t>
      </w:r>
      <w:r>
        <w:rPr>
          <w:spacing w:val="-17"/>
        </w:rPr>
        <w:t> 肽测定或尿 </w:t>
      </w:r>
      <w:r>
        <w:rPr/>
        <w:t>C</w:t>
      </w:r>
      <w:r>
        <w:rPr>
          <w:spacing w:val="-23"/>
        </w:rPr>
        <w:t> 肽</w:t>
      </w:r>
      <w:r>
        <w:rPr>
          <w:spacing w:val="-20"/>
        </w:rPr>
        <w:t>测定，结果异常，并由内分泌科专科医生明确诊断。并须在本合同有效期内，满</w:t>
      </w:r>
      <w:r>
        <w:rPr>
          <w:spacing w:val="-25"/>
        </w:rPr>
        <w:t>足下述至少 </w:t>
      </w:r>
      <w:r>
        <w:rPr/>
        <w:t>1</w:t>
      </w:r>
      <w:r>
        <w:rPr>
          <w:spacing w:val="-10"/>
        </w:rPr>
        <w:t> 个条件：</w:t>
      </w:r>
    </w:p>
    <w:p>
      <w:pPr>
        <w:pStyle w:val="ListParagraph"/>
        <w:numPr>
          <w:ilvl w:val="0"/>
          <w:numId w:val="46"/>
        </w:numPr>
        <w:tabs>
          <w:tab w:pos="748" w:val="left" w:leader="none"/>
        </w:tabs>
        <w:spacing w:line="240" w:lineRule="auto" w:before="13" w:after="0"/>
        <w:ind w:left="116" w:right="0" w:firstLine="0"/>
        <w:jc w:val="left"/>
        <w:rPr>
          <w:sz w:val="21"/>
        </w:rPr>
      </w:pPr>
      <w:r>
        <w:rPr>
          <w:sz w:val="21"/>
        </w:rPr>
        <w:t>已出现增殖性视网膜病变；</w:t>
      </w:r>
    </w:p>
    <w:p>
      <w:pPr>
        <w:pStyle w:val="ListParagraph"/>
        <w:numPr>
          <w:ilvl w:val="0"/>
          <w:numId w:val="46"/>
        </w:numPr>
        <w:tabs>
          <w:tab w:pos="748" w:val="left" w:leader="none"/>
        </w:tabs>
        <w:spacing w:line="240" w:lineRule="auto" w:before="40" w:after="0"/>
        <w:ind w:left="116" w:right="0" w:firstLine="0"/>
        <w:jc w:val="left"/>
        <w:rPr>
          <w:sz w:val="21"/>
        </w:rPr>
      </w:pPr>
      <w:r>
        <w:rPr>
          <w:sz w:val="21"/>
        </w:rPr>
        <w:t>须植入心脏起搏器治疗心脏病；</w:t>
      </w:r>
    </w:p>
    <w:p>
      <w:pPr>
        <w:pStyle w:val="ListParagraph"/>
        <w:numPr>
          <w:ilvl w:val="0"/>
          <w:numId w:val="46"/>
        </w:numPr>
        <w:tabs>
          <w:tab w:pos="748" w:val="left" w:leader="none"/>
        </w:tabs>
        <w:spacing w:line="261" w:lineRule="auto" w:before="40" w:after="0"/>
        <w:ind w:left="116" w:right="266" w:firstLine="0"/>
        <w:jc w:val="left"/>
        <w:rPr>
          <w:sz w:val="21"/>
        </w:rPr>
      </w:pPr>
      <w:r>
        <w:rPr>
          <w:sz w:val="21"/>
        </w:rPr>
        <w:t>在本公司认可医院内已经进行了医疗必须的由足踝或以上位置的单足截除手术。</w:t>
      </w:r>
    </w:p>
    <w:p>
      <w:pPr>
        <w:spacing w:after="0" w:line="261" w:lineRule="auto"/>
        <w:jc w:val="left"/>
        <w:rPr>
          <w:sz w:val="21"/>
        </w:rPr>
        <w:sectPr>
          <w:type w:val="continuous"/>
          <w:pgSz w:w="11910" w:h="16850"/>
          <w:pgMar w:top="540" w:bottom="1140" w:left="980" w:right="640"/>
          <w:cols w:num="2" w:equalWidth="0">
            <w:col w:w="2446" w:space="92"/>
            <w:col w:w="7752"/>
          </w:cols>
        </w:sectPr>
      </w:pPr>
    </w:p>
    <w:p>
      <w:pPr>
        <w:pStyle w:val="BodyText"/>
        <w:spacing w:before="0"/>
        <w:rPr>
          <w:sz w:val="23"/>
        </w:rPr>
      </w:pPr>
    </w:p>
    <w:p>
      <w:pPr>
        <w:spacing w:after="0"/>
        <w:rPr>
          <w:sz w:val="23"/>
        </w:rPr>
        <w:sectPr>
          <w:type w:val="continuous"/>
          <w:pgSz w:w="11910" w:h="16850"/>
          <w:pgMar w:top="540" w:bottom="1140" w:left="980" w:right="640"/>
        </w:sectPr>
      </w:pPr>
    </w:p>
    <w:p>
      <w:pPr>
        <w:pStyle w:val="Heading3"/>
        <w:numPr>
          <w:ilvl w:val="2"/>
          <w:numId w:val="42"/>
        </w:numPr>
        <w:tabs>
          <w:tab w:pos="1137" w:val="left" w:leader="none"/>
          <w:tab w:pos="1138" w:val="left" w:leader="none"/>
        </w:tabs>
        <w:spacing w:line="240" w:lineRule="auto" w:before="35" w:after="0"/>
        <w:ind w:left="2654" w:right="0" w:hanging="2538"/>
        <w:jc w:val="left"/>
      </w:pPr>
      <w:r>
        <w:rPr>
          <w:spacing w:val="2"/>
          <w:w w:val="95"/>
        </w:rPr>
        <w:t>非阿尔茨海默</w:t>
      </w:r>
    </w:p>
    <w:p>
      <w:pPr>
        <w:spacing w:line="276" w:lineRule="auto" w:before="39"/>
        <w:ind w:left="1137" w:right="0" w:firstLine="0"/>
        <w:jc w:val="left"/>
        <w:rPr>
          <w:rFonts w:ascii="楷体" w:eastAsia="楷体" w:hint="eastAsia"/>
          <w:b/>
          <w:sz w:val="21"/>
        </w:rPr>
      </w:pPr>
      <w:r>
        <w:rPr>
          <w:rFonts w:ascii="楷体" w:eastAsia="楷体" w:hint="eastAsia"/>
          <w:b/>
          <w:w w:val="95"/>
          <w:sz w:val="21"/>
        </w:rPr>
        <w:t>病所致严重痴</w:t>
      </w:r>
      <w:r>
        <w:rPr>
          <w:rFonts w:ascii="楷体" w:eastAsia="楷体" w:hint="eastAsia"/>
          <w:b/>
          <w:sz w:val="21"/>
        </w:rPr>
        <w:t>呆</w:t>
      </w:r>
    </w:p>
    <w:p>
      <w:pPr>
        <w:pStyle w:val="BodyText"/>
        <w:spacing w:line="268" w:lineRule="auto" w:before="35"/>
        <w:ind w:left="116" w:right="257"/>
        <w:jc w:val="both"/>
        <w:rPr>
          <w:b/>
          <w:i/>
          <w:sz w:val="22"/>
        </w:rPr>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w:t>
      </w:r>
      <w:r>
        <w:rPr>
          <w:spacing w:val="-1"/>
        </w:rPr>
        <w:t>上，日常生活必须持续受到他人监护。导致痴呆的疾病必须明确诊断，并且由完</w:t>
      </w:r>
      <w:r>
        <w:rPr>
          <w:spacing w:val="-2"/>
          <w:w w:val="95"/>
        </w:rPr>
        <w:t>整的临床、实验室和影像学检查结果证实。</w:t>
      </w:r>
      <w:r>
        <w:rPr>
          <w:b/>
          <w:i/>
          <w:w w:val="95"/>
          <w:sz w:val="22"/>
        </w:rPr>
        <w:t>神经官能症和精神疾病不在保障范围 内。</w:t>
      </w:r>
    </w:p>
    <w:p>
      <w:pPr>
        <w:spacing w:after="0" w:line="268" w:lineRule="auto"/>
        <w:jc w:val="both"/>
        <w:rPr>
          <w:sz w:val="22"/>
        </w:rPr>
        <w:sectPr>
          <w:type w:val="continuous"/>
          <w:pgSz w:w="11910" w:h="16850"/>
          <w:pgMar w:top="540" w:bottom="1140" w:left="980" w:right="640"/>
          <w:cols w:num="2" w:equalWidth="0">
            <w:col w:w="2430" w:space="108"/>
            <w:col w:w="7752"/>
          </w:cols>
        </w:sectPr>
      </w:pPr>
    </w:p>
    <w:p>
      <w:pPr>
        <w:pStyle w:val="BodyText"/>
        <w:spacing w:before="4"/>
        <w:rPr>
          <w:b/>
          <w:i/>
          <w:sz w:val="22"/>
        </w:rPr>
      </w:pPr>
    </w:p>
    <w:p>
      <w:pPr>
        <w:spacing w:after="0"/>
        <w:rPr>
          <w:sz w:val="22"/>
        </w:rPr>
        <w:sectPr>
          <w:type w:val="continuous"/>
          <w:pgSz w:w="11910" w:h="16850"/>
          <w:pgMar w:top="540" w:bottom="1140" w:left="980" w:right="640"/>
        </w:sectPr>
      </w:pPr>
    </w:p>
    <w:p>
      <w:pPr>
        <w:pStyle w:val="Heading3"/>
        <w:numPr>
          <w:ilvl w:val="2"/>
          <w:numId w:val="42"/>
        </w:numPr>
        <w:tabs>
          <w:tab w:pos="1137" w:val="left" w:leader="none"/>
          <w:tab w:pos="1138" w:val="left" w:leader="none"/>
        </w:tabs>
        <w:spacing w:line="240" w:lineRule="auto" w:before="35" w:after="0"/>
        <w:ind w:left="2654" w:right="0" w:hanging="2538"/>
        <w:jc w:val="left"/>
      </w:pPr>
      <w:r>
        <w:rPr>
          <w:spacing w:val="2"/>
          <w:w w:val="95"/>
        </w:rPr>
        <w:t>严重冠状动脉</w:t>
      </w:r>
    </w:p>
    <w:p>
      <w:pPr>
        <w:spacing w:line="276" w:lineRule="auto" w:before="25"/>
        <w:ind w:left="1137" w:right="0" w:firstLine="0"/>
        <w:jc w:val="left"/>
        <w:rPr>
          <w:rFonts w:ascii="楷体" w:eastAsia="楷体" w:hint="eastAsia"/>
          <w:b/>
          <w:sz w:val="21"/>
        </w:rPr>
      </w:pPr>
      <w:r>
        <w:rPr>
          <w:rFonts w:ascii="楷体" w:eastAsia="楷体" w:hint="eastAsia"/>
          <w:b/>
          <w:w w:val="95"/>
          <w:sz w:val="21"/>
        </w:rPr>
        <w:t>粥样硬化性心脏病</w:t>
      </w:r>
    </w:p>
    <w:p>
      <w:pPr>
        <w:pStyle w:val="BodyText"/>
        <w:spacing w:line="261" w:lineRule="auto" w:before="35"/>
        <w:ind w:left="116" w:right="265"/>
      </w:pPr>
      <w:r>
        <w:rPr/>
        <w:br w:type="column"/>
      </w:r>
      <w:r>
        <w:rPr/>
        <w:t>指经冠状动脉造影检查明确诊断为主要血管严重狭窄性病变，须满足下列至少一项条件：</w:t>
      </w:r>
    </w:p>
    <w:p>
      <w:pPr>
        <w:pStyle w:val="ListParagraph"/>
        <w:numPr>
          <w:ilvl w:val="0"/>
          <w:numId w:val="47"/>
        </w:numPr>
        <w:tabs>
          <w:tab w:pos="717" w:val="left" w:leader="none"/>
        </w:tabs>
        <w:spacing w:line="276" w:lineRule="auto" w:before="21" w:after="0"/>
        <w:ind w:left="116" w:right="198" w:firstLine="0"/>
        <w:jc w:val="left"/>
        <w:rPr>
          <w:sz w:val="21"/>
        </w:rPr>
      </w:pPr>
      <w:r>
        <w:rPr>
          <w:spacing w:val="-4"/>
          <w:sz w:val="21"/>
        </w:rPr>
        <w:t>左冠状动脉主干和右冠状动脉中，一支血管管腔堵塞 </w:t>
      </w:r>
      <w:r>
        <w:rPr>
          <w:sz w:val="21"/>
        </w:rPr>
        <w:t>75%</w:t>
      </w:r>
      <w:r>
        <w:rPr>
          <w:spacing w:val="-6"/>
          <w:sz w:val="21"/>
        </w:rPr>
        <w:t>以上，另一支血管</w:t>
      </w:r>
      <w:r>
        <w:rPr>
          <w:spacing w:val="-14"/>
          <w:sz w:val="21"/>
        </w:rPr>
        <w:t>管腔堵塞 </w:t>
      </w:r>
      <w:r>
        <w:rPr>
          <w:sz w:val="21"/>
        </w:rPr>
        <w:t>60%以上；</w:t>
      </w:r>
    </w:p>
    <w:p>
      <w:pPr>
        <w:pStyle w:val="ListParagraph"/>
        <w:numPr>
          <w:ilvl w:val="0"/>
          <w:numId w:val="47"/>
        </w:numPr>
        <w:tabs>
          <w:tab w:pos="717" w:val="left" w:leader="none"/>
        </w:tabs>
        <w:spacing w:line="276" w:lineRule="auto" w:before="9" w:after="0"/>
        <w:ind w:left="116" w:right="229" w:firstLine="0"/>
        <w:jc w:val="left"/>
        <w:rPr>
          <w:sz w:val="21"/>
        </w:rPr>
      </w:pPr>
      <w:r>
        <w:rPr>
          <w:spacing w:val="-10"/>
          <w:sz w:val="21"/>
        </w:rPr>
        <w:t>左前降支、左旋支和右冠状动脉中，至少一支血管官腔堵塞 </w:t>
      </w:r>
      <w:r>
        <w:rPr>
          <w:sz w:val="21"/>
        </w:rPr>
        <w:t>75%</w:t>
      </w:r>
      <w:r>
        <w:rPr>
          <w:spacing w:val="-8"/>
          <w:sz w:val="21"/>
        </w:rPr>
        <w:t>以上，其他</w:t>
      </w:r>
      <w:r>
        <w:rPr>
          <w:spacing w:val="-13"/>
          <w:sz w:val="21"/>
        </w:rPr>
        <w:t>两支血管官腔堵塞 </w:t>
      </w:r>
      <w:r>
        <w:rPr>
          <w:sz w:val="21"/>
        </w:rPr>
        <w:t>60%以上。</w:t>
      </w:r>
    </w:p>
    <w:p>
      <w:pPr>
        <w:pStyle w:val="Heading2"/>
        <w:spacing w:line="270" w:lineRule="exact"/>
      </w:pPr>
      <w:r>
        <w:rPr>
          <w:w w:val="95"/>
        </w:rPr>
        <w:t>左前降支的分支血管、左旋支的分支血管及右冠状动脉的分支血管的狭窄不作为</w:t>
      </w:r>
    </w:p>
    <w:p>
      <w:pPr>
        <w:spacing w:before="27"/>
        <w:ind w:left="116" w:right="0" w:firstLine="0"/>
        <w:jc w:val="left"/>
        <w:rPr>
          <w:b/>
          <w:i/>
          <w:sz w:val="22"/>
        </w:rPr>
      </w:pPr>
      <w:r>
        <w:rPr>
          <w:b/>
          <w:i/>
          <w:w w:val="95"/>
          <w:sz w:val="22"/>
        </w:rPr>
        <w:t>本保障的衡量指标。</w:t>
      </w:r>
    </w:p>
    <w:p>
      <w:pPr>
        <w:spacing w:after="0"/>
        <w:jc w:val="left"/>
        <w:rPr>
          <w:sz w:val="22"/>
        </w:rPr>
        <w:sectPr>
          <w:type w:val="continuous"/>
          <w:pgSz w:w="11910" w:h="16850"/>
          <w:pgMar w:top="540" w:bottom="1140" w:left="980" w:right="640"/>
          <w:cols w:num="2" w:equalWidth="0">
            <w:col w:w="2430" w:space="108"/>
            <w:col w:w="7752"/>
          </w:cols>
        </w:sectPr>
      </w:pPr>
    </w:p>
    <w:p>
      <w:pPr>
        <w:pStyle w:val="ListParagraph"/>
        <w:numPr>
          <w:ilvl w:val="2"/>
          <w:numId w:val="42"/>
        </w:numPr>
        <w:tabs>
          <w:tab w:pos="1137" w:val="left" w:leader="none"/>
          <w:tab w:pos="1138" w:val="left" w:leader="none"/>
          <w:tab w:pos="2654" w:val="left" w:leader="none"/>
        </w:tabs>
        <w:spacing w:line="276" w:lineRule="auto" w:before="16" w:after="0"/>
        <w:ind w:left="2654" w:right="132" w:hanging="2538"/>
        <w:jc w:val="left"/>
        <w:rPr>
          <w:sz w:val="21"/>
        </w:rPr>
      </w:pPr>
      <w:r>
        <w:rPr>
          <w:rFonts w:ascii="楷体" w:eastAsia="楷体" w:hint="eastAsia"/>
          <w:b/>
          <w:sz w:val="21"/>
        </w:rPr>
        <w:t>多发性硬化</w:t>
        <w:tab/>
      </w:r>
      <w:r>
        <w:rPr>
          <w:sz w:val="21"/>
        </w:rPr>
        <w:t>被保险人因脑及脊髓内的脱髓鞘病变而出现神经系统多灶</w:t>
      </w:r>
      <w:r>
        <w:rPr>
          <w:spacing w:val="-46"/>
          <w:sz w:val="21"/>
        </w:rPr>
        <w:t>性</w:t>
      </w:r>
      <w:r>
        <w:rPr>
          <w:sz w:val="21"/>
        </w:rPr>
        <w:t>（多发性</w:t>
      </w:r>
      <w:r>
        <w:rPr>
          <w:spacing w:val="-46"/>
          <w:sz w:val="21"/>
        </w:rPr>
        <w:t>）</w:t>
      </w:r>
      <w:r>
        <w:rPr>
          <w:sz w:val="21"/>
        </w:rPr>
        <w:t>多时</w:t>
      </w:r>
      <w:r>
        <w:rPr>
          <w:spacing w:val="-46"/>
          <w:sz w:val="21"/>
        </w:rPr>
        <w:t>相</w:t>
      </w:r>
      <w:r>
        <w:rPr>
          <w:sz w:val="21"/>
        </w:rPr>
        <w:t>（至少</w:t>
      </w:r>
      <w:r>
        <w:rPr>
          <w:spacing w:val="-45"/>
          <w:sz w:val="21"/>
        </w:rPr>
        <w:t> </w:t>
      </w:r>
      <w:r>
        <w:rPr>
          <w:sz w:val="21"/>
        </w:rPr>
        <w:t>6 个月以内有一次以上（不包含一次）的发作）的病变，须由计算机断层扫描</w:t>
      </w:r>
    </w:p>
    <w:p>
      <w:pPr>
        <w:pStyle w:val="BodyText"/>
        <w:spacing w:line="268" w:lineRule="auto" w:before="8"/>
        <w:ind w:left="2654" w:right="108"/>
      </w:pPr>
      <w:r>
        <w:rPr/>
        <w:t>（CT</w:t>
      </w:r>
      <w:r>
        <w:rPr>
          <w:spacing w:val="-105"/>
        </w:rPr>
        <w:t>）</w:t>
      </w:r>
      <w:r>
        <w:rPr/>
        <w:t>、核磁共振检查</w:t>
      </w:r>
      <w:r>
        <w:rPr>
          <w:spacing w:val="-1"/>
        </w:rPr>
        <w:t>（</w:t>
      </w:r>
      <w:r>
        <w:rPr/>
        <w:t>MRI）或正电子发射断层扫描</w:t>
      </w:r>
      <w:r>
        <w:rPr>
          <w:spacing w:val="-3"/>
        </w:rPr>
        <w:t>（</w:t>
      </w:r>
      <w:r>
        <w:rPr/>
        <w:t>PET）等影像学检查证实，且已经造成自主生活能力完全丧失，无法独立完成六项基本日常生活活动中的三</w:t>
      </w:r>
      <w:r>
        <w:rPr>
          <w:spacing w:val="-4"/>
        </w:rPr>
        <w:t>项或三项以上，持续至少 </w:t>
      </w:r>
      <w:r>
        <w:rPr/>
        <w:t>180 天。</w:t>
      </w:r>
    </w:p>
    <w:p>
      <w:pPr>
        <w:pStyle w:val="BodyText"/>
        <w:spacing w:before="7"/>
        <w:rPr>
          <w:sz w:val="22"/>
        </w:rPr>
      </w:pPr>
    </w:p>
    <w:p>
      <w:pPr>
        <w:spacing w:after="0"/>
        <w:rPr>
          <w:sz w:val="22"/>
        </w:rPr>
        <w:sectPr>
          <w:pgSz w:w="11910" w:h="16850"/>
          <w:pgMar w:header="0" w:footer="944" w:top="1520" w:bottom="1180" w:left="980" w:right="700"/>
        </w:sectPr>
      </w:pPr>
    </w:p>
    <w:p>
      <w:pPr>
        <w:pStyle w:val="Heading3"/>
        <w:numPr>
          <w:ilvl w:val="2"/>
          <w:numId w:val="42"/>
        </w:numPr>
        <w:tabs>
          <w:tab w:pos="1137" w:val="left" w:leader="none"/>
          <w:tab w:pos="1138" w:val="left" w:leader="none"/>
        </w:tabs>
        <w:spacing w:line="240" w:lineRule="auto" w:before="35" w:after="0"/>
        <w:ind w:left="2654" w:right="0" w:hanging="2538"/>
        <w:jc w:val="left"/>
      </w:pPr>
      <w:r>
        <w:rPr>
          <w:spacing w:val="8"/>
          <w:w w:val="95"/>
        </w:rPr>
        <w:t>全身性</w:t>
      </w:r>
      <w:r>
        <w:rPr>
          <w:w w:val="95"/>
        </w:rPr>
        <w:t>（型）</w:t>
      </w:r>
    </w:p>
    <w:p>
      <w:pPr>
        <w:spacing w:before="40"/>
        <w:ind w:left="1137" w:right="0" w:firstLine="0"/>
        <w:jc w:val="left"/>
        <w:rPr>
          <w:rFonts w:ascii="楷体" w:eastAsia="楷体" w:hint="eastAsia"/>
          <w:b/>
          <w:sz w:val="21"/>
        </w:rPr>
      </w:pPr>
      <w:r>
        <w:rPr>
          <w:rFonts w:ascii="楷体" w:eastAsia="楷体" w:hint="eastAsia"/>
          <w:b/>
          <w:w w:val="95"/>
          <w:sz w:val="21"/>
        </w:rPr>
        <w:t>重症肌无力</w:t>
      </w:r>
    </w:p>
    <w:p>
      <w:pPr>
        <w:pStyle w:val="BodyText"/>
        <w:spacing w:line="271" w:lineRule="auto" w:before="35"/>
        <w:ind w:left="116" w:right="205"/>
        <w:jc w:val="both"/>
      </w:pPr>
      <w:r>
        <w:rPr/>
        <w:br w:type="column"/>
      </w:r>
      <w:r>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ListParagraph"/>
        <w:numPr>
          <w:ilvl w:val="0"/>
          <w:numId w:val="48"/>
        </w:numPr>
        <w:tabs>
          <w:tab w:pos="748" w:val="left" w:leader="none"/>
        </w:tabs>
        <w:spacing w:line="240" w:lineRule="auto" w:before="13" w:after="0"/>
        <w:ind w:left="116" w:right="0" w:firstLine="0"/>
        <w:jc w:val="left"/>
        <w:rPr>
          <w:sz w:val="21"/>
        </w:rPr>
      </w:pPr>
      <w:r>
        <w:rPr>
          <w:sz w:val="21"/>
        </w:rPr>
        <w:t>经药物、胸腺手术治疗一年以上无法控制病情，丧失正常工作能力；</w:t>
      </w:r>
    </w:p>
    <w:p>
      <w:pPr>
        <w:pStyle w:val="ListParagraph"/>
        <w:numPr>
          <w:ilvl w:val="0"/>
          <w:numId w:val="48"/>
        </w:numPr>
        <w:tabs>
          <w:tab w:pos="733" w:val="left" w:leader="none"/>
        </w:tabs>
        <w:spacing w:line="276" w:lineRule="auto" w:before="40" w:after="0"/>
        <w:ind w:left="116" w:right="152" w:firstLine="0"/>
        <w:jc w:val="both"/>
        <w:rPr>
          <w:sz w:val="21"/>
        </w:rPr>
      </w:pPr>
      <w:r>
        <w:rPr>
          <w:spacing w:val="-4"/>
          <w:sz w:val="21"/>
        </w:rPr>
        <w:t>出现眼睑下垂，或延髓肌受累引起的构音困难、进食呛咳,或由于肌无力累及延髓肌、呼吸肌而致机体呼吸功能不正常的危急状态即肌无力危象；</w:t>
      </w:r>
    </w:p>
    <w:p>
      <w:pPr>
        <w:pStyle w:val="ListParagraph"/>
        <w:numPr>
          <w:ilvl w:val="0"/>
          <w:numId w:val="48"/>
        </w:numPr>
        <w:tabs>
          <w:tab w:pos="748" w:val="left" w:leader="none"/>
        </w:tabs>
        <w:spacing w:line="276" w:lineRule="auto" w:before="0" w:after="0"/>
        <w:ind w:left="116" w:right="206" w:firstLine="0"/>
        <w:jc w:val="both"/>
        <w:rPr>
          <w:sz w:val="21"/>
        </w:rPr>
      </w:pPr>
      <w:r>
        <w:rPr>
          <w:sz w:val="21"/>
        </w:rPr>
        <w:t>症状缓解、复发及恶化交替出现，临床接受新斯的明等抗胆碱酯酶药物治疗的病史。</w:t>
      </w:r>
    </w:p>
    <w:p>
      <w:pPr>
        <w:spacing w:after="0" w:line="276" w:lineRule="auto"/>
        <w:jc w:val="both"/>
        <w:rPr>
          <w:sz w:val="21"/>
        </w:rPr>
        <w:sectPr>
          <w:type w:val="continuous"/>
          <w:pgSz w:w="11910" w:h="16850"/>
          <w:pgMar w:top="540" w:bottom="1140" w:left="980" w:right="700"/>
          <w:cols w:num="2" w:equalWidth="0">
            <w:col w:w="2430" w:space="108"/>
            <w:col w:w="7692"/>
          </w:cols>
        </w:sectPr>
      </w:pPr>
    </w:p>
    <w:p>
      <w:pPr>
        <w:pStyle w:val="BodyText"/>
        <w:spacing w:before="7"/>
        <w:rPr>
          <w:sz w:val="22"/>
        </w:rPr>
      </w:pPr>
    </w:p>
    <w:p>
      <w:pPr>
        <w:pStyle w:val="ListParagraph"/>
        <w:numPr>
          <w:ilvl w:val="2"/>
          <w:numId w:val="42"/>
        </w:numPr>
        <w:tabs>
          <w:tab w:pos="1138" w:val="left" w:leader="none"/>
        </w:tabs>
        <w:spacing w:line="266" w:lineRule="auto" w:before="35" w:after="0"/>
        <w:ind w:left="2654" w:right="183" w:hanging="2538"/>
        <w:jc w:val="both"/>
        <w:rPr>
          <w:sz w:val="21"/>
        </w:rPr>
      </w:pPr>
      <w:r>
        <w:rPr>
          <w:rFonts w:ascii="楷体" w:eastAsia="楷体" w:hint="eastAsia"/>
          <w:b/>
          <w:spacing w:val="3"/>
          <w:sz w:val="21"/>
        </w:rPr>
        <w:t>严重心肌病   </w:t>
      </w:r>
      <w:r>
        <w:rPr>
          <w:spacing w:val="-1"/>
          <w:sz w:val="21"/>
        </w:rPr>
        <w:t>指不明原因引起的一类心肌病变，包括原发性扩张型心肌病、原发性肥厚型心肌病及原发性限制型心肌病三种，病变必须已造成事实上心室功能障碍而出现明显的心功能衰竭（</w:t>
      </w:r>
      <w:r>
        <w:rPr>
          <w:b/>
          <w:i/>
          <w:w w:val="95"/>
          <w:sz w:val="22"/>
        </w:rPr>
        <w:t>美国纽约心脏协会心功能分类标准心功能</w:t>
      </w:r>
      <w:r>
        <w:rPr>
          <w:b/>
          <w:i/>
          <w:spacing w:val="-54"/>
          <w:sz w:val="22"/>
        </w:rPr>
        <w:t> </w:t>
      </w:r>
      <w:r>
        <w:rPr>
          <w:b/>
          <w:i/>
          <w:w w:val="94"/>
          <w:sz w:val="22"/>
        </w:rPr>
        <w:t>IV</w:t>
      </w:r>
      <w:r>
        <w:rPr>
          <w:b/>
          <w:i/>
          <w:spacing w:val="-51"/>
          <w:sz w:val="22"/>
        </w:rPr>
        <w:t> </w:t>
      </w:r>
      <w:r>
        <w:rPr>
          <w:b/>
          <w:i/>
          <w:w w:val="95"/>
          <w:sz w:val="22"/>
        </w:rPr>
        <w:t>级</w:t>
      </w:r>
      <w:r>
        <w:rPr>
          <w:spacing w:val="-105"/>
          <w:sz w:val="21"/>
        </w:rPr>
        <w:t>）</w:t>
      </w:r>
      <w:r>
        <w:rPr>
          <w:sz w:val="21"/>
        </w:rPr>
        <w:t>，且有相关住院</w:t>
      </w:r>
      <w:r>
        <w:rPr>
          <w:spacing w:val="-7"/>
          <w:sz w:val="21"/>
        </w:rPr>
        <w:t>医疗记录显示 </w:t>
      </w:r>
      <w:r>
        <w:rPr>
          <w:sz w:val="21"/>
        </w:rPr>
        <w:t>IV</w:t>
      </w:r>
      <w:r>
        <w:rPr>
          <w:spacing w:val="-7"/>
          <w:sz w:val="21"/>
        </w:rPr>
        <w:t> 级心功能衰竭状态持续至少一百八十天。</w:t>
      </w:r>
    </w:p>
    <w:p>
      <w:pPr>
        <w:pStyle w:val="Heading2"/>
        <w:spacing w:line="264" w:lineRule="auto" w:before="4"/>
        <w:ind w:left="2654" w:right="176"/>
      </w:pPr>
      <w:r>
        <w:rPr>
          <w:w w:val="95"/>
        </w:rPr>
        <w:t>本病须经专科医生明确诊断。继发于全身性疾病或其它器官系统疾病造成的心肌病变除外。</w:t>
      </w:r>
    </w:p>
    <w:p>
      <w:pPr>
        <w:pStyle w:val="BodyText"/>
        <w:spacing w:line="261" w:lineRule="auto" w:before="16"/>
        <w:ind w:left="2654" w:right="94"/>
      </w:pPr>
      <w:r>
        <w:rPr/>
        <w:t>美国纽约心脏协会分类标准心功能IV 级是指有医院的医疗记录显示病人不能进行任何活动，休息时仍有心悸、呼吸困难等心力衰竭表现。</w:t>
      </w:r>
    </w:p>
    <w:p>
      <w:pPr>
        <w:pStyle w:val="BodyText"/>
        <w:spacing w:before="0"/>
        <w:rPr>
          <w:sz w:val="23"/>
        </w:rPr>
      </w:pPr>
    </w:p>
    <w:p>
      <w:pPr>
        <w:spacing w:after="0"/>
        <w:rPr>
          <w:sz w:val="23"/>
        </w:rPr>
        <w:sectPr>
          <w:type w:val="continuous"/>
          <w:pgSz w:w="11910" w:h="16850"/>
          <w:pgMar w:top="540" w:bottom="1140" w:left="980" w:right="700"/>
        </w:sectPr>
      </w:pPr>
    </w:p>
    <w:p>
      <w:pPr>
        <w:pStyle w:val="Heading3"/>
        <w:numPr>
          <w:ilvl w:val="2"/>
          <w:numId w:val="42"/>
        </w:numPr>
        <w:tabs>
          <w:tab w:pos="1137" w:val="left" w:leader="none"/>
          <w:tab w:pos="1138" w:val="left" w:leader="none"/>
        </w:tabs>
        <w:spacing w:line="240" w:lineRule="auto" w:before="35" w:after="0"/>
        <w:ind w:left="2654" w:right="0" w:hanging="2538"/>
        <w:jc w:val="left"/>
      </w:pPr>
      <w:r>
        <w:rPr>
          <w:spacing w:val="2"/>
          <w:w w:val="95"/>
        </w:rPr>
        <w:t>慢性呼吸功能</w:t>
      </w:r>
    </w:p>
    <w:p>
      <w:pPr>
        <w:spacing w:line="276" w:lineRule="auto" w:before="39"/>
        <w:ind w:left="1137" w:right="0" w:firstLine="0"/>
        <w:jc w:val="left"/>
        <w:rPr>
          <w:rFonts w:ascii="楷体" w:eastAsia="楷体" w:hint="eastAsia"/>
          <w:b/>
          <w:sz w:val="21"/>
        </w:rPr>
      </w:pPr>
      <w:r>
        <w:rPr>
          <w:rFonts w:ascii="楷体" w:eastAsia="楷体" w:hint="eastAsia"/>
          <w:b/>
          <w:w w:val="95"/>
          <w:sz w:val="21"/>
        </w:rPr>
        <w:t>衰竭终末期肺</w:t>
      </w:r>
      <w:r>
        <w:rPr>
          <w:rFonts w:ascii="楷体" w:eastAsia="楷体" w:hint="eastAsia"/>
          <w:b/>
          <w:sz w:val="21"/>
        </w:rPr>
        <w:t>病</w:t>
      </w:r>
    </w:p>
    <w:p>
      <w:pPr>
        <w:pStyle w:val="BodyText"/>
        <w:spacing w:line="276" w:lineRule="auto" w:before="35"/>
        <w:ind w:left="116" w:right="210"/>
      </w:pPr>
      <w:r>
        <w:rPr/>
        <w:br w:type="column"/>
      </w:r>
      <w:r>
        <w:rPr/>
        <w:t>慢性肺部疾病导致永久不可逆性的慢性呼吸功能衰竭。慢性呼吸功能衰竭必须明确诊断并满足下列全部条件：</w:t>
      </w:r>
    </w:p>
    <w:p>
      <w:pPr>
        <w:pStyle w:val="ListParagraph"/>
        <w:numPr>
          <w:ilvl w:val="0"/>
          <w:numId w:val="49"/>
        </w:numPr>
        <w:tabs>
          <w:tab w:pos="748" w:val="left" w:leader="none"/>
        </w:tabs>
        <w:spacing w:line="240" w:lineRule="auto" w:before="8" w:after="0"/>
        <w:ind w:left="747" w:right="0" w:hanging="631"/>
        <w:jc w:val="left"/>
        <w:rPr>
          <w:sz w:val="21"/>
        </w:rPr>
      </w:pPr>
      <w:r>
        <w:rPr>
          <w:spacing w:val="-1"/>
          <w:sz w:val="21"/>
        </w:rPr>
        <w:t>动脉血氧分压</w:t>
      </w:r>
      <w:r>
        <w:rPr>
          <w:sz w:val="21"/>
        </w:rPr>
        <w:t>（PaO2）&lt;50mmHg；</w:t>
      </w:r>
    </w:p>
    <w:p>
      <w:pPr>
        <w:pStyle w:val="ListParagraph"/>
        <w:numPr>
          <w:ilvl w:val="0"/>
          <w:numId w:val="49"/>
        </w:numPr>
        <w:tabs>
          <w:tab w:pos="748" w:val="left" w:leader="none"/>
        </w:tabs>
        <w:spacing w:line="240" w:lineRule="auto" w:before="24" w:after="0"/>
        <w:ind w:left="747" w:right="0" w:hanging="631"/>
        <w:jc w:val="left"/>
        <w:rPr>
          <w:sz w:val="21"/>
        </w:rPr>
      </w:pPr>
      <w:r>
        <w:rPr>
          <w:spacing w:val="-1"/>
          <w:sz w:val="21"/>
        </w:rPr>
        <w:t>动脉血氧饱和度</w:t>
      </w:r>
      <w:r>
        <w:rPr>
          <w:sz w:val="21"/>
        </w:rPr>
        <w:t>（SaO2）&lt;80％；</w:t>
      </w:r>
    </w:p>
    <w:p>
      <w:pPr>
        <w:pStyle w:val="ListParagraph"/>
        <w:numPr>
          <w:ilvl w:val="0"/>
          <w:numId w:val="49"/>
        </w:numPr>
        <w:tabs>
          <w:tab w:pos="748" w:val="left" w:leader="none"/>
        </w:tabs>
        <w:spacing w:line="240" w:lineRule="auto" w:before="40" w:after="0"/>
        <w:ind w:left="747" w:right="0" w:hanging="631"/>
        <w:jc w:val="left"/>
        <w:rPr>
          <w:sz w:val="21"/>
        </w:rPr>
      </w:pPr>
      <w:r>
        <w:rPr>
          <w:sz w:val="21"/>
        </w:rPr>
        <w:t>因缺氧必须接受持续的输氧治疗。</w:t>
      </w:r>
    </w:p>
    <w:p>
      <w:pPr>
        <w:pStyle w:val="BodyText"/>
        <w:ind w:left="116"/>
      </w:pPr>
      <w:r>
        <w:rPr/>
        <w:t>理赔时必须提供以上三项相应的证明文件或检查报告。</w:t>
      </w:r>
    </w:p>
    <w:p>
      <w:pPr>
        <w:spacing w:after="0"/>
        <w:sectPr>
          <w:type w:val="continuous"/>
          <w:pgSz w:w="11910" w:h="16850"/>
          <w:pgMar w:top="540" w:bottom="1140" w:left="980" w:right="700"/>
          <w:cols w:num="2" w:equalWidth="0">
            <w:col w:w="2430" w:space="108"/>
            <w:col w:w="7692"/>
          </w:cols>
        </w:sectPr>
      </w:pPr>
    </w:p>
    <w:p>
      <w:pPr>
        <w:pStyle w:val="BodyText"/>
        <w:spacing w:before="9"/>
        <w:rPr>
          <w:sz w:val="23"/>
        </w:rPr>
      </w:pPr>
    </w:p>
    <w:p>
      <w:pPr>
        <w:pStyle w:val="ListParagraph"/>
        <w:numPr>
          <w:ilvl w:val="2"/>
          <w:numId w:val="42"/>
        </w:numPr>
        <w:tabs>
          <w:tab w:pos="1137" w:val="left" w:leader="none"/>
          <w:tab w:pos="1138" w:val="left" w:leader="none"/>
          <w:tab w:pos="2654" w:val="left" w:leader="none"/>
        </w:tabs>
        <w:spacing w:line="249" w:lineRule="auto" w:before="33" w:after="0"/>
        <w:ind w:left="2654" w:right="198" w:hanging="2538"/>
        <w:jc w:val="left"/>
        <w:rPr>
          <w:sz w:val="21"/>
        </w:rPr>
      </w:pPr>
      <w:r>
        <w:rPr>
          <w:rFonts w:ascii="楷体" w:eastAsia="楷体" w:hint="eastAsia"/>
          <w:b/>
          <w:sz w:val="21"/>
        </w:rPr>
        <w:t>严重心肌炎</w:t>
        <w:tab/>
      </w:r>
      <w:r>
        <w:rPr>
          <w:w w:val="95"/>
          <w:sz w:val="21"/>
        </w:rPr>
        <w:t>指心肌局限性或弥漫性的急性或慢性炎症病变，导致心脏功能障碍</w:t>
      </w:r>
      <w:r>
        <w:rPr>
          <w:spacing w:val="-7"/>
          <w:w w:val="95"/>
          <w:sz w:val="21"/>
        </w:rPr>
        <w:t>，</w:t>
      </w:r>
      <w:r>
        <w:rPr>
          <w:b/>
          <w:i/>
          <w:w w:val="95"/>
          <w:sz w:val="22"/>
        </w:rPr>
        <w:t>达到纽</w:t>
      </w:r>
      <w:r>
        <w:rPr>
          <w:b/>
          <w:i/>
          <w:spacing w:val="15"/>
          <w:w w:val="95"/>
          <w:sz w:val="22"/>
        </w:rPr>
        <w:t>约</w:t>
      </w:r>
      <w:r>
        <w:rPr>
          <w:b/>
          <w:i/>
          <w:w w:val="95"/>
          <w:sz w:val="22"/>
        </w:rPr>
        <w:t>心   </w:t>
      </w:r>
      <w:r>
        <w:rPr>
          <w:b/>
          <w:i/>
          <w:sz w:val="22"/>
        </w:rPr>
        <w:t>脏学会心功能分</w:t>
      </w:r>
      <w:r>
        <w:rPr>
          <w:b/>
          <w:i/>
          <w:spacing w:val="15"/>
          <w:sz w:val="22"/>
        </w:rPr>
        <w:t>级</w:t>
      </w:r>
      <w:r>
        <w:rPr>
          <w:b/>
          <w:i/>
          <w:sz w:val="22"/>
        </w:rPr>
        <w:t>状态分级</w:t>
      </w:r>
      <w:r>
        <w:rPr>
          <w:b/>
          <w:i/>
          <w:spacing w:val="-91"/>
          <w:sz w:val="22"/>
        </w:rPr>
        <w:t> </w:t>
      </w:r>
      <w:r>
        <w:rPr>
          <w:b/>
          <w:i/>
          <w:sz w:val="22"/>
        </w:rPr>
        <w:t>IV</w:t>
      </w:r>
      <w:r>
        <w:rPr>
          <w:b/>
          <w:i/>
          <w:spacing w:val="-90"/>
          <w:sz w:val="22"/>
        </w:rPr>
        <w:t> </w:t>
      </w:r>
      <w:r>
        <w:rPr>
          <w:b/>
          <w:i/>
          <w:sz w:val="22"/>
        </w:rPr>
        <w:t>级</w:t>
      </w:r>
      <w:r>
        <w:rPr>
          <w:sz w:val="21"/>
        </w:rPr>
        <w:t>，且需持续</w:t>
      </w:r>
      <w:r>
        <w:rPr>
          <w:spacing w:val="-15"/>
          <w:sz w:val="21"/>
        </w:rPr>
        <w:t>至</w:t>
      </w:r>
      <w:r>
        <w:rPr>
          <w:sz w:val="21"/>
        </w:rPr>
        <w:t>少</w:t>
      </w:r>
      <w:r>
        <w:rPr>
          <w:spacing w:val="-85"/>
          <w:sz w:val="21"/>
        </w:rPr>
        <w:t> </w:t>
      </w:r>
      <w:r>
        <w:rPr>
          <w:sz w:val="21"/>
        </w:rPr>
        <w:t>90</w:t>
      </w:r>
      <w:r>
        <w:rPr>
          <w:spacing w:val="-84"/>
          <w:sz w:val="21"/>
        </w:rPr>
        <w:t> </w:t>
      </w:r>
      <w:r>
        <w:rPr>
          <w:sz w:val="21"/>
        </w:rPr>
        <w:t>天。</w:t>
      </w:r>
    </w:p>
    <w:p>
      <w:pPr>
        <w:pStyle w:val="BodyText"/>
        <w:spacing w:before="8"/>
        <w:rPr>
          <w:sz w:val="23"/>
        </w:rPr>
      </w:pPr>
    </w:p>
    <w:p>
      <w:pPr>
        <w:spacing w:after="0"/>
        <w:rPr>
          <w:sz w:val="23"/>
        </w:rPr>
        <w:sectPr>
          <w:type w:val="continuous"/>
          <w:pgSz w:w="11910" w:h="16850"/>
          <w:pgMar w:top="540" w:bottom="1140" w:left="980" w:right="700"/>
        </w:sectPr>
      </w:pPr>
    </w:p>
    <w:p>
      <w:pPr>
        <w:pStyle w:val="Heading3"/>
        <w:numPr>
          <w:ilvl w:val="2"/>
          <w:numId w:val="42"/>
        </w:numPr>
        <w:tabs>
          <w:tab w:pos="1137" w:val="left" w:leader="none"/>
          <w:tab w:pos="1138" w:val="left" w:leader="none"/>
        </w:tabs>
        <w:spacing w:line="276" w:lineRule="auto" w:before="36" w:after="0"/>
        <w:ind w:left="1137" w:right="0" w:hanging="1021"/>
        <w:jc w:val="left"/>
      </w:pPr>
      <w:r>
        <w:rPr>
          <w:spacing w:val="2"/>
          <w:w w:val="95"/>
        </w:rPr>
        <w:t>肺淋巴管肌瘤</w:t>
      </w:r>
      <w:r>
        <w:rPr>
          <w:spacing w:val="2"/>
        </w:rPr>
        <w:t>病</w:t>
      </w:r>
    </w:p>
    <w:p>
      <w:pPr>
        <w:pStyle w:val="BodyText"/>
        <w:spacing w:line="276" w:lineRule="auto" w:before="36"/>
        <w:ind w:left="116" w:right="212"/>
      </w:pPr>
      <w:r>
        <w:rPr/>
        <w:br w:type="column"/>
      </w:r>
      <w:r>
        <w:rPr/>
        <w:t>肺淋巴管肌瘤病是一种弥漫性肺部疾病，主要病理改变为肺间质、支气管、血管和淋巴管内出现未成熟的平滑肌异常增生，同时需满足下列全部条件：</w:t>
      </w:r>
    </w:p>
    <w:p>
      <w:pPr>
        <w:pStyle w:val="ListParagraph"/>
        <w:numPr>
          <w:ilvl w:val="0"/>
          <w:numId w:val="50"/>
        </w:numPr>
        <w:tabs>
          <w:tab w:pos="748" w:val="left" w:leader="none"/>
        </w:tabs>
        <w:spacing w:line="240" w:lineRule="auto" w:before="8" w:after="0"/>
        <w:ind w:left="116" w:right="0" w:firstLine="0"/>
        <w:jc w:val="left"/>
        <w:rPr>
          <w:sz w:val="21"/>
        </w:rPr>
      </w:pPr>
      <w:r>
        <w:rPr>
          <w:sz w:val="21"/>
        </w:rPr>
        <w:t>经组织病理学诊断；</w:t>
      </w:r>
    </w:p>
    <w:p>
      <w:pPr>
        <w:pStyle w:val="ListParagraph"/>
        <w:numPr>
          <w:ilvl w:val="0"/>
          <w:numId w:val="50"/>
        </w:numPr>
        <w:tabs>
          <w:tab w:pos="748" w:val="left" w:leader="none"/>
        </w:tabs>
        <w:spacing w:line="240" w:lineRule="auto" w:before="25" w:after="0"/>
        <w:ind w:left="116" w:right="0" w:firstLine="0"/>
        <w:jc w:val="left"/>
        <w:rPr>
          <w:sz w:val="21"/>
        </w:rPr>
      </w:pPr>
      <w:r>
        <w:rPr>
          <w:sz w:val="21"/>
        </w:rPr>
        <w:t>CT</w:t>
      </w:r>
      <w:r>
        <w:rPr>
          <w:spacing w:val="-7"/>
          <w:sz w:val="21"/>
        </w:rPr>
        <w:t> 显示双肺弥漫性囊性改变；</w:t>
      </w:r>
    </w:p>
    <w:p>
      <w:pPr>
        <w:pStyle w:val="ListParagraph"/>
        <w:numPr>
          <w:ilvl w:val="0"/>
          <w:numId w:val="50"/>
        </w:numPr>
        <w:tabs>
          <w:tab w:pos="748" w:val="left" w:leader="none"/>
        </w:tabs>
        <w:spacing w:line="276" w:lineRule="auto" w:before="40" w:after="0"/>
        <w:ind w:left="116" w:right="206" w:firstLine="0"/>
        <w:jc w:val="left"/>
        <w:rPr>
          <w:sz w:val="21"/>
        </w:rPr>
      </w:pPr>
      <w:r>
        <w:rPr>
          <w:sz w:val="21"/>
        </w:rPr>
        <w:t>休息时出现呼吸困难或并经本公司认可医院的专科医生认可有必要进行肺移植手术。</w:t>
      </w:r>
    </w:p>
    <w:p>
      <w:pPr>
        <w:spacing w:after="0" w:line="276" w:lineRule="auto"/>
        <w:jc w:val="left"/>
        <w:rPr>
          <w:sz w:val="21"/>
        </w:rPr>
        <w:sectPr>
          <w:type w:val="continuous"/>
          <w:pgSz w:w="11910" w:h="16850"/>
          <w:pgMar w:top="540" w:bottom="1140" w:left="980" w:right="700"/>
          <w:cols w:num="2" w:equalWidth="0">
            <w:col w:w="2430" w:space="108"/>
            <w:col w:w="7692"/>
          </w:cols>
        </w:sectPr>
      </w:pPr>
    </w:p>
    <w:p>
      <w:pPr>
        <w:pStyle w:val="BodyText"/>
        <w:spacing w:before="0"/>
        <w:rPr>
          <w:sz w:val="22"/>
        </w:rPr>
      </w:pPr>
    </w:p>
    <w:p>
      <w:pPr>
        <w:spacing w:after="0"/>
        <w:rPr>
          <w:sz w:val="22"/>
        </w:rPr>
        <w:sectPr>
          <w:type w:val="continuous"/>
          <w:pgSz w:w="11910" w:h="16850"/>
          <w:pgMar w:top="540" w:bottom="1140" w:left="980" w:right="700"/>
        </w:sectPr>
      </w:pPr>
    </w:p>
    <w:p>
      <w:pPr>
        <w:pStyle w:val="Heading3"/>
        <w:numPr>
          <w:ilvl w:val="2"/>
          <w:numId w:val="42"/>
        </w:numPr>
        <w:tabs>
          <w:tab w:pos="1137" w:val="left" w:leader="none"/>
          <w:tab w:pos="1138" w:val="left" w:leader="none"/>
        </w:tabs>
        <w:spacing w:line="240" w:lineRule="auto" w:before="36" w:after="0"/>
        <w:ind w:left="2654" w:right="0" w:hanging="2538"/>
        <w:jc w:val="left"/>
      </w:pPr>
      <w:r>
        <w:rPr>
          <w:spacing w:val="2"/>
          <w:w w:val="95"/>
        </w:rPr>
        <w:t>侵蚀性葡萄胎</w:t>
      </w:r>
    </w:p>
    <w:p>
      <w:pPr>
        <w:spacing w:line="276" w:lineRule="auto" w:before="25"/>
        <w:ind w:left="1137" w:right="0" w:firstLine="0"/>
        <w:jc w:val="left"/>
        <w:rPr>
          <w:rFonts w:ascii="楷体" w:eastAsia="楷体" w:hint="eastAsia"/>
          <w:b/>
          <w:sz w:val="21"/>
        </w:rPr>
      </w:pPr>
      <w:r>
        <w:rPr>
          <w:rFonts w:ascii="楷体" w:eastAsia="楷体" w:hint="eastAsia"/>
          <w:b/>
          <w:w w:val="95"/>
          <w:sz w:val="21"/>
        </w:rPr>
        <w:t>（或称恶性葡萄胎）</w:t>
      </w:r>
    </w:p>
    <w:p>
      <w:pPr>
        <w:pStyle w:val="BodyText"/>
        <w:spacing w:line="256" w:lineRule="auto" w:before="36"/>
        <w:ind w:left="116" w:right="205"/>
        <w:jc w:val="both"/>
      </w:pPr>
      <w:r>
        <w:rPr/>
        <w:br w:type="column"/>
      </w:r>
      <w:r>
        <w:rPr/>
        <w:t>该类疾病是指异常增生的绒毛组织浸润性生长浸入子宫肌层或转移至其他器官或组织的葡萄胎，经组织病理学检查明确诊断，并已经进行化疗或手术治疗的。</w:t>
      </w:r>
      <w:r>
        <w:rPr>
          <w:b/>
          <w:i/>
          <w:sz w:val="22"/>
        </w:rPr>
        <w:t>流</w:t>
      </w:r>
      <w:r>
        <w:rPr>
          <w:b/>
          <w:i/>
          <w:w w:val="95"/>
          <w:sz w:val="22"/>
        </w:rPr>
        <w:t>产手术不在本疾病保障范围内</w:t>
      </w:r>
      <w:r>
        <w:rPr>
          <w:w w:val="95"/>
        </w:rPr>
        <w:t>。</w:t>
      </w:r>
    </w:p>
    <w:p>
      <w:pPr>
        <w:spacing w:after="0" w:line="256" w:lineRule="auto"/>
        <w:jc w:val="both"/>
        <w:sectPr>
          <w:type w:val="continuous"/>
          <w:pgSz w:w="11910" w:h="16850"/>
          <w:pgMar w:top="540" w:bottom="1140" w:left="980" w:right="700"/>
          <w:cols w:num="2" w:equalWidth="0">
            <w:col w:w="2430" w:space="108"/>
            <w:col w:w="7692"/>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00"/>
        <w:gridCol w:w="7530"/>
      </w:tblGrid>
      <w:tr>
        <w:trPr>
          <w:trHeight w:val="262" w:hRule="atLeast"/>
        </w:trPr>
        <w:tc>
          <w:tcPr>
            <w:tcW w:w="875" w:type="dxa"/>
          </w:tcPr>
          <w:p>
            <w:pPr>
              <w:pStyle w:val="TableParagraph"/>
              <w:spacing w:line="210" w:lineRule="exact"/>
              <w:ind w:left="50"/>
              <w:rPr>
                <w:b/>
                <w:sz w:val="21"/>
              </w:rPr>
            </w:pPr>
            <w:r>
              <w:rPr>
                <w:b/>
                <w:sz w:val="21"/>
              </w:rPr>
              <w:t>9.6.58</w:t>
            </w:r>
          </w:p>
        </w:tc>
        <w:tc>
          <w:tcPr>
            <w:tcW w:w="1600" w:type="dxa"/>
          </w:tcPr>
          <w:p>
            <w:pPr>
              <w:pStyle w:val="TableParagraph"/>
              <w:spacing w:line="210" w:lineRule="exact"/>
              <w:ind w:left="195"/>
              <w:rPr>
                <w:rFonts w:ascii="楷体" w:eastAsia="楷体" w:hint="eastAsia"/>
                <w:b/>
                <w:sz w:val="21"/>
              </w:rPr>
            </w:pPr>
            <w:r>
              <w:rPr>
                <w:rFonts w:ascii="楷体" w:eastAsia="楷体" w:hint="eastAsia"/>
                <w:b/>
                <w:sz w:val="21"/>
              </w:rPr>
              <w:t>III 度房室传</w:t>
            </w:r>
          </w:p>
        </w:tc>
        <w:tc>
          <w:tcPr>
            <w:tcW w:w="7530" w:type="dxa"/>
          </w:tcPr>
          <w:p>
            <w:pPr>
              <w:pStyle w:val="TableParagraph"/>
              <w:spacing w:line="210" w:lineRule="exact"/>
              <w:ind w:left="113"/>
              <w:rPr>
                <w:sz w:val="21"/>
              </w:rPr>
            </w:pPr>
            <w:r>
              <w:rPr>
                <w:sz w:val="21"/>
              </w:rPr>
              <w:t>指心房激动在房室交界区、房室束及其分支内发生阻滞，不能正常地传到心室的</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导阻滞</w:t>
            </w:r>
          </w:p>
        </w:tc>
        <w:tc>
          <w:tcPr>
            <w:tcW w:w="7530" w:type="dxa"/>
          </w:tcPr>
          <w:p>
            <w:pPr>
              <w:pStyle w:val="TableParagraph"/>
              <w:spacing w:line="263" w:lineRule="exact"/>
              <w:ind w:left="113"/>
              <w:rPr>
                <w:sz w:val="21"/>
              </w:rPr>
            </w:pPr>
            <w:r>
              <w:rPr>
                <w:sz w:val="21"/>
              </w:rPr>
              <w:t>心脏传导性疾病，须满足下列所有条件：</w:t>
            </w:r>
          </w:p>
        </w:tc>
      </w:tr>
      <w:tr>
        <w:trPr>
          <w:trHeight w:val="6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30" w:type="dxa"/>
          </w:tcPr>
          <w:p>
            <w:pPr>
              <w:pStyle w:val="TableParagraph"/>
              <w:numPr>
                <w:ilvl w:val="0"/>
                <w:numId w:val="51"/>
              </w:numPr>
              <w:tabs>
                <w:tab w:pos="744" w:val="left" w:leader="none"/>
              </w:tabs>
              <w:spacing w:line="262" w:lineRule="exact" w:before="0" w:after="0"/>
              <w:ind w:left="743" w:right="0" w:hanging="630"/>
              <w:jc w:val="left"/>
              <w:rPr>
                <w:sz w:val="21"/>
              </w:rPr>
            </w:pPr>
            <w:r>
              <w:rPr>
                <w:spacing w:val="-1"/>
                <w:sz w:val="21"/>
              </w:rPr>
              <w:t>心电图显示房室搏动彼此独立，心室率</w:t>
            </w:r>
            <w:r>
              <w:rPr>
                <w:sz w:val="21"/>
              </w:rPr>
              <w:t>&lt;50</w:t>
            </w:r>
            <w:r>
              <w:rPr>
                <w:spacing w:val="-23"/>
                <w:sz w:val="21"/>
              </w:rPr>
              <w:t> 次</w:t>
            </w:r>
            <w:r>
              <w:rPr>
                <w:sz w:val="21"/>
              </w:rPr>
              <w:t>/分钟；</w:t>
            </w:r>
          </w:p>
          <w:p>
            <w:pPr>
              <w:pStyle w:val="TableParagraph"/>
              <w:numPr>
                <w:ilvl w:val="0"/>
                <w:numId w:val="51"/>
              </w:numPr>
              <w:tabs>
                <w:tab w:pos="744" w:val="left" w:leader="none"/>
              </w:tabs>
              <w:spacing w:line="240" w:lineRule="auto" w:before="25" w:after="0"/>
              <w:ind w:left="743" w:right="0" w:hanging="630"/>
              <w:jc w:val="left"/>
              <w:rPr>
                <w:sz w:val="21"/>
              </w:rPr>
            </w:pPr>
            <w:r>
              <w:rPr>
                <w:spacing w:val="-1"/>
                <w:sz w:val="21"/>
              </w:rPr>
              <w:t>出现阿-斯综合征或心力衰竭的表现；</w:t>
            </w:r>
          </w:p>
        </w:tc>
      </w:tr>
      <w:tr>
        <w:trPr>
          <w:trHeight w:val="472"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30" w:type="dxa"/>
          </w:tcPr>
          <w:p>
            <w:pPr>
              <w:pStyle w:val="TableParagraph"/>
              <w:spacing w:line="262" w:lineRule="exact"/>
              <w:ind w:left="113"/>
              <w:rPr>
                <w:sz w:val="21"/>
              </w:rPr>
            </w:pPr>
            <w:r>
              <w:rPr>
                <w:sz w:val="21"/>
              </w:rPr>
              <w:t>（3） 必须持续性依赖心脏起搏器维持心脏正常功能，且已经放置心脏起搏器。</w:t>
            </w:r>
          </w:p>
        </w:tc>
      </w:tr>
      <w:tr>
        <w:trPr>
          <w:trHeight w:val="472" w:hRule="atLeast"/>
        </w:trPr>
        <w:tc>
          <w:tcPr>
            <w:tcW w:w="875" w:type="dxa"/>
          </w:tcPr>
          <w:p>
            <w:pPr>
              <w:pStyle w:val="TableParagraph"/>
              <w:spacing w:before="145"/>
              <w:ind w:left="50"/>
              <w:rPr>
                <w:b/>
                <w:sz w:val="21"/>
              </w:rPr>
            </w:pPr>
            <w:r>
              <w:rPr>
                <w:b/>
                <w:sz w:val="21"/>
              </w:rPr>
              <w:t>9.6.59</w:t>
            </w:r>
          </w:p>
        </w:tc>
        <w:tc>
          <w:tcPr>
            <w:tcW w:w="1600" w:type="dxa"/>
          </w:tcPr>
          <w:p>
            <w:pPr>
              <w:pStyle w:val="TableParagraph"/>
              <w:spacing w:before="145"/>
              <w:ind w:left="195"/>
              <w:rPr>
                <w:rFonts w:ascii="楷体" w:eastAsia="楷体" w:hint="eastAsia"/>
                <w:b/>
                <w:sz w:val="21"/>
              </w:rPr>
            </w:pPr>
            <w:r>
              <w:rPr>
                <w:rFonts w:ascii="楷体" w:eastAsia="楷体" w:hint="eastAsia"/>
                <w:b/>
                <w:w w:val="95"/>
                <w:sz w:val="21"/>
              </w:rPr>
              <w:t>感染性心内膜</w:t>
            </w:r>
          </w:p>
        </w:tc>
        <w:tc>
          <w:tcPr>
            <w:tcW w:w="7530" w:type="dxa"/>
          </w:tcPr>
          <w:p>
            <w:pPr>
              <w:pStyle w:val="TableParagraph"/>
              <w:spacing w:before="145"/>
              <w:ind w:left="113"/>
              <w:rPr>
                <w:sz w:val="21"/>
              </w:rPr>
            </w:pPr>
            <w:r>
              <w:rPr>
                <w:sz w:val="21"/>
              </w:rPr>
              <w:t>指因细菌、真菌和其他微生物（如病毒、立克次体、衣原体、螺旋体等）直接感</w:t>
            </w:r>
          </w:p>
        </w:tc>
      </w:tr>
      <w:tr>
        <w:trPr>
          <w:trHeight w:val="6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9"/>
                <w:sz w:val="21"/>
              </w:rPr>
              <w:t>炎</w:t>
            </w:r>
          </w:p>
        </w:tc>
        <w:tc>
          <w:tcPr>
            <w:tcW w:w="7530" w:type="dxa"/>
          </w:tcPr>
          <w:p>
            <w:pPr>
              <w:pStyle w:val="TableParagraph"/>
              <w:spacing w:line="261" w:lineRule="auto"/>
              <w:ind w:left="113" w:right="47"/>
              <w:rPr>
                <w:sz w:val="21"/>
              </w:rPr>
            </w:pPr>
            <w:r>
              <w:rPr>
                <w:sz w:val="21"/>
              </w:rPr>
              <w:t>染而产生心瓣膜或心室壁内膜的炎症，须经心脏专科医生确诊，并符合以下所有条件：</w:t>
            </w:r>
          </w:p>
        </w:tc>
      </w:tr>
      <w:tr>
        <w:trPr>
          <w:trHeight w:val="262" w:hRule="atLeast"/>
        </w:trPr>
        <w:tc>
          <w:tcPr>
            <w:tcW w:w="875" w:type="dxa"/>
          </w:tcPr>
          <w:p>
            <w:pPr>
              <w:pStyle w:val="TableParagraph"/>
              <w:rPr>
                <w:rFonts w:ascii="Times New Roman"/>
                <w:sz w:val="18"/>
              </w:rPr>
            </w:pPr>
          </w:p>
        </w:tc>
        <w:tc>
          <w:tcPr>
            <w:tcW w:w="1600" w:type="dxa"/>
          </w:tcPr>
          <w:p>
            <w:pPr>
              <w:pStyle w:val="TableParagraph"/>
              <w:rPr>
                <w:rFonts w:ascii="Times New Roman"/>
                <w:sz w:val="18"/>
              </w:rPr>
            </w:pPr>
          </w:p>
        </w:tc>
        <w:tc>
          <w:tcPr>
            <w:tcW w:w="7530" w:type="dxa"/>
          </w:tcPr>
          <w:p>
            <w:pPr>
              <w:pStyle w:val="TableParagraph"/>
              <w:spacing w:line="243" w:lineRule="exact"/>
              <w:ind w:left="113"/>
              <w:rPr>
                <w:sz w:val="21"/>
              </w:rPr>
            </w:pPr>
            <w:r>
              <w:rPr>
                <w:sz w:val="21"/>
              </w:rPr>
              <w:t>（1） 血液培养测试结果为阳性，并至少符合以下条件之一：</w:t>
            </w:r>
          </w:p>
        </w:tc>
      </w:tr>
    </w:tbl>
    <w:p>
      <w:pPr>
        <w:pStyle w:val="ListParagraph"/>
        <w:numPr>
          <w:ilvl w:val="1"/>
          <w:numId w:val="52"/>
        </w:numPr>
        <w:tabs>
          <w:tab w:pos="3701" w:val="left" w:leader="none"/>
        </w:tabs>
        <w:spacing w:line="276" w:lineRule="auto" w:before="40" w:after="0"/>
        <w:ind w:left="3640" w:right="116" w:hanging="315"/>
        <w:jc w:val="left"/>
        <w:rPr>
          <w:sz w:val="21"/>
        </w:rPr>
      </w:pPr>
      <w:r>
        <w:rPr>
          <w:spacing w:val="-10"/>
          <w:sz w:val="21"/>
        </w:rPr>
        <w:t>微生物：在赘生物，栓塞的赘生物或心脏内脓肿培养或组织检查证实有微生物；</w:t>
      </w:r>
    </w:p>
    <w:p>
      <w:pPr>
        <w:pStyle w:val="ListParagraph"/>
        <w:numPr>
          <w:ilvl w:val="1"/>
          <w:numId w:val="52"/>
        </w:numPr>
        <w:tabs>
          <w:tab w:pos="3701" w:val="left" w:leader="none"/>
        </w:tabs>
        <w:spacing w:line="240" w:lineRule="auto" w:before="8" w:after="0"/>
        <w:ind w:left="3640" w:right="0" w:hanging="315"/>
        <w:jc w:val="left"/>
        <w:rPr>
          <w:sz w:val="21"/>
        </w:rPr>
      </w:pPr>
      <w:r>
        <w:rPr>
          <w:sz w:val="21"/>
        </w:rPr>
        <w:t>病理性病灶：组织检查证实赘生物或心脏内脓肿有活动性心内膜炎；</w:t>
      </w:r>
    </w:p>
    <w:p>
      <w:pPr>
        <w:pStyle w:val="ListParagraph"/>
        <w:numPr>
          <w:ilvl w:val="1"/>
          <w:numId w:val="52"/>
        </w:numPr>
        <w:tabs>
          <w:tab w:pos="3701" w:val="left" w:leader="none"/>
        </w:tabs>
        <w:spacing w:line="240" w:lineRule="auto" w:before="24" w:after="0"/>
        <w:ind w:left="3640" w:right="0" w:hanging="315"/>
        <w:jc w:val="left"/>
        <w:rPr>
          <w:sz w:val="21"/>
        </w:rPr>
      </w:pPr>
      <w:r>
        <w:rPr>
          <w:sz w:val="21"/>
        </w:rPr>
        <w:t>分别两次血液培养证实有典型的微生物且与心内膜炎符合；</w:t>
      </w:r>
    </w:p>
    <w:p>
      <w:pPr>
        <w:pStyle w:val="ListParagraph"/>
        <w:numPr>
          <w:ilvl w:val="1"/>
          <w:numId w:val="52"/>
        </w:numPr>
        <w:tabs>
          <w:tab w:pos="3701" w:val="left" w:leader="none"/>
        </w:tabs>
        <w:spacing w:line="240" w:lineRule="auto" w:before="40" w:after="0"/>
        <w:ind w:left="3640" w:right="0" w:hanging="315"/>
        <w:jc w:val="left"/>
        <w:rPr>
          <w:sz w:val="21"/>
        </w:rPr>
      </w:pPr>
      <w:r>
        <w:rPr>
          <w:sz w:val="21"/>
        </w:rPr>
        <w:t>持续血液培养证实有微生物阳性反应，且与心内膜炎符合。</w:t>
      </w:r>
    </w:p>
    <w:p>
      <w:pPr>
        <w:pStyle w:val="ListParagraph"/>
        <w:numPr>
          <w:ilvl w:val="1"/>
          <w:numId w:val="50"/>
        </w:numPr>
        <w:tabs>
          <w:tab w:pos="3295" w:val="left" w:leader="none"/>
        </w:tabs>
        <w:spacing w:line="276" w:lineRule="auto" w:before="40" w:after="0"/>
        <w:ind w:left="2694" w:right="118" w:firstLine="0"/>
        <w:jc w:val="left"/>
        <w:rPr>
          <w:sz w:val="21"/>
        </w:rPr>
      </w:pPr>
      <w:r>
        <w:rPr>
          <w:spacing w:val="-2"/>
          <w:sz w:val="21"/>
        </w:rPr>
        <w:t>心内膜炎引起中度心瓣膜关闭不全</w:t>
      </w:r>
      <w:r>
        <w:rPr>
          <w:sz w:val="21"/>
        </w:rPr>
        <w:t>（</w:t>
      </w:r>
      <w:r>
        <w:rPr>
          <w:spacing w:val="-9"/>
          <w:sz w:val="21"/>
        </w:rPr>
        <w:t>指返流指数 </w:t>
      </w:r>
      <w:r>
        <w:rPr>
          <w:sz w:val="21"/>
        </w:rPr>
        <w:t>20%或以上</w:t>
      </w:r>
      <w:r>
        <w:rPr>
          <w:spacing w:val="-30"/>
          <w:sz w:val="21"/>
        </w:rPr>
        <w:t>）</w:t>
      </w:r>
      <w:r>
        <w:rPr>
          <w:sz w:val="21"/>
        </w:rPr>
        <w:t>或中度心瓣膜狭窄（</w:t>
      </w:r>
      <w:r>
        <w:rPr>
          <w:spacing w:val="-3"/>
          <w:sz w:val="21"/>
        </w:rPr>
        <w:t>指心瓣膜开口范围小于或等于正常的 </w:t>
      </w:r>
      <w:r>
        <w:rPr>
          <w:sz w:val="21"/>
        </w:rPr>
        <w:t>30%</w:t>
      </w:r>
      <w:r>
        <w:rPr>
          <w:spacing w:val="-105"/>
          <w:sz w:val="21"/>
        </w:rPr>
        <w:t>）；</w:t>
      </w:r>
    </w:p>
    <w:p>
      <w:pPr>
        <w:pStyle w:val="ListParagraph"/>
        <w:numPr>
          <w:ilvl w:val="1"/>
          <w:numId w:val="50"/>
        </w:numPr>
        <w:tabs>
          <w:tab w:pos="3326" w:val="left" w:leader="none"/>
        </w:tabs>
        <w:spacing w:line="240" w:lineRule="auto" w:before="9" w:after="0"/>
        <w:ind w:left="3325" w:right="0" w:hanging="631"/>
        <w:jc w:val="left"/>
        <w:rPr>
          <w:sz w:val="21"/>
        </w:rPr>
      </w:pPr>
      <w:r>
        <w:rPr>
          <w:sz w:val="21"/>
        </w:rPr>
        <w:t>心内膜炎及心瓣膜损毁程度需经由心脏专科医生确诊。</w:t>
      </w:r>
    </w:p>
    <w:p>
      <w:pPr>
        <w:pStyle w:val="BodyText"/>
        <w:spacing w:before="1"/>
        <w:rPr>
          <w:sz w:val="26"/>
        </w:rPr>
      </w:pPr>
    </w:p>
    <w:p>
      <w:pPr>
        <w:pStyle w:val="ListParagraph"/>
        <w:numPr>
          <w:ilvl w:val="2"/>
          <w:numId w:val="53"/>
        </w:numPr>
        <w:tabs>
          <w:tab w:pos="1178" w:val="left" w:leader="none"/>
        </w:tabs>
        <w:spacing w:line="276" w:lineRule="auto" w:before="0" w:after="0"/>
        <w:ind w:left="2694" w:right="127" w:hanging="2538"/>
        <w:jc w:val="both"/>
        <w:rPr>
          <w:sz w:val="21"/>
        </w:rPr>
      </w:pPr>
      <w:r>
        <w:rPr>
          <w:rFonts w:ascii="楷体" w:eastAsia="楷体" w:hint="eastAsia"/>
          <w:b/>
          <w:spacing w:val="5"/>
          <w:sz w:val="21"/>
        </w:rPr>
        <w:t>肝豆状核变性 </w:t>
      </w:r>
      <w:r>
        <w:rPr>
          <w:sz w:val="21"/>
        </w:rPr>
        <w:t>肝豆状核变性是一种可能危及生命的铜代谢疾病，以铜沉积造成的渐进性肝功能损害及/</w:t>
      </w:r>
      <w:r>
        <w:rPr>
          <w:spacing w:val="-5"/>
          <w:sz w:val="21"/>
        </w:rPr>
        <w:t>或神经功能恶化为特征。必须由本公司认可医院的专科注册医生通过肝脏</w:t>
      </w:r>
      <w:r>
        <w:rPr>
          <w:spacing w:val="-7"/>
          <w:sz w:val="21"/>
        </w:rPr>
        <w:t>活组织检查结果确定诊断并配合螯合剂治疗持续至少 </w:t>
      </w:r>
      <w:r>
        <w:rPr>
          <w:sz w:val="21"/>
        </w:rPr>
        <w:t>6</w:t>
      </w:r>
      <w:r>
        <w:rPr>
          <w:spacing w:val="-12"/>
          <w:sz w:val="21"/>
        </w:rPr>
        <w:t> 个月。</w:t>
      </w:r>
    </w:p>
    <w:p>
      <w:pPr>
        <w:pStyle w:val="BodyText"/>
        <w:spacing w:line="261" w:lineRule="auto" w:before="8"/>
        <w:ind w:left="2694" w:right="185"/>
      </w:pPr>
      <w:r>
        <w:rPr/>
        <w:t>我们承担本项疾病责任不受本附加险合同“责任免除”中“遗传性疾病，先天性畸形、变形或染色体异常”的限制。</w:t>
      </w:r>
    </w:p>
    <w:p>
      <w:pPr>
        <w:pStyle w:val="BodyText"/>
        <w:spacing w:before="9"/>
        <w:rPr>
          <w:sz w:val="25"/>
        </w:rPr>
      </w:pPr>
    </w:p>
    <w:p>
      <w:pPr>
        <w:pStyle w:val="ListParagraph"/>
        <w:numPr>
          <w:ilvl w:val="2"/>
          <w:numId w:val="53"/>
        </w:numPr>
        <w:tabs>
          <w:tab w:pos="1178" w:val="left" w:leader="none"/>
        </w:tabs>
        <w:spacing w:line="276" w:lineRule="auto" w:before="0" w:after="0"/>
        <w:ind w:left="2694" w:right="192" w:hanging="2538"/>
        <w:jc w:val="both"/>
        <w:rPr>
          <w:sz w:val="21"/>
        </w:rPr>
      </w:pPr>
      <w:r>
        <w:rPr>
          <w:rFonts w:ascii="楷体" w:eastAsia="楷体" w:hint="eastAsia"/>
          <w:b/>
          <w:spacing w:val="5"/>
          <w:sz w:val="21"/>
        </w:rPr>
        <w:t>肺源性心脏病 </w:t>
      </w:r>
      <w:r>
        <w:rPr>
          <w:spacing w:val="-1"/>
          <w:sz w:val="21"/>
        </w:rPr>
        <w:t>指由于各种胸肺及支气管病变而继发的肺动脉高压，最后导致以右心室肥大为特征的心脏病。须经呼吸专科医生确诊，且必须同时满足如下诊断标准：</w:t>
      </w:r>
    </w:p>
    <w:p>
      <w:pPr>
        <w:pStyle w:val="ListParagraph"/>
        <w:numPr>
          <w:ilvl w:val="3"/>
          <w:numId w:val="53"/>
        </w:numPr>
        <w:tabs>
          <w:tab w:pos="3326" w:val="left" w:leader="none"/>
        </w:tabs>
        <w:spacing w:line="240" w:lineRule="auto" w:before="9" w:after="0"/>
        <w:ind w:left="3325" w:right="0" w:hanging="631"/>
        <w:jc w:val="left"/>
        <w:rPr>
          <w:sz w:val="21"/>
        </w:rPr>
      </w:pPr>
      <w:r>
        <w:rPr>
          <w:sz w:val="21"/>
        </w:rPr>
        <w:t>左心房压力增高（</w:t>
      </w:r>
      <w:r>
        <w:rPr>
          <w:spacing w:val="-12"/>
          <w:sz w:val="21"/>
        </w:rPr>
        <w:t>不低于 </w:t>
      </w:r>
      <w:r>
        <w:rPr>
          <w:sz w:val="21"/>
        </w:rPr>
        <w:t>20</w:t>
      </w:r>
      <w:r>
        <w:rPr>
          <w:spacing w:val="-12"/>
          <w:sz w:val="21"/>
        </w:rPr>
        <w:t> 个单位</w:t>
      </w:r>
      <w:r>
        <w:rPr>
          <w:spacing w:val="-105"/>
          <w:sz w:val="21"/>
        </w:rPr>
        <w:t>）</w:t>
      </w:r>
      <w:r>
        <w:rPr>
          <w:sz w:val="21"/>
        </w:rPr>
        <w:t>；</w:t>
      </w:r>
    </w:p>
    <w:p>
      <w:pPr>
        <w:pStyle w:val="ListParagraph"/>
        <w:numPr>
          <w:ilvl w:val="3"/>
          <w:numId w:val="53"/>
        </w:numPr>
        <w:tabs>
          <w:tab w:pos="3326" w:val="left" w:leader="none"/>
        </w:tabs>
        <w:spacing w:line="240" w:lineRule="auto" w:before="25" w:after="0"/>
        <w:ind w:left="3325" w:right="0" w:hanging="631"/>
        <w:jc w:val="left"/>
        <w:rPr>
          <w:sz w:val="21"/>
        </w:rPr>
      </w:pPr>
      <w:r>
        <w:rPr>
          <w:spacing w:val="-5"/>
          <w:sz w:val="21"/>
        </w:rPr>
        <w:t>肺血管阻力高于正常值 </w:t>
      </w:r>
      <w:r>
        <w:rPr>
          <w:sz w:val="21"/>
        </w:rPr>
        <w:t>3</w:t>
      </w:r>
      <w:r>
        <w:rPr>
          <w:spacing w:val="-12"/>
          <w:sz w:val="21"/>
        </w:rPr>
        <w:t> 个单位</w:t>
      </w:r>
      <w:r>
        <w:rPr>
          <w:spacing w:val="-1"/>
          <w:sz w:val="21"/>
        </w:rPr>
        <w:t>（</w:t>
      </w:r>
      <w:r>
        <w:rPr>
          <w:sz w:val="21"/>
        </w:rPr>
        <w:t>Pulmonary Resistanc</w:t>
      </w:r>
      <w:r>
        <w:rPr>
          <w:spacing w:val="2"/>
          <w:sz w:val="21"/>
        </w:rPr>
        <w:t>e</w:t>
      </w:r>
      <w:r>
        <w:rPr>
          <w:spacing w:val="-105"/>
          <w:sz w:val="21"/>
        </w:rPr>
        <w:t>）；</w:t>
      </w:r>
    </w:p>
    <w:p>
      <w:pPr>
        <w:pStyle w:val="ListParagraph"/>
        <w:numPr>
          <w:ilvl w:val="3"/>
          <w:numId w:val="53"/>
        </w:numPr>
        <w:tabs>
          <w:tab w:pos="3326" w:val="left" w:leader="none"/>
        </w:tabs>
        <w:spacing w:line="240" w:lineRule="auto" w:before="40" w:after="0"/>
        <w:ind w:left="3325" w:right="0" w:hanging="631"/>
        <w:jc w:val="left"/>
        <w:rPr>
          <w:sz w:val="21"/>
        </w:rPr>
      </w:pPr>
      <w:r>
        <w:rPr>
          <w:spacing w:val="-6"/>
          <w:sz w:val="21"/>
        </w:rPr>
        <w:t>肺动脉血压不低于 </w:t>
      </w:r>
      <w:r>
        <w:rPr>
          <w:sz w:val="21"/>
        </w:rPr>
        <w:t>40</w:t>
      </w:r>
      <w:r>
        <w:rPr>
          <w:spacing w:val="-9"/>
          <w:sz w:val="21"/>
        </w:rPr>
        <w:t> 毫米汞柱；</w:t>
      </w:r>
    </w:p>
    <w:p>
      <w:pPr>
        <w:pStyle w:val="ListParagraph"/>
        <w:numPr>
          <w:ilvl w:val="3"/>
          <w:numId w:val="53"/>
        </w:numPr>
        <w:tabs>
          <w:tab w:pos="3326" w:val="left" w:leader="none"/>
        </w:tabs>
        <w:spacing w:line="240" w:lineRule="auto" w:before="40" w:after="0"/>
        <w:ind w:left="3325" w:right="0" w:hanging="631"/>
        <w:jc w:val="left"/>
        <w:rPr>
          <w:sz w:val="21"/>
        </w:rPr>
      </w:pPr>
      <w:r>
        <w:rPr>
          <w:spacing w:val="-6"/>
          <w:sz w:val="21"/>
        </w:rPr>
        <w:t>肺动脉楔压不低于 </w:t>
      </w:r>
      <w:r>
        <w:rPr>
          <w:sz w:val="21"/>
        </w:rPr>
        <w:t>6</w:t>
      </w:r>
      <w:r>
        <w:rPr>
          <w:spacing w:val="-9"/>
          <w:sz w:val="21"/>
        </w:rPr>
        <w:t> 毫米汞柱；</w:t>
      </w:r>
    </w:p>
    <w:p>
      <w:pPr>
        <w:pStyle w:val="ListParagraph"/>
        <w:numPr>
          <w:ilvl w:val="3"/>
          <w:numId w:val="53"/>
        </w:numPr>
        <w:tabs>
          <w:tab w:pos="3326" w:val="left" w:leader="none"/>
        </w:tabs>
        <w:spacing w:line="240" w:lineRule="auto" w:before="40" w:after="0"/>
        <w:ind w:left="3325" w:right="0" w:hanging="631"/>
        <w:jc w:val="left"/>
        <w:rPr>
          <w:sz w:val="21"/>
        </w:rPr>
      </w:pPr>
      <w:r>
        <w:rPr>
          <w:spacing w:val="-4"/>
          <w:sz w:val="21"/>
        </w:rPr>
        <w:t>右心室心脏舒张期末压力不低于 </w:t>
      </w:r>
      <w:r>
        <w:rPr>
          <w:sz w:val="21"/>
        </w:rPr>
        <w:t>8</w:t>
      </w:r>
      <w:r>
        <w:rPr>
          <w:spacing w:val="-9"/>
          <w:sz w:val="21"/>
        </w:rPr>
        <w:t> 毫米汞柱；</w:t>
      </w:r>
    </w:p>
    <w:p>
      <w:pPr>
        <w:pStyle w:val="ListParagraph"/>
        <w:numPr>
          <w:ilvl w:val="3"/>
          <w:numId w:val="53"/>
        </w:numPr>
        <w:tabs>
          <w:tab w:pos="3326" w:val="left" w:leader="none"/>
        </w:tabs>
        <w:spacing w:line="240" w:lineRule="auto" w:before="40" w:after="0"/>
        <w:ind w:left="3325" w:right="0" w:hanging="631"/>
        <w:jc w:val="left"/>
        <w:rPr>
          <w:sz w:val="21"/>
        </w:rPr>
      </w:pPr>
      <w:r>
        <w:rPr>
          <w:sz w:val="21"/>
        </w:rPr>
        <w:t>右心室过度肥大、扩张，出现右心衰竭和呼吸困难。</w:t>
      </w:r>
    </w:p>
    <w:p>
      <w:pPr>
        <w:pStyle w:val="BodyText"/>
        <w:spacing w:before="12"/>
        <w:rPr>
          <w:sz w:val="25"/>
        </w:rPr>
      </w:pPr>
    </w:p>
    <w:p>
      <w:pPr>
        <w:pStyle w:val="ListParagraph"/>
        <w:numPr>
          <w:ilvl w:val="2"/>
          <w:numId w:val="53"/>
        </w:numPr>
        <w:tabs>
          <w:tab w:pos="1177" w:val="left" w:leader="none"/>
          <w:tab w:pos="1178" w:val="left" w:leader="none"/>
          <w:tab w:pos="2694" w:val="left" w:leader="none"/>
        </w:tabs>
        <w:spacing w:line="240" w:lineRule="auto" w:before="0" w:after="0"/>
        <w:ind w:left="2694" w:right="0" w:hanging="2538"/>
        <w:jc w:val="left"/>
        <w:rPr>
          <w:sz w:val="21"/>
        </w:rPr>
      </w:pPr>
      <w:r>
        <w:rPr>
          <w:rFonts w:ascii="楷体" w:eastAsia="楷体" w:hint="eastAsia"/>
          <w:b/>
          <w:sz w:val="21"/>
        </w:rPr>
        <w:t>肾髓质囊性病</w:t>
        <w:tab/>
      </w:r>
      <w:r>
        <w:rPr>
          <w:sz w:val="21"/>
        </w:rPr>
        <w:t>肾髓质囊性病的诊断须同时符合下列要求：</w:t>
      </w:r>
    </w:p>
    <w:p>
      <w:pPr>
        <w:pStyle w:val="ListParagraph"/>
        <w:numPr>
          <w:ilvl w:val="0"/>
          <w:numId w:val="54"/>
        </w:numPr>
        <w:tabs>
          <w:tab w:pos="3326" w:val="left" w:leader="none"/>
        </w:tabs>
        <w:spacing w:line="240" w:lineRule="auto" w:before="39" w:after="0"/>
        <w:ind w:left="3325" w:right="0" w:hanging="631"/>
        <w:jc w:val="left"/>
        <w:rPr>
          <w:sz w:val="21"/>
        </w:rPr>
      </w:pPr>
      <w:r>
        <w:rPr>
          <w:sz w:val="21"/>
        </w:rPr>
        <w:t>肾髓质有囊肿、肾小管萎缩及间质纤维化等病理改变；</w:t>
      </w:r>
    </w:p>
    <w:p>
      <w:pPr>
        <w:pStyle w:val="ListParagraph"/>
        <w:numPr>
          <w:ilvl w:val="0"/>
          <w:numId w:val="54"/>
        </w:numPr>
        <w:tabs>
          <w:tab w:pos="3326" w:val="left" w:leader="none"/>
        </w:tabs>
        <w:spacing w:line="240" w:lineRule="auto" w:before="40" w:after="0"/>
        <w:ind w:left="3325" w:right="0" w:hanging="631"/>
        <w:jc w:val="left"/>
        <w:rPr>
          <w:sz w:val="21"/>
        </w:rPr>
      </w:pPr>
      <w:r>
        <w:rPr>
          <w:sz w:val="21"/>
        </w:rPr>
        <w:t>肾功能衰竭；</w:t>
      </w:r>
    </w:p>
    <w:p>
      <w:pPr>
        <w:pStyle w:val="ListParagraph"/>
        <w:numPr>
          <w:ilvl w:val="0"/>
          <w:numId w:val="54"/>
        </w:numPr>
        <w:tabs>
          <w:tab w:pos="3326" w:val="left" w:leader="none"/>
        </w:tabs>
        <w:spacing w:line="240" w:lineRule="auto" w:before="40" w:after="0"/>
        <w:ind w:left="3325" w:right="0" w:hanging="631"/>
        <w:jc w:val="left"/>
        <w:rPr>
          <w:sz w:val="21"/>
        </w:rPr>
      </w:pPr>
      <w:r>
        <w:rPr>
          <w:sz w:val="21"/>
        </w:rPr>
        <w:t>诊断须由肾组织活检确定。</w:t>
      </w:r>
    </w:p>
    <w:p>
      <w:pPr>
        <w:pStyle w:val="BodyText"/>
        <w:spacing w:line="276" w:lineRule="auto" w:before="25"/>
        <w:ind w:left="2694" w:right="192"/>
      </w:pPr>
      <w:r>
        <w:rPr/>
        <w:t>我们承担本项疾病责任不受本附加险合同“责任免除”中“遗传性疾病，先天性畸形、变形或染色体异常”的限制。</w:t>
      </w:r>
    </w:p>
    <w:p>
      <w:pPr>
        <w:pStyle w:val="BodyText"/>
        <w:spacing w:before="0"/>
        <w:rPr>
          <w:sz w:val="22"/>
        </w:rPr>
      </w:pPr>
    </w:p>
    <w:p>
      <w:pPr>
        <w:spacing w:after="0"/>
        <w:rPr>
          <w:sz w:val="22"/>
        </w:rPr>
        <w:sectPr>
          <w:pgSz w:w="11910" w:h="16850"/>
          <w:pgMar w:header="0" w:footer="944" w:top="1600" w:bottom="1180" w:left="940" w:right="720"/>
        </w:sectPr>
      </w:pPr>
    </w:p>
    <w:p>
      <w:pPr>
        <w:pStyle w:val="Heading3"/>
        <w:numPr>
          <w:ilvl w:val="2"/>
          <w:numId w:val="53"/>
        </w:numPr>
        <w:tabs>
          <w:tab w:pos="1177" w:val="left" w:leader="none"/>
          <w:tab w:pos="1178" w:val="left" w:leader="none"/>
        </w:tabs>
        <w:spacing w:line="240" w:lineRule="auto" w:before="36" w:after="0"/>
        <w:ind w:left="2694" w:right="0" w:hanging="2538"/>
        <w:jc w:val="left"/>
      </w:pPr>
      <w:r>
        <w:rPr>
          <w:spacing w:val="2"/>
          <w:w w:val="95"/>
        </w:rPr>
        <w:t>严重继发性肺</w:t>
      </w:r>
    </w:p>
    <w:p>
      <w:pPr>
        <w:spacing w:before="40"/>
        <w:ind w:left="1177" w:right="0" w:firstLine="0"/>
        <w:jc w:val="left"/>
        <w:rPr>
          <w:rFonts w:ascii="楷体" w:eastAsia="楷体" w:hint="eastAsia"/>
          <w:b/>
          <w:sz w:val="21"/>
        </w:rPr>
      </w:pPr>
      <w:r>
        <w:rPr>
          <w:rFonts w:ascii="楷体" w:eastAsia="楷体" w:hint="eastAsia"/>
          <w:b/>
          <w:w w:val="95"/>
          <w:sz w:val="21"/>
        </w:rPr>
        <w:t>动脉高压</w:t>
      </w:r>
    </w:p>
    <w:p>
      <w:pPr>
        <w:pStyle w:val="BodyText"/>
        <w:spacing w:line="268" w:lineRule="auto" w:before="36"/>
        <w:ind w:left="156" w:right="133"/>
        <w:jc w:val="both"/>
      </w:pPr>
      <w:r>
        <w:rPr/>
        <w:br w:type="column"/>
      </w:r>
      <w:r>
        <w:rPr/>
        <w:t>继发性肺动脉压力持续增高，导致右心室肥厚，已经造成永久不可逆性的体力活</w:t>
      </w:r>
      <w:r>
        <w:rPr>
          <w:spacing w:val="-7"/>
        </w:rPr>
        <w:t>动能力受限，达到美国纽约心脏病学会心功能状态分级 </w:t>
      </w:r>
      <w:r>
        <w:rPr/>
        <w:t>IV</w:t>
      </w:r>
      <w:r>
        <w:rPr>
          <w:spacing w:val="-9"/>
        </w:rPr>
        <w:t> 级。诊断需要由心脏科</w:t>
      </w:r>
      <w:r>
        <w:rPr>
          <w:spacing w:val="-11"/>
        </w:rPr>
        <w:t>专家确诊，并且心导管检查报告显示静息状态下肺动脉平均压超过 </w:t>
      </w:r>
      <w:r>
        <w:rPr/>
        <w:t>30mmHg。</w:t>
      </w:r>
    </w:p>
    <w:p>
      <w:pPr>
        <w:pStyle w:val="Heading2"/>
        <w:spacing w:before="3"/>
        <w:ind w:left="156"/>
        <w:jc w:val="both"/>
      </w:pPr>
      <w:r>
        <w:rPr>
          <w:w w:val="95"/>
        </w:rPr>
        <w:t>所有先天性心脏疾病直接或间接引起的肺动脉高压也不在保障责任范围内。</w:t>
      </w:r>
    </w:p>
    <w:p>
      <w:pPr>
        <w:spacing w:after="0"/>
        <w:jc w:val="both"/>
        <w:sectPr>
          <w:type w:val="continuous"/>
          <w:pgSz w:w="11910" w:h="16850"/>
          <w:pgMar w:top="540" w:bottom="1140" w:left="940" w:right="720"/>
          <w:cols w:num="2" w:equalWidth="0">
            <w:col w:w="2470" w:space="68"/>
            <w:col w:w="7712"/>
          </w:cols>
        </w:sectPr>
      </w:pPr>
    </w:p>
    <w:p>
      <w:pPr>
        <w:pStyle w:val="Heading3"/>
        <w:numPr>
          <w:ilvl w:val="2"/>
          <w:numId w:val="53"/>
        </w:numPr>
        <w:tabs>
          <w:tab w:pos="1177" w:val="left" w:leader="none"/>
          <w:tab w:pos="1178" w:val="left" w:leader="none"/>
        </w:tabs>
        <w:spacing w:line="276" w:lineRule="auto" w:before="16" w:after="0"/>
        <w:ind w:left="1177" w:right="0" w:hanging="1021"/>
        <w:jc w:val="left"/>
      </w:pPr>
      <w:r>
        <w:rPr>
          <w:spacing w:val="2"/>
          <w:w w:val="95"/>
        </w:rPr>
        <w:t>进行性核上性麻痹</w:t>
      </w:r>
    </w:p>
    <w:p>
      <w:pPr>
        <w:pStyle w:val="BodyText"/>
        <w:spacing w:line="276" w:lineRule="auto" w:before="16"/>
        <w:ind w:left="156" w:right="225"/>
      </w:pPr>
      <w:r>
        <w:rPr/>
        <w:br w:type="column"/>
      </w:r>
      <w:r>
        <w:rPr/>
        <w:t>一种隐袭起病、逐渐加重的神经系统变性疾病。本疾病必须由本公司认可的医院的神经科专科医生确诊，并须满足下列所有条件：</w:t>
      </w:r>
    </w:p>
    <w:p>
      <w:pPr>
        <w:pStyle w:val="ListParagraph"/>
        <w:numPr>
          <w:ilvl w:val="0"/>
          <w:numId w:val="55"/>
        </w:numPr>
        <w:tabs>
          <w:tab w:pos="788" w:val="left" w:leader="none"/>
        </w:tabs>
        <w:spacing w:line="240" w:lineRule="auto" w:before="8" w:after="0"/>
        <w:ind w:left="787" w:right="0" w:hanging="631"/>
        <w:jc w:val="left"/>
        <w:rPr>
          <w:sz w:val="21"/>
        </w:rPr>
      </w:pPr>
      <w:r>
        <w:rPr>
          <w:sz w:val="21"/>
        </w:rPr>
        <w:t>步态共济失调；</w:t>
      </w:r>
    </w:p>
    <w:p>
      <w:pPr>
        <w:pStyle w:val="ListParagraph"/>
        <w:numPr>
          <w:ilvl w:val="0"/>
          <w:numId w:val="55"/>
        </w:numPr>
        <w:tabs>
          <w:tab w:pos="788" w:val="left" w:leader="none"/>
        </w:tabs>
        <w:spacing w:line="240" w:lineRule="auto" w:before="25" w:after="0"/>
        <w:ind w:left="787" w:right="0" w:hanging="631"/>
        <w:jc w:val="left"/>
        <w:rPr>
          <w:sz w:val="21"/>
        </w:rPr>
      </w:pPr>
      <w:r>
        <w:rPr>
          <w:sz w:val="21"/>
        </w:rPr>
        <w:t>对称性眼球垂直运动障碍；</w:t>
      </w:r>
    </w:p>
    <w:p>
      <w:pPr>
        <w:pStyle w:val="ListParagraph"/>
        <w:numPr>
          <w:ilvl w:val="0"/>
          <w:numId w:val="55"/>
        </w:numPr>
        <w:tabs>
          <w:tab w:pos="788" w:val="left" w:leader="none"/>
        </w:tabs>
        <w:spacing w:line="240" w:lineRule="auto" w:before="40" w:after="0"/>
        <w:ind w:left="787" w:right="0" w:hanging="631"/>
        <w:jc w:val="left"/>
        <w:rPr>
          <w:sz w:val="21"/>
        </w:rPr>
      </w:pPr>
      <w:r>
        <w:rPr>
          <w:sz w:val="21"/>
        </w:rPr>
        <w:t>假性球麻痹，表现为构音障碍和吞咽困难。</w:t>
      </w:r>
    </w:p>
    <w:p>
      <w:pPr>
        <w:spacing w:after="0" w:line="240" w:lineRule="auto"/>
        <w:jc w:val="left"/>
        <w:rPr>
          <w:sz w:val="21"/>
        </w:rPr>
        <w:sectPr>
          <w:pgSz w:w="11910" w:h="16850"/>
          <w:pgMar w:header="0" w:footer="944" w:top="1520" w:bottom="1180" w:left="940" w:right="680"/>
          <w:cols w:num="2" w:equalWidth="0">
            <w:col w:w="2470" w:space="68"/>
            <w:col w:w="7752"/>
          </w:cols>
        </w:sectPr>
      </w:pPr>
    </w:p>
    <w:p>
      <w:pPr>
        <w:pStyle w:val="BodyText"/>
        <w:spacing w:before="0"/>
        <w:rPr>
          <w:sz w:val="20"/>
        </w:rPr>
      </w:pPr>
    </w:p>
    <w:p>
      <w:pPr>
        <w:pStyle w:val="BodyText"/>
        <w:spacing w:before="1" w:after="1"/>
        <w:rPr>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00"/>
        <w:gridCol w:w="7598"/>
      </w:tblGrid>
      <w:tr>
        <w:trPr>
          <w:trHeight w:val="262" w:hRule="atLeast"/>
        </w:trPr>
        <w:tc>
          <w:tcPr>
            <w:tcW w:w="875" w:type="dxa"/>
          </w:tcPr>
          <w:p>
            <w:pPr>
              <w:pStyle w:val="TableParagraph"/>
              <w:spacing w:line="210" w:lineRule="exact"/>
              <w:ind w:left="50"/>
              <w:rPr>
                <w:b/>
                <w:sz w:val="21"/>
              </w:rPr>
            </w:pPr>
            <w:r>
              <w:rPr>
                <w:b/>
                <w:sz w:val="21"/>
              </w:rPr>
              <w:t>9.6.65</w:t>
            </w:r>
          </w:p>
        </w:tc>
        <w:tc>
          <w:tcPr>
            <w:tcW w:w="1600" w:type="dxa"/>
          </w:tcPr>
          <w:p>
            <w:pPr>
              <w:pStyle w:val="TableParagraph"/>
              <w:spacing w:line="210" w:lineRule="exact"/>
              <w:ind w:left="195"/>
              <w:rPr>
                <w:rFonts w:ascii="楷体" w:eastAsia="楷体" w:hint="eastAsia"/>
                <w:b/>
                <w:sz w:val="21"/>
              </w:rPr>
            </w:pPr>
            <w:r>
              <w:rPr>
                <w:rFonts w:ascii="楷体" w:eastAsia="楷体" w:hint="eastAsia"/>
                <w:b/>
                <w:w w:val="95"/>
                <w:sz w:val="21"/>
              </w:rPr>
              <w:t>失去一肢及一</w:t>
            </w:r>
          </w:p>
        </w:tc>
        <w:tc>
          <w:tcPr>
            <w:tcW w:w="7598" w:type="dxa"/>
          </w:tcPr>
          <w:p>
            <w:pPr>
              <w:pStyle w:val="TableParagraph"/>
              <w:spacing w:line="210" w:lineRule="exact"/>
              <w:ind w:left="113"/>
              <w:rPr>
                <w:sz w:val="21"/>
              </w:rPr>
            </w:pPr>
            <w:r>
              <w:rPr>
                <w:sz w:val="21"/>
              </w:rPr>
              <w:t>因疾病或者意外伤害导致单眼视力丧失及任何一肢自腕关节或者踝关节近端（靠</w:t>
            </w:r>
          </w:p>
        </w:tc>
      </w:tr>
      <w:tr>
        <w:trPr>
          <w:trHeight w:val="307"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9"/>
                <w:sz w:val="21"/>
              </w:rPr>
              <w:t>眼</w:t>
            </w:r>
          </w:p>
        </w:tc>
        <w:tc>
          <w:tcPr>
            <w:tcW w:w="7598" w:type="dxa"/>
          </w:tcPr>
          <w:p>
            <w:pPr>
              <w:pStyle w:val="TableParagraph"/>
              <w:spacing w:line="263" w:lineRule="exact"/>
              <w:ind w:left="113"/>
              <w:rPr>
                <w:sz w:val="21"/>
              </w:rPr>
            </w:pPr>
            <w:r>
              <w:rPr>
                <w:sz w:val="21"/>
              </w:rPr>
              <w:t>近躯干端）以上完全性断离。单眼视力丧失指单眼视力永久不可逆性丧失，患眼</w:t>
            </w:r>
          </w:p>
        </w:tc>
      </w:tr>
      <w:tr>
        <w:trPr>
          <w:trHeight w:val="307"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55" w:lineRule="exact"/>
              <w:ind w:left="113"/>
              <w:rPr>
                <w:sz w:val="21"/>
              </w:rPr>
            </w:pPr>
            <w:r>
              <w:rPr>
                <w:sz w:val="21"/>
              </w:rPr>
              <w:t>须满足下列至少一项条件：</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（1） 眼球缺失或者摘除；</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（2） 矫正视力低于 0.02（采用国际标准视力表，如果使用其它视力表应进行换</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2" w:lineRule="exact"/>
              <w:ind w:left="113"/>
              <w:rPr>
                <w:sz w:val="21"/>
              </w:rPr>
            </w:pPr>
            <w:r>
              <w:rPr>
                <w:sz w:val="21"/>
              </w:rPr>
              <w:t>算）；</w:t>
            </w:r>
          </w:p>
        </w:tc>
      </w:tr>
      <w:tr>
        <w:trPr>
          <w:trHeight w:val="46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（3） 视野半径小于 5 度。</w:t>
            </w:r>
          </w:p>
        </w:tc>
      </w:tr>
      <w:tr>
        <w:trPr>
          <w:trHeight w:val="465" w:hRule="atLeast"/>
        </w:trPr>
        <w:tc>
          <w:tcPr>
            <w:tcW w:w="875" w:type="dxa"/>
          </w:tcPr>
          <w:p>
            <w:pPr>
              <w:pStyle w:val="TableParagraph"/>
              <w:spacing w:before="138"/>
              <w:ind w:left="50"/>
              <w:rPr>
                <w:b/>
                <w:sz w:val="21"/>
              </w:rPr>
            </w:pPr>
            <w:r>
              <w:rPr>
                <w:b/>
                <w:sz w:val="21"/>
              </w:rPr>
              <w:t>9.6.66</w:t>
            </w:r>
          </w:p>
        </w:tc>
        <w:tc>
          <w:tcPr>
            <w:tcW w:w="1600" w:type="dxa"/>
          </w:tcPr>
          <w:p>
            <w:pPr>
              <w:pStyle w:val="TableParagraph"/>
              <w:spacing w:before="138"/>
              <w:ind w:left="195"/>
              <w:rPr>
                <w:rFonts w:ascii="楷体" w:eastAsia="楷体" w:hint="eastAsia"/>
                <w:b/>
                <w:sz w:val="21"/>
              </w:rPr>
            </w:pPr>
            <w:r>
              <w:rPr>
                <w:rFonts w:ascii="楷体" w:eastAsia="楷体" w:hint="eastAsia"/>
                <w:b/>
                <w:w w:val="95"/>
                <w:sz w:val="21"/>
              </w:rPr>
              <w:t>嗜铬细胞瘤</w:t>
            </w:r>
          </w:p>
        </w:tc>
        <w:tc>
          <w:tcPr>
            <w:tcW w:w="7598" w:type="dxa"/>
          </w:tcPr>
          <w:p>
            <w:pPr>
              <w:pStyle w:val="TableParagraph"/>
              <w:spacing w:before="138"/>
              <w:ind w:left="113"/>
              <w:rPr>
                <w:sz w:val="21"/>
              </w:rPr>
            </w:pPr>
            <w:r>
              <w:rPr>
                <w:sz w:val="21"/>
              </w:rPr>
              <w:t>是指肾上腺或嗜铬外组织出现神经内分泌肿瘤，并分</w:t>
            </w:r>
            <w:r>
              <w:rPr>
                <w:rFonts w:ascii="Arial" w:eastAsia="Arial"/>
                <w:w w:val="115"/>
                <w:sz w:val="21"/>
              </w:rPr>
              <w:t>泌</w:t>
            </w:r>
            <w:r>
              <w:rPr>
                <w:sz w:val="21"/>
              </w:rPr>
              <w:t>过多的儿茶酚胺类，需要</w:t>
            </w:r>
          </w:p>
        </w:tc>
      </w:tr>
      <w:tr>
        <w:trPr>
          <w:trHeight w:val="472"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77" w:lineRule="exact"/>
              <w:ind w:left="113"/>
              <w:rPr>
                <w:sz w:val="21"/>
              </w:rPr>
            </w:pPr>
            <w:r>
              <w:rPr>
                <w:sz w:val="21"/>
              </w:rPr>
              <w:t>确实进</w:t>
            </w:r>
            <w:r>
              <w:rPr>
                <w:rFonts w:ascii="Arial" w:eastAsia="Arial"/>
                <w:w w:val="115"/>
                <w:sz w:val="21"/>
              </w:rPr>
              <w:t>行</w:t>
            </w:r>
            <w:r>
              <w:rPr>
                <w:sz w:val="21"/>
              </w:rPr>
              <w:t>手术以切除肿瘤。嗜铬细胞瘤的诊断必须由内分泌专科医生确定。</w:t>
            </w:r>
          </w:p>
        </w:tc>
      </w:tr>
      <w:tr>
        <w:trPr>
          <w:trHeight w:val="465" w:hRule="atLeast"/>
        </w:trPr>
        <w:tc>
          <w:tcPr>
            <w:tcW w:w="875" w:type="dxa"/>
          </w:tcPr>
          <w:p>
            <w:pPr>
              <w:pStyle w:val="TableParagraph"/>
              <w:spacing w:before="145"/>
              <w:ind w:left="50"/>
              <w:rPr>
                <w:b/>
                <w:sz w:val="21"/>
              </w:rPr>
            </w:pPr>
            <w:r>
              <w:rPr>
                <w:b/>
                <w:sz w:val="21"/>
              </w:rPr>
              <w:t>9.6.67</w:t>
            </w:r>
          </w:p>
        </w:tc>
        <w:tc>
          <w:tcPr>
            <w:tcW w:w="1600" w:type="dxa"/>
          </w:tcPr>
          <w:p>
            <w:pPr>
              <w:pStyle w:val="TableParagraph"/>
              <w:spacing w:before="145"/>
              <w:ind w:left="195"/>
              <w:rPr>
                <w:rFonts w:ascii="楷体" w:eastAsia="楷体" w:hint="eastAsia"/>
                <w:b/>
                <w:sz w:val="21"/>
              </w:rPr>
            </w:pPr>
            <w:r>
              <w:rPr>
                <w:rFonts w:ascii="楷体" w:eastAsia="楷体" w:hint="eastAsia"/>
                <w:b/>
                <w:w w:val="95"/>
                <w:sz w:val="21"/>
              </w:rPr>
              <w:t>小肠移植</w:t>
            </w:r>
          </w:p>
        </w:tc>
        <w:tc>
          <w:tcPr>
            <w:tcW w:w="7598" w:type="dxa"/>
          </w:tcPr>
          <w:p>
            <w:pPr>
              <w:pStyle w:val="TableParagraph"/>
              <w:spacing w:before="145"/>
              <w:ind w:left="113"/>
              <w:rPr>
                <w:sz w:val="21"/>
              </w:rPr>
            </w:pPr>
            <w:r>
              <w:rPr>
                <w:sz w:val="21"/>
              </w:rPr>
              <w:t>指因肠道疾病或意外伤害，已经实施了在全身麻醉下进行的小肠的异体器官移植</w:t>
            </w:r>
          </w:p>
        </w:tc>
      </w:tr>
      <w:tr>
        <w:trPr>
          <w:trHeight w:val="460"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55" w:lineRule="exact"/>
              <w:ind w:left="113"/>
              <w:rPr>
                <w:sz w:val="21"/>
              </w:rPr>
            </w:pPr>
            <w:r>
              <w:rPr>
                <w:sz w:val="21"/>
              </w:rPr>
              <w:t>手术。此手术必须由专科医生认为是医学上必需的情况下进行。</w:t>
            </w:r>
          </w:p>
        </w:tc>
      </w:tr>
      <w:tr>
        <w:trPr>
          <w:trHeight w:val="473" w:hRule="atLeast"/>
        </w:trPr>
        <w:tc>
          <w:tcPr>
            <w:tcW w:w="875" w:type="dxa"/>
          </w:tcPr>
          <w:p>
            <w:pPr>
              <w:pStyle w:val="TableParagraph"/>
              <w:spacing w:before="150"/>
              <w:ind w:left="50"/>
              <w:rPr>
                <w:b/>
                <w:sz w:val="21"/>
              </w:rPr>
            </w:pPr>
            <w:r>
              <w:rPr>
                <w:b/>
                <w:sz w:val="21"/>
              </w:rPr>
              <w:t>9.6.68</w:t>
            </w:r>
          </w:p>
        </w:tc>
        <w:tc>
          <w:tcPr>
            <w:tcW w:w="1600" w:type="dxa"/>
          </w:tcPr>
          <w:p>
            <w:pPr>
              <w:pStyle w:val="TableParagraph"/>
              <w:spacing w:before="150"/>
              <w:ind w:left="195"/>
              <w:rPr>
                <w:rFonts w:ascii="楷体" w:eastAsia="楷体" w:hint="eastAsia"/>
                <w:b/>
                <w:sz w:val="21"/>
              </w:rPr>
            </w:pPr>
            <w:r>
              <w:rPr>
                <w:rFonts w:ascii="楷体" w:eastAsia="楷体" w:hint="eastAsia"/>
                <w:b/>
                <w:w w:val="95"/>
                <w:sz w:val="21"/>
              </w:rPr>
              <w:t>颅脑手术</w:t>
            </w:r>
          </w:p>
        </w:tc>
        <w:tc>
          <w:tcPr>
            <w:tcW w:w="7598" w:type="dxa"/>
          </w:tcPr>
          <w:p>
            <w:pPr>
              <w:pStyle w:val="TableParagraph"/>
              <w:spacing w:before="138"/>
              <w:ind w:left="113"/>
              <w:rPr>
                <w:b/>
                <w:i/>
                <w:sz w:val="22"/>
              </w:rPr>
            </w:pPr>
            <w:r>
              <w:rPr>
                <w:w w:val="95"/>
                <w:sz w:val="21"/>
              </w:rPr>
              <w:t>被保险人确已实施全麻下的开颅手术（</w:t>
            </w:r>
            <w:r>
              <w:rPr>
                <w:b/>
                <w:i/>
                <w:w w:val="95"/>
                <w:sz w:val="22"/>
              </w:rPr>
              <w:t>不包括颅骨钻孔手术和经鼻蝶窦入颅手</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8" w:lineRule="exact"/>
              <w:ind w:left="113"/>
              <w:rPr>
                <w:sz w:val="21"/>
              </w:rPr>
            </w:pPr>
            <w:r>
              <w:rPr>
                <w:b/>
                <w:i/>
                <w:spacing w:val="15"/>
                <w:w w:val="95"/>
                <w:sz w:val="22"/>
              </w:rPr>
              <w:t>术</w:t>
            </w:r>
            <w:r>
              <w:rPr>
                <w:spacing w:val="-105"/>
                <w:w w:val="95"/>
                <w:sz w:val="21"/>
              </w:rPr>
              <w:t>）。</w:t>
            </w:r>
          </w:p>
        </w:tc>
      </w:tr>
      <w:tr>
        <w:trPr>
          <w:trHeight w:val="312"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8" w:lineRule="exact"/>
              <w:ind w:left="113"/>
              <w:rPr>
                <w:b/>
                <w:i/>
                <w:sz w:val="22"/>
              </w:rPr>
            </w:pPr>
            <w:r>
              <w:rPr>
                <w:b/>
                <w:i/>
                <w:w w:val="95"/>
                <w:sz w:val="22"/>
              </w:rPr>
              <w:t>因外伤而实施的脑外科手术不在保障范围之内。</w:t>
            </w:r>
          </w:p>
        </w:tc>
      </w:tr>
      <w:tr>
        <w:trPr>
          <w:trHeight w:val="464"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55" w:lineRule="exact"/>
              <w:ind w:left="113"/>
              <w:rPr>
                <w:sz w:val="21"/>
              </w:rPr>
            </w:pPr>
            <w:r>
              <w:rPr>
                <w:sz w:val="21"/>
              </w:rPr>
              <w:t>理赔时必须提供由神经外科医生出具的诊断书及手术报告。</w:t>
            </w:r>
          </w:p>
        </w:tc>
      </w:tr>
      <w:tr>
        <w:trPr>
          <w:trHeight w:val="472" w:hRule="atLeast"/>
        </w:trPr>
        <w:tc>
          <w:tcPr>
            <w:tcW w:w="875" w:type="dxa"/>
          </w:tcPr>
          <w:p>
            <w:pPr>
              <w:pStyle w:val="TableParagraph"/>
              <w:spacing w:before="145"/>
              <w:ind w:left="50"/>
              <w:rPr>
                <w:b/>
                <w:sz w:val="21"/>
              </w:rPr>
            </w:pPr>
            <w:r>
              <w:rPr>
                <w:b/>
                <w:sz w:val="21"/>
              </w:rPr>
              <w:t>9.6.69</w:t>
            </w:r>
          </w:p>
        </w:tc>
        <w:tc>
          <w:tcPr>
            <w:tcW w:w="1600" w:type="dxa"/>
          </w:tcPr>
          <w:p>
            <w:pPr>
              <w:pStyle w:val="TableParagraph"/>
              <w:spacing w:before="145"/>
              <w:ind w:left="195"/>
              <w:rPr>
                <w:rFonts w:ascii="楷体" w:eastAsia="楷体" w:hint="eastAsia"/>
                <w:b/>
                <w:sz w:val="21"/>
              </w:rPr>
            </w:pPr>
            <w:r>
              <w:rPr>
                <w:rFonts w:ascii="楷体" w:eastAsia="楷体" w:hint="eastAsia"/>
                <w:b/>
                <w:w w:val="95"/>
                <w:sz w:val="21"/>
              </w:rPr>
              <w:t>严重自身免疫</w:t>
            </w:r>
          </w:p>
        </w:tc>
        <w:tc>
          <w:tcPr>
            <w:tcW w:w="7598" w:type="dxa"/>
          </w:tcPr>
          <w:p>
            <w:pPr>
              <w:pStyle w:val="TableParagraph"/>
              <w:spacing w:before="145"/>
              <w:ind w:left="113"/>
              <w:rPr>
                <w:sz w:val="21"/>
              </w:rPr>
            </w:pPr>
            <w:r>
              <w:rPr>
                <w:sz w:val="21"/>
              </w:rPr>
              <w:t>自身免疫性肝炎是一种原因不明的慢性肝脏的坏死性炎性疾病，机体免疫机制被</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性肝炎</w:t>
            </w:r>
          </w:p>
        </w:tc>
        <w:tc>
          <w:tcPr>
            <w:tcW w:w="7598" w:type="dxa"/>
          </w:tcPr>
          <w:p>
            <w:pPr>
              <w:pStyle w:val="TableParagraph"/>
              <w:spacing w:line="263" w:lineRule="exact"/>
              <w:ind w:left="113"/>
              <w:rPr>
                <w:sz w:val="21"/>
              </w:rPr>
            </w:pPr>
            <w:r>
              <w:rPr>
                <w:sz w:val="21"/>
              </w:rPr>
              <w:t>破坏，产生针对肝脏自身抗原的抗体导致自身免疫反应，从而破坏肝细胞造成肝</w:t>
            </w:r>
          </w:p>
        </w:tc>
      </w:tr>
      <w:tr>
        <w:trPr>
          <w:trHeight w:val="622"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脏炎症坏死，进而发展为肝硬化。必须满足所有以下条件：</w:t>
            </w:r>
          </w:p>
          <w:p>
            <w:pPr>
              <w:pStyle w:val="TableParagraph"/>
              <w:spacing w:before="25"/>
              <w:ind w:left="113"/>
              <w:rPr>
                <w:sz w:val="21"/>
              </w:rPr>
            </w:pPr>
            <w:r>
              <w:rPr>
                <w:sz w:val="21"/>
              </w:rPr>
              <w:t>（1） 高</w:t>
            </w:r>
            <w:r>
              <w:rPr>
                <w:rFonts w:ascii="Arial" w:hAnsi="Arial" w:eastAsia="Arial"/>
                <w:sz w:val="21"/>
              </w:rPr>
              <w:t>γ </w:t>
            </w:r>
            <w:r>
              <w:rPr>
                <w:sz w:val="21"/>
              </w:rPr>
              <w:t>球蛋白血症；</w:t>
            </w:r>
          </w:p>
        </w:tc>
      </w:tr>
      <w:tr>
        <w:trPr>
          <w:trHeight w:val="308"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55" w:lineRule="exact"/>
              <w:ind w:left="113"/>
              <w:rPr>
                <w:sz w:val="21"/>
              </w:rPr>
            </w:pPr>
            <w:r>
              <w:rPr>
                <w:sz w:val="21"/>
              </w:rPr>
              <w:t>（2）</w:t>
            </w:r>
            <w:r>
              <w:rPr>
                <w:spacing w:val="-8"/>
                <w:sz w:val="21"/>
              </w:rPr>
              <w:t> 血液中存在高水平的自身免疫抗体，如 </w:t>
            </w:r>
            <w:r>
              <w:rPr>
                <w:spacing w:val="-4"/>
                <w:sz w:val="21"/>
              </w:rPr>
              <w:t>ANA（</w:t>
            </w:r>
            <w:r>
              <w:rPr>
                <w:sz w:val="21"/>
              </w:rPr>
              <w:t>抗核抗体</w:t>
            </w:r>
            <w:r>
              <w:rPr>
                <w:spacing w:val="-120"/>
                <w:sz w:val="21"/>
              </w:rPr>
              <w:t>）</w:t>
            </w:r>
            <w:r>
              <w:rPr>
                <w:spacing w:val="-16"/>
                <w:sz w:val="21"/>
              </w:rPr>
              <w:t>、</w:t>
            </w:r>
            <w:r>
              <w:rPr>
                <w:spacing w:val="-4"/>
                <w:sz w:val="21"/>
              </w:rPr>
              <w:t>SMA（</w:t>
            </w:r>
            <w:r>
              <w:rPr>
                <w:sz w:val="21"/>
              </w:rPr>
              <w:t>抗平滑肌抗</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体</w:t>
            </w:r>
            <w:r>
              <w:rPr>
                <w:spacing w:val="-105"/>
                <w:sz w:val="21"/>
              </w:rPr>
              <w:t>）</w:t>
            </w:r>
            <w:r>
              <w:rPr>
                <w:spacing w:val="-16"/>
                <w:sz w:val="21"/>
              </w:rPr>
              <w:t>、抗 </w:t>
            </w:r>
            <w:r>
              <w:rPr>
                <w:sz w:val="21"/>
              </w:rPr>
              <w:t>LKM1</w:t>
            </w:r>
            <w:r>
              <w:rPr>
                <w:spacing w:val="-10"/>
                <w:sz w:val="21"/>
              </w:rPr>
              <w:t> 抗体或抗</w:t>
            </w:r>
            <w:r>
              <w:rPr>
                <w:sz w:val="21"/>
              </w:rPr>
              <w:t>-SLA/LP</w:t>
            </w:r>
            <w:r>
              <w:rPr>
                <w:spacing w:val="-12"/>
                <w:sz w:val="21"/>
              </w:rPr>
              <w:t> 抗体；</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（3） 肝脏活检证实免疫性肝炎；</w:t>
            </w:r>
          </w:p>
        </w:tc>
      </w:tr>
      <w:tr>
        <w:trPr>
          <w:trHeight w:val="46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（4） 临床已经出现腹水、食道静脉曲张和脾肿大等肝硬化表现。</w:t>
            </w:r>
          </w:p>
        </w:tc>
      </w:tr>
      <w:tr>
        <w:trPr>
          <w:trHeight w:val="465" w:hRule="atLeast"/>
        </w:trPr>
        <w:tc>
          <w:tcPr>
            <w:tcW w:w="875" w:type="dxa"/>
          </w:tcPr>
          <w:p>
            <w:pPr>
              <w:pStyle w:val="TableParagraph"/>
              <w:spacing w:before="138"/>
              <w:ind w:left="50"/>
              <w:rPr>
                <w:b/>
                <w:sz w:val="21"/>
              </w:rPr>
            </w:pPr>
            <w:r>
              <w:rPr>
                <w:b/>
                <w:sz w:val="21"/>
              </w:rPr>
              <w:t>9.6.70</w:t>
            </w:r>
          </w:p>
        </w:tc>
        <w:tc>
          <w:tcPr>
            <w:tcW w:w="1600" w:type="dxa"/>
          </w:tcPr>
          <w:p>
            <w:pPr>
              <w:pStyle w:val="TableParagraph"/>
              <w:spacing w:before="138"/>
              <w:ind w:left="195"/>
              <w:rPr>
                <w:rFonts w:ascii="楷体" w:eastAsia="楷体" w:hint="eastAsia"/>
                <w:b/>
                <w:sz w:val="21"/>
              </w:rPr>
            </w:pPr>
            <w:r>
              <w:rPr>
                <w:rFonts w:ascii="楷体" w:eastAsia="楷体" w:hint="eastAsia"/>
                <w:b/>
                <w:w w:val="95"/>
                <w:sz w:val="21"/>
              </w:rPr>
              <w:t>骨髓纤维化</w:t>
            </w:r>
          </w:p>
        </w:tc>
        <w:tc>
          <w:tcPr>
            <w:tcW w:w="7598" w:type="dxa"/>
          </w:tcPr>
          <w:p>
            <w:pPr>
              <w:pStyle w:val="TableParagraph"/>
              <w:spacing w:before="138"/>
              <w:ind w:left="113"/>
              <w:rPr>
                <w:sz w:val="21"/>
              </w:rPr>
            </w:pPr>
            <w:r>
              <w:rPr>
                <w:sz w:val="21"/>
              </w:rPr>
              <w:t>原发性骨髓纤维化为原因不明的骨髓中成纤维细胞增殖，伴有髓外造血，表现为</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进行性贫血、脾肿大等症状。本疾病须根据骨髓的活组织检查和周围血象检查，</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598" w:type="dxa"/>
          </w:tcPr>
          <w:p>
            <w:pPr>
              <w:pStyle w:val="TableParagraph"/>
              <w:spacing w:line="263" w:lineRule="exact"/>
              <w:ind w:left="113"/>
              <w:rPr>
                <w:sz w:val="21"/>
              </w:rPr>
            </w:pPr>
            <w:r>
              <w:rPr>
                <w:sz w:val="21"/>
              </w:rPr>
              <w:t>由我们认可的医院血液科专科医生明确诊断，并至少符合下列条件中的三项，且</w:t>
            </w:r>
          </w:p>
        </w:tc>
      </w:tr>
      <w:tr>
        <w:trPr>
          <w:trHeight w:val="262" w:hRule="atLeast"/>
        </w:trPr>
        <w:tc>
          <w:tcPr>
            <w:tcW w:w="875" w:type="dxa"/>
          </w:tcPr>
          <w:p>
            <w:pPr>
              <w:pStyle w:val="TableParagraph"/>
              <w:rPr>
                <w:rFonts w:ascii="Times New Roman"/>
                <w:sz w:val="18"/>
              </w:rPr>
            </w:pPr>
          </w:p>
        </w:tc>
        <w:tc>
          <w:tcPr>
            <w:tcW w:w="1600" w:type="dxa"/>
          </w:tcPr>
          <w:p>
            <w:pPr>
              <w:pStyle w:val="TableParagraph"/>
              <w:rPr>
                <w:rFonts w:ascii="Times New Roman"/>
                <w:sz w:val="18"/>
              </w:rPr>
            </w:pPr>
          </w:p>
        </w:tc>
        <w:tc>
          <w:tcPr>
            <w:tcW w:w="7598" w:type="dxa"/>
          </w:tcPr>
          <w:p>
            <w:pPr>
              <w:pStyle w:val="TableParagraph"/>
              <w:spacing w:line="243" w:lineRule="exact"/>
              <w:ind w:left="113"/>
              <w:rPr>
                <w:sz w:val="21"/>
              </w:rPr>
            </w:pPr>
            <w:r>
              <w:rPr>
                <w:sz w:val="21"/>
              </w:rPr>
              <w:t>符合条件的状态持续 180 天及以上，并已经实际实施了针对此症的治疗：</w:t>
            </w:r>
          </w:p>
        </w:tc>
      </w:tr>
    </w:tbl>
    <w:p>
      <w:pPr>
        <w:pStyle w:val="BodyText"/>
        <w:spacing w:before="25"/>
        <w:ind w:left="2694"/>
      </w:pPr>
      <w:r>
        <w:rPr/>
        <w:t>（1） 血红蛋白&lt;100g/L；</w:t>
      </w:r>
    </w:p>
    <w:p>
      <w:pPr>
        <w:pStyle w:val="BodyText"/>
        <w:spacing w:before="39"/>
        <w:ind w:left="2694"/>
      </w:pPr>
      <w:r>
        <w:rPr/>
        <w:t>（2）</w:t>
      </w:r>
      <w:r>
        <w:rPr>
          <w:spacing w:val="-1"/>
        </w:rPr>
        <w:t> 白细胞计数</w:t>
      </w:r>
      <w:r>
        <w:rPr/>
        <w:t>&gt;25*1</w:t>
      </w:r>
      <w:r>
        <w:rPr>
          <w:spacing w:val="0"/>
        </w:rPr>
        <w:t>0</w:t>
      </w:r>
      <w:r>
        <w:rPr>
          <w:spacing w:val="6"/>
          <w:w w:val="105"/>
          <w:position w:val="10"/>
          <w:sz w:val="10"/>
        </w:rPr>
        <w:t>9</w:t>
      </w:r>
      <w:r>
        <w:rPr/>
        <w:t>/L；</w:t>
      </w:r>
    </w:p>
    <w:p>
      <w:pPr>
        <w:pStyle w:val="BodyText"/>
        <w:ind w:left="2694"/>
      </w:pPr>
      <w:r>
        <w:rPr/>
        <w:t>（3） 外周血原始细胞≥1%；</w:t>
      </w:r>
    </w:p>
    <w:p>
      <w:pPr>
        <w:pStyle w:val="BodyText"/>
        <w:spacing w:before="41"/>
        <w:ind w:left="2694"/>
      </w:pPr>
      <w:r>
        <w:rPr/>
        <w:t>（4）</w:t>
      </w:r>
      <w:r>
        <w:rPr>
          <w:spacing w:val="-1"/>
        </w:rPr>
        <w:t> 血小板计数</w:t>
      </w:r>
      <w:r>
        <w:rPr/>
        <w:t>&lt;100*1</w:t>
      </w:r>
      <w:r>
        <w:rPr>
          <w:spacing w:val="0"/>
        </w:rPr>
        <w:t>0</w:t>
      </w:r>
      <w:r>
        <w:rPr>
          <w:spacing w:val="6"/>
          <w:w w:val="104"/>
          <w:position w:val="11"/>
          <w:sz w:val="10"/>
        </w:rPr>
        <w:t>9</w:t>
      </w:r>
      <w:r>
        <w:rPr/>
        <w:t>/L。</w:t>
      </w:r>
    </w:p>
    <w:p>
      <w:pPr>
        <w:pStyle w:val="Heading2"/>
        <w:spacing w:before="28"/>
        <w:ind w:left="2694"/>
      </w:pPr>
      <w:r>
        <w:rPr>
          <w:w w:val="95"/>
        </w:rPr>
        <w:t>任何其它病因导致的继发性骨髓纤维化不在保障范围内。</w:t>
      </w:r>
    </w:p>
    <w:p>
      <w:pPr>
        <w:pStyle w:val="BodyText"/>
        <w:spacing w:before="11"/>
        <w:rPr>
          <w:b/>
          <w:i/>
          <w:sz w:val="25"/>
        </w:rPr>
      </w:pPr>
    </w:p>
    <w:p>
      <w:pPr>
        <w:tabs>
          <w:tab w:pos="1177" w:val="left" w:leader="none"/>
          <w:tab w:pos="2694" w:val="left" w:leader="none"/>
        </w:tabs>
        <w:spacing w:before="0"/>
        <w:ind w:left="156" w:right="0" w:firstLine="0"/>
        <w:jc w:val="left"/>
        <w:rPr>
          <w:sz w:val="21"/>
        </w:rPr>
      </w:pPr>
      <w:r>
        <w:rPr>
          <w:b/>
          <w:sz w:val="21"/>
        </w:rPr>
        <w:t>9.6.71</w:t>
        <w:tab/>
      </w:r>
      <w:r>
        <w:rPr>
          <w:rFonts w:ascii="楷体" w:eastAsia="楷体" w:hint="eastAsia"/>
          <w:b/>
          <w:spacing w:val="15"/>
          <w:sz w:val="21"/>
        </w:rPr>
        <w:t>严</w:t>
      </w:r>
      <w:r>
        <w:rPr>
          <w:rFonts w:ascii="楷体" w:eastAsia="楷体" w:hint="eastAsia"/>
          <w:b/>
          <w:sz w:val="21"/>
        </w:rPr>
        <w:t>重</w:t>
      </w:r>
      <w:r>
        <w:rPr>
          <w:rFonts w:ascii="楷体" w:eastAsia="楷体" w:hint="eastAsia"/>
          <w:b/>
          <w:spacing w:val="15"/>
          <w:sz w:val="21"/>
        </w:rPr>
        <w:t>获</w:t>
      </w:r>
      <w:r>
        <w:rPr>
          <w:rFonts w:ascii="楷体" w:eastAsia="楷体" w:hint="eastAsia"/>
          <w:b/>
          <w:sz w:val="21"/>
        </w:rPr>
        <w:t>得性或</w:t>
        <w:tab/>
      </w:r>
      <w:r>
        <w:rPr>
          <w:sz w:val="21"/>
        </w:rPr>
        <w:t>因获得性或继发性原因或导致双肺肺泡和细支气管腔内充满不可溶性富磷脂蛋白</w:t>
      </w:r>
    </w:p>
    <w:p>
      <w:pPr>
        <w:spacing w:after="0"/>
        <w:jc w:val="left"/>
        <w:rPr>
          <w:sz w:val="21"/>
        </w:rPr>
        <w:sectPr>
          <w:type w:val="continuous"/>
          <w:pgSz w:w="11910" w:h="16850"/>
          <w:pgMar w:top="540" w:bottom="1140" w:left="940" w:right="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600"/>
        <w:gridCol w:w="7680"/>
      </w:tblGrid>
      <w:tr>
        <w:trPr>
          <w:trHeight w:val="262" w:hRule="atLeast"/>
        </w:trPr>
        <w:tc>
          <w:tcPr>
            <w:tcW w:w="875" w:type="dxa"/>
          </w:tcPr>
          <w:p>
            <w:pPr>
              <w:pStyle w:val="TableParagraph"/>
              <w:rPr>
                <w:rFonts w:ascii="Times New Roman"/>
                <w:sz w:val="18"/>
              </w:rPr>
            </w:pPr>
          </w:p>
        </w:tc>
        <w:tc>
          <w:tcPr>
            <w:tcW w:w="1600" w:type="dxa"/>
          </w:tcPr>
          <w:p>
            <w:pPr>
              <w:pStyle w:val="TableParagraph"/>
              <w:spacing w:line="210" w:lineRule="exact"/>
              <w:ind w:left="195"/>
              <w:rPr>
                <w:rFonts w:ascii="楷体" w:eastAsia="楷体" w:hint="eastAsia"/>
                <w:b/>
                <w:sz w:val="21"/>
              </w:rPr>
            </w:pPr>
            <w:r>
              <w:rPr>
                <w:rFonts w:ascii="楷体" w:eastAsia="楷体" w:hint="eastAsia"/>
                <w:b/>
                <w:w w:val="95"/>
                <w:sz w:val="21"/>
              </w:rPr>
              <w:t>继发性肺泡蛋</w:t>
            </w:r>
          </w:p>
        </w:tc>
        <w:tc>
          <w:tcPr>
            <w:tcW w:w="7680" w:type="dxa"/>
          </w:tcPr>
          <w:p>
            <w:pPr>
              <w:pStyle w:val="TableParagraph"/>
              <w:spacing w:line="210" w:lineRule="exact"/>
              <w:ind w:left="113"/>
              <w:rPr>
                <w:sz w:val="21"/>
              </w:rPr>
            </w:pPr>
            <w:r>
              <w:rPr>
                <w:sz w:val="21"/>
              </w:rPr>
              <w:t>的疾病。理赔时须满足下列所有条件：</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白质沉积症</w:t>
            </w:r>
          </w:p>
        </w:tc>
        <w:tc>
          <w:tcPr>
            <w:tcW w:w="7680" w:type="dxa"/>
          </w:tcPr>
          <w:p>
            <w:pPr>
              <w:pStyle w:val="TableParagraph"/>
              <w:spacing w:line="263" w:lineRule="exact"/>
              <w:ind w:left="113"/>
              <w:rPr>
                <w:sz w:val="21"/>
              </w:rPr>
            </w:pPr>
            <w:r>
              <w:rPr>
                <w:sz w:val="21"/>
              </w:rPr>
              <w:t>（1） 支气管镜活检或开胸肺活检病理检查证实肺泡内充满有过碘酸雪夫（PAS）</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染色阳性的蛋白样物质；</w:t>
            </w:r>
          </w:p>
        </w:tc>
      </w:tr>
      <w:tr>
        <w:trPr>
          <w:trHeight w:val="773"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1" w:lineRule="auto"/>
              <w:ind w:left="113" w:right="203"/>
              <w:rPr>
                <w:sz w:val="21"/>
              </w:rPr>
            </w:pPr>
            <w:r>
              <w:rPr>
                <w:sz w:val="21"/>
              </w:rPr>
              <w:t>（2） 被保险人因中重度呼吸困难或低氧血症而实际已进行全身麻醉下的全肺灌洗治疗。</w:t>
            </w:r>
          </w:p>
        </w:tc>
      </w:tr>
      <w:tr>
        <w:trPr>
          <w:trHeight w:val="472" w:hRule="atLeast"/>
        </w:trPr>
        <w:tc>
          <w:tcPr>
            <w:tcW w:w="875" w:type="dxa"/>
          </w:tcPr>
          <w:p>
            <w:pPr>
              <w:pStyle w:val="TableParagraph"/>
              <w:spacing w:before="145"/>
              <w:ind w:left="50"/>
              <w:rPr>
                <w:b/>
                <w:sz w:val="21"/>
              </w:rPr>
            </w:pPr>
            <w:r>
              <w:rPr>
                <w:b/>
                <w:sz w:val="21"/>
              </w:rPr>
              <w:t>9.6.72</w:t>
            </w:r>
          </w:p>
        </w:tc>
        <w:tc>
          <w:tcPr>
            <w:tcW w:w="1600" w:type="dxa"/>
          </w:tcPr>
          <w:p>
            <w:pPr>
              <w:pStyle w:val="TableParagraph"/>
              <w:spacing w:before="145"/>
              <w:ind w:left="195"/>
              <w:rPr>
                <w:rFonts w:ascii="楷体" w:eastAsia="楷体" w:hint="eastAsia"/>
                <w:b/>
                <w:sz w:val="21"/>
              </w:rPr>
            </w:pPr>
            <w:r>
              <w:rPr>
                <w:rFonts w:ascii="楷体" w:eastAsia="楷体" w:hint="eastAsia"/>
                <w:b/>
                <w:w w:val="95"/>
                <w:sz w:val="21"/>
              </w:rPr>
              <w:t>严重慢性缩窄</w:t>
            </w:r>
          </w:p>
        </w:tc>
        <w:tc>
          <w:tcPr>
            <w:tcW w:w="7680" w:type="dxa"/>
          </w:tcPr>
          <w:p>
            <w:pPr>
              <w:pStyle w:val="TableParagraph"/>
              <w:spacing w:before="145"/>
              <w:ind w:left="113"/>
              <w:rPr>
                <w:sz w:val="21"/>
              </w:rPr>
            </w:pPr>
            <w:r>
              <w:rPr>
                <w:sz w:val="21"/>
              </w:rPr>
              <w:t>由于慢性心包炎症导致心包脏层和壁层广泛瘢痕粘连、增厚和钙化，心包腔闭塞，</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性心包炎</w:t>
            </w:r>
          </w:p>
        </w:tc>
        <w:tc>
          <w:tcPr>
            <w:tcW w:w="7680" w:type="dxa"/>
          </w:tcPr>
          <w:p>
            <w:pPr>
              <w:pStyle w:val="TableParagraph"/>
              <w:spacing w:line="263" w:lineRule="exact"/>
              <w:ind w:left="113"/>
              <w:rPr>
                <w:sz w:val="21"/>
              </w:rPr>
            </w:pPr>
            <w:r>
              <w:rPr>
                <w:sz w:val="21"/>
              </w:rPr>
              <w:t>形成一个纤维瘢痕外壳，使心脏和大血管根部受压，阻碍心脏的舒张。</w:t>
            </w:r>
          </w:p>
        </w:tc>
      </w:tr>
      <w:tr>
        <w:trPr>
          <w:trHeight w:val="6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被保险人被明确诊断为慢性缩窄性心包炎且必须满足以下所有条件：</w:t>
            </w:r>
          </w:p>
          <w:p>
            <w:pPr>
              <w:pStyle w:val="TableParagraph"/>
              <w:spacing w:before="25"/>
              <w:ind w:left="113"/>
              <w:rPr>
                <w:sz w:val="21"/>
              </w:rPr>
            </w:pPr>
            <w:r>
              <w:rPr>
                <w:sz w:val="21"/>
              </w:rPr>
              <w:t>（1）</w:t>
            </w:r>
            <w:r>
              <w:rPr>
                <w:spacing w:val="-8"/>
                <w:sz w:val="21"/>
              </w:rPr>
              <w:t> 心功能衰竭达到美国纽约心脏病学会心功能状态分级 </w:t>
            </w:r>
            <w:r>
              <w:rPr>
                <w:sz w:val="21"/>
              </w:rPr>
              <w:t>IV</w:t>
            </w:r>
            <w:r>
              <w:rPr>
                <w:spacing w:val="-19"/>
                <w:sz w:val="21"/>
              </w:rPr>
              <w:t> 级，并持续 </w:t>
            </w:r>
            <w:r>
              <w:rPr>
                <w:sz w:val="21"/>
              </w:rPr>
              <w:t>180</w:t>
            </w:r>
            <w:r>
              <w:rPr>
                <w:spacing w:val="-23"/>
                <w:sz w:val="21"/>
              </w:rPr>
              <w:t> 天</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以上；</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（2） 实际接受了以下任何一种手术路径的心包剥脱或心包切除手术；手术路径：</w:t>
            </w:r>
          </w:p>
        </w:tc>
      </w:tr>
      <w:tr>
        <w:trPr>
          <w:trHeight w:val="310"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2" w:lineRule="exact"/>
              <w:ind w:left="113"/>
              <w:rPr>
                <w:sz w:val="21"/>
              </w:rPr>
            </w:pPr>
            <w:r>
              <w:rPr>
                <w:sz w:val="21"/>
              </w:rPr>
              <w:t>胸骨正中切口；双侧前胸切口；左前胸肋间切口。</w:t>
            </w:r>
          </w:p>
        </w:tc>
      </w:tr>
      <w:tr>
        <w:trPr>
          <w:trHeight w:val="471"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9" w:lineRule="exact"/>
              <w:ind w:left="113"/>
              <w:rPr>
                <w:b/>
                <w:i/>
                <w:sz w:val="22"/>
              </w:rPr>
            </w:pPr>
            <w:r>
              <w:rPr>
                <w:b/>
                <w:i/>
                <w:w w:val="95"/>
                <w:sz w:val="22"/>
              </w:rPr>
              <w:t>经胸腔镜、胸壁打孔进行的手术、心包粘连松解手术不在保障范围内。</w:t>
            </w:r>
          </w:p>
        </w:tc>
      </w:tr>
      <w:tr>
        <w:trPr>
          <w:trHeight w:val="464" w:hRule="atLeast"/>
        </w:trPr>
        <w:tc>
          <w:tcPr>
            <w:tcW w:w="875" w:type="dxa"/>
          </w:tcPr>
          <w:p>
            <w:pPr>
              <w:pStyle w:val="TableParagraph"/>
              <w:spacing w:before="137"/>
              <w:ind w:left="50"/>
              <w:rPr>
                <w:b/>
                <w:sz w:val="21"/>
              </w:rPr>
            </w:pPr>
            <w:r>
              <w:rPr>
                <w:b/>
                <w:sz w:val="21"/>
              </w:rPr>
              <w:t>9.6.73</w:t>
            </w:r>
          </w:p>
        </w:tc>
        <w:tc>
          <w:tcPr>
            <w:tcW w:w="1600" w:type="dxa"/>
          </w:tcPr>
          <w:p>
            <w:pPr>
              <w:pStyle w:val="TableParagraph"/>
              <w:spacing w:before="137"/>
              <w:ind w:left="195"/>
              <w:rPr>
                <w:rFonts w:ascii="楷体" w:eastAsia="楷体" w:hint="eastAsia"/>
                <w:b/>
                <w:sz w:val="21"/>
              </w:rPr>
            </w:pPr>
            <w:r>
              <w:rPr>
                <w:rFonts w:ascii="楷体" w:eastAsia="楷体" w:hint="eastAsia"/>
                <w:b/>
                <w:w w:val="95"/>
                <w:sz w:val="21"/>
              </w:rPr>
              <w:t>独立能力丧失</w:t>
            </w:r>
          </w:p>
        </w:tc>
        <w:tc>
          <w:tcPr>
            <w:tcW w:w="7680" w:type="dxa"/>
          </w:tcPr>
          <w:p>
            <w:pPr>
              <w:pStyle w:val="TableParagraph"/>
              <w:spacing w:before="137"/>
              <w:ind w:left="113"/>
              <w:rPr>
                <w:sz w:val="21"/>
              </w:rPr>
            </w:pPr>
            <w:r>
              <w:rPr>
                <w:sz w:val="21"/>
              </w:rPr>
              <w:t>指疾病或意外伤害造成被保险人至少持续 6 个月以上完全无法独立完成六项基本</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日常生活活动中的五项或五项以上。被保险人的日常生活活动能力丧失必须是永</w:t>
            </w:r>
          </w:p>
        </w:tc>
      </w:tr>
      <w:tr>
        <w:trPr>
          <w:trHeight w:val="503"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久性的。</w:t>
            </w:r>
          </w:p>
        </w:tc>
      </w:tr>
      <w:tr>
        <w:trPr>
          <w:trHeight w:val="498" w:hRule="atLeast"/>
        </w:trPr>
        <w:tc>
          <w:tcPr>
            <w:tcW w:w="875" w:type="dxa"/>
          </w:tcPr>
          <w:p>
            <w:pPr>
              <w:pStyle w:val="TableParagraph"/>
              <w:spacing w:before="100"/>
              <w:ind w:left="50"/>
              <w:rPr>
                <w:b/>
                <w:sz w:val="21"/>
              </w:rPr>
            </w:pPr>
            <w:r>
              <w:rPr>
                <w:b/>
                <w:sz w:val="21"/>
              </w:rPr>
              <w:t>9.6.74</w:t>
            </w:r>
          </w:p>
        </w:tc>
        <w:tc>
          <w:tcPr>
            <w:tcW w:w="1600" w:type="dxa"/>
          </w:tcPr>
          <w:p>
            <w:pPr>
              <w:pStyle w:val="TableParagraph"/>
              <w:spacing w:before="100"/>
              <w:ind w:left="195"/>
              <w:rPr>
                <w:rFonts w:ascii="楷体" w:eastAsia="楷体" w:hint="eastAsia"/>
                <w:b/>
                <w:sz w:val="21"/>
              </w:rPr>
            </w:pPr>
            <w:r>
              <w:rPr>
                <w:rFonts w:ascii="楷体" w:eastAsia="楷体" w:hint="eastAsia"/>
                <w:b/>
                <w:w w:val="95"/>
                <w:sz w:val="21"/>
              </w:rPr>
              <w:t>胆道重建手术</w:t>
            </w:r>
          </w:p>
        </w:tc>
        <w:tc>
          <w:tcPr>
            <w:tcW w:w="7680" w:type="dxa"/>
          </w:tcPr>
          <w:p>
            <w:pPr>
              <w:pStyle w:val="TableParagraph"/>
              <w:spacing w:before="175"/>
              <w:ind w:left="113"/>
              <w:rPr>
                <w:sz w:val="21"/>
              </w:rPr>
            </w:pPr>
            <w:r>
              <w:rPr>
                <w:sz w:val="21"/>
              </w:rPr>
              <w:t>指因疾病或胆道创伤导致接受涉及胆总管小肠吻合术的胆道重建手术。手术必须</w:t>
            </w:r>
          </w:p>
        </w:tc>
      </w:tr>
      <w:tr>
        <w:trPr>
          <w:trHeight w:val="478"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91" w:lineRule="exact"/>
              <w:ind w:left="113"/>
              <w:rPr>
                <w:b/>
                <w:i/>
                <w:sz w:val="22"/>
              </w:rPr>
            </w:pPr>
            <w:r>
              <w:rPr>
                <w:w w:val="95"/>
                <w:sz w:val="21"/>
              </w:rPr>
              <w:t>在专科医生认为是医疗所需的情况下进</w:t>
            </w:r>
            <w:r>
              <w:rPr>
                <w:rFonts w:ascii="Malgun Gothic" w:eastAsia="Malgun Gothic" w:hint="eastAsia"/>
                <w:w w:val="95"/>
                <w:sz w:val="21"/>
              </w:rPr>
              <w:t>行</w:t>
            </w:r>
            <w:r>
              <w:rPr>
                <w:w w:val="95"/>
                <w:sz w:val="21"/>
              </w:rPr>
              <w:t>。</w:t>
            </w:r>
            <w:r>
              <w:rPr>
                <w:b/>
                <w:i/>
                <w:w w:val="95"/>
                <w:sz w:val="22"/>
              </w:rPr>
              <w:t>胆道闭锁并</w:t>
            </w:r>
            <w:r>
              <w:rPr>
                <w:rFonts w:ascii="Malgun Gothic" w:eastAsia="Malgun Gothic" w:hint="eastAsia"/>
                <w:b/>
                <w:w w:val="95"/>
                <w:sz w:val="22"/>
              </w:rPr>
              <w:t>不</w:t>
            </w:r>
            <w:r>
              <w:rPr>
                <w:b/>
                <w:i/>
                <w:w w:val="95"/>
                <w:sz w:val="22"/>
              </w:rPr>
              <w:t>在保障范围内。</w:t>
            </w:r>
          </w:p>
        </w:tc>
      </w:tr>
      <w:tr>
        <w:trPr>
          <w:trHeight w:val="471" w:hRule="atLeast"/>
        </w:trPr>
        <w:tc>
          <w:tcPr>
            <w:tcW w:w="875" w:type="dxa"/>
          </w:tcPr>
          <w:p>
            <w:pPr>
              <w:pStyle w:val="TableParagraph"/>
              <w:spacing w:before="144"/>
              <w:ind w:left="50"/>
              <w:rPr>
                <w:b/>
                <w:sz w:val="21"/>
              </w:rPr>
            </w:pPr>
            <w:r>
              <w:rPr>
                <w:b/>
                <w:sz w:val="21"/>
              </w:rPr>
              <w:t>9.6.75</w:t>
            </w:r>
          </w:p>
        </w:tc>
        <w:tc>
          <w:tcPr>
            <w:tcW w:w="1600" w:type="dxa"/>
          </w:tcPr>
          <w:p>
            <w:pPr>
              <w:pStyle w:val="TableParagraph"/>
              <w:spacing w:before="144"/>
              <w:ind w:left="195"/>
              <w:rPr>
                <w:rFonts w:ascii="楷体" w:eastAsia="楷体" w:hint="eastAsia"/>
                <w:b/>
                <w:sz w:val="21"/>
              </w:rPr>
            </w:pPr>
            <w:r>
              <w:rPr>
                <w:rFonts w:ascii="楷体" w:eastAsia="楷体" w:hint="eastAsia"/>
                <w:b/>
                <w:w w:val="95"/>
                <w:sz w:val="21"/>
              </w:rPr>
              <w:t>进行性风疹性</w:t>
            </w:r>
          </w:p>
        </w:tc>
        <w:tc>
          <w:tcPr>
            <w:tcW w:w="7680" w:type="dxa"/>
          </w:tcPr>
          <w:p>
            <w:pPr>
              <w:pStyle w:val="TableParagraph"/>
              <w:spacing w:before="144"/>
              <w:ind w:left="113"/>
              <w:rPr>
                <w:sz w:val="21"/>
              </w:rPr>
            </w:pPr>
            <w:r>
              <w:rPr>
                <w:sz w:val="21"/>
              </w:rPr>
              <w:t>指由风疹病毒感染引起的儿童和青少年的慢性脑炎。疾病确诊 180 天后，仍遗留</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2" w:lineRule="exact"/>
              <w:ind w:left="195"/>
              <w:rPr>
                <w:rFonts w:ascii="楷体" w:eastAsia="楷体" w:hint="eastAsia"/>
                <w:b/>
                <w:sz w:val="21"/>
              </w:rPr>
            </w:pPr>
            <w:r>
              <w:rPr>
                <w:rFonts w:ascii="楷体" w:eastAsia="楷体" w:hint="eastAsia"/>
                <w:b/>
                <w:w w:val="95"/>
                <w:sz w:val="21"/>
              </w:rPr>
              <w:t>全脑炎</w:t>
            </w:r>
          </w:p>
        </w:tc>
        <w:tc>
          <w:tcPr>
            <w:tcW w:w="7680" w:type="dxa"/>
          </w:tcPr>
          <w:p>
            <w:pPr>
              <w:pStyle w:val="TableParagraph"/>
              <w:spacing w:line="262" w:lineRule="exact"/>
              <w:ind w:left="113"/>
              <w:rPr>
                <w:sz w:val="21"/>
              </w:rPr>
            </w:pPr>
            <w:r>
              <w:rPr>
                <w:sz w:val="21"/>
              </w:rPr>
              <w:t>下列一种或一种以上障碍：</w:t>
            </w:r>
          </w:p>
        </w:tc>
      </w:tr>
      <w:tr>
        <w:trPr>
          <w:trHeight w:val="6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numPr>
                <w:ilvl w:val="0"/>
                <w:numId w:val="56"/>
              </w:numPr>
              <w:tabs>
                <w:tab w:pos="744" w:val="left" w:leader="none"/>
              </w:tabs>
              <w:spacing w:line="263" w:lineRule="exact" w:before="0" w:after="0"/>
              <w:ind w:left="743" w:right="0" w:hanging="630"/>
              <w:jc w:val="left"/>
              <w:rPr>
                <w:sz w:val="21"/>
              </w:rPr>
            </w:pPr>
            <w:r>
              <w:rPr>
                <w:sz w:val="21"/>
              </w:rPr>
              <w:t>一肢或一肢以上肢体机能完全丧失；</w:t>
            </w:r>
          </w:p>
          <w:p>
            <w:pPr>
              <w:pStyle w:val="TableParagraph"/>
              <w:numPr>
                <w:ilvl w:val="0"/>
                <w:numId w:val="56"/>
              </w:numPr>
              <w:tabs>
                <w:tab w:pos="744" w:val="left" w:leader="none"/>
              </w:tabs>
              <w:spacing w:line="240" w:lineRule="auto" w:before="25" w:after="0"/>
              <w:ind w:left="743" w:right="0" w:hanging="630"/>
              <w:jc w:val="left"/>
              <w:rPr>
                <w:sz w:val="21"/>
              </w:rPr>
            </w:pPr>
            <w:r>
              <w:rPr>
                <w:sz w:val="21"/>
              </w:rPr>
              <w:t>语言能力或咀嚼吞咽能力完全丧失；</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（3） 自主生活能力完全丧失，无法独立完成六项基本日常生活活动中的三项或</w:t>
            </w:r>
          </w:p>
        </w:tc>
      </w:tr>
      <w:tr>
        <w:trPr>
          <w:trHeight w:val="473"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三项以上。</w:t>
            </w:r>
          </w:p>
        </w:tc>
      </w:tr>
      <w:tr>
        <w:trPr>
          <w:trHeight w:val="773" w:hRule="atLeast"/>
        </w:trPr>
        <w:tc>
          <w:tcPr>
            <w:tcW w:w="875" w:type="dxa"/>
          </w:tcPr>
          <w:p>
            <w:pPr>
              <w:pStyle w:val="TableParagraph"/>
              <w:spacing w:before="145"/>
              <w:ind w:left="50"/>
              <w:rPr>
                <w:b/>
                <w:sz w:val="21"/>
              </w:rPr>
            </w:pPr>
            <w:r>
              <w:rPr>
                <w:b/>
                <w:sz w:val="21"/>
              </w:rPr>
              <w:t>9.6.76</w:t>
            </w:r>
          </w:p>
        </w:tc>
        <w:tc>
          <w:tcPr>
            <w:tcW w:w="1600" w:type="dxa"/>
          </w:tcPr>
          <w:p>
            <w:pPr>
              <w:pStyle w:val="TableParagraph"/>
              <w:spacing w:line="261" w:lineRule="auto" w:before="145"/>
              <w:ind w:left="195" w:right="139"/>
              <w:rPr>
                <w:rFonts w:ascii="楷体" w:eastAsia="楷体" w:hint="eastAsia"/>
                <w:b/>
                <w:sz w:val="21"/>
              </w:rPr>
            </w:pPr>
            <w:r>
              <w:rPr>
                <w:rFonts w:ascii="楷体" w:eastAsia="楷体" w:hint="eastAsia"/>
                <w:b/>
                <w:w w:val="95"/>
                <w:sz w:val="21"/>
              </w:rPr>
              <w:t>肌萎缩脊髓侧索硬化后遗症</w:t>
            </w:r>
          </w:p>
        </w:tc>
        <w:tc>
          <w:tcPr>
            <w:tcW w:w="7680" w:type="dxa"/>
          </w:tcPr>
          <w:p>
            <w:pPr>
              <w:pStyle w:val="TableParagraph"/>
              <w:spacing w:line="261" w:lineRule="auto" w:before="145"/>
              <w:ind w:left="113" w:right="197"/>
              <w:rPr>
                <w:sz w:val="21"/>
              </w:rPr>
            </w:pPr>
            <w:r>
              <w:rPr>
                <w:sz w:val="21"/>
              </w:rPr>
              <w:t>以肌肉无力及萎缩为特征，并有以下情况作为证明：脊髓前角细胞功能失调、可见的肌肉颤动、痉挛、过度活跃之深层肌腱反射和外部足底反射、影响皮质脊髓</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束、构音障碍及吞咽困难。必须由我们认可的医院专科医生以适当的神经肌肉检</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查如肌电图（EMG）证实。本疾病必须导致严重的生理功能损坏（由被保险人永久</w:t>
            </w:r>
          </w:p>
        </w:tc>
      </w:tr>
      <w:tr>
        <w:trPr>
          <w:trHeight w:val="46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pacing w:val="-1"/>
                <w:sz w:val="21"/>
              </w:rPr>
              <w:t>性无法独立完成最少三项基本日常生活活动作为证明</w:t>
            </w:r>
            <w:r>
              <w:rPr>
                <w:spacing w:val="-105"/>
                <w:sz w:val="21"/>
              </w:rPr>
              <w:t>）</w:t>
            </w:r>
            <w:r>
              <w:rPr>
                <w:sz w:val="21"/>
              </w:rPr>
              <w:t>。</w:t>
            </w:r>
          </w:p>
        </w:tc>
      </w:tr>
      <w:tr>
        <w:trPr>
          <w:trHeight w:val="465" w:hRule="atLeast"/>
        </w:trPr>
        <w:tc>
          <w:tcPr>
            <w:tcW w:w="875" w:type="dxa"/>
          </w:tcPr>
          <w:p>
            <w:pPr>
              <w:pStyle w:val="TableParagraph"/>
              <w:spacing w:before="138"/>
              <w:ind w:left="50"/>
              <w:rPr>
                <w:b/>
                <w:sz w:val="21"/>
              </w:rPr>
            </w:pPr>
            <w:r>
              <w:rPr>
                <w:b/>
                <w:sz w:val="21"/>
              </w:rPr>
              <w:t>9.6.77</w:t>
            </w:r>
          </w:p>
        </w:tc>
        <w:tc>
          <w:tcPr>
            <w:tcW w:w="1600" w:type="dxa"/>
          </w:tcPr>
          <w:p>
            <w:pPr>
              <w:pStyle w:val="TableParagraph"/>
              <w:spacing w:before="138"/>
              <w:ind w:left="195"/>
              <w:rPr>
                <w:rFonts w:ascii="楷体" w:eastAsia="楷体" w:hint="eastAsia"/>
                <w:b/>
                <w:sz w:val="21"/>
              </w:rPr>
            </w:pPr>
            <w:r>
              <w:rPr>
                <w:rFonts w:ascii="楷体" w:eastAsia="楷体" w:hint="eastAsia"/>
                <w:b/>
                <w:w w:val="95"/>
                <w:sz w:val="21"/>
              </w:rPr>
              <w:t>严重结核性脑</w:t>
            </w:r>
          </w:p>
        </w:tc>
        <w:tc>
          <w:tcPr>
            <w:tcW w:w="7680" w:type="dxa"/>
          </w:tcPr>
          <w:p>
            <w:pPr>
              <w:pStyle w:val="TableParagraph"/>
              <w:spacing w:before="138"/>
              <w:ind w:left="113"/>
              <w:rPr>
                <w:sz w:val="21"/>
              </w:rPr>
            </w:pPr>
            <w:r>
              <w:rPr>
                <w:sz w:val="21"/>
              </w:rPr>
              <w:t>由结核杆菌引起的脑膜和脊膜的非化脓性炎症性疾病。需满足以下全部条件：</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膜炎</w:t>
            </w:r>
          </w:p>
        </w:tc>
        <w:tc>
          <w:tcPr>
            <w:tcW w:w="7680" w:type="dxa"/>
          </w:tcPr>
          <w:p>
            <w:pPr>
              <w:pStyle w:val="TableParagraph"/>
              <w:spacing w:line="263" w:lineRule="exact"/>
              <w:ind w:left="113"/>
              <w:rPr>
                <w:sz w:val="21"/>
              </w:rPr>
            </w:pPr>
            <w:r>
              <w:rPr>
                <w:sz w:val="21"/>
              </w:rPr>
              <w:t>（1） 出现颅内压明显增高，表现头痛、呕吐和视乳头水肿；</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（2） 出现部分性、全身性癫痫发作或癫痫持续状态；</w:t>
            </w:r>
          </w:p>
        </w:tc>
      </w:tr>
      <w:tr>
        <w:trPr>
          <w:trHeight w:val="31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（3） 昏睡或意识模糊；</w:t>
            </w:r>
          </w:p>
        </w:tc>
      </w:tr>
      <w:tr>
        <w:trPr>
          <w:trHeight w:val="465" w:hRule="atLeast"/>
        </w:trPr>
        <w:tc>
          <w:tcPr>
            <w:tcW w:w="875" w:type="dxa"/>
          </w:tcPr>
          <w:p>
            <w:pPr>
              <w:pStyle w:val="TableParagraph"/>
              <w:rPr>
                <w:rFonts w:ascii="Times New Roman"/>
                <w:sz w:val="20"/>
              </w:rPr>
            </w:pPr>
          </w:p>
        </w:tc>
        <w:tc>
          <w:tcPr>
            <w:tcW w:w="1600" w:type="dxa"/>
          </w:tcPr>
          <w:p>
            <w:pPr>
              <w:pStyle w:val="TableParagraph"/>
              <w:rPr>
                <w:rFonts w:ascii="Times New Roman"/>
                <w:sz w:val="20"/>
              </w:rPr>
            </w:pPr>
          </w:p>
        </w:tc>
        <w:tc>
          <w:tcPr>
            <w:tcW w:w="7680" w:type="dxa"/>
          </w:tcPr>
          <w:p>
            <w:pPr>
              <w:pStyle w:val="TableParagraph"/>
              <w:spacing w:line="263" w:lineRule="exact"/>
              <w:ind w:left="113"/>
              <w:rPr>
                <w:sz w:val="21"/>
              </w:rPr>
            </w:pPr>
            <w:r>
              <w:rPr>
                <w:sz w:val="21"/>
              </w:rPr>
              <w:t>（4） 视力减退、复视和面神经麻痹。</w:t>
            </w:r>
          </w:p>
        </w:tc>
      </w:tr>
      <w:tr>
        <w:trPr>
          <w:trHeight w:val="465" w:hRule="atLeast"/>
        </w:trPr>
        <w:tc>
          <w:tcPr>
            <w:tcW w:w="875" w:type="dxa"/>
          </w:tcPr>
          <w:p>
            <w:pPr>
              <w:pStyle w:val="TableParagraph"/>
              <w:spacing w:before="138"/>
              <w:ind w:left="50"/>
              <w:rPr>
                <w:b/>
                <w:sz w:val="21"/>
              </w:rPr>
            </w:pPr>
            <w:r>
              <w:rPr>
                <w:b/>
                <w:sz w:val="21"/>
              </w:rPr>
              <w:t>9.6.78</w:t>
            </w:r>
          </w:p>
        </w:tc>
        <w:tc>
          <w:tcPr>
            <w:tcW w:w="1600" w:type="dxa"/>
          </w:tcPr>
          <w:p>
            <w:pPr>
              <w:pStyle w:val="TableParagraph"/>
              <w:spacing w:before="138"/>
              <w:ind w:left="195"/>
              <w:rPr>
                <w:rFonts w:ascii="楷体" w:eastAsia="楷体" w:hint="eastAsia"/>
                <w:b/>
                <w:sz w:val="21"/>
              </w:rPr>
            </w:pPr>
            <w:r>
              <w:rPr>
                <w:rFonts w:ascii="楷体" w:eastAsia="楷体" w:hint="eastAsia"/>
                <w:b/>
                <w:w w:val="95"/>
                <w:sz w:val="21"/>
              </w:rPr>
              <w:t>严重肠道疾病</w:t>
            </w:r>
          </w:p>
        </w:tc>
        <w:tc>
          <w:tcPr>
            <w:tcW w:w="7680" w:type="dxa"/>
          </w:tcPr>
          <w:p>
            <w:pPr>
              <w:pStyle w:val="TableParagraph"/>
              <w:spacing w:before="138"/>
              <w:ind w:left="113"/>
              <w:rPr>
                <w:sz w:val="21"/>
              </w:rPr>
            </w:pPr>
            <w:r>
              <w:rPr>
                <w:sz w:val="21"/>
              </w:rPr>
              <w:t>严重肠道疾病或意外伤害导致小肠损害并发症，本疾病须满足以下所有条件：</w:t>
            </w:r>
          </w:p>
        </w:tc>
      </w:tr>
      <w:tr>
        <w:trPr>
          <w:trHeight w:val="315" w:hRule="atLeast"/>
        </w:trPr>
        <w:tc>
          <w:tcPr>
            <w:tcW w:w="875" w:type="dxa"/>
          </w:tcPr>
          <w:p>
            <w:pPr>
              <w:pStyle w:val="TableParagraph"/>
              <w:rPr>
                <w:rFonts w:ascii="Times New Roman"/>
                <w:sz w:val="20"/>
              </w:rPr>
            </w:pPr>
          </w:p>
        </w:tc>
        <w:tc>
          <w:tcPr>
            <w:tcW w:w="1600" w:type="dxa"/>
          </w:tcPr>
          <w:p>
            <w:pPr>
              <w:pStyle w:val="TableParagraph"/>
              <w:spacing w:line="263" w:lineRule="exact"/>
              <w:ind w:left="195"/>
              <w:rPr>
                <w:rFonts w:ascii="楷体" w:eastAsia="楷体" w:hint="eastAsia"/>
                <w:b/>
                <w:sz w:val="21"/>
              </w:rPr>
            </w:pPr>
            <w:r>
              <w:rPr>
                <w:rFonts w:ascii="楷体" w:eastAsia="楷体" w:hint="eastAsia"/>
                <w:b/>
                <w:w w:val="95"/>
                <w:sz w:val="21"/>
              </w:rPr>
              <w:t>并发症</w:t>
            </w:r>
          </w:p>
        </w:tc>
        <w:tc>
          <w:tcPr>
            <w:tcW w:w="7680" w:type="dxa"/>
          </w:tcPr>
          <w:p>
            <w:pPr>
              <w:pStyle w:val="TableParagraph"/>
              <w:spacing w:line="263" w:lineRule="exact"/>
              <w:ind w:left="113"/>
              <w:rPr>
                <w:sz w:val="21"/>
              </w:rPr>
            </w:pPr>
            <w:r>
              <w:rPr>
                <w:sz w:val="21"/>
              </w:rPr>
              <w:t>（1） 至少切除了三分之二小肠；</w:t>
            </w:r>
          </w:p>
        </w:tc>
      </w:tr>
      <w:tr>
        <w:trPr>
          <w:trHeight w:val="262" w:hRule="atLeast"/>
        </w:trPr>
        <w:tc>
          <w:tcPr>
            <w:tcW w:w="875" w:type="dxa"/>
          </w:tcPr>
          <w:p>
            <w:pPr>
              <w:pStyle w:val="TableParagraph"/>
              <w:rPr>
                <w:rFonts w:ascii="Times New Roman"/>
                <w:sz w:val="18"/>
              </w:rPr>
            </w:pPr>
          </w:p>
        </w:tc>
        <w:tc>
          <w:tcPr>
            <w:tcW w:w="1600" w:type="dxa"/>
          </w:tcPr>
          <w:p>
            <w:pPr>
              <w:pStyle w:val="TableParagraph"/>
              <w:rPr>
                <w:rFonts w:ascii="Times New Roman"/>
                <w:sz w:val="18"/>
              </w:rPr>
            </w:pPr>
          </w:p>
        </w:tc>
        <w:tc>
          <w:tcPr>
            <w:tcW w:w="7680" w:type="dxa"/>
          </w:tcPr>
          <w:p>
            <w:pPr>
              <w:pStyle w:val="TableParagraph"/>
              <w:spacing w:line="243" w:lineRule="exact"/>
              <w:ind w:left="113"/>
              <w:rPr>
                <w:sz w:val="21"/>
              </w:rPr>
            </w:pPr>
            <w:r>
              <w:rPr>
                <w:sz w:val="21"/>
              </w:rPr>
              <w:t>（2） 完全肠外营养支持三个月以上。</w:t>
            </w:r>
          </w:p>
        </w:tc>
      </w:tr>
    </w:tbl>
    <w:p>
      <w:pPr>
        <w:spacing w:after="0" w:line="243" w:lineRule="exact"/>
        <w:rPr>
          <w:sz w:val="21"/>
        </w:rPr>
        <w:sectPr>
          <w:pgSz w:w="11910" w:h="16850"/>
          <w:pgMar w:header="0" w:footer="944" w:top="1280" w:bottom="1180" w:left="940" w:right="600"/>
        </w:sectPr>
      </w:pPr>
    </w:p>
    <w:p>
      <w:pPr>
        <w:pStyle w:val="ListParagraph"/>
        <w:numPr>
          <w:ilvl w:val="2"/>
          <w:numId w:val="57"/>
        </w:numPr>
        <w:tabs>
          <w:tab w:pos="1178" w:val="left" w:leader="none"/>
        </w:tabs>
        <w:spacing w:line="276" w:lineRule="auto" w:before="21" w:after="0"/>
        <w:ind w:left="2694" w:right="265" w:hanging="2538"/>
        <w:jc w:val="both"/>
        <w:rPr>
          <w:sz w:val="21"/>
        </w:rPr>
      </w:pPr>
      <w:r>
        <w:rPr>
          <w:rFonts w:ascii="楷体" w:eastAsia="楷体" w:hint="eastAsia"/>
          <w:b/>
          <w:spacing w:val="3"/>
          <w:sz w:val="21"/>
        </w:rPr>
        <w:t>瑞氏综合症   </w:t>
      </w:r>
      <w:r>
        <w:rPr>
          <w:sz w:val="21"/>
        </w:rPr>
        <w:t>瑞氏综合症是线粒体功能障碍性疾病。导致脂肪代谢障碍，引起短链脂肪酸、血氨升高，造成脑水肿。主要临床表现为急性发热、反复呕吐、惊厥及意识障碍等等。</w:t>
      </w:r>
    </w:p>
    <w:p>
      <w:pPr>
        <w:pStyle w:val="BodyText"/>
        <w:spacing w:line="261" w:lineRule="auto" w:before="8"/>
        <w:ind w:left="2694" w:right="267"/>
      </w:pPr>
      <w:r>
        <w:rPr/>
        <w:t>肝脏活检是确诊的重要手段。瑞氏综合征需由三级医院的儿科专科医生确诊，并符合下列所有条件：</w:t>
      </w:r>
    </w:p>
    <w:p>
      <w:pPr>
        <w:pStyle w:val="ListParagraph"/>
        <w:numPr>
          <w:ilvl w:val="3"/>
          <w:numId w:val="57"/>
        </w:numPr>
        <w:tabs>
          <w:tab w:pos="3326" w:val="left" w:leader="none"/>
        </w:tabs>
        <w:spacing w:line="240" w:lineRule="auto" w:before="21" w:after="0"/>
        <w:ind w:left="3325" w:right="0" w:hanging="631"/>
        <w:jc w:val="left"/>
        <w:rPr>
          <w:sz w:val="21"/>
        </w:rPr>
      </w:pPr>
      <w:r>
        <w:rPr>
          <w:sz w:val="21"/>
        </w:rPr>
        <w:t>有脑水肿和颅内压升高的脑脊液检查和影像学检查证据；</w:t>
      </w:r>
    </w:p>
    <w:p>
      <w:pPr>
        <w:pStyle w:val="ListParagraph"/>
        <w:numPr>
          <w:ilvl w:val="3"/>
          <w:numId w:val="57"/>
        </w:numPr>
        <w:tabs>
          <w:tab w:pos="3326" w:val="left" w:leader="none"/>
        </w:tabs>
        <w:spacing w:line="240" w:lineRule="auto" w:before="41" w:after="0"/>
        <w:ind w:left="3325" w:right="0" w:hanging="631"/>
        <w:jc w:val="left"/>
        <w:rPr>
          <w:sz w:val="21"/>
        </w:rPr>
      </w:pPr>
      <w:r>
        <w:rPr>
          <w:spacing w:val="-6"/>
          <w:sz w:val="21"/>
        </w:rPr>
        <w:t>血氨超过正常值的 </w:t>
      </w:r>
      <w:r>
        <w:rPr>
          <w:sz w:val="21"/>
        </w:rPr>
        <w:t>3</w:t>
      </w:r>
      <w:r>
        <w:rPr>
          <w:spacing w:val="-16"/>
          <w:sz w:val="21"/>
        </w:rPr>
        <w:t> 倍；</w:t>
      </w:r>
    </w:p>
    <w:p>
      <w:pPr>
        <w:pStyle w:val="ListParagraph"/>
        <w:numPr>
          <w:ilvl w:val="3"/>
          <w:numId w:val="57"/>
        </w:numPr>
        <w:tabs>
          <w:tab w:pos="3326" w:val="left" w:leader="none"/>
        </w:tabs>
        <w:spacing w:line="240" w:lineRule="auto" w:before="40" w:after="0"/>
        <w:ind w:left="3325" w:right="0" w:hanging="631"/>
        <w:jc w:val="left"/>
        <w:rPr>
          <w:sz w:val="21"/>
        </w:rPr>
      </w:pPr>
      <w:r>
        <w:rPr>
          <w:spacing w:val="-3"/>
          <w:sz w:val="21"/>
        </w:rPr>
        <w:t>临床出现昏迷，病程至少达到疾病分期第 </w:t>
      </w:r>
      <w:r>
        <w:rPr>
          <w:sz w:val="21"/>
        </w:rPr>
        <w:t>3</w:t>
      </w:r>
      <w:r>
        <w:rPr>
          <w:spacing w:val="-16"/>
          <w:sz w:val="21"/>
        </w:rPr>
        <w:t> 期。</w:t>
      </w:r>
    </w:p>
    <w:p>
      <w:pPr>
        <w:pStyle w:val="BodyText"/>
        <w:spacing w:before="0"/>
        <w:rPr>
          <w:sz w:val="20"/>
        </w:rPr>
      </w:pPr>
    </w:p>
    <w:p>
      <w:pPr>
        <w:pStyle w:val="BodyText"/>
        <w:spacing w:before="12"/>
        <w:rPr>
          <w:sz w:val="1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585"/>
        <w:gridCol w:w="7657"/>
      </w:tblGrid>
      <w:tr>
        <w:trPr>
          <w:trHeight w:val="578" w:hRule="atLeast"/>
        </w:trPr>
        <w:tc>
          <w:tcPr>
            <w:tcW w:w="875" w:type="dxa"/>
          </w:tcPr>
          <w:p>
            <w:pPr>
              <w:pStyle w:val="TableParagraph"/>
              <w:spacing w:line="210" w:lineRule="exact"/>
              <w:ind w:left="50"/>
              <w:rPr>
                <w:b/>
                <w:sz w:val="21"/>
              </w:rPr>
            </w:pPr>
            <w:r>
              <w:rPr>
                <w:b/>
                <w:sz w:val="21"/>
              </w:rPr>
              <w:t>9.6.80</w:t>
            </w:r>
          </w:p>
        </w:tc>
        <w:tc>
          <w:tcPr>
            <w:tcW w:w="1585" w:type="dxa"/>
          </w:tcPr>
          <w:p>
            <w:pPr>
              <w:pStyle w:val="TableParagraph"/>
              <w:spacing w:line="210" w:lineRule="exact"/>
              <w:ind w:left="195"/>
              <w:rPr>
                <w:rFonts w:ascii="楷体" w:eastAsia="楷体" w:hint="eastAsia"/>
                <w:b/>
                <w:sz w:val="21"/>
              </w:rPr>
            </w:pPr>
            <w:r>
              <w:rPr>
                <w:rFonts w:ascii="楷体" w:eastAsia="楷体" w:hint="eastAsia"/>
                <w:b/>
                <w:w w:val="95"/>
                <w:sz w:val="21"/>
              </w:rPr>
              <w:t>严重骨髓异常</w:t>
            </w:r>
          </w:p>
          <w:p>
            <w:pPr>
              <w:pStyle w:val="TableParagraph"/>
              <w:spacing w:before="40"/>
              <w:ind w:left="195"/>
              <w:rPr>
                <w:rFonts w:ascii="楷体" w:eastAsia="楷体" w:hint="eastAsia"/>
                <w:b/>
                <w:sz w:val="21"/>
              </w:rPr>
            </w:pPr>
            <w:r>
              <w:rPr>
                <w:rFonts w:ascii="楷体" w:eastAsia="楷体" w:hint="eastAsia"/>
                <w:b/>
                <w:w w:val="95"/>
                <w:sz w:val="21"/>
              </w:rPr>
              <w:t>增生综合征</w:t>
            </w:r>
          </w:p>
        </w:tc>
        <w:tc>
          <w:tcPr>
            <w:tcW w:w="7657" w:type="dxa"/>
          </w:tcPr>
          <w:p>
            <w:pPr>
              <w:pStyle w:val="TableParagraph"/>
              <w:spacing w:line="210" w:lineRule="exact"/>
              <w:ind w:left="128"/>
              <w:rPr>
                <w:sz w:val="21"/>
              </w:rPr>
            </w:pPr>
            <w:r>
              <w:rPr>
                <w:spacing w:val="-3"/>
                <w:sz w:val="21"/>
              </w:rPr>
              <w:t>严重的骨髓异常增生综合征是指符合世界卫生组织</w:t>
            </w:r>
            <w:r>
              <w:rPr>
                <w:spacing w:val="-6"/>
                <w:sz w:val="21"/>
              </w:rPr>
              <w:t>（WHO）2008</w:t>
            </w:r>
            <w:r>
              <w:rPr>
                <w:spacing w:val="-7"/>
                <w:sz w:val="21"/>
              </w:rPr>
              <w:t> 年分型方案中的难</w:t>
            </w:r>
          </w:p>
          <w:p>
            <w:pPr>
              <w:pStyle w:val="TableParagraph"/>
              <w:spacing w:before="40"/>
              <w:ind w:left="128"/>
              <w:rPr>
                <w:sz w:val="21"/>
              </w:rPr>
            </w:pPr>
            <w:r>
              <w:rPr>
                <w:spacing w:val="-1"/>
                <w:sz w:val="21"/>
              </w:rPr>
              <w:t>治性贫血细胞减少伴原始细胞增多-</w:t>
            </w:r>
            <w:r>
              <w:rPr>
                <w:spacing w:val="-30"/>
                <w:sz w:val="21"/>
              </w:rPr>
              <w:t>1</w:t>
            </w:r>
            <w:r>
              <w:rPr>
                <w:sz w:val="21"/>
              </w:rPr>
              <w:t>（RAEB-1</w:t>
            </w:r>
            <w:r>
              <w:rPr>
                <w:spacing w:val="-105"/>
                <w:sz w:val="21"/>
              </w:rPr>
              <w:t>）</w:t>
            </w:r>
            <w:r>
              <w:rPr>
                <w:spacing w:val="-6"/>
                <w:sz w:val="21"/>
              </w:rPr>
              <w:t>、难治性贫血细胞减少伴原始细胞</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pacing w:val="-1"/>
                <w:sz w:val="21"/>
              </w:rPr>
              <w:t>增多</w:t>
            </w:r>
            <w:r>
              <w:rPr>
                <w:sz w:val="21"/>
              </w:rPr>
              <w:t>-2（RAEB-2</w:t>
            </w:r>
            <w:r>
              <w:rPr>
                <w:spacing w:val="-105"/>
                <w:sz w:val="21"/>
              </w:rPr>
              <w:t>）</w:t>
            </w:r>
            <w:r>
              <w:rPr>
                <w:sz w:val="21"/>
              </w:rPr>
              <w:t>、MDS-未分类</w:t>
            </w:r>
            <w:r>
              <w:rPr>
                <w:spacing w:val="-1"/>
                <w:sz w:val="21"/>
              </w:rPr>
              <w:t>（</w:t>
            </w:r>
            <w:r>
              <w:rPr>
                <w:sz w:val="21"/>
              </w:rPr>
              <w:t>MDS-U</w:t>
            </w:r>
            <w:r>
              <w:rPr>
                <w:spacing w:val="-105"/>
                <w:sz w:val="21"/>
              </w:rPr>
              <w:t>）</w:t>
            </w:r>
            <w:r>
              <w:rPr>
                <w:sz w:val="21"/>
              </w:rPr>
              <w:t>、MDS</w:t>
            </w:r>
            <w:r>
              <w:rPr>
                <w:spacing w:val="-19"/>
                <w:sz w:val="21"/>
              </w:rPr>
              <w:t> 伴单纯 </w:t>
            </w:r>
            <w:r>
              <w:rPr>
                <w:sz w:val="21"/>
              </w:rPr>
              <w:t>5q-，且需满足下列所有条</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2" w:lineRule="exact"/>
              <w:ind w:left="128"/>
              <w:rPr>
                <w:sz w:val="21"/>
              </w:rPr>
            </w:pPr>
            <w:r>
              <w:rPr>
                <w:sz w:val="21"/>
              </w:rPr>
              <w:t>件：</w:t>
            </w:r>
          </w:p>
        </w:tc>
      </w:tr>
      <w:tr>
        <w:trPr>
          <w:trHeight w:val="6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1" w:lineRule="auto"/>
              <w:ind w:left="128" w:right="160"/>
              <w:rPr>
                <w:sz w:val="21"/>
              </w:rPr>
            </w:pPr>
            <w:r>
              <w:rPr>
                <w:sz w:val="21"/>
              </w:rPr>
              <w:t>（1） 由我们认可的医院中设有专门血液病专科的公立三级甲等医院，血液病专科的主治级别以上的医师确诊；</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（2） 骨髓穿刺或骨髓活检结果支持诊断；</w:t>
            </w:r>
          </w:p>
        </w:tc>
      </w:tr>
      <w:tr>
        <w:trPr>
          <w:trHeight w:val="472"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（3） 被保险人已持续接受一个月以上的化疗或已接受骨髓移植治疗。</w:t>
            </w:r>
          </w:p>
        </w:tc>
      </w:tr>
      <w:tr>
        <w:trPr>
          <w:trHeight w:val="623" w:hRule="atLeast"/>
        </w:trPr>
        <w:tc>
          <w:tcPr>
            <w:tcW w:w="875" w:type="dxa"/>
          </w:tcPr>
          <w:p>
            <w:pPr>
              <w:pStyle w:val="TableParagraph"/>
              <w:spacing w:before="145"/>
              <w:ind w:left="50"/>
              <w:rPr>
                <w:b/>
                <w:sz w:val="21"/>
              </w:rPr>
            </w:pPr>
            <w:r>
              <w:rPr>
                <w:b/>
                <w:sz w:val="21"/>
              </w:rPr>
              <w:t>9.6.81</w:t>
            </w:r>
          </w:p>
        </w:tc>
        <w:tc>
          <w:tcPr>
            <w:tcW w:w="1585" w:type="dxa"/>
          </w:tcPr>
          <w:p>
            <w:pPr>
              <w:pStyle w:val="TableParagraph"/>
              <w:spacing w:before="145"/>
              <w:ind w:left="195"/>
              <w:rPr>
                <w:rFonts w:ascii="楷体" w:eastAsia="楷体" w:hint="eastAsia"/>
                <w:b/>
                <w:sz w:val="21"/>
              </w:rPr>
            </w:pPr>
            <w:r>
              <w:rPr>
                <w:rFonts w:ascii="楷体" w:eastAsia="楷体" w:hint="eastAsia"/>
                <w:b/>
                <w:w w:val="95"/>
                <w:sz w:val="21"/>
              </w:rPr>
              <w:t>严重面部烧伤</w:t>
            </w:r>
          </w:p>
        </w:tc>
        <w:tc>
          <w:tcPr>
            <w:tcW w:w="7657" w:type="dxa"/>
          </w:tcPr>
          <w:p>
            <w:pPr>
              <w:pStyle w:val="TableParagraph"/>
              <w:spacing w:before="145"/>
              <w:ind w:left="128"/>
              <w:rPr>
                <w:sz w:val="21"/>
              </w:rPr>
            </w:pPr>
            <w:r>
              <w:rPr>
                <w:spacing w:val="-7"/>
                <w:sz w:val="21"/>
              </w:rPr>
              <w:t>指烧伤程度为 </w:t>
            </w:r>
            <w:r>
              <w:rPr>
                <w:sz w:val="21"/>
              </w:rPr>
              <w:t>III</w:t>
            </w:r>
            <w:r>
              <w:rPr>
                <w:spacing w:val="-19"/>
                <w:sz w:val="21"/>
              </w:rPr>
              <w:t> 度，且 </w:t>
            </w:r>
            <w:r>
              <w:rPr>
                <w:spacing w:val="-5"/>
                <w:sz w:val="21"/>
              </w:rPr>
              <w:t>III</w:t>
            </w:r>
            <w:r>
              <w:rPr>
                <w:spacing w:val="-10"/>
                <w:sz w:val="21"/>
              </w:rPr>
              <w:t> 度烧伤的面积达到面部表面积的 </w:t>
            </w:r>
            <w:r>
              <w:rPr>
                <w:spacing w:val="-5"/>
                <w:sz w:val="21"/>
              </w:rPr>
              <w:t>80</w:t>
            </w:r>
            <w:r>
              <w:rPr>
                <w:spacing w:val="-17"/>
                <w:sz w:val="21"/>
              </w:rPr>
              <w:t>％或 </w:t>
            </w:r>
            <w:r>
              <w:rPr>
                <w:sz w:val="21"/>
              </w:rPr>
              <w:t>80％以上。</w:t>
            </w:r>
          </w:p>
        </w:tc>
      </w:tr>
      <w:tr>
        <w:trPr>
          <w:trHeight w:val="465" w:hRule="atLeast"/>
        </w:trPr>
        <w:tc>
          <w:tcPr>
            <w:tcW w:w="875" w:type="dxa"/>
          </w:tcPr>
          <w:p>
            <w:pPr>
              <w:pStyle w:val="TableParagraph"/>
              <w:spacing w:before="138"/>
              <w:ind w:left="50"/>
              <w:rPr>
                <w:b/>
                <w:sz w:val="21"/>
              </w:rPr>
            </w:pPr>
            <w:r>
              <w:rPr>
                <w:b/>
                <w:sz w:val="21"/>
              </w:rPr>
              <w:t>9.6.82</w:t>
            </w:r>
          </w:p>
        </w:tc>
        <w:tc>
          <w:tcPr>
            <w:tcW w:w="1585" w:type="dxa"/>
          </w:tcPr>
          <w:p>
            <w:pPr>
              <w:pStyle w:val="TableParagraph"/>
              <w:spacing w:before="138"/>
              <w:ind w:left="195"/>
              <w:rPr>
                <w:rFonts w:ascii="楷体" w:eastAsia="楷体" w:hint="eastAsia"/>
                <w:b/>
                <w:sz w:val="21"/>
              </w:rPr>
            </w:pPr>
            <w:r>
              <w:rPr>
                <w:rFonts w:ascii="楷体" w:eastAsia="楷体" w:hint="eastAsia"/>
                <w:b/>
                <w:w w:val="95"/>
                <w:sz w:val="21"/>
              </w:rPr>
              <w:t>严重川崎病</w:t>
            </w:r>
          </w:p>
        </w:tc>
        <w:tc>
          <w:tcPr>
            <w:tcW w:w="7657" w:type="dxa"/>
          </w:tcPr>
          <w:p>
            <w:pPr>
              <w:pStyle w:val="TableParagraph"/>
              <w:spacing w:before="138"/>
              <w:ind w:left="128"/>
              <w:rPr>
                <w:sz w:val="21"/>
              </w:rPr>
            </w:pPr>
            <w:r>
              <w:rPr>
                <w:sz w:val="21"/>
              </w:rPr>
              <w:t>是一种血管炎综合征，临床表现为急性发热，皮肤粘膜病损和淋巴结肿大。本病</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须经专科医生明确诊断，同时须由血管造影或超声心动图检查证实，满足下列至</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少一项条件：</w:t>
            </w:r>
          </w:p>
        </w:tc>
      </w:tr>
      <w:tr>
        <w:trPr>
          <w:trHeight w:val="773"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numPr>
                <w:ilvl w:val="0"/>
                <w:numId w:val="58"/>
              </w:numPr>
              <w:tabs>
                <w:tab w:pos="759" w:val="left" w:leader="none"/>
              </w:tabs>
              <w:spacing w:line="262" w:lineRule="exact" w:before="0" w:after="0"/>
              <w:ind w:left="758" w:right="0" w:hanging="630"/>
              <w:jc w:val="left"/>
              <w:rPr>
                <w:sz w:val="21"/>
              </w:rPr>
            </w:pPr>
            <w:r>
              <w:rPr>
                <w:spacing w:val="-2"/>
                <w:sz w:val="21"/>
              </w:rPr>
              <w:t>伴有冠状动脉瘤，且冠状动脉瘤于最初急性发病后持续至少 </w:t>
            </w:r>
            <w:r>
              <w:rPr>
                <w:sz w:val="21"/>
              </w:rPr>
              <w:t>180</w:t>
            </w:r>
            <w:r>
              <w:rPr>
                <w:spacing w:val="-16"/>
                <w:sz w:val="21"/>
              </w:rPr>
              <w:t> 天；</w:t>
            </w:r>
          </w:p>
          <w:p>
            <w:pPr>
              <w:pStyle w:val="TableParagraph"/>
              <w:numPr>
                <w:ilvl w:val="0"/>
                <w:numId w:val="58"/>
              </w:numPr>
              <w:tabs>
                <w:tab w:pos="759" w:val="left" w:leader="none"/>
              </w:tabs>
              <w:spacing w:line="240" w:lineRule="auto" w:before="25" w:after="0"/>
              <w:ind w:left="758" w:right="0" w:hanging="630"/>
              <w:jc w:val="left"/>
              <w:rPr>
                <w:sz w:val="21"/>
              </w:rPr>
            </w:pPr>
            <w:r>
              <w:rPr>
                <w:sz w:val="21"/>
              </w:rPr>
              <w:t>伴有冠状动脉瘤，且实际接受了对冠状动脉瘤进行的手术治疗。</w:t>
            </w:r>
          </w:p>
        </w:tc>
      </w:tr>
      <w:tr>
        <w:trPr>
          <w:trHeight w:val="467" w:hRule="atLeast"/>
        </w:trPr>
        <w:tc>
          <w:tcPr>
            <w:tcW w:w="875" w:type="dxa"/>
          </w:tcPr>
          <w:p>
            <w:pPr>
              <w:pStyle w:val="TableParagraph"/>
              <w:spacing w:before="145"/>
              <w:ind w:left="50"/>
              <w:rPr>
                <w:b/>
                <w:sz w:val="21"/>
              </w:rPr>
            </w:pPr>
            <w:r>
              <w:rPr>
                <w:b/>
                <w:sz w:val="21"/>
              </w:rPr>
              <w:t>9.6.83</w:t>
            </w:r>
          </w:p>
        </w:tc>
        <w:tc>
          <w:tcPr>
            <w:tcW w:w="1585" w:type="dxa"/>
          </w:tcPr>
          <w:p>
            <w:pPr>
              <w:pStyle w:val="TableParagraph"/>
              <w:spacing w:before="145"/>
              <w:ind w:left="195"/>
              <w:rPr>
                <w:rFonts w:ascii="楷体" w:eastAsia="楷体" w:hint="eastAsia"/>
                <w:b/>
                <w:sz w:val="21"/>
              </w:rPr>
            </w:pPr>
            <w:r>
              <w:rPr>
                <w:rFonts w:ascii="楷体" w:eastAsia="楷体" w:hint="eastAsia"/>
                <w:b/>
                <w:w w:val="95"/>
                <w:sz w:val="21"/>
              </w:rPr>
              <w:t>自体造血干细</w:t>
            </w:r>
          </w:p>
        </w:tc>
        <w:tc>
          <w:tcPr>
            <w:tcW w:w="7657" w:type="dxa"/>
          </w:tcPr>
          <w:p>
            <w:pPr>
              <w:pStyle w:val="TableParagraph"/>
              <w:spacing w:before="145"/>
              <w:ind w:left="128"/>
              <w:rPr>
                <w:sz w:val="21"/>
              </w:rPr>
            </w:pPr>
            <w:r>
              <w:rPr>
                <w:sz w:val="21"/>
              </w:rPr>
              <w:t>为治疗造血功能损害或造血系统恶性肿瘤，已经实施了造血干细胞（包括骨髓造</w:t>
            </w:r>
          </w:p>
        </w:tc>
      </w:tr>
      <w:tr>
        <w:trPr>
          <w:trHeight w:val="786" w:hRule="atLeast"/>
        </w:trPr>
        <w:tc>
          <w:tcPr>
            <w:tcW w:w="875" w:type="dxa"/>
          </w:tcPr>
          <w:p>
            <w:pPr>
              <w:pStyle w:val="TableParagraph"/>
              <w:rPr>
                <w:rFonts w:ascii="Times New Roman"/>
                <w:sz w:val="20"/>
              </w:rPr>
            </w:pPr>
          </w:p>
        </w:tc>
        <w:tc>
          <w:tcPr>
            <w:tcW w:w="1585" w:type="dxa"/>
          </w:tcPr>
          <w:p>
            <w:pPr>
              <w:pStyle w:val="TableParagraph"/>
              <w:spacing w:line="267" w:lineRule="exact"/>
              <w:ind w:left="195"/>
              <w:rPr>
                <w:rFonts w:ascii="楷体" w:eastAsia="楷体" w:hint="eastAsia"/>
                <w:b/>
                <w:sz w:val="21"/>
              </w:rPr>
            </w:pPr>
            <w:r>
              <w:rPr>
                <w:rFonts w:ascii="楷体" w:eastAsia="楷体" w:hint="eastAsia"/>
                <w:b/>
                <w:w w:val="95"/>
                <w:sz w:val="21"/>
              </w:rPr>
              <w:t>胞移植术</w:t>
            </w:r>
          </w:p>
        </w:tc>
        <w:tc>
          <w:tcPr>
            <w:tcW w:w="7657" w:type="dxa"/>
          </w:tcPr>
          <w:p>
            <w:pPr>
              <w:pStyle w:val="TableParagraph"/>
              <w:spacing w:line="269" w:lineRule="exact"/>
              <w:ind w:left="128"/>
              <w:rPr>
                <w:b/>
                <w:i/>
                <w:sz w:val="22"/>
              </w:rPr>
            </w:pPr>
            <w:r>
              <w:rPr>
                <w:w w:val="95"/>
                <w:sz w:val="21"/>
              </w:rPr>
              <w:t>血干细胞、外周血造血干细胞和脐血造血干细胞）的自体移植手术。</w:t>
            </w:r>
            <w:r>
              <w:rPr>
                <w:b/>
                <w:i/>
                <w:w w:val="95"/>
                <w:sz w:val="22"/>
              </w:rPr>
              <w:t>该治疗须由</w:t>
            </w:r>
          </w:p>
          <w:p>
            <w:pPr>
              <w:pStyle w:val="TableParagraph"/>
              <w:spacing w:before="27"/>
              <w:ind w:left="128"/>
              <w:rPr>
                <w:b/>
                <w:i/>
                <w:sz w:val="22"/>
              </w:rPr>
            </w:pPr>
            <w:r>
              <w:rPr>
                <w:b/>
                <w:i/>
                <w:w w:val="95"/>
                <w:sz w:val="22"/>
              </w:rPr>
              <w:t>专科医生认为在临床上是必需的。</w:t>
            </w:r>
          </w:p>
        </w:tc>
      </w:tr>
      <w:tr>
        <w:trPr>
          <w:trHeight w:val="464" w:hRule="atLeast"/>
        </w:trPr>
        <w:tc>
          <w:tcPr>
            <w:tcW w:w="875" w:type="dxa"/>
          </w:tcPr>
          <w:p>
            <w:pPr>
              <w:pStyle w:val="TableParagraph"/>
              <w:spacing w:before="137"/>
              <w:ind w:left="50"/>
              <w:rPr>
                <w:b/>
                <w:sz w:val="21"/>
              </w:rPr>
            </w:pPr>
            <w:r>
              <w:rPr>
                <w:b/>
                <w:sz w:val="21"/>
              </w:rPr>
              <w:t>9.6.84</w:t>
            </w:r>
          </w:p>
        </w:tc>
        <w:tc>
          <w:tcPr>
            <w:tcW w:w="1585" w:type="dxa"/>
          </w:tcPr>
          <w:p>
            <w:pPr>
              <w:pStyle w:val="TableParagraph"/>
              <w:spacing w:before="137"/>
              <w:ind w:left="195"/>
              <w:rPr>
                <w:rFonts w:ascii="楷体" w:eastAsia="楷体" w:hint="eastAsia"/>
                <w:b/>
                <w:sz w:val="21"/>
              </w:rPr>
            </w:pPr>
            <w:r>
              <w:rPr>
                <w:rFonts w:ascii="楷体" w:eastAsia="楷体" w:hint="eastAsia"/>
                <w:b/>
                <w:w w:val="95"/>
                <w:sz w:val="21"/>
              </w:rPr>
              <w:t>重症手足口病</w:t>
            </w:r>
          </w:p>
        </w:tc>
        <w:tc>
          <w:tcPr>
            <w:tcW w:w="7657" w:type="dxa"/>
          </w:tcPr>
          <w:p>
            <w:pPr>
              <w:pStyle w:val="TableParagraph"/>
              <w:spacing w:before="137"/>
              <w:ind w:left="128"/>
              <w:rPr>
                <w:sz w:val="21"/>
              </w:rPr>
            </w:pPr>
            <w:r>
              <w:rPr>
                <w:sz w:val="21"/>
              </w:rPr>
              <w:t>由肠道病毒引起的急性传染病，主要症状表现为手、足、口腔等部位的斑丘疹、</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疱疹。经我们认可的医疗机构的专科医生确诊为患有手足口病，并伴有下列三项</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中的任意一项并发症：</w:t>
            </w:r>
          </w:p>
        </w:tc>
      </w:tr>
      <w:tr>
        <w:trPr>
          <w:trHeight w:val="6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1" w:lineRule="auto"/>
              <w:ind w:left="128" w:right="160"/>
              <w:rPr>
                <w:sz w:val="21"/>
              </w:rPr>
            </w:pPr>
            <w:r>
              <w:rPr>
                <w:sz w:val="21"/>
              </w:rPr>
              <w:t>（1） 有脑膜炎或脑炎并发症，且导致意识障碍或瘫痪的临床表现及实验室检查证据；</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（2） 有肺炎或肺水肿并发症，且导致呼吸衰竭的临床表现及实验室检查证据；</w:t>
            </w:r>
          </w:p>
        </w:tc>
      </w:tr>
      <w:tr>
        <w:trPr>
          <w:trHeight w:val="31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（3） 有心肌炎并发症，且导致心脏扩大或心力衰竭的临床表现及实验室检查证</w:t>
            </w:r>
          </w:p>
        </w:tc>
      </w:tr>
      <w:tr>
        <w:trPr>
          <w:trHeight w:val="465" w:hRule="atLeast"/>
        </w:trPr>
        <w:tc>
          <w:tcPr>
            <w:tcW w:w="875" w:type="dxa"/>
          </w:tcPr>
          <w:p>
            <w:pPr>
              <w:pStyle w:val="TableParagraph"/>
              <w:rPr>
                <w:rFonts w:ascii="Times New Roman"/>
                <w:sz w:val="20"/>
              </w:rPr>
            </w:pPr>
          </w:p>
        </w:tc>
        <w:tc>
          <w:tcPr>
            <w:tcW w:w="1585" w:type="dxa"/>
          </w:tcPr>
          <w:p>
            <w:pPr>
              <w:pStyle w:val="TableParagraph"/>
              <w:rPr>
                <w:rFonts w:ascii="Times New Roman"/>
                <w:sz w:val="20"/>
              </w:rPr>
            </w:pPr>
          </w:p>
        </w:tc>
        <w:tc>
          <w:tcPr>
            <w:tcW w:w="7657" w:type="dxa"/>
          </w:tcPr>
          <w:p>
            <w:pPr>
              <w:pStyle w:val="TableParagraph"/>
              <w:spacing w:line="263" w:lineRule="exact"/>
              <w:ind w:left="128"/>
              <w:rPr>
                <w:sz w:val="21"/>
              </w:rPr>
            </w:pPr>
            <w:r>
              <w:rPr>
                <w:sz w:val="21"/>
              </w:rPr>
              <w:t>据。</w:t>
            </w:r>
          </w:p>
        </w:tc>
      </w:tr>
      <w:tr>
        <w:trPr>
          <w:trHeight w:val="465" w:hRule="atLeast"/>
        </w:trPr>
        <w:tc>
          <w:tcPr>
            <w:tcW w:w="875" w:type="dxa"/>
          </w:tcPr>
          <w:p>
            <w:pPr>
              <w:pStyle w:val="TableParagraph"/>
              <w:spacing w:before="138"/>
              <w:ind w:left="50"/>
              <w:rPr>
                <w:b/>
                <w:sz w:val="21"/>
              </w:rPr>
            </w:pPr>
            <w:r>
              <w:rPr>
                <w:b/>
                <w:sz w:val="21"/>
              </w:rPr>
              <w:t>9.6.85</w:t>
            </w:r>
          </w:p>
        </w:tc>
        <w:tc>
          <w:tcPr>
            <w:tcW w:w="1585" w:type="dxa"/>
          </w:tcPr>
          <w:p>
            <w:pPr>
              <w:pStyle w:val="TableParagraph"/>
              <w:spacing w:before="138"/>
              <w:ind w:left="195"/>
              <w:rPr>
                <w:rFonts w:ascii="楷体" w:eastAsia="楷体" w:hint="eastAsia"/>
                <w:b/>
                <w:sz w:val="21"/>
              </w:rPr>
            </w:pPr>
            <w:r>
              <w:rPr>
                <w:rFonts w:ascii="楷体" w:eastAsia="楷体" w:hint="eastAsia"/>
                <w:b/>
                <w:w w:val="95"/>
                <w:sz w:val="21"/>
              </w:rPr>
              <w:t>严重哮喘</w:t>
            </w:r>
          </w:p>
        </w:tc>
        <w:tc>
          <w:tcPr>
            <w:tcW w:w="7657" w:type="dxa"/>
          </w:tcPr>
          <w:p>
            <w:pPr>
              <w:pStyle w:val="TableParagraph"/>
              <w:spacing w:before="138"/>
              <w:ind w:left="128"/>
              <w:rPr>
                <w:sz w:val="21"/>
              </w:rPr>
            </w:pPr>
            <w:r>
              <w:rPr>
                <w:sz w:val="21"/>
              </w:rPr>
              <w:t>指一种反复发作的严重支气管阻塞性疾病，经我们认可的专科医生确诊，且必须</w:t>
            </w:r>
          </w:p>
        </w:tc>
      </w:tr>
      <w:tr>
        <w:trPr>
          <w:trHeight w:val="262" w:hRule="atLeast"/>
        </w:trPr>
        <w:tc>
          <w:tcPr>
            <w:tcW w:w="875" w:type="dxa"/>
          </w:tcPr>
          <w:p>
            <w:pPr>
              <w:pStyle w:val="TableParagraph"/>
              <w:rPr>
                <w:rFonts w:ascii="Times New Roman"/>
                <w:sz w:val="18"/>
              </w:rPr>
            </w:pPr>
          </w:p>
        </w:tc>
        <w:tc>
          <w:tcPr>
            <w:tcW w:w="1585" w:type="dxa"/>
          </w:tcPr>
          <w:p>
            <w:pPr>
              <w:pStyle w:val="TableParagraph"/>
              <w:rPr>
                <w:rFonts w:ascii="Times New Roman"/>
                <w:sz w:val="18"/>
              </w:rPr>
            </w:pPr>
          </w:p>
        </w:tc>
        <w:tc>
          <w:tcPr>
            <w:tcW w:w="7657" w:type="dxa"/>
          </w:tcPr>
          <w:p>
            <w:pPr>
              <w:pStyle w:val="TableParagraph"/>
              <w:spacing w:line="243" w:lineRule="exact"/>
              <w:ind w:left="128"/>
              <w:rPr>
                <w:sz w:val="21"/>
              </w:rPr>
            </w:pPr>
            <w:r>
              <w:rPr>
                <w:sz w:val="21"/>
              </w:rPr>
              <w:t>同时符合下列标准：</w:t>
            </w:r>
          </w:p>
        </w:tc>
      </w:tr>
    </w:tbl>
    <w:p>
      <w:pPr>
        <w:pStyle w:val="ListParagraph"/>
        <w:numPr>
          <w:ilvl w:val="0"/>
          <w:numId w:val="59"/>
        </w:numPr>
        <w:tabs>
          <w:tab w:pos="3326" w:val="left" w:leader="none"/>
        </w:tabs>
        <w:spacing w:line="240" w:lineRule="auto" w:before="40" w:after="0"/>
        <w:ind w:left="3325" w:right="0" w:hanging="631"/>
        <w:jc w:val="left"/>
        <w:rPr>
          <w:sz w:val="21"/>
        </w:rPr>
      </w:pPr>
      <w:r>
        <w:rPr>
          <w:sz w:val="21"/>
        </w:rPr>
        <w:t>过去两年中曾因哮喘持续状态住院治疗，并提供完整住院记录；</w:t>
      </w:r>
    </w:p>
    <w:p>
      <w:pPr>
        <w:pStyle w:val="ListParagraph"/>
        <w:numPr>
          <w:ilvl w:val="0"/>
          <w:numId w:val="59"/>
        </w:numPr>
        <w:tabs>
          <w:tab w:pos="3326" w:val="left" w:leader="none"/>
        </w:tabs>
        <w:spacing w:line="240" w:lineRule="auto" w:before="40" w:after="0"/>
        <w:ind w:left="3325" w:right="0" w:hanging="631"/>
        <w:jc w:val="left"/>
        <w:rPr>
          <w:sz w:val="21"/>
        </w:rPr>
      </w:pPr>
      <w:r>
        <w:rPr>
          <w:spacing w:val="-1"/>
          <w:sz w:val="21"/>
        </w:rPr>
        <w:t>因慢性过度换气导致胸廓畸形；</w:t>
      </w:r>
    </w:p>
    <w:p>
      <w:pPr>
        <w:pStyle w:val="ListParagraph"/>
        <w:numPr>
          <w:ilvl w:val="0"/>
          <w:numId w:val="59"/>
        </w:numPr>
        <w:tabs>
          <w:tab w:pos="3326" w:val="left" w:leader="none"/>
        </w:tabs>
        <w:spacing w:line="240" w:lineRule="auto" w:before="40" w:after="0"/>
        <w:ind w:left="3325" w:right="0" w:hanging="631"/>
        <w:jc w:val="left"/>
        <w:rPr>
          <w:sz w:val="21"/>
        </w:rPr>
      </w:pPr>
      <w:r>
        <w:rPr>
          <w:sz w:val="21"/>
        </w:rPr>
        <w:t>在家中需要医生处方的氧气治疗法；</w:t>
      </w:r>
    </w:p>
    <w:p>
      <w:pPr>
        <w:pStyle w:val="ListParagraph"/>
        <w:numPr>
          <w:ilvl w:val="0"/>
          <w:numId w:val="59"/>
        </w:numPr>
        <w:tabs>
          <w:tab w:pos="3326" w:val="left" w:leader="none"/>
        </w:tabs>
        <w:spacing w:line="240" w:lineRule="auto" w:before="25" w:after="0"/>
        <w:ind w:left="3325" w:right="0" w:hanging="631"/>
        <w:jc w:val="left"/>
        <w:rPr>
          <w:sz w:val="21"/>
        </w:rPr>
      </w:pPr>
      <w:r>
        <w:rPr>
          <w:sz w:val="21"/>
        </w:rPr>
        <w:t>持续日常服用口服类固醇激素治疗持续至少六个月。</w:t>
      </w:r>
    </w:p>
    <w:p>
      <w:pPr>
        <w:pStyle w:val="Heading2"/>
        <w:spacing w:before="28"/>
        <w:ind w:left="2694"/>
      </w:pPr>
      <w:r>
        <w:rPr>
          <w:w w:val="95"/>
        </w:rPr>
        <w:t>被保险人申请理赔时年龄必须在年满二十五周岁之前。</w:t>
      </w:r>
    </w:p>
    <w:p>
      <w:pPr>
        <w:spacing w:after="0"/>
        <w:sectPr>
          <w:pgSz w:w="11910" w:h="16850"/>
          <w:pgMar w:header="0" w:footer="944" w:top="1200" w:bottom="1180" w:left="940" w:right="640"/>
        </w:sectPr>
      </w:pPr>
    </w:p>
    <w:p>
      <w:pPr>
        <w:pStyle w:val="ListParagraph"/>
        <w:numPr>
          <w:ilvl w:val="2"/>
          <w:numId w:val="60"/>
        </w:numPr>
        <w:tabs>
          <w:tab w:pos="1138" w:val="left" w:leader="none"/>
        </w:tabs>
        <w:spacing w:line="266" w:lineRule="auto" w:before="16" w:after="0"/>
        <w:ind w:left="2654" w:right="209" w:hanging="2538"/>
        <w:jc w:val="both"/>
        <w:rPr>
          <w:sz w:val="21"/>
        </w:rPr>
      </w:pPr>
      <w:r>
        <w:rPr>
          <w:rFonts w:ascii="楷体" w:eastAsia="楷体" w:hint="eastAsia"/>
          <w:b/>
          <w:spacing w:val="5"/>
          <w:sz w:val="21"/>
        </w:rPr>
        <w:t>骨生长不全症 </w:t>
      </w:r>
      <w:r>
        <w:rPr>
          <w:spacing w:val="-2"/>
          <w:sz w:val="21"/>
        </w:rPr>
        <w:t>指一种胶原病，特征为骨易碎，骨质疏松和易骨折。该病有 </w:t>
      </w:r>
      <w:r>
        <w:rPr>
          <w:sz w:val="21"/>
        </w:rPr>
        <w:t>4</w:t>
      </w:r>
      <w:r>
        <w:rPr>
          <w:spacing w:val="-10"/>
          <w:sz w:val="21"/>
        </w:rPr>
        <w:t> 种类型：</w:t>
      </w:r>
      <w:r>
        <w:rPr>
          <w:sz w:val="21"/>
        </w:rPr>
        <w:t>I</w:t>
      </w:r>
      <w:r>
        <w:rPr>
          <w:spacing w:val="-16"/>
          <w:sz w:val="21"/>
        </w:rPr>
        <w:t> 型、</w:t>
      </w:r>
      <w:r>
        <w:rPr>
          <w:sz w:val="21"/>
        </w:rPr>
        <w:t>II 型、III</w:t>
      </w:r>
      <w:r>
        <w:rPr>
          <w:spacing w:val="-26"/>
          <w:sz w:val="21"/>
        </w:rPr>
        <w:t> 型、</w:t>
      </w:r>
      <w:r>
        <w:rPr>
          <w:sz w:val="21"/>
        </w:rPr>
        <w:t>IV</w:t>
      </w:r>
      <w:r>
        <w:rPr>
          <w:spacing w:val="-31"/>
          <w:sz w:val="21"/>
        </w:rPr>
        <w:t> 型。</w:t>
      </w:r>
      <w:r>
        <w:rPr>
          <w:b/>
          <w:i/>
          <w:spacing w:val="-21"/>
          <w:sz w:val="22"/>
        </w:rPr>
        <w:t>只保障 </w:t>
      </w:r>
      <w:r>
        <w:rPr>
          <w:b/>
          <w:i/>
          <w:sz w:val="22"/>
        </w:rPr>
        <w:t>III</w:t>
      </w:r>
      <w:r>
        <w:rPr>
          <w:b/>
          <w:i/>
          <w:spacing w:val="-42"/>
          <w:sz w:val="22"/>
        </w:rPr>
        <w:t> 型或 </w:t>
      </w:r>
      <w:r>
        <w:rPr>
          <w:b/>
          <w:i/>
          <w:sz w:val="22"/>
        </w:rPr>
        <w:t>III</w:t>
      </w:r>
      <w:r>
        <w:rPr>
          <w:b/>
          <w:i/>
          <w:spacing w:val="-10"/>
          <w:sz w:val="22"/>
        </w:rPr>
        <w:t> 型以上成骨不全的情形</w:t>
      </w:r>
      <w:r>
        <w:rPr>
          <w:sz w:val="21"/>
        </w:rPr>
        <w:t>。其主要临床特</w:t>
      </w:r>
      <w:r>
        <w:rPr>
          <w:spacing w:val="-12"/>
          <w:sz w:val="21"/>
        </w:rPr>
        <w:t>点有：发展迟缓、多发性骨折、进行性脊柱后侧凸及听力损害。</w:t>
      </w:r>
      <w:r>
        <w:rPr>
          <w:sz w:val="21"/>
        </w:rPr>
        <w:t>III</w:t>
      </w:r>
      <w:r>
        <w:rPr>
          <w:spacing w:val="-8"/>
          <w:sz w:val="21"/>
        </w:rPr>
        <w:t> 型成骨不全的诊断必须根据身体检查，家族史，X 线检查和皮肤活检报告资料确诊。</w:t>
      </w:r>
    </w:p>
    <w:p>
      <w:pPr>
        <w:pStyle w:val="BodyText"/>
        <w:spacing w:line="276" w:lineRule="auto" w:before="16"/>
        <w:ind w:left="2654" w:right="249"/>
      </w:pPr>
      <w:r>
        <w:rPr/>
        <w:t>我们承担本项疾病责任不受本附加险合同“责任免除”中“遗传性疾病、先天性畸形、变形或染色体异常”的限制。</w:t>
      </w:r>
    </w:p>
    <w:p>
      <w:pPr>
        <w:pStyle w:val="BodyText"/>
        <w:spacing w:before="0"/>
        <w:rPr>
          <w:sz w:val="22"/>
        </w:rPr>
      </w:pPr>
    </w:p>
    <w:p>
      <w:pPr>
        <w:spacing w:after="0"/>
        <w:rPr>
          <w:sz w:val="22"/>
        </w:rPr>
        <w:sectPr>
          <w:pgSz w:w="11910" w:h="16850"/>
          <w:pgMar w:header="0" w:footer="944" w:top="1520" w:bottom="1180" w:left="980" w:right="66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器官移植导致</w:t>
      </w:r>
    </w:p>
    <w:p>
      <w:pPr>
        <w:spacing w:before="24"/>
        <w:ind w:left="1137" w:right="0" w:firstLine="0"/>
        <w:jc w:val="left"/>
        <w:rPr>
          <w:rFonts w:ascii="楷体" w:eastAsia="楷体" w:hint="eastAsia"/>
          <w:b/>
          <w:sz w:val="21"/>
        </w:rPr>
      </w:pPr>
      <w:r>
        <w:rPr>
          <w:rFonts w:ascii="楷体" w:eastAsia="楷体" w:hint="eastAsia"/>
          <w:b/>
          <w:sz w:val="21"/>
        </w:rPr>
        <w:t>的 HIV 感染</w:t>
      </w:r>
    </w:p>
    <w:p>
      <w:pPr>
        <w:pStyle w:val="BodyText"/>
        <w:spacing w:before="35"/>
        <w:ind w:left="116"/>
      </w:pPr>
      <w:r>
        <w:rPr/>
        <w:br w:type="column"/>
      </w:r>
      <w:r>
        <w:rPr/>
        <w:t>指因进行器官移植而感染上人类免疫缺陷病毒</w:t>
      </w:r>
      <w:r>
        <w:rPr>
          <w:spacing w:val="-5"/>
        </w:rPr>
        <w:t>（</w:t>
      </w:r>
      <w:r>
        <w:rPr/>
        <w:t>HIV</w:t>
      </w:r>
      <w:r>
        <w:rPr>
          <w:spacing w:val="-105"/>
        </w:rPr>
        <w:t>）</w:t>
      </w:r>
      <w:r>
        <w:rPr/>
        <w:t>，且须满足下列全部条件：</w:t>
      </w:r>
    </w:p>
    <w:p>
      <w:pPr>
        <w:pStyle w:val="ListParagraph"/>
        <w:numPr>
          <w:ilvl w:val="0"/>
          <w:numId w:val="61"/>
        </w:numPr>
        <w:tabs>
          <w:tab w:pos="748" w:val="left" w:leader="none"/>
        </w:tabs>
        <w:spacing w:line="276" w:lineRule="auto" w:before="24" w:after="0"/>
        <w:ind w:left="116" w:right="246" w:firstLine="0"/>
        <w:jc w:val="left"/>
        <w:rPr>
          <w:sz w:val="21"/>
        </w:rPr>
      </w:pPr>
      <w:r>
        <w:rPr>
          <w:sz w:val="21"/>
        </w:rPr>
        <w:t>在保障起始日或复效日之后，被保险人因治疗必需而实施器官移植，并且因器官移植而感染人类免疫缺陷病毒；</w:t>
      </w:r>
    </w:p>
    <w:p>
      <w:pPr>
        <w:pStyle w:val="ListParagraph"/>
        <w:numPr>
          <w:ilvl w:val="0"/>
          <w:numId w:val="61"/>
        </w:numPr>
        <w:tabs>
          <w:tab w:pos="748" w:val="left" w:leader="none"/>
        </w:tabs>
        <w:spacing w:line="276" w:lineRule="auto" w:before="8" w:after="0"/>
        <w:ind w:left="116" w:right="246" w:firstLine="0"/>
        <w:jc w:val="left"/>
        <w:rPr>
          <w:sz w:val="21"/>
        </w:rPr>
      </w:pPr>
      <w:r>
        <w:rPr>
          <w:sz w:val="21"/>
        </w:rPr>
        <w:t>提供器官移植治疗的器官移植中心或医院出具该项器官移植感染，属于医疗责任事故的报告，或者法院终审裁定为医疗责任并且不准上诉；</w:t>
      </w:r>
    </w:p>
    <w:p>
      <w:pPr>
        <w:pStyle w:val="ListParagraph"/>
        <w:numPr>
          <w:ilvl w:val="0"/>
          <w:numId w:val="61"/>
        </w:numPr>
        <w:tabs>
          <w:tab w:pos="748" w:val="left" w:leader="none"/>
        </w:tabs>
        <w:spacing w:line="240" w:lineRule="auto" w:before="9" w:after="0"/>
        <w:ind w:left="116" w:right="0" w:firstLine="0"/>
        <w:jc w:val="left"/>
        <w:rPr>
          <w:sz w:val="21"/>
        </w:rPr>
      </w:pPr>
      <w:r>
        <w:rPr>
          <w:spacing w:val="-1"/>
          <w:sz w:val="21"/>
        </w:rPr>
        <w:t>提供器官移植治疗的器官移植中心或医院必须拥有合法经营执照。</w:t>
      </w:r>
    </w:p>
    <w:p>
      <w:pPr>
        <w:pStyle w:val="Heading2"/>
        <w:spacing w:line="264" w:lineRule="auto" w:before="13"/>
        <w:ind w:right="147"/>
      </w:pPr>
      <w:r>
        <w:rPr>
          <w:w w:val="95"/>
        </w:rPr>
        <w:t>任何因其他传播方式（包括：性传播或静脉注射毒品）导致的 HIV 感染不在保障范围内。</w:t>
      </w:r>
    </w:p>
    <w:p>
      <w:pPr>
        <w:spacing w:after="0" w:line="264" w:lineRule="auto"/>
        <w:sectPr>
          <w:type w:val="continuous"/>
          <w:pgSz w:w="11910" w:h="16850"/>
          <w:pgMar w:top="540" w:bottom="1140" w:left="980" w:right="660"/>
          <w:cols w:num="2" w:equalWidth="0">
            <w:col w:w="2401" w:space="137"/>
            <w:col w:w="7732"/>
          </w:cols>
        </w:sectPr>
      </w:pPr>
    </w:p>
    <w:p>
      <w:pPr>
        <w:pStyle w:val="BodyText"/>
        <w:spacing w:before="8"/>
        <w:rPr>
          <w:b/>
          <w:i/>
          <w:sz w:val="22"/>
        </w:rPr>
      </w:pPr>
    </w:p>
    <w:p>
      <w:pPr>
        <w:spacing w:after="0"/>
        <w:rPr>
          <w:sz w:val="22"/>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进行性多灶性</w:t>
      </w:r>
    </w:p>
    <w:p>
      <w:pPr>
        <w:spacing w:before="39"/>
        <w:ind w:left="1137" w:right="0" w:firstLine="0"/>
        <w:jc w:val="left"/>
        <w:rPr>
          <w:rFonts w:ascii="楷体" w:eastAsia="楷体" w:hint="eastAsia"/>
          <w:b/>
          <w:sz w:val="21"/>
        </w:rPr>
      </w:pPr>
      <w:r>
        <w:rPr>
          <w:rFonts w:ascii="楷体" w:eastAsia="楷体" w:hint="eastAsia"/>
          <w:b/>
          <w:w w:val="95"/>
          <w:sz w:val="21"/>
        </w:rPr>
        <w:t>白质脑病</w:t>
      </w:r>
    </w:p>
    <w:p>
      <w:pPr>
        <w:pStyle w:val="BodyText"/>
        <w:spacing w:line="276" w:lineRule="auto" w:before="35"/>
        <w:ind w:left="116" w:right="245"/>
      </w:pPr>
      <w:r>
        <w:rPr/>
        <w:br w:type="column"/>
      </w:r>
      <w:r>
        <w:rPr/>
        <w:t>是一种亚急性脱髓鞘性脑病，常常发现于免疫缺陷的病人。必须由神经科专科医生根据脑组织活检确诊。</w:t>
      </w:r>
    </w:p>
    <w:p>
      <w:pPr>
        <w:spacing w:after="0" w:line="276" w:lineRule="auto"/>
        <w:sectPr>
          <w:type w:val="continuous"/>
          <w:pgSz w:w="11910" w:h="16850"/>
          <w:pgMar w:top="540" w:bottom="1140" w:left="980" w:right="660"/>
          <w:cols w:num="2" w:equalWidth="0">
            <w:col w:w="2401" w:space="137"/>
            <w:col w:w="7732"/>
          </w:cols>
        </w:sectPr>
      </w:pPr>
    </w:p>
    <w:p>
      <w:pPr>
        <w:pStyle w:val="BodyText"/>
        <w:spacing w:before="12"/>
        <w:rPr>
          <w:sz w:val="20"/>
        </w:rPr>
      </w:pPr>
    </w:p>
    <w:p>
      <w:pPr>
        <w:spacing w:after="0"/>
        <w:rPr>
          <w:sz w:val="20"/>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76" w:lineRule="auto" w:before="35" w:after="0"/>
        <w:ind w:left="1137" w:right="0" w:hanging="1021"/>
        <w:jc w:val="left"/>
        <w:rPr>
          <w:rFonts w:ascii="宋体" w:eastAsia="宋体" w:hint="eastAsia"/>
        </w:rPr>
      </w:pPr>
      <w:r>
        <w:rPr>
          <w:w w:val="95"/>
        </w:rPr>
        <w:t>脊髓小脑变性</w:t>
      </w:r>
      <w:r>
        <w:rPr/>
        <w:t>症</w:t>
      </w:r>
    </w:p>
    <w:p>
      <w:pPr>
        <w:pStyle w:val="BodyText"/>
        <w:spacing w:line="276" w:lineRule="auto" w:before="35"/>
        <w:ind w:left="116" w:right="247"/>
      </w:pPr>
      <w:r>
        <w:rPr/>
        <w:br w:type="column"/>
      </w:r>
      <w:r>
        <w:rPr/>
        <w:t>脊髓小脑变性症为一组以小脑萎缩和共济失调为主要临床特点的疾病。必须符合所有以下条件：</w:t>
      </w:r>
    </w:p>
    <w:p>
      <w:pPr>
        <w:pStyle w:val="ListParagraph"/>
        <w:numPr>
          <w:ilvl w:val="0"/>
          <w:numId w:val="62"/>
        </w:numPr>
        <w:tabs>
          <w:tab w:pos="748" w:val="left" w:leader="none"/>
        </w:tabs>
        <w:spacing w:line="240" w:lineRule="auto" w:before="9" w:after="0"/>
        <w:ind w:left="116" w:right="0" w:firstLine="0"/>
        <w:jc w:val="left"/>
        <w:rPr>
          <w:sz w:val="21"/>
        </w:rPr>
      </w:pPr>
      <w:r>
        <w:rPr>
          <w:sz w:val="21"/>
        </w:rPr>
        <w:t>脊髓小脑变性症必须由医院诊断，并有以下证据支持：</w:t>
      </w:r>
    </w:p>
    <w:p>
      <w:pPr>
        <w:pStyle w:val="ListParagraph"/>
        <w:numPr>
          <w:ilvl w:val="1"/>
          <w:numId w:val="62"/>
        </w:numPr>
        <w:tabs>
          <w:tab w:pos="1123" w:val="left" w:leader="none"/>
        </w:tabs>
        <w:spacing w:line="240" w:lineRule="auto" w:before="40" w:after="0"/>
        <w:ind w:left="1122" w:right="0" w:hanging="375"/>
        <w:jc w:val="left"/>
        <w:rPr>
          <w:sz w:val="21"/>
        </w:rPr>
      </w:pPr>
      <w:r>
        <w:rPr>
          <w:sz w:val="21"/>
        </w:rPr>
        <w:t>影像学检查证实存在小脑萎缩；</w:t>
      </w:r>
    </w:p>
    <w:p>
      <w:pPr>
        <w:pStyle w:val="ListParagraph"/>
        <w:numPr>
          <w:ilvl w:val="1"/>
          <w:numId w:val="62"/>
        </w:numPr>
        <w:tabs>
          <w:tab w:pos="1123" w:val="left" w:leader="none"/>
        </w:tabs>
        <w:spacing w:line="240" w:lineRule="auto" w:before="25" w:after="0"/>
        <w:ind w:left="1122" w:right="0" w:hanging="375"/>
        <w:jc w:val="left"/>
        <w:rPr>
          <w:sz w:val="21"/>
        </w:rPr>
      </w:pPr>
      <w:r>
        <w:rPr>
          <w:spacing w:val="-1"/>
          <w:sz w:val="21"/>
        </w:rPr>
        <w:t>临床表现存在共济失调、语言障碍和肌张力异常。</w:t>
      </w:r>
    </w:p>
    <w:p>
      <w:pPr>
        <w:pStyle w:val="ListParagraph"/>
        <w:numPr>
          <w:ilvl w:val="0"/>
          <w:numId w:val="62"/>
        </w:numPr>
        <w:tabs>
          <w:tab w:pos="748" w:val="left" w:leader="none"/>
        </w:tabs>
        <w:spacing w:line="276" w:lineRule="auto" w:before="39" w:after="0"/>
        <w:ind w:left="116" w:right="246" w:firstLine="0"/>
        <w:jc w:val="left"/>
        <w:rPr>
          <w:sz w:val="21"/>
        </w:rPr>
      </w:pPr>
      <w:r>
        <w:rPr>
          <w:sz w:val="21"/>
        </w:rPr>
        <w:t>被保险人运动功能严重障碍，自主生活能力完全丧失，无法独立完成六项基本日常生活活动中的三项或三项以上。</w:t>
      </w:r>
    </w:p>
    <w:p>
      <w:pPr>
        <w:spacing w:after="0" w:line="276" w:lineRule="auto"/>
        <w:jc w:val="left"/>
        <w:rPr>
          <w:sz w:val="21"/>
        </w:rPr>
        <w:sectPr>
          <w:type w:val="continuous"/>
          <w:pgSz w:w="11910" w:h="16850"/>
          <w:pgMar w:top="540" w:bottom="1140" w:left="980" w:right="660"/>
          <w:cols w:num="2" w:equalWidth="0">
            <w:col w:w="2401" w:space="137"/>
            <w:col w:w="7732"/>
          </w:cols>
        </w:sectPr>
      </w:pPr>
    </w:p>
    <w:p>
      <w:pPr>
        <w:pStyle w:val="BodyText"/>
        <w:spacing w:before="0"/>
        <w:rPr>
          <w:sz w:val="22"/>
        </w:rPr>
      </w:pPr>
    </w:p>
    <w:p>
      <w:pPr>
        <w:spacing w:after="0"/>
        <w:rPr>
          <w:sz w:val="22"/>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婴儿进行性脊</w:t>
      </w:r>
    </w:p>
    <w:p>
      <w:pPr>
        <w:spacing w:before="24"/>
        <w:ind w:left="1137" w:right="0" w:firstLine="0"/>
        <w:jc w:val="left"/>
        <w:rPr>
          <w:rFonts w:ascii="楷体" w:eastAsia="楷体" w:hint="eastAsia"/>
          <w:b/>
          <w:sz w:val="21"/>
        </w:rPr>
      </w:pPr>
      <w:r>
        <w:rPr>
          <w:rFonts w:ascii="楷体" w:eastAsia="楷体" w:hint="eastAsia"/>
          <w:b/>
          <w:w w:val="95"/>
          <w:sz w:val="21"/>
        </w:rPr>
        <w:t>肌萎缩症</w:t>
      </w:r>
    </w:p>
    <w:p>
      <w:pPr>
        <w:pStyle w:val="BodyText"/>
        <w:spacing w:line="271" w:lineRule="auto" w:before="35"/>
        <w:ind w:left="116" w:right="245"/>
        <w:jc w:val="both"/>
      </w:pPr>
      <w:r>
        <w:rPr/>
        <w:br w:type="column"/>
      </w:r>
      <w:r>
        <w:rPr/>
        <w:t>是累及脊髓前角细胞及延髓运动核的神经元退行性变性病。在出生后两年内出现的脊髓和脑干颅神经前角细胞进行性机能障碍，伴随肌肉无力和延髓机能障碍。我们承担本项疾病责任不受本附加险合同“责任免除”中“遗传性疾病、先天性畸形、变形或染色体异常”的限制。</w:t>
      </w:r>
    </w:p>
    <w:p>
      <w:pPr>
        <w:spacing w:after="0" w:line="271" w:lineRule="auto"/>
        <w:jc w:val="both"/>
        <w:sectPr>
          <w:type w:val="continuous"/>
          <w:pgSz w:w="11910" w:h="16850"/>
          <w:pgMar w:top="540" w:bottom="1140" w:left="980" w:right="660"/>
          <w:cols w:num="2" w:equalWidth="0">
            <w:col w:w="2401" w:space="137"/>
            <w:col w:w="7732"/>
          </w:cols>
        </w:sectPr>
      </w:pPr>
    </w:p>
    <w:p>
      <w:pPr>
        <w:pStyle w:val="BodyText"/>
        <w:spacing w:before="4"/>
        <w:rPr>
          <w:sz w:val="22"/>
        </w:rPr>
      </w:pPr>
    </w:p>
    <w:p>
      <w:pPr>
        <w:spacing w:after="0"/>
        <w:rPr>
          <w:sz w:val="22"/>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40" w:lineRule="auto" w:before="36" w:after="0"/>
        <w:ind w:left="2654" w:right="0" w:hanging="2538"/>
        <w:jc w:val="left"/>
        <w:rPr>
          <w:rFonts w:ascii="宋体" w:eastAsia="宋体" w:hint="eastAsia"/>
        </w:rPr>
      </w:pPr>
      <w:r>
        <w:rPr>
          <w:w w:val="95"/>
        </w:rPr>
        <w:t>多处臂丛神经</w:t>
      </w:r>
    </w:p>
    <w:p>
      <w:pPr>
        <w:spacing w:before="25"/>
        <w:ind w:left="1137" w:right="0" w:firstLine="0"/>
        <w:jc w:val="left"/>
        <w:rPr>
          <w:rFonts w:ascii="楷体" w:eastAsia="楷体" w:hint="eastAsia"/>
          <w:b/>
          <w:sz w:val="21"/>
        </w:rPr>
      </w:pPr>
      <w:r>
        <w:rPr>
          <w:rFonts w:ascii="楷体" w:eastAsia="楷体" w:hint="eastAsia"/>
          <w:b/>
          <w:w w:val="95"/>
          <w:sz w:val="21"/>
        </w:rPr>
        <w:t>根性撕脱</w:t>
      </w:r>
    </w:p>
    <w:p>
      <w:pPr>
        <w:pStyle w:val="BodyText"/>
        <w:spacing w:line="261" w:lineRule="auto" w:before="36"/>
        <w:ind w:left="116" w:right="36"/>
      </w:pPr>
      <w:r>
        <w:rPr/>
        <w:br w:type="column"/>
      </w:r>
      <w:r>
        <w:rPr/>
        <w:t>由于疾病或意外导致两侧臂丛神经根性撕脱，所造成的双侧手臂感觉功能与运动功能完全永久性丧失。须由医院专科医生明确诊断，并且有电生理检查结果证实。</w:t>
      </w:r>
    </w:p>
    <w:p>
      <w:pPr>
        <w:spacing w:after="0" w:line="261" w:lineRule="auto"/>
        <w:sectPr>
          <w:type w:val="continuous"/>
          <w:pgSz w:w="11910" w:h="16850"/>
          <w:pgMar w:top="540" w:bottom="1140" w:left="980" w:right="660"/>
          <w:cols w:num="2" w:equalWidth="0">
            <w:col w:w="2401" w:space="137"/>
            <w:col w:w="7732"/>
          </w:cols>
        </w:sectPr>
      </w:pPr>
    </w:p>
    <w:p>
      <w:pPr>
        <w:pStyle w:val="BodyText"/>
        <w:spacing w:before="0"/>
        <w:rPr>
          <w:sz w:val="23"/>
        </w:rPr>
      </w:pPr>
    </w:p>
    <w:p>
      <w:pPr>
        <w:spacing w:after="0"/>
        <w:rPr>
          <w:sz w:val="23"/>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严重甲型及乙</w:t>
      </w:r>
    </w:p>
    <w:p>
      <w:pPr>
        <w:spacing w:before="40"/>
        <w:ind w:left="1137" w:right="0" w:firstLine="0"/>
        <w:jc w:val="left"/>
        <w:rPr>
          <w:rFonts w:ascii="楷体" w:eastAsia="楷体" w:hint="eastAsia"/>
          <w:b/>
          <w:sz w:val="21"/>
        </w:rPr>
      </w:pPr>
      <w:r>
        <w:rPr>
          <w:rFonts w:ascii="楷体" w:eastAsia="楷体" w:hint="eastAsia"/>
          <w:b/>
          <w:w w:val="95"/>
          <w:sz w:val="21"/>
        </w:rPr>
        <w:t>型血友病</w:t>
      </w:r>
    </w:p>
    <w:p>
      <w:pPr>
        <w:pStyle w:val="BodyText"/>
        <w:spacing w:line="276" w:lineRule="auto" w:before="35"/>
        <w:ind w:left="116" w:right="193"/>
        <w:jc w:val="both"/>
      </w:pPr>
      <w:r>
        <w:rPr/>
        <w:br w:type="column"/>
      </w:r>
      <w:r>
        <w:rPr>
          <w:spacing w:val="-6"/>
        </w:rPr>
        <w:t>被保险人必须是患上严重甲型血友病</w:t>
      </w:r>
      <w:r>
        <w:rPr/>
        <w:t>（</w:t>
      </w:r>
      <w:r>
        <w:rPr>
          <w:spacing w:val="-17"/>
        </w:rPr>
        <w:t>缺乏 </w:t>
      </w:r>
      <w:r>
        <w:rPr/>
        <w:t>VIII</w:t>
      </w:r>
      <w:r>
        <w:rPr>
          <w:spacing w:val="-10"/>
        </w:rPr>
        <w:t> 凝血因子</w:t>
      </w:r>
      <w:r>
        <w:rPr>
          <w:spacing w:val="-91"/>
        </w:rPr>
        <w:t>）</w:t>
      </w:r>
      <w:r>
        <w:rPr>
          <w:spacing w:val="-12"/>
        </w:rPr>
        <w:t>或严重乙型血友病</w:t>
      </w:r>
      <w:r>
        <w:rPr/>
        <w:t>（缺</w:t>
      </w:r>
      <w:r>
        <w:rPr>
          <w:spacing w:val="-23"/>
        </w:rPr>
        <w:t>乏 </w:t>
      </w:r>
      <w:r>
        <w:rPr/>
        <w:t>IX</w:t>
      </w:r>
      <w:r>
        <w:rPr>
          <w:spacing w:val="-10"/>
        </w:rPr>
        <w:t> 凝血因子</w:t>
      </w:r>
      <w:r>
        <w:rPr>
          <w:spacing w:val="-105"/>
        </w:rPr>
        <w:t>）</w:t>
      </w:r>
      <w:r>
        <w:rPr>
          <w:spacing w:val="-7"/>
        </w:rPr>
        <w:t>，而凝血因子 </w:t>
      </w:r>
      <w:r>
        <w:rPr/>
        <w:t>VI</w:t>
      </w:r>
      <w:r>
        <w:rPr>
          <w:spacing w:val="-15"/>
        </w:rPr>
        <w:t>I</w:t>
      </w:r>
      <w:r>
        <w:rPr/>
        <w:t>I</w:t>
      </w:r>
      <w:r>
        <w:rPr>
          <w:spacing w:val="-15"/>
        </w:rPr>
        <w:t> 或凝血因子 I</w:t>
      </w:r>
      <w:r>
        <w:rPr/>
        <w:t>X</w:t>
      </w:r>
      <w:r>
        <w:rPr>
          <w:spacing w:val="-7"/>
        </w:rPr>
        <w:t> 的活性水平少于百分之一。诊断必须由本公司认可医院的血液病专科医生确认。</w:t>
      </w:r>
    </w:p>
    <w:p>
      <w:pPr>
        <w:pStyle w:val="BodyText"/>
        <w:spacing w:line="276" w:lineRule="auto" w:before="0"/>
        <w:ind w:left="116" w:right="245"/>
        <w:jc w:val="both"/>
      </w:pPr>
      <w:r>
        <w:rPr/>
        <w:t>我们承担本项疾病责任不受本附加险合同“责任免除”中“遗传性疾病、先天性畸形、变形或染色体异常”的限制。</w:t>
      </w:r>
    </w:p>
    <w:p>
      <w:pPr>
        <w:spacing w:after="0" w:line="276" w:lineRule="auto"/>
        <w:jc w:val="both"/>
        <w:sectPr>
          <w:type w:val="continuous"/>
          <w:pgSz w:w="11910" w:h="16850"/>
          <w:pgMar w:top="540" w:bottom="1140" w:left="980" w:right="660"/>
          <w:cols w:num="2" w:equalWidth="0">
            <w:col w:w="2401" w:space="137"/>
            <w:col w:w="7732"/>
          </w:cols>
        </w:sectPr>
      </w:pPr>
    </w:p>
    <w:p>
      <w:pPr>
        <w:pStyle w:val="BodyText"/>
        <w:spacing w:before="8"/>
        <w:rPr>
          <w:sz w:val="22"/>
        </w:rPr>
      </w:pPr>
    </w:p>
    <w:p>
      <w:pPr>
        <w:spacing w:after="0"/>
        <w:rPr>
          <w:sz w:val="22"/>
        </w:rPr>
        <w:sectPr>
          <w:type w:val="continuous"/>
          <w:pgSz w:w="11910" w:h="16850"/>
          <w:pgMar w:top="540" w:bottom="1140" w:left="980" w:right="660"/>
        </w:sectPr>
      </w:pPr>
    </w:p>
    <w:p>
      <w:pPr>
        <w:pStyle w:val="Heading3"/>
        <w:numPr>
          <w:ilvl w:val="2"/>
          <w:numId w:val="60"/>
        </w:numPr>
        <w:tabs>
          <w:tab w:pos="1137" w:val="left" w:leader="none"/>
          <w:tab w:pos="1138" w:val="left" w:leader="none"/>
        </w:tabs>
        <w:spacing w:line="276" w:lineRule="auto" w:before="35" w:after="0"/>
        <w:ind w:left="1137" w:right="0" w:hanging="1021"/>
        <w:jc w:val="left"/>
        <w:rPr>
          <w:rFonts w:ascii="宋体" w:eastAsia="宋体" w:hint="eastAsia"/>
        </w:rPr>
      </w:pPr>
      <w:r>
        <w:rPr>
          <w:w w:val="95"/>
        </w:rPr>
        <w:t>艾森门格综合</w:t>
      </w:r>
      <w:r>
        <w:rPr/>
        <w:t>征</w:t>
      </w:r>
    </w:p>
    <w:p>
      <w:pPr>
        <w:pStyle w:val="BodyText"/>
        <w:spacing w:line="276" w:lineRule="auto" w:before="35"/>
        <w:ind w:left="116" w:right="251"/>
      </w:pPr>
      <w:r>
        <w:rPr/>
        <w:br w:type="column"/>
      </w:r>
      <w:r>
        <w:rPr/>
        <w:t>因心脏病导致的严重肺动脉高压及右向左分流。诊断必须由心脏专科医生经超声心动图和心导管检查证实及需符合以下所有标准：</w:t>
      </w:r>
    </w:p>
    <w:p>
      <w:pPr>
        <w:pStyle w:val="ListParagraph"/>
        <w:numPr>
          <w:ilvl w:val="0"/>
          <w:numId w:val="63"/>
        </w:numPr>
        <w:tabs>
          <w:tab w:pos="748" w:val="left" w:leader="none"/>
        </w:tabs>
        <w:spacing w:line="269" w:lineRule="exact" w:before="0" w:after="0"/>
        <w:ind w:left="747" w:right="0" w:hanging="631"/>
        <w:jc w:val="left"/>
        <w:rPr>
          <w:sz w:val="21"/>
        </w:rPr>
      </w:pPr>
      <w:r>
        <w:rPr>
          <w:spacing w:val="-6"/>
          <w:sz w:val="21"/>
        </w:rPr>
        <w:t>平均肺动脉压高于 </w:t>
      </w:r>
      <w:r>
        <w:rPr>
          <w:sz w:val="21"/>
        </w:rPr>
        <w:t>40mmHg；</w:t>
      </w:r>
    </w:p>
    <w:p>
      <w:pPr>
        <w:pStyle w:val="ListParagraph"/>
        <w:numPr>
          <w:ilvl w:val="0"/>
          <w:numId w:val="63"/>
        </w:numPr>
        <w:tabs>
          <w:tab w:pos="748" w:val="left" w:leader="none"/>
        </w:tabs>
        <w:spacing w:line="240" w:lineRule="auto" w:before="40" w:after="0"/>
        <w:ind w:left="747" w:right="0" w:hanging="631"/>
        <w:jc w:val="left"/>
        <w:rPr>
          <w:sz w:val="21"/>
        </w:rPr>
      </w:pPr>
      <w:r>
        <w:rPr>
          <w:spacing w:val="-6"/>
          <w:sz w:val="21"/>
        </w:rPr>
        <w:t>肺血管阻力高于 </w:t>
      </w:r>
      <w:r>
        <w:rPr>
          <w:sz w:val="21"/>
        </w:rPr>
        <w:t>3mm/L/mi</w:t>
      </w:r>
      <w:r>
        <w:rPr>
          <w:spacing w:val="0"/>
          <w:sz w:val="21"/>
        </w:rPr>
        <w:t>n</w:t>
      </w:r>
      <w:r>
        <w:rPr>
          <w:sz w:val="21"/>
        </w:rPr>
        <w:t>（Wood</w:t>
      </w:r>
      <w:r>
        <w:rPr>
          <w:spacing w:val="-16"/>
          <w:sz w:val="21"/>
        </w:rPr>
        <w:t> 单位</w:t>
      </w:r>
      <w:r>
        <w:rPr>
          <w:spacing w:val="-105"/>
          <w:sz w:val="21"/>
        </w:rPr>
        <w:t>）</w:t>
      </w:r>
      <w:r>
        <w:rPr>
          <w:sz w:val="21"/>
        </w:rPr>
        <w:t>；</w:t>
      </w:r>
    </w:p>
    <w:p>
      <w:pPr>
        <w:spacing w:after="0" w:line="240" w:lineRule="auto"/>
        <w:jc w:val="left"/>
        <w:rPr>
          <w:sz w:val="21"/>
        </w:rPr>
        <w:sectPr>
          <w:type w:val="continuous"/>
          <w:pgSz w:w="11910" w:h="16850"/>
          <w:pgMar w:top="540" w:bottom="1140" w:left="980" w:right="660"/>
          <w:cols w:num="2" w:equalWidth="0">
            <w:col w:w="2401" w:space="137"/>
            <w:col w:w="7732"/>
          </w:cols>
        </w:sectPr>
      </w:pPr>
    </w:p>
    <w:p>
      <w:pPr>
        <w:pStyle w:val="ListParagraph"/>
        <w:numPr>
          <w:ilvl w:val="0"/>
          <w:numId w:val="63"/>
        </w:numPr>
        <w:tabs>
          <w:tab w:pos="3286" w:val="left" w:leader="none"/>
        </w:tabs>
        <w:spacing w:line="240" w:lineRule="auto" w:before="21" w:after="0"/>
        <w:ind w:left="3285" w:right="0" w:hanging="631"/>
        <w:jc w:val="left"/>
        <w:rPr>
          <w:sz w:val="21"/>
        </w:rPr>
      </w:pPr>
      <w:r>
        <w:rPr>
          <w:spacing w:val="-5"/>
          <w:sz w:val="21"/>
        </w:rPr>
        <w:t>正常肺微血管楔压低于 </w:t>
      </w:r>
      <w:r>
        <w:rPr>
          <w:sz w:val="21"/>
        </w:rPr>
        <w:t>15mmHg。</w:t>
      </w:r>
    </w:p>
    <w:p>
      <w:pPr>
        <w:pStyle w:val="BodyText"/>
        <w:spacing w:line="276" w:lineRule="auto"/>
        <w:ind w:left="2654" w:right="265"/>
      </w:pPr>
      <w:r>
        <w:rPr/>
        <w:t>我们承担本项疾病责任不受本附加险合同“责任免除”中“遗传性疾病、先天性畸形、变形或染色体异常”的限制。</w:t>
      </w:r>
    </w:p>
    <w:p>
      <w:pPr>
        <w:pStyle w:val="BodyText"/>
        <w:spacing w:before="12"/>
        <w:rPr>
          <w:sz w:val="20"/>
        </w:rPr>
      </w:pPr>
    </w:p>
    <w:p>
      <w:pPr>
        <w:spacing w:after="0"/>
        <w:rPr>
          <w:sz w:val="20"/>
        </w:rPr>
        <w:sectPr>
          <w:pgSz w:w="11910" w:h="16850"/>
          <w:pgMar w:header="0" w:footer="944" w:top="1200" w:bottom="1180" w:left="980" w:right="640"/>
        </w:sectPr>
      </w:pPr>
    </w:p>
    <w:p>
      <w:pPr>
        <w:pStyle w:val="Heading3"/>
        <w:numPr>
          <w:ilvl w:val="2"/>
          <w:numId w:val="60"/>
        </w:numPr>
        <w:tabs>
          <w:tab w:pos="1137" w:val="left" w:leader="none"/>
          <w:tab w:pos="1138" w:val="left" w:leader="none"/>
        </w:tabs>
        <w:spacing w:line="276" w:lineRule="auto" w:before="35" w:after="0"/>
        <w:ind w:left="1137" w:right="0" w:hanging="1021"/>
        <w:jc w:val="left"/>
        <w:rPr>
          <w:rFonts w:ascii="宋体" w:eastAsia="宋体" w:hint="eastAsia"/>
        </w:rPr>
      </w:pPr>
      <w:r>
        <w:rPr>
          <w:w w:val="95"/>
        </w:rPr>
        <w:t>细菌性脑脊髓膜炎</w:t>
      </w:r>
    </w:p>
    <w:p>
      <w:pPr>
        <w:pStyle w:val="BodyText"/>
        <w:spacing w:before="35"/>
        <w:ind w:left="116"/>
      </w:pPr>
      <w:r>
        <w:rPr/>
        <w:br w:type="column"/>
      </w:r>
      <w:r>
        <w:rPr/>
        <w:t>指因脑膜炎双球菌感染引起脑脊髓膜化脓性病变，且导致永久性神经损害，持续</w:t>
      </w:r>
    </w:p>
    <w:p>
      <w:pPr>
        <w:pStyle w:val="BodyText"/>
        <w:spacing w:before="39"/>
        <w:ind w:left="116"/>
      </w:pPr>
      <w:r>
        <w:rPr/>
        <w:t>180 天以上，并且脑脊液检查显示脑膜炎双球菌阳性。</w:t>
      </w:r>
    </w:p>
    <w:p>
      <w:pPr>
        <w:pStyle w:val="BodyText"/>
        <w:spacing w:line="276" w:lineRule="auto"/>
        <w:ind w:left="116" w:right="257"/>
        <w:jc w:val="both"/>
      </w:pPr>
      <w:r>
        <w:rPr/>
        <w:t>永久性神经损害是指由细菌性脑脊髓膜炎引起的耳聋、失明、动眼神经麻痹、瘫</w:t>
      </w:r>
      <w:r>
        <w:rPr>
          <w:spacing w:val="-2"/>
        </w:rPr>
        <w:t>痪、脑积水、智力或性情中度以上的损害，且上述症状持续 </w:t>
      </w:r>
      <w:r>
        <w:rPr/>
        <w:t>180</w:t>
      </w:r>
      <w:r>
        <w:rPr>
          <w:spacing w:val="-7"/>
        </w:rPr>
        <w:t> 天以上仍无改善迹象。</w:t>
      </w:r>
    </w:p>
    <w:p>
      <w:pPr>
        <w:spacing w:after="0" w:line="276" w:lineRule="auto"/>
        <w:jc w:val="both"/>
        <w:sectPr>
          <w:type w:val="continuous"/>
          <w:pgSz w:w="11910" w:h="16850"/>
          <w:pgMar w:top="540" w:bottom="1140" w:left="980" w:right="640"/>
          <w:cols w:num="2" w:equalWidth="0">
            <w:col w:w="2401" w:space="137"/>
            <w:col w:w="7752"/>
          </w:cols>
        </w:sectPr>
      </w:pPr>
    </w:p>
    <w:p>
      <w:pPr>
        <w:pStyle w:val="BodyText"/>
        <w:spacing w:before="12"/>
        <w:rPr>
          <w:sz w:val="20"/>
        </w:rPr>
      </w:pPr>
    </w:p>
    <w:p>
      <w:pPr>
        <w:pStyle w:val="ListParagraph"/>
        <w:numPr>
          <w:ilvl w:val="2"/>
          <w:numId w:val="60"/>
        </w:numPr>
        <w:tabs>
          <w:tab w:pos="1137" w:val="left" w:leader="none"/>
          <w:tab w:pos="1138" w:val="left" w:leader="none"/>
          <w:tab w:pos="2654" w:val="left" w:leader="none"/>
        </w:tabs>
        <w:spacing w:line="240" w:lineRule="auto" w:before="35" w:after="0"/>
        <w:ind w:left="2654" w:right="0" w:hanging="2538"/>
        <w:jc w:val="left"/>
        <w:rPr>
          <w:sz w:val="21"/>
        </w:rPr>
      </w:pPr>
      <w:r>
        <w:rPr>
          <w:rFonts w:ascii="楷体" w:eastAsia="楷体" w:hint="eastAsia"/>
          <w:b/>
          <w:sz w:val="21"/>
        </w:rPr>
        <w:t>严重癫痫</w:t>
        <w:tab/>
      </w:r>
      <w:r>
        <w:rPr>
          <w:sz w:val="21"/>
        </w:rPr>
        <w:t>本病的诊断须由神经科或儿科专科医生根据典型临床症状和脑电图及</w:t>
      </w:r>
      <w:r>
        <w:rPr>
          <w:spacing w:val="-52"/>
          <w:sz w:val="21"/>
        </w:rPr>
        <w:t> </w:t>
      </w:r>
      <w:r>
        <w:rPr>
          <w:sz w:val="21"/>
        </w:rPr>
        <w:t>MRI、PET、</w:t>
      </w:r>
    </w:p>
    <w:p>
      <w:pPr>
        <w:pStyle w:val="BodyText"/>
        <w:spacing w:line="276" w:lineRule="auto"/>
        <w:ind w:left="2654" w:right="194"/>
      </w:pPr>
      <w:r>
        <w:rPr/>
        <w:t>CT</w:t>
      </w:r>
      <w:r>
        <w:rPr>
          <w:spacing w:val="-10"/>
        </w:rPr>
        <w:t> 等影相学检查做出。理赔时必须提供 </w:t>
      </w:r>
      <w:r>
        <w:rPr/>
        <w:t>6</w:t>
      </w:r>
      <w:r>
        <w:rPr>
          <w:spacing w:val="-7"/>
        </w:rPr>
        <w:t> 个月以上的相关病历记录证明被保险人</w:t>
      </w:r>
      <w:r>
        <w:rPr>
          <w:spacing w:val="-8"/>
        </w:rPr>
        <w:t>存在经抗癫痫药物治疗无效而反复发作的强直阵挛性发作或癫痫大发作，且已进行神经外科手术以治疗反复发作的癫痫。</w:t>
      </w:r>
    </w:p>
    <w:p>
      <w:pPr>
        <w:pStyle w:val="Heading2"/>
        <w:spacing w:line="270" w:lineRule="exact"/>
        <w:ind w:left="2654"/>
      </w:pPr>
      <w:r>
        <w:rPr>
          <w:w w:val="95"/>
        </w:rPr>
        <w:t>发热性惊厥以及没有全身性发作的失神发作（癫痫小发作）不在本保障范围内。</w:t>
      </w:r>
    </w:p>
    <w:p>
      <w:pPr>
        <w:pStyle w:val="BodyText"/>
        <w:spacing w:before="5"/>
        <w:rPr>
          <w:b/>
          <w:i/>
          <w:sz w:val="24"/>
        </w:rPr>
      </w:pPr>
    </w:p>
    <w:p>
      <w:pPr>
        <w:spacing w:after="0"/>
        <w:rPr>
          <w:sz w:val="24"/>
        </w:rPr>
        <w:sectPr>
          <w:type w:val="continuous"/>
          <w:pgSz w:w="11910" w:h="16850"/>
          <w:pgMar w:top="540" w:bottom="1140" w:left="980" w:right="64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疾病或外伤所</w:t>
      </w:r>
    </w:p>
    <w:p>
      <w:pPr>
        <w:spacing w:before="40"/>
        <w:ind w:left="1137" w:right="0" w:firstLine="0"/>
        <w:jc w:val="left"/>
        <w:rPr>
          <w:rFonts w:ascii="楷体" w:eastAsia="楷体" w:hint="eastAsia"/>
          <w:b/>
          <w:sz w:val="21"/>
        </w:rPr>
      </w:pPr>
      <w:r>
        <w:rPr>
          <w:rFonts w:ascii="楷体" w:eastAsia="楷体" w:hint="eastAsia"/>
          <w:b/>
          <w:w w:val="95"/>
          <w:sz w:val="21"/>
        </w:rPr>
        <w:t>致智力障碍</w:t>
      </w:r>
    </w:p>
    <w:p>
      <w:pPr>
        <w:pStyle w:val="BodyText"/>
        <w:spacing w:line="271" w:lineRule="auto" w:before="35"/>
        <w:ind w:left="116" w:right="199"/>
        <w:jc w:val="both"/>
      </w:pPr>
      <w:r>
        <w:rPr/>
        <w:br w:type="column"/>
      </w:r>
      <w:r>
        <w:rPr>
          <w:spacing w:val="-1"/>
        </w:rPr>
        <w:t>因严重头部创伤或疾病造成被保险人智力低常</w:t>
      </w:r>
      <w:r>
        <w:rPr/>
        <w:t>（智力低于常态</w:t>
      </w:r>
      <w:r>
        <w:rPr>
          <w:spacing w:val="-105"/>
        </w:rPr>
        <w:t>）</w:t>
      </w:r>
      <w:r>
        <w:rPr>
          <w:spacing w:val="-8"/>
        </w:rPr>
        <w:t>。根据智商</w:t>
      </w:r>
      <w:r>
        <w:rPr>
          <w:spacing w:val="-7"/>
        </w:rPr>
        <w:t>（</w:t>
      </w:r>
      <w:r>
        <w:rPr/>
        <w:t>IQ</w:t>
      </w:r>
      <w:r>
        <w:rPr>
          <w:spacing w:val="-105"/>
        </w:rPr>
        <w:t>），</w:t>
      </w:r>
      <w:r>
        <w:rPr>
          <w:spacing w:val="-10"/>
        </w:rPr>
        <w:t>智力低常分为轻度</w:t>
      </w:r>
      <w:r>
        <w:rPr>
          <w:spacing w:val="-2"/>
        </w:rPr>
        <w:t>（</w:t>
      </w:r>
      <w:r>
        <w:rPr/>
        <w:t>IQ5</w:t>
      </w:r>
      <w:r>
        <w:rPr>
          <w:spacing w:val="0"/>
        </w:rPr>
        <w:t>0</w:t>
      </w:r>
      <w:r>
        <w:rPr/>
        <w:t>-70</w:t>
      </w:r>
      <w:r>
        <w:rPr>
          <w:spacing w:val="-105"/>
        </w:rPr>
        <w:t>）</w:t>
      </w:r>
      <w:r>
        <w:rPr>
          <w:spacing w:val="-51"/>
        </w:rPr>
        <w:t>、中度</w:t>
      </w:r>
      <w:r>
        <w:rPr/>
        <w:t>（IQ35-50</w:t>
      </w:r>
      <w:r>
        <w:rPr>
          <w:spacing w:val="-120"/>
        </w:rPr>
        <w:t>）</w:t>
      </w:r>
      <w:r>
        <w:rPr>
          <w:spacing w:val="-51"/>
        </w:rPr>
        <w:t>、重度</w:t>
      </w:r>
      <w:r>
        <w:rPr/>
        <w:t>（IQ20-3</w:t>
      </w:r>
      <w:r>
        <w:rPr>
          <w:spacing w:val="-15"/>
        </w:rPr>
        <w:t>5</w:t>
      </w:r>
      <w:r>
        <w:rPr>
          <w:spacing w:val="-75"/>
        </w:rPr>
        <w:t>）</w:t>
      </w:r>
      <w:r>
        <w:rPr>
          <w:spacing w:val="-19"/>
        </w:rPr>
        <w:t>和极重度</w:t>
      </w:r>
      <w:r>
        <w:rPr/>
        <w:t>（IQ&lt;20</w:t>
      </w:r>
      <w:r>
        <w:rPr>
          <w:spacing w:val="-105"/>
        </w:rPr>
        <w:t>）。</w:t>
      </w:r>
      <w:r>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pacing w:val="-105"/>
        </w:rPr>
        <w:t>）</w:t>
      </w:r>
      <w:r>
        <w:rPr/>
        <w:t>。必须满足下列全部条件：</w:t>
      </w:r>
    </w:p>
    <w:p>
      <w:pPr>
        <w:pStyle w:val="ListParagraph"/>
        <w:numPr>
          <w:ilvl w:val="0"/>
          <w:numId w:val="64"/>
        </w:numPr>
        <w:tabs>
          <w:tab w:pos="748" w:val="left" w:leader="none"/>
        </w:tabs>
        <w:spacing w:line="276" w:lineRule="auto" w:before="12" w:after="0"/>
        <w:ind w:left="116" w:right="266" w:firstLine="0"/>
        <w:jc w:val="left"/>
        <w:rPr>
          <w:sz w:val="21"/>
        </w:rPr>
      </w:pPr>
      <w:r>
        <w:rPr>
          <w:sz w:val="21"/>
        </w:rPr>
        <w:t>造成被保险人智力低常（智力低于常态）的严重头部创伤或疾病（以入院日期为准）</w:t>
      </w:r>
      <w:r>
        <w:rPr>
          <w:spacing w:val="-6"/>
          <w:sz w:val="21"/>
        </w:rPr>
        <w:t>发生在被保险人 </w:t>
      </w:r>
      <w:r>
        <w:rPr>
          <w:sz w:val="21"/>
        </w:rPr>
        <w:t>6</w:t>
      </w:r>
      <w:r>
        <w:rPr>
          <w:spacing w:val="-9"/>
          <w:sz w:val="21"/>
        </w:rPr>
        <w:t> 周岁以后；</w:t>
      </w:r>
    </w:p>
    <w:p>
      <w:pPr>
        <w:pStyle w:val="ListParagraph"/>
        <w:numPr>
          <w:ilvl w:val="0"/>
          <w:numId w:val="64"/>
        </w:numPr>
        <w:tabs>
          <w:tab w:pos="748" w:val="left" w:leader="none"/>
        </w:tabs>
        <w:spacing w:line="240" w:lineRule="auto" w:before="8" w:after="0"/>
        <w:ind w:left="116" w:right="0" w:firstLine="0"/>
        <w:jc w:val="left"/>
        <w:rPr>
          <w:sz w:val="21"/>
        </w:rPr>
      </w:pPr>
      <w:r>
        <w:rPr>
          <w:sz w:val="21"/>
        </w:rPr>
        <w:t>专科医师确诊被保险人由于严重头部创伤或疾病造成智力低常；</w:t>
      </w:r>
    </w:p>
    <w:p>
      <w:pPr>
        <w:pStyle w:val="ListParagraph"/>
        <w:numPr>
          <w:ilvl w:val="0"/>
          <w:numId w:val="64"/>
        </w:numPr>
        <w:tabs>
          <w:tab w:pos="717" w:val="left" w:leader="none"/>
        </w:tabs>
        <w:spacing w:line="276" w:lineRule="auto" w:before="25" w:after="0"/>
        <w:ind w:left="116" w:right="116" w:firstLine="0"/>
        <w:jc w:val="left"/>
        <w:rPr>
          <w:sz w:val="21"/>
        </w:rPr>
      </w:pPr>
      <w:r>
        <w:rPr>
          <w:spacing w:val="-2"/>
          <w:sz w:val="21"/>
        </w:rPr>
        <w:t>专职合格心理检测工作者适时做的心理检测证实被保险人智力低常</w:t>
      </w:r>
      <w:r>
        <w:rPr>
          <w:sz w:val="21"/>
        </w:rPr>
        <w:t>（轻度、中度、重度或极重度</w:t>
      </w:r>
      <w:r>
        <w:rPr>
          <w:spacing w:val="-105"/>
          <w:sz w:val="21"/>
        </w:rPr>
        <w:t>）</w:t>
      </w:r>
      <w:r>
        <w:rPr>
          <w:sz w:val="21"/>
        </w:rPr>
        <w:t>；</w:t>
      </w:r>
    </w:p>
    <w:p>
      <w:pPr>
        <w:pStyle w:val="ListParagraph"/>
        <w:numPr>
          <w:ilvl w:val="0"/>
          <w:numId w:val="64"/>
        </w:numPr>
        <w:tabs>
          <w:tab w:pos="748" w:val="left" w:leader="none"/>
        </w:tabs>
        <w:spacing w:line="240" w:lineRule="auto" w:before="8" w:after="0"/>
        <w:ind w:left="116" w:right="0" w:firstLine="0"/>
        <w:jc w:val="both"/>
        <w:rPr>
          <w:sz w:val="21"/>
        </w:rPr>
      </w:pPr>
      <w:r>
        <w:rPr>
          <w:spacing w:val="-3"/>
          <w:sz w:val="21"/>
        </w:rPr>
        <w:t>被保险人的智力低常自确认日起持续 </w:t>
      </w:r>
      <w:r>
        <w:rPr>
          <w:sz w:val="21"/>
        </w:rPr>
        <w:t>180</w:t>
      </w:r>
      <w:r>
        <w:rPr>
          <w:spacing w:val="-10"/>
          <w:sz w:val="21"/>
        </w:rPr>
        <w:t> 天以上。</w:t>
      </w:r>
    </w:p>
    <w:p>
      <w:pPr>
        <w:spacing w:after="0" w:line="240" w:lineRule="auto"/>
        <w:jc w:val="both"/>
        <w:rPr>
          <w:sz w:val="21"/>
        </w:rPr>
        <w:sectPr>
          <w:type w:val="continuous"/>
          <w:pgSz w:w="11910" w:h="16850"/>
          <w:pgMar w:top="540" w:bottom="1140" w:left="980" w:right="640"/>
          <w:cols w:num="2" w:equalWidth="0">
            <w:col w:w="2401" w:space="137"/>
            <w:col w:w="7752"/>
          </w:cols>
        </w:sectPr>
      </w:pPr>
    </w:p>
    <w:p>
      <w:pPr>
        <w:pStyle w:val="BodyText"/>
        <w:spacing w:before="5"/>
        <w:rPr>
          <w:sz w:val="24"/>
        </w:rPr>
      </w:pPr>
    </w:p>
    <w:p>
      <w:pPr>
        <w:spacing w:after="0"/>
        <w:rPr>
          <w:sz w:val="24"/>
        </w:rPr>
        <w:sectPr>
          <w:type w:val="continuous"/>
          <w:pgSz w:w="11910" w:h="16850"/>
          <w:pgMar w:top="540" w:bottom="1140" w:left="980" w:right="640"/>
        </w:sectPr>
      </w:pPr>
    </w:p>
    <w:p>
      <w:pPr>
        <w:pStyle w:val="Heading3"/>
        <w:numPr>
          <w:ilvl w:val="2"/>
          <w:numId w:val="60"/>
        </w:numPr>
        <w:tabs>
          <w:tab w:pos="1137" w:val="left" w:leader="none"/>
          <w:tab w:pos="1138" w:val="left" w:leader="none"/>
        </w:tabs>
        <w:spacing w:line="240" w:lineRule="auto" w:before="36" w:after="0"/>
        <w:ind w:left="2654" w:right="0" w:hanging="2538"/>
        <w:jc w:val="left"/>
        <w:rPr>
          <w:rFonts w:ascii="宋体" w:eastAsia="宋体" w:hint="eastAsia"/>
        </w:rPr>
      </w:pPr>
      <w:r>
        <w:rPr>
          <w:w w:val="95"/>
        </w:rPr>
        <w:t>重幼年型类风</w:t>
      </w:r>
    </w:p>
    <w:p>
      <w:pPr>
        <w:spacing w:before="25"/>
        <w:ind w:left="1137" w:right="0" w:firstLine="0"/>
        <w:jc w:val="left"/>
        <w:rPr>
          <w:rFonts w:ascii="楷体" w:eastAsia="楷体" w:hint="eastAsia"/>
          <w:b/>
          <w:sz w:val="21"/>
        </w:rPr>
      </w:pPr>
      <w:r>
        <w:rPr>
          <w:rFonts w:ascii="楷体" w:eastAsia="楷体" w:hint="eastAsia"/>
          <w:b/>
          <w:w w:val="95"/>
          <w:sz w:val="21"/>
        </w:rPr>
        <w:t>湿性关节炎</w:t>
      </w:r>
    </w:p>
    <w:p>
      <w:pPr>
        <w:pStyle w:val="BodyText"/>
        <w:spacing w:before="36"/>
        <w:ind w:left="116"/>
      </w:pPr>
      <w:r>
        <w:rPr/>
        <w:br w:type="column"/>
      </w:r>
      <w:r>
        <w:rPr/>
        <w:t>指为了治疗幼年型类风湿关节炎，实际实施了膝关节或髋关节置换手术。</w:t>
      </w:r>
    </w:p>
    <w:p>
      <w:pPr>
        <w:pStyle w:val="BodyText"/>
        <w:spacing w:line="276" w:lineRule="auto" w:before="25"/>
        <w:ind w:left="116" w:right="265"/>
      </w:pPr>
      <w:r>
        <w:rPr/>
        <w:t>幼年型类风湿关节炎是一种儿童期发病的慢性关节炎，其特点为在高热和系统性病征出现数月后发生关节炎。</w:t>
      </w:r>
    </w:p>
    <w:p>
      <w:pPr>
        <w:pStyle w:val="Heading2"/>
        <w:spacing w:line="286" w:lineRule="exact"/>
      </w:pPr>
      <w:r>
        <w:rPr>
          <w:w w:val="95"/>
        </w:rPr>
        <w:t>被保险人疾病诊断时年龄必须在年满十八周岁之前。</w:t>
      </w:r>
    </w:p>
    <w:p>
      <w:pPr>
        <w:spacing w:after="0" w:line="286" w:lineRule="exact"/>
        <w:sectPr>
          <w:type w:val="continuous"/>
          <w:pgSz w:w="11910" w:h="16850"/>
          <w:pgMar w:top="540" w:bottom="1140" w:left="980" w:right="640"/>
          <w:cols w:num="2" w:equalWidth="0">
            <w:col w:w="2401" w:space="137"/>
            <w:col w:w="7752"/>
          </w:cols>
        </w:sectPr>
      </w:pPr>
    </w:p>
    <w:p>
      <w:pPr>
        <w:pStyle w:val="BodyText"/>
        <w:spacing w:before="5"/>
        <w:rPr>
          <w:b/>
          <w:i/>
          <w:sz w:val="24"/>
        </w:rPr>
      </w:pPr>
    </w:p>
    <w:p>
      <w:pPr>
        <w:spacing w:after="0"/>
        <w:rPr>
          <w:sz w:val="24"/>
        </w:rPr>
        <w:sectPr>
          <w:type w:val="continuous"/>
          <w:pgSz w:w="11910" w:h="16850"/>
          <w:pgMar w:top="540" w:bottom="1140" w:left="980" w:right="640"/>
        </w:sectPr>
      </w:pPr>
    </w:p>
    <w:p>
      <w:pPr>
        <w:pStyle w:val="Heading3"/>
        <w:numPr>
          <w:ilvl w:val="2"/>
          <w:numId w:val="60"/>
        </w:numPr>
        <w:tabs>
          <w:tab w:pos="1137" w:val="left" w:leader="none"/>
          <w:tab w:pos="1138" w:val="left" w:leader="none"/>
        </w:tabs>
        <w:spacing w:line="240" w:lineRule="auto" w:before="35" w:after="0"/>
        <w:ind w:left="2654" w:right="0" w:hanging="2538"/>
        <w:jc w:val="left"/>
        <w:rPr>
          <w:rFonts w:ascii="宋体" w:eastAsia="宋体" w:hint="eastAsia"/>
        </w:rPr>
      </w:pPr>
      <w:r>
        <w:rPr>
          <w:w w:val="95"/>
        </w:rPr>
        <w:t>湿性年龄相关</w:t>
      </w:r>
    </w:p>
    <w:p>
      <w:pPr>
        <w:spacing w:before="25"/>
        <w:ind w:left="1137" w:right="0" w:firstLine="0"/>
        <w:jc w:val="left"/>
        <w:rPr>
          <w:rFonts w:ascii="楷体" w:eastAsia="楷体" w:hint="eastAsia"/>
          <w:b/>
          <w:sz w:val="21"/>
        </w:rPr>
      </w:pPr>
      <w:r>
        <w:rPr>
          <w:rFonts w:ascii="楷体" w:eastAsia="楷体" w:hint="eastAsia"/>
          <w:b/>
          <w:w w:val="95"/>
          <w:sz w:val="21"/>
        </w:rPr>
        <w:t>性黄斑变性</w:t>
      </w:r>
    </w:p>
    <w:p>
      <w:pPr>
        <w:pStyle w:val="BodyText"/>
        <w:spacing w:line="271" w:lineRule="auto" w:before="35"/>
        <w:ind w:left="116" w:right="226"/>
        <w:jc w:val="both"/>
      </w:pPr>
      <w:r>
        <w:rPr/>
        <w:br w:type="column"/>
      </w:r>
      <w:r>
        <w:rPr/>
        <w:t>又称为新生血管性年龄相关性黄斑变性或“渗出性”年龄相关性黄斑变性，发生</w:t>
      </w:r>
      <w:r>
        <w:rPr>
          <w:spacing w:val="-3"/>
        </w:rPr>
        <w:t>脉络膜新生血管</w:t>
      </w:r>
      <w:r>
        <w:rPr>
          <w:spacing w:val="-4"/>
        </w:rPr>
        <w:t>（CNV）</w:t>
      </w:r>
      <w:r>
        <w:rPr>
          <w:spacing w:val="-2"/>
        </w:rPr>
        <w:t>异常生长穿透玻璃膜进入视网膜，新生血管渗漏，渗出及出血。该病必须由荧光素眼底血管造影检查提示黄斑区新生血管形成，并且必须由医院的眼科专科医生确诊为湿性年龄相关性黄斑变性。</w:t>
      </w:r>
    </w:p>
    <w:p>
      <w:pPr>
        <w:pStyle w:val="Heading2"/>
        <w:spacing w:line="261" w:lineRule="auto" w:before="1"/>
        <w:ind w:right="239"/>
        <w:jc w:val="both"/>
      </w:pPr>
      <w:r>
        <w:rPr>
          <w:spacing w:val="-4"/>
          <w:w w:val="95"/>
        </w:rPr>
        <w:t>被保险人申请理赔时须提供近 </w:t>
      </w:r>
      <w:r>
        <w:rPr>
          <w:w w:val="95"/>
        </w:rPr>
        <w:t>3</w:t>
      </w:r>
      <w:r>
        <w:rPr>
          <w:spacing w:val="-7"/>
          <w:w w:val="95"/>
        </w:rPr>
        <w:t> 个月内视力改变显示病情恶化的相关检查报告、</w:t>
      </w:r>
      <w:r>
        <w:rPr>
          <w:spacing w:val="-5"/>
          <w:w w:val="95"/>
        </w:rPr>
        <w:t>诊断证明及病历报告。</w:t>
      </w:r>
    </w:p>
    <w:p>
      <w:pPr>
        <w:spacing w:after="0" w:line="261" w:lineRule="auto"/>
        <w:jc w:val="both"/>
        <w:sectPr>
          <w:type w:val="continuous"/>
          <w:pgSz w:w="11910" w:h="16850"/>
          <w:pgMar w:top="540" w:bottom="1140" w:left="980" w:right="640"/>
          <w:cols w:num="2" w:equalWidth="0">
            <w:col w:w="2401" w:space="137"/>
            <w:col w:w="7752"/>
          </w:cols>
        </w:sectPr>
      </w:pPr>
    </w:p>
    <w:p>
      <w:pPr>
        <w:pStyle w:val="BodyText"/>
        <w:spacing w:before="8"/>
        <w:rPr>
          <w:b/>
          <w:i/>
        </w:rPr>
      </w:pPr>
    </w:p>
    <w:p>
      <w:pPr>
        <w:pStyle w:val="ListParagraph"/>
        <w:numPr>
          <w:ilvl w:val="2"/>
          <w:numId w:val="60"/>
        </w:numPr>
        <w:tabs>
          <w:tab w:pos="1138" w:val="left" w:leader="none"/>
        </w:tabs>
        <w:spacing w:line="264" w:lineRule="auto" w:before="36" w:after="0"/>
        <w:ind w:left="2654" w:right="259" w:hanging="2538"/>
        <w:jc w:val="both"/>
        <w:rPr>
          <w:b/>
          <w:i/>
          <w:sz w:val="21"/>
        </w:rPr>
      </w:pPr>
      <w:r>
        <w:rPr>
          <w:rFonts w:ascii="楷体" w:eastAsia="楷体" w:hint="eastAsia"/>
          <w:b/>
          <w:spacing w:val="2"/>
          <w:sz w:val="21"/>
        </w:rPr>
        <w:t>脊柱裂       </w:t>
      </w:r>
      <w:r>
        <w:rPr>
          <w:sz w:val="21"/>
        </w:rPr>
        <w:t>指脊椎或颅骨不完全闭合，导致脊髓脊膜突出，脑（脊）膜突出或脑膨出，合并</w:t>
      </w:r>
      <w:r>
        <w:rPr>
          <w:spacing w:val="-1"/>
          <w:sz w:val="21"/>
        </w:rPr>
        <w:t>大小便失禁，部分或完全性下肢瘫痪或畸形等神经学上的异常，</w:t>
      </w:r>
      <w:r>
        <w:rPr>
          <w:b/>
          <w:i/>
          <w:spacing w:val="-14"/>
          <w:sz w:val="22"/>
        </w:rPr>
        <w:t>但不包括由 </w:t>
      </w:r>
      <w:r>
        <w:rPr>
          <w:b/>
          <w:i/>
          <w:sz w:val="22"/>
        </w:rPr>
        <w:t>X</w:t>
      </w:r>
      <w:r>
        <w:rPr>
          <w:b/>
          <w:i/>
          <w:spacing w:val="-42"/>
          <w:sz w:val="22"/>
        </w:rPr>
        <w:t> 线</w:t>
      </w:r>
      <w:r>
        <w:rPr>
          <w:b/>
          <w:i/>
          <w:spacing w:val="-20"/>
          <w:w w:val="95"/>
          <w:sz w:val="22"/>
        </w:rPr>
        <w:t>摄片发现的没有合并脊椎脊膜突出或脑</w:t>
      </w:r>
      <w:r>
        <w:rPr>
          <w:b/>
          <w:i/>
          <w:w w:val="95"/>
          <w:sz w:val="22"/>
        </w:rPr>
        <w:t>（脊）膜突出的隐形脊椎裂。</w:t>
      </w:r>
    </w:p>
    <w:p>
      <w:pPr>
        <w:pStyle w:val="BodyText"/>
        <w:spacing w:line="261" w:lineRule="auto" w:before="16"/>
        <w:ind w:left="2654" w:right="265"/>
      </w:pPr>
      <w:r>
        <w:rPr/>
        <w:t>我们承担本项疾病责任不受本附加险合同“责任免除”中“遗传性疾病、先天性畸形、变形或染色体异常”的限制。</w:t>
      </w:r>
    </w:p>
    <w:p>
      <w:pPr>
        <w:spacing w:after="0" w:line="261" w:lineRule="auto"/>
        <w:sectPr>
          <w:type w:val="continuous"/>
          <w:pgSz w:w="11910" w:h="16850"/>
          <w:pgMar w:top="540" w:bottom="1140" w:left="980" w:right="640"/>
        </w:sectPr>
      </w:pPr>
    </w:p>
    <w:p>
      <w:pPr>
        <w:pStyle w:val="Heading3"/>
        <w:numPr>
          <w:ilvl w:val="2"/>
          <w:numId w:val="60"/>
        </w:numPr>
        <w:tabs>
          <w:tab w:pos="1137" w:val="left" w:leader="none"/>
          <w:tab w:pos="1138" w:val="left" w:leader="none"/>
        </w:tabs>
        <w:spacing w:line="276" w:lineRule="auto" w:before="21" w:after="0"/>
        <w:ind w:left="1137" w:right="0" w:hanging="1021"/>
        <w:jc w:val="left"/>
        <w:rPr>
          <w:rFonts w:ascii="宋体" w:eastAsia="宋体" w:hint="eastAsia"/>
        </w:rPr>
      </w:pPr>
      <w:r>
        <w:rPr>
          <w:w w:val="95"/>
        </w:rPr>
        <w:t>弥漫性血管内凝血</w:t>
      </w:r>
    </w:p>
    <w:p>
      <w:pPr>
        <w:pStyle w:val="BodyText"/>
        <w:spacing w:line="276" w:lineRule="auto" w:before="21"/>
        <w:ind w:left="116" w:right="145"/>
      </w:pPr>
      <w:r>
        <w:rPr/>
        <w:br w:type="column"/>
      </w:r>
      <w:r>
        <w:rPr/>
        <w:t>指血液凝固系统和纤溶系统的过度活动导致微血管血栓形成、血小板及凝血因子耗竭和严重出血，需要输注血浆和浓缩血小板进行治疗。</w:t>
      </w:r>
    </w:p>
    <w:p>
      <w:pPr>
        <w:spacing w:after="0" w:line="276" w:lineRule="auto"/>
        <w:sectPr>
          <w:pgSz w:w="11910" w:h="16850"/>
          <w:pgMar w:header="0" w:footer="944" w:top="1200" w:bottom="1140" w:left="980" w:right="760"/>
          <w:cols w:num="2" w:equalWidth="0">
            <w:col w:w="2401" w:space="137"/>
            <w:col w:w="7632"/>
          </w:cols>
        </w:sectPr>
      </w:pPr>
    </w:p>
    <w:p>
      <w:pPr>
        <w:pStyle w:val="BodyText"/>
        <w:spacing w:before="0"/>
        <w:rPr>
          <w:sz w:val="22"/>
        </w:rPr>
      </w:pPr>
    </w:p>
    <w:p>
      <w:pPr>
        <w:pStyle w:val="Heading3"/>
        <w:numPr>
          <w:ilvl w:val="1"/>
          <w:numId w:val="60"/>
        </w:numPr>
        <w:tabs>
          <w:tab w:pos="1137" w:val="left" w:leader="none"/>
          <w:tab w:pos="1138" w:val="left" w:leader="none"/>
        </w:tabs>
        <w:spacing w:line="240" w:lineRule="auto" w:before="36" w:after="46"/>
        <w:ind w:left="2654" w:right="0" w:hanging="2538"/>
        <w:jc w:val="left"/>
        <w:rPr>
          <w:rFonts w:ascii="宋体" w:eastAsia="宋体" w:hint="eastAsia"/>
        </w:rPr>
      </w:pPr>
      <w:r>
        <w:rPr>
          <w:rFonts w:ascii="宋体" w:eastAsia="宋体" w:hint="eastAsia"/>
          <w:w w:val="95"/>
        </w:rPr>
        <w:t>重大疾病分组</w:t>
      </w:r>
    </w:p>
    <w:tbl>
      <w:tblPr>
        <w:tblW w:w="0" w:type="auto"/>
        <w:jc w:val="left"/>
        <w:tblInd w:w="26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94"/>
        <w:gridCol w:w="3694"/>
      </w:tblGrid>
      <w:tr>
        <w:trPr>
          <w:trHeight w:val="315" w:hRule="atLeast"/>
        </w:trPr>
        <w:tc>
          <w:tcPr>
            <w:tcW w:w="3694" w:type="dxa"/>
          </w:tcPr>
          <w:p>
            <w:pPr>
              <w:pStyle w:val="TableParagraph"/>
              <w:spacing w:line="255" w:lineRule="exact"/>
              <w:ind w:left="112"/>
              <w:rPr>
                <w:sz w:val="21"/>
              </w:rPr>
            </w:pPr>
            <w:r>
              <w:rPr>
                <w:sz w:val="21"/>
              </w:rPr>
              <w:t>A 组（20 种）</w:t>
            </w:r>
          </w:p>
        </w:tc>
        <w:tc>
          <w:tcPr>
            <w:tcW w:w="3694" w:type="dxa"/>
          </w:tcPr>
          <w:p>
            <w:pPr>
              <w:pStyle w:val="TableParagraph"/>
              <w:spacing w:line="255" w:lineRule="exact"/>
              <w:ind w:left="112"/>
              <w:rPr>
                <w:sz w:val="21"/>
              </w:rPr>
            </w:pPr>
            <w:r>
              <w:rPr>
                <w:sz w:val="21"/>
              </w:rPr>
              <w:t>B 组（80 种）</w:t>
            </w:r>
          </w:p>
        </w:tc>
      </w:tr>
      <w:tr>
        <w:trPr>
          <w:trHeight w:val="12776" w:hRule="atLeast"/>
        </w:trPr>
        <w:tc>
          <w:tcPr>
            <w:tcW w:w="3694" w:type="dxa"/>
          </w:tcPr>
          <w:p>
            <w:pPr>
              <w:pStyle w:val="TableParagraph"/>
              <w:spacing w:line="240" w:lineRule="exact"/>
              <w:ind w:left="112"/>
              <w:rPr>
                <w:sz w:val="21"/>
              </w:rPr>
            </w:pPr>
            <w:r>
              <w:rPr>
                <w:sz w:val="21"/>
              </w:rPr>
              <w:t>9.6.1 恶性肿瘤</w:t>
            </w:r>
          </w:p>
          <w:p>
            <w:pPr>
              <w:pStyle w:val="TableParagraph"/>
              <w:spacing w:line="276" w:lineRule="auto" w:before="40"/>
              <w:ind w:left="112" w:right="185"/>
              <w:rPr>
                <w:sz w:val="21"/>
              </w:rPr>
            </w:pPr>
            <w:r>
              <w:rPr>
                <w:sz w:val="21"/>
              </w:rPr>
              <w:t>9.6.4 重大器官移植术或造血干细胞移植术</w:t>
            </w:r>
          </w:p>
          <w:p>
            <w:pPr>
              <w:pStyle w:val="TableParagraph"/>
              <w:numPr>
                <w:ilvl w:val="2"/>
                <w:numId w:val="65"/>
              </w:numPr>
              <w:tabs>
                <w:tab w:pos="699" w:val="left" w:leader="none"/>
              </w:tabs>
              <w:spacing w:line="240" w:lineRule="auto" w:before="8" w:after="0"/>
              <w:ind w:left="698" w:right="0" w:hanging="586"/>
              <w:jc w:val="left"/>
              <w:rPr>
                <w:sz w:val="21"/>
              </w:rPr>
            </w:pPr>
            <w:r>
              <w:rPr>
                <w:sz w:val="21"/>
              </w:rPr>
              <w:t>良性脑肿瘤</w:t>
            </w:r>
          </w:p>
          <w:p>
            <w:pPr>
              <w:pStyle w:val="TableParagraph"/>
              <w:numPr>
                <w:ilvl w:val="2"/>
                <w:numId w:val="65"/>
              </w:numPr>
              <w:tabs>
                <w:tab w:pos="804" w:val="left" w:leader="none"/>
              </w:tabs>
              <w:spacing w:line="240" w:lineRule="auto" w:before="40" w:after="0"/>
              <w:ind w:left="803" w:right="0" w:hanging="691"/>
              <w:jc w:val="left"/>
              <w:rPr>
                <w:sz w:val="21"/>
              </w:rPr>
            </w:pPr>
            <w:r>
              <w:rPr>
                <w:sz w:val="21"/>
              </w:rPr>
              <w:t>慢性肝功能衰竭失代偿期</w:t>
            </w:r>
          </w:p>
          <w:p>
            <w:pPr>
              <w:pStyle w:val="TableParagraph"/>
              <w:numPr>
                <w:ilvl w:val="2"/>
                <w:numId w:val="66"/>
              </w:numPr>
              <w:tabs>
                <w:tab w:pos="804" w:val="left" w:leader="none"/>
              </w:tabs>
              <w:spacing w:line="240" w:lineRule="auto" w:before="24" w:after="0"/>
              <w:ind w:left="803" w:right="0" w:hanging="691"/>
              <w:jc w:val="left"/>
              <w:rPr>
                <w:sz w:val="21"/>
              </w:rPr>
            </w:pPr>
            <w:r>
              <w:rPr>
                <w:sz w:val="21"/>
              </w:rPr>
              <w:t>双目失明</w:t>
            </w:r>
          </w:p>
          <w:p>
            <w:pPr>
              <w:pStyle w:val="TableParagraph"/>
              <w:numPr>
                <w:ilvl w:val="2"/>
                <w:numId w:val="66"/>
              </w:numPr>
              <w:tabs>
                <w:tab w:pos="804" w:val="left" w:leader="none"/>
              </w:tabs>
              <w:spacing w:line="240" w:lineRule="auto" w:before="40" w:after="0"/>
              <w:ind w:left="803" w:right="0" w:hanging="691"/>
              <w:jc w:val="left"/>
              <w:rPr>
                <w:sz w:val="21"/>
              </w:rPr>
            </w:pPr>
            <w:r>
              <w:rPr>
                <w:sz w:val="21"/>
              </w:rPr>
              <w:t>瘫痪</w:t>
            </w:r>
          </w:p>
          <w:p>
            <w:pPr>
              <w:pStyle w:val="TableParagraph"/>
              <w:spacing w:before="40"/>
              <w:ind w:left="112"/>
              <w:rPr>
                <w:sz w:val="21"/>
              </w:rPr>
            </w:pPr>
            <w:r>
              <w:rPr>
                <w:sz w:val="21"/>
              </w:rPr>
              <w:t>9.6.24 重型再生障碍性贫血</w:t>
            </w:r>
          </w:p>
          <w:p>
            <w:pPr>
              <w:pStyle w:val="TableParagraph"/>
              <w:spacing w:before="40"/>
              <w:ind w:left="112"/>
              <w:rPr>
                <w:sz w:val="21"/>
              </w:rPr>
            </w:pPr>
            <w:r>
              <w:rPr>
                <w:sz w:val="21"/>
              </w:rPr>
              <w:t>9.6.26 胰腺移植</w:t>
            </w:r>
          </w:p>
          <w:p>
            <w:pPr>
              <w:pStyle w:val="TableParagraph"/>
              <w:spacing w:line="261" w:lineRule="auto" w:before="39"/>
              <w:ind w:left="112" w:right="79"/>
              <w:rPr>
                <w:sz w:val="21"/>
              </w:rPr>
            </w:pPr>
            <w:r>
              <w:rPr>
                <w:sz w:val="21"/>
              </w:rPr>
              <w:t>9.6.32 经输血导致的人类免疫缺陷病毒感染</w:t>
            </w:r>
          </w:p>
          <w:p>
            <w:pPr>
              <w:pStyle w:val="TableParagraph"/>
              <w:numPr>
                <w:ilvl w:val="2"/>
                <w:numId w:val="67"/>
              </w:numPr>
              <w:tabs>
                <w:tab w:pos="804" w:val="left" w:leader="none"/>
              </w:tabs>
              <w:spacing w:line="240" w:lineRule="auto" w:before="20" w:after="0"/>
              <w:ind w:left="803" w:right="0" w:hanging="691"/>
              <w:jc w:val="left"/>
              <w:rPr>
                <w:sz w:val="21"/>
              </w:rPr>
            </w:pPr>
            <w:r>
              <w:rPr>
                <w:sz w:val="21"/>
              </w:rPr>
              <w:t>严重克隆病（Crohn’s</w:t>
            </w:r>
            <w:r>
              <w:rPr>
                <w:spacing w:val="-23"/>
                <w:sz w:val="21"/>
              </w:rPr>
              <w:t> 病</w:t>
            </w:r>
            <w:r>
              <w:rPr>
                <w:sz w:val="21"/>
              </w:rPr>
              <w:t>）</w:t>
            </w:r>
          </w:p>
          <w:p>
            <w:pPr>
              <w:pStyle w:val="TableParagraph"/>
              <w:numPr>
                <w:ilvl w:val="2"/>
                <w:numId w:val="67"/>
              </w:numPr>
              <w:tabs>
                <w:tab w:pos="804" w:val="left" w:leader="none"/>
              </w:tabs>
              <w:spacing w:line="240" w:lineRule="auto" w:before="40" w:after="0"/>
              <w:ind w:left="803" w:right="0" w:hanging="691"/>
              <w:jc w:val="left"/>
              <w:rPr>
                <w:sz w:val="21"/>
              </w:rPr>
            </w:pPr>
            <w:r>
              <w:rPr>
                <w:sz w:val="21"/>
              </w:rPr>
              <w:t>严重溃疡性结肠炎</w:t>
            </w:r>
          </w:p>
          <w:p>
            <w:pPr>
              <w:pStyle w:val="TableParagraph"/>
              <w:spacing w:line="276" w:lineRule="auto" w:before="40"/>
              <w:ind w:left="112" w:right="79"/>
              <w:rPr>
                <w:sz w:val="21"/>
              </w:rPr>
            </w:pPr>
            <w:r>
              <w:rPr>
                <w:sz w:val="21"/>
              </w:rPr>
              <w:t>9.6.57 侵蚀性葡萄胎（或称恶性葡萄胎）</w:t>
            </w:r>
          </w:p>
          <w:p>
            <w:pPr>
              <w:pStyle w:val="TableParagraph"/>
              <w:numPr>
                <w:ilvl w:val="2"/>
                <w:numId w:val="68"/>
              </w:numPr>
              <w:tabs>
                <w:tab w:pos="804" w:val="left" w:leader="none"/>
              </w:tabs>
              <w:spacing w:line="269" w:lineRule="exact" w:before="0" w:after="0"/>
              <w:ind w:left="803" w:right="0" w:hanging="691"/>
              <w:jc w:val="left"/>
              <w:rPr>
                <w:sz w:val="21"/>
              </w:rPr>
            </w:pPr>
            <w:r>
              <w:rPr>
                <w:sz w:val="21"/>
              </w:rPr>
              <w:t>小肠移植</w:t>
            </w:r>
          </w:p>
          <w:p>
            <w:pPr>
              <w:pStyle w:val="TableParagraph"/>
              <w:numPr>
                <w:ilvl w:val="2"/>
                <w:numId w:val="68"/>
              </w:numPr>
              <w:tabs>
                <w:tab w:pos="804" w:val="left" w:leader="none"/>
              </w:tabs>
              <w:spacing w:line="240" w:lineRule="auto" w:before="40" w:after="0"/>
              <w:ind w:left="803" w:right="0" w:hanging="691"/>
              <w:jc w:val="left"/>
              <w:rPr>
                <w:sz w:val="21"/>
              </w:rPr>
            </w:pPr>
            <w:r>
              <w:rPr>
                <w:sz w:val="21"/>
              </w:rPr>
              <w:t>颅脑手术</w:t>
            </w:r>
          </w:p>
          <w:p>
            <w:pPr>
              <w:pStyle w:val="TableParagraph"/>
              <w:spacing w:before="40"/>
              <w:ind w:left="112"/>
              <w:rPr>
                <w:sz w:val="21"/>
              </w:rPr>
            </w:pPr>
            <w:r>
              <w:rPr>
                <w:sz w:val="21"/>
              </w:rPr>
              <w:t>9.6.70 骨髓纤维化</w:t>
            </w:r>
          </w:p>
          <w:p>
            <w:pPr>
              <w:pStyle w:val="TableParagraph"/>
              <w:spacing w:before="40"/>
              <w:ind w:left="112"/>
              <w:rPr>
                <w:sz w:val="21"/>
              </w:rPr>
            </w:pPr>
            <w:r>
              <w:rPr>
                <w:sz w:val="21"/>
              </w:rPr>
              <w:t>9.6.74 胆道重建手术</w:t>
            </w:r>
          </w:p>
          <w:p>
            <w:pPr>
              <w:pStyle w:val="TableParagraph"/>
              <w:spacing w:before="41"/>
              <w:ind w:left="112"/>
              <w:rPr>
                <w:sz w:val="21"/>
              </w:rPr>
            </w:pPr>
            <w:r>
              <w:rPr>
                <w:sz w:val="21"/>
              </w:rPr>
              <w:t>9.6.78 严重肠道疾病并发症</w:t>
            </w:r>
          </w:p>
          <w:p>
            <w:pPr>
              <w:pStyle w:val="TableParagraph"/>
              <w:spacing w:before="25"/>
              <w:ind w:left="112"/>
              <w:rPr>
                <w:sz w:val="21"/>
              </w:rPr>
            </w:pPr>
            <w:r>
              <w:rPr>
                <w:sz w:val="21"/>
              </w:rPr>
              <w:t>9.6.80 严重骨髓异常增生综合征</w:t>
            </w:r>
          </w:p>
          <w:p>
            <w:pPr>
              <w:pStyle w:val="TableParagraph"/>
              <w:spacing w:before="40"/>
              <w:ind w:left="112"/>
              <w:rPr>
                <w:sz w:val="21"/>
              </w:rPr>
            </w:pPr>
            <w:r>
              <w:rPr>
                <w:sz w:val="21"/>
              </w:rPr>
              <w:t>9.6.83 自体造血干细胞移植术</w:t>
            </w:r>
          </w:p>
          <w:p>
            <w:pPr>
              <w:pStyle w:val="TableParagraph"/>
              <w:spacing w:before="40"/>
              <w:ind w:left="112"/>
              <w:rPr>
                <w:sz w:val="21"/>
              </w:rPr>
            </w:pPr>
            <w:r>
              <w:rPr>
                <w:sz w:val="21"/>
              </w:rPr>
              <w:t>9.6.87 器官移植导致的 HIV 感染</w:t>
            </w:r>
          </w:p>
        </w:tc>
        <w:tc>
          <w:tcPr>
            <w:tcW w:w="3694" w:type="dxa"/>
          </w:tcPr>
          <w:p>
            <w:pPr>
              <w:pStyle w:val="TableParagraph"/>
              <w:numPr>
                <w:ilvl w:val="2"/>
                <w:numId w:val="69"/>
              </w:numPr>
              <w:tabs>
                <w:tab w:pos="699" w:val="left" w:leader="none"/>
              </w:tabs>
              <w:spacing w:line="240" w:lineRule="exact" w:before="0" w:after="0"/>
              <w:ind w:left="698" w:right="0" w:hanging="586"/>
              <w:jc w:val="left"/>
              <w:rPr>
                <w:sz w:val="21"/>
              </w:rPr>
            </w:pPr>
            <w:r>
              <w:rPr>
                <w:sz w:val="21"/>
              </w:rPr>
              <w:t>急性心肌梗塞</w:t>
            </w:r>
          </w:p>
          <w:p>
            <w:pPr>
              <w:pStyle w:val="TableParagraph"/>
              <w:numPr>
                <w:ilvl w:val="2"/>
                <w:numId w:val="69"/>
              </w:numPr>
              <w:tabs>
                <w:tab w:pos="699" w:val="left" w:leader="none"/>
              </w:tabs>
              <w:spacing w:line="240" w:lineRule="auto" w:before="40" w:after="0"/>
              <w:ind w:left="698" w:right="0" w:hanging="586"/>
              <w:jc w:val="left"/>
              <w:rPr>
                <w:sz w:val="21"/>
              </w:rPr>
            </w:pPr>
            <w:r>
              <w:rPr>
                <w:sz w:val="21"/>
              </w:rPr>
              <w:t>脑中风后遗症</w:t>
            </w:r>
          </w:p>
          <w:p>
            <w:pPr>
              <w:pStyle w:val="TableParagraph"/>
              <w:numPr>
                <w:ilvl w:val="2"/>
                <w:numId w:val="70"/>
              </w:numPr>
              <w:tabs>
                <w:tab w:pos="699" w:val="left" w:leader="none"/>
              </w:tabs>
              <w:spacing w:line="276" w:lineRule="auto" w:before="39" w:after="0"/>
              <w:ind w:left="112" w:right="79" w:firstLine="0"/>
              <w:jc w:val="left"/>
              <w:rPr>
                <w:sz w:val="21"/>
              </w:rPr>
            </w:pPr>
            <w:r>
              <w:rPr>
                <w:spacing w:val="-7"/>
                <w:sz w:val="21"/>
              </w:rPr>
              <w:t>冠状动脉搭桥术</w:t>
            </w:r>
            <w:r>
              <w:rPr>
                <w:sz w:val="21"/>
              </w:rPr>
              <w:t>（或称冠状动脉旁路移植术）</w:t>
            </w:r>
          </w:p>
          <w:p>
            <w:pPr>
              <w:pStyle w:val="TableParagraph"/>
              <w:numPr>
                <w:ilvl w:val="2"/>
                <w:numId w:val="70"/>
              </w:numPr>
              <w:tabs>
                <w:tab w:pos="699" w:val="left" w:leader="none"/>
              </w:tabs>
              <w:spacing w:line="261" w:lineRule="auto" w:before="9" w:after="0"/>
              <w:ind w:left="112" w:right="79" w:firstLine="0"/>
              <w:jc w:val="left"/>
              <w:rPr>
                <w:sz w:val="21"/>
              </w:rPr>
            </w:pPr>
            <w:r>
              <w:rPr>
                <w:spacing w:val="-9"/>
                <w:sz w:val="21"/>
              </w:rPr>
              <w:t>终末期肾病</w:t>
            </w:r>
            <w:r>
              <w:rPr>
                <w:sz w:val="21"/>
              </w:rPr>
              <w:t>（或称慢性肾功能衰竭尿毒症期）</w:t>
            </w:r>
          </w:p>
          <w:p>
            <w:pPr>
              <w:pStyle w:val="TableParagraph"/>
              <w:numPr>
                <w:ilvl w:val="2"/>
                <w:numId w:val="70"/>
              </w:numPr>
              <w:tabs>
                <w:tab w:pos="699" w:val="left" w:leader="none"/>
              </w:tabs>
              <w:spacing w:line="240" w:lineRule="auto" w:before="21" w:after="0"/>
              <w:ind w:left="112" w:right="0" w:firstLine="0"/>
              <w:jc w:val="left"/>
              <w:rPr>
                <w:sz w:val="21"/>
              </w:rPr>
            </w:pPr>
            <w:r>
              <w:rPr>
                <w:sz w:val="21"/>
              </w:rPr>
              <w:t>多个肢体缺失</w:t>
            </w:r>
          </w:p>
          <w:p>
            <w:pPr>
              <w:pStyle w:val="TableParagraph"/>
              <w:numPr>
                <w:ilvl w:val="2"/>
                <w:numId w:val="70"/>
              </w:numPr>
              <w:tabs>
                <w:tab w:pos="699" w:val="left" w:leader="none"/>
              </w:tabs>
              <w:spacing w:line="240" w:lineRule="auto" w:before="39" w:after="0"/>
              <w:ind w:left="112" w:right="0" w:firstLine="0"/>
              <w:jc w:val="left"/>
              <w:rPr>
                <w:sz w:val="21"/>
              </w:rPr>
            </w:pPr>
            <w:r>
              <w:rPr>
                <w:sz w:val="21"/>
              </w:rPr>
              <w:t>急性或亚急性重症肝炎</w:t>
            </w:r>
          </w:p>
          <w:p>
            <w:pPr>
              <w:pStyle w:val="TableParagraph"/>
              <w:numPr>
                <w:ilvl w:val="2"/>
                <w:numId w:val="71"/>
              </w:numPr>
              <w:tabs>
                <w:tab w:pos="804" w:val="left" w:leader="none"/>
              </w:tabs>
              <w:spacing w:line="240" w:lineRule="auto" w:before="40" w:after="0"/>
              <w:ind w:left="803" w:right="0" w:hanging="691"/>
              <w:jc w:val="left"/>
              <w:rPr>
                <w:sz w:val="21"/>
              </w:rPr>
            </w:pPr>
            <w:r>
              <w:rPr>
                <w:sz w:val="21"/>
              </w:rPr>
              <w:t>脑炎后遗症或脑膜炎后遗症</w:t>
            </w:r>
          </w:p>
          <w:p>
            <w:pPr>
              <w:pStyle w:val="TableParagraph"/>
              <w:numPr>
                <w:ilvl w:val="2"/>
                <w:numId w:val="71"/>
              </w:numPr>
              <w:tabs>
                <w:tab w:pos="804" w:val="left" w:leader="none"/>
              </w:tabs>
              <w:spacing w:line="240" w:lineRule="auto" w:before="39" w:after="0"/>
              <w:ind w:left="803" w:right="0" w:hanging="691"/>
              <w:jc w:val="left"/>
              <w:rPr>
                <w:sz w:val="21"/>
              </w:rPr>
            </w:pPr>
            <w:r>
              <w:rPr>
                <w:sz w:val="21"/>
              </w:rPr>
              <w:t>深度昏迷</w:t>
            </w:r>
          </w:p>
          <w:p>
            <w:pPr>
              <w:pStyle w:val="TableParagraph"/>
              <w:numPr>
                <w:ilvl w:val="2"/>
                <w:numId w:val="71"/>
              </w:numPr>
              <w:tabs>
                <w:tab w:pos="804" w:val="left" w:leader="none"/>
              </w:tabs>
              <w:spacing w:line="240" w:lineRule="auto" w:before="25" w:after="0"/>
              <w:ind w:left="803" w:right="0" w:hanging="691"/>
              <w:jc w:val="left"/>
              <w:rPr>
                <w:sz w:val="21"/>
              </w:rPr>
            </w:pPr>
            <w:r>
              <w:rPr>
                <w:sz w:val="21"/>
              </w:rPr>
              <w:t>双耳失聪</w:t>
            </w:r>
          </w:p>
          <w:p>
            <w:pPr>
              <w:pStyle w:val="TableParagraph"/>
              <w:numPr>
                <w:ilvl w:val="2"/>
                <w:numId w:val="72"/>
              </w:numPr>
              <w:tabs>
                <w:tab w:pos="804" w:val="left" w:leader="none"/>
              </w:tabs>
              <w:spacing w:line="240" w:lineRule="auto" w:before="40" w:after="0"/>
              <w:ind w:left="803" w:right="0" w:hanging="691"/>
              <w:jc w:val="left"/>
              <w:rPr>
                <w:sz w:val="21"/>
              </w:rPr>
            </w:pPr>
            <w:r>
              <w:rPr>
                <w:sz w:val="21"/>
              </w:rPr>
              <w:t>心脏瓣膜手术</w:t>
            </w:r>
          </w:p>
          <w:p>
            <w:pPr>
              <w:pStyle w:val="TableParagraph"/>
              <w:numPr>
                <w:ilvl w:val="2"/>
                <w:numId w:val="72"/>
              </w:numPr>
              <w:tabs>
                <w:tab w:pos="804" w:val="left" w:leader="none"/>
              </w:tabs>
              <w:spacing w:line="240" w:lineRule="auto" w:before="40" w:after="0"/>
              <w:ind w:left="803" w:right="0" w:hanging="691"/>
              <w:jc w:val="left"/>
              <w:rPr>
                <w:sz w:val="21"/>
              </w:rPr>
            </w:pPr>
            <w:r>
              <w:rPr>
                <w:sz w:val="21"/>
              </w:rPr>
              <w:t>严重阿尔茨海默病</w:t>
            </w:r>
          </w:p>
          <w:p>
            <w:pPr>
              <w:pStyle w:val="TableParagraph"/>
              <w:numPr>
                <w:ilvl w:val="2"/>
                <w:numId w:val="72"/>
              </w:numPr>
              <w:tabs>
                <w:tab w:pos="804" w:val="left" w:leader="none"/>
              </w:tabs>
              <w:spacing w:line="240" w:lineRule="auto" w:before="39" w:after="0"/>
              <w:ind w:left="803" w:right="0" w:hanging="691"/>
              <w:jc w:val="left"/>
              <w:rPr>
                <w:sz w:val="21"/>
              </w:rPr>
            </w:pPr>
            <w:r>
              <w:rPr>
                <w:sz w:val="21"/>
              </w:rPr>
              <w:t>严重脑损伤</w:t>
            </w:r>
          </w:p>
          <w:p>
            <w:pPr>
              <w:pStyle w:val="TableParagraph"/>
              <w:numPr>
                <w:ilvl w:val="2"/>
                <w:numId w:val="72"/>
              </w:numPr>
              <w:tabs>
                <w:tab w:pos="804" w:val="left" w:leader="none"/>
              </w:tabs>
              <w:spacing w:line="240" w:lineRule="auto" w:before="40" w:after="0"/>
              <w:ind w:left="803" w:right="0" w:hanging="691"/>
              <w:jc w:val="left"/>
              <w:rPr>
                <w:sz w:val="21"/>
              </w:rPr>
            </w:pPr>
            <w:r>
              <w:rPr>
                <w:sz w:val="21"/>
              </w:rPr>
              <w:t>严重帕金森病</w:t>
            </w:r>
          </w:p>
          <w:p>
            <w:pPr>
              <w:pStyle w:val="TableParagraph"/>
              <w:numPr>
                <w:ilvl w:val="2"/>
                <w:numId w:val="72"/>
              </w:numPr>
              <w:tabs>
                <w:tab w:pos="804" w:val="left" w:leader="none"/>
              </w:tabs>
              <w:spacing w:line="240" w:lineRule="auto" w:before="25" w:after="0"/>
              <w:ind w:left="803" w:right="0" w:hanging="691"/>
              <w:jc w:val="left"/>
              <w:rPr>
                <w:sz w:val="21"/>
              </w:rPr>
            </w:pPr>
            <w:r>
              <w:rPr>
                <w:spacing w:val="-16"/>
                <w:sz w:val="21"/>
              </w:rPr>
              <w:t>严重 </w:t>
            </w:r>
            <w:r>
              <w:rPr>
                <w:sz w:val="21"/>
              </w:rPr>
              <w:t>III</w:t>
            </w:r>
            <w:r>
              <w:rPr>
                <w:spacing w:val="-12"/>
                <w:sz w:val="21"/>
              </w:rPr>
              <w:t> 度烧伤</w:t>
            </w:r>
          </w:p>
          <w:p>
            <w:pPr>
              <w:pStyle w:val="TableParagraph"/>
              <w:numPr>
                <w:ilvl w:val="2"/>
                <w:numId w:val="72"/>
              </w:numPr>
              <w:tabs>
                <w:tab w:pos="804" w:val="left" w:leader="none"/>
              </w:tabs>
              <w:spacing w:line="240" w:lineRule="auto" w:before="39" w:after="0"/>
              <w:ind w:left="803" w:right="0" w:hanging="691"/>
              <w:jc w:val="left"/>
              <w:rPr>
                <w:sz w:val="21"/>
              </w:rPr>
            </w:pPr>
            <w:r>
              <w:rPr>
                <w:spacing w:val="-1"/>
                <w:sz w:val="21"/>
              </w:rPr>
              <w:t>严重原发性肺动脉高压</w:t>
            </w:r>
          </w:p>
          <w:p>
            <w:pPr>
              <w:pStyle w:val="TableParagraph"/>
              <w:numPr>
                <w:ilvl w:val="2"/>
                <w:numId w:val="72"/>
              </w:numPr>
              <w:tabs>
                <w:tab w:pos="804" w:val="left" w:leader="none"/>
              </w:tabs>
              <w:spacing w:line="240" w:lineRule="auto" w:before="40" w:after="0"/>
              <w:ind w:left="803" w:right="0" w:hanging="691"/>
              <w:jc w:val="left"/>
              <w:rPr>
                <w:sz w:val="21"/>
              </w:rPr>
            </w:pPr>
            <w:r>
              <w:rPr>
                <w:sz w:val="21"/>
              </w:rPr>
              <w:t>严重运动神经元病</w:t>
            </w:r>
          </w:p>
          <w:p>
            <w:pPr>
              <w:pStyle w:val="TableParagraph"/>
              <w:numPr>
                <w:ilvl w:val="2"/>
                <w:numId w:val="72"/>
              </w:numPr>
              <w:tabs>
                <w:tab w:pos="804" w:val="left" w:leader="none"/>
              </w:tabs>
              <w:spacing w:line="240" w:lineRule="auto" w:before="40" w:after="0"/>
              <w:ind w:left="803" w:right="0" w:hanging="691"/>
              <w:jc w:val="left"/>
              <w:rPr>
                <w:sz w:val="21"/>
              </w:rPr>
            </w:pPr>
            <w:r>
              <w:rPr>
                <w:sz w:val="21"/>
              </w:rPr>
              <w:t>语言能力丧失</w:t>
            </w:r>
          </w:p>
          <w:p>
            <w:pPr>
              <w:pStyle w:val="TableParagraph"/>
              <w:spacing w:before="40"/>
              <w:ind w:left="112"/>
              <w:rPr>
                <w:sz w:val="21"/>
              </w:rPr>
            </w:pPr>
            <w:r>
              <w:rPr>
                <w:sz w:val="21"/>
              </w:rPr>
              <w:t>9.6.25 主动脉手术</w:t>
            </w:r>
          </w:p>
          <w:p>
            <w:pPr>
              <w:pStyle w:val="TableParagraph"/>
              <w:numPr>
                <w:ilvl w:val="2"/>
                <w:numId w:val="73"/>
              </w:numPr>
              <w:tabs>
                <w:tab w:pos="804" w:val="left" w:leader="none"/>
              </w:tabs>
              <w:spacing w:line="240" w:lineRule="auto" w:before="24" w:after="0"/>
              <w:ind w:left="803" w:right="0" w:hanging="691"/>
              <w:jc w:val="left"/>
              <w:rPr>
                <w:sz w:val="21"/>
              </w:rPr>
            </w:pPr>
            <w:r>
              <w:rPr>
                <w:sz w:val="21"/>
              </w:rPr>
              <w:t>埃博拉病毒感染</w:t>
            </w:r>
          </w:p>
          <w:p>
            <w:pPr>
              <w:pStyle w:val="TableParagraph"/>
              <w:numPr>
                <w:ilvl w:val="2"/>
                <w:numId w:val="73"/>
              </w:numPr>
              <w:tabs>
                <w:tab w:pos="804" w:val="left" w:leader="none"/>
              </w:tabs>
              <w:spacing w:line="240" w:lineRule="auto" w:before="40" w:after="0"/>
              <w:ind w:left="803" w:right="0" w:hanging="691"/>
              <w:jc w:val="left"/>
              <w:rPr>
                <w:sz w:val="21"/>
              </w:rPr>
            </w:pPr>
            <w:r>
              <w:rPr>
                <w:sz w:val="21"/>
              </w:rPr>
              <w:t>丝虫病所致象皮肿</w:t>
            </w:r>
          </w:p>
          <w:p>
            <w:pPr>
              <w:pStyle w:val="TableParagraph"/>
              <w:numPr>
                <w:ilvl w:val="2"/>
                <w:numId w:val="73"/>
              </w:numPr>
              <w:tabs>
                <w:tab w:pos="804" w:val="left" w:leader="none"/>
              </w:tabs>
              <w:spacing w:line="240" w:lineRule="auto" w:before="40" w:after="0"/>
              <w:ind w:left="803" w:right="0" w:hanging="691"/>
              <w:jc w:val="left"/>
              <w:rPr>
                <w:sz w:val="21"/>
              </w:rPr>
            </w:pPr>
            <w:r>
              <w:rPr>
                <w:sz w:val="21"/>
              </w:rPr>
              <w:t>主动脉夹层血肿</w:t>
            </w:r>
          </w:p>
          <w:p>
            <w:pPr>
              <w:pStyle w:val="TableParagraph"/>
              <w:numPr>
                <w:ilvl w:val="2"/>
                <w:numId w:val="73"/>
              </w:numPr>
              <w:tabs>
                <w:tab w:pos="804" w:val="left" w:leader="none"/>
              </w:tabs>
              <w:spacing w:line="240" w:lineRule="auto" w:before="40" w:after="0"/>
              <w:ind w:left="803" w:right="0" w:hanging="691"/>
              <w:jc w:val="left"/>
              <w:rPr>
                <w:sz w:val="21"/>
              </w:rPr>
            </w:pPr>
            <w:r>
              <w:rPr>
                <w:sz w:val="21"/>
              </w:rPr>
              <w:t>疯牛病</w:t>
            </w:r>
          </w:p>
          <w:p>
            <w:pPr>
              <w:pStyle w:val="TableParagraph"/>
              <w:numPr>
                <w:ilvl w:val="2"/>
                <w:numId w:val="73"/>
              </w:numPr>
              <w:tabs>
                <w:tab w:pos="804" w:val="left" w:leader="none"/>
              </w:tabs>
              <w:spacing w:line="240" w:lineRule="auto" w:before="39" w:after="0"/>
              <w:ind w:left="803" w:right="0" w:hanging="691"/>
              <w:jc w:val="left"/>
              <w:rPr>
                <w:sz w:val="21"/>
              </w:rPr>
            </w:pPr>
            <w:r>
              <w:rPr>
                <w:sz w:val="21"/>
              </w:rPr>
              <w:t>破裂脑动脉瘤夹闭手术</w:t>
            </w:r>
          </w:p>
          <w:p>
            <w:pPr>
              <w:pStyle w:val="TableParagraph"/>
              <w:numPr>
                <w:ilvl w:val="2"/>
                <w:numId w:val="74"/>
              </w:numPr>
              <w:tabs>
                <w:tab w:pos="804" w:val="left" w:leader="none"/>
              </w:tabs>
              <w:spacing w:line="240" w:lineRule="auto" w:before="25" w:after="0"/>
              <w:ind w:left="112" w:right="0" w:firstLine="0"/>
              <w:jc w:val="left"/>
              <w:rPr>
                <w:sz w:val="21"/>
              </w:rPr>
            </w:pPr>
            <w:r>
              <w:rPr>
                <w:sz w:val="21"/>
              </w:rPr>
              <w:t>原发性硬化性胆管炎</w:t>
            </w:r>
          </w:p>
          <w:p>
            <w:pPr>
              <w:pStyle w:val="TableParagraph"/>
              <w:numPr>
                <w:ilvl w:val="2"/>
                <w:numId w:val="74"/>
              </w:numPr>
              <w:tabs>
                <w:tab w:pos="804" w:val="left" w:leader="none"/>
              </w:tabs>
              <w:spacing w:line="276" w:lineRule="auto" w:before="40" w:after="0"/>
              <w:ind w:left="112" w:right="136" w:firstLine="0"/>
              <w:jc w:val="left"/>
              <w:rPr>
                <w:sz w:val="21"/>
              </w:rPr>
            </w:pPr>
            <w:r>
              <w:rPr>
                <w:sz w:val="21"/>
              </w:rPr>
              <w:t>特发性慢性肾上腺皮质功能减退</w:t>
            </w:r>
          </w:p>
          <w:p>
            <w:pPr>
              <w:pStyle w:val="TableParagraph"/>
              <w:numPr>
                <w:ilvl w:val="2"/>
                <w:numId w:val="74"/>
              </w:numPr>
              <w:tabs>
                <w:tab w:pos="804" w:val="left" w:leader="none"/>
              </w:tabs>
              <w:spacing w:line="276" w:lineRule="auto" w:before="8" w:after="0"/>
              <w:ind w:left="112" w:right="80" w:firstLine="0"/>
              <w:jc w:val="left"/>
              <w:rPr>
                <w:sz w:val="21"/>
              </w:rPr>
            </w:pPr>
            <w:r>
              <w:rPr>
                <w:spacing w:val="-5"/>
                <w:sz w:val="21"/>
              </w:rPr>
              <w:t>系统性红斑狼疮 －</w:t>
            </w:r>
            <w:r>
              <w:rPr>
                <w:spacing w:val="-38"/>
                <w:sz w:val="21"/>
              </w:rPr>
              <w:t>（</w:t>
            </w:r>
            <w:r>
              <w:rPr>
                <w:sz w:val="21"/>
              </w:rPr>
              <w:t>并发</w:t>
            </w:r>
            <w:r>
              <w:rPr>
                <w:spacing w:val="-19"/>
                <w:sz w:val="21"/>
              </w:rPr>
              <w:t>）III </w:t>
            </w:r>
            <w:r>
              <w:rPr>
                <w:sz w:val="21"/>
              </w:rPr>
              <w:t>型或以上狼疮性肾炎</w:t>
            </w:r>
          </w:p>
          <w:p>
            <w:pPr>
              <w:pStyle w:val="TableParagraph"/>
              <w:numPr>
                <w:ilvl w:val="2"/>
                <w:numId w:val="74"/>
              </w:numPr>
              <w:tabs>
                <w:tab w:pos="804" w:val="left" w:leader="none"/>
              </w:tabs>
              <w:spacing w:line="269" w:lineRule="exact" w:before="0" w:after="0"/>
              <w:ind w:left="112" w:right="0" w:firstLine="0"/>
              <w:jc w:val="left"/>
              <w:rPr>
                <w:sz w:val="21"/>
              </w:rPr>
            </w:pPr>
            <w:r>
              <w:rPr>
                <w:sz w:val="21"/>
              </w:rPr>
              <w:t>严重类风湿性关节炎</w:t>
            </w:r>
          </w:p>
          <w:p>
            <w:pPr>
              <w:pStyle w:val="TableParagraph"/>
              <w:numPr>
                <w:ilvl w:val="2"/>
                <w:numId w:val="74"/>
              </w:numPr>
              <w:tabs>
                <w:tab w:pos="804" w:val="left" w:leader="none"/>
              </w:tabs>
              <w:spacing w:line="240" w:lineRule="auto" w:before="40" w:after="0"/>
              <w:ind w:left="112" w:right="0" w:firstLine="0"/>
              <w:jc w:val="left"/>
              <w:rPr>
                <w:sz w:val="21"/>
              </w:rPr>
            </w:pPr>
            <w:r>
              <w:rPr>
                <w:sz w:val="21"/>
              </w:rPr>
              <w:t>重症急性坏死性筋膜炎</w:t>
            </w:r>
          </w:p>
          <w:p>
            <w:pPr>
              <w:pStyle w:val="TableParagraph"/>
              <w:numPr>
                <w:ilvl w:val="2"/>
                <w:numId w:val="74"/>
              </w:numPr>
              <w:tabs>
                <w:tab w:pos="804" w:val="left" w:leader="none"/>
              </w:tabs>
              <w:spacing w:line="240" w:lineRule="auto" w:before="40" w:after="0"/>
              <w:ind w:left="112" w:right="0" w:firstLine="0"/>
              <w:jc w:val="left"/>
              <w:rPr>
                <w:sz w:val="21"/>
              </w:rPr>
            </w:pPr>
            <w:r>
              <w:rPr>
                <w:sz w:val="21"/>
              </w:rPr>
              <w:t>急性坏死性胰腺炎开腹手术</w:t>
            </w:r>
          </w:p>
          <w:p>
            <w:pPr>
              <w:pStyle w:val="TableParagraph"/>
              <w:numPr>
                <w:ilvl w:val="2"/>
                <w:numId w:val="74"/>
              </w:numPr>
              <w:tabs>
                <w:tab w:pos="804" w:val="left" w:leader="none"/>
              </w:tabs>
              <w:spacing w:line="240" w:lineRule="auto" w:before="40" w:after="0"/>
              <w:ind w:left="112" w:right="0" w:firstLine="0"/>
              <w:jc w:val="left"/>
              <w:rPr>
                <w:sz w:val="21"/>
              </w:rPr>
            </w:pPr>
            <w:r>
              <w:rPr>
                <w:sz w:val="21"/>
              </w:rPr>
              <w:t>系统性硬皮病</w:t>
            </w:r>
          </w:p>
          <w:p>
            <w:pPr>
              <w:pStyle w:val="TableParagraph"/>
              <w:numPr>
                <w:ilvl w:val="2"/>
                <w:numId w:val="74"/>
              </w:numPr>
              <w:tabs>
                <w:tab w:pos="804" w:val="left" w:leader="none"/>
              </w:tabs>
              <w:spacing w:line="240" w:lineRule="auto" w:before="40" w:after="0"/>
              <w:ind w:left="112" w:right="0" w:firstLine="0"/>
              <w:jc w:val="left"/>
              <w:rPr>
                <w:sz w:val="21"/>
              </w:rPr>
            </w:pPr>
            <w:r>
              <w:rPr>
                <w:sz w:val="21"/>
              </w:rPr>
              <w:t>额颞叶痴呆</w:t>
            </w:r>
          </w:p>
          <w:p>
            <w:pPr>
              <w:pStyle w:val="TableParagraph"/>
              <w:numPr>
                <w:ilvl w:val="2"/>
                <w:numId w:val="74"/>
              </w:numPr>
              <w:tabs>
                <w:tab w:pos="804" w:val="left" w:leader="none"/>
              </w:tabs>
              <w:spacing w:line="240" w:lineRule="auto" w:before="24" w:after="0"/>
              <w:ind w:left="112" w:right="0" w:firstLine="0"/>
              <w:jc w:val="left"/>
              <w:rPr>
                <w:sz w:val="21"/>
              </w:rPr>
            </w:pPr>
            <w:r>
              <w:rPr>
                <w:sz w:val="21"/>
              </w:rPr>
              <w:t>严重肌营养不良症</w:t>
            </w:r>
          </w:p>
          <w:p>
            <w:pPr>
              <w:pStyle w:val="TableParagraph"/>
              <w:numPr>
                <w:ilvl w:val="2"/>
                <w:numId w:val="75"/>
              </w:numPr>
              <w:tabs>
                <w:tab w:pos="804" w:val="left" w:leader="none"/>
              </w:tabs>
              <w:spacing w:line="240" w:lineRule="auto" w:before="40" w:after="0"/>
              <w:ind w:left="803" w:right="0" w:hanging="691"/>
              <w:jc w:val="left"/>
              <w:rPr>
                <w:sz w:val="21"/>
              </w:rPr>
            </w:pPr>
            <w:r>
              <w:rPr>
                <w:sz w:val="21"/>
              </w:rPr>
              <w:t>溶血性链球菌引起的坏疽</w:t>
            </w:r>
          </w:p>
          <w:p>
            <w:pPr>
              <w:pStyle w:val="TableParagraph"/>
              <w:numPr>
                <w:ilvl w:val="2"/>
                <w:numId w:val="75"/>
              </w:numPr>
              <w:tabs>
                <w:tab w:pos="804" w:val="left" w:leader="none"/>
              </w:tabs>
              <w:spacing w:line="240" w:lineRule="auto" w:before="40" w:after="0"/>
              <w:ind w:left="803" w:right="0" w:hanging="691"/>
              <w:jc w:val="left"/>
              <w:rPr>
                <w:sz w:val="21"/>
              </w:rPr>
            </w:pPr>
            <w:r>
              <w:rPr>
                <w:spacing w:val="-6"/>
                <w:sz w:val="21"/>
              </w:rPr>
              <w:t>因职业关系导致的 </w:t>
            </w:r>
            <w:r>
              <w:rPr>
                <w:sz w:val="21"/>
              </w:rPr>
              <w:t>HIV</w:t>
            </w:r>
            <w:r>
              <w:rPr>
                <w:spacing w:val="-16"/>
                <w:sz w:val="21"/>
              </w:rPr>
              <w:t> 感染</w:t>
            </w:r>
          </w:p>
          <w:p>
            <w:pPr>
              <w:pStyle w:val="TableParagraph"/>
              <w:numPr>
                <w:ilvl w:val="2"/>
                <w:numId w:val="75"/>
              </w:numPr>
              <w:tabs>
                <w:tab w:pos="804" w:val="left" w:leader="none"/>
              </w:tabs>
              <w:spacing w:line="240" w:lineRule="auto" w:before="39" w:after="0"/>
              <w:ind w:left="803" w:right="0" w:hanging="691"/>
              <w:jc w:val="left"/>
              <w:rPr>
                <w:sz w:val="21"/>
              </w:rPr>
            </w:pPr>
            <w:r>
              <w:rPr>
                <w:sz w:val="21"/>
              </w:rPr>
              <w:t>重度脊髓灰质炎</w:t>
            </w:r>
          </w:p>
          <w:p>
            <w:pPr>
              <w:pStyle w:val="TableParagraph"/>
              <w:numPr>
                <w:ilvl w:val="2"/>
                <w:numId w:val="75"/>
              </w:numPr>
              <w:tabs>
                <w:tab w:pos="804" w:val="left" w:leader="none"/>
              </w:tabs>
              <w:spacing w:line="240" w:lineRule="auto" w:before="40" w:after="0"/>
              <w:ind w:left="803" w:right="0" w:hanging="691"/>
              <w:jc w:val="left"/>
              <w:rPr>
                <w:sz w:val="21"/>
              </w:rPr>
            </w:pPr>
            <w:r>
              <w:rPr>
                <w:sz w:val="21"/>
              </w:rPr>
              <w:t>植物人状态</w:t>
            </w:r>
          </w:p>
          <w:p>
            <w:pPr>
              <w:pStyle w:val="TableParagraph"/>
              <w:numPr>
                <w:ilvl w:val="2"/>
                <w:numId w:val="75"/>
              </w:numPr>
              <w:tabs>
                <w:tab w:pos="804" w:val="left" w:leader="none"/>
              </w:tabs>
              <w:spacing w:line="240" w:lineRule="auto" w:before="25" w:after="0"/>
              <w:ind w:left="803" w:right="0" w:hanging="691"/>
              <w:jc w:val="left"/>
              <w:rPr>
                <w:sz w:val="21"/>
              </w:rPr>
            </w:pPr>
            <w:r>
              <w:rPr>
                <w:spacing w:val="-16"/>
                <w:sz w:val="21"/>
              </w:rPr>
              <w:t>严重 </w:t>
            </w:r>
            <w:r>
              <w:rPr>
                <w:sz w:val="21"/>
              </w:rPr>
              <w:t>1</w:t>
            </w:r>
            <w:r>
              <w:rPr>
                <w:spacing w:val="-10"/>
                <w:sz w:val="21"/>
              </w:rPr>
              <w:t> 型糖尿病</w:t>
            </w:r>
          </w:p>
        </w:tc>
      </w:tr>
    </w:tbl>
    <w:p>
      <w:pPr>
        <w:spacing w:after="0" w:line="240" w:lineRule="auto"/>
        <w:jc w:val="left"/>
        <w:rPr>
          <w:sz w:val="21"/>
        </w:rPr>
        <w:sectPr>
          <w:type w:val="continuous"/>
          <w:pgSz w:w="11910" w:h="16850"/>
          <w:pgMar w:top="540" w:bottom="1140" w:left="980" w:right="760"/>
        </w:sectPr>
      </w:pPr>
    </w:p>
    <w:p>
      <w:pPr>
        <w:pStyle w:val="ListParagraph"/>
        <w:numPr>
          <w:ilvl w:val="2"/>
          <w:numId w:val="76"/>
        </w:numPr>
        <w:tabs>
          <w:tab w:pos="6460" w:val="left" w:leader="none"/>
        </w:tabs>
        <w:spacing w:line="240" w:lineRule="auto" w:before="16" w:after="0"/>
        <w:ind w:left="5769" w:right="0" w:firstLine="0"/>
        <w:jc w:val="left"/>
        <w:rPr>
          <w:sz w:val="21"/>
        </w:rPr>
      </w:pPr>
      <w:r>
        <w:rPr/>
        <w:pict>
          <v:group style="position:absolute;margin-left:181.729996pt;margin-top:62.299999pt;width:370.2pt;height:703.4pt;mso-position-horizontal-relative:page;mso-position-vertical-relative:page;z-index:-98584" coordorigin="3635,1246" coordsize="7404,14068">
            <v:line style="position:absolute" from="3650,1253" to="7329,1253" stroked="true" strokeweight=".75pt" strokecolor="#000000">
              <v:stroke dashstyle="solid"/>
            </v:line>
            <v:line style="position:absolute" from="7344,1253" to="11023,1253" stroked="true" strokeweight=".75pt" strokecolor="#000000">
              <v:stroke dashstyle="solid"/>
            </v:line>
            <v:line style="position:absolute" from="3642,1246" to="3642,15313" stroked="true" strokeweight=".75pt" strokecolor="#000000">
              <v:stroke dashstyle="solid"/>
            </v:line>
            <v:line style="position:absolute" from="3650,15306" to="7329,15306" stroked="true" strokeweight=".75pt" strokecolor="#000000">
              <v:stroke dashstyle="solid"/>
            </v:line>
            <v:line style="position:absolute" from="7336,1246" to="7336,15313" stroked="true" strokeweight=".75pt" strokecolor="#000000">
              <v:stroke dashstyle="solid"/>
            </v:line>
            <v:line style="position:absolute" from="7344,15306" to="11023,15306" stroked="true" strokeweight=".75pt" strokecolor="#000000">
              <v:stroke dashstyle="solid"/>
            </v:line>
            <v:line style="position:absolute" from="11031,1246" to="11031,15313" stroked="true" strokeweight=".75pt" strokecolor="#000000">
              <v:stroke dashstyle="solid"/>
            </v:line>
            <w10:wrap type="none"/>
          </v:group>
        </w:pict>
      </w:r>
      <w:r>
        <w:rPr>
          <w:sz w:val="21"/>
        </w:rPr>
        <w:t>非阿尔茨海默病所致严重痴呆</w:t>
      </w:r>
    </w:p>
    <w:p>
      <w:pPr>
        <w:pStyle w:val="ListParagraph"/>
        <w:numPr>
          <w:ilvl w:val="2"/>
          <w:numId w:val="76"/>
        </w:numPr>
        <w:tabs>
          <w:tab w:pos="6460" w:val="left" w:leader="none"/>
        </w:tabs>
        <w:spacing w:line="261" w:lineRule="auto" w:before="40" w:after="0"/>
        <w:ind w:left="5769" w:right="271" w:firstLine="0"/>
        <w:jc w:val="left"/>
        <w:rPr>
          <w:sz w:val="21"/>
        </w:rPr>
      </w:pPr>
      <w:r>
        <w:rPr>
          <w:sz w:val="21"/>
        </w:rPr>
        <w:t>严重冠状动脉粥样硬化性心脏病</w:t>
      </w:r>
    </w:p>
    <w:p>
      <w:pPr>
        <w:pStyle w:val="ListParagraph"/>
        <w:numPr>
          <w:ilvl w:val="2"/>
          <w:numId w:val="76"/>
        </w:numPr>
        <w:tabs>
          <w:tab w:pos="6460" w:val="left" w:leader="none"/>
        </w:tabs>
        <w:spacing w:line="240" w:lineRule="auto" w:before="21" w:after="0"/>
        <w:ind w:left="5769" w:right="0" w:firstLine="0"/>
        <w:jc w:val="left"/>
        <w:rPr>
          <w:sz w:val="21"/>
        </w:rPr>
      </w:pPr>
      <w:r>
        <w:rPr>
          <w:sz w:val="21"/>
        </w:rPr>
        <w:t>多发性硬化</w:t>
      </w:r>
    </w:p>
    <w:p>
      <w:pPr>
        <w:pStyle w:val="ListParagraph"/>
        <w:numPr>
          <w:ilvl w:val="2"/>
          <w:numId w:val="76"/>
        </w:numPr>
        <w:tabs>
          <w:tab w:pos="6460" w:val="left" w:leader="none"/>
        </w:tabs>
        <w:spacing w:line="240" w:lineRule="auto" w:before="40" w:after="0"/>
        <w:ind w:left="5769" w:right="0" w:firstLine="0"/>
        <w:jc w:val="left"/>
        <w:rPr>
          <w:sz w:val="21"/>
        </w:rPr>
      </w:pPr>
      <w:r>
        <w:rPr>
          <w:sz w:val="21"/>
        </w:rPr>
        <w:t>全身性（型）重症肌无力</w:t>
      </w:r>
    </w:p>
    <w:p>
      <w:pPr>
        <w:pStyle w:val="ListParagraph"/>
        <w:numPr>
          <w:ilvl w:val="2"/>
          <w:numId w:val="76"/>
        </w:numPr>
        <w:tabs>
          <w:tab w:pos="6460" w:val="left" w:leader="none"/>
        </w:tabs>
        <w:spacing w:line="240" w:lineRule="auto" w:before="40" w:after="0"/>
        <w:ind w:left="5769" w:right="0" w:firstLine="0"/>
        <w:jc w:val="left"/>
        <w:rPr>
          <w:sz w:val="21"/>
        </w:rPr>
      </w:pPr>
      <w:r>
        <w:rPr>
          <w:sz w:val="21"/>
        </w:rPr>
        <w:t>严重心肌病</w:t>
      </w:r>
    </w:p>
    <w:p>
      <w:pPr>
        <w:pStyle w:val="ListParagraph"/>
        <w:numPr>
          <w:ilvl w:val="2"/>
          <w:numId w:val="76"/>
        </w:numPr>
        <w:tabs>
          <w:tab w:pos="6460" w:val="left" w:leader="none"/>
        </w:tabs>
        <w:spacing w:line="240" w:lineRule="auto" w:before="40" w:after="0"/>
        <w:ind w:left="5769" w:right="0" w:firstLine="0"/>
        <w:jc w:val="left"/>
        <w:rPr>
          <w:sz w:val="21"/>
        </w:rPr>
      </w:pPr>
      <w:r>
        <w:rPr>
          <w:sz w:val="21"/>
        </w:rPr>
        <w:t>慢性呼吸功能衰竭终末期肺病</w:t>
      </w:r>
    </w:p>
    <w:p>
      <w:pPr>
        <w:pStyle w:val="ListParagraph"/>
        <w:numPr>
          <w:ilvl w:val="2"/>
          <w:numId w:val="76"/>
        </w:numPr>
        <w:tabs>
          <w:tab w:pos="6505" w:val="left" w:leader="none"/>
        </w:tabs>
        <w:spacing w:line="240" w:lineRule="auto" w:before="24" w:after="0"/>
        <w:ind w:left="6505" w:right="0" w:hanging="736"/>
        <w:jc w:val="left"/>
        <w:rPr>
          <w:sz w:val="21"/>
        </w:rPr>
      </w:pPr>
      <w:r>
        <w:rPr>
          <w:sz w:val="21"/>
        </w:rPr>
        <w:t>严重心肌炎</w:t>
      </w:r>
    </w:p>
    <w:p>
      <w:pPr>
        <w:pStyle w:val="ListParagraph"/>
        <w:numPr>
          <w:ilvl w:val="2"/>
          <w:numId w:val="76"/>
        </w:numPr>
        <w:tabs>
          <w:tab w:pos="6460" w:val="left" w:leader="none"/>
        </w:tabs>
        <w:spacing w:line="240" w:lineRule="auto" w:before="40" w:after="0"/>
        <w:ind w:left="5769" w:right="0" w:firstLine="0"/>
        <w:jc w:val="left"/>
        <w:rPr>
          <w:sz w:val="21"/>
        </w:rPr>
      </w:pPr>
      <w:r>
        <w:rPr>
          <w:sz w:val="21"/>
        </w:rPr>
        <w:t>肺淋巴管肌瘤病</w:t>
      </w:r>
    </w:p>
    <w:p>
      <w:pPr>
        <w:pStyle w:val="ListParagraph"/>
        <w:numPr>
          <w:ilvl w:val="2"/>
          <w:numId w:val="77"/>
        </w:numPr>
        <w:tabs>
          <w:tab w:pos="6505" w:val="left" w:leader="none"/>
        </w:tabs>
        <w:spacing w:line="240" w:lineRule="auto" w:before="40" w:after="0"/>
        <w:ind w:left="6505" w:right="0" w:hanging="736"/>
        <w:jc w:val="left"/>
        <w:rPr>
          <w:sz w:val="21"/>
        </w:rPr>
      </w:pPr>
      <w:r>
        <w:rPr>
          <w:sz w:val="21"/>
        </w:rPr>
        <w:t>III</w:t>
      </w:r>
      <w:r>
        <w:rPr>
          <w:spacing w:val="-7"/>
          <w:sz w:val="21"/>
        </w:rPr>
        <w:t> 度房室传导阻滞</w:t>
      </w:r>
    </w:p>
    <w:p>
      <w:pPr>
        <w:pStyle w:val="ListParagraph"/>
        <w:numPr>
          <w:ilvl w:val="2"/>
          <w:numId w:val="77"/>
        </w:numPr>
        <w:tabs>
          <w:tab w:pos="6460" w:val="left" w:leader="none"/>
        </w:tabs>
        <w:spacing w:line="240" w:lineRule="auto" w:before="39" w:after="0"/>
        <w:ind w:left="6460" w:right="0" w:hanging="691"/>
        <w:jc w:val="left"/>
        <w:rPr>
          <w:sz w:val="21"/>
        </w:rPr>
      </w:pPr>
      <w:r>
        <w:rPr>
          <w:spacing w:val="-1"/>
          <w:sz w:val="21"/>
        </w:rPr>
        <w:t>感染性心内膜炎</w:t>
      </w:r>
    </w:p>
    <w:p>
      <w:pPr>
        <w:pStyle w:val="ListParagraph"/>
        <w:numPr>
          <w:ilvl w:val="2"/>
          <w:numId w:val="77"/>
        </w:numPr>
        <w:tabs>
          <w:tab w:pos="6460" w:val="left" w:leader="none"/>
        </w:tabs>
        <w:spacing w:line="240" w:lineRule="auto" w:before="40" w:after="0"/>
        <w:ind w:left="6460" w:right="0" w:hanging="691"/>
        <w:jc w:val="left"/>
        <w:rPr>
          <w:sz w:val="21"/>
        </w:rPr>
      </w:pPr>
      <w:r>
        <w:rPr>
          <w:sz w:val="21"/>
        </w:rPr>
        <w:t>肝豆状核变性</w:t>
      </w:r>
    </w:p>
    <w:p>
      <w:pPr>
        <w:pStyle w:val="ListParagraph"/>
        <w:numPr>
          <w:ilvl w:val="2"/>
          <w:numId w:val="77"/>
        </w:numPr>
        <w:tabs>
          <w:tab w:pos="6460" w:val="left" w:leader="none"/>
        </w:tabs>
        <w:spacing w:line="240" w:lineRule="auto" w:before="25" w:after="0"/>
        <w:ind w:left="6460" w:right="0" w:hanging="691"/>
        <w:jc w:val="left"/>
        <w:rPr>
          <w:sz w:val="21"/>
        </w:rPr>
      </w:pPr>
      <w:r>
        <w:rPr>
          <w:sz w:val="21"/>
        </w:rPr>
        <w:t>肺源性心脏病</w:t>
      </w:r>
    </w:p>
    <w:p>
      <w:pPr>
        <w:pStyle w:val="ListParagraph"/>
        <w:numPr>
          <w:ilvl w:val="2"/>
          <w:numId w:val="77"/>
        </w:numPr>
        <w:tabs>
          <w:tab w:pos="6460" w:val="left" w:leader="none"/>
        </w:tabs>
        <w:spacing w:line="240" w:lineRule="auto" w:before="40" w:after="0"/>
        <w:ind w:left="6460" w:right="0" w:hanging="691"/>
        <w:jc w:val="left"/>
        <w:rPr>
          <w:sz w:val="21"/>
        </w:rPr>
      </w:pPr>
      <w:r>
        <w:rPr>
          <w:sz w:val="21"/>
        </w:rPr>
        <w:t>肾髓质囊性病</w:t>
      </w:r>
    </w:p>
    <w:p>
      <w:pPr>
        <w:pStyle w:val="ListParagraph"/>
        <w:numPr>
          <w:ilvl w:val="2"/>
          <w:numId w:val="77"/>
        </w:numPr>
        <w:tabs>
          <w:tab w:pos="6460" w:val="left" w:leader="none"/>
        </w:tabs>
        <w:spacing w:line="240" w:lineRule="auto" w:before="39" w:after="0"/>
        <w:ind w:left="6460" w:right="0" w:hanging="691"/>
        <w:jc w:val="left"/>
        <w:rPr>
          <w:sz w:val="21"/>
        </w:rPr>
      </w:pPr>
      <w:r>
        <w:rPr>
          <w:sz w:val="21"/>
        </w:rPr>
        <w:t>严重继发性肺动脉高压</w:t>
      </w:r>
    </w:p>
    <w:p>
      <w:pPr>
        <w:pStyle w:val="ListParagraph"/>
        <w:numPr>
          <w:ilvl w:val="2"/>
          <w:numId w:val="77"/>
        </w:numPr>
        <w:tabs>
          <w:tab w:pos="6460" w:val="left" w:leader="none"/>
        </w:tabs>
        <w:spacing w:line="240" w:lineRule="auto" w:before="40" w:after="0"/>
        <w:ind w:left="6460" w:right="0" w:hanging="691"/>
        <w:jc w:val="left"/>
        <w:rPr>
          <w:sz w:val="21"/>
        </w:rPr>
      </w:pPr>
      <w:r>
        <w:rPr>
          <w:sz w:val="21"/>
        </w:rPr>
        <w:t>进行性核上性麻痹</w:t>
      </w:r>
    </w:p>
    <w:p>
      <w:pPr>
        <w:pStyle w:val="ListParagraph"/>
        <w:numPr>
          <w:ilvl w:val="2"/>
          <w:numId w:val="77"/>
        </w:numPr>
        <w:tabs>
          <w:tab w:pos="6460" w:val="left" w:leader="none"/>
        </w:tabs>
        <w:spacing w:line="240" w:lineRule="auto" w:before="40" w:after="0"/>
        <w:ind w:left="6460" w:right="0" w:hanging="691"/>
        <w:jc w:val="left"/>
        <w:rPr>
          <w:sz w:val="21"/>
        </w:rPr>
      </w:pPr>
      <w:r>
        <w:rPr>
          <w:sz w:val="21"/>
        </w:rPr>
        <w:t>失去一肢及一眼</w:t>
      </w:r>
    </w:p>
    <w:p>
      <w:pPr>
        <w:pStyle w:val="ListParagraph"/>
        <w:numPr>
          <w:ilvl w:val="2"/>
          <w:numId w:val="77"/>
        </w:numPr>
        <w:tabs>
          <w:tab w:pos="6460" w:val="left" w:leader="none"/>
        </w:tabs>
        <w:spacing w:line="240" w:lineRule="auto" w:before="25" w:after="0"/>
        <w:ind w:left="6460" w:right="0" w:hanging="691"/>
        <w:jc w:val="left"/>
        <w:rPr>
          <w:sz w:val="21"/>
        </w:rPr>
      </w:pPr>
      <w:r>
        <w:rPr>
          <w:sz w:val="21"/>
        </w:rPr>
        <w:t>嗜铬细胞瘤</w:t>
      </w:r>
    </w:p>
    <w:p>
      <w:pPr>
        <w:pStyle w:val="BodyText"/>
        <w:spacing w:before="39"/>
        <w:ind w:left="5769"/>
      </w:pPr>
      <w:r>
        <w:rPr/>
        <w:t>9.6.69 严重自身免疫性肝炎</w:t>
      </w:r>
    </w:p>
    <w:p>
      <w:pPr>
        <w:pStyle w:val="ListParagraph"/>
        <w:numPr>
          <w:ilvl w:val="2"/>
          <w:numId w:val="78"/>
        </w:numPr>
        <w:tabs>
          <w:tab w:pos="6460" w:val="left" w:leader="none"/>
        </w:tabs>
        <w:spacing w:line="276" w:lineRule="auto" w:before="40" w:after="0"/>
        <w:ind w:left="5769" w:right="271" w:firstLine="0"/>
        <w:jc w:val="left"/>
        <w:rPr>
          <w:sz w:val="21"/>
        </w:rPr>
      </w:pPr>
      <w:r>
        <w:rPr>
          <w:sz w:val="21"/>
        </w:rPr>
        <w:t>严重获得性或继发性肺泡蛋白质沉积症</w:t>
      </w:r>
    </w:p>
    <w:p>
      <w:pPr>
        <w:pStyle w:val="ListParagraph"/>
        <w:numPr>
          <w:ilvl w:val="2"/>
          <w:numId w:val="78"/>
        </w:numPr>
        <w:tabs>
          <w:tab w:pos="6460" w:val="left" w:leader="none"/>
        </w:tabs>
        <w:spacing w:line="240" w:lineRule="auto" w:before="8" w:after="0"/>
        <w:ind w:left="5769" w:right="0" w:firstLine="0"/>
        <w:jc w:val="left"/>
        <w:rPr>
          <w:sz w:val="21"/>
        </w:rPr>
      </w:pPr>
      <w:r>
        <w:rPr>
          <w:sz w:val="21"/>
        </w:rPr>
        <w:t>严重慢性缩窄性心包炎</w:t>
      </w:r>
    </w:p>
    <w:p>
      <w:pPr>
        <w:pStyle w:val="ListParagraph"/>
        <w:numPr>
          <w:ilvl w:val="2"/>
          <w:numId w:val="78"/>
        </w:numPr>
        <w:tabs>
          <w:tab w:pos="6460" w:val="left" w:leader="none"/>
        </w:tabs>
        <w:spacing w:line="240" w:lineRule="auto" w:before="25" w:after="0"/>
        <w:ind w:left="5769" w:right="0" w:firstLine="0"/>
        <w:jc w:val="left"/>
        <w:rPr>
          <w:sz w:val="21"/>
        </w:rPr>
      </w:pPr>
      <w:r>
        <w:rPr>
          <w:sz w:val="21"/>
        </w:rPr>
        <w:t>独立能力丧失</w:t>
      </w:r>
    </w:p>
    <w:p>
      <w:pPr>
        <w:pStyle w:val="ListParagraph"/>
        <w:numPr>
          <w:ilvl w:val="2"/>
          <w:numId w:val="79"/>
        </w:numPr>
        <w:tabs>
          <w:tab w:pos="6460" w:val="left" w:leader="none"/>
        </w:tabs>
        <w:spacing w:line="240" w:lineRule="auto" w:before="40" w:after="0"/>
        <w:ind w:left="6460" w:right="0" w:hanging="691"/>
        <w:jc w:val="left"/>
        <w:rPr>
          <w:sz w:val="21"/>
        </w:rPr>
      </w:pPr>
      <w:r>
        <w:rPr>
          <w:sz w:val="21"/>
        </w:rPr>
        <w:t>进行性风疹性全脑炎</w:t>
      </w:r>
    </w:p>
    <w:p>
      <w:pPr>
        <w:pStyle w:val="ListParagraph"/>
        <w:numPr>
          <w:ilvl w:val="2"/>
          <w:numId w:val="79"/>
        </w:numPr>
        <w:tabs>
          <w:tab w:pos="6460" w:val="left" w:leader="none"/>
        </w:tabs>
        <w:spacing w:line="240" w:lineRule="auto" w:before="40" w:after="0"/>
        <w:ind w:left="6460" w:right="0" w:hanging="691"/>
        <w:jc w:val="left"/>
        <w:rPr>
          <w:sz w:val="21"/>
        </w:rPr>
      </w:pPr>
      <w:r>
        <w:rPr>
          <w:sz w:val="21"/>
        </w:rPr>
        <w:t>肌萎缩脊髓侧索硬化后遗症</w:t>
      </w:r>
    </w:p>
    <w:p>
      <w:pPr>
        <w:pStyle w:val="ListParagraph"/>
        <w:numPr>
          <w:ilvl w:val="2"/>
          <w:numId w:val="79"/>
        </w:numPr>
        <w:tabs>
          <w:tab w:pos="6460" w:val="left" w:leader="none"/>
        </w:tabs>
        <w:spacing w:line="240" w:lineRule="auto" w:before="39" w:after="0"/>
        <w:ind w:left="6460" w:right="0" w:hanging="691"/>
        <w:jc w:val="left"/>
        <w:rPr>
          <w:sz w:val="21"/>
        </w:rPr>
      </w:pPr>
      <w:r>
        <w:rPr>
          <w:sz w:val="21"/>
        </w:rPr>
        <w:t>严重结核性脑膜炎</w:t>
      </w:r>
    </w:p>
    <w:p>
      <w:pPr>
        <w:pStyle w:val="BodyText"/>
        <w:ind w:left="5769"/>
      </w:pPr>
      <w:r>
        <w:rPr/>
        <w:t>9.6.79 瑞氏综合症</w:t>
      </w:r>
    </w:p>
    <w:p>
      <w:pPr>
        <w:pStyle w:val="ListParagraph"/>
        <w:numPr>
          <w:ilvl w:val="2"/>
          <w:numId w:val="80"/>
        </w:numPr>
        <w:tabs>
          <w:tab w:pos="6460" w:val="left" w:leader="none"/>
        </w:tabs>
        <w:spacing w:line="240" w:lineRule="auto" w:before="25" w:after="0"/>
        <w:ind w:left="6460" w:right="0" w:hanging="691"/>
        <w:jc w:val="left"/>
        <w:rPr>
          <w:sz w:val="21"/>
        </w:rPr>
      </w:pPr>
      <w:r>
        <w:rPr>
          <w:sz w:val="21"/>
        </w:rPr>
        <w:t>严重面部烧伤</w:t>
      </w:r>
    </w:p>
    <w:p>
      <w:pPr>
        <w:pStyle w:val="ListParagraph"/>
        <w:numPr>
          <w:ilvl w:val="2"/>
          <w:numId w:val="80"/>
        </w:numPr>
        <w:tabs>
          <w:tab w:pos="6460" w:val="left" w:leader="none"/>
        </w:tabs>
        <w:spacing w:line="240" w:lineRule="auto" w:before="40" w:after="0"/>
        <w:ind w:left="6460" w:right="0" w:hanging="691"/>
        <w:jc w:val="left"/>
        <w:rPr>
          <w:sz w:val="21"/>
        </w:rPr>
      </w:pPr>
      <w:r>
        <w:rPr>
          <w:spacing w:val="-1"/>
          <w:sz w:val="21"/>
        </w:rPr>
        <w:t>严重川崎病</w:t>
      </w:r>
    </w:p>
    <w:p>
      <w:pPr>
        <w:pStyle w:val="ListParagraph"/>
        <w:numPr>
          <w:ilvl w:val="2"/>
          <w:numId w:val="81"/>
        </w:numPr>
        <w:tabs>
          <w:tab w:pos="6460" w:val="left" w:leader="none"/>
        </w:tabs>
        <w:spacing w:line="240" w:lineRule="auto" w:before="39" w:after="0"/>
        <w:ind w:left="6460" w:right="0" w:hanging="691"/>
        <w:jc w:val="left"/>
        <w:rPr>
          <w:sz w:val="21"/>
        </w:rPr>
      </w:pPr>
      <w:r>
        <w:rPr>
          <w:sz w:val="21"/>
        </w:rPr>
        <w:t>重症手足口病</w:t>
      </w:r>
    </w:p>
    <w:p>
      <w:pPr>
        <w:pStyle w:val="ListParagraph"/>
        <w:numPr>
          <w:ilvl w:val="2"/>
          <w:numId w:val="81"/>
        </w:numPr>
        <w:tabs>
          <w:tab w:pos="6460" w:val="left" w:leader="none"/>
        </w:tabs>
        <w:spacing w:line="240" w:lineRule="auto" w:before="40" w:after="0"/>
        <w:ind w:left="6460" w:right="0" w:hanging="691"/>
        <w:jc w:val="left"/>
        <w:rPr>
          <w:sz w:val="21"/>
        </w:rPr>
      </w:pPr>
      <w:r>
        <w:rPr>
          <w:sz w:val="21"/>
        </w:rPr>
        <w:t>严重哮喘</w:t>
      </w:r>
    </w:p>
    <w:p>
      <w:pPr>
        <w:pStyle w:val="ListParagraph"/>
        <w:numPr>
          <w:ilvl w:val="2"/>
          <w:numId w:val="81"/>
        </w:numPr>
        <w:tabs>
          <w:tab w:pos="6460" w:val="left" w:leader="none"/>
        </w:tabs>
        <w:spacing w:line="240" w:lineRule="auto" w:before="40" w:after="0"/>
        <w:ind w:left="6460" w:right="0" w:hanging="691"/>
        <w:jc w:val="left"/>
        <w:rPr>
          <w:sz w:val="21"/>
        </w:rPr>
      </w:pPr>
      <w:r>
        <w:rPr>
          <w:sz w:val="21"/>
        </w:rPr>
        <w:t>骨生长不全症</w:t>
      </w:r>
    </w:p>
    <w:p>
      <w:pPr>
        <w:pStyle w:val="ListParagraph"/>
        <w:numPr>
          <w:ilvl w:val="2"/>
          <w:numId w:val="82"/>
        </w:numPr>
        <w:tabs>
          <w:tab w:pos="6460" w:val="left" w:leader="none"/>
        </w:tabs>
        <w:spacing w:line="240" w:lineRule="auto" w:before="24" w:after="0"/>
        <w:ind w:left="6460" w:right="0" w:hanging="691"/>
        <w:jc w:val="left"/>
        <w:rPr>
          <w:sz w:val="21"/>
        </w:rPr>
      </w:pPr>
      <w:r>
        <w:rPr>
          <w:sz w:val="21"/>
        </w:rPr>
        <w:t>进行性多灶性白质脑病</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脊髓小脑变性症</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婴儿进行性脊肌萎缩症</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多处臂丛神经根性撕脱</w:t>
      </w:r>
    </w:p>
    <w:p>
      <w:pPr>
        <w:pStyle w:val="ListParagraph"/>
        <w:numPr>
          <w:ilvl w:val="2"/>
          <w:numId w:val="82"/>
        </w:numPr>
        <w:tabs>
          <w:tab w:pos="6460" w:val="left" w:leader="none"/>
        </w:tabs>
        <w:spacing w:line="240" w:lineRule="auto" w:before="39" w:after="0"/>
        <w:ind w:left="6460" w:right="0" w:hanging="691"/>
        <w:jc w:val="left"/>
        <w:rPr>
          <w:sz w:val="21"/>
        </w:rPr>
      </w:pPr>
      <w:r>
        <w:rPr>
          <w:sz w:val="21"/>
        </w:rPr>
        <w:t>严重甲型及乙型血友病</w:t>
      </w:r>
    </w:p>
    <w:p>
      <w:pPr>
        <w:pStyle w:val="ListParagraph"/>
        <w:numPr>
          <w:ilvl w:val="2"/>
          <w:numId w:val="82"/>
        </w:numPr>
        <w:tabs>
          <w:tab w:pos="6460" w:val="left" w:leader="none"/>
        </w:tabs>
        <w:spacing w:line="240" w:lineRule="auto" w:before="25" w:after="0"/>
        <w:ind w:left="6460" w:right="0" w:hanging="691"/>
        <w:jc w:val="left"/>
        <w:rPr>
          <w:sz w:val="21"/>
        </w:rPr>
      </w:pPr>
      <w:r>
        <w:rPr>
          <w:sz w:val="21"/>
        </w:rPr>
        <w:t>艾森门格综合征</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细菌性脑脊髓膜炎</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严重癫痫</w:t>
      </w:r>
    </w:p>
    <w:p>
      <w:pPr>
        <w:pStyle w:val="ListParagraph"/>
        <w:numPr>
          <w:ilvl w:val="2"/>
          <w:numId w:val="82"/>
        </w:numPr>
        <w:tabs>
          <w:tab w:pos="6460" w:val="left" w:leader="none"/>
        </w:tabs>
        <w:spacing w:line="240" w:lineRule="auto" w:before="39" w:after="0"/>
        <w:ind w:left="6460" w:right="0" w:hanging="691"/>
        <w:jc w:val="left"/>
        <w:rPr>
          <w:sz w:val="21"/>
        </w:rPr>
      </w:pPr>
      <w:r>
        <w:rPr>
          <w:sz w:val="21"/>
        </w:rPr>
        <w:t>疾病或外伤所致智力障碍</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重幼年型类风湿性关节炎</w:t>
      </w:r>
    </w:p>
    <w:p>
      <w:pPr>
        <w:pStyle w:val="ListParagraph"/>
        <w:numPr>
          <w:ilvl w:val="2"/>
          <w:numId w:val="82"/>
        </w:numPr>
        <w:tabs>
          <w:tab w:pos="6460" w:val="left" w:leader="none"/>
        </w:tabs>
        <w:spacing w:line="240" w:lineRule="auto" w:before="25" w:after="0"/>
        <w:ind w:left="6460" w:right="0" w:hanging="691"/>
        <w:jc w:val="left"/>
        <w:rPr>
          <w:sz w:val="21"/>
        </w:rPr>
      </w:pPr>
      <w:r>
        <w:rPr>
          <w:sz w:val="21"/>
        </w:rPr>
        <w:t>湿性年龄相关性黄斑变性</w:t>
      </w:r>
    </w:p>
    <w:p>
      <w:pPr>
        <w:pStyle w:val="ListParagraph"/>
        <w:numPr>
          <w:ilvl w:val="2"/>
          <w:numId w:val="82"/>
        </w:numPr>
        <w:tabs>
          <w:tab w:pos="6460" w:val="left" w:leader="none"/>
        </w:tabs>
        <w:spacing w:line="240" w:lineRule="auto" w:before="40" w:after="0"/>
        <w:ind w:left="6460" w:right="0" w:hanging="691"/>
        <w:jc w:val="left"/>
        <w:rPr>
          <w:sz w:val="21"/>
        </w:rPr>
      </w:pPr>
      <w:r>
        <w:rPr>
          <w:sz w:val="21"/>
        </w:rPr>
        <w:t>脊柱裂</w:t>
      </w:r>
    </w:p>
    <w:p>
      <w:pPr>
        <w:pStyle w:val="ListParagraph"/>
        <w:numPr>
          <w:ilvl w:val="2"/>
          <w:numId w:val="82"/>
        </w:numPr>
        <w:tabs>
          <w:tab w:pos="6565" w:val="left" w:leader="none"/>
        </w:tabs>
        <w:spacing w:line="240" w:lineRule="auto" w:before="41" w:after="0"/>
        <w:ind w:left="6565" w:right="0" w:hanging="796"/>
        <w:jc w:val="left"/>
        <w:rPr>
          <w:sz w:val="21"/>
        </w:rPr>
      </w:pPr>
      <w:r>
        <w:rPr>
          <w:sz w:val="21"/>
        </w:rPr>
        <w:t>弥漫性血管内凝血</w:t>
      </w:r>
    </w:p>
    <w:p>
      <w:pPr>
        <w:spacing w:after="0" w:line="240" w:lineRule="auto"/>
        <w:jc w:val="left"/>
        <w:rPr>
          <w:sz w:val="21"/>
        </w:rPr>
        <w:sectPr>
          <w:pgSz w:w="11910" w:h="16850"/>
          <w:pgMar w:header="0" w:footer="944" w:top="1220" w:bottom="1180" w:left="168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90"/>
        <w:gridCol w:w="7716"/>
      </w:tblGrid>
      <w:tr>
        <w:trPr>
          <w:trHeight w:val="262" w:hRule="atLeast"/>
        </w:trPr>
        <w:tc>
          <w:tcPr>
            <w:tcW w:w="770" w:type="dxa"/>
          </w:tcPr>
          <w:p>
            <w:pPr>
              <w:pStyle w:val="TableParagraph"/>
              <w:spacing w:line="210" w:lineRule="exact"/>
              <w:ind w:left="50"/>
              <w:rPr>
                <w:b/>
                <w:sz w:val="21"/>
              </w:rPr>
            </w:pPr>
            <w:r>
              <w:rPr>
                <w:b/>
                <w:sz w:val="21"/>
              </w:rPr>
              <w:t>9.8</w:t>
            </w:r>
          </w:p>
        </w:tc>
        <w:tc>
          <w:tcPr>
            <w:tcW w:w="1690" w:type="dxa"/>
          </w:tcPr>
          <w:p>
            <w:pPr>
              <w:pStyle w:val="TableParagraph"/>
              <w:spacing w:line="210" w:lineRule="exact"/>
              <w:ind w:left="300"/>
              <w:rPr>
                <w:b/>
                <w:sz w:val="21"/>
              </w:rPr>
            </w:pPr>
            <w:r>
              <w:rPr>
                <w:b/>
                <w:w w:val="95"/>
                <w:sz w:val="21"/>
              </w:rPr>
              <w:t>现金价值</w:t>
            </w:r>
          </w:p>
        </w:tc>
        <w:tc>
          <w:tcPr>
            <w:tcW w:w="7716" w:type="dxa"/>
          </w:tcPr>
          <w:p>
            <w:pPr>
              <w:pStyle w:val="TableParagraph"/>
              <w:spacing w:line="210" w:lineRule="exact"/>
              <w:ind w:left="128"/>
              <w:rPr>
                <w:sz w:val="21"/>
              </w:rPr>
            </w:pPr>
            <w:r>
              <w:rPr>
                <w:sz w:val="21"/>
              </w:rPr>
              <w:t>指保险单所具有的价值，通常体现为解除合同时，根据精算原理计算的，由本公</w:t>
            </w:r>
          </w:p>
        </w:tc>
      </w:tr>
      <w:tr>
        <w:trPr>
          <w:trHeight w:val="472"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司退还的那部分金额。</w:t>
            </w:r>
          </w:p>
        </w:tc>
      </w:tr>
      <w:tr>
        <w:trPr>
          <w:trHeight w:val="773" w:hRule="atLeast"/>
        </w:trPr>
        <w:tc>
          <w:tcPr>
            <w:tcW w:w="770" w:type="dxa"/>
          </w:tcPr>
          <w:p>
            <w:pPr>
              <w:pStyle w:val="TableParagraph"/>
              <w:spacing w:before="145"/>
              <w:ind w:left="50"/>
              <w:rPr>
                <w:b/>
                <w:sz w:val="21"/>
              </w:rPr>
            </w:pPr>
            <w:r>
              <w:rPr>
                <w:b/>
                <w:sz w:val="21"/>
              </w:rPr>
              <w:t>9.9</w:t>
            </w:r>
          </w:p>
        </w:tc>
        <w:tc>
          <w:tcPr>
            <w:tcW w:w="1690" w:type="dxa"/>
          </w:tcPr>
          <w:p>
            <w:pPr>
              <w:pStyle w:val="TableParagraph"/>
              <w:spacing w:before="145"/>
              <w:ind w:left="300"/>
              <w:rPr>
                <w:b/>
                <w:sz w:val="21"/>
              </w:rPr>
            </w:pPr>
            <w:r>
              <w:rPr>
                <w:b/>
                <w:w w:val="95"/>
                <w:sz w:val="21"/>
              </w:rPr>
              <w:t>疾病终末期</w:t>
            </w:r>
          </w:p>
        </w:tc>
        <w:tc>
          <w:tcPr>
            <w:tcW w:w="7716" w:type="dxa"/>
          </w:tcPr>
          <w:p>
            <w:pPr>
              <w:pStyle w:val="TableParagraph"/>
              <w:spacing w:line="261" w:lineRule="auto" w:before="145"/>
              <w:ind w:left="128" w:right="13"/>
              <w:rPr>
                <w:sz w:val="21"/>
              </w:rPr>
            </w:pPr>
            <w:r>
              <w:rPr>
                <w:sz w:val="21"/>
              </w:rPr>
              <w:t>被保险人被确诊为疾病的终末期状态。疾病已经无法以现有的医疗技术医治缓解， 并且根据临床医学经验判断被保险人将于未来六个月内死亡。在家属及患者的要</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2" w:lineRule="exact"/>
              <w:ind w:left="128"/>
              <w:rPr>
                <w:sz w:val="21"/>
              </w:rPr>
            </w:pPr>
            <w:r>
              <w:rPr>
                <w:sz w:val="21"/>
              </w:rPr>
              <w:t>求和医师的同意下积极治疗已被放弃，所有治疗措施仅以减轻患者痛苦为目的。</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此疾病状态必须在被保险人生前已经确诊并且具有医疗证明文件和临床检查依</w:t>
            </w:r>
          </w:p>
        </w:tc>
      </w:tr>
      <w:tr>
        <w:trPr>
          <w:trHeight w:val="46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据。</w:t>
            </w:r>
          </w:p>
        </w:tc>
      </w:tr>
      <w:tr>
        <w:trPr>
          <w:trHeight w:val="465" w:hRule="atLeast"/>
        </w:trPr>
        <w:tc>
          <w:tcPr>
            <w:tcW w:w="770" w:type="dxa"/>
          </w:tcPr>
          <w:p>
            <w:pPr>
              <w:pStyle w:val="TableParagraph"/>
              <w:spacing w:before="138"/>
              <w:ind w:left="50"/>
              <w:rPr>
                <w:b/>
                <w:sz w:val="21"/>
              </w:rPr>
            </w:pPr>
            <w:r>
              <w:rPr>
                <w:b/>
                <w:sz w:val="21"/>
              </w:rPr>
              <w:t>9.10</w:t>
            </w:r>
          </w:p>
        </w:tc>
        <w:tc>
          <w:tcPr>
            <w:tcW w:w="1690" w:type="dxa"/>
          </w:tcPr>
          <w:p>
            <w:pPr>
              <w:pStyle w:val="TableParagraph"/>
              <w:spacing w:before="138"/>
              <w:ind w:left="300"/>
              <w:rPr>
                <w:b/>
                <w:sz w:val="21"/>
              </w:rPr>
            </w:pPr>
            <w:r>
              <w:rPr>
                <w:b/>
                <w:w w:val="95"/>
                <w:sz w:val="21"/>
              </w:rPr>
              <w:t>毒品</w:t>
            </w:r>
          </w:p>
        </w:tc>
        <w:tc>
          <w:tcPr>
            <w:tcW w:w="7716" w:type="dxa"/>
          </w:tcPr>
          <w:p>
            <w:pPr>
              <w:pStyle w:val="TableParagraph"/>
              <w:spacing w:before="138"/>
              <w:ind w:left="128"/>
              <w:rPr>
                <w:sz w:val="21"/>
              </w:rPr>
            </w:pPr>
            <w:r>
              <w:rPr>
                <w:spacing w:val="-1"/>
                <w:sz w:val="21"/>
              </w:rPr>
              <w:t>指《中华人民共和国刑法》规定的鸦片、海洛因、甲基苯丙胺</w:t>
            </w:r>
            <w:r>
              <w:rPr>
                <w:sz w:val="21"/>
              </w:rPr>
              <w:t>（冰毒</w:t>
            </w:r>
            <w:r>
              <w:rPr>
                <w:spacing w:val="-121"/>
                <w:sz w:val="21"/>
              </w:rPr>
              <w:t>）</w:t>
            </w:r>
            <w:r>
              <w:rPr>
                <w:sz w:val="21"/>
              </w:rPr>
              <w:t>、吗啡、大</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麻、可卡因以及国家规定管制的其他能够使人形成瘾癖的麻醉药品和精神药品，</w:t>
            </w:r>
          </w:p>
        </w:tc>
      </w:tr>
      <w:tr>
        <w:trPr>
          <w:trHeight w:val="472"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但不包括由医生开具并遵医嘱使用的用于治疗疾病但含有毒品成分的处方药品。</w:t>
            </w:r>
          </w:p>
        </w:tc>
      </w:tr>
      <w:tr>
        <w:trPr>
          <w:trHeight w:val="773" w:hRule="atLeast"/>
        </w:trPr>
        <w:tc>
          <w:tcPr>
            <w:tcW w:w="770" w:type="dxa"/>
          </w:tcPr>
          <w:p>
            <w:pPr>
              <w:pStyle w:val="TableParagraph"/>
              <w:spacing w:before="145"/>
              <w:ind w:left="50"/>
              <w:rPr>
                <w:b/>
                <w:sz w:val="21"/>
              </w:rPr>
            </w:pPr>
            <w:r>
              <w:rPr>
                <w:b/>
                <w:sz w:val="21"/>
              </w:rPr>
              <w:t>9.11</w:t>
            </w:r>
          </w:p>
        </w:tc>
        <w:tc>
          <w:tcPr>
            <w:tcW w:w="1690" w:type="dxa"/>
          </w:tcPr>
          <w:p>
            <w:pPr>
              <w:pStyle w:val="TableParagraph"/>
              <w:spacing w:before="145"/>
              <w:ind w:left="300"/>
              <w:rPr>
                <w:b/>
                <w:sz w:val="21"/>
              </w:rPr>
            </w:pPr>
            <w:r>
              <w:rPr>
                <w:b/>
                <w:w w:val="95"/>
                <w:sz w:val="21"/>
              </w:rPr>
              <w:t>酒后驾驶</w:t>
            </w:r>
          </w:p>
        </w:tc>
        <w:tc>
          <w:tcPr>
            <w:tcW w:w="7716" w:type="dxa"/>
          </w:tcPr>
          <w:p>
            <w:pPr>
              <w:pStyle w:val="TableParagraph"/>
              <w:spacing w:line="261" w:lineRule="auto" w:before="145"/>
              <w:ind w:left="128" w:right="218"/>
              <w:rPr>
                <w:sz w:val="21"/>
              </w:rPr>
            </w:pPr>
            <w:r>
              <w:rPr>
                <w:sz w:val="21"/>
              </w:rPr>
              <w:t>指经检测或鉴定，发生事故时车辆驾驶人员每百毫升血液中的酒精含量达到或超过一定的标准，公安机关交通管理部门依据《道路交通安全法》的规定认定为饮</w:t>
            </w:r>
          </w:p>
        </w:tc>
      </w:tr>
      <w:tr>
        <w:trPr>
          <w:trHeight w:val="472"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酒后驾驶或醉酒后驾驶。</w:t>
            </w:r>
          </w:p>
        </w:tc>
      </w:tr>
      <w:tr>
        <w:trPr>
          <w:trHeight w:val="472" w:hRule="atLeast"/>
        </w:trPr>
        <w:tc>
          <w:tcPr>
            <w:tcW w:w="770" w:type="dxa"/>
          </w:tcPr>
          <w:p>
            <w:pPr>
              <w:pStyle w:val="TableParagraph"/>
              <w:spacing w:before="145"/>
              <w:ind w:left="50"/>
              <w:rPr>
                <w:b/>
                <w:sz w:val="21"/>
              </w:rPr>
            </w:pPr>
            <w:r>
              <w:rPr>
                <w:b/>
                <w:sz w:val="21"/>
              </w:rPr>
              <w:t>9.12</w:t>
            </w:r>
          </w:p>
        </w:tc>
        <w:tc>
          <w:tcPr>
            <w:tcW w:w="1690" w:type="dxa"/>
          </w:tcPr>
          <w:p>
            <w:pPr>
              <w:pStyle w:val="TableParagraph"/>
              <w:spacing w:before="145"/>
              <w:ind w:left="300"/>
              <w:rPr>
                <w:b/>
                <w:sz w:val="21"/>
              </w:rPr>
            </w:pPr>
            <w:r>
              <w:rPr>
                <w:b/>
                <w:w w:val="95"/>
                <w:sz w:val="21"/>
              </w:rPr>
              <w:t>无合法有效驾</w:t>
            </w:r>
          </w:p>
        </w:tc>
        <w:tc>
          <w:tcPr>
            <w:tcW w:w="7716" w:type="dxa"/>
          </w:tcPr>
          <w:p>
            <w:pPr>
              <w:pStyle w:val="TableParagraph"/>
              <w:spacing w:before="145"/>
              <w:ind w:left="128"/>
              <w:rPr>
                <w:sz w:val="21"/>
              </w:rPr>
            </w:pPr>
            <w:r>
              <w:rPr>
                <w:sz w:val="21"/>
              </w:rPr>
              <w:t>指下列情形之一：</w:t>
            </w:r>
          </w:p>
        </w:tc>
      </w:tr>
      <w:tr>
        <w:trPr>
          <w:trHeight w:val="615" w:hRule="atLeast"/>
        </w:trPr>
        <w:tc>
          <w:tcPr>
            <w:tcW w:w="770" w:type="dxa"/>
          </w:tcPr>
          <w:p>
            <w:pPr>
              <w:pStyle w:val="TableParagraph"/>
              <w:rPr>
                <w:rFonts w:ascii="Times New Roman"/>
                <w:sz w:val="20"/>
              </w:rPr>
            </w:pPr>
          </w:p>
        </w:tc>
        <w:tc>
          <w:tcPr>
            <w:tcW w:w="1690" w:type="dxa"/>
          </w:tcPr>
          <w:p>
            <w:pPr>
              <w:pStyle w:val="TableParagraph"/>
              <w:spacing w:line="262" w:lineRule="exact"/>
              <w:ind w:left="300"/>
              <w:rPr>
                <w:b/>
                <w:sz w:val="21"/>
              </w:rPr>
            </w:pPr>
            <w:r>
              <w:rPr>
                <w:b/>
                <w:w w:val="95"/>
                <w:sz w:val="21"/>
              </w:rPr>
              <w:t>驶证驾驶</w:t>
            </w:r>
          </w:p>
        </w:tc>
        <w:tc>
          <w:tcPr>
            <w:tcW w:w="7716" w:type="dxa"/>
          </w:tcPr>
          <w:p>
            <w:pPr>
              <w:pStyle w:val="TableParagraph"/>
              <w:numPr>
                <w:ilvl w:val="0"/>
                <w:numId w:val="83"/>
              </w:numPr>
              <w:tabs>
                <w:tab w:pos="849" w:val="left" w:leader="none"/>
              </w:tabs>
              <w:spacing w:line="262" w:lineRule="exact" w:before="0" w:after="0"/>
              <w:ind w:left="848" w:right="0" w:hanging="720"/>
              <w:jc w:val="left"/>
              <w:rPr>
                <w:sz w:val="21"/>
              </w:rPr>
            </w:pPr>
            <w:r>
              <w:rPr>
                <w:sz w:val="21"/>
              </w:rPr>
              <w:t>未依法取得驾驶证资格；</w:t>
            </w:r>
          </w:p>
          <w:p>
            <w:pPr>
              <w:pStyle w:val="TableParagraph"/>
              <w:numPr>
                <w:ilvl w:val="0"/>
                <w:numId w:val="83"/>
              </w:numPr>
              <w:tabs>
                <w:tab w:pos="849" w:val="left" w:leader="none"/>
              </w:tabs>
              <w:spacing w:line="240" w:lineRule="auto" w:before="25" w:after="0"/>
              <w:ind w:left="848" w:right="0" w:hanging="720"/>
              <w:jc w:val="left"/>
              <w:rPr>
                <w:sz w:val="21"/>
              </w:rPr>
            </w:pPr>
            <w:r>
              <w:rPr>
                <w:sz w:val="21"/>
              </w:rPr>
              <w:t>驾驶证被依法扣留期间驾驶；</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（3） 驾驶与驾驶证准驾车型不相符合的车辆；</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（4） 持未经审验或者超过有效期限的驾驶证驾驶；</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（5） 持学习驾驶证学习驾车时，无教练员随车指导，或不按指定时间、路线学</w:t>
            </w:r>
          </w:p>
        </w:tc>
      </w:tr>
      <w:tr>
        <w:trPr>
          <w:trHeight w:val="773"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2" w:lineRule="exact"/>
              <w:ind w:left="848"/>
              <w:rPr>
                <w:sz w:val="21"/>
              </w:rPr>
            </w:pPr>
            <w:r>
              <w:rPr>
                <w:sz w:val="21"/>
              </w:rPr>
              <w:t>习驾车；</w:t>
            </w:r>
          </w:p>
          <w:p>
            <w:pPr>
              <w:pStyle w:val="TableParagraph"/>
              <w:spacing w:before="25"/>
              <w:ind w:left="128"/>
              <w:rPr>
                <w:sz w:val="21"/>
              </w:rPr>
            </w:pPr>
            <w:r>
              <w:rPr>
                <w:sz w:val="21"/>
              </w:rPr>
              <w:t>（6） 公安交通管理部门认定的其他无有效驾驶证驾驶的情况。</w:t>
            </w:r>
          </w:p>
        </w:tc>
      </w:tr>
      <w:tr>
        <w:trPr>
          <w:trHeight w:val="472" w:hRule="atLeast"/>
        </w:trPr>
        <w:tc>
          <w:tcPr>
            <w:tcW w:w="770" w:type="dxa"/>
          </w:tcPr>
          <w:p>
            <w:pPr>
              <w:pStyle w:val="TableParagraph"/>
              <w:spacing w:before="145"/>
              <w:ind w:left="50"/>
              <w:rPr>
                <w:b/>
                <w:sz w:val="21"/>
              </w:rPr>
            </w:pPr>
            <w:r>
              <w:rPr>
                <w:b/>
                <w:sz w:val="21"/>
              </w:rPr>
              <w:t>9.13</w:t>
            </w:r>
          </w:p>
        </w:tc>
        <w:tc>
          <w:tcPr>
            <w:tcW w:w="1690" w:type="dxa"/>
          </w:tcPr>
          <w:p>
            <w:pPr>
              <w:pStyle w:val="TableParagraph"/>
              <w:spacing w:before="145"/>
              <w:ind w:left="300"/>
              <w:rPr>
                <w:b/>
                <w:sz w:val="21"/>
              </w:rPr>
            </w:pPr>
            <w:r>
              <w:rPr>
                <w:b/>
                <w:w w:val="95"/>
                <w:sz w:val="21"/>
              </w:rPr>
              <w:t>机动车</w:t>
            </w:r>
          </w:p>
        </w:tc>
        <w:tc>
          <w:tcPr>
            <w:tcW w:w="7716" w:type="dxa"/>
          </w:tcPr>
          <w:p>
            <w:pPr>
              <w:pStyle w:val="TableParagraph"/>
              <w:spacing w:before="145"/>
              <w:ind w:left="128"/>
              <w:rPr>
                <w:sz w:val="21"/>
              </w:rPr>
            </w:pPr>
            <w:r>
              <w:rPr>
                <w:sz w:val="21"/>
              </w:rPr>
              <w:t>指以动力装置驱动或者牵引，上道路行驶的供人员乘用或者用于运送物品以及进</w:t>
            </w:r>
          </w:p>
        </w:tc>
      </w:tr>
      <w:tr>
        <w:trPr>
          <w:trHeight w:val="46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行工程专项作业的轮式车辆，以交通管理部门认定为准。</w:t>
            </w:r>
          </w:p>
        </w:tc>
      </w:tr>
      <w:tr>
        <w:trPr>
          <w:trHeight w:val="465" w:hRule="atLeast"/>
        </w:trPr>
        <w:tc>
          <w:tcPr>
            <w:tcW w:w="770" w:type="dxa"/>
          </w:tcPr>
          <w:p>
            <w:pPr>
              <w:pStyle w:val="TableParagraph"/>
              <w:spacing w:before="138"/>
              <w:ind w:left="50"/>
              <w:rPr>
                <w:b/>
                <w:sz w:val="21"/>
              </w:rPr>
            </w:pPr>
            <w:r>
              <w:rPr>
                <w:b/>
                <w:sz w:val="21"/>
              </w:rPr>
              <w:t>9.14</w:t>
            </w:r>
          </w:p>
        </w:tc>
        <w:tc>
          <w:tcPr>
            <w:tcW w:w="1690" w:type="dxa"/>
          </w:tcPr>
          <w:p>
            <w:pPr>
              <w:pStyle w:val="TableParagraph"/>
              <w:spacing w:before="138"/>
              <w:ind w:left="300"/>
              <w:rPr>
                <w:b/>
                <w:sz w:val="21"/>
              </w:rPr>
            </w:pPr>
            <w:r>
              <w:rPr>
                <w:b/>
                <w:w w:val="95"/>
                <w:sz w:val="21"/>
              </w:rPr>
              <w:t>无有效行驶证</w:t>
            </w:r>
          </w:p>
        </w:tc>
        <w:tc>
          <w:tcPr>
            <w:tcW w:w="7716" w:type="dxa"/>
          </w:tcPr>
          <w:p>
            <w:pPr>
              <w:pStyle w:val="TableParagraph"/>
              <w:spacing w:before="138"/>
              <w:ind w:left="128"/>
              <w:rPr>
                <w:sz w:val="21"/>
              </w:rPr>
            </w:pPr>
            <w:r>
              <w:rPr>
                <w:sz w:val="21"/>
              </w:rPr>
              <w:t>指下列情形之一：</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（1） 机动车被依法注销登记的；</w:t>
            </w:r>
          </w:p>
        </w:tc>
      </w:tr>
      <w:tr>
        <w:trPr>
          <w:trHeight w:val="473"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（2） 未依法按时进行或通过机动车安全技术检验。</w:t>
            </w:r>
          </w:p>
        </w:tc>
      </w:tr>
      <w:tr>
        <w:trPr>
          <w:trHeight w:val="930" w:hRule="atLeast"/>
        </w:trPr>
        <w:tc>
          <w:tcPr>
            <w:tcW w:w="770" w:type="dxa"/>
          </w:tcPr>
          <w:p>
            <w:pPr>
              <w:pStyle w:val="TableParagraph"/>
              <w:spacing w:before="145"/>
              <w:ind w:left="50"/>
              <w:rPr>
                <w:b/>
                <w:sz w:val="21"/>
              </w:rPr>
            </w:pPr>
            <w:r>
              <w:rPr>
                <w:b/>
                <w:sz w:val="21"/>
              </w:rPr>
              <w:t>9.15</w:t>
            </w:r>
          </w:p>
        </w:tc>
        <w:tc>
          <w:tcPr>
            <w:tcW w:w="1690" w:type="dxa"/>
          </w:tcPr>
          <w:p>
            <w:pPr>
              <w:pStyle w:val="TableParagraph"/>
              <w:spacing w:before="145"/>
              <w:ind w:left="300"/>
              <w:rPr>
                <w:b/>
                <w:sz w:val="21"/>
              </w:rPr>
            </w:pPr>
            <w:r>
              <w:rPr>
                <w:b/>
                <w:w w:val="95"/>
                <w:sz w:val="21"/>
              </w:rPr>
              <w:t>遗传性疾病</w:t>
            </w:r>
          </w:p>
        </w:tc>
        <w:tc>
          <w:tcPr>
            <w:tcW w:w="7716" w:type="dxa"/>
          </w:tcPr>
          <w:p>
            <w:pPr>
              <w:pStyle w:val="TableParagraph"/>
              <w:spacing w:line="261" w:lineRule="auto" w:before="145"/>
              <w:ind w:left="128" w:right="13"/>
              <w:rPr>
                <w:sz w:val="21"/>
              </w:rPr>
            </w:pPr>
            <w:r>
              <w:rPr>
                <w:sz w:val="21"/>
              </w:rPr>
              <w:t>指生殖细胞或受精卵的遗传物质（染色体和基因）发生突变或畸变所引起的疾病， 通常具有由亲代传至后代的垂直传递的特征。</w:t>
            </w:r>
          </w:p>
        </w:tc>
      </w:tr>
      <w:tr>
        <w:trPr>
          <w:trHeight w:val="472" w:hRule="atLeast"/>
        </w:trPr>
        <w:tc>
          <w:tcPr>
            <w:tcW w:w="770" w:type="dxa"/>
          </w:tcPr>
          <w:p>
            <w:pPr>
              <w:pStyle w:val="TableParagraph"/>
              <w:spacing w:before="145"/>
              <w:ind w:left="50"/>
              <w:rPr>
                <w:b/>
                <w:sz w:val="21"/>
              </w:rPr>
            </w:pPr>
            <w:r>
              <w:rPr>
                <w:b/>
                <w:sz w:val="21"/>
              </w:rPr>
              <w:t>9.16</w:t>
            </w:r>
          </w:p>
        </w:tc>
        <w:tc>
          <w:tcPr>
            <w:tcW w:w="1690" w:type="dxa"/>
          </w:tcPr>
          <w:p>
            <w:pPr>
              <w:pStyle w:val="TableParagraph"/>
              <w:spacing w:before="145"/>
              <w:ind w:left="300"/>
              <w:rPr>
                <w:b/>
                <w:sz w:val="21"/>
              </w:rPr>
            </w:pPr>
            <w:r>
              <w:rPr>
                <w:b/>
                <w:w w:val="95"/>
                <w:sz w:val="21"/>
              </w:rPr>
              <w:t>先天性畸形、</w:t>
            </w:r>
          </w:p>
        </w:tc>
        <w:tc>
          <w:tcPr>
            <w:tcW w:w="7716" w:type="dxa"/>
          </w:tcPr>
          <w:p>
            <w:pPr>
              <w:pStyle w:val="TableParagraph"/>
              <w:spacing w:before="145"/>
              <w:ind w:left="128"/>
              <w:rPr>
                <w:sz w:val="21"/>
              </w:rPr>
            </w:pPr>
            <w:r>
              <w:rPr>
                <w:sz w:val="21"/>
              </w:rPr>
              <w:t>指被保险人出生时就具有的畸形、变形或染色体异常。先天性畸形、变形和染色</w:t>
            </w:r>
          </w:p>
        </w:tc>
      </w:tr>
      <w:tr>
        <w:trPr>
          <w:trHeight w:val="315" w:hRule="atLeast"/>
        </w:trPr>
        <w:tc>
          <w:tcPr>
            <w:tcW w:w="770" w:type="dxa"/>
          </w:tcPr>
          <w:p>
            <w:pPr>
              <w:pStyle w:val="TableParagraph"/>
              <w:rPr>
                <w:rFonts w:ascii="Times New Roman"/>
                <w:sz w:val="20"/>
              </w:rPr>
            </w:pPr>
          </w:p>
        </w:tc>
        <w:tc>
          <w:tcPr>
            <w:tcW w:w="1690" w:type="dxa"/>
          </w:tcPr>
          <w:p>
            <w:pPr>
              <w:pStyle w:val="TableParagraph"/>
              <w:spacing w:line="263" w:lineRule="exact"/>
              <w:ind w:left="300"/>
              <w:rPr>
                <w:b/>
                <w:sz w:val="21"/>
              </w:rPr>
            </w:pPr>
            <w:r>
              <w:rPr>
                <w:b/>
                <w:w w:val="95"/>
                <w:sz w:val="21"/>
              </w:rPr>
              <w:t>变形或染色体</w:t>
            </w:r>
          </w:p>
        </w:tc>
        <w:tc>
          <w:tcPr>
            <w:tcW w:w="7716" w:type="dxa"/>
          </w:tcPr>
          <w:p>
            <w:pPr>
              <w:pStyle w:val="TableParagraph"/>
              <w:spacing w:line="263" w:lineRule="exact"/>
              <w:ind w:left="128"/>
              <w:rPr>
                <w:sz w:val="21"/>
              </w:rPr>
            </w:pPr>
            <w:r>
              <w:rPr>
                <w:spacing w:val="-5"/>
                <w:sz w:val="21"/>
              </w:rPr>
              <w:t>体异常依照世界卫生组织《疾病和有关健康问题的国际统计分类</w:t>
            </w:r>
            <w:r>
              <w:rPr>
                <w:spacing w:val="-151"/>
                <w:sz w:val="21"/>
              </w:rPr>
              <w:t>》</w:t>
            </w:r>
            <w:r>
              <w:rPr>
                <w:spacing w:val="-7"/>
                <w:sz w:val="21"/>
              </w:rPr>
              <w:t>（ICD-10）</w:t>
            </w:r>
            <w:r>
              <w:rPr>
                <w:sz w:val="21"/>
              </w:rPr>
              <w:t>确定。</w:t>
            </w:r>
          </w:p>
        </w:tc>
      </w:tr>
      <w:tr>
        <w:trPr>
          <w:trHeight w:val="465" w:hRule="atLeast"/>
        </w:trPr>
        <w:tc>
          <w:tcPr>
            <w:tcW w:w="770" w:type="dxa"/>
          </w:tcPr>
          <w:p>
            <w:pPr>
              <w:pStyle w:val="TableParagraph"/>
              <w:rPr>
                <w:rFonts w:ascii="Times New Roman"/>
                <w:sz w:val="20"/>
              </w:rPr>
            </w:pPr>
          </w:p>
        </w:tc>
        <w:tc>
          <w:tcPr>
            <w:tcW w:w="1690" w:type="dxa"/>
          </w:tcPr>
          <w:p>
            <w:pPr>
              <w:pStyle w:val="TableParagraph"/>
              <w:spacing w:line="263" w:lineRule="exact"/>
              <w:ind w:left="300"/>
              <w:rPr>
                <w:b/>
                <w:sz w:val="21"/>
              </w:rPr>
            </w:pPr>
            <w:r>
              <w:rPr>
                <w:b/>
                <w:w w:val="95"/>
                <w:sz w:val="21"/>
              </w:rPr>
              <w:t>异常</w:t>
            </w:r>
          </w:p>
        </w:tc>
        <w:tc>
          <w:tcPr>
            <w:tcW w:w="7716" w:type="dxa"/>
          </w:tcPr>
          <w:p>
            <w:pPr>
              <w:pStyle w:val="TableParagraph"/>
              <w:rPr>
                <w:rFonts w:ascii="Times New Roman"/>
                <w:sz w:val="20"/>
              </w:rPr>
            </w:pPr>
          </w:p>
        </w:tc>
      </w:tr>
      <w:tr>
        <w:trPr>
          <w:trHeight w:val="465" w:hRule="atLeast"/>
        </w:trPr>
        <w:tc>
          <w:tcPr>
            <w:tcW w:w="770" w:type="dxa"/>
          </w:tcPr>
          <w:p>
            <w:pPr>
              <w:pStyle w:val="TableParagraph"/>
              <w:spacing w:before="138"/>
              <w:ind w:left="50"/>
              <w:rPr>
                <w:b/>
                <w:sz w:val="21"/>
              </w:rPr>
            </w:pPr>
            <w:r>
              <w:rPr>
                <w:b/>
                <w:sz w:val="21"/>
              </w:rPr>
              <w:t>9.17</w:t>
            </w:r>
          </w:p>
        </w:tc>
        <w:tc>
          <w:tcPr>
            <w:tcW w:w="1690" w:type="dxa"/>
          </w:tcPr>
          <w:p>
            <w:pPr>
              <w:pStyle w:val="TableParagraph"/>
              <w:spacing w:before="138"/>
              <w:ind w:left="300"/>
              <w:rPr>
                <w:b/>
                <w:sz w:val="21"/>
              </w:rPr>
            </w:pPr>
            <w:r>
              <w:rPr>
                <w:b/>
                <w:w w:val="95"/>
                <w:sz w:val="21"/>
              </w:rPr>
              <w:t>医院</w:t>
            </w:r>
          </w:p>
        </w:tc>
        <w:tc>
          <w:tcPr>
            <w:tcW w:w="7716" w:type="dxa"/>
          </w:tcPr>
          <w:p>
            <w:pPr>
              <w:pStyle w:val="TableParagraph"/>
              <w:spacing w:before="138"/>
              <w:ind w:left="128"/>
              <w:rPr>
                <w:sz w:val="21"/>
              </w:rPr>
            </w:pPr>
            <w:r>
              <w:rPr>
                <w:sz w:val="21"/>
              </w:rPr>
              <w:t>指国家卫生行政部门的医院等级分类中的二级或二级以上的医院，但不包括主要</w:t>
            </w:r>
          </w:p>
        </w:tc>
      </w:tr>
      <w:tr>
        <w:trPr>
          <w:trHeight w:val="472"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716" w:type="dxa"/>
          </w:tcPr>
          <w:p>
            <w:pPr>
              <w:pStyle w:val="TableParagraph"/>
              <w:spacing w:line="263" w:lineRule="exact"/>
              <w:ind w:left="128"/>
              <w:rPr>
                <w:sz w:val="21"/>
              </w:rPr>
            </w:pPr>
            <w:r>
              <w:rPr>
                <w:sz w:val="21"/>
              </w:rPr>
              <w:t>为康复、护理、疗养、戒酒、戒毒或相类似的医疗机构。</w:t>
            </w:r>
          </w:p>
        </w:tc>
      </w:tr>
      <w:tr>
        <w:trPr>
          <w:trHeight w:val="720" w:hRule="atLeast"/>
        </w:trPr>
        <w:tc>
          <w:tcPr>
            <w:tcW w:w="770" w:type="dxa"/>
          </w:tcPr>
          <w:p>
            <w:pPr>
              <w:pStyle w:val="TableParagraph"/>
              <w:spacing w:before="145"/>
              <w:ind w:left="50"/>
              <w:rPr>
                <w:b/>
                <w:sz w:val="21"/>
              </w:rPr>
            </w:pPr>
            <w:r>
              <w:rPr>
                <w:b/>
                <w:sz w:val="21"/>
              </w:rPr>
              <w:t>9.18</w:t>
            </w:r>
          </w:p>
        </w:tc>
        <w:tc>
          <w:tcPr>
            <w:tcW w:w="1690" w:type="dxa"/>
          </w:tcPr>
          <w:p>
            <w:pPr>
              <w:pStyle w:val="TableParagraph"/>
              <w:spacing w:line="300" w:lineRule="atLeast" w:before="120"/>
              <w:ind w:left="300" w:right="124"/>
              <w:rPr>
                <w:b/>
                <w:sz w:val="21"/>
              </w:rPr>
            </w:pPr>
            <w:r>
              <w:rPr>
                <w:b/>
                <w:w w:val="95"/>
                <w:sz w:val="21"/>
              </w:rPr>
              <w:t>肢体机能完全丧失</w:t>
            </w:r>
          </w:p>
        </w:tc>
        <w:tc>
          <w:tcPr>
            <w:tcW w:w="7716" w:type="dxa"/>
          </w:tcPr>
          <w:p>
            <w:pPr>
              <w:pStyle w:val="TableParagraph"/>
              <w:spacing w:line="300" w:lineRule="atLeast" w:before="120"/>
              <w:ind w:left="128" w:right="225"/>
              <w:rPr>
                <w:sz w:val="21"/>
              </w:rPr>
            </w:pPr>
            <w:r>
              <w:rPr>
                <w:sz w:val="21"/>
              </w:rPr>
              <w:t>指肢体的三大关节中的两大关节僵硬，或不能随意识活动。肢体是指包括肩关节的整个上肢或包括髋关节的整个下肢。</w:t>
            </w:r>
          </w:p>
        </w:tc>
      </w:tr>
    </w:tbl>
    <w:p>
      <w:pPr>
        <w:spacing w:after="0" w:line="300" w:lineRule="atLeast"/>
        <w:rPr>
          <w:sz w:val="21"/>
        </w:rPr>
        <w:sectPr>
          <w:pgSz w:w="11910" w:h="16850"/>
          <w:pgMar w:header="0" w:footer="944" w:top="1280" w:bottom="1180" w:left="94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690"/>
        <w:gridCol w:w="7553"/>
      </w:tblGrid>
      <w:tr>
        <w:trPr>
          <w:trHeight w:val="262" w:hRule="atLeast"/>
        </w:trPr>
        <w:tc>
          <w:tcPr>
            <w:tcW w:w="770" w:type="dxa"/>
          </w:tcPr>
          <w:p>
            <w:pPr>
              <w:pStyle w:val="TableParagraph"/>
              <w:spacing w:line="210" w:lineRule="exact"/>
              <w:ind w:left="50"/>
              <w:rPr>
                <w:b/>
                <w:sz w:val="21"/>
              </w:rPr>
            </w:pPr>
            <w:r>
              <w:rPr>
                <w:b/>
                <w:sz w:val="21"/>
              </w:rPr>
              <w:t>9.19</w:t>
            </w:r>
          </w:p>
        </w:tc>
        <w:tc>
          <w:tcPr>
            <w:tcW w:w="1690" w:type="dxa"/>
          </w:tcPr>
          <w:p>
            <w:pPr>
              <w:pStyle w:val="TableParagraph"/>
              <w:spacing w:line="210" w:lineRule="exact"/>
              <w:ind w:left="300"/>
              <w:rPr>
                <w:b/>
                <w:sz w:val="21"/>
              </w:rPr>
            </w:pPr>
            <w:r>
              <w:rPr>
                <w:b/>
                <w:w w:val="95"/>
                <w:sz w:val="21"/>
              </w:rPr>
              <w:t>语言能力或咀</w:t>
            </w:r>
          </w:p>
        </w:tc>
        <w:tc>
          <w:tcPr>
            <w:tcW w:w="7553" w:type="dxa"/>
          </w:tcPr>
          <w:p>
            <w:pPr>
              <w:pStyle w:val="TableParagraph"/>
              <w:spacing w:line="210" w:lineRule="exact"/>
              <w:ind w:left="128"/>
              <w:rPr>
                <w:sz w:val="21"/>
              </w:rPr>
            </w:pPr>
            <w:r>
              <w:rPr>
                <w:sz w:val="21"/>
              </w:rPr>
              <w:t>语言能力完全丧失，指无法发出四种语音（包括口唇音、齿舌音、口盖音和喉头</w:t>
            </w:r>
          </w:p>
        </w:tc>
      </w:tr>
      <w:tr>
        <w:trPr>
          <w:trHeight w:val="315" w:hRule="atLeast"/>
        </w:trPr>
        <w:tc>
          <w:tcPr>
            <w:tcW w:w="770" w:type="dxa"/>
          </w:tcPr>
          <w:p>
            <w:pPr>
              <w:pStyle w:val="TableParagraph"/>
              <w:rPr>
                <w:rFonts w:ascii="Times New Roman"/>
                <w:sz w:val="20"/>
              </w:rPr>
            </w:pPr>
          </w:p>
        </w:tc>
        <w:tc>
          <w:tcPr>
            <w:tcW w:w="1690" w:type="dxa"/>
          </w:tcPr>
          <w:p>
            <w:pPr>
              <w:pStyle w:val="TableParagraph"/>
              <w:spacing w:line="263" w:lineRule="exact"/>
              <w:ind w:left="300"/>
              <w:rPr>
                <w:b/>
                <w:sz w:val="21"/>
              </w:rPr>
            </w:pPr>
            <w:r>
              <w:rPr>
                <w:b/>
                <w:w w:val="95"/>
                <w:sz w:val="21"/>
              </w:rPr>
              <w:t>嚼吞咽能力完</w:t>
            </w:r>
          </w:p>
        </w:tc>
        <w:tc>
          <w:tcPr>
            <w:tcW w:w="7553" w:type="dxa"/>
          </w:tcPr>
          <w:p>
            <w:pPr>
              <w:pStyle w:val="TableParagraph"/>
              <w:spacing w:line="263" w:lineRule="exact"/>
              <w:ind w:left="128"/>
              <w:rPr>
                <w:sz w:val="21"/>
              </w:rPr>
            </w:pPr>
            <w:r>
              <w:rPr>
                <w:sz w:val="21"/>
              </w:rPr>
              <w:t>音）中的任何三种、或声带全部切除，或因大脑语言中枢受伤害而患失语症。</w:t>
            </w:r>
          </w:p>
        </w:tc>
      </w:tr>
      <w:tr>
        <w:trPr>
          <w:trHeight w:val="315" w:hRule="atLeast"/>
        </w:trPr>
        <w:tc>
          <w:tcPr>
            <w:tcW w:w="770" w:type="dxa"/>
          </w:tcPr>
          <w:p>
            <w:pPr>
              <w:pStyle w:val="TableParagraph"/>
              <w:rPr>
                <w:rFonts w:ascii="Times New Roman"/>
                <w:sz w:val="20"/>
              </w:rPr>
            </w:pPr>
          </w:p>
        </w:tc>
        <w:tc>
          <w:tcPr>
            <w:tcW w:w="1690" w:type="dxa"/>
          </w:tcPr>
          <w:p>
            <w:pPr>
              <w:pStyle w:val="TableParagraph"/>
              <w:spacing w:line="263" w:lineRule="exact"/>
              <w:ind w:left="300"/>
              <w:rPr>
                <w:b/>
                <w:sz w:val="21"/>
              </w:rPr>
            </w:pPr>
            <w:r>
              <w:rPr>
                <w:b/>
                <w:w w:val="95"/>
                <w:sz w:val="21"/>
              </w:rPr>
              <w:t>全丧失</w:t>
            </w:r>
          </w:p>
        </w:tc>
        <w:tc>
          <w:tcPr>
            <w:tcW w:w="7553" w:type="dxa"/>
          </w:tcPr>
          <w:p>
            <w:pPr>
              <w:pStyle w:val="TableParagraph"/>
              <w:spacing w:line="263" w:lineRule="exact"/>
              <w:ind w:left="128"/>
              <w:rPr>
                <w:sz w:val="21"/>
              </w:rPr>
            </w:pPr>
            <w:r>
              <w:rPr>
                <w:sz w:val="21"/>
              </w:rPr>
              <w:t>咀嚼吞咽能力完全丧失，指因牙齿以外的原因导致器质障碍或机能障碍，以致不</w:t>
            </w:r>
          </w:p>
        </w:tc>
      </w:tr>
      <w:tr>
        <w:trPr>
          <w:trHeight w:val="46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553" w:type="dxa"/>
          </w:tcPr>
          <w:p>
            <w:pPr>
              <w:pStyle w:val="TableParagraph"/>
              <w:spacing w:line="262" w:lineRule="exact"/>
              <w:ind w:left="128"/>
              <w:rPr>
                <w:sz w:val="21"/>
              </w:rPr>
            </w:pPr>
            <w:r>
              <w:rPr>
                <w:sz w:val="21"/>
              </w:rPr>
              <w:t>能作咀嚼吞咽运动，除流质食物外不能摄取或吞咽的状态。</w:t>
            </w:r>
          </w:p>
        </w:tc>
      </w:tr>
      <w:tr>
        <w:trPr>
          <w:trHeight w:val="465" w:hRule="atLeast"/>
        </w:trPr>
        <w:tc>
          <w:tcPr>
            <w:tcW w:w="770" w:type="dxa"/>
          </w:tcPr>
          <w:p>
            <w:pPr>
              <w:pStyle w:val="TableParagraph"/>
              <w:spacing w:before="138"/>
              <w:ind w:left="50"/>
              <w:rPr>
                <w:b/>
                <w:sz w:val="21"/>
              </w:rPr>
            </w:pPr>
            <w:r>
              <w:rPr>
                <w:b/>
                <w:sz w:val="21"/>
              </w:rPr>
              <w:t>9.20</w:t>
            </w:r>
          </w:p>
        </w:tc>
        <w:tc>
          <w:tcPr>
            <w:tcW w:w="1690" w:type="dxa"/>
          </w:tcPr>
          <w:p>
            <w:pPr>
              <w:pStyle w:val="TableParagraph"/>
              <w:spacing w:before="138"/>
              <w:ind w:left="300"/>
              <w:rPr>
                <w:b/>
                <w:sz w:val="21"/>
              </w:rPr>
            </w:pPr>
            <w:r>
              <w:rPr>
                <w:b/>
                <w:w w:val="95"/>
                <w:sz w:val="21"/>
              </w:rPr>
              <w:t>六项基本日常</w:t>
            </w:r>
          </w:p>
        </w:tc>
        <w:tc>
          <w:tcPr>
            <w:tcW w:w="7553" w:type="dxa"/>
          </w:tcPr>
          <w:p>
            <w:pPr>
              <w:pStyle w:val="TableParagraph"/>
              <w:spacing w:before="138"/>
              <w:ind w:left="128"/>
              <w:rPr>
                <w:sz w:val="21"/>
              </w:rPr>
            </w:pPr>
            <w:r>
              <w:rPr>
                <w:sz w:val="21"/>
              </w:rPr>
              <w:t>六项基本日常生活活动是指：</w:t>
            </w:r>
          </w:p>
        </w:tc>
      </w:tr>
      <w:tr>
        <w:trPr>
          <w:trHeight w:val="315" w:hRule="atLeast"/>
        </w:trPr>
        <w:tc>
          <w:tcPr>
            <w:tcW w:w="770" w:type="dxa"/>
          </w:tcPr>
          <w:p>
            <w:pPr>
              <w:pStyle w:val="TableParagraph"/>
              <w:rPr>
                <w:rFonts w:ascii="Times New Roman"/>
                <w:sz w:val="20"/>
              </w:rPr>
            </w:pPr>
          </w:p>
        </w:tc>
        <w:tc>
          <w:tcPr>
            <w:tcW w:w="1690" w:type="dxa"/>
          </w:tcPr>
          <w:p>
            <w:pPr>
              <w:pStyle w:val="TableParagraph"/>
              <w:spacing w:line="263" w:lineRule="exact"/>
              <w:ind w:left="300"/>
              <w:rPr>
                <w:b/>
                <w:sz w:val="21"/>
              </w:rPr>
            </w:pPr>
            <w:r>
              <w:rPr>
                <w:b/>
                <w:w w:val="95"/>
                <w:sz w:val="21"/>
              </w:rPr>
              <w:t>生活活动</w:t>
            </w:r>
          </w:p>
        </w:tc>
        <w:tc>
          <w:tcPr>
            <w:tcW w:w="7553" w:type="dxa"/>
          </w:tcPr>
          <w:p>
            <w:pPr>
              <w:pStyle w:val="TableParagraph"/>
              <w:spacing w:line="263" w:lineRule="exact"/>
              <w:ind w:left="128"/>
              <w:rPr>
                <w:sz w:val="21"/>
              </w:rPr>
            </w:pPr>
            <w:r>
              <w:rPr>
                <w:sz w:val="21"/>
              </w:rPr>
              <w:t>（1） 穿衣：自己能够穿衣及脱衣；</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553" w:type="dxa"/>
          </w:tcPr>
          <w:p>
            <w:pPr>
              <w:pStyle w:val="TableParagraph"/>
              <w:spacing w:line="263" w:lineRule="exact"/>
              <w:ind w:left="128"/>
              <w:rPr>
                <w:sz w:val="21"/>
              </w:rPr>
            </w:pPr>
            <w:r>
              <w:rPr>
                <w:sz w:val="21"/>
              </w:rPr>
              <w:t>（2） 移动：自己从一个房间到另一个房间；</w:t>
            </w:r>
          </w:p>
        </w:tc>
      </w:tr>
      <w:tr>
        <w:trPr>
          <w:trHeight w:val="6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553" w:type="dxa"/>
          </w:tcPr>
          <w:p>
            <w:pPr>
              <w:pStyle w:val="TableParagraph"/>
              <w:numPr>
                <w:ilvl w:val="0"/>
                <w:numId w:val="84"/>
              </w:numPr>
              <w:tabs>
                <w:tab w:pos="759" w:val="left" w:leader="none"/>
              </w:tabs>
              <w:spacing w:line="263" w:lineRule="exact" w:before="0" w:after="0"/>
              <w:ind w:left="758" w:right="0" w:hanging="630"/>
              <w:jc w:val="left"/>
              <w:rPr>
                <w:sz w:val="21"/>
              </w:rPr>
            </w:pPr>
            <w:r>
              <w:rPr>
                <w:sz w:val="21"/>
              </w:rPr>
              <w:t>行动：自己上下床或上下轮椅；</w:t>
            </w:r>
          </w:p>
          <w:p>
            <w:pPr>
              <w:pStyle w:val="TableParagraph"/>
              <w:numPr>
                <w:ilvl w:val="0"/>
                <w:numId w:val="84"/>
              </w:numPr>
              <w:tabs>
                <w:tab w:pos="759" w:val="left" w:leader="none"/>
              </w:tabs>
              <w:spacing w:line="240" w:lineRule="auto" w:before="25" w:after="0"/>
              <w:ind w:left="758" w:right="0" w:hanging="630"/>
              <w:jc w:val="left"/>
              <w:rPr>
                <w:sz w:val="21"/>
              </w:rPr>
            </w:pPr>
            <w:r>
              <w:rPr>
                <w:sz w:val="21"/>
              </w:rPr>
              <w:t>如厕：自己控制进行大小便；</w:t>
            </w:r>
          </w:p>
        </w:tc>
      </w:tr>
      <w:tr>
        <w:trPr>
          <w:trHeight w:val="315"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553" w:type="dxa"/>
          </w:tcPr>
          <w:p>
            <w:pPr>
              <w:pStyle w:val="TableParagraph"/>
              <w:spacing w:line="263" w:lineRule="exact"/>
              <w:ind w:left="128"/>
              <w:rPr>
                <w:sz w:val="21"/>
              </w:rPr>
            </w:pPr>
            <w:r>
              <w:rPr>
                <w:sz w:val="21"/>
              </w:rPr>
              <w:t>（5） 进食：自己从已准备好的碗或碟中取食物放入口中；</w:t>
            </w:r>
          </w:p>
        </w:tc>
      </w:tr>
      <w:tr>
        <w:trPr>
          <w:trHeight w:val="472" w:hRule="atLeast"/>
        </w:trPr>
        <w:tc>
          <w:tcPr>
            <w:tcW w:w="770" w:type="dxa"/>
          </w:tcPr>
          <w:p>
            <w:pPr>
              <w:pStyle w:val="TableParagraph"/>
              <w:rPr>
                <w:rFonts w:ascii="Times New Roman"/>
                <w:sz w:val="20"/>
              </w:rPr>
            </w:pPr>
          </w:p>
        </w:tc>
        <w:tc>
          <w:tcPr>
            <w:tcW w:w="1690" w:type="dxa"/>
          </w:tcPr>
          <w:p>
            <w:pPr>
              <w:pStyle w:val="TableParagraph"/>
              <w:rPr>
                <w:rFonts w:ascii="Times New Roman"/>
                <w:sz w:val="20"/>
              </w:rPr>
            </w:pPr>
          </w:p>
        </w:tc>
        <w:tc>
          <w:tcPr>
            <w:tcW w:w="7553" w:type="dxa"/>
          </w:tcPr>
          <w:p>
            <w:pPr>
              <w:pStyle w:val="TableParagraph"/>
              <w:spacing w:line="263" w:lineRule="exact"/>
              <w:ind w:left="128"/>
              <w:rPr>
                <w:sz w:val="21"/>
              </w:rPr>
            </w:pPr>
            <w:r>
              <w:rPr>
                <w:sz w:val="21"/>
              </w:rPr>
              <w:t>（6） 洗澡：自己进行淋浴或盆浴。</w:t>
            </w:r>
          </w:p>
        </w:tc>
      </w:tr>
      <w:tr>
        <w:trPr>
          <w:trHeight w:val="720" w:hRule="atLeast"/>
        </w:trPr>
        <w:tc>
          <w:tcPr>
            <w:tcW w:w="770" w:type="dxa"/>
          </w:tcPr>
          <w:p>
            <w:pPr>
              <w:pStyle w:val="TableParagraph"/>
              <w:spacing w:before="145"/>
              <w:ind w:left="50"/>
              <w:rPr>
                <w:b/>
                <w:sz w:val="21"/>
              </w:rPr>
            </w:pPr>
            <w:r>
              <w:rPr>
                <w:b/>
                <w:sz w:val="21"/>
              </w:rPr>
              <w:t>9.21</w:t>
            </w:r>
          </w:p>
        </w:tc>
        <w:tc>
          <w:tcPr>
            <w:tcW w:w="1690" w:type="dxa"/>
          </w:tcPr>
          <w:p>
            <w:pPr>
              <w:pStyle w:val="TableParagraph"/>
              <w:spacing w:before="145"/>
              <w:ind w:left="300"/>
              <w:rPr>
                <w:b/>
                <w:sz w:val="21"/>
              </w:rPr>
            </w:pPr>
            <w:r>
              <w:rPr>
                <w:b/>
                <w:w w:val="95"/>
                <w:sz w:val="21"/>
              </w:rPr>
              <w:t>永久不可逆</w:t>
            </w:r>
          </w:p>
        </w:tc>
        <w:tc>
          <w:tcPr>
            <w:tcW w:w="7553" w:type="dxa"/>
          </w:tcPr>
          <w:p>
            <w:pPr>
              <w:pStyle w:val="TableParagraph"/>
              <w:spacing w:line="300" w:lineRule="atLeast" w:before="120"/>
              <w:ind w:left="128" w:right="46"/>
              <w:rPr>
                <w:sz w:val="21"/>
              </w:rPr>
            </w:pPr>
            <w:r>
              <w:rPr>
                <w:spacing w:val="-3"/>
                <w:sz w:val="21"/>
              </w:rPr>
              <w:t>指自疾病确诊或意外伤害发生之日起，经过积极治疗 </w:t>
            </w:r>
            <w:r>
              <w:rPr>
                <w:sz w:val="21"/>
              </w:rPr>
              <w:t>180</w:t>
            </w:r>
            <w:r>
              <w:rPr>
                <w:spacing w:val="-7"/>
                <w:sz w:val="21"/>
              </w:rPr>
              <w:t> 天后，仍无法通过现有医疗手段恢复。</w:t>
            </w:r>
          </w:p>
        </w:tc>
      </w:tr>
    </w:tbl>
    <w:sectPr>
      <w:pgSz w:w="11910" w:h="16850"/>
      <w:pgMar w:header="0" w:footer="944" w:top="1280" w:bottom="1180" w:left="9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楷体">
    <w:altName w:val="楷体"/>
    <w:charset w:val="86"/>
    <w:family w:val="modern"/>
    <w:pitch w:val="fixed"/>
  </w:font>
  <w:font w:name="Arial">
    <w:altName w:val="Arial"/>
    <w:charset w:val="0"/>
    <w:family w:val="swiss"/>
    <w:pitch w:val="variable"/>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6"/>
      </w:rPr>
    </w:pPr>
    <w:r>
      <w:rPr/>
      <w:pict>
        <v:shapetype id="_x0000_t202" o:spt="202" coordsize="21600,21600" path="m,l,21600r21600,l21600,xe">
          <v:stroke joinstyle="miter"/>
          <v:path gradientshapeok="t" o:connecttype="rect"/>
        </v:shapetype>
        <v:shape style="position:absolute;margin-left:266.329987pt;margin-top:782.179993pt;width:74.1pt;height:12pt;mso-position-horizontal-relative:page;mso-position-vertical-relative:page;z-index:-9882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30</w:t>
                </w:r>
                <w:r>
                  <w:rPr/>
                  <w:fldChar w:fldCharType="end"/>
                </w:r>
                <w:r>
                  <w:rPr>
                    <w:rFonts w:ascii="Times New Roman" w:eastAsia="Times New Roman"/>
                    <w:sz w:val="18"/>
                  </w:rPr>
                  <w:t> </w:t>
                </w:r>
                <w:r>
                  <w:rPr>
                    <w:spacing w:val="-11"/>
                    <w:sz w:val="18"/>
                  </w:rPr>
                  <w:t>页，共 </w:t>
                </w:r>
                <w:r>
                  <w:rPr>
                    <w:rFonts w:ascii="Times New Roman" w:eastAsia="Times New Roman"/>
                    <w:sz w:val="18"/>
                  </w:rPr>
                  <w:t>33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
    <w:multiLevelType w:val="hybridMultilevel"/>
    <w:lvl w:ilvl="0">
      <w:start w:val="3"/>
      <w:numFmt w:val="decimal"/>
      <w:lvlText w:val="（%1）"/>
      <w:lvlJc w:val="left"/>
      <w:pPr>
        <w:ind w:left="758" w:hanging="631"/>
        <w:jc w:val="left"/>
      </w:pPr>
      <w:rPr>
        <w:rFonts w:hint="default" w:ascii="宋体" w:hAnsi="宋体" w:eastAsia="宋体" w:cs="宋体"/>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18" w:hanging="631"/>
      </w:pPr>
      <w:rPr>
        <w:rFonts w:hint="default"/>
      </w:rPr>
    </w:lvl>
    <w:lvl w:ilvl="3">
      <w:start w:val="0"/>
      <w:numFmt w:val="bullet"/>
      <w:lvlText w:val="•"/>
      <w:lvlJc w:val="left"/>
      <w:pPr>
        <w:ind w:left="2797" w:hanging="631"/>
      </w:pPr>
      <w:rPr>
        <w:rFonts w:hint="default"/>
      </w:rPr>
    </w:lvl>
    <w:lvl w:ilvl="4">
      <w:start w:val="0"/>
      <w:numFmt w:val="bullet"/>
      <w:lvlText w:val="•"/>
      <w:lvlJc w:val="left"/>
      <w:pPr>
        <w:ind w:left="3477" w:hanging="631"/>
      </w:pPr>
      <w:rPr>
        <w:rFonts w:hint="default"/>
      </w:rPr>
    </w:lvl>
    <w:lvl w:ilvl="5">
      <w:start w:val="0"/>
      <w:numFmt w:val="bullet"/>
      <w:lvlText w:val="•"/>
      <w:lvlJc w:val="left"/>
      <w:pPr>
        <w:ind w:left="4156" w:hanging="631"/>
      </w:pPr>
      <w:rPr>
        <w:rFonts w:hint="default"/>
      </w:rPr>
    </w:lvl>
    <w:lvl w:ilvl="6">
      <w:start w:val="0"/>
      <w:numFmt w:val="bullet"/>
      <w:lvlText w:val="•"/>
      <w:lvlJc w:val="left"/>
      <w:pPr>
        <w:ind w:left="4835" w:hanging="631"/>
      </w:pPr>
      <w:rPr>
        <w:rFonts w:hint="default"/>
      </w:rPr>
    </w:lvl>
    <w:lvl w:ilvl="7">
      <w:start w:val="0"/>
      <w:numFmt w:val="bullet"/>
      <w:lvlText w:val="•"/>
      <w:lvlJc w:val="left"/>
      <w:pPr>
        <w:ind w:left="5515" w:hanging="631"/>
      </w:pPr>
      <w:rPr>
        <w:rFonts w:hint="default"/>
      </w:rPr>
    </w:lvl>
    <w:lvl w:ilvl="8">
      <w:start w:val="0"/>
      <w:numFmt w:val="bullet"/>
      <w:lvlText w:val="•"/>
      <w:lvlJc w:val="left"/>
      <w:pPr>
        <w:ind w:left="6194" w:hanging="631"/>
      </w:pPr>
      <w:rPr>
        <w:rFonts w:hint="default"/>
      </w:rPr>
    </w:lvl>
  </w:abstractNum>
  <w:abstractNum w:abstractNumId="82">
    <w:multiLevelType w:val="hybridMultilevel"/>
    <w:lvl w:ilvl="0">
      <w:start w:val="1"/>
      <w:numFmt w:val="decimal"/>
      <w:lvlText w:val="（%1）"/>
      <w:lvlJc w:val="left"/>
      <w:pPr>
        <w:ind w:left="848" w:hanging="721"/>
        <w:jc w:val="left"/>
      </w:pPr>
      <w:rPr>
        <w:rFonts w:hint="default" w:ascii="宋体" w:hAnsi="宋体" w:eastAsia="宋体" w:cs="宋体"/>
        <w:spacing w:val="-15"/>
        <w:w w:val="100"/>
        <w:sz w:val="21"/>
        <w:szCs w:val="21"/>
      </w:rPr>
    </w:lvl>
    <w:lvl w:ilvl="1">
      <w:start w:val="0"/>
      <w:numFmt w:val="bullet"/>
      <w:lvlText w:val="•"/>
      <w:lvlJc w:val="left"/>
      <w:pPr>
        <w:ind w:left="1527" w:hanging="721"/>
      </w:pPr>
      <w:rPr>
        <w:rFonts w:hint="default"/>
      </w:rPr>
    </w:lvl>
    <w:lvl w:ilvl="2">
      <w:start w:val="0"/>
      <w:numFmt w:val="bullet"/>
      <w:lvlText w:val="•"/>
      <w:lvlJc w:val="left"/>
      <w:pPr>
        <w:ind w:left="2215" w:hanging="721"/>
      </w:pPr>
      <w:rPr>
        <w:rFonts w:hint="default"/>
      </w:rPr>
    </w:lvl>
    <w:lvl w:ilvl="3">
      <w:start w:val="0"/>
      <w:numFmt w:val="bullet"/>
      <w:lvlText w:val="•"/>
      <w:lvlJc w:val="left"/>
      <w:pPr>
        <w:ind w:left="290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78" w:hanging="721"/>
      </w:pPr>
      <w:rPr>
        <w:rFonts w:hint="default"/>
      </w:rPr>
    </w:lvl>
    <w:lvl w:ilvl="6">
      <w:start w:val="0"/>
      <w:numFmt w:val="bullet"/>
      <w:lvlText w:val="•"/>
      <w:lvlJc w:val="left"/>
      <w:pPr>
        <w:ind w:left="4965" w:hanging="721"/>
      </w:pPr>
      <w:rPr>
        <w:rFonts w:hint="default"/>
      </w:rPr>
    </w:lvl>
    <w:lvl w:ilvl="7">
      <w:start w:val="0"/>
      <w:numFmt w:val="bullet"/>
      <w:lvlText w:val="•"/>
      <w:lvlJc w:val="left"/>
      <w:pPr>
        <w:ind w:left="5653" w:hanging="721"/>
      </w:pPr>
      <w:rPr>
        <w:rFonts w:hint="default"/>
      </w:rPr>
    </w:lvl>
    <w:lvl w:ilvl="8">
      <w:start w:val="0"/>
      <w:numFmt w:val="bullet"/>
      <w:lvlText w:val="•"/>
      <w:lvlJc w:val="left"/>
      <w:pPr>
        <w:ind w:left="6340" w:hanging="721"/>
      </w:pPr>
      <w:rPr>
        <w:rFonts w:hint="default"/>
      </w:rPr>
    </w:lvl>
  </w:abstractNum>
  <w:abstractNum w:abstractNumId="81">
    <w:multiLevelType w:val="hybridMultilevel"/>
    <w:lvl w:ilvl="0">
      <w:start w:val="9"/>
      <w:numFmt w:val="decimal"/>
      <w:lvlText w:val="%1"/>
      <w:lvlJc w:val="left"/>
      <w:pPr>
        <w:ind w:left="6460" w:hanging="691"/>
        <w:jc w:val="left"/>
      </w:pPr>
      <w:rPr>
        <w:rFonts w:hint="default"/>
      </w:rPr>
    </w:lvl>
    <w:lvl w:ilvl="1">
      <w:start w:val="6"/>
      <w:numFmt w:val="decimal"/>
      <w:lvlText w:val="%1.%2"/>
      <w:lvlJc w:val="left"/>
      <w:pPr>
        <w:ind w:left="6460" w:hanging="691"/>
        <w:jc w:val="left"/>
      </w:pPr>
      <w:rPr>
        <w:rFonts w:hint="default"/>
      </w:rPr>
    </w:lvl>
    <w:lvl w:ilvl="2">
      <w:start w:val="88"/>
      <w:numFmt w:val="decimal"/>
      <w:lvlText w:val="%1.%2.%3"/>
      <w:lvlJc w:val="left"/>
      <w:pPr>
        <w:ind w:left="6460" w:hanging="691"/>
        <w:jc w:val="left"/>
      </w:pPr>
      <w:rPr>
        <w:rFonts w:hint="default" w:ascii="宋体" w:hAnsi="宋体" w:eastAsia="宋体" w:cs="宋体"/>
        <w:w w:val="100"/>
        <w:sz w:val="21"/>
        <w:szCs w:val="21"/>
      </w:rPr>
    </w:lvl>
    <w:lvl w:ilvl="3">
      <w:start w:val="0"/>
      <w:numFmt w:val="bullet"/>
      <w:lvlText w:val="•"/>
      <w:lvlJc w:val="left"/>
      <w:pPr>
        <w:ind w:left="7363" w:hanging="691"/>
      </w:pPr>
      <w:rPr>
        <w:rFonts w:hint="default"/>
      </w:rPr>
    </w:lvl>
    <w:lvl w:ilvl="4">
      <w:start w:val="0"/>
      <w:numFmt w:val="bullet"/>
      <w:lvlText w:val="•"/>
      <w:lvlJc w:val="left"/>
      <w:pPr>
        <w:ind w:left="7664" w:hanging="691"/>
      </w:pPr>
      <w:rPr>
        <w:rFonts w:hint="default"/>
      </w:rPr>
    </w:lvl>
    <w:lvl w:ilvl="5">
      <w:start w:val="0"/>
      <w:numFmt w:val="bullet"/>
      <w:lvlText w:val="•"/>
      <w:lvlJc w:val="left"/>
      <w:pPr>
        <w:ind w:left="7965" w:hanging="691"/>
      </w:pPr>
      <w:rPr>
        <w:rFonts w:hint="default"/>
      </w:rPr>
    </w:lvl>
    <w:lvl w:ilvl="6">
      <w:start w:val="0"/>
      <w:numFmt w:val="bullet"/>
      <w:lvlText w:val="•"/>
      <w:lvlJc w:val="left"/>
      <w:pPr>
        <w:ind w:left="8266" w:hanging="691"/>
      </w:pPr>
      <w:rPr>
        <w:rFonts w:hint="default"/>
      </w:rPr>
    </w:lvl>
    <w:lvl w:ilvl="7">
      <w:start w:val="0"/>
      <w:numFmt w:val="bullet"/>
      <w:lvlText w:val="•"/>
      <w:lvlJc w:val="left"/>
      <w:pPr>
        <w:ind w:left="8567" w:hanging="691"/>
      </w:pPr>
      <w:rPr>
        <w:rFonts w:hint="default"/>
      </w:rPr>
    </w:lvl>
    <w:lvl w:ilvl="8">
      <w:start w:val="0"/>
      <w:numFmt w:val="bullet"/>
      <w:lvlText w:val="•"/>
      <w:lvlJc w:val="left"/>
      <w:pPr>
        <w:ind w:left="8868" w:hanging="691"/>
      </w:pPr>
      <w:rPr>
        <w:rFonts w:hint="default"/>
      </w:rPr>
    </w:lvl>
  </w:abstractNum>
  <w:abstractNum w:abstractNumId="80">
    <w:multiLevelType w:val="hybridMultilevel"/>
    <w:lvl w:ilvl="0">
      <w:start w:val="9"/>
      <w:numFmt w:val="decimal"/>
      <w:lvlText w:val="%1"/>
      <w:lvlJc w:val="left"/>
      <w:pPr>
        <w:ind w:left="6460" w:hanging="691"/>
        <w:jc w:val="left"/>
      </w:pPr>
      <w:rPr>
        <w:rFonts w:hint="default"/>
      </w:rPr>
    </w:lvl>
    <w:lvl w:ilvl="1">
      <w:start w:val="6"/>
      <w:numFmt w:val="decimal"/>
      <w:lvlText w:val="%1.%2"/>
      <w:lvlJc w:val="left"/>
      <w:pPr>
        <w:ind w:left="6460" w:hanging="691"/>
        <w:jc w:val="left"/>
      </w:pPr>
      <w:rPr>
        <w:rFonts w:hint="default"/>
      </w:rPr>
    </w:lvl>
    <w:lvl w:ilvl="2">
      <w:start w:val="84"/>
      <w:numFmt w:val="decimal"/>
      <w:lvlText w:val="%1.%2.%3"/>
      <w:lvlJc w:val="left"/>
      <w:pPr>
        <w:ind w:left="6460" w:hanging="691"/>
        <w:jc w:val="left"/>
      </w:pPr>
      <w:rPr>
        <w:rFonts w:hint="default" w:ascii="宋体" w:hAnsi="宋体" w:eastAsia="宋体" w:cs="宋体"/>
        <w:w w:val="100"/>
        <w:sz w:val="21"/>
        <w:szCs w:val="21"/>
      </w:rPr>
    </w:lvl>
    <w:lvl w:ilvl="3">
      <w:start w:val="0"/>
      <w:numFmt w:val="bullet"/>
      <w:lvlText w:val="•"/>
      <w:lvlJc w:val="left"/>
      <w:pPr>
        <w:ind w:left="7363" w:hanging="691"/>
      </w:pPr>
      <w:rPr>
        <w:rFonts w:hint="default"/>
      </w:rPr>
    </w:lvl>
    <w:lvl w:ilvl="4">
      <w:start w:val="0"/>
      <w:numFmt w:val="bullet"/>
      <w:lvlText w:val="•"/>
      <w:lvlJc w:val="left"/>
      <w:pPr>
        <w:ind w:left="7664" w:hanging="691"/>
      </w:pPr>
      <w:rPr>
        <w:rFonts w:hint="default"/>
      </w:rPr>
    </w:lvl>
    <w:lvl w:ilvl="5">
      <w:start w:val="0"/>
      <w:numFmt w:val="bullet"/>
      <w:lvlText w:val="•"/>
      <w:lvlJc w:val="left"/>
      <w:pPr>
        <w:ind w:left="7965" w:hanging="691"/>
      </w:pPr>
      <w:rPr>
        <w:rFonts w:hint="default"/>
      </w:rPr>
    </w:lvl>
    <w:lvl w:ilvl="6">
      <w:start w:val="0"/>
      <w:numFmt w:val="bullet"/>
      <w:lvlText w:val="•"/>
      <w:lvlJc w:val="left"/>
      <w:pPr>
        <w:ind w:left="8266" w:hanging="691"/>
      </w:pPr>
      <w:rPr>
        <w:rFonts w:hint="default"/>
      </w:rPr>
    </w:lvl>
    <w:lvl w:ilvl="7">
      <w:start w:val="0"/>
      <w:numFmt w:val="bullet"/>
      <w:lvlText w:val="•"/>
      <w:lvlJc w:val="left"/>
      <w:pPr>
        <w:ind w:left="8567" w:hanging="691"/>
      </w:pPr>
      <w:rPr>
        <w:rFonts w:hint="default"/>
      </w:rPr>
    </w:lvl>
    <w:lvl w:ilvl="8">
      <w:start w:val="0"/>
      <w:numFmt w:val="bullet"/>
      <w:lvlText w:val="•"/>
      <w:lvlJc w:val="left"/>
      <w:pPr>
        <w:ind w:left="8868" w:hanging="691"/>
      </w:pPr>
      <w:rPr>
        <w:rFonts w:hint="default"/>
      </w:rPr>
    </w:lvl>
  </w:abstractNum>
  <w:abstractNum w:abstractNumId="79">
    <w:multiLevelType w:val="hybridMultilevel"/>
    <w:lvl w:ilvl="0">
      <w:start w:val="9"/>
      <w:numFmt w:val="decimal"/>
      <w:lvlText w:val="%1"/>
      <w:lvlJc w:val="left"/>
      <w:pPr>
        <w:ind w:left="6460" w:hanging="691"/>
        <w:jc w:val="left"/>
      </w:pPr>
      <w:rPr>
        <w:rFonts w:hint="default"/>
      </w:rPr>
    </w:lvl>
    <w:lvl w:ilvl="1">
      <w:start w:val="6"/>
      <w:numFmt w:val="decimal"/>
      <w:lvlText w:val="%1.%2"/>
      <w:lvlJc w:val="left"/>
      <w:pPr>
        <w:ind w:left="6460" w:hanging="691"/>
        <w:jc w:val="left"/>
      </w:pPr>
      <w:rPr>
        <w:rFonts w:hint="default"/>
      </w:rPr>
    </w:lvl>
    <w:lvl w:ilvl="2">
      <w:start w:val="81"/>
      <w:numFmt w:val="decimal"/>
      <w:lvlText w:val="%1.%2.%3"/>
      <w:lvlJc w:val="left"/>
      <w:pPr>
        <w:ind w:left="6460" w:hanging="691"/>
        <w:jc w:val="left"/>
      </w:pPr>
      <w:rPr>
        <w:rFonts w:hint="default" w:ascii="宋体" w:hAnsi="宋体" w:eastAsia="宋体" w:cs="宋体"/>
        <w:w w:val="100"/>
        <w:sz w:val="21"/>
        <w:szCs w:val="21"/>
      </w:rPr>
    </w:lvl>
    <w:lvl w:ilvl="3">
      <w:start w:val="0"/>
      <w:numFmt w:val="bullet"/>
      <w:lvlText w:val="•"/>
      <w:lvlJc w:val="left"/>
      <w:pPr>
        <w:ind w:left="7363" w:hanging="691"/>
      </w:pPr>
      <w:rPr>
        <w:rFonts w:hint="default"/>
      </w:rPr>
    </w:lvl>
    <w:lvl w:ilvl="4">
      <w:start w:val="0"/>
      <w:numFmt w:val="bullet"/>
      <w:lvlText w:val="•"/>
      <w:lvlJc w:val="left"/>
      <w:pPr>
        <w:ind w:left="7664" w:hanging="691"/>
      </w:pPr>
      <w:rPr>
        <w:rFonts w:hint="default"/>
      </w:rPr>
    </w:lvl>
    <w:lvl w:ilvl="5">
      <w:start w:val="0"/>
      <w:numFmt w:val="bullet"/>
      <w:lvlText w:val="•"/>
      <w:lvlJc w:val="left"/>
      <w:pPr>
        <w:ind w:left="7965" w:hanging="691"/>
      </w:pPr>
      <w:rPr>
        <w:rFonts w:hint="default"/>
      </w:rPr>
    </w:lvl>
    <w:lvl w:ilvl="6">
      <w:start w:val="0"/>
      <w:numFmt w:val="bullet"/>
      <w:lvlText w:val="•"/>
      <w:lvlJc w:val="left"/>
      <w:pPr>
        <w:ind w:left="8266" w:hanging="691"/>
      </w:pPr>
      <w:rPr>
        <w:rFonts w:hint="default"/>
      </w:rPr>
    </w:lvl>
    <w:lvl w:ilvl="7">
      <w:start w:val="0"/>
      <w:numFmt w:val="bullet"/>
      <w:lvlText w:val="•"/>
      <w:lvlJc w:val="left"/>
      <w:pPr>
        <w:ind w:left="8567" w:hanging="691"/>
      </w:pPr>
      <w:rPr>
        <w:rFonts w:hint="default"/>
      </w:rPr>
    </w:lvl>
    <w:lvl w:ilvl="8">
      <w:start w:val="0"/>
      <w:numFmt w:val="bullet"/>
      <w:lvlText w:val="•"/>
      <w:lvlJc w:val="left"/>
      <w:pPr>
        <w:ind w:left="8868" w:hanging="691"/>
      </w:pPr>
      <w:rPr>
        <w:rFonts w:hint="default"/>
      </w:rPr>
    </w:lvl>
  </w:abstractNum>
  <w:abstractNum w:abstractNumId="78">
    <w:multiLevelType w:val="hybridMultilevel"/>
    <w:lvl w:ilvl="0">
      <w:start w:val="9"/>
      <w:numFmt w:val="decimal"/>
      <w:lvlText w:val="%1"/>
      <w:lvlJc w:val="left"/>
      <w:pPr>
        <w:ind w:left="6460" w:hanging="691"/>
        <w:jc w:val="left"/>
      </w:pPr>
      <w:rPr>
        <w:rFonts w:hint="default"/>
      </w:rPr>
    </w:lvl>
    <w:lvl w:ilvl="1">
      <w:start w:val="6"/>
      <w:numFmt w:val="decimal"/>
      <w:lvlText w:val="%1.%2"/>
      <w:lvlJc w:val="left"/>
      <w:pPr>
        <w:ind w:left="6460" w:hanging="691"/>
        <w:jc w:val="left"/>
      </w:pPr>
      <w:rPr>
        <w:rFonts w:hint="default"/>
      </w:rPr>
    </w:lvl>
    <w:lvl w:ilvl="2">
      <w:start w:val="75"/>
      <w:numFmt w:val="decimal"/>
      <w:lvlText w:val="%1.%2.%3"/>
      <w:lvlJc w:val="left"/>
      <w:pPr>
        <w:ind w:left="6460" w:hanging="691"/>
        <w:jc w:val="left"/>
      </w:pPr>
      <w:rPr>
        <w:rFonts w:hint="default" w:ascii="宋体" w:hAnsi="宋体" w:eastAsia="宋体" w:cs="宋体"/>
        <w:w w:val="100"/>
        <w:sz w:val="21"/>
        <w:szCs w:val="21"/>
      </w:rPr>
    </w:lvl>
    <w:lvl w:ilvl="3">
      <w:start w:val="0"/>
      <w:numFmt w:val="bullet"/>
      <w:lvlText w:val="•"/>
      <w:lvlJc w:val="left"/>
      <w:pPr>
        <w:ind w:left="7363" w:hanging="691"/>
      </w:pPr>
      <w:rPr>
        <w:rFonts w:hint="default"/>
      </w:rPr>
    </w:lvl>
    <w:lvl w:ilvl="4">
      <w:start w:val="0"/>
      <w:numFmt w:val="bullet"/>
      <w:lvlText w:val="•"/>
      <w:lvlJc w:val="left"/>
      <w:pPr>
        <w:ind w:left="7664" w:hanging="691"/>
      </w:pPr>
      <w:rPr>
        <w:rFonts w:hint="default"/>
      </w:rPr>
    </w:lvl>
    <w:lvl w:ilvl="5">
      <w:start w:val="0"/>
      <w:numFmt w:val="bullet"/>
      <w:lvlText w:val="•"/>
      <w:lvlJc w:val="left"/>
      <w:pPr>
        <w:ind w:left="7965" w:hanging="691"/>
      </w:pPr>
      <w:rPr>
        <w:rFonts w:hint="default"/>
      </w:rPr>
    </w:lvl>
    <w:lvl w:ilvl="6">
      <w:start w:val="0"/>
      <w:numFmt w:val="bullet"/>
      <w:lvlText w:val="•"/>
      <w:lvlJc w:val="left"/>
      <w:pPr>
        <w:ind w:left="8266" w:hanging="691"/>
      </w:pPr>
      <w:rPr>
        <w:rFonts w:hint="default"/>
      </w:rPr>
    </w:lvl>
    <w:lvl w:ilvl="7">
      <w:start w:val="0"/>
      <w:numFmt w:val="bullet"/>
      <w:lvlText w:val="•"/>
      <w:lvlJc w:val="left"/>
      <w:pPr>
        <w:ind w:left="8567" w:hanging="691"/>
      </w:pPr>
      <w:rPr>
        <w:rFonts w:hint="default"/>
      </w:rPr>
    </w:lvl>
    <w:lvl w:ilvl="8">
      <w:start w:val="0"/>
      <w:numFmt w:val="bullet"/>
      <w:lvlText w:val="•"/>
      <w:lvlJc w:val="left"/>
      <w:pPr>
        <w:ind w:left="8868" w:hanging="691"/>
      </w:pPr>
      <w:rPr>
        <w:rFonts w:hint="default"/>
      </w:rPr>
    </w:lvl>
  </w:abstractNum>
  <w:abstractNum w:abstractNumId="77">
    <w:multiLevelType w:val="hybridMultilevel"/>
    <w:lvl w:ilvl="0">
      <w:start w:val="9"/>
      <w:numFmt w:val="decimal"/>
      <w:lvlText w:val="%1"/>
      <w:lvlJc w:val="left"/>
      <w:pPr>
        <w:ind w:left="5769" w:hanging="691"/>
        <w:jc w:val="left"/>
      </w:pPr>
      <w:rPr>
        <w:rFonts w:hint="default"/>
      </w:rPr>
    </w:lvl>
    <w:lvl w:ilvl="1">
      <w:start w:val="6"/>
      <w:numFmt w:val="decimal"/>
      <w:lvlText w:val="%1.%2"/>
      <w:lvlJc w:val="left"/>
      <w:pPr>
        <w:ind w:left="5769" w:hanging="691"/>
        <w:jc w:val="left"/>
      </w:pPr>
      <w:rPr>
        <w:rFonts w:hint="default"/>
      </w:rPr>
    </w:lvl>
    <w:lvl w:ilvl="2">
      <w:start w:val="71"/>
      <w:numFmt w:val="decimal"/>
      <w:lvlText w:val="%1.%2.%3"/>
      <w:lvlJc w:val="left"/>
      <w:pPr>
        <w:ind w:left="5769" w:hanging="691"/>
        <w:jc w:val="left"/>
      </w:pPr>
      <w:rPr>
        <w:rFonts w:hint="default" w:ascii="宋体" w:hAnsi="宋体" w:eastAsia="宋体" w:cs="宋体"/>
        <w:w w:val="100"/>
        <w:sz w:val="21"/>
        <w:szCs w:val="21"/>
      </w:rPr>
    </w:lvl>
    <w:lvl w:ilvl="3">
      <w:start w:val="0"/>
      <w:numFmt w:val="bullet"/>
      <w:lvlText w:val="•"/>
      <w:lvlJc w:val="left"/>
      <w:pPr>
        <w:ind w:left="6873" w:hanging="691"/>
      </w:pPr>
      <w:rPr>
        <w:rFonts w:hint="default"/>
      </w:rPr>
    </w:lvl>
    <w:lvl w:ilvl="4">
      <w:start w:val="0"/>
      <w:numFmt w:val="bullet"/>
      <w:lvlText w:val="•"/>
      <w:lvlJc w:val="left"/>
      <w:pPr>
        <w:ind w:left="7244" w:hanging="691"/>
      </w:pPr>
      <w:rPr>
        <w:rFonts w:hint="default"/>
      </w:rPr>
    </w:lvl>
    <w:lvl w:ilvl="5">
      <w:start w:val="0"/>
      <w:numFmt w:val="bullet"/>
      <w:lvlText w:val="•"/>
      <w:lvlJc w:val="left"/>
      <w:pPr>
        <w:ind w:left="7615" w:hanging="691"/>
      </w:pPr>
      <w:rPr>
        <w:rFonts w:hint="default"/>
      </w:rPr>
    </w:lvl>
    <w:lvl w:ilvl="6">
      <w:start w:val="0"/>
      <w:numFmt w:val="bullet"/>
      <w:lvlText w:val="•"/>
      <w:lvlJc w:val="left"/>
      <w:pPr>
        <w:ind w:left="7986" w:hanging="691"/>
      </w:pPr>
      <w:rPr>
        <w:rFonts w:hint="default"/>
      </w:rPr>
    </w:lvl>
    <w:lvl w:ilvl="7">
      <w:start w:val="0"/>
      <w:numFmt w:val="bullet"/>
      <w:lvlText w:val="•"/>
      <w:lvlJc w:val="left"/>
      <w:pPr>
        <w:ind w:left="8357" w:hanging="691"/>
      </w:pPr>
      <w:rPr>
        <w:rFonts w:hint="default"/>
      </w:rPr>
    </w:lvl>
    <w:lvl w:ilvl="8">
      <w:start w:val="0"/>
      <w:numFmt w:val="bullet"/>
      <w:lvlText w:val="•"/>
      <w:lvlJc w:val="left"/>
      <w:pPr>
        <w:ind w:left="8728" w:hanging="691"/>
      </w:pPr>
      <w:rPr>
        <w:rFonts w:hint="default"/>
      </w:rPr>
    </w:lvl>
  </w:abstractNum>
  <w:abstractNum w:abstractNumId="76">
    <w:multiLevelType w:val="hybridMultilevel"/>
    <w:lvl w:ilvl="0">
      <w:start w:val="9"/>
      <w:numFmt w:val="decimal"/>
      <w:lvlText w:val="%1"/>
      <w:lvlJc w:val="left"/>
      <w:pPr>
        <w:ind w:left="6505" w:hanging="736"/>
        <w:jc w:val="left"/>
      </w:pPr>
      <w:rPr>
        <w:rFonts w:hint="default"/>
      </w:rPr>
    </w:lvl>
    <w:lvl w:ilvl="1">
      <w:start w:val="6"/>
      <w:numFmt w:val="decimal"/>
      <w:lvlText w:val="%1.%2"/>
      <w:lvlJc w:val="left"/>
      <w:pPr>
        <w:ind w:left="6505" w:hanging="736"/>
        <w:jc w:val="left"/>
      </w:pPr>
      <w:rPr>
        <w:rFonts w:hint="default"/>
      </w:rPr>
    </w:lvl>
    <w:lvl w:ilvl="2">
      <w:start w:val="58"/>
      <w:numFmt w:val="decimal"/>
      <w:lvlText w:val="%1.%2.%3"/>
      <w:lvlJc w:val="left"/>
      <w:pPr>
        <w:ind w:left="6505" w:hanging="736"/>
        <w:jc w:val="left"/>
      </w:pPr>
      <w:rPr>
        <w:rFonts w:hint="default" w:ascii="宋体" w:hAnsi="宋体" w:eastAsia="宋体" w:cs="宋体"/>
        <w:w w:val="100"/>
        <w:sz w:val="21"/>
        <w:szCs w:val="21"/>
      </w:rPr>
    </w:lvl>
    <w:lvl w:ilvl="3">
      <w:start w:val="0"/>
      <w:numFmt w:val="bullet"/>
      <w:lvlText w:val="•"/>
      <w:lvlJc w:val="left"/>
      <w:pPr>
        <w:ind w:left="7391" w:hanging="736"/>
      </w:pPr>
      <w:rPr>
        <w:rFonts w:hint="default"/>
      </w:rPr>
    </w:lvl>
    <w:lvl w:ilvl="4">
      <w:start w:val="0"/>
      <w:numFmt w:val="bullet"/>
      <w:lvlText w:val="•"/>
      <w:lvlJc w:val="left"/>
      <w:pPr>
        <w:ind w:left="7688" w:hanging="736"/>
      </w:pPr>
      <w:rPr>
        <w:rFonts w:hint="default"/>
      </w:rPr>
    </w:lvl>
    <w:lvl w:ilvl="5">
      <w:start w:val="0"/>
      <w:numFmt w:val="bullet"/>
      <w:lvlText w:val="•"/>
      <w:lvlJc w:val="left"/>
      <w:pPr>
        <w:ind w:left="7985" w:hanging="736"/>
      </w:pPr>
      <w:rPr>
        <w:rFonts w:hint="default"/>
      </w:rPr>
    </w:lvl>
    <w:lvl w:ilvl="6">
      <w:start w:val="0"/>
      <w:numFmt w:val="bullet"/>
      <w:lvlText w:val="•"/>
      <w:lvlJc w:val="left"/>
      <w:pPr>
        <w:ind w:left="8282" w:hanging="736"/>
      </w:pPr>
      <w:rPr>
        <w:rFonts w:hint="default"/>
      </w:rPr>
    </w:lvl>
    <w:lvl w:ilvl="7">
      <w:start w:val="0"/>
      <w:numFmt w:val="bullet"/>
      <w:lvlText w:val="•"/>
      <w:lvlJc w:val="left"/>
      <w:pPr>
        <w:ind w:left="8579" w:hanging="736"/>
      </w:pPr>
      <w:rPr>
        <w:rFonts w:hint="default"/>
      </w:rPr>
    </w:lvl>
    <w:lvl w:ilvl="8">
      <w:start w:val="0"/>
      <w:numFmt w:val="bullet"/>
      <w:lvlText w:val="•"/>
      <w:lvlJc w:val="left"/>
      <w:pPr>
        <w:ind w:left="8876" w:hanging="736"/>
      </w:pPr>
      <w:rPr>
        <w:rFonts w:hint="default"/>
      </w:rPr>
    </w:lvl>
  </w:abstractNum>
  <w:abstractNum w:abstractNumId="75">
    <w:multiLevelType w:val="hybridMultilevel"/>
    <w:lvl w:ilvl="0">
      <w:start w:val="9"/>
      <w:numFmt w:val="decimal"/>
      <w:lvlText w:val="%1"/>
      <w:lvlJc w:val="left"/>
      <w:pPr>
        <w:ind w:left="5769" w:hanging="691"/>
        <w:jc w:val="left"/>
      </w:pPr>
      <w:rPr>
        <w:rFonts w:hint="default"/>
      </w:rPr>
    </w:lvl>
    <w:lvl w:ilvl="1">
      <w:start w:val="6"/>
      <w:numFmt w:val="decimal"/>
      <w:lvlText w:val="%1.%2"/>
      <w:lvlJc w:val="left"/>
      <w:pPr>
        <w:ind w:left="5769" w:hanging="691"/>
        <w:jc w:val="left"/>
      </w:pPr>
      <w:rPr>
        <w:rFonts w:hint="default"/>
      </w:rPr>
    </w:lvl>
    <w:lvl w:ilvl="2">
      <w:start w:val="49"/>
      <w:numFmt w:val="decimal"/>
      <w:lvlText w:val="%1.%2.%3"/>
      <w:lvlJc w:val="left"/>
      <w:pPr>
        <w:ind w:left="5769" w:hanging="691"/>
        <w:jc w:val="left"/>
      </w:pPr>
      <w:rPr>
        <w:rFonts w:hint="default" w:ascii="宋体" w:hAnsi="宋体" w:eastAsia="宋体" w:cs="宋体"/>
        <w:w w:val="100"/>
        <w:sz w:val="21"/>
        <w:szCs w:val="21"/>
      </w:rPr>
    </w:lvl>
    <w:lvl w:ilvl="3">
      <w:start w:val="0"/>
      <w:numFmt w:val="bullet"/>
      <w:lvlText w:val="•"/>
      <w:lvlJc w:val="left"/>
      <w:pPr>
        <w:ind w:left="6873" w:hanging="691"/>
      </w:pPr>
      <w:rPr>
        <w:rFonts w:hint="default"/>
      </w:rPr>
    </w:lvl>
    <w:lvl w:ilvl="4">
      <w:start w:val="0"/>
      <w:numFmt w:val="bullet"/>
      <w:lvlText w:val="•"/>
      <w:lvlJc w:val="left"/>
      <w:pPr>
        <w:ind w:left="7244" w:hanging="691"/>
      </w:pPr>
      <w:rPr>
        <w:rFonts w:hint="default"/>
      </w:rPr>
    </w:lvl>
    <w:lvl w:ilvl="5">
      <w:start w:val="0"/>
      <w:numFmt w:val="bullet"/>
      <w:lvlText w:val="•"/>
      <w:lvlJc w:val="left"/>
      <w:pPr>
        <w:ind w:left="7615" w:hanging="691"/>
      </w:pPr>
      <w:rPr>
        <w:rFonts w:hint="default"/>
      </w:rPr>
    </w:lvl>
    <w:lvl w:ilvl="6">
      <w:start w:val="0"/>
      <w:numFmt w:val="bullet"/>
      <w:lvlText w:val="•"/>
      <w:lvlJc w:val="left"/>
      <w:pPr>
        <w:ind w:left="7986" w:hanging="691"/>
      </w:pPr>
      <w:rPr>
        <w:rFonts w:hint="default"/>
      </w:rPr>
    </w:lvl>
    <w:lvl w:ilvl="7">
      <w:start w:val="0"/>
      <w:numFmt w:val="bullet"/>
      <w:lvlText w:val="•"/>
      <w:lvlJc w:val="left"/>
      <w:pPr>
        <w:ind w:left="8357" w:hanging="691"/>
      </w:pPr>
      <w:rPr>
        <w:rFonts w:hint="default"/>
      </w:rPr>
    </w:lvl>
    <w:lvl w:ilvl="8">
      <w:start w:val="0"/>
      <w:numFmt w:val="bullet"/>
      <w:lvlText w:val="•"/>
      <w:lvlJc w:val="left"/>
      <w:pPr>
        <w:ind w:left="8728" w:hanging="691"/>
      </w:pPr>
      <w:rPr>
        <w:rFonts w:hint="default"/>
      </w:rPr>
    </w:lvl>
  </w:abstractNum>
  <w:abstractNum w:abstractNumId="74">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44"/>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73">
    <w:multiLevelType w:val="hybridMultilevel"/>
    <w:lvl w:ilvl="0">
      <w:start w:val="9"/>
      <w:numFmt w:val="decimal"/>
      <w:lvlText w:val="%1"/>
      <w:lvlJc w:val="left"/>
      <w:pPr>
        <w:ind w:left="112" w:hanging="691"/>
        <w:jc w:val="left"/>
      </w:pPr>
      <w:rPr>
        <w:rFonts w:hint="default"/>
      </w:rPr>
    </w:lvl>
    <w:lvl w:ilvl="1">
      <w:start w:val="6"/>
      <w:numFmt w:val="decimal"/>
      <w:lvlText w:val="%1.%2"/>
      <w:lvlJc w:val="left"/>
      <w:pPr>
        <w:ind w:left="112" w:hanging="691"/>
        <w:jc w:val="left"/>
      </w:pPr>
      <w:rPr>
        <w:rFonts w:hint="default"/>
      </w:rPr>
    </w:lvl>
    <w:lvl w:ilvl="2">
      <w:start w:val="33"/>
      <w:numFmt w:val="decimal"/>
      <w:lvlText w:val="%1.%2.%3"/>
      <w:lvlJc w:val="left"/>
      <w:pPr>
        <w:ind w:left="112" w:hanging="691"/>
        <w:jc w:val="left"/>
      </w:pPr>
      <w:rPr>
        <w:rFonts w:hint="default" w:ascii="宋体" w:hAnsi="宋体" w:eastAsia="宋体" w:cs="宋体"/>
        <w:w w:val="100"/>
        <w:sz w:val="21"/>
        <w:szCs w:val="21"/>
      </w:rPr>
    </w:lvl>
    <w:lvl w:ilvl="3">
      <w:start w:val="0"/>
      <w:numFmt w:val="bullet"/>
      <w:lvlText w:val="•"/>
      <w:lvlJc w:val="left"/>
      <w:pPr>
        <w:ind w:left="1187" w:hanging="691"/>
      </w:pPr>
      <w:rPr>
        <w:rFonts w:hint="default"/>
      </w:rPr>
    </w:lvl>
    <w:lvl w:ilvl="4">
      <w:start w:val="0"/>
      <w:numFmt w:val="bullet"/>
      <w:lvlText w:val="•"/>
      <w:lvlJc w:val="left"/>
      <w:pPr>
        <w:ind w:left="1543" w:hanging="691"/>
      </w:pPr>
      <w:rPr>
        <w:rFonts w:hint="default"/>
      </w:rPr>
    </w:lvl>
    <w:lvl w:ilvl="5">
      <w:start w:val="0"/>
      <w:numFmt w:val="bullet"/>
      <w:lvlText w:val="•"/>
      <w:lvlJc w:val="left"/>
      <w:pPr>
        <w:ind w:left="1899" w:hanging="691"/>
      </w:pPr>
      <w:rPr>
        <w:rFonts w:hint="default"/>
      </w:rPr>
    </w:lvl>
    <w:lvl w:ilvl="6">
      <w:start w:val="0"/>
      <w:numFmt w:val="bullet"/>
      <w:lvlText w:val="•"/>
      <w:lvlJc w:val="left"/>
      <w:pPr>
        <w:ind w:left="2255" w:hanging="691"/>
      </w:pPr>
      <w:rPr>
        <w:rFonts w:hint="default"/>
      </w:rPr>
    </w:lvl>
    <w:lvl w:ilvl="7">
      <w:start w:val="0"/>
      <w:numFmt w:val="bullet"/>
      <w:lvlText w:val="•"/>
      <w:lvlJc w:val="left"/>
      <w:pPr>
        <w:ind w:left="2611" w:hanging="691"/>
      </w:pPr>
      <w:rPr>
        <w:rFonts w:hint="default"/>
      </w:rPr>
    </w:lvl>
    <w:lvl w:ilvl="8">
      <w:start w:val="0"/>
      <w:numFmt w:val="bullet"/>
      <w:lvlText w:val="•"/>
      <w:lvlJc w:val="left"/>
      <w:pPr>
        <w:ind w:left="2967" w:hanging="691"/>
      </w:pPr>
      <w:rPr>
        <w:rFonts w:hint="default"/>
      </w:rPr>
    </w:lvl>
  </w:abstractNum>
  <w:abstractNum w:abstractNumId="72">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27"/>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71">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16"/>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70">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11"/>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69">
    <w:multiLevelType w:val="hybridMultilevel"/>
    <w:lvl w:ilvl="0">
      <w:start w:val="9"/>
      <w:numFmt w:val="decimal"/>
      <w:lvlText w:val="%1"/>
      <w:lvlJc w:val="left"/>
      <w:pPr>
        <w:ind w:left="112" w:hanging="586"/>
        <w:jc w:val="left"/>
      </w:pPr>
      <w:rPr>
        <w:rFonts w:hint="default"/>
      </w:rPr>
    </w:lvl>
    <w:lvl w:ilvl="1">
      <w:start w:val="6"/>
      <w:numFmt w:val="decimal"/>
      <w:lvlText w:val="%1.%2"/>
      <w:lvlJc w:val="left"/>
      <w:pPr>
        <w:ind w:left="112" w:hanging="586"/>
        <w:jc w:val="left"/>
      </w:pPr>
      <w:rPr>
        <w:rFonts w:hint="default"/>
      </w:rPr>
    </w:lvl>
    <w:lvl w:ilvl="2">
      <w:start w:val="5"/>
      <w:numFmt w:val="decimal"/>
      <w:lvlText w:val="%1.%2.%3"/>
      <w:lvlJc w:val="left"/>
      <w:pPr>
        <w:ind w:left="112" w:hanging="586"/>
        <w:jc w:val="left"/>
      </w:pPr>
      <w:rPr>
        <w:rFonts w:hint="default" w:ascii="宋体" w:hAnsi="宋体" w:eastAsia="宋体" w:cs="宋体"/>
        <w:w w:val="100"/>
        <w:sz w:val="21"/>
        <w:szCs w:val="21"/>
      </w:rPr>
    </w:lvl>
    <w:lvl w:ilvl="3">
      <w:start w:val="0"/>
      <w:numFmt w:val="bullet"/>
      <w:lvlText w:val="•"/>
      <w:lvlJc w:val="left"/>
      <w:pPr>
        <w:ind w:left="1187" w:hanging="586"/>
      </w:pPr>
      <w:rPr>
        <w:rFonts w:hint="default"/>
      </w:rPr>
    </w:lvl>
    <w:lvl w:ilvl="4">
      <w:start w:val="0"/>
      <w:numFmt w:val="bullet"/>
      <w:lvlText w:val="•"/>
      <w:lvlJc w:val="left"/>
      <w:pPr>
        <w:ind w:left="1543" w:hanging="586"/>
      </w:pPr>
      <w:rPr>
        <w:rFonts w:hint="default"/>
      </w:rPr>
    </w:lvl>
    <w:lvl w:ilvl="5">
      <w:start w:val="0"/>
      <w:numFmt w:val="bullet"/>
      <w:lvlText w:val="•"/>
      <w:lvlJc w:val="left"/>
      <w:pPr>
        <w:ind w:left="1899" w:hanging="586"/>
      </w:pPr>
      <w:rPr>
        <w:rFonts w:hint="default"/>
      </w:rPr>
    </w:lvl>
    <w:lvl w:ilvl="6">
      <w:start w:val="0"/>
      <w:numFmt w:val="bullet"/>
      <w:lvlText w:val="•"/>
      <w:lvlJc w:val="left"/>
      <w:pPr>
        <w:ind w:left="2255" w:hanging="586"/>
      </w:pPr>
      <w:rPr>
        <w:rFonts w:hint="default"/>
      </w:rPr>
    </w:lvl>
    <w:lvl w:ilvl="7">
      <w:start w:val="0"/>
      <w:numFmt w:val="bullet"/>
      <w:lvlText w:val="•"/>
      <w:lvlJc w:val="left"/>
      <w:pPr>
        <w:ind w:left="2611" w:hanging="586"/>
      </w:pPr>
      <w:rPr>
        <w:rFonts w:hint="default"/>
      </w:rPr>
    </w:lvl>
    <w:lvl w:ilvl="8">
      <w:start w:val="0"/>
      <w:numFmt w:val="bullet"/>
      <w:lvlText w:val="•"/>
      <w:lvlJc w:val="left"/>
      <w:pPr>
        <w:ind w:left="2967" w:hanging="586"/>
      </w:pPr>
      <w:rPr>
        <w:rFonts w:hint="default"/>
      </w:rPr>
    </w:lvl>
  </w:abstractNum>
  <w:abstractNum w:abstractNumId="68">
    <w:multiLevelType w:val="hybridMultilevel"/>
    <w:lvl w:ilvl="0">
      <w:start w:val="9"/>
      <w:numFmt w:val="decimal"/>
      <w:lvlText w:val="%1"/>
      <w:lvlJc w:val="left"/>
      <w:pPr>
        <w:ind w:left="698" w:hanging="586"/>
        <w:jc w:val="left"/>
      </w:pPr>
      <w:rPr>
        <w:rFonts w:hint="default"/>
      </w:rPr>
    </w:lvl>
    <w:lvl w:ilvl="1">
      <w:start w:val="6"/>
      <w:numFmt w:val="decimal"/>
      <w:lvlText w:val="%1.%2"/>
      <w:lvlJc w:val="left"/>
      <w:pPr>
        <w:ind w:left="698" w:hanging="586"/>
        <w:jc w:val="left"/>
      </w:pPr>
      <w:rPr>
        <w:rFonts w:hint="default"/>
      </w:rPr>
    </w:lvl>
    <w:lvl w:ilvl="2">
      <w:start w:val="2"/>
      <w:numFmt w:val="decimal"/>
      <w:lvlText w:val="%1.%2.%3"/>
      <w:lvlJc w:val="left"/>
      <w:pPr>
        <w:ind w:left="698" w:hanging="586"/>
        <w:jc w:val="left"/>
      </w:pPr>
      <w:rPr>
        <w:rFonts w:hint="default" w:ascii="宋体" w:hAnsi="宋体" w:eastAsia="宋体" w:cs="宋体"/>
        <w:w w:val="100"/>
        <w:sz w:val="21"/>
        <w:szCs w:val="21"/>
      </w:rPr>
    </w:lvl>
    <w:lvl w:ilvl="3">
      <w:start w:val="0"/>
      <w:numFmt w:val="bullet"/>
      <w:lvlText w:val="•"/>
      <w:lvlJc w:val="left"/>
      <w:pPr>
        <w:ind w:left="1593" w:hanging="586"/>
      </w:pPr>
      <w:rPr>
        <w:rFonts w:hint="default"/>
      </w:rPr>
    </w:lvl>
    <w:lvl w:ilvl="4">
      <w:start w:val="0"/>
      <w:numFmt w:val="bullet"/>
      <w:lvlText w:val="•"/>
      <w:lvlJc w:val="left"/>
      <w:pPr>
        <w:ind w:left="1891" w:hanging="586"/>
      </w:pPr>
      <w:rPr>
        <w:rFonts w:hint="default"/>
      </w:rPr>
    </w:lvl>
    <w:lvl w:ilvl="5">
      <w:start w:val="0"/>
      <w:numFmt w:val="bullet"/>
      <w:lvlText w:val="•"/>
      <w:lvlJc w:val="left"/>
      <w:pPr>
        <w:ind w:left="2189" w:hanging="586"/>
      </w:pPr>
      <w:rPr>
        <w:rFonts w:hint="default"/>
      </w:rPr>
    </w:lvl>
    <w:lvl w:ilvl="6">
      <w:start w:val="0"/>
      <w:numFmt w:val="bullet"/>
      <w:lvlText w:val="•"/>
      <w:lvlJc w:val="left"/>
      <w:pPr>
        <w:ind w:left="2487" w:hanging="586"/>
      </w:pPr>
      <w:rPr>
        <w:rFonts w:hint="default"/>
      </w:rPr>
    </w:lvl>
    <w:lvl w:ilvl="7">
      <w:start w:val="0"/>
      <w:numFmt w:val="bullet"/>
      <w:lvlText w:val="•"/>
      <w:lvlJc w:val="left"/>
      <w:pPr>
        <w:ind w:left="2785" w:hanging="586"/>
      </w:pPr>
      <w:rPr>
        <w:rFonts w:hint="default"/>
      </w:rPr>
    </w:lvl>
    <w:lvl w:ilvl="8">
      <w:start w:val="0"/>
      <w:numFmt w:val="bullet"/>
      <w:lvlText w:val="•"/>
      <w:lvlJc w:val="left"/>
      <w:pPr>
        <w:ind w:left="3083" w:hanging="586"/>
      </w:pPr>
      <w:rPr>
        <w:rFonts w:hint="default"/>
      </w:rPr>
    </w:lvl>
  </w:abstractNum>
  <w:abstractNum w:abstractNumId="67">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67"/>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66">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42"/>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65">
    <w:multiLevelType w:val="hybridMultilevel"/>
    <w:lvl w:ilvl="0">
      <w:start w:val="9"/>
      <w:numFmt w:val="decimal"/>
      <w:lvlText w:val="%1"/>
      <w:lvlJc w:val="left"/>
      <w:pPr>
        <w:ind w:left="803" w:hanging="691"/>
        <w:jc w:val="left"/>
      </w:pPr>
      <w:rPr>
        <w:rFonts w:hint="default"/>
      </w:rPr>
    </w:lvl>
    <w:lvl w:ilvl="1">
      <w:start w:val="6"/>
      <w:numFmt w:val="decimal"/>
      <w:lvlText w:val="%1.%2"/>
      <w:lvlJc w:val="left"/>
      <w:pPr>
        <w:ind w:left="803" w:hanging="691"/>
        <w:jc w:val="left"/>
      </w:pPr>
      <w:rPr>
        <w:rFonts w:hint="default"/>
      </w:rPr>
    </w:lvl>
    <w:lvl w:ilvl="2">
      <w:start w:val="14"/>
      <w:numFmt w:val="decimal"/>
      <w:lvlText w:val="%1.%2.%3"/>
      <w:lvlJc w:val="left"/>
      <w:pPr>
        <w:ind w:left="803" w:hanging="691"/>
        <w:jc w:val="left"/>
      </w:pPr>
      <w:rPr>
        <w:rFonts w:hint="default" w:ascii="宋体" w:hAnsi="宋体" w:eastAsia="宋体" w:cs="宋体"/>
        <w:w w:val="100"/>
        <w:sz w:val="21"/>
        <w:szCs w:val="21"/>
      </w:rPr>
    </w:lvl>
    <w:lvl w:ilvl="3">
      <w:start w:val="0"/>
      <w:numFmt w:val="bullet"/>
      <w:lvlText w:val="•"/>
      <w:lvlJc w:val="left"/>
      <w:pPr>
        <w:ind w:left="1663" w:hanging="691"/>
      </w:pPr>
      <w:rPr>
        <w:rFonts w:hint="default"/>
      </w:rPr>
    </w:lvl>
    <w:lvl w:ilvl="4">
      <w:start w:val="0"/>
      <w:numFmt w:val="bullet"/>
      <w:lvlText w:val="•"/>
      <w:lvlJc w:val="left"/>
      <w:pPr>
        <w:ind w:left="1951" w:hanging="691"/>
      </w:pPr>
      <w:rPr>
        <w:rFonts w:hint="default"/>
      </w:rPr>
    </w:lvl>
    <w:lvl w:ilvl="5">
      <w:start w:val="0"/>
      <w:numFmt w:val="bullet"/>
      <w:lvlText w:val="•"/>
      <w:lvlJc w:val="left"/>
      <w:pPr>
        <w:ind w:left="2239" w:hanging="691"/>
      </w:pPr>
      <w:rPr>
        <w:rFonts w:hint="default"/>
      </w:rPr>
    </w:lvl>
    <w:lvl w:ilvl="6">
      <w:start w:val="0"/>
      <w:numFmt w:val="bullet"/>
      <w:lvlText w:val="•"/>
      <w:lvlJc w:val="left"/>
      <w:pPr>
        <w:ind w:left="2527" w:hanging="691"/>
      </w:pPr>
      <w:rPr>
        <w:rFonts w:hint="default"/>
      </w:rPr>
    </w:lvl>
    <w:lvl w:ilvl="7">
      <w:start w:val="0"/>
      <w:numFmt w:val="bullet"/>
      <w:lvlText w:val="•"/>
      <w:lvlJc w:val="left"/>
      <w:pPr>
        <w:ind w:left="2815" w:hanging="691"/>
      </w:pPr>
      <w:rPr>
        <w:rFonts w:hint="default"/>
      </w:rPr>
    </w:lvl>
    <w:lvl w:ilvl="8">
      <w:start w:val="0"/>
      <w:numFmt w:val="bullet"/>
      <w:lvlText w:val="•"/>
      <w:lvlJc w:val="left"/>
      <w:pPr>
        <w:ind w:left="3103" w:hanging="691"/>
      </w:pPr>
      <w:rPr>
        <w:rFonts w:hint="default"/>
      </w:rPr>
    </w:lvl>
  </w:abstractNum>
  <w:abstractNum w:abstractNumId="64">
    <w:multiLevelType w:val="hybridMultilevel"/>
    <w:lvl w:ilvl="0">
      <w:start w:val="9"/>
      <w:numFmt w:val="decimal"/>
      <w:lvlText w:val="%1"/>
      <w:lvlJc w:val="left"/>
      <w:pPr>
        <w:ind w:left="698" w:hanging="586"/>
        <w:jc w:val="left"/>
      </w:pPr>
      <w:rPr>
        <w:rFonts w:hint="default"/>
      </w:rPr>
    </w:lvl>
    <w:lvl w:ilvl="1">
      <w:start w:val="6"/>
      <w:numFmt w:val="decimal"/>
      <w:lvlText w:val="%1.%2"/>
      <w:lvlJc w:val="left"/>
      <w:pPr>
        <w:ind w:left="698" w:hanging="586"/>
        <w:jc w:val="left"/>
      </w:pPr>
      <w:rPr>
        <w:rFonts w:hint="default"/>
      </w:rPr>
    </w:lvl>
    <w:lvl w:ilvl="2">
      <w:start w:val="9"/>
      <w:numFmt w:val="decimal"/>
      <w:lvlText w:val="%1.%2.%3"/>
      <w:lvlJc w:val="left"/>
      <w:pPr>
        <w:ind w:left="698" w:hanging="586"/>
        <w:jc w:val="left"/>
      </w:pPr>
      <w:rPr>
        <w:rFonts w:hint="default" w:ascii="宋体" w:hAnsi="宋体" w:eastAsia="宋体" w:cs="宋体"/>
        <w:w w:val="100"/>
        <w:sz w:val="21"/>
        <w:szCs w:val="21"/>
      </w:rPr>
    </w:lvl>
    <w:lvl w:ilvl="3">
      <w:start w:val="0"/>
      <w:numFmt w:val="bullet"/>
      <w:lvlText w:val="•"/>
      <w:lvlJc w:val="left"/>
      <w:pPr>
        <w:ind w:left="1593" w:hanging="586"/>
      </w:pPr>
      <w:rPr>
        <w:rFonts w:hint="default"/>
      </w:rPr>
    </w:lvl>
    <w:lvl w:ilvl="4">
      <w:start w:val="0"/>
      <w:numFmt w:val="bullet"/>
      <w:lvlText w:val="•"/>
      <w:lvlJc w:val="left"/>
      <w:pPr>
        <w:ind w:left="1891" w:hanging="586"/>
      </w:pPr>
      <w:rPr>
        <w:rFonts w:hint="default"/>
      </w:rPr>
    </w:lvl>
    <w:lvl w:ilvl="5">
      <w:start w:val="0"/>
      <w:numFmt w:val="bullet"/>
      <w:lvlText w:val="•"/>
      <w:lvlJc w:val="left"/>
      <w:pPr>
        <w:ind w:left="2189" w:hanging="586"/>
      </w:pPr>
      <w:rPr>
        <w:rFonts w:hint="default"/>
      </w:rPr>
    </w:lvl>
    <w:lvl w:ilvl="6">
      <w:start w:val="0"/>
      <w:numFmt w:val="bullet"/>
      <w:lvlText w:val="•"/>
      <w:lvlJc w:val="left"/>
      <w:pPr>
        <w:ind w:left="2487" w:hanging="586"/>
      </w:pPr>
      <w:rPr>
        <w:rFonts w:hint="default"/>
      </w:rPr>
    </w:lvl>
    <w:lvl w:ilvl="7">
      <w:start w:val="0"/>
      <w:numFmt w:val="bullet"/>
      <w:lvlText w:val="•"/>
      <w:lvlJc w:val="left"/>
      <w:pPr>
        <w:ind w:left="2785" w:hanging="586"/>
      </w:pPr>
      <w:rPr>
        <w:rFonts w:hint="default"/>
      </w:rPr>
    </w:lvl>
    <w:lvl w:ilvl="8">
      <w:start w:val="0"/>
      <w:numFmt w:val="bullet"/>
      <w:lvlText w:val="•"/>
      <w:lvlJc w:val="left"/>
      <w:pPr>
        <w:ind w:left="3083" w:hanging="586"/>
      </w:pPr>
      <w:rPr>
        <w:rFonts w:hint="default"/>
      </w:rPr>
    </w:lvl>
  </w:abstractNum>
  <w:abstractNum w:abstractNumId="63">
    <w:multiLevelType w:val="hybridMultilevel"/>
    <w:lvl w:ilvl="0">
      <w:start w:val="1"/>
      <w:numFmt w:val="decimal"/>
      <w:lvlText w:val="（%1）"/>
      <w:lvlJc w:val="left"/>
      <w:pPr>
        <w:ind w:left="116" w:hanging="631"/>
        <w:jc w:val="left"/>
      </w:pPr>
      <w:rPr>
        <w:rFonts w:hint="default" w:ascii="宋体" w:hAnsi="宋体" w:eastAsia="宋体" w:cs="宋体"/>
        <w:spacing w:val="-47"/>
        <w:w w:val="100"/>
        <w:sz w:val="21"/>
        <w:szCs w:val="21"/>
      </w:rPr>
    </w:lvl>
    <w:lvl w:ilvl="1">
      <w:start w:val="0"/>
      <w:numFmt w:val="bullet"/>
      <w:lvlText w:val="•"/>
      <w:lvlJc w:val="left"/>
      <w:pPr>
        <w:ind w:left="883" w:hanging="631"/>
      </w:pPr>
      <w:rPr>
        <w:rFonts w:hint="default"/>
      </w:rPr>
    </w:lvl>
    <w:lvl w:ilvl="2">
      <w:start w:val="0"/>
      <w:numFmt w:val="bullet"/>
      <w:lvlText w:val="•"/>
      <w:lvlJc w:val="left"/>
      <w:pPr>
        <w:ind w:left="1646" w:hanging="631"/>
      </w:pPr>
      <w:rPr>
        <w:rFonts w:hint="default"/>
      </w:rPr>
    </w:lvl>
    <w:lvl w:ilvl="3">
      <w:start w:val="0"/>
      <w:numFmt w:val="bullet"/>
      <w:lvlText w:val="•"/>
      <w:lvlJc w:val="left"/>
      <w:pPr>
        <w:ind w:left="2409" w:hanging="631"/>
      </w:pPr>
      <w:rPr>
        <w:rFonts w:hint="default"/>
      </w:rPr>
    </w:lvl>
    <w:lvl w:ilvl="4">
      <w:start w:val="0"/>
      <w:numFmt w:val="bullet"/>
      <w:lvlText w:val="•"/>
      <w:lvlJc w:val="left"/>
      <w:pPr>
        <w:ind w:left="3172" w:hanging="631"/>
      </w:pPr>
      <w:rPr>
        <w:rFonts w:hint="default"/>
      </w:rPr>
    </w:lvl>
    <w:lvl w:ilvl="5">
      <w:start w:val="0"/>
      <w:numFmt w:val="bullet"/>
      <w:lvlText w:val="•"/>
      <w:lvlJc w:val="left"/>
      <w:pPr>
        <w:ind w:left="3935" w:hanging="631"/>
      </w:pPr>
      <w:rPr>
        <w:rFonts w:hint="default"/>
      </w:rPr>
    </w:lvl>
    <w:lvl w:ilvl="6">
      <w:start w:val="0"/>
      <w:numFmt w:val="bullet"/>
      <w:lvlText w:val="•"/>
      <w:lvlJc w:val="left"/>
      <w:pPr>
        <w:ind w:left="4699" w:hanging="631"/>
      </w:pPr>
      <w:rPr>
        <w:rFonts w:hint="default"/>
      </w:rPr>
    </w:lvl>
    <w:lvl w:ilvl="7">
      <w:start w:val="0"/>
      <w:numFmt w:val="bullet"/>
      <w:lvlText w:val="•"/>
      <w:lvlJc w:val="left"/>
      <w:pPr>
        <w:ind w:left="5462" w:hanging="631"/>
      </w:pPr>
      <w:rPr>
        <w:rFonts w:hint="default"/>
      </w:rPr>
    </w:lvl>
    <w:lvl w:ilvl="8">
      <w:start w:val="0"/>
      <w:numFmt w:val="bullet"/>
      <w:lvlText w:val="•"/>
      <w:lvlJc w:val="left"/>
      <w:pPr>
        <w:ind w:left="6225" w:hanging="631"/>
      </w:pPr>
      <w:rPr>
        <w:rFonts w:hint="default"/>
      </w:rPr>
    </w:lvl>
  </w:abstractNum>
  <w:abstractNum w:abstractNumId="62">
    <w:multiLevelType w:val="hybridMultilevel"/>
    <w:lvl w:ilvl="0">
      <w:start w:val="1"/>
      <w:numFmt w:val="decimal"/>
      <w:lvlText w:val="（%1）"/>
      <w:lvlJc w:val="left"/>
      <w:pPr>
        <w:ind w:left="747" w:hanging="631"/>
        <w:jc w:val="right"/>
      </w:pPr>
      <w:rPr>
        <w:rFonts w:hint="default" w:ascii="宋体" w:hAnsi="宋体" w:eastAsia="宋体" w:cs="宋体"/>
        <w:spacing w:val="-47"/>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38" w:hanging="631"/>
      </w:pPr>
      <w:rPr>
        <w:rFonts w:hint="default"/>
      </w:rPr>
    </w:lvl>
    <w:lvl w:ilvl="3">
      <w:start w:val="0"/>
      <w:numFmt w:val="bullet"/>
      <w:lvlText w:val="•"/>
      <w:lvlJc w:val="left"/>
      <w:pPr>
        <w:ind w:left="2837" w:hanging="631"/>
      </w:pPr>
      <w:rPr>
        <w:rFonts w:hint="default"/>
      </w:rPr>
    </w:lvl>
    <w:lvl w:ilvl="4">
      <w:start w:val="0"/>
      <w:numFmt w:val="bullet"/>
      <w:lvlText w:val="•"/>
      <w:lvlJc w:val="left"/>
      <w:pPr>
        <w:ind w:left="3536" w:hanging="631"/>
      </w:pPr>
      <w:rPr>
        <w:rFonts w:hint="default"/>
      </w:rPr>
    </w:lvl>
    <w:lvl w:ilvl="5">
      <w:start w:val="0"/>
      <w:numFmt w:val="bullet"/>
      <w:lvlText w:val="•"/>
      <w:lvlJc w:val="left"/>
      <w:pPr>
        <w:ind w:left="4235" w:hanging="631"/>
      </w:pPr>
      <w:rPr>
        <w:rFonts w:hint="default"/>
      </w:rPr>
    </w:lvl>
    <w:lvl w:ilvl="6">
      <w:start w:val="0"/>
      <w:numFmt w:val="bullet"/>
      <w:lvlText w:val="•"/>
      <w:lvlJc w:val="left"/>
      <w:pPr>
        <w:ind w:left="4935" w:hanging="631"/>
      </w:pPr>
      <w:rPr>
        <w:rFonts w:hint="default"/>
      </w:rPr>
    </w:lvl>
    <w:lvl w:ilvl="7">
      <w:start w:val="0"/>
      <w:numFmt w:val="bullet"/>
      <w:lvlText w:val="•"/>
      <w:lvlJc w:val="left"/>
      <w:pPr>
        <w:ind w:left="5634" w:hanging="631"/>
      </w:pPr>
      <w:rPr>
        <w:rFonts w:hint="default"/>
      </w:rPr>
    </w:lvl>
    <w:lvl w:ilvl="8">
      <w:start w:val="0"/>
      <w:numFmt w:val="bullet"/>
      <w:lvlText w:val="•"/>
      <w:lvlJc w:val="left"/>
      <w:pPr>
        <w:ind w:left="6333" w:hanging="631"/>
      </w:pPr>
      <w:rPr>
        <w:rFonts w:hint="default"/>
      </w:rPr>
    </w:lvl>
  </w:abstractNum>
  <w:abstractNum w:abstractNumId="61">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1"/>
      <w:numFmt w:val="decimal"/>
      <w:lvlText w:val="%1.%2"/>
      <w:lvlJc w:val="left"/>
      <w:pPr>
        <w:ind w:left="1122" w:hanging="375"/>
        <w:jc w:val="left"/>
      </w:pPr>
      <w:rPr>
        <w:rFonts w:hint="default" w:ascii="宋体" w:hAnsi="宋体" w:eastAsia="宋体" w:cs="宋体"/>
        <w:w w:val="100"/>
        <w:sz w:val="21"/>
        <w:szCs w:val="21"/>
      </w:rPr>
    </w:lvl>
    <w:lvl w:ilvl="2">
      <w:start w:val="0"/>
      <w:numFmt w:val="bullet"/>
      <w:lvlText w:val="•"/>
      <w:lvlJc w:val="left"/>
      <w:pPr>
        <w:ind w:left="1854" w:hanging="375"/>
      </w:pPr>
      <w:rPr>
        <w:rFonts w:hint="default"/>
      </w:rPr>
    </w:lvl>
    <w:lvl w:ilvl="3">
      <w:start w:val="0"/>
      <w:numFmt w:val="bullet"/>
      <w:lvlText w:val="•"/>
      <w:lvlJc w:val="left"/>
      <w:pPr>
        <w:ind w:left="2589" w:hanging="375"/>
      </w:pPr>
      <w:rPr>
        <w:rFonts w:hint="default"/>
      </w:rPr>
    </w:lvl>
    <w:lvl w:ilvl="4">
      <w:start w:val="0"/>
      <w:numFmt w:val="bullet"/>
      <w:lvlText w:val="•"/>
      <w:lvlJc w:val="left"/>
      <w:pPr>
        <w:ind w:left="3323" w:hanging="375"/>
      </w:pPr>
      <w:rPr>
        <w:rFonts w:hint="default"/>
      </w:rPr>
    </w:lvl>
    <w:lvl w:ilvl="5">
      <w:start w:val="0"/>
      <w:numFmt w:val="bullet"/>
      <w:lvlText w:val="•"/>
      <w:lvlJc w:val="left"/>
      <w:pPr>
        <w:ind w:left="4058" w:hanging="375"/>
      </w:pPr>
      <w:rPr>
        <w:rFonts w:hint="default"/>
      </w:rPr>
    </w:lvl>
    <w:lvl w:ilvl="6">
      <w:start w:val="0"/>
      <w:numFmt w:val="bullet"/>
      <w:lvlText w:val="•"/>
      <w:lvlJc w:val="left"/>
      <w:pPr>
        <w:ind w:left="4793" w:hanging="375"/>
      </w:pPr>
      <w:rPr>
        <w:rFonts w:hint="default"/>
      </w:rPr>
    </w:lvl>
    <w:lvl w:ilvl="7">
      <w:start w:val="0"/>
      <w:numFmt w:val="bullet"/>
      <w:lvlText w:val="•"/>
      <w:lvlJc w:val="left"/>
      <w:pPr>
        <w:ind w:left="5527" w:hanging="375"/>
      </w:pPr>
      <w:rPr>
        <w:rFonts w:hint="default"/>
      </w:rPr>
    </w:lvl>
    <w:lvl w:ilvl="8">
      <w:start w:val="0"/>
      <w:numFmt w:val="bullet"/>
      <w:lvlText w:val="•"/>
      <w:lvlJc w:val="left"/>
      <w:pPr>
        <w:ind w:left="6262" w:hanging="375"/>
      </w:pPr>
      <w:rPr>
        <w:rFonts w:hint="default"/>
      </w:rPr>
    </w:lvl>
  </w:abstractNum>
  <w:abstractNum w:abstractNumId="60">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0"/>
      <w:numFmt w:val="bullet"/>
      <w:lvlText w:val="•"/>
      <w:lvlJc w:val="left"/>
      <w:pPr>
        <w:ind w:left="881" w:hanging="631"/>
      </w:pPr>
      <w:rPr>
        <w:rFonts w:hint="default"/>
      </w:rPr>
    </w:lvl>
    <w:lvl w:ilvl="2">
      <w:start w:val="0"/>
      <w:numFmt w:val="bullet"/>
      <w:lvlText w:val="•"/>
      <w:lvlJc w:val="left"/>
      <w:pPr>
        <w:ind w:left="1642" w:hanging="631"/>
      </w:pPr>
      <w:rPr>
        <w:rFonts w:hint="default"/>
      </w:rPr>
    </w:lvl>
    <w:lvl w:ilvl="3">
      <w:start w:val="0"/>
      <w:numFmt w:val="bullet"/>
      <w:lvlText w:val="•"/>
      <w:lvlJc w:val="left"/>
      <w:pPr>
        <w:ind w:left="2403" w:hanging="631"/>
      </w:pPr>
      <w:rPr>
        <w:rFonts w:hint="default"/>
      </w:rPr>
    </w:lvl>
    <w:lvl w:ilvl="4">
      <w:start w:val="0"/>
      <w:numFmt w:val="bullet"/>
      <w:lvlText w:val="•"/>
      <w:lvlJc w:val="left"/>
      <w:pPr>
        <w:ind w:left="3164" w:hanging="631"/>
      </w:pPr>
      <w:rPr>
        <w:rFonts w:hint="default"/>
      </w:rPr>
    </w:lvl>
    <w:lvl w:ilvl="5">
      <w:start w:val="0"/>
      <w:numFmt w:val="bullet"/>
      <w:lvlText w:val="•"/>
      <w:lvlJc w:val="left"/>
      <w:pPr>
        <w:ind w:left="3925" w:hanging="631"/>
      </w:pPr>
      <w:rPr>
        <w:rFonts w:hint="default"/>
      </w:rPr>
    </w:lvl>
    <w:lvl w:ilvl="6">
      <w:start w:val="0"/>
      <w:numFmt w:val="bullet"/>
      <w:lvlText w:val="•"/>
      <w:lvlJc w:val="left"/>
      <w:pPr>
        <w:ind w:left="4687" w:hanging="631"/>
      </w:pPr>
      <w:rPr>
        <w:rFonts w:hint="default"/>
      </w:rPr>
    </w:lvl>
    <w:lvl w:ilvl="7">
      <w:start w:val="0"/>
      <w:numFmt w:val="bullet"/>
      <w:lvlText w:val="•"/>
      <w:lvlJc w:val="left"/>
      <w:pPr>
        <w:ind w:left="5448" w:hanging="631"/>
      </w:pPr>
      <w:rPr>
        <w:rFonts w:hint="default"/>
      </w:rPr>
    </w:lvl>
    <w:lvl w:ilvl="8">
      <w:start w:val="0"/>
      <w:numFmt w:val="bullet"/>
      <w:lvlText w:val="•"/>
      <w:lvlJc w:val="left"/>
      <w:pPr>
        <w:ind w:left="6209" w:hanging="631"/>
      </w:pPr>
      <w:rPr>
        <w:rFonts w:hint="default"/>
      </w:rPr>
    </w:lvl>
  </w:abstractNum>
  <w:abstractNum w:abstractNumId="59">
    <w:multiLevelType w:val="hybridMultilevel"/>
    <w:lvl w:ilvl="0">
      <w:start w:val="9"/>
      <w:numFmt w:val="decimal"/>
      <w:lvlText w:val="%1"/>
      <w:lvlJc w:val="left"/>
      <w:pPr>
        <w:ind w:left="2654" w:hanging="1021"/>
        <w:jc w:val="left"/>
      </w:pPr>
      <w:rPr>
        <w:rFonts w:hint="default"/>
      </w:rPr>
    </w:lvl>
    <w:lvl w:ilvl="1">
      <w:start w:val="6"/>
      <w:numFmt w:val="decimal"/>
      <w:lvlText w:val="%1.%2"/>
      <w:lvlJc w:val="left"/>
      <w:pPr>
        <w:ind w:left="2654" w:hanging="1021"/>
        <w:jc w:val="left"/>
      </w:pPr>
      <w:rPr>
        <w:rFonts w:hint="default"/>
      </w:rPr>
    </w:lvl>
    <w:lvl w:ilvl="2">
      <w:start w:val="86"/>
      <w:numFmt w:val="decimal"/>
      <w:lvlText w:val="%1.%2.%3"/>
      <w:lvlJc w:val="left"/>
      <w:pPr>
        <w:ind w:left="2654" w:hanging="1021"/>
        <w:jc w:val="left"/>
      </w:pPr>
      <w:rPr>
        <w:rFonts w:hint="default"/>
        <w:b/>
        <w:bCs/>
        <w:w w:val="99"/>
      </w:rPr>
    </w:lvl>
    <w:lvl w:ilvl="3">
      <w:start w:val="0"/>
      <w:numFmt w:val="bullet"/>
      <w:lvlText w:val="•"/>
      <w:lvlJc w:val="left"/>
      <w:pPr>
        <w:ind w:left="4943" w:hanging="1021"/>
      </w:pPr>
      <w:rPr>
        <w:rFonts w:hint="default"/>
      </w:rPr>
    </w:lvl>
    <w:lvl w:ilvl="4">
      <w:start w:val="0"/>
      <w:numFmt w:val="bullet"/>
      <w:lvlText w:val="•"/>
      <w:lvlJc w:val="left"/>
      <w:pPr>
        <w:ind w:left="5704" w:hanging="1021"/>
      </w:pPr>
      <w:rPr>
        <w:rFonts w:hint="default"/>
      </w:rPr>
    </w:lvl>
    <w:lvl w:ilvl="5">
      <w:start w:val="0"/>
      <w:numFmt w:val="bullet"/>
      <w:lvlText w:val="•"/>
      <w:lvlJc w:val="left"/>
      <w:pPr>
        <w:ind w:left="6465" w:hanging="1021"/>
      </w:pPr>
      <w:rPr>
        <w:rFonts w:hint="default"/>
      </w:rPr>
    </w:lvl>
    <w:lvl w:ilvl="6">
      <w:start w:val="0"/>
      <w:numFmt w:val="bullet"/>
      <w:lvlText w:val="•"/>
      <w:lvlJc w:val="left"/>
      <w:pPr>
        <w:ind w:left="7226" w:hanging="1021"/>
      </w:pPr>
      <w:rPr>
        <w:rFonts w:hint="default"/>
      </w:rPr>
    </w:lvl>
    <w:lvl w:ilvl="7">
      <w:start w:val="0"/>
      <w:numFmt w:val="bullet"/>
      <w:lvlText w:val="•"/>
      <w:lvlJc w:val="left"/>
      <w:pPr>
        <w:ind w:left="7987" w:hanging="1021"/>
      </w:pPr>
      <w:rPr>
        <w:rFonts w:hint="default"/>
      </w:rPr>
    </w:lvl>
    <w:lvl w:ilvl="8">
      <w:start w:val="0"/>
      <w:numFmt w:val="bullet"/>
      <w:lvlText w:val="•"/>
      <w:lvlJc w:val="left"/>
      <w:pPr>
        <w:ind w:left="8748" w:hanging="1021"/>
      </w:pPr>
      <w:rPr>
        <w:rFonts w:hint="default"/>
      </w:rPr>
    </w:lvl>
  </w:abstractNum>
  <w:abstractNum w:abstractNumId="58">
    <w:multiLevelType w:val="hybridMultilevel"/>
    <w:lvl w:ilvl="0">
      <w:start w:val="1"/>
      <w:numFmt w:val="decimal"/>
      <w:lvlText w:val="（%1）"/>
      <w:lvlJc w:val="left"/>
      <w:pPr>
        <w:ind w:left="3325" w:hanging="631"/>
        <w:jc w:val="left"/>
      </w:pPr>
      <w:rPr>
        <w:rFonts w:hint="default" w:ascii="宋体" w:hAnsi="宋体" w:eastAsia="宋体" w:cs="宋体"/>
        <w:w w:val="100"/>
        <w:sz w:val="21"/>
        <w:szCs w:val="21"/>
      </w:rPr>
    </w:lvl>
    <w:lvl w:ilvl="1">
      <w:start w:val="0"/>
      <w:numFmt w:val="bullet"/>
      <w:lvlText w:val="•"/>
      <w:lvlJc w:val="left"/>
      <w:pPr>
        <w:ind w:left="4021" w:hanging="631"/>
      </w:pPr>
      <w:rPr>
        <w:rFonts w:hint="default"/>
      </w:rPr>
    </w:lvl>
    <w:lvl w:ilvl="2">
      <w:start w:val="0"/>
      <w:numFmt w:val="bullet"/>
      <w:lvlText w:val="•"/>
      <w:lvlJc w:val="left"/>
      <w:pPr>
        <w:ind w:left="4722" w:hanging="631"/>
      </w:pPr>
      <w:rPr>
        <w:rFonts w:hint="default"/>
      </w:rPr>
    </w:lvl>
    <w:lvl w:ilvl="3">
      <w:start w:val="0"/>
      <w:numFmt w:val="bullet"/>
      <w:lvlText w:val="•"/>
      <w:lvlJc w:val="left"/>
      <w:pPr>
        <w:ind w:left="5423" w:hanging="631"/>
      </w:pPr>
      <w:rPr>
        <w:rFonts w:hint="default"/>
      </w:rPr>
    </w:lvl>
    <w:lvl w:ilvl="4">
      <w:start w:val="0"/>
      <w:numFmt w:val="bullet"/>
      <w:lvlText w:val="•"/>
      <w:lvlJc w:val="left"/>
      <w:pPr>
        <w:ind w:left="6124" w:hanging="631"/>
      </w:pPr>
      <w:rPr>
        <w:rFonts w:hint="default"/>
      </w:rPr>
    </w:lvl>
    <w:lvl w:ilvl="5">
      <w:start w:val="0"/>
      <w:numFmt w:val="bullet"/>
      <w:lvlText w:val="•"/>
      <w:lvlJc w:val="left"/>
      <w:pPr>
        <w:ind w:left="6825" w:hanging="631"/>
      </w:pPr>
      <w:rPr>
        <w:rFonts w:hint="default"/>
      </w:rPr>
    </w:lvl>
    <w:lvl w:ilvl="6">
      <w:start w:val="0"/>
      <w:numFmt w:val="bullet"/>
      <w:lvlText w:val="•"/>
      <w:lvlJc w:val="left"/>
      <w:pPr>
        <w:ind w:left="7526" w:hanging="631"/>
      </w:pPr>
      <w:rPr>
        <w:rFonts w:hint="default"/>
      </w:rPr>
    </w:lvl>
    <w:lvl w:ilvl="7">
      <w:start w:val="0"/>
      <w:numFmt w:val="bullet"/>
      <w:lvlText w:val="•"/>
      <w:lvlJc w:val="left"/>
      <w:pPr>
        <w:ind w:left="8227" w:hanging="631"/>
      </w:pPr>
      <w:rPr>
        <w:rFonts w:hint="default"/>
      </w:rPr>
    </w:lvl>
    <w:lvl w:ilvl="8">
      <w:start w:val="0"/>
      <w:numFmt w:val="bullet"/>
      <w:lvlText w:val="•"/>
      <w:lvlJc w:val="left"/>
      <w:pPr>
        <w:ind w:left="8928" w:hanging="631"/>
      </w:pPr>
      <w:rPr>
        <w:rFonts w:hint="default"/>
      </w:rPr>
    </w:lvl>
  </w:abstractNum>
  <w:abstractNum w:abstractNumId="57">
    <w:multiLevelType w:val="hybridMultilevel"/>
    <w:lvl w:ilvl="0">
      <w:start w:val="1"/>
      <w:numFmt w:val="decimal"/>
      <w:lvlText w:val="（%1）"/>
      <w:lvlJc w:val="left"/>
      <w:pPr>
        <w:ind w:left="758" w:hanging="631"/>
        <w:jc w:val="left"/>
      </w:pPr>
      <w:rPr>
        <w:rFonts w:hint="default" w:ascii="宋体" w:hAnsi="宋体" w:eastAsia="宋体" w:cs="宋体"/>
        <w:spacing w:val="-51"/>
        <w:w w:val="100"/>
        <w:sz w:val="21"/>
        <w:szCs w:val="21"/>
      </w:rPr>
    </w:lvl>
    <w:lvl w:ilvl="1">
      <w:start w:val="0"/>
      <w:numFmt w:val="bullet"/>
      <w:lvlText w:val="•"/>
      <w:lvlJc w:val="left"/>
      <w:pPr>
        <w:ind w:left="1449" w:hanging="631"/>
      </w:pPr>
      <w:rPr>
        <w:rFonts w:hint="default"/>
      </w:rPr>
    </w:lvl>
    <w:lvl w:ilvl="2">
      <w:start w:val="0"/>
      <w:numFmt w:val="bullet"/>
      <w:lvlText w:val="•"/>
      <w:lvlJc w:val="left"/>
      <w:pPr>
        <w:ind w:left="2139" w:hanging="631"/>
      </w:pPr>
      <w:rPr>
        <w:rFonts w:hint="default"/>
      </w:rPr>
    </w:lvl>
    <w:lvl w:ilvl="3">
      <w:start w:val="0"/>
      <w:numFmt w:val="bullet"/>
      <w:lvlText w:val="•"/>
      <w:lvlJc w:val="left"/>
      <w:pPr>
        <w:ind w:left="2829" w:hanging="631"/>
      </w:pPr>
      <w:rPr>
        <w:rFonts w:hint="default"/>
      </w:rPr>
    </w:lvl>
    <w:lvl w:ilvl="4">
      <w:start w:val="0"/>
      <w:numFmt w:val="bullet"/>
      <w:lvlText w:val="•"/>
      <w:lvlJc w:val="left"/>
      <w:pPr>
        <w:ind w:left="3518" w:hanging="631"/>
      </w:pPr>
      <w:rPr>
        <w:rFonts w:hint="default"/>
      </w:rPr>
    </w:lvl>
    <w:lvl w:ilvl="5">
      <w:start w:val="0"/>
      <w:numFmt w:val="bullet"/>
      <w:lvlText w:val="•"/>
      <w:lvlJc w:val="left"/>
      <w:pPr>
        <w:ind w:left="4208" w:hanging="631"/>
      </w:pPr>
      <w:rPr>
        <w:rFonts w:hint="default"/>
      </w:rPr>
    </w:lvl>
    <w:lvl w:ilvl="6">
      <w:start w:val="0"/>
      <w:numFmt w:val="bullet"/>
      <w:lvlText w:val="•"/>
      <w:lvlJc w:val="left"/>
      <w:pPr>
        <w:ind w:left="4898" w:hanging="631"/>
      </w:pPr>
      <w:rPr>
        <w:rFonts w:hint="default"/>
      </w:rPr>
    </w:lvl>
    <w:lvl w:ilvl="7">
      <w:start w:val="0"/>
      <w:numFmt w:val="bullet"/>
      <w:lvlText w:val="•"/>
      <w:lvlJc w:val="left"/>
      <w:pPr>
        <w:ind w:left="5587" w:hanging="631"/>
      </w:pPr>
      <w:rPr>
        <w:rFonts w:hint="default"/>
      </w:rPr>
    </w:lvl>
    <w:lvl w:ilvl="8">
      <w:start w:val="0"/>
      <w:numFmt w:val="bullet"/>
      <w:lvlText w:val="•"/>
      <w:lvlJc w:val="left"/>
      <w:pPr>
        <w:ind w:left="6277" w:hanging="631"/>
      </w:pPr>
      <w:rPr>
        <w:rFonts w:hint="default"/>
      </w:rPr>
    </w:lvl>
  </w:abstractNum>
  <w:abstractNum w:abstractNumId="56">
    <w:multiLevelType w:val="hybridMultilevel"/>
    <w:lvl w:ilvl="0">
      <w:start w:val="9"/>
      <w:numFmt w:val="decimal"/>
      <w:lvlText w:val="%1"/>
      <w:lvlJc w:val="left"/>
      <w:pPr>
        <w:ind w:left="2694" w:hanging="1021"/>
        <w:jc w:val="left"/>
      </w:pPr>
      <w:rPr>
        <w:rFonts w:hint="default"/>
      </w:rPr>
    </w:lvl>
    <w:lvl w:ilvl="1">
      <w:start w:val="6"/>
      <w:numFmt w:val="decimal"/>
      <w:lvlText w:val="%1.%2"/>
      <w:lvlJc w:val="left"/>
      <w:pPr>
        <w:ind w:left="2694" w:hanging="1021"/>
        <w:jc w:val="left"/>
      </w:pPr>
      <w:rPr>
        <w:rFonts w:hint="default"/>
      </w:rPr>
    </w:lvl>
    <w:lvl w:ilvl="2">
      <w:start w:val="79"/>
      <w:numFmt w:val="decimal"/>
      <w:lvlText w:val="%1.%2.%3"/>
      <w:lvlJc w:val="left"/>
      <w:pPr>
        <w:ind w:left="2694" w:hanging="1021"/>
        <w:jc w:val="left"/>
      </w:pPr>
      <w:rPr>
        <w:rFonts w:hint="default" w:ascii="宋体" w:hAnsi="宋体" w:eastAsia="宋体" w:cs="宋体"/>
        <w:b/>
        <w:bCs/>
        <w:w w:val="99"/>
        <w:sz w:val="21"/>
        <w:szCs w:val="21"/>
      </w:rPr>
    </w:lvl>
    <w:lvl w:ilvl="3">
      <w:start w:val="1"/>
      <w:numFmt w:val="decimal"/>
      <w:lvlText w:val="（%4）"/>
      <w:lvlJc w:val="left"/>
      <w:pPr>
        <w:ind w:left="3325" w:hanging="631"/>
        <w:jc w:val="left"/>
      </w:pPr>
      <w:rPr>
        <w:rFonts w:hint="default" w:ascii="宋体" w:hAnsi="宋体" w:eastAsia="宋体" w:cs="宋体"/>
        <w:w w:val="100"/>
        <w:sz w:val="21"/>
        <w:szCs w:val="21"/>
      </w:rPr>
    </w:lvl>
    <w:lvl w:ilvl="4">
      <w:start w:val="0"/>
      <w:numFmt w:val="bullet"/>
      <w:lvlText w:val="•"/>
      <w:lvlJc w:val="left"/>
      <w:pPr>
        <w:ind w:left="5656" w:hanging="631"/>
      </w:pPr>
      <w:rPr>
        <w:rFonts w:hint="default"/>
      </w:rPr>
    </w:lvl>
    <w:lvl w:ilvl="5">
      <w:start w:val="0"/>
      <w:numFmt w:val="bullet"/>
      <w:lvlText w:val="•"/>
      <w:lvlJc w:val="left"/>
      <w:pPr>
        <w:ind w:left="6435" w:hanging="631"/>
      </w:pPr>
      <w:rPr>
        <w:rFonts w:hint="default"/>
      </w:rPr>
    </w:lvl>
    <w:lvl w:ilvl="6">
      <w:start w:val="0"/>
      <w:numFmt w:val="bullet"/>
      <w:lvlText w:val="•"/>
      <w:lvlJc w:val="left"/>
      <w:pPr>
        <w:ind w:left="7214" w:hanging="631"/>
      </w:pPr>
      <w:rPr>
        <w:rFonts w:hint="default"/>
      </w:rPr>
    </w:lvl>
    <w:lvl w:ilvl="7">
      <w:start w:val="0"/>
      <w:numFmt w:val="bullet"/>
      <w:lvlText w:val="•"/>
      <w:lvlJc w:val="left"/>
      <w:pPr>
        <w:ind w:left="7993" w:hanging="631"/>
      </w:pPr>
      <w:rPr>
        <w:rFonts w:hint="default"/>
      </w:rPr>
    </w:lvl>
    <w:lvl w:ilvl="8">
      <w:start w:val="0"/>
      <w:numFmt w:val="bullet"/>
      <w:lvlText w:val="•"/>
      <w:lvlJc w:val="left"/>
      <w:pPr>
        <w:ind w:left="8772" w:hanging="631"/>
      </w:pPr>
      <w:rPr>
        <w:rFonts w:hint="default"/>
      </w:rPr>
    </w:lvl>
  </w:abstractNum>
  <w:abstractNum w:abstractNumId="55">
    <w:multiLevelType w:val="hybridMultilevel"/>
    <w:lvl w:ilvl="0">
      <w:start w:val="1"/>
      <w:numFmt w:val="decimal"/>
      <w:lvlText w:val="（%1）"/>
      <w:lvlJc w:val="left"/>
      <w:pPr>
        <w:ind w:left="743" w:hanging="631"/>
        <w:jc w:val="left"/>
      </w:pPr>
      <w:rPr>
        <w:rFonts w:hint="default" w:ascii="宋体" w:hAnsi="宋体" w:eastAsia="宋体" w:cs="宋体"/>
        <w:w w:val="100"/>
        <w:sz w:val="21"/>
        <w:szCs w:val="21"/>
      </w:rPr>
    </w:lvl>
    <w:lvl w:ilvl="1">
      <w:start w:val="0"/>
      <w:numFmt w:val="bullet"/>
      <w:lvlText w:val="•"/>
      <w:lvlJc w:val="left"/>
      <w:pPr>
        <w:ind w:left="1434" w:hanging="631"/>
      </w:pPr>
      <w:rPr>
        <w:rFonts w:hint="default"/>
      </w:rPr>
    </w:lvl>
    <w:lvl w:ilvl="2">
      <w:start w:val="0"/>
      <w:numFmt w:val="bullet"/>
      <w:lvlText w:val="•"/>
      <w:lvlJc w:val="left"/>
      <w:pPr>
        <w:ind w:left="2128" w:hanging="631"/>
      </w:pPr>
      <w:rPr>
        <w:rFonts w:hint="default"/>
      </w:rPr>
    </w:lvl>
    <w:lvl w:ilvl="3">
      <w:start w:val="0"/>
      <w:numFmt w:val="bullet"/>
      <w:lvlText w:val="•"/>
      <w:lvlJc w:val="left"/>
      <w:pPr>
        <w:ind w:left="2822" w:hanging="631"/>
      </w:pPr>
      <w:rPr>
        <w:rFonts w:hint="default"/>
      </w:rPr>
    </w:lvl>
    <w:lvl w:ilvl="4">
      <w:start w:val="0"/>
      <w:numFmt w:val="bullet"/>
      <w:lvlText w:val="•"/>
      <w:lvlJc w:val="left"/>
      <w:pPr>
        <w:ind w:left="3516" w:hanging="631"/>
      </w:pPr>
      <w:rPr>
        <w:rFonts w:hint="default"/>
      </w:rPr>
    </w:lvl>
    <w:lvl w:ilvl="5">
      <w:start w:val="0"/>
      <w:numFmt w:val="bullet"/>
      <w:lvlText w:val="•"/>
      <w:lvlJc w:val="left"/>
      <w:pPr>
        <w:ind w:left="4210" w:hanging="631"/>
      </w:pPr>
      <w:rPr>
        <w:rFonts w:hint="default"/>
      </w:rPr>
    </w:lvl>
    <w:lvl w:ilvl="6">
      <w:start w:val="0"/>
      <w:numFmt w:val="bullet"/>
      <w:lvlText w:val="•"/>
      <w:lvlJc w:val="left"/>
      <w:pPr>
        <w:ind w:left="4904" w:hanging="631"/>
      </w:pPr>
      <w:rPr>
        <w:rFonts w:hint="default"/>
      </w:rPr>
    </w:lvl>
    <w:lvl w:ilvl="7">
      <w:start w:val="0"/>
      <w:numFmt w:val="bullet"/>
      <w:lvlText w:val="•"/>
      <w:lvlJc w:val="left"/>
      <w:pPr>
        <w:ind w:left="5598" w:hanging="631"/>
      </w:pPr>
      <w:rPr>
        <w:rFonts w:hint="default"/>
      </w:rPr>
    </w:lvl>
    <w:lvl w:ilvl="8">
      <w:start w:val="0"/>
      <w:numFmt w:val="bullet"/>
      <w:lvlText w:val="•"/>
      <w:lvlJc w:val="left"/>
      <w:pPr>
        <w:ind w:left="6292" w:hanging="631"/>
      </w:pPr>
      <w:rPr>
        <w:rFonts w:hint="default"/>
      </w:rPr>
    </w:lvl>
  </w:abstractNum>
  <w:abstractNum w:abstractNumId="54">
    <w:multiLevelType w:val="hybridMultilevel"/>
    <w:lvl w:ilvl="0">
      <w:start w:val="1"/>
      <w:numFmt w:val="decimal"/>
      <w:lvlText w:val="（%1）"/>
      <w:lvlJc w:val="left"/>
      <w:pPr>
        <w:ind w:left="787" w:hanging="631"/>
        <w:jc w:val="left"/>
      </w:pPr>
      <w:rPr>
        <w:rFonts w:hint="default" w:ascii="宋体" w:hAnsi="宋体" w:eastAsia="宋体" w:cs="宋体"/>
        <w:w w:val="100"/>
        <w:sz w:val="21"/>
        <w:szCs w:val="21"/>
      </w:rPr>
    </w:lvl>
    <w:lvl w:ilvl="1">
      <w:start w:val="0"/>
      <w:numFmt w:val="bullet"/>
      <w:lvlText w:val="•"/>
      <w:lvlJc w:val="left"/>
      <w:pPr>
        <w:ind w:left="3320" w:hanging="631"/>
      </w:pPr>
      <w:rPr>
        <w:rFonts w:hint="default"/>
      </w:rPr>
    </w:lvl>
    <w:lvl w:ilvl="2">
      <w:start w:val="0"/>
      <w:numFmt w:val="bullet"/>
      <w:lvlText w:val="•"/>
      <w:lvlJc w:val="left"/>
      <w:pPr>
        <w:ind w:left="3812" w:hanging="631"/>
      </w:pPr>
      <w:rPr>
        <w:rFonts w:hint="default"/>
      </w:rPr>
    </w:lvl>
    <w:lvl w:ilvl="3">
      <w:start w:val="0"/>
      <w:numFmt w:val="bullet"/>
      <w:lvlText w:val="•"/>
      <w:lvlJc w:val="left"/>
      <w:pPr>
        <w:ind w:left="4304" w:hanging="631"/>
      </w:pPr>
      <w:rPr>
        <w:rFonts w:hint="default"/>
      </w:rPr>
    </w:lvl>
    <w:lvl w:ilvl="4">
      <w:start w:val="0"/>
      <w:numFmt w:val="bullet"/>
      <w:lvlText w:val="•"/>
      <w:lvlJc w:val="left"/>
      <w:pPr>
        <w:ind w:left="4797" w:hanging="631"/>
      </w:pPr>
      <w:rPr>
        <w:rFonts w:hint="default"/>
      </w:rPr>
    </w:lvl>
    <w:lvl w:ilvl="5">
      <w:start w:val="0"/>
      <w:numFmt w:val="bullet"/>
      <w:lvlText w:val="•"/>
      <w:lvlJc w:val="left"/>
      <w:pPr>
        <w:ind w:left="5289" w:hanging="631"/>
      </w:pPr>
      <w:rPr>
        <w:rFonts w:hint="default"/>
      </w:rPr>
    </w:lvl>
    <w:lvl w:ilvl="6">
      <w:start w:val="0"/>
      <w:numFmt w:val="bullet"/>
      <w:lvlText w:val="•"/>
      <w:lvlJc w:val="left"/>
      <w:pPr>
        <w:ind w:left="5782" w:hanging="631"/>
      </w:pPr>
      <w:rPr>
        <w:rFonts w:hint="default"/>
      </w:rPr>
    </w:lvl>
    <w:lvl w:ilvl="7">
      <w:start w:val="0"/>
      <w:numFmt w:val="bullet"/>
      <w:lvlText w:val="•"/>
      <w:lvlJc w:val="left"/>
      <w:pPr>
        <w:ind w:left="6274" w:hanging="631"/>
      </w:pPr>
      <w:rPr>
        <w:rFonts w:hint="default"/>
      </w:rPr>
    </w:lvl>
    <w:lvl w:ilvl="8">
      <w:start w:val="0"/>
      <w:numFmt w:val="bullet"/>
      <w:lvlText w:val="•"/>
      <w:lvlJc w:val="left"/>
      <w:pPr>
        <w:ind w:left="6767" w:hanging="631"/>
      </w:pPr>
      <w:rPr>
        <w:rFonts w:hint="default"/>
      </w:rPr>
    </w:lvl>
  </w:abstractNum>
  <w:abstractNum w:abstractNumId="53">
    <w:multiLevelType w:val="hybridMultilevel"/>
    <w:lvl w:ilvl="0">
      <w:start w:val="1"/>
      <w:numFmt w:val="decimal"/>
      <w:lvlText w:val="（%1）"/>
      <w:lvlJc w:val="left"/>
      <w:pPr>
        <w:ind w:left="3325" w:hanging="631"/>
        <w:jc w:val="left"/>
      </w:pPr>
      <w:rPr>
        <w:rFonts w:hint="default" w:ascii="宋体" w:hAnsi="宋体" w:eastAsia="宋体" w:cs="宋体"/>
        <w:w w:val="100"/>
        <w:sz w:val="21"/>
        <w:szCs w:val="21"/>
      </w:rPr>
    </w:lvl>
    <w:lvl w:ilvl="1">
      <w:start w:val="0"/>
      <w:numFmt w:val="bullet"/>
      <w:lvlText w:val="•"/>
      <w:lvlJc w:val="left"/>
      <w:pPr>
        <w:ind w:left="4013" w:hanging="631"/>
      </w:pPr>
      <w:rPr>
        <w:rFonts w:hint="default"/>
      </w:rPr>
    </w:lvl>
    <w:lvl w:ilvl="2">
      <w:start w:val="0"/>
      <w:numFmt w:val="bullet"/>
      <w:lvlText w:val="•"/>
      <w:lvlJc w:val="left"/>
      <w:pPr>
        <w:ind w:left="4706" w:hanging="631"/>
      </w:pPr>
      <w:rPr>
        <w:rFonts w:hint="default"/>
      </w:rPr>
    </w:lvl>
    <w:lvl w:ilvl="3">
      <w:start w:val="0"/>
      <w:numFmt w:val="bullet"/>
      <w:lvlText w:val="•"/>
      <w:lvlJc w:val="left"/>
      <w:pPr>
        <w:ind w:left="5399" w:hanging="631"/>
      </w:pPr>
      <w:rPr>
        <w:rFonts w:hint="default"/>
      </w:rPr>
    </w:lvl>
    <w:lvl w:ilvl="4">
      <w:start w:val="0"/>
      <w:numFmt w:val="bullet"/>
      <w:lvlText w:val="•"/>
      <w:lvlJc w:val="left"/>
      <w:pPr>
        <w:ind w:left="6092" w:hanging="631"/>
      </w:pPr>
      <w:rPr>
        <w:rFonts w:hint="default"/>
      </w:rPr>
    </w:lvl>
    <w:lvl w:ilvl="5">
      <w:start w:val="0"/>
      <w:numFmt w:val="bullet"/>
      <w:lvlText w:val="•"/>
      <w:lvlJc w:val="left"/>
      <w:pPr>
        <w:ind w:left="6785" w:hanging="631"/>
      </w:pPr>
      <w:rPr>
        <w:rFonts w:hint="default"/>
      </w:rPr>
    </w:lvl>
    <w:lvl w:ilvl="6">
      <w:start w:val="0"/>
      <w:numFmt w:val="bullet"/>
      <w:lvlText w:val="•"/>
      <w:lvlJc w:val="left"/>
      <w:pPr>
        <w:ind w:left="7478" w:hanging="631"/>
      </w:pPr>
      <w:rPr>
        <w:rFonts w:hint="default"/>
      </w:rPr>
    </w:lvl>
    <w:lvl w:ilvl="7">
      <w:start w:val="0"/>
      <w:numFmt w:val="bullet"/>
      <w:lvlText w:val="•"/>
      <w:lvlJc w:val="left"/>
      <w:pPr>
        <w:ind w:left="8171" w:hanging="631"/>
      </w:pPr>
      <w:rPr>
        <w:rFonts w:hint="default"/>
      </w:rPr>
    </w:lvl>
    <w:lvl w:ilvl="8">
      <w:start w:val="0"/>
      <w:numFmt w:val="bullet"/>
      <w:lvlText w:val="•"/>
      <w:lvlJc w:val="left"/>
      <w:pPr>
        <w:ind w:left="8864" w:hanging="631"/>
      </w:pPr>
      <w:rPr>
        <w:rFonts w:hint="default"/>
      </w:rPr>
    </w:lvl>
  </w:abstractNum>
  <w:abstractNum w:abstractNumId="52">
    <w:multiLevelType w:val="hybridMultilevel"/>
    <w:lvl w:ilvl="0">
      <w:start w:val="9"/>
      <w:numFmt w:val="decimal"/>
      <w:lvlText w:val="%1"/>
      <w:lvlJc w:val="left"/>
      <w:pPr>
        <w:ind w:left="2694" w:hanging="1021"/>
        <w:jc w:val="left"/>
      </w:pPr>
      <w:rPr>
        <w:rFonts w:hint="default"/>
      </w:rPr>
    </w:lvl>
    <w:lvl w:ilvl="1">
      <w:start w:val="6"/>
      <w:numFmt w:val="decimal"/>
      <w:lvlText w:val="%1.%2"/>
      <w:lvlJc w:val="left"/>
      <w:pPr>
        <w:ind w:left="2694" w:hanging="1021"/>
        <w:jc w:val="left"/>
      </w:pPr>
      <w:rPr>
        <w:rFonts w:hint="default"/>
      </w:rPr>
    </w:lvl>
    <w:lvl w:ilvl="2">
      <w:start w:val="60"/>
      <w:numFmt w:val="decimal"/>
      <w:lvlText w:val="%1.%2.%3"/>
      <w:lvlJc w:val="left"/>
      <w:pPr>
        <w:ind w:left="2694" w:hanging="1021"/>
        <w:jc w:val="left"/>
      </w:pPr>
      <w:rPr>
        <w:rFonts w:hint="default" w:ascii="宋体" w:hAnsi="宋体" w:eastAsia="宋体" w:cs="宋体"/>
        <w:b/>
        <w:bCs/>
        <w:w w:val="99"/>
        <w:sz w:val="21"/>
        <w:szCs w:val="21"/>
      </w:rPr>
    </w:lvl>
    <w:lvl w:ilvl="3">
      <w:start w:val="1"/>
      <w:numFmt w:val="decimal"/>
      <w:lvlText w:val="（%4）"/>
      <w:lvlJc w:val="left"/>
      <w:pPr>
        <w:ind w:left="3325" w:hanging="631"/>
        <w:jc w:val="left"/>
      </w:pPr>
      <w:rPr>
        <w:rFonts w:hint="default" w:ascii="宋体" w:hAnsi="宋体" w:eastAsia="宋体" w:cs="宋体"/>
        <w:spacing w:val="-105"/>
        <w:w w:val="100"/>
        <w:sz w:val="21"/>
        <w:szCs w:val="21"/>
      </w:rPr>
    </w:lvl>
    <w:lvl w:ilvl="4">
      <w:start w:val="0"/>
      <w:numFmt w:val="bullet"/>
      <w:lvlText w:val="•"/>
      <w:lvlJc w:val="left"/>
      <w:pPr>
        <w:ind w:left="5630" w:hanging="631"/>
      </w:pPr>
      <w:rPr>
        <w:rFonts w:hint="default"/>
      </w:rPr>
    </w:lvl>
    <w:lvl w:ilvl="5">
      <w:start w:val="0"/>
      <w:numFmt w:val="bullet"/>
      <w:lvlText w:val="•"/>
      <w:lvlJc w:val="left"/>
      <w:pPr>
        <w:ind w:left="6400" w:hanging="631"/>
      </w:pPr>
      <w:rPr>
        <w:rFonts w:hint="default"/>
      </w:rPr>
    </w:lvl>
    <w:lvl w:ilvl="6">
      <w:start w:val="0"/>
      <w:numFmt w:val="bullet"/>
      <w:lvlText w:val="•"/>
      <w:lvlJc w:val="left"/>
      <w:pPr>
        <w:ind w:left="7170" w:hanging="631"/>
      </w:pPr>
      <w:rPr>
        <w:rFonts w:hint="default"/>
      </w:rPr>
    </w:lvl>
    <w:lvl w:ilvl="7">
      <w:start w:val="0"/>
      <w:numFmt w:val="bullet"/>
      <w:lvlText w:val="•"/>
      <w:lvlJc w:val="left"/>
      <w:pPr>
        <w:ind w:left="7940" w:hanging="631"/>
      </w:pPr>
      <w:rPr>
        <w:rFonts w:hint="default"/>
      </w:rPr>
    </w:lvl>
    <w:lvl w:ilvl="8">
      <w:start w:val="0"/>
      <w:numFmt w:val="bullet"/>
      <w:lvlText w:val="•"/>
      <w:lvlJc w:val="left"/>
      <w:pPr>
        <w:ind w:left="8710" w:hanging="631"/>
      </w:pPr>
      <w:rPr>
        <w:rFonts w:hint="default"/>
      </w:rPr>
    </w:lvl>
  </w:abstractNum>
  <w:abstractNum w:abstractNumId="51">
    <w:multiLevelType w:val="hybridMultilevel"/>
    <w:lvl w:ilvl="0">
      <w:start w:val="1"/>
      <w:numFmt w:val="decimal"/>
      <w:lvlText w:val="%1"/>
      <w:lvlJc w:val="left"/>
      <w:pPr>
        <w:ind w:left="3640" w:hanging="375"/>
        <w:jc w:val="left"/>
      </w:pPr>
      <w:rPr>
        <w:rFonts w:hint="default"/>
      </w:rPr>
    </w:lvl>
    <w:lvl w:ilvl="1">
      <w:start w:val="1"/>
      <w:numFmt w:val="decimal"/>
      <w:lvlText w:val="%1.%2"/>
      <w:lvlJc w:val="left"/>
      <w:pPr>
        <w:ind w:left="3640" w:hanging="375"/>
        <w:jc w:val="left"/>
      </w:pPr>
      <w:rPr>
        <w:rFonts w:hint="default" w:ascii="宋体" w:hAnsi="宋体" w:eastAsia="宋体" w:cs="宋体"/>
        <w:w w:val="100"/>
        <w:sz w:val="21"/>
        <w:szCs w:val="21"/>
      </w:rPr>
    </w:lvl>
    <w:lvl w:ilvl="2">
      <w:start w:val="0"/>
      <w:numFmt w:val="bullet"/>
      <w:lvlText w:val="•"/>
      <w:lvlJc w:val="left"/>
      <w:pPr>
        <w:ind w:left="4962" w:hanging="375"/>
      </w:pPr>
      <w:rPr>
        <w:rFonts w:hint="default"/>
      </w:rPr>
    </w:lvl>
    <w:lvl w:ilvl="3">
      <w:start w:val="0"/>
      <w:numFmt w:val="bullet"/>
      <w:lvlText w:val="•"/>
      <w:lvlJc w:val="left"/>
      <w:pPr>
        <w:ind w:left="5623" w:hanging="375"/>
      </w:pPr>
      <w:rPr>
        <w:rFonts w:hint="default"/>
      </w:rPr>
    </w:lvl>
    <w:lvl w:ilvl="4">
      <w:start w:val="0"/>
      <w:numFmt w:val="bullet"/>
      <w:lvlText w:val="•"/>
      <w:lvlJc w:val="left"/>
      <w:pPr>
        <w:ind w:left="6284" w:hanging="375"/>
      </w:pPr>
      <w:rPr>
        <w:rFonts w:hint="default"/>
      </w:rPr>
    </w:lvl>
    <w:lvl w:ilvl="5">
      <w:start w:val="0"/>
      <w:numFmt w:val="bullet"/>
      <w:lvlText w:val="•"/>
      <w:lvlJc w:val="left"/>
      <w:pPr>
        <w:ind w:left="6945" w:hanging="375"/>
      </w:pPr>
      <w:rPr>
        <w:rFonts w:hint="default"/>
      </w:rPr>
    </w:lvl>
    <w:lvl w:ilvl="6">
      <w:start w:val="0"/>
      <w:numFmt w:val="bullet"/>
      <w:lvlText w:val="•"/>
      <w:lvlJc w:val="left"/>
      <w:pPr>
        <w:ind w:left="7606" w:hanging="375"/>
      </w:pPr>
      <w:rPr>
        <w:rFonts w:hint="default"/>
      </w:rPr>
    </w:lvl>
    <w:lvl w:ilvl="7">
      <w:start w:val="0"/>
      <w:numFmt w:val="bullet"/>
      <w:lvlText w:val="•"/>
      <w:lvlJc w:val="left"/>
      <w:pPr>
        <w:ind w:left="8267" w:hanging="375"/>
      </w:pPr>
      <w:rPr>
        <w:rFonts w:hint="default"/>
      </w:rPr>
    </w:lvl>
    <w:lvl w:ilvl="8">
      <w:start w:val="0"/>
      <w:numFmt w:val="bullet"/>
      <w:lvlText w:val="•"/>
      <w:lvlJc w:val="left"/>
      <w:pPr>
        <w:ind w:left="8928" w:hanging="375"/>
      </w:pPr>
      <w:rPr>
        <w:rFonts w:hint="default"/>
      </w:rPr>
    </w:lvl>
  </w:abstractNum>
  <w:abstractNum w:abstractNumId="50">
    <w:multiLevelType w:val="hybridMultilevel"/>
    <w:lvl w:ilvl="0">
      <w:start w:val="1"/>
      <w:numFmt w:val="decimal"/>
      <w:lvlText w:val="（%1）"/>
      <w:lvlJc w:val="left"/>
      <w:pPr>
        <w:ind w:left="743" w:hanging="631"/>
        <w:jc w:val="left"/>
      </w:pPr>
      <w:rPr>
        <w:rFonts w:hint="default" w:ascii="宋体" w:hAnsi="宋体" w:eastAsia="宋体" w:cs="宋体"/>
        <w:spacing w:val="-45"/>
        <w:w w:val="100"/>
        <w:sz w:val="21"/>
        <w:szCs w:val="21"/>
      </w:rPr>
    </w:lvl>
    <w:lvl w:ilvl="1">
      <w:start w:val="0"/>
      <w:numFmt w:val="bullet"/>
      <w:lvlText w:val="•"/>
      <w:lvlJc w:val="left"/>
      <w:pPr>
        <w:ind w:left="1419" w:hanging="631"/>
      </w:pPr>
      <w:rPr>
        <w:rFonts w:hint="default"/>
      </w:rPr>
    </w:lvl>
    <w:lvl w:ilvl="2">
      <w:start w:val="0"/>
      <w:numFmt w:val="bullet"/>
      <w:lvlText w:val="•"/>
      <w:lvlJc w:val="left"/>
      <w:pPr>
        <w:ind w:left="2098" w:hanging="631"/>
      </w:pPr>
      <w:rPr>
        <w:rFonts w:hint="default"/>
      </w:rPr>
    </w:lvl>
    <w:lvl w:ilvl="3">
      <w:start w:val="0"/>
      <w:numFmt w:val="bullet"/>
      <w:lvlText w:val="•"/>
      <w:lvlJc w:val="left"/>
      <w:pPr>
        <w:ind w:left="2777" w:hanging="631"/>
      </w:pPr>
      <w:rPr>
        <w:rFonts w:hint="default"/>
      </w:rPr>
    </w:lvl>
    <w:lvl w:ilvl="4">
      <w:start w:val="0"/>
      <w:numFmt w:val="bullet"/>
      <w:lvlText w:val="•"/>
      <w:lvlJc w:val="left"/>
      <w:pPr>
        <w:ind w:left="3456" w:hanging="631"/>
      </w:pPr>
      <w:rPr>
        <w:rFonts w:hint="default"/>
      </w:rPr>
    </w:lvl>
    <w:lvl w:ilvl="5">
      <w:start w:val="0"/>
      <w:numFmt w:val="bullet"/>
      <w:lvlText w:val="•"/>
      <w:lvlJc w:val="left"/>
      <w:pPr>
        <w:ind w:left="4135" w:hanging="631"/>
      </w:pPr>
      <w:rPr>
        <w:rFonts w:hint="default"/>
      </w:rPr>
    </w:lvl>
    <w:lvl w:ilvl="6">
      <w:start w:val="0"/>
      <w:numFmt w:val="bullet"/>
      <w:lvlText w:val="•"/>
      <w:lvlJc w:val="left"/>
      <w:pPr>
        <w:ind w:left="4814" w:hanging="631"/>
      </w:pPr>
      <w:rPr>
        <w:rFonts w:hint="default"/>
      </w:rPr>
    </w:lvl>
    <w:lvl w:ilvl="7">
      <w:start w:val="0"/>
      <w:numFmt w:val="bullet"/>
      <w:lvlText w:val="•"/>
      <w:lvlJc w:val="left"/>
      <w:pPr>
        <w:ind w:left="5493" w:hanging="631"/>
      </w:pPr>
      <w:rPr>
        <w:rFonts w:hint="default"/>
      </w:rPr>
    </w:lvl>
    <w:lvl w:ilvl="8">
      <w:start w:val="0"/>
      <w:numFmt w:val="bullet"/>
      <w:lvlText w:val="•"/>
      <w:lvlJc w:val="left"/>
      <w:pPr>
        <w:ind w:left="6172" w:hanging="631"/>
      </w:pPr>
      <w:rPr>
        <w:rFonts w:hint="default"/>
      </w:rPr>
    </w:lvl>
  </w:abstractNum>
  <w:abstractNum w:abstractNumId="49">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2"/>
      <w:numFmt w:val="decimal"/>
      <w:lvlText w:val="（%2）"/>
      <w:lvlJc w:val="left"/>
      <w:pPr>
        <w:ind w:left="2694" w:hanging="601"/>
        <w:jc w:val="left"/>
      </w:pPr>
      <w:rPr>
        <w:rFonts w:hint="default" w:ascii="宋体" w:hAnsi="宋体" w:eastAsia="宋体" w:cs="宋体"/>
        <w:w w:val="100"/>
        <w:sz w:val="21"/>
        <w:szCs w:val="21"/>
      </w:rPr>
    </w:lvl>
    <w:lvl w:ilvl="2">
      <w:start w:val="0"/>
      <w:numFmt w:val="bullet"/>
      <w:lvlText w:val="•"/>
      <w:lvlJc w:val="left"/>
      <w:pPr>
        <w:ind w:left="3252" w:hanging="601"/>
      </w:pPr>
      <w:rPr>
        <w:rFonts w:hint="default"/>
      </w:rPr>
    </w:lvl>
    <w:lvl w:ilvl="3">
      <w:start w:val="0"/>
      <w:numFmt w:val="bullet"/>
      <w:lvlText w:val="•"/>
      <w:lvlJc w:val="left"/>
      <w:pPr>
        <w:ind w:left="3804" w:hanging="601"/>
      </w:pPr>
      <w:rPr>
        <w:rFonts w:hint="default"/>
      </w:rPr>
    </w:lvl>
    <w:lvl w:ilvl="4">
      <w:start w:val="0"/>
      <w:numFmt w:val="bullet"/>
      <w:lvlText w:val="•"/>
      <w:lvlJc w:val="left"/>
      <w:pPr>
        <w:ind w:left="4357" w:hanging="601"/>
      </w:pPr>
      <w:rPr>
        <w:rFonts w:hint="default"/>
      </w:rPr>
    </w:lvl>
    <w:lvl w:ilvl="5">
      <w:start w:val="0"/>
      <w:numFmt w:val="bullet"/>
      <w:lvlText w:val="•"/>
      <w:lvlJc w:val="left"/>
      <w:pPr>
        <w:ind w:left="4909" w:hanging="601"/>
      </w:pPr>
      <w:rPr>
        <w:rFonts w:hint="default"/>
      </w:rPr>
    </w:lvl>
    <w:lvl w:ilvl="6">
      <w:start w:val="0"/>
      <w:numFmt w:val="bullet"/>
      <w:lvlText w:val="•"/>
      <w:lvlJc w:val="left"/>
      <w:pPr>
        <w:ind w:left="5462" w:hanging="601"/>
      </w:pPr>
      <w:rPr>
        <w:rFonts w:hint="default"/>
      </w:rPr>
    </w:lvl>
    <w:lvl w:ilvl="7">
      <w:start w:val="0"/>
      <w:numFmt w:val="bullet"/>
      <w:lvlText w:val="•"/>
      <w:lvlJc w:val="left"/>
      <w:pPr>
        <w:ind w:left="6014" w:hanging="601"/>
      </w:pPr>
      <w:rPr>
        <w:rFonts w:hint="default"/>
      </w:rPr>
    </w:lvl>
    <w:lvl w:ilvl="8">
      <w:start w:val="0"/>
      <w:numFmt w:val="bullet"/>
      <w:lvlText w:val="•"/>
      <w:lvlJc w:val="left"/>
      <w:pPr>
        <w:ind w:left="6567" w:hanging="601"/>
      </w:pPr>
      <w:rPr>
        <w:rFonts w:hint="default"/>
      </w:rPr>
    </w:lvl>
  </w:abstractNum>
  <w:abstractNum w:abstractNumId="48">
    <w:multiLevelType w:val="hybridMultilevel"/>
    <w:lvl w:ilvl="0">
      <w:start w:val="1"/>
      <w:numFmt w:val="decimal"/>
      <w:lvlText w:val="（%1）"/>
      <w:lvlJc w:val="left"/>
      <w:pPr>
        <w:ind w:left="747" w:hanging="631"/>
        <w:jc w:val="left"/>
      </w:pPr>
      <w:rPr>
        <w:rFonts w:hint="default" w:ascii="宋体" w:hAnsi="宋体" w:eastAsia="宋体" w:cs="宋体"/>
        <w:spacing w:val="-2"/>
        <w:w w:val="100"/>
        <w:sz w:val="21"/>
        <w:szCs w:val="21"/>
      </w:rPr>
    </w:lvl>
    <w:lvl w:ilvl="1">
      <w:start w:val="0"/>
      <w:numFmt w:val="bullet"/>
      <w:lvlText w:val="•"/>
      <w:lvlJc w:val="left"/>
      <w:pPr>
        <w:ind w:left="1435" w:hanging="631"/>
      </w:pPr>
      <w:rPr>
        <w:rFonts w:hint="default"/>
      </w:rPr>
    </w:lvl>
    <w:lvl w:ilvl="2">
      <w:start w:val="0"/>
      <w:numFmt w:val="bullet"/>
      <w:lvlText w:val="•"/>
      <w:lvlJc w:val="left"/>
      <w:pPr>
        <w:ind w:left="2130" w:hanging="631"/>
      </w:pPr>
      <w:rPr>
        <w:rFonts w:hint="default"/>
      </w:rPr>
    </w:lvl>
    <w:lvl w:ilvl="3">
      <w:start w:val="0"/>
      <w:numFmt w:val="bullet"/>
      <w:lvlText w:val="•"/>
      <w:lvlJc w:val="left"/>
      <w:pPr>
        <w:ind w:left="2825" w:hanging="631"/>
      </w:pPr>
      <w:rPr>
        <w:rFonts w:hint="default"/>
      </w:rPr>
    </w:lvl>
    <w:lvl w:ilvl="4">
      <w:start w:val="0"/>
      <w:numFmt w:val="bullet"/>
      <w:lvlText w:val="•"/>
      <w:lvlJc w:val="left"/>
      <w:pPr>
        <w:ind w:left="3520" w:hanging="631"/>
      </w:pPr>
      <w:rPr>
        <w:rFonts w:hint="default"/>
      </w:rPr>
    </w:lvl>
    <w:lvl w:ilvl="5">
      <w:start w:val="0"/>
      <w:numFmt w:val="bullet"/>
      <w:lvlText w:val="•"/>
      <w:lvlJc w:val="left"/>
      <w:pPr>
        <w:ind w:left="4215" w:hanging="631"/>
      </w:pPr>
      <w:rPr>
        <w:rFonts w:hint="default"/>
      </w:rPr>
    </w:lvl>
    <w:lvl w:ilvl="6">
      <w:start w:val="0"/>
      <w:numFmt w:val="bullet"/>
      <w:lvlText w:val="•"/>
      <w:lvlJc w:val="left"/>
      <w:pPr>
        <w:ind w:left="4911" w:hanging="631"/>
      </w:pPr>
      <w:rPr>
        <w:rFonts w:hint="default"/>
      </w:rPr>
    </w:lvl>
    <w:lvl w:ilvl="7">
      <w:start w:val="0"/>
      <w:numFmt w:val="bullet"/>
      <w:lvlText w:val="•"/>
      <w:lvlJc w:val="left"/>
      <w:pPr>
        <w:ind w:left="5606" w:hanging="631"/>
      </w:pPr>
      <w:rPr>
        <w:rFonts w:hint="default"/>
      </w:rPr>
    </w:lvl>
    <w:lvl w:ilvl="8">
      <w:start w:val="0"/>
      <w:numFmt w:val="bullet"/>
      <w:lvlText w:val="•"/>
      <w:lvlJc w:val="left"/>
      <w:pPr>
        <w:ind w:left="6301" w:hanging="631"/>
      </w:pPr>
      <w:rPr>
        <w:rFonts w:hint="default"/>
      </w:rPr>
    </w:lvl>
  </w:abstractNum>
  <w:abstractNum w:abstractNumId="47">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0"/>
      <w:numFmt w:val="bullet"/>
      <w:lvlText w:val="•"/>
      <w:lvlJc w:val="left"/>
      <w:pPr>
        <w:ind w:left="877" w:hanging="631"/>
      </w:pPr>
      <w:rPr>
        <w:rFonts w:hint="default"/>
      </w:rPr>
    </w:lvl>
    <w:lvl w:ilvl="2">
      <w:start w:val="0"/>
      <w:numFmt w:val="bullet"/>
      <w:lvlText w:val="•"/>
      <w:lvlJc w:val="left"/>
      <w:pPr>
        <w:ind w:left="1634" w:hanging="631"/>
      </w:pPr>
      <w:rPr>
        <w:rFonts w:hint="default"/>
      </w:rPr>
    </w:lvl>
    <w:lvl w:ilvl="3">
      <w:start w:val="0"/>
      <w:numFmt w:val="bullet"/>
      <w:lvlText w:val="•"/>
      <w:lvlJc w:val="left"/>
      <w:pPr>
        <w:ind w:left="2391" w:hanging="631"/>
      </w:pPr>
      <w:rPr>
        <w:rFonts w:hint="default"/>
      </w:rPr>
    </w:lvl>
    <w:lvl w:ilvl="4">
      <w:start w:val="0"/>
      <w:numFmt w:val="bullet"/>
      <w:lvlText w:val="•"/>
      <w:lvlJc w:val="left"/>
      <w:pPr>
        <w:ind w:left="3148" w:hanging="631"/>
      </w:pPr>
      <w:rPr>
        <w:rFonts w:hint="default"/>
      </w:rPr>
    </w:lvl>
    <w:lvl w:ilvl="5">
      <w:start w:val="0"/>
      <w:numFmt w:val="bullet"/>
      <w:lvlText w:val="•"/>
      <w:lvlJc w:val="left"/>
      <w:pPr>
        <w:ind w:left="3905" w:hanging="631"/>
      </w:pPr>
      <w:rPr>
        <w:rFonts w:hint="default"/>
      </w:rPr>
    </w:lvl>
    <w:lvl w:ilvl="6">
      <w:start w:val="0"/>
      <w:numFmt w:val="bullet"/>
      <w:lvlText w:val="•"/>
      <w:lvlJc w:val="left"/>
      <w:pPr>
        <w:ind w:left="4663" w:hanging="631"/>
      </w:pPr>
      <w:rPr>
        <w:rFonts w:hint="default"/>
      </w:rPr>
    </w:lvl>
    <w:lvl w:ilvl="7">
      <w:start w:val="0"/>
      <w:numFmt w:val="bullet"/>
      <w:lvlText w:val="•"/>
      <w:lvlJc w:val="left"/>
      <w:pPr>
        <w:ind w:left="5420" w:hanging="631"/>
      </w:pPr>
      <w:rPr>
        <w:rFonts w:hint="default"/>
      </w:rPr>
    </w:lvl>
    <w:lvl w:ilvl="8">
      <w:start w:val="0"/>
      <w:numFmt w:val="bullet"/>
      <w:lvlText w:val="•"/>
      <w:lvlJc w:val="left"/>
      <w:pPr>
        <w:ind w:left="6177" w:hanging="631"/>
      </w:pPr>
      <w:rPr>
        <w:rFonts w:hint="default"/>
      </w:rPr>
    </w:lvl>
  </w:abstractNum>
  <w:abstractNum w:abstractNumId="46">
    <w:multiLevelType w:val="hybridMultilevel"/>
    <w:lvl w:ilvl="0">
      <w:start w:val="1"/>
      <w:numFmt w:val="decimal"/>
      <w:lvlText w:val="（%1）"/>
      <w:lvlJc w:val="left"/>
      <w:pPr>
        <w:ind w:left="116" w:hanging="601"/>
        <w:jc w:val="left"/>
      </w:pPr>
      <w:rPr>
        <w:rFonts w:hint="default" w:ascii="宋体" w:hAnsi="宋体" w:eastAsia="宋体" w:cs="宋体"/>
        <w:w w:val="100"/>
        <w:sz w:val="21"/>
        <w:szCs w:val="21"/>
      </w:rPr>
    </w:lvl>
    <w:lvl w:ilvl="1">
      <w:start w:val="0"/>
      <w:numFmt w:val="bullet"/>
      <w:lvlText w:val="•"/>
      <w:lvlJc w:val="left"/>
      <w:pPr>
        <w:ind w:left="883" w:hanging="601"/>
      </w:pPr>
      <w:rPr>
        <w:rFonts w:hint="default"/>
      </w:rPr>
    </w:lvl>
    <w:lvl w:ilvl="2">
      <w:start w:val="0"/>
      <w:numFmt w:val="bullet"/>
      <w:lvlText w:val="•"/>
      <w:lvlJc w:val="left"/>
      <w:pPr>
        <w:ind w:left="1646" w:hanging="601"/>
      </w:pPr>
      <w:rPr>
        <w:rFonts w:hint="default"/>
      </w:rPr>
    </w:lvl>
    <w:lvl w:ilvl="3">
      <w:start w:val="0"/>
      <w:numFmt w:val="bullet"/>
      <w:lvlText w:val="•"/>
      <w:lvlJc w:val="left"/>
      <w:pPr>
        <w:ind w:left="2409" w:hanging="601"/>
      </w:pPr>
      <w:rPr>
        <w:rFonts w:hint="default"/>
      </w:rPr>
    </w:lvl>
    <w:lvl w:ilvl="4">
      <w:start w:val="0"/>
      <w:numFmt w:val="bullet"/>
      <w:lvlText w:val="•"/>
      <w:lvlJc w:val="left"/>
      <w:pPr>
        <w:ind w:left="3172" w:hanging="601"/>
      </w:pPr>
      <w:rPr>
        <w:rFonts w:hint="default"/>
      </w:rPr>
    </w:lvl>
    <w:lvl w:ilvl="5">
      <w:start w:val="0"/>
      <w:numFmt w:val="bullet"/>
      <w:lvlText w:val="•"/>
      <w:lvlJc w:val="left"/>
      <w:pPr>
        <w:ind w:left="3935" w:hanging="601"/>
      </w:pPr>
      <w:rPr>
        <w:rFonts w:hint="default"/>
      </w:rPr>
    </w:lvl>
    <w:lvl w:ilvl="6">
      <w:start w:val="0"/>
      <w:numFmt w:val="bullet"/>
      <w:lvlText w:val="•"/>
      <w:lvlJc w:val="left"/>
      <w:pPr>
        <w:ind w:left="4699" w:hanging="601"/>
      </w:pPr>
      <w:rPr>
        <w:rFonts w:hint="default"/>
      </w:rPr>
    </w:lvl>
    <w:lvl w:ilvl="7">
      <w:start w:val="0"/>
      <w:numFmt w:val="bullet"/>
      <w:lvlText w:val="•"/>
      <w:lvlJc w:val="left"/>
      <w:pPr>
        <w:ind w:left="5462" w:hanging="601"/>
      </w:pPr>
      <w:rPr>
        <w:rFonts w:hint="default"/>
      </w:rPr>
    </w:lvl>
    <w:lvl w:ilvl="8">
      <w:start w:val="0"/>
      <w:numFmt w:val="bullet"/>
      <w:lvlText w:val="•"/>
      <w:lvlJc w:val="left"/>
      <w:pPr>
        <w:ind w:left="6225" w:hanging="601"/>
      </w:pPr>
      <w:rPr>
        <w:rFonts w:hint="default"/>
      </w:rPr>
    </w:lvl>
  </w:abstractNum>
  <w:abstractNum w:abstractNumId="45">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0"/>
      <w:numFmt w:val="bullet"/>
      <w:lvlText w:val="•"/>
      <w:lvlJc w:val="left"/>
      <w:pPr>
        <w:ind w:left="883" w:hanging="631"/>
      </w:pPr>
      <w:rPr>
        <w:rFonts w:hint="default"/>
      </w:rPr>
    </w:lvl>
    <w:lvl w:ilvl="2">
      <w:start w:val="0"/>
      <w:numFmt w:val="bullet"/>
      <w:lvlText w:val="•"/>
      <w:lvlJc w:val="left"/>
      <w:pPr>
        <w:ind w:left="1646" w:hanging="631"/>
      </w:pPr>
      <w:rPr>
        <w:rFonts w:hint="default"/>
      </w:rPr>
    </w:lvl>
    <w:lvl w:ilvl="3">
      <w:start w:val="0"/>
      <w:numFmt w:val="bullet"/>
      <w:lvlText w:val="•"/>
      <w:lvlJc w:val="left"/>
      <w:pPr>
        <w:ind w:left="2409" w:hanging="631"/>
      </w:pPr>
      <w:rPr>
        <w:rFonts w:hint="default"/>
      </w:rPr>
    </w:lvl>
    <w:lvl w:ilvl="4">
      <w:start w:val="0"/>
      <w:numFmt w:val="bullet"/>
      <w:lvlText w:val="•"/>
      <w:lvlJc w:val="left"/>
      <w:pPr>
        <w:ind w:left="3172" w:hanging="631"/>
      </w:pPr>
      <w:rPr>
        <w:rFonts w:hint="default"/>
      </w:rPr>
    </w:lvl>
    <w:lvl w:ilvl="5">
      <w:start w:val="0"/>
      <w:numFmt w:val="bullet"/>
      <w:lvlText w:val="•"/>
      <w:lvlJc w:val="left"/>
      <w:pPr>
        <w:ind w:left="3935" w:hanging="631"/>
      </w:pPr>
      <w:rPr>
        <w:rFonts w:hint="default"/>
      </w:rPr>
    </w:lvl>
    <w:lvl w:ilvl="6">
      <w:start w:val="0"/>
      <w:numFmt w:val="bullet"/>
      <w:lvlText w:val="•"/>
      <w:lvlJc w:val="left"/>
      <w:pPr>
        <w:ind w:left="4699" w:hanging="631"/>
      </w:pPr>
      <w:rPr>
        <w:rFonts w:hint="default"/>
      </w:rPr>
    </w:lvl>
    <w:lvl w:ilvl="7">
      <w:start w:val="0"/>
      <w:numFmt w:val="bullet"/>
      <w:lvlText w:val="•"/>
      <w:lvlJc w:val="left"/>
      <w:pPr>
        <w:ind w:left="5462" w:hanging="631"/>
      </w:pPr>
      <w:rPr>
        <w:rFonts w:hint="default"/>
      </w:rPr>
    </w:lvl>
    <w:lvl w:ilvl="8">
      <w:start w:val="0"/>
      <w:numFmt w:val="bullet"/>
      <w:lvlText w:val="•"/>
      <w:lvlJc w:val="left"/>
      <w:pPr>
        <w:ind w:left="6225" w:hanging="631"/>
      </w:pPr>
      <w:rPr>
        <w:rFonts w:hint="default"/>
      </w:rPr>
    </w:lvl>
  </w:abstractNum>
  <w:abstractNum w:abstractNumId="44">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2"/>
      <w:numFmt w:val="decimal"/>
      <w:lvlText w:val="（%2）"/>
      <w:lvlJc w:val="left"/>
      <w:pPr>
        <w:ind w:left="2654" w:hanging="631"/>
        <w:jc w:val="left"/>
      </w:pPr>
      <w:rPr>
        <w:rFonts w:hint="default" w:ascii="宋体" w:hAnsi="宋体" w:eastAsia="宋体" w:cs="宋体"/>
        <w:spacing w:val="-48"/>
        <w:w w:val="100"/>
        <w:sz w:val="21"/>
        <w:szCs w:val="21"/>
      </w:rPr>
    </w:lvl>
    <w:lvl w:ilvl="2">
      <w:start w:val="0"/>
      <w:numFmt w:val="bullet"/>
      <w:lvlText w:val="•"/>
      <w:lvlJc w:val="left"/>
      <w:pPr>
        <w:ind w:left="3214" w:hanging="631"/>
      </w:pPr>
      <w:rPr>
        <w:rFonts w:hint="default"/>
      </w:rPr>
    </w:lvl>
    <w:lvl w:ilvl="3">
      <w:start w:val="0"/>
      <w:numFmt w:val="bullet"/>
      <w:lvlText w:val="•"/>
      <w:lvlJc w:val="left"/>
      <w:pPr>
        <w:ind w:left="3769" w:hanging="631"/>
      </w:pPr>
      <w:rPr>
        <w:rFonts w:hint="default"/>
      </w:rPr>
    </w:lvl>
    <w:lvl w:ilvl="4">
      <w:start w:val="0"/>
      <w:numFmt w:val="bullet"/>
      <w:lvlText w:val="•"/>
      <w:lvlJc w:val="left"/>
      <w:pPr>
        <w:ind w:left="4323" w:hanging="631"/>
      </w:pPr>
      <w:rPr>
        <w:rFonts w:hint="default"/>
      </w:rPr>
    </w:lvl>
    <w:lvl w:ilvl="5">
      <w:start w:val="0"/>
      <w:numFmt w:val="bullet"/>
      <w:lvlText w:val="•"/>
      <w:lvlJc w:val="left"/>
      <w:pPr>
        <w:ind w:left="4878" w:hanging="631"/>
      </w:pPr>
      <w:rPr>
        <w:rFonts w:hint="default"/>
      </w:rPr>
    </w:lvl>
    <w:lvl w:ilvl="6">
      <w:start w:val="0"/>
      <w:numFmt w:val="bullet"/>
      <w:lvlText w:val="•"/>
      <w:lvlJc w:val="left"/>
      <w:pPr>
        <w:ind w:left="5433" w:hanging="631"/>
      </w:pPr>
      <w:rPr>
        <w:rFonts w:hint="default"/>
      </w:rPr>
    </w:lvl>
    <w:lvl w:ilvl="7">
      <w:start w:val="0"/>
      <w:numFmt w:val="bullet"/>
      <w:lvlText w:val="•"/>
      <w:lvlJc w:val="left"/>
      <w:pPr>
        <w:ind w:left="5987" w:hanging="631"/>
      </w:pPr>
      <w:rPr>
        <w:rFonts w:hint="default"/>
      </w:rPr>
    </w:lvl>
    <w:lvl w:ilvl="8">
      <w:start w:val="0"/>
      <w:numFmt w:val="bullet"/>
      <w:lvlText w:val="•"/>
      <w:lvlJc w:val="left"/>
      <w:pPr>
        <w:ind w:left="6542" w:hanging="631"/>
      </w:pPr>
      <w:rPr>
        <w:rFonts w:hint="default"/>
      </w:rPr>
    </w:lvl>
  </w:abstractNum>
  <w:abstractNum w:abstractNumId="43">
    <w:multiLevelType w:val="hybridMultilevel"/>
    <w:lvl w:ilvl="0">
      <w:start w:val="1"/>
      <w:numFmt w:val="decimal"/>
      <w:lvlText w:val="（%1）"/>
      <w:lvlJc w:val="left"/>
      <w:pPr>
        <w:ind w:left="116" w:hanging="631"/>
        <w:jc w:val="left"/>
      </w:pPr>
      <w:rPr>
        <w:rFonts w:hint="default" w:ascii="宋体" w:hAnsi="宋体" w:eastAsia="宋体" w:cs="宋体"/>
        <w:spacing w:val="-5"/>
        <w:w w:val="100"/>
        <w:sz w:val="21"/>
        <w:szCs w:val="21"/>
      </w:rPr>
    </w:lvl>
    <w:lvl w:ilvl="1">
      <w:start w:val="0"/>
      <w:numFmt w:val="bullet"/>
      <w:lvlText w:val="•"/>
      <w:lvlJc w:val="left"/>
      <w:pPr>
        <w:ind w:left="873" w:hanging="631"/>
      </w:pPr>
      <w:rPr>
        <w:rFonts w:hint="default"/>
      </w:rPr>
    </w:lvl>
    <w:lvl w:ilvl="2">
      <w:start w:val="0"/>
      <w:numFmt w:val="bullet"/>
      <w:lvlText w:val="•"/>
      <w:lvlJc w:val="left"/>
      <w:pPr>
        <w:ind w:left="1626" w:hanging="631"/>
      </w:pPr>
      <w:rPr>
        <w:rFonts w:hint="default"/>
      </w:rPr>
    </w:lvl>
    <w:lvl w:ilvl="3">
      <w:start w:val="0"/>
      <w:numFmt w:val="bullet"/>
      <w:lvlText w:val="•"/>
      <w:lvlJc w:val="left"/>
      <w:pPr>
        <w:ind w:left="2379" w:hanging="631"/>
      </w:pPr>
      <w:rPr>
        <w:rFonts w:hint="default"/>
      </w:rPr>
    </w:lvl>
    <w:lvl w:ilvl="4">
      <w:start w:val="0"/>
      <w:numFmt w:val="bullet"/>
      <w:lvlText w:val="•"/>
      <w:lvlJc w:val="left"/>
      <w:pPr>
        <w:ind w:left="3132" w:hanging="631"/>
      </w:pPr>
      <w:rPr>
        <w:rFonts w:hint="default"/>
      </w:rPr>
    </w:lvl>
    <w:lvl w:ilvl="5">
      <w:start w:val="0"/>
      <w:numFmt w:val="bullet"/>
      <w:lvlText w:val="•"/>
      <w:lvlJc w:val="left"/>
      <w:pPr>
        <w:ind w:left="3885" w:hanging="631"/>
      </w:pPr>
      <w:rPr>
        <w:rFonts w:hint="default"/>
      </w:rPr>
    </w:lvl>
    <w:lvl w:ilvl="6">
      <w:start w:val="0"/>
      <w:numFmt w:val="bullet"/>
      <w:lvlText w:val="•"/>
      <w:lvlJc w:val="left"/>
      <w:pPr>
        <w:ind w:left="4639" w:hanging="631"/>
      </w:pPr>
      <w:rPr>
        <w:rFonts w:hint="default"/>
      </w:rPr>
    </w:lvl>
    <w:lvl w:ilvl="7">
      <w:start w:val="0"/>
      <w:numFmt w:val="bullet"/>
      <w:lvlText w:val="•"/>
      <w:lvlJc w:val="left"/>
      <w:pPr>
        <w:ind w:left="5392" w:hanging="631"/>
      </w:pPr>
      <w:rPr>
        <w:rFonts w:hint="default"/>
      </w:rPr>
    </w:lvl>
    <w:lvl w:ilvl="8">
      <w:start w:val="0"/>
      <w:numFmt w:val="bullet"/>
      <w:lvlText w:val="•"/>
      <w:lvlJc w:val="left"/>
      <w:pPr>
        <w:ind w:left="6145" w:hanging="631"/>
      </w:pPr>
      <w:rPr>
        <w:rFonts w:hint="default"/>
      </w:rPr>
    </w:lvl>
  </w:abstractNum>
  <w:abstractNum w:abstractNumId="42">
    <w:multiLevelType w:val="hybridMultilevel"/>
    <w:lvl w:ilvl="0">
      <w:start w:val="1"/>
      <w:numFmt w:val="decimal"/>
      <w:lvlText w:val="（%1）"/>
      <w:lvlJc w:val="left"/>
      <w:pPr>
        <w:ind w:left="3285" w:hanging="631"/>
        <w:jc w:val="left"/>
      </w:pPr>
      <w:rPr>
        <w:rFonts w:hint="default" w:ascii="宋体" w:hAnsi="宋体" w:eastAsia="宋体" w:cs="宋体"/>
        <w:b/>
        <w:bCs/>
        <w:i/>
        <w:w w:val="94"/>
        <w:sz w:val="22"/>
        <w:szCs w:val="22"/>
      </w:rPr>
    </w:lvl>
    <w:lvl w:ilvl="1">
      <w:start w:val="0"/>
      <w:numFmt w:val="bullet"/>
      <w:lvlText w:val="•"/>
      <w:lvlJc w:val="left"/>
      <w:pPr>
        <w:ind w:left="3971" w:hanging="631"/>
      </w:pPr>
      <w:rPr>
        <w:rFonts w:hint="default"/>
      </w:rPr>
    </w:lvl>
    <w:lvl w:ilvl="2">
      <w:start w:val="0"/>
      <w:numFmt w:val="bullet"/>
      <w:lvlText w:val="•"/>
      <w:lvlJc w:val="left"/>
      <w:pPr>
        <w:ind w:left="4662" w:hanging="631"/>
      </w:pPr>
      <w:rPr>
        <w:rFonts w:hint="default"/>
      </w:rPr>
    </w:lvl>
    <w:lvl w:ilvl="3">
      <w:start w:val="0"/>
      <w:numFmt w:val="bullet"/>
      <w:lvlText w:val="•"/>
      <w:lvlJc w:val="left"/>
      <w:pPr>
        <w:ind w:left="5353" w:hanging="631"/>
      </w:pPr>
      <w:rPr>
        <w:rFonts w:hint="default"/>
      </w:rPr>
    </w:lvl>
    <w:lvl w:ilvl="4">
      <w:start w:val="0"/>
      <w:numFmt w:val="bullet"/>
      <w:lvlText w:val="•"/>
      <w:lvlJc w:val="left"/>
      <w:pPr>
        <w:ind w:left="6044" w:hanging="631"/>
      </w:pPr>
      <w:rPr>
        <w:rFonts w:hint="default"/>
      </w:rPr>
    </w:lvl>
    <w:lvl w:ilvl="5">
      <w:start w:val="0"/>
      <w:numFmt w:val="bullet"/>
      <w:lvlText w:val="•"/>
      <w:lvlJc w:val="left"/>
      <w:pPr>
        <w:ind w:left="6735" w:hanging="631"/>
      </w:pPr>
      <w:rPr>
        <w:rFonts w:hint="default"/>
      </w:rPr>
    </w:lvl>
    <w:lvl w:ilvl="6">
      <w:start w:val="0"/>
      <w:numFmt w:val="bullet"/>
      <w:lvlText w:val="•"/>
      <w:lvlJc w:val="left"/>
      <w:pPr>
        <w:ind w:left="7426" w:hanging="631"/>
      </w:pPr>
      <w:rPr>
        <w:rFonts w:hint="default"/>
      </w:rPr>
    </w:lvl>
    <w:lvl w:ilvl="7">
      <w:start w:val="0"/>
      <w:numFmt w:val="bullet"/>
      <w:lvlText w:val="•"/>
      <w:lvlJc w:val="left"/>
      <w:pPr>
        <w:ind w:left="8117" w:hanging="631"/>
      </w:pPr>
      <w:rPr>
        <w:rFonts w:hint="default"/>
      </w:rPr>
    </w:lvl>
    <w:lvl w:ilvl="8">
      <w:start w:val="0"/>
      <w:numFmt w:val="bullet"/>
      <w:lvlText w:val="•"/>
      <w:lvlJc w:val="left"/>
      <w:pPr>
        <w:ind w:left="8808" w:hanging="631"/>
      </w:pPr>
      <w:rPr>
        <w:rFonts w:hint="default"/>
      </w:rPr>
    </w:lvl>
  </w:abstractNum>
  <w:abstractNum w:abstractNumId="41">
    <w:multiLevelType w:val="hybridMultilevel"/>
    <w:lvl w:ilvl="0">
      <w:start w:val="9"/>
      <w:numFmt w:val="decimal"/>
      <w:lvlText w:val="%1"/>
      <w:lvlJc w:val="left"/>
      <w:pPr>
        <w:ind w:left="2654" w:hanging="1021"/>
        <w:jc w:val="left"/>
      </w:pPr>
      <w:rPr>
        <w:rFonts w:hint="default"/>
      </w:rPr>
    </w:lvl>
    <w:lvl w:ilvl="1">
      <w:start w:val="6"/>
      <w:numFmt w:val="decimal"/>
      <w:lvlText w:val="%1.%2"/>
      <w:lvlJc w:val="left"/>
      <w:pPr>
        <w:ind w:left="2654" w:hanging="1021"/>
        <w:jc w:val="left"/>
      </w:pPr>
      <w:rPr>
        <w:rFonts w:hint="default"/>
      </w:rPr>
    </w:lvl>
    <w:lvl w:ilvl="2">
      <w:start w:val="39"/>
      <w:numFmt w:val="decimal"/>
      <w:lvlText w:val="%1.%2.%3"/>
      <w:lvlJc w:val="left"/>
      <w:pPr>
        <w:ind w:left="2654" w:hanging="1021"/>
        <w:jc w:val="left"/>
      </w:pPr>
      <w:rPr>
        <w:rFonts w:hint="default" w:ascii="宋体" w:hAnsi="宋体" w:eastAsia="宋体" w:cs="宋体"/>
        <w:b/>
        <w:bCs/>
        <w:w w:val="99"/>
        <w:sz w:val="21"/>
        <w:szCs w:val="21"/>
      </w:rPr>
    </w:lvl>
    <w:lvl w:ilvl="3">
      <w:start w:val="1"/>
      <w:numFmt w:val="decimal"/>
      <w:lvlText w:val="（%4）"/>
      <w:lvlJc w:val="left"/>
      <w:pPr>
        <w:ind w:left="3285" w:hanging="631"/>
        <w:jc w:val="left"/>
      </w:pPr>
      <w:rPr>
        <w:rFonts w:hint="default" w:ascii="宋体" w:hAnsi="宋体" w:eastAsia="宋体" w:cs="宋体"/>
        <w:w w:val="100"/>
        <w:sz w:val="21"/>
        <w:szCs w:val="21"/>
      </w:rPr>
    </w:lvl>
    <w:lvl w:ilvl="4">
      <w:start w:val="0"/>
      <w:numFmt w:val="bullet"/>
      <w:lvlText w:val="•"/>
      <w:lvlJc w:val="left"/>
      <w:pPr>
        <w:ind w:left="5583" w:hanging="631"/>
      </w:pPr>
      <w:rPr>
        <w:rFonts w:hint="default"/>
      </w:rPr>
    </w:lvl>
    <w:lvl w:ilvl="5">
      <w:start w:val="0"/>
      <w:numFmt w:val="bullet"/>
      <w:lvlText w:val="•"/>
      <w:lvlJc w:val="left"/>
      <w:pPr>
        <w:ind w:left="6351" w:hanging="631"/>
      </w:pPr>
      <w:rPr>
        <w:rFonts w:hint="default"/>
      </w:rPr>
    </w:lvl>
    <w:lvl w:ilvl="6">
      <w:start w:val="0"/>
      <w:numFmt w:val="bullet"/>
      <w:lvlText w:val="•"/>
      <w:lvlJc w:val="left"/>
      <w:pPr>
        <w:ind w:left="7118" w:hanging="631"/>
      </w:pPr>
      <w:rPr>
        <w:rFonts w:hint="default"/>
      </w:rPr>
    </w:lvl>
    <w:lvl w:ilvl="7">
      <w:start w:val="0"/>
      <w:numFmt w:val="bullet"/>
      <w:lvlText w:val="•"/>
      <w:lvlJc w:val="left"/>
      <w:pPr>
        <w:ind w:left="7886" w:hanging="631"/>
      </w:pPr>
      <w:rPr>
        <w:rFonts w:hint="default"/>
      </w:rPr>
    </w:lvl>
    <w:lvl w:ilvl="8">
      <w:start w:val="0"/>
      <w:numFmt w:val="bullet"/>
      <w:lvlText w:val="•"/>
      <w:lvlJc w:val="left"/>
      <w:pPr>
        <w:ind w:left="8654" w:hanging="631"/>
      </w:pPr>
      <w:rPr>
        <w:rFonts w:hint="default"/>
      </w:rPr>
    </w:lvl>
  </w:abstractNum>
  <w:abstractNum w:abstractNumId="40">
    <w:multiLevelType w:val="hybridMultilevel"/>
    <w:lvl w:ilvl="0">
      <w:start w:val="1"/>
      <w:numFmt w:val="decimal"/>
      <w:lvlText w:val="（%1）"/>
      <w:lvlJc w:val="left"/>
      <w:pPr>
        <w:ind w:left="787" w:hanging="631"/>
        <w:jc w:val="left"/>
      </w:pPr>
      <w:rPr>
        <w:rFonts w:hint="default" w:ascii="宋体" w:hAnsi="宋体" w:eastAsia="宋体" w:cs="宋体"/>
        <w:w w:val="100"/>
        <w:sz w:val="21"/>
        <w:szCs w:val="21"/>
      </w:rPr>
    </w:lvl>
    <w:lvl w:ilvl="1">
      <w:start w:val="0"/>
      <w:numFmt w:val="bullet"/>
      <w:lvlText w:val="•"/>
      <w:lvlJc w:val="left"/>
      <w:pPr>
        <w:ind w:left="1485" w:hanging="631"/>
      </w:pPr>
      <w:rPr>
        <w:rFonts w:hint="default"/>
      </w:rPr>
    </w:lvl>
    <w:lvl w:ilvl="2">
      <w:start w:val="0"/>
      <w:numFmt w:val="bullet"/>
      <w:lvlText w:val="•"/>
      <w:lvlJc w:val="left"/>
      <w:pPr>
        <w:ind w:left="2190" w:hanging="631"/>
      </w:pPr>
      <w:rPr>
        <w:rFonts w:hint="default"/>
      </w:rPr>
    </w:lvl>
    <w:lvl w:ilvl="3">
      <w:start w:val="0"/>
      <w:numFmt w:val="bullet"/>
      <w:lvlText w:val="•"/>
      <w:lvlJc w:val="left"/>
      <w:pPr>
        <w:ind w:left="2895" w:hanging="631"/>
      </w:pPr>
      <w:rPr>
        <w:rFonts w:hint="default"/>
      </w:rPr>
    </w:lvl>
    <w:lvl w:ilvl="4">
      <w:start w:val="0"/>
      <w:numFmt w:val="bullet"/>
      <w:lvlText w:val="•"/>
      <w:lvlJc w:val="left"/>
      <w:pPr>
        <w:ind w:left="3600" w:hanging="631"/>
      </w:pPr>
      <w:rPr>
        <w:rFonts w:hint="default"/>
      </w:rPr>
    </w:lvl>
    <w:lvl w:ilvl="5">
      <w:start w:val="0"/>
      <w:numFmt w:val="bullet"/>
      <w:lvlText w:val="•"/>
      <w:lvlJc w:val="left"/>
      <w:pPr>
        <w:ind w:left="4305" w:hanging="631"/>
      </w:pPr>
      <w:rPr>
        <w:rFonts w:hint="default"/>
      </w:rPr>
    </w:lvl>
    <w:lvl w:ilvl="6">
      <w:start w:val="0"/>
      <w:numFmt w:val="bullet"/>
      <w:lvlText w:val="•"/>
      <w:lvlJc w:val="left"/>
      <w:pPr>
        <w:ind w:left="5011" w:hanging="631"/>
      </w:pPr>
      <w:rPr>
        <w:rFonts w:hint="default"/>
      </w:rPr>
    </w:lvl>
    <w:lvl w:ilvl="7">
      <w:start w:val="0"/>
      <w:numFmt w:val="bullet"/>
      <w:lvlText w:val="•"/>
      <w:lvlJc w:val="left"/>
      <w:pPr>
        <w:ind w:left="5716" w:hanging="631"/>
      </w:pPr>
      <w:rPr>
        <w:rFonts w:hint="default"/>
      </w:rPr>
    </w:lvl>
    <w:lvl w:ilvl="8">
      <w:start w:val="0"/>
      <w:numFmt w:val="bullet"/>
      <w:lvlText w:val="•"/>
      <w:lvlJc w:val="left"/>
      <w:pPr>
        <w:ind w:left="6421" w:hanging="631"/>
      </w:pPr>
      <w:rPr>
        <w:rFonts w:hint="default"/>
      </w:rPr>
    </w:lvl>
  </w:abstractNum>
  <w:abstractNum w:abstractNumId="39">
    <w:multiLevelType w:val="hybridMultilevel"/>
    <w:lvl w:ilvl="0">
      <w:start w:val="1"/>
      <w:numFmt w:val="upperRoman"/>
      <w:lvlText w:val="%1"/>
      <w:lvlJc w:val="left"/>
      <w:pPr>
        <w:ind w:left="319" w:hanging="211"/>
        <w:jc w:val="left"/>
      </w:pPr>
      <w:rPr>
        <w:rFonts w:hint="default" w:ascii="宋体" w:hAnsi="宋体" w:eastAsia="宋体" w:cs="宋体"/>
        <w:spacing w:val="-2"/>
        <w:w w:val="100"/>
        <w:sz w:val="21"/>
        <w:szCs w:val="21"/>
      </w:rPr>
    </w:lvl>
    <w:lvl w:ilvl="1">
      <w:start w:val="0"/>
      <w:numFmt w:val="bullet"/>
      <w:lvlText w:val="•"/>
      <w:lvlJc w:val="left"/>
      <w:pPr>
        <w:ind w:left="1066" w:hanging="211"/>
      </w:pPr>
      <w:rPr>
        <w:rFonts w:hint="default"/>
      </w:rPr>
    </w:lvl>
    <w:lvl w:ilvl="2">
      <w:start w:val="0"/>
      <w:numFmt w:val="bullet"/>
      <w:lvlText w:val="•"/>
      <w:lvlJc w:val="left"/>
      <w:pPr>
        <w:ind w:left="1812" w:hanging="211"/>
      </w:pPr>
      <w:rPr>
        <w:rFonts w:hint="default"/>
      </w:rPr>
    </w:lvl>
    <w:lvl w:ilvl="3">
      <w:start w:val="0"/>
      <w:numFmt w:val="bullet"/>
      <w:lvlText w:val="•"/>
      <w:lvlJc w:val="left"/>
      <w:pPr>
        <w:ind w:left="2559" w:hanging="211"/>
      </w:pPr>
      <w:rPr>
        <w:rFonts w:hint="default"/>
      </w:rPr>
    </w:lvl>
    <w:lvl w:ilvl="4">
      <w:start w:val="0"/>
      <w:numFmt w:val="bullet"/>
      <w:lvlText w:val="•"/>
      <w:lvlJc w:val="left"/>
      <w:pPr>
        <w:ind w:left="3305" w:hanging="211"/>
      </w:pPr>
      <w:rPr>
        <w:rFonts w:hint="default"/>
      </w:rPr>
    </w:lvl>
    <w:lvl w:ilvl="5">
      <w:start w:val="0"/>
      <w:numFmt w:val="bullet"/>
      <w:lvlText w:val="•"/>
      <w:lvlJc w:val="left"/>
      <w:pPr>
        <w:ind w:left="4052" w:hanging="211"/>
      </w:pPr>
      <w:rPr>
        <w:rFonts w:hint="default"/>
      </w:rPr>
    </w:lvl>
    <w:lvl w:ilvl="6">
      <w:start w:val="0"/>
      <w:numFmt w:val="bullet"/>
      <w:lvlText w:val="•"/>
      <w:lvlJc w:val="left"/>
      <w:pPr>
        <w:ind w:left="4798" w:hanging="211"/>
      </w:pPr>
      <w:rPr>
        <w:rFonts w:hint="default"/>
      </w:rPr>
    </w:lvl>
    <w:lvl w:ilvl="7">
      <w:start w:val="0"/>
      <w:numFmt w:val="bullet"/>
      <w:lvlText w:val="•"/>
      <w:lvlJc w:val="left"/>
      <w:pPr>
        <w:ind w:left="5545" w:hanging="211"/>
      </w:pPr>
      <w:rPr>
        <w:rFonts w:hint="default"/>
      </w:rPr>
    </w:lvl>
    <w:lvl w:ilvl="8">
      <w:start w:val="0"/>
      <w:numFmt w:val="bullet"/>
      <w:lvlText w:val="•"/>
      <w:lvlJc w:val="left"/>
      <w:pPr>
        <w:ind w:left="6291" w:hanging="211"/>
      </w:pPr>
      <w:rPr>
        <w:rFonts w:hint="default"/>
      </w:rPr>
    </w:lvl>
  </w:abstractNum>
  <w:abstractNum w:abstractNumId="38">
    <w:multiLevelType w:val="hybridMultilevel"/>
    <w:lvl w:ilvl="0">
      <w:start w:val="1"/>
      <w:numFmt w:val="decimal"/>
      <w:lvlText w:val="（%1）"/>
      <w:lvlJc w:val="left"/>
      <w:pPr>
        <w:ind w:left="787" w:hanging="631"/>
        <w:jc w:val="left"/>
      </w:pPr>
      <w:rPr>
        <w:rFonts w:hint="default" w:ascii="宋体" w:hAnsi="宋体" w:eastAsia="宋体" w:cs="宋体"/>
        <w:spacing w:val="-2"/>
        <w:w w:val="100"/>
        <w:sz w:val="21"/>
        <w:szCs w:val="21"/>
      </w:rPr>
    </w:lvl>
    <w:lvl w:ilvl="1">
      <w:start w:val="0"/>
      <w:numFmt w:val="bullet"/>
      <w:lvlText w:val="•"/>
      <w:lvlJc w:val="left"/>
      <w:pPr>
        <w:ind w:left="1485" w:hanging="631"/>
      </w:pPr>
      <w:rPr>
        <w:rFonts w:hint="default"/>
      </w:rPr>
    </w:lvl>
    <w:lvl w:ilvl="2">
      <w:start w:val="0"/>
      <w:numFmt w:val="bullet"/>
      <w:lvlText w:val="•"/>
      <w:lvlJc w:val="left"/>
      <w:pPr>
        <w:ind w:left="2190" w:hanging="631"/>
      </w:pPr>
      <w:rPr>
        <w:rFonts w:hint="default"/>
      </w:rPr>
    </w:lvl>
    <w:lvl w:ilvl="3">
      <w:start w:val="0"/>
      <w:numFmt w:val="bullet"/>
      <w:lvlText w:val="•"/>
      <w:lvlJc w:val="left"/>
      <w:pPr>
        <w:ind w:left="2895" w:hanging="631"/>
      </w:pPr>
      <w:rPr>
        <w:rFonts w:hint="default"/>
      </w:rPr>
    </w:lvl>
    <w:lvl w:ilvl="4">
      <w:start w:val="0"/>
      <w:numFmt w:val="bullet"/>
      <w:lvlText w:val="•"/>
      <w:lvlJc w:val="left"/>
      <w:pPr>
        <w:ind w:left="3600" w:hanging="631"/>
      </w:pPr>
      <w:rPr>
        <w:rFonts w:hint="default"/>
      </w:rPr>
    </w:lvl>
    <w:lvl w:ilvl="5">
      <w:start w:val="0"/>
      <w:numFmt w:val="bullet"/>
      <w:lvlText w:val="•"/>
      <w:lvlJc w:val="left"/>
      <w:pPr>
        <w:ind w:left="4305" w:hanging="631"/>
      </w:pPr>
      <w:rPr>
        <w:rFonts w:hint="default"/>
      </w:rPr>
    </w:lvl>
    <w:lvl w:ilvl="6">
      <w:start w:val="0"/>
      <w:numFmt w:val="bullet"/>
      <w:lvlText w:val="•"/>
      <w:lvlJc w:val="left"/>
      <w:pPr>
        <w:ind w:left="5011" w:hanging="631"/>
      </w:pPr>
      <w:rPr>
        <w:rFonts w:hint="default"/>
      </w:rPr>
    </w:lvl>
    <w:lvl w:ilvl="7">
      <w:start w:val="0"/>
      <w:numFmt w:val="bullet"/>
      <w:lvlText w:val="•"/>
      <w:lvlJc w:val="left"/>
      <w:pPr>
        <w:ind w:left="5716" w:hanging="631"/>
      </w:pPr>
      <w:rPr>
        <w:rFonts w:hint="default"/>
      </w:rPr>
    </w:lvl>
    <w:lvl w:ilvl="8">
      <w:start w:val="0"/>
      <w:numFmt w:val="bullet"/>
      <w:lvlText w:val="•"/>
      <w:lvlJc w:val="left"/>
      <w:pPr>
        <w:ind w:left="6421" w:hanging="631"/>
      </w:pPr>
      <w:rPr>
        <w:rFonts w:hint="default"/>
      </w:rPr>
    </w:lvl>
  </w:abstractNum>
  <w:abstractNum w:abstractNumId="37">
    <w:multiLevelType w:val="hybridMultilevel"/>
    <w:lvl w:ilvl="0">
      <w:start w:val="1"/>
      <w:numFmt w:val="decimal"/>
      <w:lvlText w:val="（%1）"/>
      <w:lvlJc w:val="left"/>
      <w:pPr>
        <w:ind w:left="3325" w:hanging="631"/>
        <w:jc w:val="left"/>
      </w:pPr>
      <w:rPr>
        <w:rFonts w:hint="default" w:ascii="宋体" w:hAnsi="宋体" w:eastAsia="宋体" w:cs="宋体"/>
        <w:spacing w:val="-49"/>
        <w:w w:val="100"/>
        <w:sz w:val="21"/>
        <w:szCs w:val="21"/>
      </w:rPr>
    </w:lvl>
    <w:lvl w:ilvl="1">
      <w:start w:val="0"/>
      <w:numFmt w:val="bullet"/>
      <w:lvlText w:val="•"/>
      <w:lvlJc w:val="left"/>
      <w:pPr>
        <w:ind w:left="4025" w:hanging="631"/>
      </w:pPr>
      <w:rPr>
        <w:rFonts w:hint="default"/>
      </w:rPr>
    </w:lvl>
    <w:lvl w:ilvl="2">
      <w:start w:val="0"/>
      <w:numFmt w:val="bullet"/>
      <w:lvlText w:val="•"/>
      <w:lvlJc w:val="left"/>
      <w:pPr>
        <w:ind w:left="4730" w:hanging="631"/>
      </w:pPr>
      <w:rPr>
        <w:rFonts w:hint="default"/>
      </w:rPr>
    </w:lvl>
    <w:lvl w:ilvl="3">
      <w:start w:val="0"/>
      <w:numFmt w:val="bullet"/>
      <w:lvlText w:val="•"/>
      <w:lvlJc w:val="left"/>
      <w:pPr>
        <w:ind w:left="5435" w:hanging="631"/>
      </w:pPr>
      <w:rPr>
        <w:rFonts w:hint="default"/>
      </w:rPr>
    </w:lvl>
    <w:lvl w:ilvl="4">
      <w:start w:val="0"/>
      <w:numFmt w:val="bullet"/>
      <w:lvlText w:val="•"/>
      <w:lvlJc w:val="left"/>
      <w:pPr>
        <w:ind w:left="6140" w:hanging="631"/>
      </w:pPr>
      <w:rPr>
        <w:rFonts w:hint="default"/>
      </w:rPr>
    </w:lvl>
    <w:lvl w:ilvl="5">
      <w:start w:val="0"/>
      <w:numFmt w:val="bullet"/>
      <w:lvlText w:val="•"/>
      <w:lvlJc w:val="left"/>
      <w:pPr>
        <w:ind w:left="6845" w:hanging="631"/>
      </w:pPr>
      <w:rPr>
        <w:rFonts w:hint="default"/>
      </w:rPr>
    </w:lvl>
    <w:lvl w:ilvl="6">
      <w:start w:val="0"/>
      <w:numFmt w:val="bullet"/>
      <w:lvlText w:val="•"/>
      <w:lvlJc w:val="left"/>
      <w:pPr>
        <w:ind w:left="7550" w:hanging="631"/>
      </w:pPr>
      <w:rPr>
        <w:rFonts w:hint="default"/>
      </w:rPr>
    </w:lvl>
    <w:lvl w:ilvl="7">
      <w:start w:val="0"/>
      <w:numFmt w:val="bullet"/>
      <w:lvlText w:val="•"/>
      <w:lvlJc w:val="left"/>
      <w:pPr>
        <w:ind w:left="8255" w:hanging="631"/>
      </w:pPr>
      <w:rPr>
        <w:rFonts w:hint="default"/>
      </w:rPr>
    </w:lvl>
    <w:lvl w:ilvl="8">
      <w:start w:val="0"/>
      <w:numFmt w:val="bullet"/>
      <w:lvlText w:val="•"/>
      <w:lvlJc w:val="left"/>
      <w:pPr>
        <w:ind w:left="8960" w:hanging="631"/>
      </w:pPr>
      <w:rPr>
        <w:rFonts w:hint="default"/>
      </w:rPr>
    </w:lvl>
  </w:abstractNum>
  <w:abstractNum w:abstractNumId="36">
    <w:multiLevelType w:val="hybridMultilevel"/>
    <w:lvl w:ilvl="0">
      <w:start w:val="1"/>
      <w:numFmt w:val="decimal"/>
      <w:lvlText w:val="（%1）"/>
      <w:lvlJc w:val="left"/>
      <w:pPr>
        <w:ind w:left="116" w:hanging="631"/>
        <w:jc w:val="left"/>
      </w:pPr>
      <w:rPr>
        <w:rFonts w:hint="default" w:ascii="宋体" w:hAnsi="宋体" w:eastAsia="宋体" w:cs="宋体"/>
        <w:w w:val="100"/>
        <w:sz w:val="21"/>
        <w:szCs w:val="21"/>
      </w:rPr>
    </w:lvl>
    <w:lvl w:ilvl="1">
      <w:start w:val="0"/>
      <w:numFmt w:val="bullet"/>
      <w:lvlText w:val="•"/>
      <w:lvlJc w:val="left"/>
      <w:pPr>
        <w:ind w:left="883" w:hanging="631"/>
      </w:pPr>
      <w:rPr>
        <w:rFonts w:hint="default"/>
      </w:rPr>
    </w:lvl>
    <w:lvl w:ilvl="2">
      <w:start w:val="0"/>
      <w:numFmt w:val="bullet"/>
      <w:lvlText w:val="•"/>
      <w:lvlJc w:val="left"/>
      <w:pPr>
        <w:ind w:left="1646" w:hanging="631"/>
      </w:pPr>
      <w:rPr>
        <w:rFonts w:hint="default"/>
      </w:rPr>
    </w:lvl>
    <w:lvl w:ilvl="3">
      <w:start w:val="0"/>
      <w:numFmt w:val="bullet"/>
      <w:lvlText w:val="•"/>
      <w:lvlJc w:val="left"/>
      <w:pPr>
        <w:ind w:left="2409" w:hanging="631"/>
      </w:pPr>
      <w:rPr>
        <w:rFonts w:hint="default"/>
      </w:rPr>
    </w:lvl>
    <w:lvl w:ilvl="4">
      <w:start w:val="0"/>
      <w:numFmt w:val="bullet"/>
      <w:lvlText w:val="•"/>
      <w:lvlJc w:val="left"/>
      <w:pPr>
        <w:ind w:left="3172" w:hanging="631"/>
      </w:pPr>
      <w:rPr>
        <w:rFonts w:hint="default"/>
      </w:rPr>
    </w:lvl>
    <w:lvl w:ilvl="5">
      <w:start w:val="0"/>
      <w:numFmt w:val="bullet"/>
      <w:lvlText w:val="•"/>
      <w:lvlJc w:val="left"/>
      <w:pPr>
        <w:ind w:left="3935" w:hanging="631"/>
      </w:pPr>
      <w:rPr>
        <w:rFonts w:hint="default"/>
      </w:rPr>
    </w:lvl>
    <w:lvl w:ilvl="6">
      <w:start w:val="0"/>
      <w:numFmt w:val="bullet"/>
      <w:lvlText w:val="•"/>
      <w:lvlJc w:val="left"/>
      <w:pPr>
        <w:ind w:left="4699" w:hanging="631"/>
      </w:pPr>
      <w:rPr>
        <w:rFonts w:hint="default"/>
      </w:rPr>
    </w:lvl>
    <w:lvl w:ilvl="7">
      <w:start w:val="0"/>
      <w:numFmt w:val="bullet"/>
      <w:lvlText w:val="•"/>
      <w:lvlJc w:val="left"/>
      <w:pPr>
        <w:ind w:left="5462" w:hanging="631"/>
      </w:pPr>
      <w:rPr>
        <w:rFonts w:hint="default"/>
      </w:rPr>
    </w:lvl>
    <w:lvl w:ilvl="8">
      <w:start w:val="0"/>
      <w:numFmt w:val="bullet"/>
      <w:lvlText w:val="•"/>
      <w:lvlJc w:val="left"/>
      <w:pPr>
        <w:ind w:left="6225" w:hanging="631"/>
      </w:pPr>
      <w:rPr>
        <w:rFonts w:hint="default"/>
      </w:rPr>
    </w:lvl>
  </w:abstractNum>
  <w:abstractNum w:abstractNumId="35">
    <w:multiLevelType w:val="hybridMultilevel"/>
    <w:lvl w:ilvl="0">
      <w:start w:val="1"/>
      <w:numFmt w:val="decimal"/>
      <w:lvlText w:val="（%1）"/>
      <w:lvlJc w:val="left"/>
      <w:pPr>
        <w:ind w:left="3285" w:hanging="631"/>
        <w:jc w:val="left"/>
      </w:pPr>
      <w:rPr>
        <w:rFonts w:hint="default" w:ascii="宋体" w:hAnsi="宋体" w:eastAsia="宋体" w:cs="宋体"/>
        <w:w w:val="100"/>
        <w:sz w:val="21"/>
        <w:szCs w:val="21"/>
      </w:rPr>
    </w:lvl>
    <w:lvl w:ilvl="1">
      <w:start w:val="0"/>
      <w:numFmt w:val="bullet"/>
      <w:lvlText w:val="•"/>
      <w:lvlJc w:val="left"/>
      <w:pPr>
        <w:ind w:left="3981" w:hanging="631"/>
      </w:pPr>
      <w:rPr>
        <w:rFonts w:hint="default"/>
      </w:rPr>
    </w:lvl>
    <w:lvl w:ilvl="2">
      <w:start w:val="0"/>
      <w:numFmt w:val="bullet"/>
      <w:lvlText w:val="•"/>
      <w:lvlJc w:val="left"/>
      <w:pPr>
        <w:ind w:left="4682" w:hanging="631"/>
      </w:pPr>
      <w:rPr>
        <w:rFonts w:hint="default"/>
      </w:rPr>
    </w:lvl>
    <w:lvl w:ilvl="3">
      <w:start w:val="0"/>
      <w:numFmt w:val="bullet"/>
      <w:lvlText w:val="•"/>
      <w:lvlJc w:val="left"/>
      <w:pPr>
        <w:ind w:left="5383" w:hanging="631"/>
      </w:pPr>
      <w:rPr>
        <w:rFonts w:hint="default"/>
      </w:rPr>
    </w:lvl>
    <w:lvl w:ilvl="4">
      <w:start w:val="0"/>
      <w:numFmt w:val="bullet"/>
      <w:lvlText w:val="•"/>
      <w:lvlJc w:val="left"/>
      <w:pPr>
        <w:ind w:left="6084" w:hanging="631"/>
      </w:pPr>
      <w:rPr>
        <w:rFonts w:hint="default"/>
      </w:rPr>
    </w:lvl>
    <w:lvl w:ilvl="5">
      <w:start w:val="0"/>
      <w:numFmt w:val="bullet"/>
      <w:lvlText w:val="•"/>
      <w:lvlJc w:val="left"/>
      <w:pPr>
        <w:ind w:left="6785" w:hanging="631"/>
      </w:pPr>
      <w:rPr>
        <w:rFonts w:hint="default"/>
      </w:rPr>
    </w:lvl>
    <w:lvl w:ilvl="6">
      <w:start w:val="0"/>
      <w:numFmt w:val="bullet"/>
      <w:lvlText w:val="•"/>
      <w:lvlJc w:val="left"/>
      <w:pPr>
        <w:ind w:left="7486" w:hanging="631"/>
      </w:pPr>
      <w:rPr>
        <w:rFonts w:hint="default"/>
      </w:rPr>
    </w:lvl>
    <w:lvl w:ilvl="7">
      <w:start w:val="0"/>
      <w:numFmt w:val="bullet"/>
      <w:lvlText w:val="•"/>
      <w:lvlJc w:val="left"/>
      <w:pPr>
        <w:ind w:left="8187" w:hanging="631"/>
      </w:pPr>
      <w:rPr>
        <w:rFonts w:hint="default"/>
      </w:rPr>
    </w:lvl>
    <w:lvl w:ilvl="8">
      <w:start w:val="0"/>
      <w:numFmt w:val="bullet"/>
      <w:lvlText w:val="•"/>
      <w:lvlJc w:val="left"/>
      <w:pPr>
        <w:ind w:left="8888" w:hanging="631"/>
      </w:pPr>
      <w:rPr>
        <w:rFonts w:hint="default"/>
      </w:rPr>
    </w:lvl>
  </w:abstractNum>
  <w:abstractNum w:abstractNumId="34">
    <w:multiLevelType w:val="hybridMultilevel"/>
    <w:lvl w:ilvl="0">
      <w:start w:val="1"/>
      <w:numFmt w:val="decimal"/>
      <w:lvlText w:val="（%1）"/>
      <w:lvlJc w:val="left"/>
      <w:pPr>
        <w:ind w:left="747" w:hanging="631"/>
        <w:jc w:val="left"/>
      </w:pPr>
      <w:rPr>
        <w:rFonts w:hint="default" w:ascii="宋体" w:hAnsi="宋体" w:eastAsia="宋体" w:cs="宋体"/>
        <w:w w:val="100"/>
        <w:sz w:val="21"/>
        <w:szCs w:val="21"/>
      </w:rPr>
    </w:lvl>
    <w:lvl w:ilvl="1">
      <w:start w:val="0"/>
      <w:numFmt w:val="bullet"/>
      <w:lvlText w:val="•"/>
      <w:lvlJc w:val="left"/>
      <w:pPr>
        <w:ind w:left="1441" w:hanging="631"/>
      </w:pPr>
      <w:rPr>
        <w:rFonts w:hint="default"/>
      </w:rPr>
    </w:lvl>
    <w:lvl w:ilvl="2">
      <w:start w:val="0"/>
      <w:numFmt w:val="bullet"/>
      <w:lvlText w:val="•"/>
      <w:lvlJc w:val="left"/>
      <w:pPr>
        <w:ind w:left="2142" w:hanging="631"/>
      </w:pPr>
      <w:rPr>
        <w:rFonts w:hint="default"/>
      </w:rPr>
    </w:lvl>
    <w:lvl w:ilvl="3">
      <w:start w:val="0"/>
      <w:numFmt w:val="bullet"/>
      <w:lvlText w:val="•"/>
      <w:lvlJc w:val="left"/>
      <w:pPr>
        <w:ind w:left="2843" w:hanging="631"/>
      </w:pPr>
      <w:rPr>
        <w:rFonts w:hint="default"/>
      </w:rPr>
    </w:lvl>
    <w:lvl w:ilvl="4">
      <w:start w:val="0"/>
      <w:numFmt w:val="bullet"/>
      <w:lvlText w:val="•"/>
      <w:lvlJc w:val="left"/>
      <w:pPr>
        <w:ind w:left="3544" w:hanging="631"/>
      </w:pPr>
      <w:rPr>
        <w:rFonts w:hint="default"/>
      </w:rPr>
    </w:lvl>
    <w:lvl w:ilvl="5">
      <w:start w:val="0"/>
      <w:numFmt w:val="bullet"/>
      <w:lvlText w:val="•"/>
      <w:lvlJc w:val="left"/>
      <w:pPr>
        <w:ind w:left="4245" w:hanging="631"/>
      </w:pPr>
      <w:rPr>
        <w:rFonts w:hint="default"/>
      </w:rPr>
    </w:lvl>
    <w:lvl w:ilvl="6">
      <w:start w:val="0"/>
      <w:numFmt w:val="bullet"/>
      <w:lvlText w:val="•"/>
      <w:lvlJc w:val="left"/>
      <w:pPr>
        <w:ind w:left="4947" w:hanging="631"/>
      </w:pPr>
      <w:rPr>
        <w:rFonts w:hint="default"/>
      </w:rPr>
    </w:lvl>
    <w:lvl w:ilvl="7">
      <w:start w:val="0"/>
      <w:numFmt w:val="bullet"/>
      <w:lvlText w:val="•"/>
      <w:lvlJc w:val="left"/>
      <w:pPr>
        <w:ind w:left="5648" w:hanging="631"/>
      </w:pPr>
      <w:rPr>
        <w:rFonts w:hint="default"/>
      </w:rPr>
    </w:lvl>
    <w:lvl w:ilvl="8">
      <w:start w:val="0"/>
      <w:numFmt w:val="bullet"/>
      <w:lvlText w:val="•"/>
      <w:lvlJc w:val="left"/>
      <w:pPr>
        <w:ind w:left="6349" w:hanging="631"/>
      </w:pPr>
      <w:rPr>
        <w:rFonts w:hint="default"/>
      </w:rPr>
    </w:lvl>
  </w:abstractNum>
  <w:abstractNum w:abstractNumId="33">
    <w:multiLevelType w:val="hybridMultilevel"/>
    <w:lvl w:ilvl="0">
      <w:start w:val="2"/>
      <w:numFmt w:val="decimal"/>
      <w:lvlText w:val="%1"/>
      <w:lvlJc w:val="left"/>
      <w:pPr>
        <w:ind w:left="1122" w:hanging="375"/>
        <w:jc w:val="left"/>
      </w:pPr>
      <w:rPr>
        <w:rFonts w:hint="default"/>
      </w:rPr>
    </w:lvl>
    <w:lvl w:ilvl="1">
      <w:start w:val="2"/>
      <w:numFmt w:val="decimal"/>
      <w:lvlText w:val="%1.%2"/>
      <w:lvlJc w:val="left"/>
      <w:pPr>
        <w:ind w:left="1122" w:hanging="375"/>
        <w:jc w:val="left"/>
      </w:pPr>
      <w:rPr>
        <w:rFonts w:hint="default" w:ascii="宋体" w:hAnsi="宋体" w:eastAsia="宋体" w:cs="宋体"/>
        <w:w w:val="100"/>
        <w:sz w:val="21"/>
        <w:szCs w:val="21"/>
      </w:rPr>
    </w:lvl>
    <w:lvl w:ilvl="2">
      <w:start w:val="0"/>
      <w:numFmt w:val="bullet"/>
      <w:lvlText w:val="•"/>
      <w:lvlJc w:val="left"/>
      <w:pPr>
        <w:ind w:left="2450" w:hanging="375"/>
      </w:pPr>
      <w:rPr>
        <w:rFonts w:hint="default"/>
      </w:rPr>
    </w:lvl>
    <w:lvl w:ilvl="3">
      <w:start w:val="0"/>
      <w:numFmt w:val="bullet"/>
      <w:lvlText w:val="•"/>
      <w:lvlJc w:val="left"/>
      <w:pPr>
        <w:ind w:left="3115" w:hanging="375"/>
      </w:pPr>
      <w:rPr>
        <w:rFonts w:hint="default"/>
      </w:rPr>
    </w:lvl>
    <w:lvl w:ilvl="4">
      <w:start w:val="0"/>
      <w:numFmt w:val="bullet"/>
      <w:lvlText w:val="•"/>
      <w:lvlJc w:val="left"/>
      <w:pPr>
        <w:ind w:left="3780" w:hanging="375"/>
      </w:pPr>
      <w:rPr>
        <w:rFonts w:hint="default"/>
      </w:rPr>
    </w:lvl>
    <w:lvl w:ilvl="5">
      <w:start w:val="0"/>
      <w:numFmt w:val="bullet"/>
      <w:lvlText w:val="•"/>
      <w:lvlJc w:val="left"/>
      <w:pPr>
        <w:ind w:left="4445" w:hanging="375"/>
      </w:pPr>
      <w:rPr>
        <w:rFonts w:hint="default"/>
      </w:rPr>
    </w:lvl>
    <w:lvl w:ilvl="6">
      <w:start w:val="0"/>
      <w:numFmt w:val="bullet"/>
      <w:lvlText w:val="•"/>
      <w:lvlJc w:val="left"/>
      <w:pPr>
        <w:ind w:left="5111" w:hanging="375"/>
      </w:pPr>
      <w:rPr>
        <w:rFonts w:hint="default"/>
      </w:rPr>
    </w:lvl>
    <w:lvl w:ilvl="7">
      <w:start w:val="0"/>
      <w:numFmt w:val="bullet"/>
      <w:lvlText w:val="•"/>
      <w:lvlJc w:val="left"/>
      <w:pPr>
        <w:ind w:left="5776" w:hanging="375"/>
      </w:pPr>
      <w:rPr>
        <w:rFonts w:hint="default"/>
      </w:rPr>
    </w:lvl>
    <w:lvl w:ilvl="8">
      <w:start w:val="0"/>
      <w:numFmt w:val="bullet"/>
      <w:lvlText w:val="•"/>
      <w:lvlJc w:val="left"/>
      <w:pPr>
        <w:ind w:left="6441" w:hanging="375"/>
      </w:pPr>
      <w:rPr>
        <w:rFonts w:hint="default"/>
      </w:rPr>
    </w:lvl>
  </w:abstractNum>
  <w:abstractNum w:abstractNumId="32">
    <w:multiLevelType w:val="hybridMultilevel"/>
    <w:lvl w:ilvl="0">
      <w:start w:val="1"/>
      <w:numFmt w:val="decimal"/>
      <w:lvlText w:val="（%1）"/>
      <w:lvlJc w:val="left"/>
      <w:pPr>
        <w:ind w:left="747" w:hanging="631"/>
        <w:jc w:val="left"/>
      </w:pPr>
      <w:rPr>
        <w:rFonts w:hint="default" w:ascii="宋体" w:hAnsi="宋体" w:eastAsia="宋体" w:cs="宋体"/>
        <w:w w:val="100"/>
        <w:sz w:val="21"/>
        <w:szCs w:val="21"/>
      </w:rPr>
    </w:lvl>
    <w:lvl w:ilvl="1">
      <w:start w:val="0"/>
      <w:numFmt w:val="bullet"/>
      <w:lvlText w:val="•"/>
      <w:lvlJc w:val="left"/>
      <w:pPr>
        <w:ind w:left="1443" w:hanging="631"/>
      </w:pPr>
      <w:rPr>
        <w:rFonts w:hint="default"/>
      </w:rPr>
    </w:lvl>
    <w:lvl w:ilvl="2">
      <w:start w:val="0"/>
      <w:numFmt w:val="bullet"/>
      <w:lvlText w:val="•"/>
      <w:lvlJc w:val="left"/>
      <w:pPr>
        <w:ind w:left="2146" w:hanging="631"/>
      </w:pPr>
      <w:rPr>
        <w:rFonts w:hint="default"/>
      </w:rPr>
    </w:lvl>
    <w:lvl w:ilvl="3">
      <w:start w:val="0"/>
      <w:numFmt w:val="bullet"/>
      <w:lvlText w:val="•"/>
      <w:lvlJc w:val="left"/>
      <w:pPr>
        <w:ind w:left="2849" w:hanging="631"/>
      </w:pPr>
      <w:rPr>
        <w:rFonts w:hint="default"/>
      </w:rPr>
    </w:lvl>
    <w:lvl w:ilvl="4">
      <w:start w:val="0"/>
      <w:numFmt w:val="bullet"/>
      <w:lvlText w:val="•"/>
      <w:lvlJc w:val="left"/>
      <w:pPr>
        <w:ind w:left="3552" w:hanging="631"/>
      </w:pPr>
      <w:rPr>
        <w:rFonts w:hint="default"/>
      </w:rPr>
    </w:lvl>
    <w:lvl w:ilvl="5">
      <w:start w:val="0"/>
      <w:numFmt w:val="bullet"/>
      <w:lvlText w:val="•"/>
      <w:lvlJc w:val="left"/>
      <w:pPr>
        <w:ind w:left="4255" w:hanging="631"/>
      </w:pPr>
      <w:rPr>
        <w:rFonts w:hint="default"/>
      </w:rPr>
    </w:lvl>
    <w:lvl w:ilvl="6">
      <w:start w:val="0"/>
      <w:numFmt w:val="bullet"/>
      <w:lvlText w:val="•"/>
      <w:lvlJc w:val="left"/>
      <w:pPr>
        <w:ind w:left="4959" w:hanging="631"/>
      </w:pPr>
      <w:rPr>
        <w:rFonts w:hint="default"/>
      </w:rPr>
    </w:lvl>
    <w:lvl w:ilvl="7">
      <w:start w:val="0"/>
      <w:numFmt w:val="bullet"/>
      <w:lvlText w:val="•"/>
      <w:lvlJc w:val="left"/>
      <w:pPr>
        <w:ind w:left="5662" w:hanging="631"/>
      </w:pPr>
      <w:rPr>
        <w:rFonts w:hint="default"/>
      </w:rPr>
    </w:lvl>
    <w:lvl w:ilvl="8">
      <w:start w:val="0"/>
      <w:numFmt w:val="bullet"/>
      <w:lvlText w:val="•"/>
      <w:lvlJc w:val="left"/>
      <w:pPr>
        <w:ind w:left="6365" w:hanging="631"/>
      </w:pPr>
      <w:rPr>
        <w:rFonts w:hint="default"/>
      </w:rPr>
    </w:lvl>
  </w:abstractNum>
  <w:abstractNum w:abstractNumId="31">
    <w:multiLevelType w:val="hybridMultilevel"/>
    <w:lvl w:ilvl="0">
      <w:start w:val="1"/>
      <w:numFmt w:val="decimal"/>
      <w:lvlText w:val="（%1）"/>
      <w:lvlJc w:val="left"/>
      <w:pPr>
        <w:ind w:left="3270" w:hanging="631"/>
        <w:jc w:val="left"/>
      </w:pPr>
      <w:rPr>
        <w:rFonts w:hint="default" w:ascii="宋体" w:hAnsi="宋体" w:eastAsia="宋体" w:cs="宋体"/>
        <w:w w:val="100"/>
        <w:sz w:val="21"/>
        <w:szCs w:val="21"/>
      </w:rPr>
    </w:lvl>
    <w:lvl w:ilvl="1">
      <w:start w:val="0"/>
      <w:numFmt w:val="bullet"/>
      <w:lvlText w:val="•"/>
      <w:lvlJc w:val="left"/>
      <w:pPr>
        <w:ind w:left="3983" w:hanging="631"/>
      </w:pPr>
      <w:rPr>
        <w:rFonts w:hint="default"/>
      </w:rPr>
    </w:lvl>
    <w:lvl w:ilvl="2">
      <w:start w:val="0"/>
      <w:numFmt w:val="bullet"/>
      <w:lvlText w:val="•"/>
      <w:lvlJc w:val="left"/>
      <w:pPr>
        <w:ind w:left="4686" w:hanging="631"/>
      </w:pPr>
      <w:rPr>
        <w:rFonts w:hint="default"/>
      </w:rPr>
    </w:lvl>
    <w:lvl w:ilvl="3">
      <w:start w:val="0"/>
      <w:numFmt w:val="bullet"/>
      <w:lvlText w:val="•"/>
      <w:lvlJc w:val="left"/>
      <w:pPr>
        <w:ind w:left="5389" w:hanging="631"/>
      </w:pPr>
      <w:rPr>
        <w:rFonts w:hint="default"/>
      </w:rPr>
    </w:lvl>
    <w:lvl w:ilvl="4">
      <w:start w:val="0"/>
      <w:numFmt w:val="bullet"/>
      <w:lvlText w:val="•"/>
      <w:lvlJc w:val="left"/>
      <w:pPr>
        <w:ind w:left="6092" w:hanging="631"/>
      </w:pPr>
      <w:rPr>
        <w:rFonts w:hint="default"/>
      </w:rPr>
    </w:lvl>
    <w:lvl w:ilvl="5">
      <w:start w:val="0"/>
      <w:numFmt w:val="bullet"/>
      <w:lvlText w:val="•"/>
      <w:lvlJc w:val="left"/>
      <w:pPr>
        <w:ind w:left="6795" w:hanging="631"/>
      </w:pPr>
      <w:rPr>
        <w:rFonts w:hint="default"/>
      </w:rPr>
    </w:lvl>
    <w:lvl w:ilvl="6">
      <w:start w:val="0"/>
      <w:numFmt w:val="bullet"/>
      <w:lvlText w:val="•"/>
      <w:lvlJc w:val="left"/>
      <w:pPr>
        <w:ind w:left="7498" w:hanging="631"/>
      </w:pPr>
      <w:rPr>
        <w:rFonts w:hint="default"/>
      </w:rPr>
    </w:lvl>
    <w:lvl w:ilvl="7">
      <w:start w:val="0"/>
      <w:numFmt w:val="bullet"/>
      <w:lvlText w:val="•"/>
      <w:lvlJc w:val="left"/>
      <w:pPr>
        <w:ind w:left="8201" w:hanging="631"/>
      </w:pPr>
      <w:rPr>
        <w:rFonts w:hint="default"/>
      </w:rPr>
    </w:lvl>
    <w:lvl w:ilvl="8">
      <w:start w:val="0"/>
      <w:numFmt w:val="bullet"/>
      <w:lvlText w:val="•"/>
      <w:lvlJc w:val="left"/>
      <w:pPr>
        <w:ind w:left="8904" w:hanging="631"/>
      </w:pPr>
      <w:rPr>
        <w:rFonts w:hint="default"/>
      </w:rPr>
    </w:lvl>
  </w:abstractNum>
  <w:abstractNum w:abstractNumId="30">
    <w:multiLevelType w:val="hybridMultilevel"/>
    <w:lvl w:ilvl="0">
      <w:start w:val="9"/>
      <w:numFmt w:val="decimal"/>
      <w:lvlText w:val="%1"/>
      <w:lvlJc w:val="left"/>
      <w:pPr>
        <w:ind w:left="2654" w:hanging="1021"/>
        <w:jc w:val="left"/>
      </w:pPr>
      <w:rPr>
        <w:rFonts w:hint="default"/>
      </w:rPr>
    </w:lvl>
    <w:lvl w:ilvl="1">
      <w:start w:val="6"/>
      <w:numFmt w:val="decimal"/>
      <w:lvlText w:val="%1.%2"/>
      <w:lvlJc w:val="left"/>
      <w:pPr>
        <w:ind w:left="2654" w:hanging="1021"/>
        <w:jc w:val="left"/>
      </w:pPr>
      <w:rPr>
        <w:rFonts w:hint="default"/>
      </w:rPr>
    </w:lvl>
    <w:lvl w:ilvl="2">
      <w:start w:val="18"/>
      <w:numFmt w:val="decimal"/>
      <w:lvlText w:val="%1.%2.%3"/>
      <w:lvlJc w:val="left"/>
      <w:pPr>
        <w:ind w:left="2654" w:hanging="1021"/>
        <w:jc w:val="left"/>
      </w:pPr>
      <w:rPr>
        <w:rFonts w:hint="default" w:ascii="宋体" w:hAnsi="宋体" w:eastAsia="宋体" w:cs="宋体"/>
        <w:b/>
        <w:bCs/>
        <w:w w:val="99"/>
        <w:sz w:val="21"/>
        <w:szCs w:val="21"/>
      </w:rPr>
    </w:lvl>
    <w:lvl w:ilvl="3">
      <w:start w:val="1"/>
      <w:numFmt w:val="decimal"/>
      <w:lvlText w:val="（%4）"/>
      <w:lvlJc w:val="left"/>
      <w:pPr>
        <w:ind w:left="2654" w:hanging="631"/>
        <w:jc w:val="left"/>
      </w:pPr>
      <w:rPr>
        <w:rFonts w:hint="default" w:ascii="宋体" w:hAnsi="宋体" w:eastAsia="宋体" w:cs="宋体"/>
        <w:w w:val="100"/>
        <w:sz w:val="21"/>
        <w:szCs w:val="21"/>
      </w:rPr>
    </w:lvl>
    <w:lvl w:ilvl="4">
      <w:start w:val="0"/>
      <w:numFmt w:val="bullet"/>
      <w:lvlText w:val="•"/>
      <w:lvlJc w:val="left"/>
      <w:pPr>
        <w:ind w:left="5720" w:hanging="631"/>
      </w:pPr>
      <w:rPr>
        <w:rFonts w:hint="default"/>
      </w:rPr>
    </w:lvl>
    <w:lvl w:ilvl="5">
      <w:start w:val="0"/>
      <w:numFmt w:val="bullet"/>
      <w:lvlText w:val="•"/>
      <w:lvlJc w:val="left"/>
      <w:pPr>
        <w:ind w:left="6485" w:hanging="631"/>
      </w:pPr>
      <w:rPr>
        <w:rFonts w:hint="default"/>
      </w:rPr>
    </w:lvl>
    <w:lvl w:ilvl="6">
      <w:start w:val="0"/>
      <w:numFmt w:val="bullet"/>
      <w:lvlText w:val="•"/>
      <w:lvlJc w:val="left"/>
      <w:pPr>
        <w:ind w:left="7250" w:hanging="631"/>
      </w:pPr>
      <w:rPr>
        <w:rFonts w:hint="default"/>
      </w:rPr>
    </w:lvl>
    <w:lvl w:ilvl="7">
      <w:start w:val="0"/>
      <w:numFmt w:val="bullet"/>
      <w:lvlText w:val="•"/>
      <w:lvlJc w:val="left"/>
      <w:pPr>
        <w:ind w:left="8015" w:hanging="631"/>
      </w:pPr>
      <w:rPr>
        <w:rFonts w:hint="default"/>
      </w:rPr>
    </w:lvl>
    <w:lvl w:ilvl="8">
      <w:start w:val="0"/>
      <w:numFmt w:val="bullet"/>
      <w:lvlText w:val="•"/>
      <w:lvlJc w:val="left"/>
      <w:pPr>
        <w:ind w:left="8780" w:hanging="631"/>
      </w:pPr>
      <w:rPr>
        <w:rFonts w:hint="default"/>
      </w:rPr>
    </w:lvl>
  </w:abstractNum>
  <w:abstractNum w:abstractNumId="29">
    <w:multiLevelType w:val="hybridMultilevel"/>
    <w:lvl w:ilvl="0">
      <w:start w:val="1"/>
      <w:numFmt w:val="decimal"/>
      <w:lvlText w:val="（%1）"/>
      <w:lvlJc w:val="left"/>
      <w:pPr>
        <w:ind w:left="787" w:hanging="631"/>
        <w:jc w:val="left"/>
      </w:pPr>
      <w:rPr>
        <w:rFonts w:hint="default" w:ascii="宋体" w:hAnsi="宋体" w:eastAsia="宋体" w:cs="宋体"/>
        <w:w w:val="100"/>
        <w:sz w:val="21"/>
        <w:szCs w:val="21"/>
      </w:rPr>
    </w:lvl>
    <w:lvl w:ilvl="1">
      <w:start w:val="0"/>
      <w:numFmt w:val="bullet"/>
      <w:lvlText w:val="•"/>
      <w:lvlJc w:val="left"/>
      <w:pPr>
        <w:ind w:left="1477" w:hanging="631"/>
      </w:pPr>
      <w:rPr>
        <w:rFonts w:hint="default"/>
      </w:rPr>
    </w:lvl>
    <w:lvl w:ilvl="2">
      <w:start w:val="0"/>
      <w:numFmt w:val="bullet"/>
      <w:lvlText w:val="•"/>
      <w:lvlJc w:val="left"/>
      <w:pPr>
        <w:ind w:left="2174" w:hanging="631"/>
      </w:pPr>
      <w:rPr>
        <w:rFonts w:hint="default"/>
      </w:rPr>
    </w:lvl>
    <w:lvl w:ilvl="3">
      <w:start w:val="0"/>
      <w:numFmt w:val="bullet"/>
      <w:lvlText w:val="•"/>
      <w:lvlJc w:val="left"/>
      <w:pPr>
        <w:ind w:left="2871" w:hanging="631"/>
      </w:pPr>
      <w:rPr>
        <w:rFonts w:hint="default"/>
      </w:rPr>
    </w:lvl>
    <w:lvl w:ilvl="4">
      <w:start w:val="0"/>
      <w:numFmt w:val="bullet"/>
      <w:lvlText w:val="•"/>
      <w:lvlJc w:val="left"/>
      <w:pPr>
        <w:ind w:left="3568" w:hanging="631"/>
      </w:pPr>
      <w:rPr>
        <w:rFonts w:hint="default"/>
      </w:rPr>
    </w:lvl>
    <w:lvl w:ilvl="5">
      <w:start w:val="0"/>
      <w:numFmt w:val="bullet"/>
      <w:lvlText w:val="•"/>
      <w:lvlJc w:val="left"/>
      <w:pPr>
        <w:ind w:left="4265" w:hanging="631"/>
      </w:pPr>
      <w:rPr>
        <w:rFonts w:hint="default"/>
      </w:rPr>
    </w:lvl>
    <w:lvl w:ilvl="6">
      <w:start w:val="0"/>
      <w:numFmt w:val="bullet"/>
      <w:lvlText w:val="•"/>
      <w:lvlJc w:val="left"/>
      <w:pPr>
        <w:ind w:left="4963" w:hanging="631"/>
      </w:pPr>
      <w:rPr>
        <w:rFonts w:hint="default"/>
      </w:rPr>
    </w:lvl>
    <w:lvl w:ilvl="7">
      <w:start w:val="0"/>
      <w:numFmt w:val="bullet"/>
      <w:lvlText w:val="•"/>
      <w:lvlJc w:val="left"/>
      <w:pPr>
        <w:ind w:left="5660" w:hanging="631"/>
      </w:pPr>
      <w:rPr>
        <w:rFonts w:hint="default"/>
      </w:rPr>
    </w:lvl>
    <w:lvl w:ilvl="8">
      <w:start w:val="0"/>
      <w:numFmt w:val="bullet"/>
      <w:lvlText w:val="•"/>
      <w:lvlJc w:val="left"/>
      <w:pPr>
        <w:ind w:left="6357" w:hanging="631"/>
      </w:pPr>
      <w:rPr>
        <w:rFonts w:hint="default"/>
      </w:rPr>
    </w:lvl>
  </w:abstractNum>
  <w:abstractNum w:abstractNumId="28">
    <w:multiLevelType w:val="hybridMultilevel"/>
    <w:lvl w:ilvl="0">
      <w:start w:val="1"/>
      <w:numFmt w:val="decimal"/>
      <w:lvlText w:val="（%1）"/>
      <w:lvlJc w:val="left"/>
      <w:pPr>
        <w:ind w:left="3285" w:hanging="631"/>
        <w:jc w:val="left"/>
      </w:pPr>
      <w:rPr>
        <w:rFonts w:hint="default" w:ascii="宋体" w:hAnsi="宋体" w:eastAsia="宋体" w:cs="宋体"/>
        <w:w w:val="100"/>
        <w:sz w:val="21"/>
        <w:szCs w:val="21"/>
      </w:rPr>
    </w:lvl>
    <w:lvl w:ilvl="1">
      <w:start w:val="0"/>
      <w:numFmt w:val="bullet"/>
      <w:lvlText w:val="•"/>
      <w:lvlJc w:val="left"/>
      <w:pPr>
        <w:ind w:left="3983" w:hanging="631"/>
      </w:pPr>
      <w:rPr>
        <w:rFonts w:hint="default"/>
      </w:rPr>
    </w:lvl>
    <w:lvl w:ilvl="2">
      <w:start w:val="0"/>
      <w:numFmt w:val="bullet"/>
      <w:lvlText w:val="•"/>
      <w:lvlJc w:val="left"/>
      <w:pPr>
        <w:ind w:left="4686" w:hanging="631"/>
      </w:pPr>
      <w:rPr>
        <w:rFonts w:hint="default"/>
      </w:rPr>
    </w:lvl>
    <w:lvl w:ilvl="3">
      <w:start w:val="0"/>
      <w:numFmt w:val="bullet"/>
      <w:lvlText w:val="•"/>
      <w:lvlJc w:val="left"/>
      <w:pPr>
        <w:ind w:left="5389" w:hanging="631"/>
      </w:pPr>
      <w:rPr>
        <w:rFonts w:hint="default"/>
      </w:rPr>
    </w:lvl>
    <w:lvl w:ilvl="4">
      <w:start w:val="0"/>
      <w:numFmt w:val="bullet"/>
      <w:lvlText w:val="•"/>
      <w:lvlJc w:val="left"/>
      <w:pPr>
        <w:ind w:left="6092" w:hanging="631"/>
      </w:pPr>
      <w:rPr>
        <w:rFonts w:hint="default"/>
      </w:rPr>
    </w:lvl>
    <w:lvl w:ilvl="5">
      <w:start w:val="0"/>
      <w:numFmt w:val="bullet"/>
      <w:lvlText w:val="•"/>
      <w:lvlJc w:val="left"/>
      <w:pPr>
        <w:ind w:left="6795" w:hanging="631"/>
      </w:pPr>
      <w:rPr>
        <w:rFonts w:hint="default"/>
      </w:rPr>
    </w:lvl>
    <w:lvl w:ilvl="6">
      <w:start w:val="0"/>
      <w:numFmt w:val="bullet"/>
      <w:lvlText w:val="•"/>
      <w:lvlJc w:val="left"/>
      <w:pPr>
        <w:ind w:left="7498" w:hanging="631"/>
      </w:pPr>
      <w:rPr>
        <w:rFonts w:hint="default"/>
      </w:rPr>
    </w:lvl>
    <w:lvl w:ilvl="7">
      <w:start w:val="0"/>
      <w:numFmt w:val="bullet"/>
      <w:lvlText w:val="•"/>
      <w:lvlJc w:val="left"/>
      <w:pPr>
        <w:ind w:left="8201" w:hanging="631"/>
      </w:pPr>
      <w:rPr>
        <w:rFonts w:hint="default"/>
      </w:rPr>
    </w:lvl>
    <w:lvl w:ilvl="8">
      <w:start w:val="0"/>
      <w:numFmt w:val="bullet"/>
      <w:lvlText w:val="•"/>
      <w:lvlJc w:val="left"/>
      <w:pPr>
        <w:ind w:left="8904" w:hanging="631"/>
      </w:pPr>
      <w:rPr>
        <w:rFonts w:hint="default"/>
      </w:rPr>
    </w:lvl>
  </w:abstractNum>
  <w:abstractNum w:abstractNumId="27">
    <w:multiLevelType w:val="hybridMultilevel"/>
    <w:lvl w:ilvl="0">
      <w:start w:val="1"/>
      <w:numFmt w:val="decimal"/>
      <w:lvlText w:val="（%1）"/>
      <w:lvlJc w:val="left"/>
      <w:pPr>
        <w:ind w:left="747" w:hanging="631"/>
        <w:jc w:val="left"/>
      </w:pPr>
      <w:rPr>
        <w:rFonts w:hint="default" w:ascii="宋体" w:hAnsi="宋体" w:eastAsia="宋体" w:cs="宋体"/>
        <w:w w:val="100"/>
        <w:sz w:val="21"/>
        <w:szCs w:val="21"/>
      </w:rPr>
    </w:lvl>
    <w:lvl w:ilvl="1">
      <w:start w:val="0"/>
      <w:numFmt w:val="bullet"/>
      <w:lvlText w:val="•"/>
      <w:lvlJc w:val="left"/>
      <w:pPr>
        <w:ind w:left="1443" w:hanging="631"/>
      </w:pPr>
      <w:rPr>
        <w:rFonts w:hint="default"/>
      </w:rPr>
    </w:lvl>
    <w:lvl w:ilvl="2">
      <w:start w:val="0"/>
      <w:numFmt w:val="bullet"/>
      <w:lvlText w:val="•"/>
      <w:lvlJc w:val="left"/>
      <w:pPr>
        <w:ind w:left="2146" w:hanging="631"/>
      </w:pPr>
      <w:rPr>
        <w:rFonts w:hint="default"/>
      </w:rPr>
    </w:lvl>
    <w:lvl w:ilvl="3">
      <w:start w:val="0"/>
      <w:numFmt w:val="bullet"/>
      <w:lvlText w:val="•"/>
      <w:lvlJc w:val="left"/>
      <w:pPr>
        <w:ind w:left="2849" w:hanging="631"/>
      </w:pPr>
      <w:rPr>
        <w:rFonts w:hint="default"/>
      </w:rPr>
    </w:lvl>
    <w:lvl w:ilvl="4">
      <w:start w:val="0"/>
      <w:numFmt w:val="bullet"/>
      <w:lvlText w:val="•"/>
      <w:lvlJc w:val="left"/>
      <w:pPr>
        <w:ind w:left="3552" w:hanging="631"/>
      </w:pPr>
      <w:rPr>
        <w:rFonts w:hint="default"/>
      </w:rPr>
    </w:lvl>
    <w:lvl w:ilvl="5">
      <w:start w:val="0"/>
      <w:numFmt w:val="bullet"/>
      <w:lvlText w:val="•"/>
      <w:lvlJc w:val="left"/>
      <w:pPr>
        <w:ind w:left="4255" w:hanging="631"/>
      </w:pPr>
      <w:rPr>
        <w:rFonts w:hint="default"/>
      </w:rPr>
    </w:lvl>
    <w:lvl w:ilvl="6">
      <w:start w:val="0"/>
      <w:numFmt w:val="bullet"/>
      <w:lvlText w:val="•"/>
      <w:lvlJc w:val="left"/>
      <w:pPr>
        <w:ind w:left="4959" w:hanging="631"/>
      </w:pPr>
      <w:rPr>
        <w:rFonts w:hint="default"/>
      </w:rPr>
    </w:lvl>
    <w:lvl w:ilvl="7">
      <w:start w:val="0"/>
      <w:numFmt w:val="bullet"/>
      <w:lvlText w:val="•"/>
      <w:lvlJc w:val="left"/>
      <w:pPr>
        <w:ind w:left="5662" w:hanging="631"/>
      </w:pPr>
      <w:rPr>
        <w:rFonts w:hint="default"/>
      </w:rPr>
    </w:lvl>
    <w:lvl w:ilvl="8">
      <w:start w:val="0"/>
      <w:numFmt w:val="bullet"/>
      <w:lvlText w:val="•"/>
      <w:lvlJc w:val="left"/>
      <w:pPr>
        <w:ind w:left="6365" w:hanging="631"/>
      </w:pPr>
      <w:rPr>
        <w:rFonts w:hint="default"/>
      </w:rPr>
    </w:lvl>
  </w:abstractNum>
  <w:abstractNum w:abstractNumId="26">
    <w:multiLevelType w:val="hybridMultilevel"/>
    <w:lvl w:ilvl="0">
      <w:start w:val="1"/>
      <w:numFmt w:val="decimal"/>
      <w:lvlText w:val="（%1）"/>
      <w:lvlJc w:val="left"/>
      <w:pPr>
        <w:ind w:left="2654" w:hanging="631"/>
        <w:jc w:val="left"/>
      </w:pPr>
      <w:rPr>
        <w:rFonts w:hint="default" w:ascii="宋体" w:hAnsi="宋体" w:eastAsia="宋体" w:cs="宋体"/>
        <w:spacing w:val="-45"/>
        <w:w w:val="100"/>
        <w:sz w:val="21"/>
        <w:szCs w:val="21"/>
      </w:rPr>
    </w:lvl>
    <w:lvl w:ilvl="1">
      <w:start w:val="0"/>
      <w:numFmt w:val="bullet"/>
      <w:lvlText w:val="•"/>
      <w:lvlJc w:val="left"/>
      <w:pPr>
        <w:ind w:left="3425" w:hanging="631"/>
      </w:pPr>
      <w:rPr>
        <w:rFonts w:hint="default"/>
      </w:rPr>
    </w:lvl>
    <w:lvl w:ilvl="2">
      <w:start w:val="0"/>
      <w:numFmt w:val="bullet"/>
      <w:lvlText w:val="•"/>
      <w:lvlJc w:val="left"/>
      <w:pPr>
        <w:ind w:left="4190" w:hanging="631"/>
      </w:pPr>
      <w:rPr>
        <w:rFonts w:hint="default"/>
      </w:rPr>
    </w:lvl>
    <w:lvl w:ilvl="3">
      <w:start w:val="0"/>
      <w:numFmt w:val="bullet"/>
      <w:lvlText w:val="•"/>
      <w:lvlJc w:val="left"/>
      <w:pPr>
        <w:ind w:left="4955" w:hanging="631"/>
      </w:pPr>
      <w:rPr>
        <w:rFonts w:hint="default"/>
      </w:rPr>
    </w:lvl>
    <w:lvl w:ilvl="4">
      <w:start w:val="0"/>
      <w:numFmt w:val="bullet"/>
      <w:lvlText w:val="•"/>
      <w:lvlJc w:val="left"/>
      <w:pPr>
        <w:ind w:left="5720" w:hanging="631"/>
      </w:pPr>
      <w:rPr>
        <w:rFonts w:hint="default"/>
      </w:rPr>
    </w:lvl>
    <w:lvl w:ilvl="5">
      <w:start w:val="0"/>
      <w:numFmt w:val="bullet"/>
      <w:lvlText w:val="•"/>
      <w:lvlJc w:val="left"/>
      <w:pPr>
        <w:ind w:left="6485" w:hanging="631"/>
      </w:pPr>
      <w:rPr>
        <w:rFonts w:hint="default"/>
      </w:rPr>
    </w:lvl>
    <w:lvl w:ilvl="6">
      <w:start w:val="0"/>
      <w:numFmt w:val="bullet"/>
      <w:lvlText w:val="•"/>
      <w:lvlJc w:val="left"/>
      <w:pPr>
        <w:ind w:left="7250" w:hanging="631"/>
      </w:pPr>
      <w:rPr>
        <w:rFonts w:hint="default"/>
      </w:rPr>
    </w:lvl>
    <w:lvl w:ilvl="7">
      <w:start w:val="0"/>
      <w:numFmt w:val="bullet"/>
      <w:lvlText w:val="•"/>
      <w:lvlJc w:val="left"/>
      <w:pPr>
        <w:ind w:left="8015" w:hanging="631"/>
      </w:pPr>
      <w:rPr>
        <w:rFonts w:hint="default"/>
      </w:rPr>
    </w:lvl>
    <w:lvl w:ilvl="8">
      <w:start w:val="0"/>
      <w:numFmt w:val="bullet"/>
      <w:lvlText w:val="•"/>
      <w:lvlJc w:val="left"/>
      <w:pPr>
        <w:ind w:left="8780" w:hanging="631"/>
      </w:pPr>
      <w:rPr>
        <w:rFonts w:hint="default"/>
      </w:rPr>
    </w:lvl>
  </w:abstractNum>
  <w:abstractNum w:abstractNumId="25">
    <w:multiLevelType w:val="hybridMultilevel"/>
    <w:lvl w:ilvl="0">
      <w:start w:val="9"/>
      <w:numFmt w:val="decimal"/>
      <w:lvlText w:val="%1"/>
      <w:lvlJc w:val="left"/>
      <w:pPr>
        <w:ind w:left="1177" w:hanging="1021"/>
        <w:jc w:val="left"/>
      </w:pPr>
      <w:rPr>
        <w:rFonts w:hint="default"/>
      </w:rPr>
    </w:lvl>
    <w:lvl w:ilvl="1">
      <w:start w:val="6"/>
      <w:numFmt w:val="decimal"/>
      <w:lvlText w:val="%1.%2"/>
      <w:lvlJc w:val="left"/>
      <w:pPr>
        <w:ind w:left="1177" w:hanging="1021"/>
        <w:jc w:val="left"/>
      </w:pPr>
      <w:rPr>
        <w:rFonts w:hint="default"/>
      </w:rPr>
    </w:lvl>
    <w:lvl w:ilvl="2">
      <w:start w:val="2"/>
      <w:numFmt w:val="decimal"/>
      <w:lvlText w:val="%1.%2.%3"/>
      <w:lvlJc w:val="left"/>
      <w:pPr>
        <w:ind w:left="2654" w:hanging="1021"/>
        <w:jc w:val="left"/>
      </w:pPr>
      <w:rPr>
        <w:rFonts w:hint="default" w:ascii="宋体" w:hAnsi="宋体" w:eastAsia="宋体" w:cs="宋体"/>
        <w:b/>
        <w:bCs/>
        <w:w w:val="99"/>
        <w:sz w:val="21"/>
        <w:szCs w:val="21"/>
      </w:rPr>
    </w:lvl>
    <w:lvl w:ilvl="3">
      <w:start w:val="1"/>
      <w:numFmt w:val="decimal"/>
      <w:lvlText w:val="（%4）"/>
      <w:lvlJc w:val="left"/>
      <w:pPr>
        <w:ind w:left="2654" w:hanging="631"/>
        <w:jc w:val="left"/>
      </w:pPr>
      <w:rPr>
        <w:rFonts w:hint="default" w:ascii="宋体" w:hAnsi="宋体" w:eastAsia="宋体" w:cs="宋体"/>
        <w:w w:val="100"/>
        <w:sz w:val="21"/>
        <w:szCs w:val="21"/>
      </w:rPr>
    </w:lvl>
    <w:lvl w:ilvl="4">
      <w:start w:val="0"/>
      <w:numFmt w:val="bullet"/>
      <w:lvlText w:val="•"/>
      <w:lvlJc w:val="left"/>
      <w:pPr>
        <w:ind w:left="5210" w:hanging="631"/>
      </w:pPr>
      <w:rPr>
        <w:rFonts w:hint="default"/>
      </w:rPr>
    </w:lvl>
    <w:lvl w:ilvl="5">
      <w:start w:val="0"/>
      <w:numFmt w:val="bullet"/>
      <w:lvlText w:val="•"/>
      <w:lvlJc w:val="left"/>
      <w:pPr>
        <w:ind w:left="6060" w:hanging="631"/>
      </w:pPr>
      <w:rPr>
        <w:rFonts w:hint="default"/>
      </w:rPr>
    </w:lvl>
    <w:lvl w:ilvl="6">
      <w:start w:val="0"/>
      <w:numFmt w:val="bullet"/>
      <w:lvlText w:val="•"/>
      <w:lvlJc w:val="left"/>
      <w:pPr>
        <w:ind w:left="6910" w:hanging="631"/>
      </w:pPr>
      <w:rPr>
        <w:rFonts w:hint="default"/>
      </w:rPr>
    </w:lvl>
    <w:lvl w:ilvl="7">
      <w:start w:val="0"/>
      <w:numFmt w:val="bullet"/>
      <w:lvlText w:val="•"/>
      <w:lvlJc w:val="left"/>
      <w:pPr>
        <w:ind w:left="7760" w:hanging="631"/>
      </w:pPr>
      <w:rPr>
        <w:rFonts w:hint="default"/>
      </w:rPr>
    </w:lvl>
    <w:lvl w:ilvl="8">
      <w:start w:val="0"/>
      <w:numFmt w:val="bullet"/>
      <w:lvlText w:val="•"/>
      <w:lvlJc w:val="left"/>
      <w:pPr>
        <w:ind w:left="8610" w:hanging="631"/>
      </w:pPr>
      <w:rPr>
        <w:rFonts w:hint="default"/>
      </w:rPr>
    </w:lvl>
  </w:abstractNum>
  <w:abstractNum w:abstractNumId="24">
    <w:multiLevelType w:val="hybridMultilevel"/>
    <w:lvl w:ilvl="0">
      <w:start w:val="1"/>
      <w:numFmt w:val="decimal"/>
      <w:lvlText w:val="（%1）"/>
      <w:lvlJc w:val="left"/>
      <w:pPr>
        <w:ind w:left="747" w:hanging="631"/>
        <w:jc w:val="left"/>
      </w:pPr>
      <w:rPr>
        <w:rFonts w:hint="default" w:ascii="宋体" w:hAnsi="宋体" w:eastAsia="宋体" w:cs="宋体"/>
        <w:spacing w:val="-5"/>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39" w:hanging="631"/>
      </w:pPr>
      <w:rPr>
        <w:rFonts w:hint="default"/>
      </w:rPr>
    </w:lvl>
    <w:lvl w:ilvl="3">
      <w:start w:val="0"/>
      <w:numFmt w:val="bullet"/>
      <w:lvlText w:val="•"/>
      <w:lvlJc w:val="left"/>
      <w:pPr>
        <w:ind w:left="2839" w:hanging="631"/>
      </w:pPr>
      <w:rPr>
        <w:rFonts w:hint="default"/>
      </w:rPr>
    </w:lvl>
    <w:lvl w:ilvl="4">
      <w:start w:val="0"/>
      <w:numFmt w:val="bullet"/>
      <w:lvlText w:val="•"/>
      <w:lvlJc w:val="left"/>
      <w:pPr>
        <w:ind w:left="3538" w:hanging="631"/>
      </w:pPr>
      <w:rPr>
        <w:rFonts w:hint="default"/>
      </w:rPr>
    </w:lvl>
    <w:lvl w:ilvl="5">
      <w:start w:val="0"/>
      <w:numFmt w:val="bullet"/>
      <w:lvlText w:val="•"/>
      <w:lvlJc w:val="left"/>
      <w:pPr>
        <w:ind w:left="4238" w:hanging="631"/>
      </w:pPr>
      <w:rPr>
        <w:rFonts w:hint="default"/>
      </w:rPr>
    </w:lvl>
    <w:lvl w:ilvl="6">
      <w:start w:val="0"/>
      <w:numFmt w:val="bullet"/>
      <w:lvlText w:val="•"/>
      <w:lvlJc w:val="left"/>
      <w:pPr>
        <w:ind w:left="4938" w:hanging="631"/>
      </w:pPr>
      <w:rPr>
        <w:rFonts w:hint="default"/>
      </w:rPr>
    </w:lvl>
    <w:lvl w:ilvl="7">
      <w:start w:val="0"/>
      <w:numFmt w:val="bullet"/>
      <w:lvlText w:val="•"/>
      <w:lvlJc w:val="left"/>
      <w:pPr>
        <w:ind w:left="5637" w:hanging="631"/>
      </w:pPr>
      <w:rPr>
        <w:rFonts w:hint="default"/>
      </w:rPr>
    </w:lvl>
    <w:lvl w:ilvl="8">
      <w:start w:val="0"/>
      <w:numFmt w:val="bullet"/>
      <w:lvlText w:val="•"/>
      <w:lvlJc w:val="left"/>
      <w:pPr>
        <w:ind w:left="6337" w:hanging="631"/>
      </w:pPr>
      <w:rPr>
        <w:rFonts w:hint="default"/>
      </w:rPr>
    </w:lvl>
  </w:abstractNum>
  <w:abstractNum w:abstractNumId="23">
    <w:multiLevelType w:val="hybridMultilevel"/>
    <w:lvl w:ilvl="0">
      <w:start w:val="1"/>
      <w:numFmt w:val="decimal"/>
      <w:lvlText w:val="（%1）"/>
      <w:lvlJc w:val="left"/>
      <w:pPr>
        <w:ind w:left="116" w:hanging="631"/>
        <w:jc w:val="left"/>
      </w:pPr>
      <w:rPr>
        <w:rFonts w:hint="default" w:ascii="宋体" w:hAnsi="宋体" w:eastAsia="宋体" w:cs="宋体"/>
        <w:spacing w:val="-45"/>
        <w:w w:val="100"/>
        <w:sz w:val="21"/>
        <w:szCs w:val="21"/>
      </w:rPr>
    </w:lvl>
    <w:lvl w:ilvl="1">
      <w:start w:val="0"/>
      <w:numFmt w:val="bullet"/>
      <w:lvlText w:val="•"/>
      <w:lvlJc w:val="left"/>
      <w:pPr>
        <w:ind w:left="881" w:hanging="631"/>
      </w:pPr>
      <w:rPr>
        <w:rFonts w:hint="default"/>
      </w:rPr>
    </w:lvl>
    <w:lvl w:ilvl="2">
      <w:start w:val="0"/>
      <w:numFmt w:val="bullet"/>
      <w:lvlText w:val="•"/>
      <w:lvlJc w:val="left"/>
      <w:pPr>
        <w:ind w:left="1643" w:hanging="631"/>
      </w:pPr>
      <w:rPr>
        <w:rFonts w:hint="default"/>
      </w:rPr>
    </w:lvl>
    <w:lvl w:ilvl="3">
      <w:start w:val="0"/>
      <w:numFmt w:val="bullet"/>
      <w:lvlText w:val="•"/>
      <w:lvlJc w:val="left"/>
      <w:pPr>
        <w:ind w:left="2405" w:hanging="631"/>
      </w:pPr>
      <w:rPr>
        <w:rFonts w:hint="default"/>
      </w:rPr>
    </w:lvl>
    <w:lvl w:ilvl="4">
      <w:start w:val="0"/>
      <w:numFmt w:val="bullet"/>
      <w:lvlText w:val="•"/>
      <w:lvlJc w:val="left"/>
      <w:pPr>
        <w:ind w:left="3166" w:hanging="631"/>
      </w:pPr>
      <w:rPr>
        <w:rFonts w:hint="default"/>
      </w:rPr>
    </w:lvl>
    <w:lvl w:ilvl="5">
      <w:start w:val="0"/>
      <w:numFmt w:val="bullet"/>
      <w:lvlText w:val="•"/>
      <w:lvlJc w:val="left"/>
      <w:pPr>
        <w:ind w:left="3928" w:hanging="631"/>
      </w:pPr>
      <w:rPr>
        <w:rFonts w:hint="default"/>
      </w:rPr>
    </w:lvl>
    <w:lvl w:ilvl="6">
      <w:start w:val="0"/>
      <w:numFmt w:val="bullet"/>
      <w:lvlText w:val="•"/>
      <w:lvlJc w:val="left"/>
      <w:pPr>
        <w:ind w:left="4690" w:hanging="631"/>
      </w:pPr>
      <w:rPr>
        <w:rFonts w:hint="default"/>
      </w:rPr>
    </w:lvl>
    <w:lvl w:ilvl="7">
      <w:start w:val="0"/>
      <w:numFmt w:val="bullet"/>
      <w:lvlText w:val="•"/>
      <w:lvlJc w:val="left"/>
      <w:pPr>
        <w:ind w:left="5451" w:hanging="631"/>
      </w:pPr>
      <w:rPr>
        <w:rFonts w:hint="default"/>
      </w:rPr>
    </w:lvl>
    <w:lvl w:ilvl="8">
      <w:start w:val="0"/>
      <w:numFmt w:val="bullet"/>
      <w:lvlText w:val="•"/>
      <w:lvlJc w:val="left"/>
      <w:pPr>
        <w:ind w:left="6213" w:hanging="631"/>
      </w:pPr>
      <w:rPr>
        <w:rFonts w:hint="default"/>
      </w:rPr>
    </w:lvl>
  </w:abstractNum>
  <w:abstractNum w:abstractNumId="22">
    <w:multiLevelType w:val="hybridMultilevel"/>
    <w:lvl w:ilvl="0">
      <w:start w:val="9"/>
      <w:numFmt w:val="decimal"/>
      <w:lvlText w:val="%1"/>
      <w:lvlJc w:val="left"/>
      <w:pPr>
        <w:ind w:left="1137" w:hanging="1021"/>
        <w:jc w:val="left"/>
      </w:pPr>
      <w:rPr>
        <w:rFonts w:hint="default"/>
      </w:rPr>
    </w:lvl>
    <w:lvl w:ilvl="1">
      <w:start w:val="5"/>
      <w:numFmt w:val="decimal"/>
      <w:lvlText w:val="%1.%2"/>
      <w:lvlJc w:val="left"/>
      <w:pPr>
        <w:ind w:left="1137" w:hanging="1021"/>
        <w:jc w:val="left"/>
      </w:pPr>
      <w:rPr>
        <w:rFonts w:hint="default"/>
      </w:rPr>
    </w:lvl>
    <w:lvl w:ilvl="2">
      <w:start w:val="38"/>
      <w:numFmt w:val="decimal"/>
      <w:lvlText w:val="%1.%2.%3"/>
      <w:lvlJc w:val="left"/>
      <w:pPr>
        <w:ind w:left="1137" w:hanging="1021"/>
        <w:jc w:val="left"/>
      </w:pPr>
      <w:rPr>
        <w:rFonts w:hint="default" w:ascii="宋体" w:hAnsi="宋体" w:eastAsia="宋体" w:cs="宋体"/>
        <w:b/>
        <w:bCs/>
        <w:w w:val="99"/>
        <w:sz w:val="21"/>
        <w:szCs w:val="21"/>
      </w:rPr>
    </w:lvl>
    <w:lvl w:ilvl="3">
      <w:start w:val="1"/>
      <w:numFmt w:val="decimal"/>
      <w:lvlText w:val="（%4）"/>
      <w:lvlJc w:val="left"/>
      <w:pPr>
        <w:ind w:left="3325" w:hanging="631"/>
        <w:jc w:val="left"/>
      </w:pPr>
      <w:rPr>
        <w:rFonts w:hint="default" w:ascii="宋体" w:hAnsi="宋体" w:eastAsia="宋体" w:cs="宋体"/>
        <w:b/>
        <w:bCs/>
        <w:i/>
        <w:w w:val="94"/>
        <w:sz w:val="22"/>
        <w:szCs w:val="22"/>
      </w:rPr>
    </w:lvl>
    <w:lvl w:ilvl="4">
      <w:start w:val="0"/>
      <w:numFmt w:val="bullet"/>
      <w:lvlText w:val="•"/>
      <w:lvlJc w:val="left"/>
      <w:pPr>
        <w:ind w:left="3013" w:hanging="631"/>
      </w:pPr>
      <w:rPr>
        <w:rFonts w:hint="default"/>
      </w:rPr>
    </w:lvl>
    <w:lvl w:ilvl="5">
      <w:start w:val="0"/>
      <w:numFmt w:val="bullet"/>
      <w:lvlText w:val="•"/>
      <w:lvlJc w:val="left"/>
      <w:pPr>
        <w:ind w:left="2911" w:hanging="631"/>
      </w:pPr>
      <w:rPr>
        <w:rFonts w:hint="default"/>
      </w:rPr>
    </w:lvl>
    <w:lvl w:ilvl="6">
      <w:start w:val="0"/>
      <w:numFmt w:val="bullet"/>
      <w:lvlText w:val="•"/>
      <w:lvlJc w:val="left"/>
      <w:pPr>
        <w:ind w:left="2809" w:hanging="631"/>
      </w:pPr>
      <w:rPr>
        <w:rFonts w:hint="default"/>
      </w:rPr>
    </w:lvl>
    <w:lvl w:ilvl="7">
      <w:start w:val="0"/>
      <w:numFmt w:val="bullet"/>
      <w:lvlText w:val="•"/>
      <w:lvlJc w:val="left"/>
      <w:pPr>
        <w:ind w:left="2706" w:hanging="631"/>
      </w:pPr>
      <w:rPr>
        <w:rFonts w:hint="default"/>
      </w:rPr>
    </w:lvl>
    <w:lvl w:ilvl="8">
      <w:start w:val="0"/>
      <w:numFmt w:val="bullet"/>
      <w:lvlText w:val="•"/>
      <w:lvlJc w:val="left"/>
      <w:pPr>
        <w:ind w:left="2604" w:hanging="631"/>
      </w:pPr>
      <w:rPr>
        <w:rFonts w:hint="default"/>
      </w:rPr>
    </w:lvl>
  </w:abstractNum>
  <w:abstractNum w:abstractNumId="21">
    <w:multiLevelType w:val="hybridMultilevel"/>
    <w:lvl w:ilvl="0">
      <w:start w:val="1"/>
      <w:numFmt w:val="decimal"/>
      <w:lvlText w:val="（%1）"/>
      <w:lvlJc w:val="left"/>
      <w:pPr>
        <w:ind w:left="156" w:hanging="631"/>
        <w:jc w:val="right"/>
      </w:pPr>
      <w:rPr>
        <w:rFonts w:hint="default" w:ascii="宋体" w:hAnsi="宋体" w:eastAsia="宋体" w:cs="宋体"/>
        <w:w w:val="100"/>
        <w:sz w:val="21"/>
        <w:szCs w:val="21"/>
      </w:rPr>
    </w:lvl>
    <w:lvl w:ilvl="1">
      <w:start w:val="0"/>
      <w:numFmt w:val="bullet"/>
      <w:lvlText w:val="•"/>
      <w:lvlJc w:val="left"/>
      <w:pPr>
        <w:ind w:left="927" w:hanging="631"/>
      </w:pPr>
      <w:rPr>
        <w:rFonts w:hint="default"/>
      </w:rPr>
    </w:lvl>
    <w:lvl w:ilvl="2">
      <w:start w:val="0"/>
      <w:numFmt w:val="bullet"/>
      <w:lvlText w:val="•"/>
      <w:lvlJc w:val="left"/>
      <w:pPr>
        <w:ind w:left="1695" w:hanging="631"/>
      </w:pPr>
      <w:rPr>
        <w:rFonts w:hint="default"/>
      </w:rPr>
    </w:lvl>
    <w:lvl w:ilvl="3">
      <w:start w:val="0"/>
      <w:numFmt w:val="bullet"/>
      <w:lvlText w:val="•"/>
      <w:lvlJc w:val="left"/>
      <w:pPr>
        <w:ind w:left="2463" w:hanging="631"/>
      </w:pPr>
      <w:rPr>
        <w:rFonts w:hint="default"/>
      </w:rPr>
    </w:lvl>
    <w:lvl w:ilvl="4">
      <w:start w:val="0"/>
      <w:numFmt w:val="bullet"/>
      <w:lvlText w:val="•"/>
      <w:lvlJc w:val="left"/>
      <w:pPr>
        <w:ind w:left="3230" w:hanging="631"/>
      </w:pPr>
      <w:rPr>
        <w:rFonts w:hint="default"/>
      </w:rPr>
    </w:lvl>
    <w:lvl w:ilvl="5">
      <w:start w:val="0"/>
      <w:numFmt w:val="bullet"/>
      <w:lvlText w:val="•"/>
      <w:lvlJc w:val="left"/>
      <w:pPr>
        <w:ind w:left="3998" w:hanging="631"/>
      </w:pPr>
      <w:rPr>
        <w:rFonts w:hint="default"/>
      </w:rPr>
    </w:lvl>
    <w:lvl w:ilvl="6">
      <w:start w:val="0"/>
      <w:numFmt w:val="bullet"/>
      <w:lvlText w:val="•"/>
      <w:lvlJc w:val="left"/>
      <w:pPr>
        <w:ind w:left="4766" w:hanging="631"/>
      </w:pPr>
      <w:rPr>
        <w:rFonts w:hint="default"/>
      </w:rPr>
    </w:lvl>
    <w:lvl w:ilvl="7">
      <w:start w:val="0"/>
      <w:numFmt w:val="bullet"/>
      <w:lvlText w:val="•"/>
      <w:lvlJc w:val="left"/>
      <w:pPr>
        <w:ind w:left="5533" w:hanging="631"/>
      </w:pPr>
      <w:rPr>
        <w:rFonts w:hint="default"/>
      </w:rPr>
    </w:lvl>
    <w:lvl w:ilvl="8">
      <w:start w:val="0"/>
      <w:numFmt w:val="bullet"/>
      <w:lvlText w:val="•"/>
      <w:lvlJc w:val="left"/>
      <w:pPr>
        <w:ind w:left="6301" w:hanging="631"/>
      </w:pPr>
      <w:rPr>
        <w:rFonts w:hint="default"/>
      </w:rPr>
    </w:lvl>
  </w:abstractNum>
  <w:abstractNum w:abstractNumId="20">
    <w:multiLevelType w:val="hybridMultilevel"/>
    <w:lvl w:ilvl="0">
      <w:start w:val="1"/>
      <w:numFmt w:val="decimal"/>
      <w:lvlText w:val="（%1）"/>
      <w:lvlJc w:val="left"/>
      <w:pPr>
        <w:ind w:left="156" w:hanging="631"/>
        <w:jc w:val="left"/>
      </w:pPr>
      <w:rPr>
        <w:rFonts w:hint="default" w:ascii="宋体" w:hAnsi="宋体" w:eastAsia="宋体" w:cs="宋体"/>
        <w:spacing w:val="-3"/>
        <w:w w:val="100"/>
        <w:sz w:val="21"/>
        <w:szCs w:val="21"/>
      </w:rPr>
    </w:lvl>
    <w:lvl w:ilvl="1">
      <w:start w:val="0"/>
      <w:numFmt w:val="bullet"/>
      <w:lvlText w:val="•"/>
      <w:lvlJc w:val="left"/>
      <w:pPr>
        <w:ind w:left="927" w:hanging="631"/>
      </w:pPr>
      <w:rPr>
        <w:rFonts w:hint="default"/>
      </w:rPr>
    </w:lvl>
    <w:lvl w:ilvl="2">
      <w:start w:val="0"/>
      <w:numFmt w:val="bullet"/>
      <w:lvlText w:val="•"/>
      <w:lvlJc w:val="left"/>
      <w:pPr>
        <w:ind w:left="1695" w:hanging="631"/>
      </w:pPr>
      <w:rPr>
        <w:rFonts w:hint="default"/>
      </w:rPr>
    </w:lvl>
    <w:lvl w:ilvl="3">
      <w:start w:val="0"/>
      <w:numFmt w:val="bullet"/>
      <w:lvlText w:val="•"/>
      <w:lvlJc w:val="left"/>
      <w:pPr>
        <w:ind w:left="2463" w:hanging="631"/>
      </w:pPr>
      <w:rPr>
        <w:rFonts w:hint="default"/>
      </w:rPr>
    </w:lvl>
    <w:lvl w:ilvl="4">
      <w:start w:val="0"/>
      <w:numFmt w:val="bullet"/>
      <w:lvlText w:val="•"/>
      <w:lvlJc w:val="left"/>
      <w:pPr>
        <w:ind w:left="3230" w:hanging="631"/>
      </w:pPr>
      <w:rPr>
        <w:rFonts w:hint="default"/>
      </w:rPr>
    </w:lvl>
    <w:lvl w:ilvl="5">
      <w:start w:val="0"/>
      <w:numFmt w:val="bullet"/>
      <w:lvlText w:val="•"/>
      <w:lvlJc w:val="left"/>
      <w:pPr>
        <w:ind w:left="3998" w:hanging="631"/>
      </w:pPr>
      <w:rPr>
        <w:rFonts w:hint="default"/>
      </w:rPr>
    </w:lvl>
    <w:lvl w:ilvl="6">
      <w:start w:val="0"/>
      <w:numFmt w:val="bullet"/>
      <w:lvlText w:val="•"/>
      <w:lvlJc w:val="left"/>
      <w:pPr>
        <w:ind w:left="4766" w:hanging="631"/>
      </w:pPr>
      <w:rPr>
        <w:rFonts w:hint="default"/>
      </w:rPr>
    </w:lvl>
    <w:lvl w:ilvl="7">
      <w:start w:val="0"/>
      <w:numFmt w:val="bullet"/>
      <w:lvlText w:val="•"/>
      <w:lvlJc w:val="left"/>
      <w:pPr>
        <w:ind w:left="5533" w:hanging="631"/>
      </w:pPr>
      <w:rPr>
        <w:rFonts w:hint="default"/>
      </w:rPr>
    </w:lvl>
    <w:lvl w:ilvl="8">
      <w:start w:val="0"/>
      <w:numFmt w:val="bullet"/>
      <w:lvlText w:val="•"/>
      <w:lvlJc w:val="left"/>
      <w:pPr>
        <w:ind w:left="6301" w:hanging="631"/>
      </w:pPr>
      <w:rPr>
        <w:rFonts w:hint="default"/>
      </w:rPr>
    </w:lvl>
  </w:abstractNum>
  <w:abstractNum w:abstractNumId="19">
    <w:multiLevelType w:val="hybridMultilevel"/>
    <w:lvl w:ilvl="0">
      <w:start w:val="9"/>
      <w:numFmt w:val="decimal"/>
      <w:lvlText w:val="%1"/>
      <w:lvlJc w:val="left"/>
      <w:pPr>
        <w:ind w:left="1177" w:hanging="1021"/>
        <w:jc w:val="left"/>
      </w:pPr>
      <w:rPr>
        <w:rFonts w:hint="default"/>
      </w:rPr>
    </w:lvl>
    <w:lvl w:ilvl="1">
      <w:start w:val="5"/>
      <w:numFmt w:val="decimal"/>
      <w:lvlText w:val="%1.%2"/>
      <w:lvlJc w:val="left"/>
      <w:pPr>
        <w:ind w:left="1177" w:hanging="1021"/>
        <w:jc w:val="left"/>
      </w:pPr>
      <w:rPr>
        <w:rFonts w:hint="default"/>
      </w:rPr>
    </w:lvl>
    <w:lvl w:ilvl="2">
      <w:start w:val="22"/>
      <w:numFmt w:val="decimal"/>
      <w:lvlText w:val="%1.%2.%3"/>
      <w:lvlJc w:val="left"/>
      <w:pPr>
        <w:ind w:left="1177" w:hanging="1021"/>
        <w:jc w:val="left"/>
      </w:pPr>
      <w:rPr>
        <w:rFonts w:hint="default" w:ascii="宋体" w:hAnsi="宋体" w:eastAsia="宋体" w:cs="宋体"/>
        <w:b/>
        <w:bCs/>
        <w:w w:val="99"/>
        <w:sz w:val="21"/>
        <w:szCs w:val="21"/>
      </w:rPr>
    </w:lvl>
    <w:lvl w:ilvl="3">
      <w:start w:val="1"/>
      <w:numFmt w:val="decimal"/>
      <w:lvlText w:val="（%4）"/>
      <w:lvlJc w:val="left"/>
      <w:pPr>
        <w:ind w:left="2709" w:hanging="631"/>
        <w:jc w:val="left"/>
      </w:pPr>
      <w:rPr>
        <w:rFonts w:hint="default" w:ascii="宋体" w:hAnsi="宋体" w:eastAsia="宋体" w:cs="宋体"/>
        <w:w w:val="100"/>
        <w:sz w:val="21"/>
        <w:szCs w:val="21"/>
      </w:rPr>
    </w:lvl>
    <w:lvl w:ilvl="4">
      <w:start w:val="0"/>
      <w:numFmt w:val="bullet"/>
      <w:lvlText w:val="•"/>
      <w:lvlJc w:val="left"/>
      <w:pPr>
        <w:ind w:left="5263" w:hanging="631"/>
      </w:pPr>
      <w:rPr>
        <w:rFonts w:hint="default"/>
      </w:rPr>
    </w:lvl>
    <w:lvl w:ilvl="5">
      <w:start w:val="0"/>
      <w:numFmt w:val="bullet"/>
      <w:lvlText w:val="•"/>
      <w:lvlJc w:val="left"/>
      <w:pPr>
        <w:ind w:left="6117" w:hanging="631"/>
      </w:pPr>
      <w:rPr>
        <w:rFonts w:hint="default"/>
      </w:rPr>
    </w:lvl>
    <w:lvl w:ilvl="6">
      <w:start w:val="0"/>
      <w:numFmt w:val="bullet"/>
      <w:lvlText w:val="•"/>
      <w:lvlJc w:val="left"/>
      <w:pPr>
        <w:ind w:left="6972" w:hanging="631"/>
      </w:pPr>
      <w:rPr>
        <w:rFonts w:hint="default"/>
      </w:rPr>
    </w:lvl>
    <w:lvl w:ilvl="7">
      <w:start w:val="0"/>
      <w:numFmt w:val="bullet"/>
      <w:lvlText w:val="•"/>
      <w:lvlJc w:val="left"/>
      <w:pPr>
        <w:ind w:left="7826" w:hanging="631"/>
      </w:pPr>
      <w:rPr>
        <w:rFonts w:hint="default"/>
      </w:rPr>
    </w:lvl>
    <w:lvl w:ilvl="8">
      <w:start w:val="0"/>
      <w:numFmt w:val="bullet"/>
      <w:lvlText w:val="•"/>
      <w:lvlJc w:val="left"/>
      <w:pPr>
        <w:ind w:left="8681" w:hanging="631"/>
      </w:pPr>
      <w:rPr>
        <w:rFonts w:hint="default"/>
      </w:rPr>
    </w:lvl>
  </w:abstractNum>
  <w:abstractNum w:abstractNumId="18">
    <w:multiLevelType w:val="hybridMultilevel"/>
    <w:lvl w:ilvl="0">
      <w:start w:val="1"/>
      <w:numFmt w:val="decimal"/>
      <w:lvlText w:val="（%1）"/>
      <w:lvlJc w:val="left"/>
      <w:pPr>
        <w:ind w:left="3340" w:hanging="631"/>
        <w:jc w:val="left"/>
      </w:pPr>
      <w:rPr>
        <w:rFonts w:hint="default" w:ascii="宋体" w:hAnsi="宋体" w:eastAsia="宋体" w:cs="宋体"/>
        <w:w w:val="100"/>
        <w:sz w:val="21"/>
        <w:szCs w:val="21"/>
      </w:rPr>
    </w:lvl>
    <w:lvl w:ilvl="1">
      <w:start w:val="0"/>
      <w:numFmt w:val="bullet"/>
      <w:lvlText w:val="•"/>
      <w:lvlJc w:val="left"/>
      <w:pPr>
        <w:ind w:left="4045" w:hanging="631"/>
      </w:pPr>
      <w:rPr>
        <w:rFonts w:hint="default"/>
      </w:rPr>
    </w:lvl>
    <w:lvl w:ilvl="2">
      <w:start w:val="0"/>
      <w:numFmt w:val="bullet"/>
      <w:lvlText w:val="•"/>
      <w:lvlJc w:val="left"/>
      <w:pPr>
        <w:ind w:left="4750" w:hanging="631"/>
      </w:pPr>
      <w:rPr>
        <w:rFonts w:hint="default"/>
      </w:rPr>
    </w:lvl>
    <w:lvl w:ilvl="3">
      <w:start w:val="0"/>
      <w:numFmt w:val="bullet"/>
      <w:lvlText w:val="•"/>
      <w:lvlJc w:val="left"/>
      <w:pPr>
        <w:ind w:left="5455" w:hanging="631"/>
      </w:pPr>
      <w:rPr>
        <w:rFonts w:hint="default"/>
      </w:rPr>
    </w:lvl>
    <w:lvl w:ilvl="4">
      <w:start w:val="0"/>
      <w:numFmt w:val="bullet"/>
      <w:lvlText w:val="•"/>
      <w:lvlJc w:val="left"/>
      <w:pPr>
        <w:ind w:left="6160" w:hanging="631"/>
      </w:pPr>
      <w:rPr>
        <w:rFonts w:hint="default"/>
      </w:rPr>
    </w:lvl>
    <w:lvl w:ilvl="5">
      <w:start w:val="0"/>
      <w:numFmt w:val="bullet"/>
      <w:lvlText w:val="•"/>
      <w:lvlJc w:val="left"/>
      <w:pPr>
        <w:ind w:left="6865" w:hanging="631"/>
      </w:pPr>
      <w:rPr>
        <w:rFonts w:hint="default"/>
      </w:rPr>
    </w:lvl>
    <w:lvl w:ilvl="6">
      <w:start w:val="0"/>
      <w:numFmt w:val="bullet"/>
      <w:lvlText w:val="•"/>
      <w:lvlJc w:val="left"/>
      <w:pPr>
        <w:ind w:left="7570" w:hanging="631"/>
      </w:pPr>
      <w:rPr>
        <w:rFonts w:hint="default"/>
      </w:rPr>
    </w:lvl>
    <w:lvl w:ilvl="7">
      <w:start w:val="0"/>
      <w:numFmt w:val="bullet"/>
      <w:lvlText w:val="•"/>
      <w:lvlJc w:val="left"/>
      <w:pPr>
        <w:ind w:left="8275" w:hanging="631"/>
      </w:pPr>
      <w:rPr>
        <w:rFonts w:hint="default"/>
      </w:rPr>
    </w:lvl>
    <w:lvl w:ilvl="8">
      <w:start w:val="0"/>
      <w:numFmt w:val="bullet"/>
      <w:lvlText w:val="•"/>
      <w:lvlJc w:val="left"/>
      <w:pPr>
        <w:ind w:left="8980" w:hanging="631"/>
      </w:pPr>
      <w:rPr>
        <w:rFonts w:hint="default"/>
      </w:rPr>
    </w:lvl>
  </w:abstractNum>
  <w:abstractNum w:abstractNumId="17">
    <w:multiLevelType w:val="hybridMultilevel"/>
    <w:lvl w:ilvl="0">
      <w:start w:val="1"/>
      <w:numFmt w:val="decimal"/>
      <w:lvlText w:val="（%1）"/>
      <w:lvlJc w:val="left"/>
      <w:pPr>
        <w:ind w:left="765" w:hanging="631"/>
        <w:jc w:val="left"/>
      </w:pPr>
      <w:rPr>
        <w:rFonts w:hint="default" w:ascii="宋体" w:hAnsi="宋体" w:eastAsia="宋体" w:cs="宋体"/>
        <w:spacing w:val="-46"/>
        <w:w w:val="100"/>
        <w:sz w:val="21"/>
        <w:szCs w:val="21"/>
      </w:rPr>
    </w:lvl>
    <w:lvl w:ilvl="1">
      <w:start w:val="0"/>
      <w:numFmt w:val="bullet"/>
      <w:lvlText w:val="•"/>
      <w:lvlJc w:val="left"/>
      <w:pPr>
        <w:ind w:left="1454" w:hanging="631"/>
      </w:pPr>
      <w:rPr>
        <w:rFonts w:hint="default"/>
      </w:rPr>
    </w:lvl>
    <w:lvl w:ilvl="2">
      <w:start w:val="0"/>
      <w:numFmt w:val="bullet"/>
      <w:lvlText w:val="•"/>
      <w:lvlJc w:val="left"/>
      <w:pPr>
        <w:ind w:left="2148" w:hanging="631"/>
      </w:pPr>
      <w:rPr>
        <w:rFonts w:hint="default"/>
      </w:rPr>
    </w:lvl>
    <w:lvl w:ilvl="3">
      <w:start w:val="0"/>
      <w:numFmt w:val="bullet"/>
      <w:lvlText w:val="•"/>
      <w:lvlJc w:val="left"/>
      <w:pPr>
        <w:ind w:left="2842" w:hanging="631"/>
      </w:pPr>
      <w:rPr>
        <w:rFonts w:hint="default"/>
      </w:rPr>
    </w:lvl>
    <w:lvl w:ilvl="4">
      <w:start w:val="0"/>
      <w:numFmt w:val="bullet"/>
      <w:lvlText w:val="•"/>
      <w:lvlJc w:val="left"/>
      <w:pPr>
        <w:ind w:left="3536" w:hanging="631"/>
      </w:pPr>
      <w:rPr>
        <w:rFonts w:hint="default"/>
      </w:rPr>
    </w:lvl>
    <w:lvl w:ilvl="5">
      <w:start w:val="0"/>
      <w:numFmt w:val="bullet"/>
      <w:lvlText w:val="•"/>
      <w:lvlJc w:val="left"/>
      <w:pPr>
        <w:ind w:left="4231" w:hanging="631"/>
      </w:pPr>
      <w:rPr>
        <w:rFonts w:hint="default"/>
      </w:rPr>
    </w:lvl>
    <w:lvl w:ilvl="6">
      <w:start w:val="0"/>
      <w:numFmt w:val="bullet"/>
      <w:lvlText w:val="•"/>
      <w:lvlJc w:val="left"/>
      <w:pPr>
        <w:ind w:left="4925" w:hanging="631"/>
      </w:pPr>
      <w:rPr>
        <w:rFonts w:hint="default"/>
      </w:rPr>
    </w:lvl>
    <w:lvl w:ilvl="7">
      <w:start w:val="0"/>
      <w:numFmt w:val="bullet"/>
      <w:lvlText w:val="•"/>
      <w:lvlJc w:val="left"/>
      <w:pPr>
        <w:ind w:left="5619" w:hanging="631"/>
      </w:pPr>
      <w:rPr>
        <w:rFonts w:hint="default"/>
      </w:rPr>
    </w:lvl>
    <w:lvl w:ilvl="8">
      <w:start w:val="0"/>
      <w:numFmt w:val="bullet"/>
      <w:lvlText w:val="•"/>
      <w:lvlJc w:val="left"/>
      <w:pPr>
        <w:ind w:left="6313" w:hanging="631"/>
      </w:pPr>
      <w:rPr>
        <w:rFonts w:hint="default"/>
      </w:rPr>
    </w:lvl>
  </w:abstractNum>
  <w:abstractNum w:abstractNumId="16">
    <w:multiLevelType w:val="hybridMultilevel"/>
    <w:lvl w:ilvl="0">
      <w:start w:val="1"/>
      <w:numFmt w:val="decimal"/>
      <w:lvlText w:val="（%1）"/>
      <w:lvlJc w:val="left"/>
      <w:pPr>
        <w:ind w:left="747" w:hanging="631"/>
        <w:jc w:val="left"/>
      </w:pPr>
      <w:rPr>
        <w:rFonts w:hint="default" w:ascii="宋体" w:hAnsi="宋体" w:eastAsia="宋体" w:cs="宋体"/>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39" w:hanging="631"/>
      </w:pPr>
      <w:rPr>
        <w:rFonts w:hint="default"/>
      </w:rPr>
    </w:lvl>
    <w:lvl w:ilvl="3">
      <w:start w:val="0"/>
      <w:numFmt w:val="bullet"/>
      <w:lvlText w:val="•"/>
      <w:lvlJc w:val="left"/>
      <w:pPr>
        <w:ind w:left="2839" w:hanging="631"/>
      </w:pPr>
      <w:rPr>
        <w:rFonts w:hint="default"/>
      </w:rPr>
    </w:lvl>
    <w:lvl w:ilvl="4">
      <w:start w:val="0"/>
      <w:numFmt w:val="bullet"/>
      <w:lvlText w:val="•"/>
      <w:lvlJc w:val="left"/>
      <w:pPr>
        <w:ind w:left="3538" w:hanging="631"/>
      </w:pPr>
      <w:rPr>
        <w:rFonts w:hint="default"/>
      </w:rPr>
    </w:lvl>
    <w:lvl w:ilvl="5">
      <w:start w:val="0"/>
      <w:numFmt w:val="bullet"/>
      <w:lvlText w:val="•"/>
      <w:lvlJc w:val="left"/>
      <w:pPr>
        <w:ind w:left="4238" w:hanging="631"/>
      </w:pPr>
      <w:rPr>
        <w:rFonts w:hint="default"/>
      </w:rPr>
    </w:lvl>
    <w:lvl w:ilvl="6">
      <w:start w:val="0"/>
      <w:numFmt w:val="bullet"/>
      <w:lvlText w:val="•"/>
      <w:lvlJc w:val="left"/>
      <w:pPr>
        <w:ind w:left="4938" w:hanging="631"/>
      </w:pPr>
      <w:rPr>
        <w:rFonts w:hint="default"/>
      </w:rPr>
    </w:lvl>
    <w:lvl w:ilvl="7">
      <w:start w:val="0"/>
      <w:numFmt w:val="bullet"/>
      <w:lvlText w:val="•"/>
      <w:lvlJc w:val="left"/>
      <w:pPr>
        <w:ind w:left="5637" w:hanging="631"/>
      </w:pPr>
      <w:rPr>
        <w:rFonts w:hint="default"/>
      </w:rPr>
    </w:lvl>
    <w:lvl w:ilvl="8">
      <w:start w:val="0"/>
      <w:numFmt w:val="bullet"/>
      <w:lvlText w:val="•"/>
      <w:lvlJc w:val="left"/>
      <w:pPr>
        <w:ind w:left="6337" w:hanging="631"/>
      </w:pPr>
      <w:rPr>
        <w:rFonts w:hint="default"/>
      </w:rPr>
    </w:lvl>
  </w:abstractNum>
  <w:abstractNum w:abstractNumId="15">
    <w:multiLevelType w:val="hybridMultilevel"/>
    <w:lvl w:ilvl="0">
      <w:start w:val="1"/>
      <w:numFmt w:val="decimal"/>
      <w:lvlText w:val="（%1）"/>
      <w:lvlJc w:val="left"/>
      <w:pPr>
        <w:ind w:left="2669" w:hanging="631"/>
        <w:jc w:val="left"/>
      </w:pPr>
      <w:rPr>
        <w:rFonts w:hint="default" w:ascii="宋体" w:hAnsi="宋体" w:eastAsia="宋体" w:cs="宋体"/>
        <w:spacing w:val="-48"/>
        <w:w w:val="100"/>
        <w:sz w:val="21"/>
        <w:szCs w:val="21"/>
      </w:rPr>
    </w:lvl>
    <w:lvl w:ilvl="1">
      <w:start w:val="0"/>
      <w:numFmt w:val="bullet"/>
      <w:lvlText w:val="•"/>
      <w:lvlJc w:val="left"/>
      <w:pPr>
        <w:ind w:left="3423" w:hanging="631"/>
      </w:pPr>
      <w:rPr>
        <w:rFonts w:hint="default"/>
      </w:rPr>
    </w:lvl>
    <w:lvl w:ilvl="2">
      <w:start w:val="0"/>
      <w:numFmt w:val="bullet"/>
      <w:lvlText w:val="•"/>
      <w:lvlJc w:val="left"/>
      <w:pPr>
        <w:ind w:left="4186" w:hanging="631"/>
      </w:pPr>
      <w:rPr>
        <w:rFonts w:hint="default"/>
      </w:rPr>
    </w:lvl>
    <w:lvl w:ilvl="3">
      <w:start w:val="0"/>
      <w:numFmt w:val="bullet"/>
      <w:lvlText w:val="•"/>
      <w:lvlJc w:val="left"/>
      <w:pPr>
        <w:ind w:left="4949" w:hanging="631"/>
      </w:pPr>
      <w:rPr>
        <w:rFonts w:hint="default"/>
      </w:rPr>
    </w:lvl>
    <w:lvl w:ilvl="4">
      <w:start w:val="0"/>
      <w:numFmt w:val="bullet"/>
      <w:lvlText w:val="•"/>
      <w:lvlJc w:val="left"/>
      <w:pPr>
        <w:ind w:left="5712" w:hanging="631"/>
      </w:pPr>
      <w:rPr>
        <w:rFonts w:hint="default"/>
      </w:rPr>
    </w:lvl>
    <w:lvl w:ilvl="5">
      <w:start w:val="0"/>
      <w:numFmt w:val="bullet"/>
      <w:lvlText w:val="•"/>
      <w:lvlJc w:val="left"/>
      <w:pPr>
        <w:ind w:left="6475" w:hanging="631"/>
      </w:pPr>
      <w:rPr>
        <w:rFonts w:hint="default"/>
      </w:rPr>
    </w:lvl>
    <w:lvl w:ilvl="6">
      <w:start w:val="0"/>
      <w:numFmt w:val="bullet"/>
      <w:lvlText w:val="•"/>
      <w:lvlJc w:val="left"/>
      <w:pPr>
        <w:ind w:left="7238" w:hanging="631"/>
      </w:pPr>
      <w:rPr>
        <w:rFonts w:hint="default"/>
      </w:rPr>
    </w:lvl>
    <w:lvl w:ilvl="7">
      <w:start w:val="0"/>
      <w:numFmt w:val="bullet"/>
      <w:lvlText w:val="•"/>
      <w:lvlJc w:val="left"/>
      <w:pPr>
        <w:ind w:left="8001" w:hanging="631"/>
      </w:pPr>
      <w:rPr>
        <w:rFonts w:hint="default"/>
      </w:rPr>
    </w:lvl>
    <w:lvl w:ilvl="8">
      <w:start w:val="0"/>
      <w:numFmt w:val="bullet"/>
      <w:lvlText w:val="•"/>
      <w:lvlJc w:val="left"/>
      <w:pPr>
        <w:ind w:left="8764" w:hanging="631"/>
      </w:pPr>
      <w:rPr>
        <w:rFonts w:hint="default"/>
      </w:rPr>
    </w:lvl>
  </w:abstractNum>
  <w:abstractNum w:abstractNumId="14">
    <w:multiLevelType w:val="hybridMultilevel"/>
    <w:lvl w:ilvl="0">
      <w:start w:val="1"/>
      <w:numFmt w:val="decimal"/>
      <w:lvlText w:val="（%1）"/>
      <w:lvlJc w:val="left"/>
      <w:pPr>
        <w:ind w:left="116" w:hanging="631"/>
        <w:jc w:val="left"/>
      </w:pPr>
      <w:rPr>
        <w:rFonts w:hint="default" w:ascii="宋体" w:hAnsi="宋体" w:eastAsia="宋体" w:cs="宋体"/>
        <w:spacing w:val="-105"/>
        <w:w w:val="100"/>
        <w:sz w:val="21"/>
        <w:szCs w:val="21"/>
      </w:rPr>
    </w:lvl>
    <w:lvl w:ilvl="1">
      <w:start w:val="0"/>
      <w:numFmt w:val="bullet"/>
      <w:lvlText w:val="•"/>
      <w:lvlJc w:val="left"/>
      <w:pPr>
        <w:ind w:left="881" w:hanging="631"/>
      </w:pPr>
      <w:rPr>
        <w:rFonts w:hint="default"/>
      </w:rPr>
    </w:lvl>
    <w:lvl w:ilvl="2">
      <w:start w:val="0"/>
      <w:numFmt w:val="bullet"/>
      <w:lvlText w:val="•"/>
      <w:lvlJc w:val="left"/>
      <w:pPr>
        <w:ind w:left="1643" w:hanging="631"/>
      </w:pPr>
      <w:rPr>
        <w:rFonts w:hint="default"/>
      </w:rPr>
    </w:lvl>
    <w:lvl w:ilvl="3">
      <w:start w:val="0"/>
      <w:numFmt w:val="bullet"/>
      <w:lvlText w:val="•"/>
      <w:lvlJc w:val="left"/>
      <w:pPr>
        <w:ind w:left="2405" w:hanging="631"/>
      </w:pPr>
      <w:rPr>
        <w:rFonts w:hint="default"/>
      </w:rPr>
    </w:lvl>
    <w:lvl w:ilvl="4">
      <w:start w:val="0"/>
      <w:numFmt w:val="bullet"/>
      <w:lvlText w:val="•"/>
      <w:lvlJc w:val="left"/>
      <w:pPr>
        <w:ind w:left="3166" w:hanging="631"/>
      </w:pPr>
      <w:rPr>
        <w:rFonts w:hint="default"/>
      </w:rPr>
    </w:lvl>
    <w:lvl w:ilvl="5">
      <w:start w:val="0"/>
      <w:numFmt w:val="bullet"/>
      <w:lvlText w:val="•"/>
      <w:lvlJc w:val="left"/>
      <w:pPr>
        <w:ind w:left="3928" w:hanging="631"/>
      </w:pPr>
      <w:rPr>
        <w:rFonts w:hint="default"/>
      </w:rPr>
    </w:lvl>
    <w:lvl w:ilvl="6">
      <w:start w:val="0"/>
      <w:numFmt w:val="bullet"/>
      <w:lvlText w:val="•"/>
      <w:lvlJc w:val="left"/>
      <w:pPr>
        <w:ind w:left="4690" w:hanging="631"/>
      </w:pPr>
      <w:rPr>
        <w:rFonts w:hint="default"/>
      </w:rPr>
    </w:lvl>
    <w:lvl w:ilvl="7">
      <w:start w:val="0"/>
      <w:numFmt w:val="bullet"/>
      <w:lvlText w:val="•"/>
      <w:lvlJc w:val="left"/>
      <w:pPr>
        <w:ind w:left="5451" w:hanging="631"/>
      </w:pPr>
      <w:rPr>
        <w:rFonts w:hint="default"/>
      </w:rPr>
    </w:lvl>
    <w:lvl w:ilvl="8">
      <w:start w:val="0"/>
      <w:numFmt w:val="bullet"/>
      <w:lvlText w:val="•"/>
      <w:lvlJc w:val="left"/>
      <w:pPr>
        <w:ind w:left="6213" w:hanging="631"/>
      </w:pPr>
      <w:rPr>
        <w:rFonts w:hint="default"/>
      </w:rPr>
    </w:lvl>
  </w:abstractNum>
  <w:abstractNum w:abstractNumId="13">
    <w:multiLevelType w:val="hybridMultilevel"/>
    <w:lvl w:ilvl="0">
      <w:start w:val="1"/>
      <w:numFmt w:val="decimal"/>
      <w:lvlText w:val="（%1）"/>
      <w:lvlJc w:val="left"/>
      <w:pPr>
        <w:ind w:left="747" w:hanging="631"/>
        <w:jc w:val="left"/>
      </w:pPr>
      <w:rPr>
        <w:rFonts w:hint="default" w:ascii="宋体" w:hAnsi="宋体" w:eastAsia="宋体" w:cs="宋体"/>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39" w:hanging="631"/>
      </w:pPr>
      <w:rPr>
        <w:rFonts w:hint="default"/>
      </w:rPr>
    </w:lvl>
    <w:lvl w:ilvl="3">
      <w:start w:val="0"/>
      <w:numFmt w:val="bullet"/>
      <w:lvlText w:val="•"/>
      <w:lvlJc w:val="left"/>
      <w:pPr>
        <w:ind w:left="2839" w:hanging="631"/>
      </w:pPr>
      <w:rPr>
        <w:rFonts w:hint="default"/>
      </w:rPr>
    </w:lvl>
    <w:lvl w:ilvl="4">
      <w:start w:val="0"/>
      <w:numFmt w:val="bullet"/>
      <w:lvlText w:val="•"/>
      <w:lvlJc w:val="left"/>
      <w:pPr>
        <w:ind w:left="3538" w:hanging="631"/>
      </w:pPr>
      <w:rPr>
        <w:rFonts w:hint="default"/>
      </w:rPr>
    </w:lvl>
    <w:lvl w:ilvl="5">
      <w:start w:val="0"/>
      <w:numFmt w:val="bullet"/>
      <w:lvlText w:val="•"/>
      <w:lvlJc w:val="left"/>
      <w:pPr>
        <w:ind w:left="4238" w:hanging="631"/>
      </w:pPr>
      <w:rPr>
        <w:rFonts w:hint="default"/>
      </w:rPr>
    </w:lvl>
    <w:lvl w:ilvl="6">
      <w:start w:val="0"/>
      <w:numFmt w:val="bullet"/>
      <w:lvlText w:val="•"/>
      <w:lvlJc w:val="left"/>
      <w:pPr>
        <w:ind w:left="4938" w:hanging="631"/>
      </w:pPr>
      <w:rPr>
        <w:rFonts w:hint="default"/>
      </w:rPr>
    </w:lvl>
    <w:lvl w:ilvl="7">
      <w:start w:val="0"/>
      <w:numFmt w:val="bullet"/>
      <w:lvlText w:val="•"/>
      <w:lvlJc w:val="left"/>
      <w:pPr>
        <w:ind w:left="5637" w:hanging="631"/>
      </w:pPr>
      <w:rPr>
        <w:rFonts w:hint="default"/>
      </w:rPr>
    </w:lvl>
    <w:lvl w:ilvl="8">
      <w:start w:val="0"/>
      <w:numFmt w:val="bullet"/>
      <w:lvlText w:val="•"/>
      <w:lvlJc w:val="left"/>
      <w:pPr>
        <w:ind w:left="6337" w:hanging="631"/>
      </w:pPr>
      <w:rPr>
        <w:rFonts w:hint="default"/>
      </w:rPr>
    </w:lvl>
  </w:abstractNum>
  <w:abstractNum w:abstractNumId="12">
    <w:multiLevelType w:val="hybridMultilevel"/>
    <w:lvl w:ilvl="0">
      <w:start w:val="1"/>
      <w:numFmt w:val="decimal"/>
      <w:lvlText w:val="（%1）"/>
      <w:lvlJc w:val="left"/>
      <w:pPr>
        <w:ind w:left="116" w:hanging="571"/>
        <w:jc w:val="left"/>
      </w:pPr>
      <w:rPr>
        <w:rFonts w:hint="default" w:ascii="宋体" w:hAnsi="宋体" w:eastAsia="宋体" w:cs="宋体"/>
        <w:w w:val="100"/>
        <w:sz w:val="21"/>
        <w:szCs w:val="21"/>
      </w:rPr>
    </w:lvl>
    <w:lvl w:ilvl="1">
      <w:start w:val="0"/>
      <w:numFmt w:val="bullet"/>
      <w:lvlText w:val="•"/>
      <w:lvlJc w:val="left"/>
      <w:pPr>
        <w:ind w:left="881" w:hanging="571"/>
      </w:pPr>
      <w:rPr>
        <w:rFonts w:hint="default"/>
      </w:rPr>
    </w:lvl>
    <w:lvl w:ilvl="2">
      <w:start w:val="0"/>
      <w:numFmt w:val="bullet"/>
      <w:lvlText w:val="•"/>
      <w:lvlJc w:val="left"/>
      <w:pPr>
        <w:ind w:left="1643" w:hanging="571"/>
      </w:pPr>
      <w:rPr>
        <w:rFonts w:hint="default"/>
      </w:rPr>
    </w:lvl>
    <w:lvl w:ilvl="3">
      <w:start w:val="0"/>
      <w:numFmt w:val="bullet"/>
      <w:lvlText w:val="•"/>
      <w:lvlJc w:val="left"/>
      <w:pPr>
        <w:ind w:left="2405" w:hanging="571"/>
      </w:pPr>
      <w:rPr>
        <w:rFonts w:hint="default"/>
      </w:rPr>
    </w:lvl>
    <w:lvl w:ilvl="4">
      <w:start w:val="0"/>
      <w:numFmt w:val="bullet"/>
      <w:lvlText w:val="•"/>
      <w:lvlJc w:val="left"/>
      <w:pPr>
        <w:ind w:left="3166" w:hanging="571"/>
      </w:pPr>
      <w:rPr>
        <w:rFonts w:hint="default"/>
      </w:rPr>
    </w:lvl>
    <w:lvl w:ilvl="5">
      <w:start w:val="0"/>
      <w:numFmt w:val="bullet"/>
      <w:lvlText w:val="•"/>
      <w:lvlJc w:val="left"/>
      <w:pPr>
        <w:ind w:left="3928" w:hanging="571"/>
      </w:pPr>
      <w:rPr>
        <w:rFonts w:hint="default"/>
      </w:rPr>
    </w:lvl>
    <w:lvl w:ilvl="6">
      <w:start w:val="0"/>
      <w:numFmt w:val="bullet"/>
      <w:lvlText w:val="•"/>
      <w:lvlJc w:val="left"/>
      <w:pPr>
        <w:ind w:left="4690" w:hanging="571"/>
      </w:pPr>
      <w:rPr>
        <w:rFonts w:hint="default"/>
      </w:rPr>
    </w:lvl>
    <w:lvl w:ilvl="7">
      <w:start w:val="0"/>
      <w:numFmt w:val="bullet"/>
      <w:lvlText w:val="•"/>
      <w:lvlJc w:val="left"/>
      <w:pPr>
        <w:ind w:left="5451" w:hanging="571"/>
      </w:pPr>
      <w:rPr>
        <w:rFonts w:hint="default"/>
      </w:rPr>
    </w:lvl>
    <w:lvl w:ilvl="8">
      <w:start w:val="0"/>
      <w:numFmt w:val="bullet"/>
      <w:lvlText w:val="•"/>
      <w:lvlJc w:val="left"/>
      <w:pPr>
        <w:ind w:left="6213" w:hanging="571"/>
      </w:pPr>
      <w:rPr>
        <w:rFonts w:hint="default"/>
      </w:rPr>
    </w:lvl>
  </w:abstractNum>
  <w:abstractNum w:abstractNumId="11">
    <w:multiLevelType w:val="hybridMultilevel"/>
    <w:lvl w:ilvl="0">
      <w:start w:val="9"/>
      <w:numFmt w:val="decimal"/>
      <w:lvlText w:val="%1"/>
      <w:lvlJc w:val="left"/>
      <w:pPr>
        <w:ind w:left="2669" w:hanging="1021"/>
        <w:jc w:val="left"/>
      </w:pPr>
      <w:rPr>
        <w:rFonts w:hint="default"/>
      </w:rPr>
    </w:lvl>
    <w:lvl w:ilvl="1">
      <w:start w:val="5"/>
      <w:numFmt w:val="decimal"/>
      <w:lvlText w:val="%1.%2"/>
      <w:lvlJc w:val="left"/>
      <w:pPr>
        <w:ind w:left="2669" w:hanging="1021"/>
        <w:jc w:val="left"/>
      </w:pPr>
      <w:rPr>
        <w:rFonts w:hint="default"/>
      </w:rPr>
    </w:lvl>
    <w:lvl w:ilvl="2">
      <w:start w:val="3"/>
      <w:numFmt w:val="decimal"/>
      <w:lvlText w:val="%1.%2.%3"/>
      <w:lvlJc w:val="left"/>
      <w:pPr>
        <w:ind w:left="2669" w:hanging="1021"/>
        <w:jc w:val="left"/>
      </w:pPr>
      <w:rPr>
        <w:rFonts w:hint="default" w:ascii="宋体" w:hAnsi="宋体" w:eastAsia="宋体" w:cs="宋体"/>
        <w:b/>
        <w:bCs/>
        <w:w w:val="99"/>
        <w:sz w:val="21"/>
        <w:szCs w:val="21"/>
      </w:rPr>
    </w:lvl>
    <w:lvl w:ilvl="3">
      <w:start w:val="1"/>
      <w:numFmt w:val="decimal"/>
      <w:lvlText w:val="（%4）"/>
      <w:lvlJc w:val="left"/>
      <w:pPr>
        <w:ind w:left="2669" w:hanging="631"/>
        <w:jc w:val="left"/>
      </w:pPr>
      <w:rPr>
        <w:rFonts w:hint="default" w:ascii="宋体" w:hAnsi="宋体" w:eastAsia="宋体" w:cs="宋体"/>
        <w:spacing w:val="-105"/>
        <w:w w:val="100"/>
        <w:sz w:val="21"/>
        <w:szCs w:val="21"/>
      </w:rPr>
    </w:lvl>
    <w:lvl w:ilvl="4">
      <w:start w:val="0"/>
      <w:numFmt w:val="bullet"/>
      <w:lvlText w:val="•"/>
      <w:lvlJc w:val="left"/>
      <w:pPr>
        <w:ind w:left="5712" w:hanging="631"/>
      </w:pPr>
      <w:rPr>
        <w:rFonts w:hint="default"/>
      </w:rPr>
    </w:lvl>
    <w:lvl w:ilvl="5">
      <w:start w:val="0"/>
      <w:numFmt w:val="bullet"/>
      <w:lvlText w:val="•"/>
      <w:lvlJc w:val="left"/>
      <w:pPr>
        <w:ind w:left="6475" w:hanging="631"/>
      </w:pPr>
      <w:rPr>
        <w:rFonts w:hint="default"/>
      </w:rPr>
    </w:lvl>
    <w:lvl w:ilvl="6">
      <w:start w:val="0"/>
      <w:numFmt w:val="bullet"/>
      <w:lvlText w:val="•"/>
      <w:lvlJc w:val="left"/>
      <w:pPr>
        <w:ind w:left="7238" w:hanging="631"/>
      </w:pPr>
      <w:rPr>
        <w:rFonts w:hint="default"/>
      </w:rPr>
    </w:lvl>
    <w:lvl w:ilvl="7">
      <w:start w:val="0"/>
      <w:numFmt w:val="bullet"/>
      <w:lvlText w:val="•"/>
      <w:lvlJc w:val="left"/>
      <w:pPr>
        <w:ind w:left="8001" w:hanging="631"/>
      </w:pPr>
      <w:rPr>
        <w:rFonts w:hint="default"/>
      </w:rPr>
    </w:lvl>
    <w:lvl w:ilvl="8">
      <w:start w:val="0"/>
      <w:numFmt w:val="bullet"/>
      <w:lvlText w:val="•"/>
      <w:lvlJc w:val="left"/>
      <w:pPr>
        <w:ind w:left="8764" w:hanging="631"/>
      </w:pPr>
      <w:rPr>
        <w:rFonts w:hint="default"/>
      </w:rPr>
    </w:lvl>
  </w:abstractNum>
  <w:abstractNum w:abstractNumId="10">
    <w:multiLevelType w:val="hybridMultilevel"/>
    <w:lvl w:ilvl="0">
      <w:start w:val="3"/>
      <w:numFmt w:val="decimal"/>
      <w:lvlText w:val="（%1）"/>
      <w:lvlJc w:val="left"/>
      <w:pPr>
        <w:ind w:left="764" w:hanging="631"/>
        <w:jc w:val="left"/>
      </w:pPr>
      <w:rPr>
        <w:rFonts w:hint="default" w:ascii="宋体" w:hAnsi="宋体" w:eastAsia="宋体" w:cs="宋体"/>
        <w:spacing w:val="-61"/>
        <w:w w:val="100"/>
        <w:sz w:val="21"/>
        <w:szCs w:val="21"/>
      </w:rPr>
    </w:lvl>
    <w:lvl w:ilvl="1">
      <w:start w:val="0"/>
      <w:numFmt w:val="bullet"/>
      <w:lvlText w:val="•"/>
      <w:lvlJc w:val="left"/>
      <w:pPr>
        <w:ind w:left="1439" w:hanging="631"/>
      </w:pPr>
      <w:rPr>
        <w:rFonts w:hint="default"/>
      </w:rPr>
    </w:lvl>
    <w:lvl w:ilvl="2">
      <w:start w:val="0"/>
      <w:numFmt w:val="bullet"/>
      <w:lvlText w:val="•"/>
      <w:lvlJc w:val="left"/>
      <w:pPr>
        <w:ind w:left="2118" w:hanging="631"/>
      </w:pPr>
      <w:rPr>
        <w:rFonts w:hint="default"/>
      </w:rPr>
    </w:lvl>
    <w:lvl w:ilvl="3">
      <w:start w:val="0"/>
      <w:numFmt w:val="bullet"/>
      <w:lvlText w:val="•"/>
      <w:lvlJc w:val="left"/>
      <w:pPr>
        <w:ind w:left="2797" w:hanging="631"/>
      </w:pPr>
      <w:rPr>
        <w:rFonts w:hint="default"/>
      </w:rPr>
    </w:lvl>
    <w:lvl w:ilvl="4">
      <w:start w:val="0"/>
      <w:numFmt w:val="bullet"/>
      <w:lvlText w:val="•"/>
      <w:lvlJc w:val="left"/>
      <w:pPr>
        <w:ind w:left="3477" w:hanging="631"/>
      </w:pPr>
      <w:rPr>
        <w:rFonts w:hint="default"/>
      </w:rPr>
    </w:lvl>
    <w:lvl w:ilvl="5">
      <w:start w:val="0"/>
      <w:numFmt w:val="bullet"/>
      <w:lvlText w:val="•"/>
      <w:lvlJc w:val="left"/>
      <w:pPr>
        <w:ind w:left="4156" w:hanging="631"/>
      </w:pPr>
      <w:rPr>
        <w:rFonts w:hint="default"/>
      </w:rPr>
    </w:lvl>
    <w:lvl w:ilvl="6">
      <w:start w:val="0"/>
      <w:numFmt w:val="bullet"/>
      <w:lvlText w:val="•"/>
      <w:lvlJc w:val="left"/>
      <w:pPr>
        <w:ind w:left="4835" w:hanging="631"/>
      </w:pPr>
      <w:rPr>
        <w:rFonts w:hint="default"/>
      </w:rPr>
    </w:lvl>
    <w:lvl w:ilvl="7">
      <w:start w:val="0"/>
      <w:numFmt w:val="bullet"/>
      <w:lvlText w:val="•"/>
      <w:lvlJc w:val="left"/>
      <w:pPr>
        <w:ind w:left="5515" w:hanging="631"/>
      </w:pPr>
      <w:rPr>
        <w:rFonts w:hint="default"/>
      </w:rPr>
    </w:lvl>
    <w:lvl w:ilvl="8">
      <w:start w:val="0"/>
      <w:numFmt w:val="bullet"/>
      <w:lvlText w:val="•"/>
      <w:lvlJc w:val="left"/>
      <w:pPr>
        <w:ind w:left="6194" w:hanging="631"/>
      </w:pPr>
      <w:rPr>
        <w:rFonts w:hint="default"/>
      </w:rPr>
    </w:lvl>
  </w:abstractNum>
  <w:abstractNum w:abstractNumId="9">
    <w:multiLevelType w:val="hybridMultilevel"/>
    <w:lvl w:ilvl="0">
      <w:start w:val="8"/>
      <w:numFmt w:val="decimal"/>
      <w:lvlText w:val="%1"/>
      <w:lvlJc w:val="left"/>
      <w:pPr>
        <w:ind w:left="1237" w:hanging="1021"/>
        <w:jc w:val="left"/>
      </w:pPr>
      <w:rPr>
        <w:rFonts w:hint="default"/>
      </w:rPr>
    </w:lvl>
    <w:lvl w:ilvl="1">
      <w:start w:val="1"/>
      <w:numFmt w:val="decimal"/>
      <w:lvlText w:val="%1.%2"/>
      <w:lvlJc w:val="left"/>
      <w:pPr>
        <w:ind w:left="1237" w:hanging="1021"/>
        <w:jc w:val="left"/>
      </w:pPr>
      <w:rPr>
        <w:rFonts w:hint="default" w:ascii="宋体" w:hAnsi="宋体" w:eastAsia="宋体" w:cs="宋体"/>
        <w:b/>
        <w:bCs/>
        <w:w w:val="99"/>
        <w:sz w:val="21"/>
        <w:szCs w:val="21"/>
      </w:rPr>
    </w:lvl>
    <w:lvl w:ilvl="2">
      <w:start w:val="1"/>
      <w:numFmt w:val="decimal"/>
      <w:lvlText w:val="（%3）"/>
      <w:lvlJc w:val="left"/>
      <w:pPr>
        <w:ind w:left="3400" w:hanging="631"/>
        <w:jc w:val="left"/>
      </w:pPr>
      <w:rPr>
        <w:rFonts w:hint="default" w:ascii="宋体" w:hAnsi="宋体" w:eastAsia="宋体" w:cs="宋体"/>
        <w:w w:val="100"/>
        <w:sz w:val="21"/>
        <w:szCs w:val="21"/>
      </w:rPr>
    </w:lvl>
    <w:lvl w:ilvl="3">
      <w:start w:val="0"/>
      <w:numFmt w:val="bullet"/>
      <w:lvlText w:val="•"/>
      <w:lvlJc w:val="left"/>
      <w:pPr>
        <w:ind w:left="3200" w:hanging="631"/>
      </w:pPr>
      <w:rPr>
        <w:rFonts w:hint="default"/>
      </w:rPr>
    </w:lvl>
    <w:lvl w:ilvl="4">
      <w:start w:val="0"/>
      <w:numFmt w:val="bullet"/>
      <w:lvlText w:val="•"/>
      <w:lvlJc w:val="left"/>
      <w:pPr>
        <w:ind w:left="3100" w:hanging="631"/>
      </w:pPr>
      <w:rPr>
        <w:rFonts w:hint="default"/>
      </w:rPr>
    </w:lvl>
    <w:lvl w:ilvl="5">
      <w:start w:val="0"/>
      <w:numFmt w:val="bullet"/>
      <w:lvlText w:val="•"/>
      <w:lvlJc w:val="left"/>
      <w:pPr>
        <w:ind w:left="3000" w:hanging="631"/>
      </w:pPr>
      <w:rPr>
        <w:rFonts w:hint="default"/>
      </w:rPr>
    </w:lvl>
    <w:lvl w:ilvl="6">
      <w:start w:val="0"/>
      <w:numFmt w:val="bullet"/>
      <w:lvlText w:val="•"/>
      <w:lvlJc w:val="left"/>
      <w:pPr>
        <w:ind w:left="2900" w:hanging="631"/>
      </w:pPr>
      <w:rPr>
        <w:rFonts w:hint="default"/>
      </w:rPr>
    </w:lvl>
    <w:lvl w:ilvl="7">
      <w:start w:val="0"/>
      <w:numFmt w:val="bullet"/>
      <w:lvlText w:val="•"/>
      <w:lvlJc w:val="left"/>
      <w:pPr>
        <w:ind w:left="2800" w:hanging="631"/>
      </w:pPr>
      <w:rPr>
        <w:rFonts w:hint="default"/>
      </w:rPr>
    </w:lvl>
    <w:lvl w:ilvl="8">
      <w:start w:val="0"/>
      <w:numFmt w:val="bullet"/>
      <w:lvlText w:val="•"/>
      <w:lvlJc w:val="left"/>
      <w:pPr>
        <w:ind w:left="2700" w:hanging="631"/>
      </w:pPr>
      <w:rPr>
        <w:rFonts w:hint="default"/>
      </w:rPr>
    </w:lvl>
  </w:abstractNum>
  <w:abstractNum w:abstractNumId="8">
    <w:multiLevelType w:val="hybridMultilevel"/>
    <w:lvl w:ilvl="0">
      <w:start w:val="6"/>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7">
    <w:multiLevelType w:val="hybridMultilevel"/>
    <w:lvl w:ilvl="0">
      <w:start w:val="0"/>
      <w:numFmt w:val="bullet"/>
      <w:lvlText w:val=""/>
      <w:lvlJc w:val="left"/>
      <w:pPr>
        <w:ind w:left="1237" w:hanging="1021"/>
      </w:pPr>
      <w:rPr>
        <w:rFonts w:hint="default" w:ascii="Wingdings" w:hAnsi="Wingdings" w:eastAsia="Wingdings" w:cs="Wingdings"/>
        <w:w w:val="101"/>
        <w:position w:val="-7"/>
        <w:sz w:val="52"/>
        <w:szCs w:val="52"/>
      </w:rPr>
    </w:lvl>
    <w:lvl w:ilvl="1">
      <w:start w:val="0"/>
      <w:numFmt w:val="bullet"/>
      <w:lvlText w:val="•"/>
      <w:lvlJc w:val="left"/>
      <w:pPr>
        <w:ind w:left="2155" w:hanging="1021"/>
      </w:pPr>
      <w:rPr>
        <w:rFonts w:hint="default"/>
      </w:rPr>
    </w:lvl>
    <w:lvl w:ilvl="2">
      <w:start w:val="0"/>
      <w:numFmt w:val="bullet"/>
      <w:lvlText w:val="•"/>
      <w:lvlJc w:val="left"/>
      <w:pPr>
        <w:ind w:left="3070" w:hanging="1021"/>
      </w:pPr>
      <w:rPr>
        <w:rFonts w:hint="default"/>
      </w:rPr>
    </w:lvl>
    <w:lvl w:ilvl="3">
      <w:start w:val="0"/>
      <w:numFmt w:val="bullet"/>
      <w:lvlText w:val="•"/>
      <w:lvlJc w:val="left"/>
      <w:pPr>
        <w:ind w:left="3985" w:hanging="1021"/>
      </w:pPr>
      <w:rPr>
        <w:rFonts w:hint="default"/>
      </w:rPr>
    </w:lvl>
    <w:lvl w:ilvl="4">
      <w:start w:val="0"/>
      <w:numFmt w:val="bullet"/>
      <w:lvlText w:val="•"/>
      <w:lvlJc w:val="left"/>
      <w:pPr>
        <w:ind w:left="4900" w:hanging="1021"/>
      </w:pPr>
      <w:rPr>
        <w:rFonts w:hint="default"/>
      </w:rPr>
    </w:lvl>
    <w:lvl w:ilvl="5">
      <w:start w:val="0"/>
      <w:numFmt w:val="bullet"/>
      <w:lvlText w:val="•"/>
      <w:lvlJc w:val="left"/>
      <w:pPr>
        <w:ind w:left="5815" w:hanging="1021"/>
      </w:pPr>
      <w:rPr>
        <w:rFonts w:hint="default"/>
      </w:rPr>
    </w:lvl>
    <w:lvl w:ilvl="6">
      <w:start w:val="0"/>
      <w:numFmt w:val="bullet"/>
      <w:lvlText w:val="•"/>
      <w:lvlJc w:val="left"/>
      <w:pPr>
        <w:ind w:left="6730" w:hanging="1021"/>
      </w:pPr>
      <w:rPr>
        <w:rFonts w:hint="default"/>
      </w:rPr>
    </w:lvl>
    <w:lvl w:ilvl="7">
      <w:start w:val="0"/>
      <w:numFmt w:val="bullet"/>
      <w:lvlText w:val="•"/>
      <w:lvlJc w:val="left"/>
      <w:pPr>
        <w:ind w:left="7645" w:hanging="1021"/>
      </w:pPr>
      <w:rPr>
        <w:rFonts w:hint="default"/>
      </w:rPr>
    </w:lvl>
    <w:lvl w:ilvl="8">
      <w:start w:val="0"/>
      <w:numFmt w:val="bullet"/>
      <w:lvlText w:val="•"/>
      <w:lvlJc w:val="left"/>
      <w:pPr>
        <w:ind w:left="8560" w:hanging="1021"/>
      </w:pPr>
      <w:rPr>
        <w:rFonts w:hint="default"/>
      </w:rPr>
    </w:lvl>
  </w:abstractNum>
  <w:abstractNum w:abstractNumId="6">
    <w:multiLevelType w:val="hybridMultilevel"/>
    <w:lvl w:ilvl="0">
      <w:start w:val="5"/>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5">
    <w:multiLevelType w:val="hybridMultilevel"/>
    <w:lvl w:ilvl="0">
      <w:start w:val="4"/>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4">
    <w:multiLevelType w:val="hybridMultilevel"/>
    <w:lvl w:ilvl="0">
      <w:start w:val="1"/>
      <w:numFmt w:val="decimal"/>
      <w:lvlText w:val="（%1）"/>
      <w:lvlJc w:val="left"/>
      <w:pPr>
        <w:ind w:left="799" w:hanging="571"/>
        <w:jc w:val="left"/>
      </w:pPr>
      <w:rPr>
        <w:rFonts w:hint="default" w:ascii="宋体" w:hAnsi="宋体" w:eastAsia="宋体" w:cs="宋体"/>
        <w:w w:val="100"/>
        <w:sz w:val="21"/>
        <w:szCs w:val="21"/>
      </w:rPr>
    </w:lvl>
    <w:lvl w:ilvl="1">
      <w:start w:val="0"/>
      <w:numFmt w:val="bullet"/>
      <w:lvlText w:val="•"/>
      <w:lvlJc w:val="left"/>
      <w:pPr>
        <w:ind w:left="1504" w:hanging="571"/>
      </w:pPr>
      <w:rPr>
        <w:rFonts w:hint="default"/>
      </w:rPr>
    </w:lvl>
    <w:lvl w:ilvl="2">
      <w:start w:val="0"/>
      <w:numFmt w:val="bullet"/>
      <w:lvlText w:val="•"/>
      <w:lvlJc w:val="left"/>
      <w:pPr>
        <w:ind w:left="2209" w:hanging="571"/>
      </w:pPr>
      <w:rPr>
        <w:rFonts w:hint="default"/>
      </w:rPr>
    </w:lvl>
    <w:lvl w:ilvl="3">
      <w:start w:val="0"/>
      <w:numFmt w:val="bullet"/>
      <w:lvlText w:val="•"/>
      <w:lvlJc w:val="left"/>
      <w:pPr>
        <w:ind w:left="2914" w:hanging="571"/>
      </w:pPr>
      <w:rPr>
        <w:rFonts w:hint="default"/>
      </w:rPr>
    </w:lvl>
    <w:lvl w:ilvl="4">
      <w:start w:val="0"/>
      <w:numFmt w:val="bullet"/>
      <w:lvlText w:val="•"/>
      <w:lvlJc w:val="left"/>
      <w:pPr>
        <w:ind w:left="3619" w:hanging="571"/>
      </w:pPr>
      <w:rPr>
        <w:rFonts w:hint="default"/>
      </w:rPr>
    </w:lvl>
    <w:lvl w:ilvl="5">
      <w:start w:val="0"/>
      <w:numFmt w:val="bullet"/>
      <w:lvlText w:val="•"/>
      <w:lvlJc w:val="left"/>
      <w:pPr>
        <w:ind w:left="4324" w:hanging="571"/>
      </w:pPr>
      <w:rPr>
        <w:rFonts w:hint="default"/>
      </w:rPr>
    </w:lvl>
    <w:lvl w:ilvl="6">
      <w:start w:val="0"/>
      <w:numFmt w:val="bullet"/>
      <w:lvlText w:val="•"/>
      <w:lvlJc w:val="left"/>
      <w:pPr>
        <w:ind w:left="5029" w:hanging="571"/>
      </w:pPr>
      <w:rPr>
        <w:rFonts w:hint="default"/>
      </w:rPr>
    </w:lvl>
    <w:lvl w:ilvl="7">
      <w:start w:val="0"/>
      <w:numFmt w:val="bullet"/>
      <w:lvlText w:val="•"/>
      <w:lvlJc w:val="left"/>
      <w:pPr>
        <w:ind w:left="5734" w:hanging="571"/>
      </w:pPr>
      <w:rPr>
        <w:rFonts w:hint="default"/>
      </w:rPr>
    </w:lvl>
    <w:lvl w:ilvl="8">
      <w:start w:val="0"/>
      <w:numFmt w:val="bullet"/>
      <w:lvlText w:val="•"/>
      <w:lvlJc w:val="left"/>
      <w:pPr>
        <w:ind w:left="6439" w:hanging="571"/>
      </w:pPr>
      <w:rPr>
        <w:rFonts w:hint="default"/>
      </w:rPr>
    </w:lvl>
  </w:abstractNum>
  <w:abstractNum w:abstractNumId="3">
    <w:multiLevelType w:val="hybridMultilevel"/>
    <w:lvl w:ilvl="0">
      <w:start w:val="3"/>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2">
    <w:multiLevelType w:val="hybridMultilevel"/>
    <w:lvl w:ilvl="0">
      <w:start w:val="2"/>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1">
    <w:multiLevelType w:val="hybridMultilevel"/>
    <w:lvl w:ilvl="0">
      <w:start w:val="1"/>
      <w:numFmt w:val="decimal"/>
      <w:lvlText w:val="%1"/>
      <w:lvlJc w:val="left"/>
      <w:pPr>
        <w:ind w:left="2769" w:hanging="1021"/>
        <w:jc w:val="left"/>
      </w:pPr>
      <w:rPr>
        <w:rFonts w:hint="default"/>
      </w:rPr>
    </w:lvl>
    <w:lvl w:ilvl="1">
      <w:start w:val="1"/>
      <w:numFmt w:val="decimal"/>
      <w:lvlText w:val="%1.%2"/>
      <w:lvlJc w:val="left"/>
      <w:pPr>
        <w:ind w:left="2769" w:hanging="1021"/>
        <w:jc w:val="left"/>
      </w:pPr>
      <w:rPr>
        <w:rFonts w:hint="default" w:ascii="宋体" w:hAnsi="宋体" w:eastAsia="宋体" w:cs="宋体"/>
        <w:b/>
        <w:bCs/>
        <w:w w:val="99"/>
        <w:sz w:val="21"/>
        <w:szCs w:val="21"/>
      </w:rPr>
    </w:lvl>
    <w:lvl w:ilvl="2">
      <w:start w:val="0"/>
      <w:numFmt w:val="bullet"/>
      <w:lvlText w:val="•"/>
      <w:lvlJc w:val="left"/>
      <w:pPr>
        <w:ind w:left="4286" w:hanging="1021"/>
      </w:pPr>
      <w:rPr>
        <w:rFonts w:hint="default"/>
      </w:rPr>
    </w:lvl>
    <w:lvl w:ilvl="3">
      <w:start w:val="0"/>
      <w:numFmt w:val="bullet"/>
      <w:lvlText w:val="•"/>
      <w:lvlJc w:val="left"/>
      <w:pPr>
        <w:ind w:left="5049" w:hanging="1021"/>
      </w:pPr>
      <w:rPr>
        <w:rFonts w:hint="default"/>
      </w:rPr>
    </w:lvl>
    <w:lvl w:ilvl="4">
      <w:start w:val="0"/>
      <w:numFmt w:val="bullet"/>
      <w:lvlText w:val="•"/>
      <w:lvlJc w:val="left"/>
      <w:pPr>
        <w:ind w:left="5812" w:hanging="1021"/>
      </w:pPr>
      <w:rPr>
        <w:rFonts w:hint="default"/>
      </w:rPr>
    </w:lvl>
    <w:lvl w:ilvl="5">
      <w:start w:val="0"/>
      <w:numFmt w:val="bullet"/>
      <w:lvlText w:val="•"/>
      <w:lvlJc w:val="left"/>
      <w:pPr>
        <w:ind w:left="6575" w:hanging="1021"/>
      </w:pPr>
      <w:rPr>
        <w:rFonts w:hint="default"/>
      </w:rPr>
    </w:lvl>
    <w:lvl w:ilvl="6">
      <w:start w:val="0"/>
      <w:numFmt w:val="bullet"/>
      <w:lvlText w:val="•"/>
      <w:lvlJc w:val="left"/>
      <w:pPr>
        <w:ind w:left="7338" w:hanging="1021"/>
      </w:pPr>
      <w:rPr>
        <w:rFonts w:hint="default"/>
      </w:rPr>
    </w:lvl>
    <w:lvl w:ilvl="7">
      <w:start w:val="0"/>
      <w:numFmt w:val="bullet"/>
      <w:lvlText w:val="•"/>
      <w:lvlJc w:val="left"/>
      <w:pPr>
        <w:ind w:left="8101" w:hanging="1021"/>
      </w:pPr>
      <w:rPr>
        <w:rFonts w:hint="default"/>
      </w:rPr>
    </w:lvl>
    <w:lvl w:ilvl="8">
      <w:start w:val="0"/>
      <w:numFmt w:val="bullet"/>
      <w:lvlText w:val="•"/>
      <w:lvlJc w:val="left"/>
      <w:pPr>
        <w:ind w:left="8864" w:hanging="1021"/>
      </w:pPr>
      <w:rPr>
        <w:rFonts w:hint="default"/>
      </w:rPr>
    </w:lvl>
  </w:abstractNum>
  <w:abstractNum w:abstractNumId="0">
    <w:multiLevelType w:val="hybridMultilevel"/>
    <w:lvl w:ilvl="0">
      <w:start w:val="0"/>
      <w:numFmt w:val="bullet"/>
      <w:lvlText w:val=""/>
      <w:lvlJc w:val="left"/>
      <w:pPr>
        <w:ind w:left="1077" w:hanging="421"/>
      </w:pPr>
      <w:rPr>
        <w:rFonts w:hint="default" w:ascii="Wingdings" w:hAnsi="Wingdings" w:eastAsia="Wingdings" w:cs="Wingdings"/>
        <w:b/>
        <w:bCs/>
        <w:w w:val="99"/>
        <w:sz w:val="21"/>
        <w:szCs w:val="21"/>
      </w:rPr>
    </w:lvl>
    <w:lvl w:ilvl="1">
      <w:start w:val="0"/>
      <w:numFmt w:val="bullet"/>
      <w:lvlText w:val="•"/>
      <w:lvlJc w:val="left"/>
      <w:pPr>
        <w:ind w:left="2051" w:hanging="421"/>
      </w:pPr>
      <w:rPr>
        <w:rFonts w:hint="default"/>
      </w:rPr>
    </w:lvl>
    <w:lvl w:ilvl="2">
      <w:start w:val="0"/>
      <w:numFmt w:val="bullet"/>
      <w:lvlText w:val="•"/>
      <w:lvlJc w:val="left"/>
      <w:pPr>
        <w:ind w:left="3022" w:hanging="421"/>
      </w:pPr>
      <w:rPr>
        <w:rFonts w:hint="default"/>
      </w:rPr>
    </w:lvl>
    <w:lvl w:ilvl="3">
      <w:start w:val="0"/>
      <w:numFmt w:val="bullet"/>
      <w:lvlText w:val="•"/>
      <w:lvlJc w:val="left"/>
      <w:pPr>
        <w:ind w:left="3993" w:hanging="421"/>
      </w:pPr>
      <w:rPr>
        <w:rFonts w:hint="default"/>
      </w:rPr>
    </w:lvl>
    <w:lvl w:ilvl="4">
      <w:start w:val="0"/>
      <w:numFmt w:val="bullet"/>
      <w:lvlText w:val="•"/>
      <w:lvlJc w:val="left"/>
      <w:pPr>
        <w:ind w:left="4964" w:hanging="421"/>
      </w:pPr>
      <w:rPr>
        <w:rFonts w:hint="default"/>
      </w:rPr>
    </w:lvl>
    <w:lvl w:ilvl="5">
      <w:start w:val="0"/>
      <w:numFmt w:val="bullet"/>
      <w:lvlText w:val="•"/>
      <w:lvlJc w:val="left"/>
      <w:pPr>
        <w:ind w:left="5935" w:hanging="421"/>
      </w:pPr>
      <w:rPr>
        <w:rFonts w:hint="default"/>
      </w:rPr>
    </w:lvl>
    <w:lvl w:ilvl="6">
      <w:start w:val="0"/>
      <w:numFmt w:val="bullet"/>
      <w:lvlText w:val="•"/>
      <w:lvlJc w:val="left"/>
      <w:pPr>
        <w:ind w:left="6906" w:hanging="421"/>
      </w:pPr>
      <w:rPr>
        <w:rFonts w:hint="default"/>
      </w:rPr>
    </w:lvl>
    <w:lvl w:ilvl="7">
      <w:start w:val="0"/>
      <w:numFmt w:val="bullet"/>
      <w:lvlText w:val="•"/>
      <w:lvlJc w:val="left"/>
      <w:pPr>
        <w:ind w:left="7877" w:hanging="421"/>
      </w:pPr>
      <w:rPr>
        <w:rFonts w:hint="default"/>
      </w:rPr>
    </w:lvl>
    <w:lvl w:ilvl="8">
      <w:start w:val="0"/>
      <w:numFmt w:val="bullet"/>
      <w:lvlText w:val="•"/>
      <w:lvlJc w:val="left"/>
      <w:pPr>
        <w:ind w:left="8848" w:hanging="421"/>
      </w:pPr>
      <w:rPr>
        <w:rFonts w:hint="default"/>
      </w:rPr>
    </w:lvl>
  </w:abstract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0"/>
    </w:pPr>
    <w:rPr>
      <w:rFonts w:ascii="宋体" w:hAnsi="宋体" w:eastAsia="宋体" w:cs="宋体"/>
      <w:sz w:val="21"/>
      <w:szCs w:val="21"/>
    </w:rPr>
  </w:style>
  <w:style w:styleId="Heading1" w:type="paragraph">
    <w:name w:val="Heading 1"/>
    <w:basedOn w:val="Normal"/>
    <w:uiPriority w:val="1"/>
    <w:qFormat/>
    <w:pPr>
      <w:ind w:left="216"/>
      <w:outlineLvl w:val="1"/>
    </w:pPr>
    <w:rPr>
      <w:rFonts w:ascii="宋体" w:hAnsi="宋体" w:eastAsia="宋体" w:cs="宋体"/>
      <w:b/>
      <w:bCs/>
      <w:sz w:val="28"/>
      <w:szCs w:val="28"/>
    </w:rPr>
  </w:style>
  <w:style w:styleId="Heading2" w:type="paragraph">
    <w:name w:val="Heading 2"/>
    <w:basedOn w:val="Normal"/>
    <w:uiPriority w:val="1"/>
    <w:qFormat/>
    <w:pPr>
      <w:ind w:left="116"/>
      <w:outlineLvl w:val="2"/>
    </w:pPr>
    <w:rPr>
      <w:rFonts w:ascii="宋体" w:hAnsi="宋体" w:eastAsia="宋体" w:cs="宋体"/>
      <w:b/>
      <w:bCs/>
      <w:i/>
      <w:sz w:val="22"/>
      <w:szCs w:val="22"/>
    </w:rPr>
  </w:style>
  <w:style w:styleId="Heading3" w:type="paragraph">
    <w:name w:val="Heading 3"/>
    <w:basedOn w:val="Normal"/>
    <w:uiPriority w:val="1"/>
    <w:qFormat/>
    <w:pPr>
      <w:spacing w:before="35"/>
      <w:ind w:left="1137"/>
      <w:outlineLvl w:val="3"/>
    </w:pPr>
    <w:rPr>
      <w:rFonts w:ascii="楷体" w:hAnsi="楷体" w:eastAsia="楷体" w:cs="楷体"/>
      <w:b/>
      <w:bCs/>
      <w:sz w:val="21"/>
      <w:szCs w:val="21"/>
    </w:rPr>
  </w:style>
  <w:style w:styleId="ListParagraph" w:type="paragraph">
    <w:name w:val="List Paragraph"/>
    <w:basedOn w:val="Normal"/>
    <w:uiPriority w:val="1"/>
    <w:qFormat/>
    <w:pPr>
      <w:spacing w:before="40"/>
      <w:ind w:left="2654" w:hanging="63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长城康福成人终身重大疾病保险</dc:title>
  <dcterms:created xsi:type="dcterms:W3CDTF">2018-10-19T23:19:31Z</dcterms:created>
  <dcterms:modified xsi:type="dcterms:W3CDTF">2018-10-19T23:19:31Z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2017-05-08T00:00:00Z</vt:filetime>
  </property>
  <property fmtid="{D5CDD505-2E9C-101B-9397-08002B2CF9AE}" pid="3" name="Creator">
    <vt:lpwstr>Microsoft® Office Word 2007</vt:lpwstr>
  </property>
  <property fmtid="{D5CDD505-2E9C-101B-9397-08002B2CF9AE}" pid="4" name="LastSaved">
    <vt:filetime>2018-10-19T00:00:00Z</vt:filetime>
  </property>
</Properties>
</file>