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3"/>
        <w:ind w:left="0" w:right="101" w:firstLine="0"/>
        <w:jc w:val="right"/>
        <w:rPr>
          <w:sz w:val="12"/>
        </w:rPr>
      </w:pPr>
      <w:r>
        <w:rPr/>
        <w:drawing>
          <wp:anchor distT="0" distB="0" distL="0" distR="0" allowOverlap="1" layoutInCell="1" locked="0" behindDoc="0" simplePos="0" relativeHeight="0">
            <wp:simplePos x="0" y="0"/>
            <wp:positionH relativeFrom="page">
              <wp:posOffset>6430517</wp:posOffset>
            </wp:positionH>
            <wp:positionV relativeFrom="paragraph">
              <wp:posOffset>177009</wp:posOffset>
            </wp:positionV>
            <wp:extent cx="723900"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899"/>
                    </a:xfrm>
                    <a:prstGeom prst="rect">
                      <a:avLst/>
                    </a:prstGeom>
                  </pic:spPr>
                </pic:pic>
              </a:graphicData>
            </a:graphic>
          </wp:anchor>
        </w:drawing>
      </w:r>
      <w:r>
        <w:rPr>
          <w:sz w:val="12"/>
        </w:rPr>
        <w:t>利安人寿[2011]疾病保险 035 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spacing w:after="0"/>
        <w:rPr>
          <w:sz w:val="20"/>
        </w:rPr>
        <w:sectPr>
          <w:type w:val="continuous"/>
          <w:pgSz w:w="11910" w:h="16840"/>
          <w:pgMar w:top="200" w:bottom="280" w:left="1020" w:right="280"/>
        </w:sectPr>
      </w:pPr>
    </w:p>
    <w:p>
      <w:pPr>
        <w:pStyle w:val="Heading1"/>
        <w:spacing w:before="157"/>
        <w:jc w:val="center"/>
      </w:pPr>
      <w:r>
        <w:rPr>
          <w:w w:val="95"/>
        </w:rPr>
        <w:t>利安人寿保险股份有限公司</w:t>
      </w:r>
    </w:p>
    <w:p>
      <w:pPr>
        <w:spacing w:line="389" w:lineRule="exact" w:before="0"/>
        <w:ind w:left="2042" w:right="0" w:firstLine="0"/>
        <w:jc w:val="center"/>
        <w:rPr>
          <w:rFonts w:ascii="黑体" w:eastAsia="黑体" w:hint="eastAsia"/>
          <w:b/>
          <w:sz w:val="32"/>
        </w:rPr>
      </w:pPr>
      <w:r>
        <w:rPr>
          <w:rFonts w:ascii="黑体" w:eastAsia="黑体" w:hint="eastAsia"/>
          <w:b/>
          <w:w w:val="95"/>
          <w:sz w:val="32"/>
        </w:rPr>
        <w:t>附加利祥安康提前给付重大疾病保险条款</w:t>
      </w:r>
    </w:p>
    <w:p>
      <w:pPr>
        <w:spacing w:before="146"/>
        <w:ind w:left="2041" w:right="0" w:firstLine="0"/>
        <w:jc w:val="center"/>
        <w:rPr>
          <w:rFonts w:ascii="黑体" w:eastAsia="黑体" w:hint="eastAsia"/>
          <w:sz w:val="24"/>
        </w:rPr>
      </w:pPr>
      <w:r>
        <w:rPr>
          <w:rFonts w:ascii="黑体" w:eastAsia="黑体" w:hint="eastAsia"/>
          <w:sz w:val="24"/>
        </w:rPr>
        <w:t>阅 读 指 引</w:t>
      </w:r>
    </w:p>
    <w:p>
      <w:pPr>
        <w:spacing w:before="17"/>
        <w:ind w:left="2041" w:right="0" w:firstLine="0"/>
        <w:jc w:val="center"/>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778" w:val="left" w:leader="none"/>
        </w:tabs>
        <w:spacing w:line="490" w:lineRule="exact" w:before="124"/>
        <w:ind w:left="116"/>
      </w:pPr>
      <w:r>
        <w:rPr>
          <w:rFonts w:ascii="Arial" w:hAnsi="Arial" w:eastAsia="Arial"/>
          <w:w w:val="150"/>
          <w:position w:val="-11"/>
          <w:sz w:val="48"/>
        </w:rPr>
        <w:t>¤</w:t>
        <w:tab/>
      </w:r>
      <w:r>
        <w:rPr>
          <w:w w:val="95"/>
        </w:rPr>
        <w:t>您拥有的重要权益</w:t>
      </w:r>
    </w:p>
    <w:p>
      <w:pPr>
        <w:pStyle w:val="BodyText"/>
        <w:spacing w:before="0"/>
        <w:ind w:left="0"/>
        <w:rPr>
          <w:rFonts w:ascii="黑体"/>
          <w:b/>
          <w:sz w:val="12"/>
        </w:rPr>
      </w:pPr>
      <w:r>
        <w:rPr/>
        <w:br w:type="column"/>
      </w:r>
      <w:r>
        <w:rPr>
          <w:rFonts w:ascii="黑体"/>
          <w:b/>
          <w:sz w:val="12"/>
        </w:rPr>
      </w:r>
    </w:p>
    <w:p>
      <w:pPr>
        <w:pStyle w:val="BodyText"/>
        <w:spacing w:before="0"/>
        <w:ind w:left="0"/>
        <w:rPr>
          <w:rFonts w:ascii="黑体"/>
          <w:b/>
          <w:sz w:val="12"/>
        </w:rPr>
      </w:pPr>
    </w:p>
    <w:p>
      <w:pPr>
        <w:pStyle w:val="BodyText"/>
        <w:spacing w:before="6"/>
        <w:ind w:left="0"/>
        <w:rPr>
          <w:rFonts w:ascii="黑体"/>
          <w:b/>
          <w:sz w:val="12"/>
        </w:rPr>
      </w:pPr>
    </w:p>
    <w:p>
      <w:pPr>
        <w:spacing w:before="0"/>
        <w:ind w:left="116" w:right="0" w:firstLine="0"/>
        <w:jc w:val="left"/>
        <w:rPr>
          <w:sz w:val="12"/>
        </w:rPr>
      </w:pPr>
      <w:r>
        <w:rPr>
          <w:sz w:val="12"/>
        </w:rPr>
        <w:t>请扫描以查询验证条款</w:t>
      </w:r>
    </w:p>
    <w:p>
      <w:pPr>
        <w:spacing w:after="0"/>
        <w:jc w:val="left"/>
        <w:rPr>
          <w:sz w:val="12"/>
        </w:rPr>
        <w:sectPr>
          <w:type w:val="continuous"/>
          <w:pgSz w:w="11910" w:h="16840"/>
          <w:pgMar w:top="200" w:bottom="280" w:left="1020" w:right="280"/>
          <w:cols w:num="2" w:equalWidth="0">
            <w:col w:w="7826" w:space="1119"/>
            <w:col w:w="1665"/>
          </w:cols>
        </w:sectPr>
      </w:pPr>
    </w:p>
    <w:p>
      <w:pPr>
        <w:pStyle w:val="ListParagraph"/>
        <w:numPr>
          <w:ilvl w:val="0"/>
          <w:numId w:val="1"/>
        </w:numPr>
        <w:tabs>
          <w:tab w:pos="824" w:val="left" w:leader="none"/>
          <w:tab w:pos="9611" w:val="right" w:leader="dot"/>
        </w:tabs>
        <w:spacing w:line="187" w:lineRule="exact" w:before="0" w:after="0"/>
        <w:ind w:left="823" w:right="0" w:hanging="283"/>
        <w:jc w:val="left"/>
        <w:rPr>
          <w:sz w:val="18"/>
        </w:rPr>
      </w:pPr>
      <w:r>
        <w:rPr>
          <w:spacing w:val="10"/>
          <w:sz w:val="18"/>
        </w:rPr>
        <w:t>签收本附加险合同次日</w:t>
      </w:r>
      <w:r>
        <w:rPr>
          <w:sz w:val="18"/>
        </w:rPr>
        <w:t>起</w:t>
      </w:r>
      <w:r>
        <w:rPr>
          <w:spacing w:val="10"/>
          <w:sz w:val="18"/>
        </w:rPr>
        <w:t> </w:t>
      </w:r>
      <w:r>
        <w:rPr>
          <w:spacing w:val="5"/>
          <w:sz w:val="18"/>
        </w:rPr>
        <w:t>10</w:t>
      </w:r>
      <w:r>
        <w:rPr>
          <w:spacing w:val="10"/>
          <w:sz w:val="18"/>
        </w:rPr>
        <w:t> 日（即犹豫期）内您若要求退保，我们全额退还保险费</w:t>
        <w:tab/>
      </w:r>
      <w:r>
        <w:rPr>
          <w:spacing w:val="6"/>
          <w:sz w:val="18"/>
        </w:rPr>
        <w:t>1.4</w:t>
      </w:r>
    </w:p>
    <w:p>
      <w:pPr>
        <w:pStyle w:val="ListParagraph"/>
        <w:numPr>
          <w:ilvl w:val="0"/>
          <w:numId w:val="1"/>
        </w:numPr>
        <w:tabs>
          <w:tab w:pos="824" w:val="left" w:leader="none"/>
          <w:tab w:pos="9611" w:val="right" w:leader="dot"/>
        </w:tabs>
        <w:spacing w:line="240" w:lineRule="auto" w:before="76" w:after="0"/>
        <w:ind w:left="823" w:right="0" w:hanging="283"/>
        <w:jc w:val="left"/>
        <w:rPr>
          <w:sz w:val="18"/>
        </w:rPr>
      </w:pPr>
      <w:r>
        <w:rPr>
          <w:spacing w:val="10"/>
          <w:sz w:val="18"/>
        </w:rPr>
        <w:t>本附加险合同提供的保障在保险责任条款中列明</w:t>
        <w:tab/>
      </w:r>
      <w:r>
        <w:rPr>
          <w:spacing w:val="6"/>
          <w:sz w:val="18"/>
        </w:rPr>
        <w:t>2.3</w:t>
      </w:r>
    </w:p>
    <w:p>
      <w:pPr>
        <w:pStyle w:val="ListParagraph"/>
        <w:numPr>
          <w:ilvl w:val="0"/>
          <w:numId w:val="1"/>
        </w:numPr>
        <w:tabs>
          <w:tab w:pos="824" w:val="left" w:leader="none"/>
          <w:tab w:pos="9611" w:val="right" w:leader="dot"/>
        </w:tabs>
        <w:spacing w:line="240" w:lineRule="auto" w:before="76" w:after="0"/>
        <w:ind w:left="823" w:right="0" w:hanging="283"/>
        <w:jc w:val="left"/>
        <w:rPr>
          <w:sz w:val="18"/>
        </w:rPr>
      </w:pPr>
      <w:r>
        <w:rPr/>
        <w:pict>
          <v:shapetype id="_x0000_t202" o:spt="202" coordsize="21600,21600" path="m,l,21600r21600,l21600,xe">
            <v:stroke joinstyle="miter"/>
            <v:path gradientshapeok="t" o:connecttype="rect"/>
          </v:shapetype>
          <v:shape style="position:absolute;margin-left:56.82pt;margin-top:15.854063pt;width:22.6pt;height:25.35pt;mso-position-horizontal-relative:page;mso-position-vertical-relative:paragraph;z-index:-23680" type="#_x0000_t202" filled="false" stroked="false">
            <v:textbox inset="0,0,0,0">
              <w:txbxContent>
                <w:p>
                  <w:pPr>
                    <w:spacing w:line="506" w:lineRule="exact" w:before="0"/>
                    <w:ind w:left="0" w:right="0" w:firstLine="0"/>
                    <w:jc w:val="left"/>
                    <w:rPr>
                      <w:rFonts w:ascii="Arial" w:hAnsi="Arial"/>
                      <w:b/>
                      <w:sz w:val="48"/>
                    </w:rPr>
                  </w:pPr>
                  <w:r>
                    <w:rPr>
                      <w:rFonts w:ascii="Arial" w:hAnsi="Arial"/>
                      <w:b/>
                      <w:w w:val="169"/>
                      <w:sz w:val="48"/>
                    </w:rPr>
                    <w:t>¤</w:t>
                  </w:r>
                </w:p>
              </w:txbxContent>
            </v:textbox>
            <w10:wrap type="none"/>
          </v:shape>
        </w:pict>
      </w:r>
      <w:r>
        <w:rPr>
          <w:spacing w:val="10"/>
          <w:sz w:val="18"/>
        </w:rPr>
        <w:t>您有退保的权利</w:t>
        <w:tab/>
      </w:r>
      <w:r>
        <w:rPr>
          <w:spacing w:val="6"/>
          <w:sz w:val="18"/>
        </w:rPr>
        <w:t>5.1</w:t>
      </w:r>
    </w:p>
    <w:p>
      <w:pPr>
        <w:pStyle w:val="Heading2"/>
        <w:spacing w:line="240" w:lineRule="auto" w:before="45"/>
        <w:ind w:left="778"/>
      </w:pPr>
      <w:r>
        <w:rPr>
          <w:w w:val="95"/>
        </w:rPr>
        <w:t>您应当特别注意的事项</w:t>
      </w:r>
    </w:p>
    <w:p>
      <w:pPr>
        <w:pStyle w:val="ListParagraph"/>
        <w:numPr>
          <w:ilvl w:val="0"/>
          <w:numId w:val="1"/>
        </w:numPr>
        <w:tabs>
          <w:tab w:pos="824" w:val="left" w:leader="none"/>
          <w:tab w:pos="9611" w:val="right" w:leader="dot"/>
        </w:tabs>
        <w:spacing w:line="240" w:lineRule="auto" w:before="36" w:after="0"/>
        <w:ind w:left="823" w:right="0" w:hanging="283"/>
        <w:jc w:val="left"/>
        <w:rPr>
          <w:sz w:val="18"/>
        </w:rPr>
      </w:pPr>
      <w:r>
        <w:rPr>
          <w:spacing w:val="10"/>
          <w:sz w:val="18"/>
        </w:rPr>
        <w:t>本附加险合同有责任免除条款，请您注意</w:t>
        <w:tab/>
      </w:r>
      <w:r>
        <w:rPr>
          <w:spacing w:val="6"/>
          <w:sz w:val="18"/>
        </w:rPr>
        <w:t>2.4</w:t>
      </w:r>
    </w:p>
    <w:p>
      <w:pPr>
        <w:pStyle w:val="ListParagraph"/>
        <w:numPr>
          <w:ilvl w:val="0"/>
          <w:numId w:val="1"/>
        </w:numPr>
        <w:tabs>
          <w:tab w:pos="824" w:val="left" w:leader="none"/>
          <w:tab w:pos="9611" w:val="right" w:leader="dot"/>
        </w:tabs>
        <w:spacing w:line="240" w:lineRule="auto" w:before="76" w:after="0"/>
        <w:ind w:left="823" w:right="0" w:hanging="283"/>
        <w:jc w:val="left"/>
        <w:rPr>
          <w:sz w:val="18"/>
        </w:rPr>
      </w:pPr>
      <w:r>
        <w:rPr>
          <w:spacing w:val="10"/>
          <w:sz w:val="18"/>
        </w:rPr>
        <w:t>主险合同终止时，本附加险合同同时终止</w:t>
        <w:tab/>
      </w:r>
      <w:r>
        <w:rPr>
          <w:spacing w:val="6"/>
          <w:sz w:val="18"/>
        </w:rPr>
        <w:t>7.1</w:t>
      </w:r>
    </w:p>
    <w:p>
      <w:pPr>
        <w:pStyle w:val="ListParagraph"/>
        <w:numPr>
          <w:ilvl w:val="0"/>
          <w:numId w:val="1"/>
        </w:numPr>
        <w:tabs>
          <w:tab w:pos="824" w:val="left" w:leader="none"/>
          <w:tab w:pos="9611" w:val="right" w:leader="dot"/>
        </w:tabs>
        <w:spacing w:line="240" w:lineRule="auto" w:before="76" w:after="0"/>
        <w:ind w:left="823" w:right="0" w:hanging="283"/>
        <w:jc w:val="left"/>
        <w:rPr>
          <w:sz w:val="18"/>
        </w:rPr>
      </w:pPr>
      <w:r>
        <w:rPr>
          <w:spacing w:val="10"/>
          <w:sz w:val="18"/>
        </w:rPr>
        <w:t>退保会给您造成一定的损失，请您慎重决策</w:t>
        <w:tab/>
      </w:r>
      <w:r>
        <w:rPr>
          <w:spacing w:val="6"/>
          <w:sz w:val="18"/>
        </w:rPr>
        <w:t>5.1</w:t>
      </w:r>
    </w:p>
    <w:p>
      <w:pPr>
        <w:pStyle w:val="ListParagraph"/>
        <w:numPr>
          <w:ilvl w:val="0"/>
          <w:numId w:val="1"/>
        </w:numPr>
        <w:tabs>
          <w:tab w:pos="824" w:val="left" w:leader="none"/>
          <w:tab w:pos="9611" w:val="right" w:leader="dot"/>
        </w:tabs>
        <w:spacing w:line="240" w:lineRule="auto" w:before="76" w:after="0"/>
        <w:ind w:left="823" w:right="0" w:hanging="283"/>
        <w:jc w:val="left"/>
        <w:rPr>
          <w:sz w:val="18"/>
        </w:rPr>
      </w:pPr>
      <w:r>
        <w:rPr>
          <w:spacing w:val="10"/>
          <w:sz w:val="18"/>
        </w:rPr>
        <w:t>本附加险合同的某些事项适用主险合同条款，请您注意</w:t>
        <w:tab/>
      </w:r>
      <w:r>
        <w:rPr>
          <w:spacing w:val="6"/>
          <w:sz w:val="18"/>
        </w:rPr>
        <w:t>6.2</w:t>
      </w:r>
    </w:p>
    <w:p>
      <w:pPr>
        <w:pStyle w:val="ListParagraph"/>
        <w:numPr>
          <w:ilvl w:val="0"/>
          <w:numId w:val="1"/>
        </w:numPr>
        <w:tabs>
          <w:tab w:pos="824" w:val="left" w:leader="none"/>
          <w:tab w:pos="9614" w:val="right" w:leader="dot"/>
        </w:tabs>
        <w:spacing w:line="240" w:lineRule="auto" w:before="76" w:after="0"/>
        <w:ind w:left="823" w:right="0" w:hanging="283"/>
        <w:jc w:val="left"/>
        <w:rPr>
          <w:sz w:val="18"/>
        </w:rPr>
      </w:pPr>
      <w:r>
        <w:rPr>
          <w:spacing w:val="15"/>
          <w:sz w:val="18"/>
        </w:rPr>
        <w:t>我们对一些</w:t>
      </w:r>
      <w:r>
        <w:rPr>
          <w:spacing w:val="12"/>
          <w:sz w:val="18"/>
        </w:rPr>
        <w:t>重</w:t>
      </w:r>
      <w:r>
        <w:rPr>
          <w:spacing w:val="15"/>
          <w:sz w:val="18"/>
        </w:rPr>
        <w:t>要术语进行</w:t>
      </w:r>
      <w:r>
        <w:rPr>
          <w:spacing w:val="12"/>
          <w:sz w:val="18"/>
        </w:rPr>
        <w:t>了</w:t>
      </w:r>
      <w:r>
        <w:rPr>
          <w:spacing w:val="15"/>
          <w:sz w:val="18"/>
        </w:rPr>
        <w:t>解释，并作</w:t>
      </w:r>
      <w:r>
        <w:rPr>
          <w:spacing w:val="12"/>
          <w:sz w:val="18"/>
        </w:rPr>
        <w:t>了</w:t>
      </w:r>
      <w:r>
        <w:rPr>
          <w:spacing w:val="15"/>
          <w:sz w:val="18"/>
        </w:rPr>
        <w:t>显著标识，</w:t>
      </w:r>
      <w:r>
        <w:rPr>
          <w:spacing w:val="12"/>
          <w:sz w:val="18"/>
        </w:rPr>
        <w:t>请</w:t>
      </w:r>
      <w:r>
        <w:rPr>
          <w:spacing w:val="15"/>
          <w:sz w:val="18"/>
        </w:rPr>
        <w:t>您注意</w:t>
        <w:tab/>
      </w:r>
      <w:r>
        <w:rPr>
          <w:sz w:val="18"/>
        </w:rPr>
        <w:t>7</w:t>
      </w:r>
    </w:p>
    <w:p>
      <w:pPr>
        <w:pStyle w:val="Heading2"/>
        <w:tabs>
          <w:tab w:pos="776" w:val="left" w:leader="none"/>
        </w:tabs>
        <w:spacing w:line="446" w:lineRule="exact" w:before="8"/>
        <w:ind w:left="114"/>
      </w:pPr>
      <w:r>
        <w:rPr>
          <w:rFonts w:ascii="Arial" w:hAnsi="Arial" w:eastAsia="Arial"/>
          <w:w w:val="150"/>
          <w:position w:val="-11"/>
          <w:sz w:val="48"/>
        </w:rPr>
        <w:t>¤</w:t>
        <w:tab/>
      </w:r>
      <w:r>
        <w:rPr>
          <w:w w:val="95"/>
        </w:rPr>
        <w:t>保险条款是保险合同的重要内容，为充分保障您的权益，请您仔细阅读本附加险条款。</w:t>
      </w:r>
    </w:p>
    <w:p>
      <w:pPr>
        <w:tabs>
          <w:tab w:pos="776" w:val="left" w:leader="none"/>
        </w:tabs>
        <w:spacing w:line="446" w:lineRule="exact" w:before="0"/>
        <w:ind w:left="114" w:right="0" w:firstLine="0"/>
        <w:jc w:val="left"/>
        <w:rPr>
          <w:rFonts w:ascii="黑体" w:hAnsi="黑体" w:eastAsia="黑体" w:hint="eastAsia"/>
          <w:b/>
          <w:sz w:val="21"/>
        </w:rPr>
      </w:pPr>
      <w:r>
        <w:rPr/>
        <w:pict>
          <v:shape style="position:absolute;margin-left:67.800003pt;margin-top:14.592877pt;width:474.95pt;height:200.1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6"/>
                    <w:gridCol w:w="3623"/>
                    <w:gridCol w:w="2899"/>
                  </w:tblGrid>
                  <w:tr>
                    <w:trPr>
                      <w:trHeight w:val="312" w:hRule="atLeast"/>
                    </w:trPr>
                    <w:tc>
                      <w:tcPr>
                        <w:tcW w:w="2976" w:type="dxa"/>
                        <w:shd w:val="clear" w:color="auto" w:fill="D8D8D8"/>
                      </w:tcPr>
                      <w:p>
                        <w:pPr>
                          <w:pStyle w:val="TableParagraph"/>
                          <w:spacing w:before="10"/>
                          <w:ind w:left="108"/>
                          <w:rPr>
                            <w:rFonts w:ascii="黑体" w:eastAsia="黑体" w:hint="eastAsia"/>
                            <w:sz w:val="18"/>
                          </w:rPr>
                        </w:pPr>
                        <w:r>
                          <w:rPr>
                            <w:rFonts w:ascii="黑体" w:eastAsia="黑体" w:hint="eastAsia"/>
                            <w:sz w:val="18"/>
                          </w:rPr>
                          <w:t>1 您与我们订立的合同</w:t>
                        </w:r>
                      </w:p>
                    </w:tc>
                    <w:tc>
                      <w:tcPr>
                        <w:tcW w:w="3623" w:type="dxa"/>
                      </w:tcPr>
                      <w:p>
                        <w:pPr>
                          <w:pStyle w:val="TableParagraph"/>
                          <w:spacing w:before="3"/>
                          <w:ind w:left="503"/>
                          <w:rPr>
                            <w:sz w:val="18"/>
                          </w:rPr>
                        </w:pPr>
                        <w:r>
                          <w:rPr>
                            <w:sz w:val="18"/>
                          </w:rPr>
                          <w:t>3.3 保险金的给付</w:t>
                        </w:r>
                      </w:p>
                    </w:tc>
                    <w:tc>
                      <w:tcPr>
                        <w:tcW w:w="2899" w:type="dxa"/>
                      </w:tcPr>
                      <w:p>
                        <w:pPr>
                          <w:pStyle w:val="TableParagraph"/>
                          <w:spacing w:before="3"/>
                          <w:ind w:left="251"/>
                          <w:rPr>
                            <w:sz w:val="18"/>
                          </w:rPr>
                        </w:pPr>
                        <w:r>
                          <w:rPr>
                            <w:sz w:val="18"/>
                          </w:rPr>
                          <w:t>7.3 毒品</w:t>
                        </w:r>
                      </w:p>
                    </w:tc>
                  </w:tr>
                  <w:tr>
                    <w:trPr>
                      <w:trHeight w:val="311" w:hRule="atLeast"/>
                    </w:trPr>
                    <w:tc>
                      <w:tcPr>
                        <w:tcW w:w="2976" w:type="dxa"/>
                      </w:tcPr>
                      <w:p>
                        <w:pPr>
                          <w:pStyle w:val="TableParagraph"/>
                          <w:spacing w:before="3"/>
                          <w:ind w:left="107"/>
                          <w:rPr>
                            <w:sz w:val="18"/>
                          </w:rPr>
                        </w:pPr>
                        <w:r>
                          <w:rPr>
                            <w:sz w:val="18"/>
                          </w:rPr>
                          <w:t>1.1 合同构成</w:t>
                        </w:r>
                      </w:p>
                    </w:tc>
                    <w:tc>
                      <w:tcPr>
                        <w:tcW w:w="3623" w:type="dxa"/>
                      </w:tcPr>
                      <w:p>
                        <w:pPr>
                          <w:pStyle w:val="TableParagraph"/>
                          <w:spacing w:before="3"/>
                          <w:ind w:left="502"/>
                          <w:rPr>
                            <w:sz w:val="18"/>
                          </w:rPr>
                        </w:pPr>
                        <w:r>
                          <w:rPr>
                            <w:sz w:val="18"/>
                          </w:rPr>
                          <w:t>3.4 诉讼时效</w:t>
                        </w:r>
                      </w:p>
                    </w:tc>
                    <w:tc>
                      <w:tcPr>
                        <w:tcW w:w="2899" w:type="dxa"/>
                      </w:tcPr>
                      <w:p>
                        <w:pPr>
                          <w:pStyle w:val="TableParagraph"/>
                          <w:spacing w:before="3"/>
                          <w:ind w:left="250"/>
                          <w:rPr>
                            <w:sz w:val="18"/>
                          </w:rPr>
                        </w:pPr>
                        <w:r>
                          <w:rPr>
                            <w:sz w:val="18"/>
                          </w:rPr>
                          <w:t>7.4 酒后驾驶</w:t>
                        </w:r>
                      </w:p>
                    </w:tc>
                  </w:tr>
                  <w:tr>
                    <w:trPr>
                      <w:trHeight w:val="312" w:hRule="atLeast"/>
                    </w:trPr>
                    <w:tc>
                      <w:tcPr>
                        <w:tcW w:w="2976" w:type="dxa"/>
                      </w:tcPr>
                      <w:p>
                        <w:pPr>
                          <w:pStyle w:val="TableParagraph"/>
                          <w:spacing w:before="3"/>
                          <w:ind w:left="107"/>
                          <w:rPr>
                            <w:sz w:val="18"/>
                          </w:rPr>
                        </w:pPr>
                        <w:r>
                          <w:rPr>
                            <w:sz w:val="18"/>
                          </w:rPr>
                          <w:t>1.2 合同成立与生效</w:t>
                        </w:r>
                      </w:p>
                    </w:tc>
                    <w:tc>
                      <w:tcPr>
                        <w:tcW w:w="3623" w:type="dxa"/>
                      </w:tcPr>
                      <w:p>
                        <w:pPr>
                          <w:pStyle w:val="TableParagraph"/>
                          <w:tabs>
                            <w:tab w:pos="3371" w:val="left" w:leader="none"/>
                          </w:tabs>
                          <w:spacing w:before="10"/>
                          <w:ind w:left="395"/>
                          <w:rPr>
                            <w:rFonts w:ascii="黑体" w:eastAsia="黑体" w:hint="eastAsia"/>
                            <w:sz w:val="18"/>
                          </w:rPr>
                        </w:pPr>
                        <w:r>
                          <w:rPr>
                            <w:rFonts w:ascii="Times New Roman" w:eastAsia="Times New Roman"/>
                            <w:sz w:val="18"/>
                            <w:shd w:fill="D8D8D8" w:color="auto" w:val="clear"/>
                          </w:rPr>
                          <w:t> </w:t>
                        </w:r>
                        <w:r>
                          <w:rPr>
                            <w:rFonts w:ascii="Times New Roman" w:eastAsia="Times New Roman"/>
                            <w:spacing w:val="17"/>
                            <w:sz w:val="18"/>
                            <w:shd w:fill="D8D8D8" w:color="auto" w:val="clear"/>
                          </w:rPr>
                          <w:t> </w:t>
                        </w:r>
                        <w:r>
                          <w:rPr>
                            <w:rFonts w:ascii="黑体" w:eastAsia="黑体" w:hint="eastAsia"/>
                            <w:sz w:val="18"/>
                            <w:shd w:fill="D8D8D8" w:color="auto" w:val="clear"/>
                          </w:rPr>
                          <w:t>4 如何支付保险费</w:t>
                          <w:tab/>
                        </w:r>
                      </w:p>
                    </w:tc>
                    <w:tc>
                      <w:tcPr>
                        <w:tcW w:w="2899" w:type="dxa"/>
                      </w:tcPr>
                      <w:p>
                        <w:pPr>
                          <w:pStyle w:val="TableParagraph"/>
                          <w:spacing w:before="3"/>
                          <w:ind w:left="252"/>
                          <w:rPr>
                            <w:sz w:val="18"/>
                          </w:rPr>
                        </w:pPr>
                        <w:r>
                          <w:rPr>
                            <w:sz w:val="18"/>
                          </w:rPr>
                          <w:t>7.5 无合法有效驾驶证驾驶</w:t>
                        </w:r>
                      </w:p>
                    </w:tc>
                  </w:tr>
                  <w:tr>
                    <w:trPr>
                      <w:trHeight w:val="311" w:hRule="atLeast"/>
                    </w:trPr>
                    <w:tc>
                      <w:tcPr>
                        <w:tcW w:w="2976" w:type="dxa"/>
                      </w:tcPr>
                      <w:p>
                        <w:pPr>
                          <w:pStyle w:val="TableParagraph"/>
                          <w:spacing w:before="2"/>
                          <w:ind w:left="108"/>
                          <w:rPr>
                            <w:sz w:val="18"/>
                          </w:rPr>
                        </w:pPr>
                        <w:r>
                          <w:rPr>
                            <w:sz w:val="18"/>
                          </w:rPr>
                          <w:t>1.3 投保年龄</w:t>
                        </w:r>
                      </w:p>
                    </w:tc>
                    <w:tc>
                      <w:tcPr>
                        <w:tcW w:w="3623" w:type="dxa"/>
                      </w:tcPr>
                      <w:p>
                        <w:pPr>
                          <w:pStyle w:val="TableParagraph"/>
                          <w:spacing w:before="2"/>
                          <w:ind w:left="503"/>
                          <w:rPr>
                            <w:sz w:val="18"/>
                          </w:rPr>
                        </w:pPr>
                        <w:r>
                          <w:rPr>
                            <w:sz w:val="18"/>
                          </w:rPr>
                          <w:t>4.1 保险费的支付</w:t>
                        </w:r>
                      </w:p>
                    </w:tc>
                    <w:tc>
                      <w:tcPr>
                        <w:tcW w:w="2899" w:type="dxa"/>
                      </w:tcPr>
                      <w:p>
                        <w:pPr>
                          <w:pStyle w:val="TableParagraph"/>
                          <w:spacing w:before="2"/>
                          <w:ind w:left="251"/>
                          <w:rPr>
                            <w:sz w:val="18"/>
                          </w:rPr>
                        </w:pPr>
                        <w:r>
                          <w:rPr>
                            <w:sz w:val="18"/>
                          </w:rPr>
                          <w:t>7.6 无有效行驶证</w:t>
                        </w:r>
                      </w:p>
                    </w:tc>
                  </w:tr>
                  <w:tr>
                    <w:trPr>
                      <w:trHeight w:val="312" w:hRule="atLeast"/>
                    </w:trPr>
                    <w:tc>
                      <w:tcPr>
                        <w:tcW w:w="2976" w:type="dxa"/>
                      </w:tcPr>
                      <w:p>
                        <w:pPr>
                          <w:pStyle w:val="TableParagraph"/>
                          <w:spacing w:before="3"/>
                          <w:ind w:left="108"/>
                          <w:rPr>
                            <w:sz w:val="18"/>
                          </w:rPr>
                        </w:pPr>
                        <w:r>
                          <w:rPr>
                            <w:sz w:val="18"/>
                          </w:rPr>
                          <w:t>1.4 犹豫期</w:t>
                        </w:r>
                      </w:p>
                    </w:tc>
                    <w:tc>
                      <w:tcPr>
                        <w:tcW w:w="3623" w:type="dxa"/>
                      </w:tcPr>
                      <w:p>
                        <w:pPr>
                          <w:pStyle w:val="TableParagraph"/>
                          <w:spacing w:before="3"/>
                          <w:ind w:left="502"/>
                          <w:rPr>
                            <w:sz w:val="18"/>
                          </w:rPr>
                        </w:pPr>
                        <w:r>
                          <w:rPr>
                            <w:sz w:val="18"/>
                          </w:rPr>
                          <w:t>4.2 保险费率的调整</w:t>
                        </w:r>
                      </w:p>
                    </w:tc>
                    <w:tc>
                      <w:tcPr>
                        <w:tcW w:w="2899" w:type="dxa"/>
                      </w:tcPr>
                      <w:p>
                        <w:pPr>
                          <w:pStyle w:val="TableParagraph"/>
                          <w:spacing w:before="3"/>
                          <w:ind w:left="250"/>
                          <w:rPr>
                            <w:sz w:val="18"/>
                          </w:rPr>
                        </w:pPr>
                        <w:r>
                          <w:rPr>
                            <w:sz w:val="18"/>
                          </w:rPr>
                          <w:t>7.7 机动车</w:t>
                        </w:r>
                      </w:p>
                    </w:tc>
                  </w:tr>
                  <w:tr>
                    <w:trPr>
                      <w:trHeight w:val="312" w:hRule="atLeast"/>
                    </w:trPr>
                    <w:tc>
                      <w:tcPr>
                        <w:tcW w:w="2976" w:type="dxa"/>
                      </w:tcPr>
                      <w:p>
                        <w:pPr>
                          <w:pStyle w:val="TableParagraph"/>
                          <w:tabs>
                            <w:tab w:pos="2975" w:val="left" w:leader="none"/>
                          </w:tabs>
                          <w:spacing w:before="10"/>
                          <w:rPr>
                            <w:rFonts w:ascii="黑体" w:eastAsia="黑体" w:hint="eastAsia"/>
                            <w:sz w:val="18"/>
                          </w:rPr>
                        </w:pPr>
                        <w:r>
                          <w:rPr>
                            <w:rFonts w:ascii="Times New Roman" w:eastAsia="Times New Roman"/>
                            <w:sz w:val="18"/>
                            <w:shd w:fill="D8D8D8" w:color="auto" w:val="clear"/>
                          </w:rPr>
                          <w:t> </w:t>
                        </w:r>
                        <w:r>
                          <w:rPr>
                            <w:rFonts w:ascii="Times New Roman" w:eastAsia="Times New Roman"/>
                            <w:spacing w:val="17"/>
                            <w:sz w:val="18"/>
                            <w:shd w:fill="D8D8D8" w:color="auto" w:val="clear"/>
                          </w:rPr>
                          <w:t> </w:t>
                        </w:r>
                        <w:r>
                          <w:rPr>
                            <w:rFonts w:ascii="黑体" w:eastAsia="黑体" w:hint="eastAsia"/>
                            <w:sz w:val="18"/>
                            <w:shd w:fill="D8D8D8" w:color="auto" w:val="clear"/>
                          </w:rPr>
                          <w:t>2 我们提供的保障</w:t>
                          <w:tab/>
                        </w:r>
                      </w:p>
                    </w:tc>
                    <w:tc>
                      <w:tcPr>
                        <w:tcW w:w="3623" w:type="dxa"/>
                      </w:tcPr>
                      <w:p>
                        <w:pPr>
                          <w:pStyle w:val="TableParagraph"/>
                          <w:tabs>
                            <w:tab w:pos="3371" w:val="left" w:leader="none"/>
                          </w:tabs>
                          <w:spacing w:before="10"/>
                          <w:ind w:left="395"/>
                          <w:rPr>
                            <w:rFonts w:ascii="黑体" w:eastAsia="黑体" w:hint="eastAsia"/>
                            <w:sz w:val="18"/>
                          </w:rPr>
                        </w:pPr>
                        <w:r>
                          <w:rPr>
                            <w:rFonts w:ascii="Times New Roman" w:eastAsia="Times New Roman"/>
                            <w:sz w:val="18"/>
                            <w:shd w:fill="D8D8D8" w:color="auto" w:val="clear"/>
                          </w:rPr>
                          <w:t> </w:t>
                        </w:r>
                        <w:r>
                          <w:rPr>
                            <w:rFonts w:ascii="Times New Roman" w:eastAsia="Times New Roman"/>
                            <w:spacing w:val="17"/>
                            <w:sz w:val="18"/>
                            <w:shd w:fill="D8D8D8" w:color="auto" w:val="clear"/>
                          </w:rPr>
                          <w:t> </w:t>
                        </w:r>
                        <w:r>
                          <w:rPr>
                            <w:rFonts w:ascii="黑体" w:eastAsia="黑体" w:hint="eastAsia"/>
                            <w:sz w:val="18"/>
                            <w:shd w:fill="D8D8D8" w:color="auto" w:val="clear"/>
                          </w:rPr>
                          <w:t>5 如何解除保险合同</w:t>
                          <w:tab/>
                        </w:r>
                      </w:p>
                    </w:tc>
                    <w:tc>
                      <w:tcPr>
                        <w:tcW w:w="2899" w:type="dxa"/>
                      </w:tcPr>
                      <w:p>
                        <w:pPr>
                          <w:pStyle w:val="TableParagraph"/>
                          <w:spacing w:before="3"/>
                          <w:ind w:left="252"/>
                          <w:rPr>
                            <w:sz w:val="18"/>
                          </w:rPr>
                        </w:pPr>
                        <w:r>
                          <w:rPr>
                            <w:sz w:val="18"/>
                          </w:rPr>
                          <w:t>7.8 遗传性疾病</w:t>
                        </w:r>
                      </w:p>
                    </w:tc>
                  </w:tr>
                  <w:tr>
                    <w:trPr>
                      <w:trHeight w:val="311" w:hRule="atLeast"/>
                    </w:trPr>
                    <w:tc>
                      <w:tcPr>
                        <w:tcW w:w="2976" w:type="dxa"/>
                      </w:tcPr>
                      <w:p>
                        <w:pPr>
                          <w:pStyle w:val="TableParagraph"/>
                          <w:spacing w:before="2"/>
                          <w:ind w:left="107"/>
                          <w:rPr>
                            <w:sz w:val="18"/>
                          </w:rPr>
                        </w:pPr>
                        <w:r>
                          <w:rPr>
                            <w:sz w:val="18"/>
                          </w:rPr>
                          <w:t>2.1 保险金额</w:t>
                        </w:r>
                      </w:p>
                    </w:tc>
                    <w:tc>
                      <w:tcPr>
                        <w:tcW w:w="3623" w:type="dxa"/>
                      </w:tcPr>
                      <w:p>
                        <w:pPr>
                          <w:pStyle w:val="TableParagraph"/>
                          <w:spacing w:before="2"/>
                          <w:ind w:left="503"/>
                          <w:rPr>
                            <w:sz w:val="18"/>
                          </w:rPr>
                        </w:pPr>
                        <w:r>
                          <w:rPr>
                            <w:sz w:val="18"/>
                          </w:rPr>
                          <w:t>5.1 您解除合同的手续及风险</w:t>
                        </w:r>
                      </w:p>
                    </w:tc>
                    <w:tc>
                      <w:tcPr>
                        <w:tcW w:w="2899" w:type="dxa"/>
                      </w:tcPr>
                      <w:p>
                        <w:pPr>
                          <w:pStyle w:val="TableParagraph"/>
                          <w:spacing w:before="2"/>
                          <w:ind w:left="250"/>
                          <w:rPr>
                            <w:sz w:val="18"/>
                          </w:rPr>
                        </w:pPr>
                        <w:r>
                          <w:rPr>
                            <w:sz w:val="18"/>
                          </w:rPr>
                          <w:t>7.9 先天性畸形、变形或染色体</w:t>
                        </w:r>
                      </w:p>
                    </w:tc>
                  </w:tr>
                  <w:tr>
                    <w:trPr>
                      <w:trHeight w:val="312" w:hRule="atLeast"/>
                    </w:trPr>
                    <w:tc>
                      <w:tcPr>
                        <w:tcW w:w="2976" w:type="dxa"/>
                      </w:tcPr>
                      <w:p>
                        <w:pPr>
                          <w:pStyle w:val="TableParagraph"/>
                          <w:spacing w:before="3"/>
                          <w:ind w:left="107"/>
                          <w:rPr>
                            <w:sz w:val="18"/>
                          </w:rPr>
                        </w:pPr>
                        <w:r>
                          <w:rPr>
                            <w:sz w:val="18"/>
                          </w:rPr>
                          <w:t>2.2 保险期间</w:t>
                        </w:r>
                      </w:p>
                    </w:tc>
                    <w:tc>
                      <w:tcPr>
                        <w:tcW w:w="3623" w:type="dxa"/>
                      </w:tcPr>
                      <w:p>
                        <w:pPr>
                          <w:pStyle w:val="TableParagraph"/>
                          <w:tabs>
                            <w:tab w:pos="3371" w:val="left" w:leader="none"/>
                          </w:tabs>
                          <w:spacing w:before="10"/>
                          <w:ind w:left="395"/>
                          <w:rPr>
                            <w:rFonts w:ascii="黑体" w:eastAsia="黑体" w:hint="eastAsia"/>
                            <w:sz w:val="18"/>
                          </w:rPr>
                        </w:pPr>
                        <w:r>
                          <w:rPr>
                            <w:rFonts w:ascii="Times New Roman" w:eastAsia="Times New Roman"/>
                            <w:sz w:val="18"/>
                            <w:shd w:fill="D8D8D8" w:color="auto" w:val="clear"/>
                          </w:rPr>
                          <w:t> </w:t>
                        </w:r>
                        <w:r>
                          <w:rPr>
                            <w:rFonts w:ascii="Times New Roman" w:eastAsia="Times New Roman"/>
                            <w:spacing w:val="17"/>
                            <w:sz w:val="18"/>
                            <w:shd w:fill="D8D8D8" w:color="auto" w:val="clear"/>
                          </w:rPr>
                          <w:t> </w:t>
                        </w:r>
                        <w:r>
                          <w:rPr>
                            <w:rFonts w:ascii="黑体" w:eastAsia="黑体" w:hint="eastAsia"/>
                            <w:sz w:val="18"/>
                            <w:shd w:fill="D8D8D8" w:color="auto" w:val="clear"/>
                          </w:rPr>
                          <w:t>6 其他需要关注的事项</w:t>
                          <w:tab/>
                        </w:r>
                      </w:p>
                    </w:tc>
                    <w:tc>
                      <w:tcPr>
                        <w:tcW w:w="2899" w:type="dxa"/>
                      </w:tcPr>
                      <w:p>
                        <w:pPr>
                          <w:pStyle w:val="TableParagraph"/>
                          <w:spacing w:before="10"/>
                          <w:ind w:left="252"/>
                          <w:rPr>
                            <w:rFonts w:ascii="黑体" w:eastAsia="黑体" w:hint="eastAsia"/>
                            <w:sz w:val="18"/>
                          </w:rPr>
                        </w:pPr>
                        <w:r>
                          <w:rPr>
                            <w:rFonts w:ascii="黑体" w:eastAsia="黑体" w:hint="eastAsia"/>
                            <w:sz w:val="18"/>
                          </w:rPr>
                          <w:t>异常</w:t>
                        </w:r>
                      </w:p>
                    </w:tc>
                  </w:tr>
                  <w:tr>
                    <w:trPr>
                      <w:trHeight w:val="311" w:hRule="atLeast"/>
                    </w:trPr>
                    <w:tc>
                      <w:tcPr>
                        <w:tcW w:w="2976" w:type="dxa"/>
                      </w:tcPr>
                      <w:p>
                        <w:pPr>
                          <w:pStyle w:val="TableParagraph"/>
                          <w:spacing w:before="2"/>
                          <w:ind w:left="107"/>
                          <w:rPr>
                            <w:sz w:val="18"/>
                          </w:rPr>
                        </w:pPr>
                        <w:r>
                          <w:rPr>
                            <w:sz w:val="18"/>
                          </w:rPr>
                          <w:t>2.3 保险责任</w:t>
                        </w:r>
                      </w:p>
                    </w:tc>
                    <w:tc>
                      <w:tcPr>
                        <w:tcW w:w="3623" w:type="dxa"/>
                      </w:tcPr>
                      <w:p>
                        <w:pPr>
                          <w:pStyle w:val="TableParagraph"/>
                          <w:spacing w:before="2"/>
                          <w:ind w:left="503"/>
                          <w:rPr>
                            <w:sz w:val="18"/>
                          </w:rPr>
                        </w:pPr>
                        <w:r>
                          <w:rPr>
                            <w:sz w:val="18"/>
                          </w:rPr>
                          <w:t>6.1 与主险合同效力的关系</w:t>
                        </w:r>
                      </w:p>
                    </w:tc>
                    <w:tc>
                      <w:tcPr>
                        <w:tcW w:w="2899" w:type="dxa"/>
                      </w:tcPr>
                      <w:p>
                        <w:pPr>
                          <w:pStyle w:val="TableParagraph"/>
                          <w:spacing w:before="2"/>
                          <w:ind w:left="250"/>
                          <w:rPr>
                            <w:sz w:val="18"/>
                          </w:rPr>
                        </w:pPr>
                        <w:r>
                          <w:rPr>
                            <w:sz w:val="18"/>
                          </w:rPr>
                          <w:t>7.10 感染艾滋病病毒或患艾滋病</w:t>
                        </w:r>
                      </w:p>
                    </w:tc>
                  </w:tr>
                  <w:tr>
                    <w:trPr>
                      <w:trHeight w:val="312" w:hRule="atLeast"/>
                    </w:trPr>
                    <w:tc>
                      <w:tcPr>
                        <w:tcW w:w="2976" w:type="dxa"/>
                      </w:tcPr>
                      <w:p>
                        <w:pPr>
                          <w:pStyle w:val="TableParagraph"/>
                          <w:spacing w:before="3"/>
                          <w:ind w:left="107"/>
                          <w:rPr>
                            <w:sz w:val="18"/>
                          </w:rPr>
                        </w:pPr>
                        <w:r>
                          <w:rPr>
                            <w:sz w:val="18"/>
                          </w:rPr>
                          <w:t>2.4 责任免除</w:t>
                        </w:r>
                      </w:p>
                    </w:tc>
                    <w:tc>
                      <w:tcPr>
                        <w:tcW w:w="3623" w:type="dxa"/>
                      </w:tcPr>
                      <w:p>
                        <w:pPr>
                          <w:pStyle w:val="TableParagraph"/>
                          <w:spacing w:before="3"/>
                          <w:ind w:left="502"/>
                          <w:rPr>
                            <w:sz w:val="18"/>
                          </w:rPr>
                        </w:pPr>
                        <w:r>
                          <w:rPr>
                            <w:sz w:val="18"/>
                          </w:rPr>
                          <w:t>6.2 适用主险合同条款</w:t>
                        </w:r>
                      </w:p>
                    </w:tc>
                    <w:tc>
                      <w:tcPr>
                        <w:tcW w:w="2899" w:type="dxa"/>
                      </w:tcPr>
                      <w:p>
                        <w:pPr>
                          <w:pStyle w:val="TableParagraph"/>
                          <w:spacing w:before="3"/>
                          <w:ind w:left="250"/>
                          <w:rPr>
                            <w:sz w:val="18"/>
                          </w:rPr>
                        </w:pPr>
                        <w:r>
                          <w:rPr>
                            <w:sz w:val="18"/>
                          </w:rPr>
                          <w:t>7.11 现金价值</w:t>
                        </w:r>
                      </w:p>
                    </w:tc>
                  </w:tr>
                  <w:tr>
                    <w:trPr>
                      <w:trHeight w:val="312" w:hRule="atLeast"/>
                    </w:trPr>
                    <w:tc>
                      <w:tcPr>
                        <w:tcW w:w="2976" w:type="dxa"/>
                      </w:tcPr>
                      <w:p>
                        <w:pPr>
                          <w:pStyle w:val="TableParagraph"/>
                          <w:tabs>
                            <w:tab w:pos="2975" w:val="left" w:leader="none"/>
                          </w:tabs>
                          <w:spacing w:before="10"/>
                          <w:rPr>
                            <w:rFonts w:ascii="黑体" w:eastAsia="黑体" w:hint="eastAsia"/>
                            <w:sz w:val="18"/>
                          </w:rPr>
                        </w:pPr>
                        <w:r>
                          <w:rPr>
                            <w:rFonts w:ascii="Times New Roman" w:eastAsia="Times New Roman"/>
                            <w:sz w:val="18"/>
                            <w:shd w:fill="D8D8D8" w:color="auto" w:val="clear"/>
                          </w:rPr>
                          <w:t> </w:t>
                        </w:r>
                        <w:r>
                          <w:rPr>
                            <w:rFonts w:ascii="Times New Roman" w:eastAsia="Times New Roman"/>
                            <w:spacing w:val="17"/>
                            <w:sz w:val="18"/>
                            <w:shd w:fill="D8D8D8" w:color="auto" w:val="clear"/>
                          </w:rPr>
                          <w:t> </w:t>
                        </w:r>
                        <w:r>
                          <w:rPr>
                            <w:rFonts w:ascii="黑体" w:eastAsia="黑体" w:hint="eastAsia"/>
                            <w:sz w:val="18"/>
                            <w:shd w:fill="D8D8D8" w:color="auto" w:val="clear"/>
                          </w:rPr>
                          <w:t>3 如何申请领取保险金</w:t>
                          <w:tab/>
                        </w:r>
                      </w:p>
                    </w:tc>
                    <w:tc>
                      <w:tcPr>
                        <w:tcW w:w="3623" w:type="dxa"/>
                      </w:tcPr>
                      <w:p>
                        <w:pPr>
                          <w:pStyle w:val="TableParagraph"/>
                          <w:tabs>
                            <w:tab w:pos="3371" w:val="left" w:leader="none"/>
                          </w:tabs>
                          <w:spacing w:before="10"/>
                          <w:ind w:left="395"/>
                          <w:rPr>
                            <w:rFonts w:ascii="黑体" w:eastAsia="黑体" w:hint="eastAsia"/>
                            <w:sz w:val="18"/>
                          </w:rPr>
                        </w:pPr>
                        <w:r>
                          <w:rPr>
                            <w:rFonts w:ascii="Times New Roman" w:eastAsia="Times New Roman"/>
                            <w:sz w:val="18"/>
                            <w:shd w:fill="D8D8D8" w:color="auto" w:val="clear"/>
                          </w:rPr>
                          <w:t> </w:t>
                        </w:r>
                        <w:r>
                          <w:rPr>
                            <w:rFonts w:ascii="Times New Roman" w:eastAsia="Times New Roman"/>
                            <w:spacing w:val="17"/>
                            <w:sz w:val="18"/>
                            <w:shd w:fill="D8D8D8" w:color="auto" w:val="clear"/>
                          </w:rPr>
                          <w:t> </w:t>
                        </w:r>
                        <w:r>
                          <w:rPr>
                            <w:rFonts w:ascii="黑体" w:eastAsia="黑体" w:hint="eastAsia"/>
                            <w:sz w:val="18"/>
                            <w:shd w:fill="D8D8D8" w:color="auto" w:val="clear"/>
                          </w:rPr>
                          <w:t>7 释义</w:t>
                          <w:tab/>
                        </w:r>
                      </w:p>
                    </w:tc>
                    <w:tc>
                      <w:tcPr>
                        <w:tcW w:w="2899" w:type="dxa"/>
                      </w:tcPr>
                      <w:p>
                        <w:pPr>
                          <w:pStyle w:val="TableParagraph"/>
                          <w:spacing w:before="3"/>
                          <w:ind w:left="252"/>
                          <w:rPr>
                            <w:sz w:val="18"/>
                          </w:rPr>
                        </w:pPr>
                        <w:r>
                          <w:rPr>
                            <w:sz w:val="18"/>
                          </w:rPr>
                          <w:t>附件 1： 重大疾病范围及定义</w:t>
                        </w:r>
                      </w:p>
                    </w:tc>
                  </w:tr>
                  <w:tr>
                    <w:trPr>
                      <w:trHeight w:val="311" w:hRule="atLeast"/>
                    </w:trPr>
                    <w:tc>
                      <w:tcPr>
                        <w:tcW w:w="2976" w:type="dxa"/>
                      </w:tcPr>
                      <w:p>
                        <w:pPr>
                          <w:pStyle w:val="TableParagraph"/>
                          <w:spacing w:before="2"/>
                          <w:ind w:left="107"/>
                          <w:rPr>
                            <w:sz w:val="18"/>
                          </w:rPr>
                        </w:pPr>
                        <w:r>
                          <w:rPr>
                            <w:sz w:val="18"/>
                          </w:rPr>
                          <w:t>3.1 受益人</w:t>
                        </w:r>
                      </w:p>
                    </w:tc>
                    <w:tc>
                      <w:tcPr>
                        <w:tcW w:w="3623" w:type="dxa"/>
                      </w:tcPr>
                      <w:p>
                        <w:pPr>
                          <w:pStyle w:val="TableParagraph"/>
                          <w:spacing w:before="2"/>
                          <w:ind w:left="502"/>
                          <w:rPr>
                            <w:sz w:val="18"/>
                          </w:rPr>
                        </w:pPr>
                        <w:r>
                          <w:rPr>
                            <w:sz w:val="18"/>
                          </w:rPr>
                          <w:t>7.1 有效身份证件</w:t>
                        </w:r>
                      </w:p>
                    </w:tc>
                    <w:tc>
                      <w:tcPr>
                        <w:tcW w:w="2899" w:type="dxa"/>
                      </w:tcPr>
                      <w:p>
                        <w:pPr>
                          <w:pStyle w:val="TableParagraph"/>
                          <w:rPr>
                            <w:rFonts w:ascii="Times New Roman"/>
                            <w:sz w:val="18"/>
                          </w:rPr>
                        </w:pPr>
                      </w:p>
                    </w:tc>
                  </w:tr>
                  <w:tr>
                    <w:trPr>
                      <w:trHeight w:val="257" w:hRule="atLeast"/>
                    </w:trPr>
                    <w:tc>
                      <w:tcPr>
                        <w:tcW w:w="2976" w:type="dxa"/>
                      </w:tcPr>
                      <w:p>
                        <w:pPr>
                          <w:pStyle w:val="TableParagraph"/>
                          <w:spacing w:line="235" w:lineRule="exact" w:before="3"/>
                          <w:ind w:left="107"/>
                          <w:rPr>
                            <w:sz w:val="18"/>
                          </w:rPr>
                        </w:pPr>
                        <w:r>
                          <w:rPr>
                            <w:sz w:val="18"/>
                          </w:rPr>
                          <w:t>3.2 保险金申请</w:t>
                        </w:r>
                      </w:p>
                    </w:tc>
                    <w:tc>
                      <w:tcPr>
                        <w:tcW w:w="3623" w:type="dxa"/>
                      </w:tcPr>
                      <w:p>
                        <w:pPr>
                          <w:pStyle w:val="TableParagraph"/>
                          <w:spacing w:line="235" w:lineRule="exact" w:before="3"/>
                          <w:ind w:left="502"/>
                          <w:rPr>
                            <w:sz w:val="18"/>
                          </w:rPr>
                        </w:pPr>
                        <w:r>
                          <w:rPr>
                            <w:sz w:val="18"/>
                          </w:rPr>
                          <w:t>7.2 意外伤害</w:t>
                        </w:r>
                      </w:p>
                    </w:tc>
                    <w:tc>
                      <w:tcPr>
                        <w:tcW w:w="2899" w:type="dxa"/>
                      </w:tcPr>
                      <w:p>
                        <w:pPr>
                          <w:pStyle w:val="TableParagraph"/>
                          <w:rPr>
                            <w:rFonts w:ascii="Times New Roman"/>
                            <w:sz w:val="18"/>
                          </w:rPr>
                        </w:pPr>
                      </w:p>
                    </w:tc>
                  </w:tr>
                </w:tbl>
                <w:p>
                  <w:pPr>
                    <w:pStyle w:val="BodyText"/>
                    <w:spacing w:before="0"/>
                    <w:ind w:left="0"/>
                  </w:pPr>
                </w:p>
              </w:txbxContent>
            </v:textbox>
            <w10:wrap type="none"/>
          </v:shape>
        </w:pict>
      </w:r>
      <w:r>
        <w:rPr>
          <w:rFonts w:ascii="Arial" w:hAnsi="Arial" w:eastAsia="Arial"/>
          <w:b/>
          <w:w w:val="150"/>
          <w:position w:val="-11"/>
          <w:sz w:val="48"/>
        </w:rPr>
        <w:t>¤</w:t>
        <w:tab/>
      </w:r>
      <w:r>
        <w:rPr>
          <w:rFonts w:ascii="黑体" w:hAnsi="黑体" w:eastAsia="黑体" w:hint="eastAsia"/>
          <w:b/>
          <w:w w:val="95"/>
          <w:sz w:val="21"/>
        </w:rPr>
        <w:t>条款目录</w:t>
      </w:r>
    </w:p>
    <w:p>
      <w:pPr>
        <w:spacing w:after="0" w:line="446" w:lineRule="exact"/>
        <w:jc w:val="left"/>
        <w:rPr>
          <w:rFonts w:ascii="黑体" w:hAnsi="黑体" w:eastAsia="黑体" w:hint="eastAsia"/>
          <w:sz w:val="21"/>
        </w:rPr>
        <w:sectPr>
          <w:type w:val="continuous"/>
          <w:pgSz w:w="11910" w:h="16840"/>
          <w:pgMar w:top="200" w:bottom="280" w:left="1020" w:right="280"/>
        </w:sectPr>
      </w:pPr>
    </w:p>
    <w:p>
      <w:pPr>
        <w:pStyle w:val="Heading1"/>
        <w:spacing w:line="362" w:lineRule="exact"/>
        <w:ind w:left="3066"/>
      </w:pPr>
      <w:r>
        <w:rPr>
          <w:w w:val="95"/>
        </w:rPr>
        <w:t>利安人寿保险股份有限公司</w:t>
      </w:r>
    </w:p>
    <w:p>
      <w:pPr>
        <w:spacing w:line="389" w:lineRule="exact" w:before="0"/>
        <w:ind w:left="2102" w:right="0" w:firstLine="0"/>
        <w:jc w:val="left"/>
        <w:rPr>
          <w:rFonts w:ascii="黑体" w:eastAsia="黑体" w:hint="eastAsia"/>
          <w:b/>
          <w:sz w:val="32"/>
        </w:rPr>
      </w:pPr>
      <w:r>
        <w:rPr>
          <w:rFonts w:ascii="黑体" w:eastAsia="黑体" w:hint="eastAsia"/>
          <w:b/>
          <w:w w:val="95"/>
          <w:sz w:val="32"/>
        </w:rPr>
        <w:t>附加利祥安康提前给付重大疾病保险条款</w:t>
      </w:r>
    </w:p>
    <w:p>
      <w:pPr>
        <w:pStyle w:val="BodyText"/>
        <w:spacing w:before="37"/>
        <w:ind w:left="2866"/>
      </w:pPr>
      <w:r>
        <w:rPr/>
        <w:t>（2011 年呈报中国保险监督管理委员会备案）</w:t>
      </w:r>
    </w:p>
    <w:p>
      <w:pPr>
        <w:pStyle w:val="BodyText"/>
        <w:spacing w:before="11"/>
        <w:ind w:left="0"/>
        <w:rPr>
          <w:sz w:val="27"/>
        </w:rPr>
      </w:pPr>
    </w:p>
    <w:p>
      <w:pPr>
        <w:pStyle w:val="BodyText"/>
        <w:spacing w:line="278" w:lineRule="auto" w:before="0"/>
        <w:ind w:left="173" w:right="168" w:firstLine="420"/>
      </w:pPr>
      <w:r>
        <w:rPr>
          <w:spacing w:val="-7"/>
        </w:rPr>
        <w:t>“附加利祥安康提前给付重大疾病保险”简称“附加利祥安康重疾”。在本附加险条款中，“您”指</w:t>
      </w:r>
      <w:r>
        <w:rPr>
          <w:spacing w:val="-17"/>
        </w:rPr>
        <w:t>投保人，“我们”指利安人寿保险股份有限公司，“本附加险合同”指您与我们之间订立的“附加利祥安</w:t>
      </w:r>
      <w:r>
        <w:rPr>
          <w:spacing w:val="-19"/>
        </w:rPr>
        <w:t>康提前给付重大疾病保险合同”, 主险合同指您与我们之间订立的“利祥安康两全保险合同”。本附加险合同的投保人、被保险人均与主险合同一致。</w:t>
      </w:r>
    </w:p>
    <w:p>
      <w:pPr>
        <w:pStyle w:val="BodyText"/>
        <w:spacing w:before="2"/>
        <w:ind w:left="0"/>
        <w:rPr>
          <w:sz w:val="10"/>
        </w:rPr>
      </w:pPr>
      <w:r>
        <w:rPr/>
        <w:pict>
          <v:shape style="position:absolute;margin-left:53.459999pt;margin-top:7.876841pt;width:483pt;height:15.6pt;mso-position-horizontal-relative:page;mso-position-vertical-relative:paragraph;z-index:1096;mso-wrap-distance-left:0;mso-wrap-distance-right:0" type="#_x0000_t202" filled="true" fillcolor="#d8d8d8" stroked="false">
            <v:textbox inset="0,0,0,0">
              <w:txbxContent>
                <w:p>
                  <w:pPr>
                    <w:tabs>
                      <w:tab w:pos="967" w:val="left" w:leader="none"/>
                    </w:tabs>
                    <w:spacing w:line="260" w:lineRule="exact" w:before="0"/>
                    <w:ind w:left="107"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1"/>
        <w:ind w:left="0"/>
        <w:rPr>
          <w:sz w:val="5"/>
        </w:rPr>
      </w:pPr>
    </w:p>
    <w:p>
      <w:pPr>
        <w:pStyle w:val="ListParagraph"/>
        <w:numPr>
          <w:ilvl w:val="1"/>
          <w:numId w:val="2"/>
        </w:numPr>
        <w:tabs>
          <w:tab w:pos="1077" w:val="left" w:leader="none"/>
        </w:tabs>
        <w:spacing w:line="273" w:lineRule="auto" w:before="35" w:after="0"/>
        <w:ind w:left="2655" w:right="296" w:hanging="2438"/>
        <w:jc w:val="both"/>
        <w:rPr>
          <w:sz w:val="21"/>
        </w:rPr>
      </w:pPr>
      <w:r>
        <w:rPr>
          <w:rFonts w:ascii="黑体" w:eastAsia="黑体" w:hint="eastAsia"/>
          <w:sz w:val="21"/>
        </w:rPr>
        <w:t>合同构成      </w:t>
      </w:r>
      <w:r>
        <w:rPr>
          <w:sz w:val="21"/>
        </w:rPr>
        <w:t>本附加险合同是您与我们约定保险权利义务关系的协议，包括本保险条款、保险单、投保确认书及其他投保文件（含视听资料）、合法有效的声明、批注、批单及其他您与我们共同签订的书面协议。</w:t>
      </w:r>
    </w:p>
    <w:p>
      <w:pPr>
        <w:pStyle w:val="BodyText"/>
        <w:spacing w:before="9"/>
        <w:ind w:left="0"/>
        <w:rPr>
          <w:sz w:val="8"/>
        </w:rPr>
      </w:pPr>
    </w:p>
    <w:p>
      <w:pPr>
        <w:spacing w:after="0"/>
        <w:rPr>
          <w:sz w:val="8"/>
        </w:rPr>
        <w:sectPr>
          <w:pgSz w:w="11910" w:h="16840"/>
          <w:pgMar w:top="1360" w:bottom="280" w:left="960" w:right="1060"/>
        </w:sectPr>
      </w:pPr>
    </w:p>
    <w:p>
      <w:pPr>
        <w:pStyle w:val="ListParagraph"/>
        <w:numPr>
          <w:ilvl w:val="1"/>
          <w:numId w:val="2"/>
        </w:numPr>
        <w:tabs>
          <w:tab w:pos="1076" w:val="left" w:leader="none"/>
          <w:tab w:pos="1077" w:val="left" w:leader="none"/>
        </w:tabs>
        <w:spacing w:line="273" w:lineRule="auto" w:before="35" w:after="0"/>
        <w:ind w:left="1076" w:right="0" w:hanging="859"/>
        <w:jc w:val="left"/>
        <w:rPr>
          <w:rFonts w:ascii="黑体" w:eastAsia="黑体" w:hint="eastAsia"/>
          <w:sz w:val="21"/>
        </w:rPr>
      </w:pPr>
      <w:r>
        <w:rPr>
          <w:rFonts w:ascii="黑体" w:eastAsia="黑体" w:hint="eastAsia"/>
          <w:spacing w:val="-1"/>
          <w:sz w:val="21"/>
        </w:rPr>
        <w:t>合同成立与</w:t>
      </w:r>
      <w:r>
        <w:rPr>
          <w:rFonts w:ascii="黑体" w:eastAsia="黑体" w:hint="eastAsia"/>
          <w:sz w:val="21"/>
        </w:rPr>
        <w:t>Th 效</w:t>
      </w:r>
    </w:p>
    <w:p>
      <w:pPr>
        <w:pStyle w:val="BodyText"/>
        <w:spacing w:line="273" w:lineRule="auto" w:before="35"/>
        <w:ind w:left="217" w:right="296"/>
      </w:pPr>
      <w:r>
        <w:rPr/>
        <w:br w:type="column"/>
      </w:r>
      <w:r>
        <w:rPr/>
        <w:t>本附加险合同与主险合同同时成立，同时生效。本附加险合同约定的保险责任与主险合同约定的保险责任同时开始。</w:t>
      </w:r>
    </w:p>
    <w:p>
      <w:pPr>
        <w:spacing w:after="0" w:line="273" w:lineRule="auto"/>
        <w:sectPr>
          <w:type w:val="continuous"/>
          <w:pgSz w:w="11910" w:h="16840"/>
          <w:pgMar w:top="200" w:bottom="280" w:left="960" w:right="1060"/>
          <w:cols w:num="2" w:equalWidth="0">
            <w:col w:w="2336" w:space="102"/>
            <w:col w:w="7452"/>
          </w:cols>
        </w:sectPr>
      </w:pPr>
    </w:p>
    <w:p>
      <w:pPr>
        <w:pStyle w:val="BodyText"/>
        <w:spacing w:before="10"/>
        <w:ind w:left="0"/>
        <w:rPr>
          <w:sz w:val="8"/>
        </w:rPr>
      </w:pPr>
    </w:p>
    <w:p>
      <w:pPr>
        <w:pStyle w:val="ListParagraph"/>
        <w:numPr>
          <w:ilvl w:val="1"/>
          <w:numId w:val="2"/>
        </w:numPr>
        <w:tabs>
          <w:tab w:pos="1076" w:val="left" w:leader="none"/>
          <w:tab w:pos="1077" w:val="left" w:leader="none"/>
          <w:tab w:pos="2655" w:val="left" w:leader="none"/>
        </w:tabs>
        <w:spacing w:line="273" w:lineRule="auto" w:before="35" w:after="0"/>
        <w:ind w:left="2655" w:right="296" w:hanging="2438"/>
        <w:jc w:val="left"/>
        <w:rPr>
          <w:sz w:val="21"/>
        </w:rPr>
      </w:pPr>
      <w:r>
        <w:rPr>
          <w:rFonts w:ascii="黑体" w:eastAsia="黑体" w:hint="eastAsia"/>
          <w:sz w:val="21"/>
        </w:rPr>
        <w:t>投保年龄</w:t>
        <w:tab/>
      </w:r>
      <w:r>
        <w:rPr>
          <w:sz w:val="21"/>
        </w:rPr>
        <w:t>指您投保时被保险人的年龄，本附加险合同接受的被保险人的投保年龄范围与主险合同一致。</w:t>
      </w:r>
    </w:p>
    <w:p>
      <w:pPr>
        <w:pStyle w:val="ListParagraph"/>
        <w:numPr>
          <w:ilvl w:val="1"/>
          <w:numId w:val="2"/>
        </w:numPr>
        <w:tabs>
          <w:tab w:pos="1076" w:val="left" w:leader="none"/>
          <w:tab w:pos="1077" w:val="left" w:leader="none"/>
          <w:tab w:pos="2655" w:val="left" w:leader="none"/>
        </w:tabs>
        <w:spacing w:line="273" w:lineRule="auto" w:before="149" w:after="0"/>
        <w:ind w:left="2655" w:right="221" w:hanging="2438"/>
        <w:jc w:val="left"/>
        <w:rPr>
          <w:sz w:val="21"/>
        </w:rPr>
      </w:pPr>
      <w:r>
        <w:rPr>
          <w:rFonts w:ascii="黑体" w:eastAsia="黑体" w:hint="eastAsia"/>
          <w:sz w:val="21"/>
        </w:rPr>
        <w:t>犹豫期</w:t>
        <w:tab/>
      </w:r>
      <w:r>
        <w:rPr>
          <w:sz w:val="21"/>
        </w:rPr>
        <w:t>自您签收本附加险合同次日起</w:t>
      </w:r>
      <w:r>
        <w:rPr>
          <w:spacing w:val="-10"/>
          <w:sz w:val="21"/>
        </w:rPr>
        <w:t>，</w:t>
      </w:r>
      <w:r>
        <w:rPr>
          <w:sz w:val="21"/>
        </w:rPr>
        <w:t>有</w:t>
      </w:r>
      <w:r>
        <w:rPr>
          <w:spacing w:val="-54"/>
          <w:sz w:val="21"/>
        </w:rPr>
        <w:t> </w:t>
      </w:r>
      <w:r>
        <w:rPr>
          <w:sz w:val="21"/>
        </w:rPr>
        <w:t>10</w:t>
      </w:r>
      <w:r>
        <w:rPr>
          <w:spacing w:val="-54"/>
          <w:sz w:val="21"/>
        </w:rPr>
        <w:t> </w:t>
      </w:r>
      <w:r>
        <w:rPr>
          <w:sz w:val="21"/>
        </w:rPr>
        <w:t>日的犹豫期</w:t>
      </w:r>
      <w:r>
        <w:rPr>
          <w:spacing w:val="-10"/>
          <w:sz w:val="21"/>
        </w:rPr>
        <w:t>。</w:t>
      </w:r>
      <w:r>
        <w:rPr>
          <w:sz w:val="21"/>
        </w:rPr>
        <w:t>在此期间</w:t>
      </w:r>
      <w:r>
        <w:rPr>
          <w:spacing w:val="-10"/>
          <w:sz w:val="21"/>
        </w:rPr>
        <w:t>，</w:t>
      </w:r>
      <w:r>
        <w:rPr>
          <w:sz w:val="21"/>
        </w:rPr>
        <w:t>请您认真审视本附加险合同，如果您认为本附加险合同与您的需求不相符，且我们已经收取保险费的，您可以在此期间提出解除本附加险合同，我们将退还您所支付的保险费。</w:t>
      </w:r>
    </w:p>
    <w:p>
      <w:pPr>
        <w:pStyle w:val="BodyText"/>
        <w:spacing w:line="312" w:lineRule="exact" w:before="3"/>
        <w:ind w:left="2655" w:right="291"/>
        <w:jc w:val="both"/>
      </w:pPr>
      <w:r>
        <w:rPr/>
        <w:t>解除合同时，您需要填写申请书，并提供您的保险合同及</w:t>
      </w:r>
      <w:r>
        <w:rPr>
          <w:rFonts w:ascii="微软雅黑" w:eastAsia="微软雅黑" w:hint="eastAsia"/>
          <w:b/>
        </w:rPr>
        <w:t>有效身份证件</w:t>
      </w:r>
      <w:r>
        <w:rPr/>
        <w:t>。</w:t>
      </w:r>
      <w:r>
        <w:rPr>
          <w:shd w:fill="D9D9D9" w:color="auto" w:val="clear"/>
        </w:rPr>
        <w:t>自我们收到您解除合同的书面申请时起，本附加险合同即被解除，对于合同解除前发生的保险事故，我们不承担保险责任。</w:t>
      </w:r>
    </w:p>
    <w:p>
      <w:pPr>
        <w:pStyle w:val="BodyText"/>
        <w:spacing w:before="5"/>
        <w:ind w:left="0"/>
        <w:rPr>
          <w:sz w:val="10"/>
        </w:rPr>
      </w:pPr>
      <w:r>
        <w:rPr/>
        <w:pict>
          <v:shape style="position:absolute;margin-left:53.459999pt;margin-top:8.011013pt;width:483pt;height:15.6pt;mso-position-horizontal-relative:page;mso-position-vertical-relative:paragraph;z-index:1120;mso-wrap-distance-left:0;mso-wrap-distance-right:0" type="#_x0000_t202" filled="true" fillcolor="#d8d8d8" stroked="false">
            <v:textbox inset="0,0,0,0">
              <w:txbxContent>
                <w:p>
                  <w:pPr>
                    <w:tabs>
                      <w:tab w:pos="967" w:val="left" w:leader="none"/>
                    </w:tabs>
                    <w:spacing w:line="260" w:lineRule="exact" w:before="0"/>
                    <w:ind w:left="107"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2"/>
        <w:ind w:left="0"/>
        <w:rPr>
          <w:sz w:val="5"/>
        </w:rPr>
      </w:pPr>
    </w:p>
    <w:p>
      <w:pPr>
        <w:pStyle w:val="ListParagraph"/>
        <w:numPr>
          <w:ilvl w:val="1"/>
          <w:numId w:val="3"/>
        </w:numPr>
        <w:tabs>
          <w:tab w:pos="1076" w:val="left" w:leader="none"/>
          <w:tab w:pos="1077" w:val="left" w:leader="none"/>
          <w:tab w:pos="2655" w:val="left" w:leader="none"/>
        </w:tabs>
        <w:spacing w:line="240" w:lineRule="auto" w:before="35" w:after="0"/>
        <w:ind w:left="2655" w:right="0" w:hanging="2438"/>
        <w:jc w:val="left"/>
        <w:rPr>
          <w:sz w:val="21"/>
        </w:rPr>
      </w:pPr>
      <w:r>
        <w:rPr>
          <w:rFonts w:ascii="黑体" w:eastAsia="黑体" w:hint="eastAsia"/>
          <w:sz w:val="21"/>
        </w:rPr>
        <w:t>保险金额</w:t>
        <w:tab/>
      </w:r>
      <w:r>
        <w:rPr>
          <w:sz w:val="21"/>
        </w:rPr>
        <w:t>本附加险合同的基本保险金额与主险合同一致。</w:t>
      </w:r>
    </w:p>
    <w:p>
      <w:pPr>
        <w:pStyle w:val="ListParagraph"/>
        <w:numPr>
          <w:ilvl w:val="1"/>
          <w:numId w:val="3"/>
        </w:numPr>
        <w:tabs>
          <w:tab w:pos="1076" w:val="left" w:leader="none"/>
          <w:tab w:pos="1077" w:val="left" w:leader="none"/>
          <w:tab w:pos="2655" w:val="left" w:leader="none"/>
        </w:tabs>
        <w:spacing w:line="240" w:lineRule="auto" w:before="173" w:after="0"/>
        <w:ind w:left="2655" w:right="0" w:hanging="2438"/>
        <w:jc w:val="left"/>
        <w:rPr>
          <w:sz w:val="21"/>
        </w:rPr>
      </w:pPr>
      <w:r>
        <w:rPr>
          <w:rFonts w:ascii="黑体" w:eastAsia="黑体" w:hint="eastAsia"/>
          <w:position w:val="3"/>
          <w:sz w:val="21"/>
        </w:rPr>
        <w:t>保险期间</w:t>
        <w:tab/>
      </w:r>
      <w:r>
        <w:rPr>
          <w:sz w:val="21"/>
        </w:rPr>
        <w:t>本附加险合同的保险期间与主险合同一致。</w:t>
      </w:r>
    </w:p>
    <w:p>
      <w:pPr>
        <w:pStyle w:val="ListParagraph"/>
        <w:numPr>
          <w:ilvl w:val="1"/>
          <w:numId w:val="3"/>
        </w:numPr>
        <w:tabs>
          <w:tab w:pos="1076" w:val="left" w:leader="none"/>
          <w:tab w:pos="1077" w:val="left" w:leader="none"/>
          <w:tab w:pos="2655" w:val="left" w:leader="none"/>
        </w:tabs>
        <w:spacing w:line="280" w:lineRule="auto" w:before="156" w:after="0"/>
        <w:ind w:left="2655" w:right="217" w:hanging="2438"/>
        <w:jc w:val="left"/>
        <w:rPr>
          <w:sz w:val="21"/>
        </w:rPr>
      </w:pPr>
      <w:r>
        <w:rPr>
          <w:rFonts w:ascii="黑体" w:eastAsia="黑体" w:hint="eastAsia"/>
          <w:position w:val="3"/>
          <w:sz w:val="21"/>
        </w:rPr>
        <w:t>保险责任</w:t>
        <w:tab/>
      </w:r>
      <w:r>
        <w:rPr>
          <w:sz w:val="21"/>
        </w:rPr>
        <w:t>在本附加险合同保险期间内，且本附加险合同有效的前提下，我们按以下约 定承担保险责任：</w:t>
      </w:r>
    </w:p>
    <w:p>
      <w:pPr>
        <w:pStyle w:val="BodyText"/>
        <w:tabs>
          <w:tab w:pos="2655" w:val="left" w:leader="none"/>
        </w:tabs>
        <w:spacing w:line="247" w:lineRule="auto" w:before="125"/>
        <w:ind w:left="2655" w:right="222" w:hanging="1580"/>
      </w:pPr>
      <w:r>
        <w:rPr>
          <w:position w:val="-2"/>
        </w:rPr>
        <w:t>等待期</w:t>
        <w:tab/>
      </w:r>
      <w:r>
        <w:rPr/>
        <w:t>本附加险合同生效或最后一次复</w:t>
      </w:r>
      <w:r>
        <w:rPr>
          <w:spacing w:val="-15"/>
        </w:rPr>
        <w:t>效</w:t>
      </w:r>
      <w:r>
        <w:rPr/>
        <w:t>（以较迟者为准</w:t>
      </w:r>
      <w:r>
        <w:rPr>
          <w:spacing w:val="-15"/>
        </w:rPr>
        <w:t>）</w:t>
      </w:r>
      <w:r>
        <w:rPr/>
        <w:t>之日起的</w:t>
      </w:r>
      <w:r>
        <w:rPr>
          <w:spacing w:val="-68"/>
        </w:rPr>
        <w:t> </w:t>
      </w:r>
      <w:r>
        <w:rPr/>
        <w:t>90</w:t>
      </w:r>
      <w:r>
        <w:rPr>
          <w:spacing w:val="-68"/>
        </w:rPr>
        <w:t> </w:t>
      </w:r>
      <w:r>
        <w:rPr/>
        <w:t>日称为等待期。</w:t>
      </w:r>
    </w:p>
    <w:p>
      <w:pPr>
        <w:pStyle w:val="BodyText"/>
        <w:spacing w:line="312" w:lineRule="exact" w:before="26"/>
        <w:ind w:left="2655" w:right="116"/>
      </w:pPr>
      <w:r>
        <w:rPr/>
        <w:drawing>
          <wp:anchor distT="0" distB="0" distL="0" distR="0" allowOverlap="1" layoutInCell="1" locked="0" behindDoc="1" simplePos="0" relativeHeight="268411871">
            <wp:simplePos x="0" y="0"/>
            <wp:positionH relativeFrom="page">
              <wp:posOffset>6680241</wp:posOffset>
            </wp:positionH>
            <wp:positionV relativeFrom="paragraph">
              <wp:posOffset>271524</wp:posOffset>
            </wp:positionV>
            <wp:extent cx="60325" cy="10477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anchor>
        </w:drawing>
      </w:r>
      <w:r>
        <w:rPr/>
        <w:t>在等待期内，若被保险人因</w:t>
      </w:r>
      <w:r>
        <w:rPr>
          <w:rFonts w:ascii="微软雅黑" w:hAnsi="微软雅黑" w:eastAsia="微软雅黑" w:hint="eastAsia"/>
          <w:b/>
        </w:rPr>
        <w:t>意外伤害</w:t>
      </w:r>
      <w:r>
        <w:rPr/>
        <w:t>以外的原因被确诊初次发生本附加险合</w:t>
      </w:r>
      <w:r>
        <w:rPr>
          <w:spacing w:val="-13"/>
        </w:rPr>
        <w:t>同约定的重大疾病</w:t>
      </w:r>
      <w:r>
        <w:rPr/>
        <w:t>（</w:t>
      </w:r>
      <w:r>
        <w:rPr>
          <w:spacing w:val="-11"/>
        </w:rPr>
        <w:t>无论一种或多种，下同</w:t>
      </w:r>
      <w:r>
        <w:rPr>
          <w:spacing w:val="-102"/>
        </w:rPr>
        <w:t>）</w:t>
      </w:r>
      <w:r>
        <w:rPr>
          <w:spacing w:val="-15"/>
        </w:rPr>
        <w:t>，我们按您已支付的保险费的 </w:t>
      </w:r>
      <w:r>
        <w:rPr/>
        <w:t>105 </w:t>
      </w:r>
      <w:r>
        <w:rPr>
          <w:spacing w:val="-7"/>
        </w:rPr>
        <w:t>给付重大疾病保险金，主险合同与本附加险合同同时终止</w:t>
      </w:r>
      <w:r>
        <w:rPr>
          <w:spacing w:val="-19"/>
        </w:rPr>
        <w:t>。“已支付的保险费” 指您根据主险合同和本附加险合同的约定已支付的保险费。</w:t>
      </w:r>
    </w:p>
    <w:p>
      <w:pPr>
        <w:pStyle w:val="BodyText"/>
        <w:spacing w:before="2"/>
        <w:ind w:left="0"/>
        <w:rPr>
          <w:sz w:val="24"/>
        </w:rPr>
      </w:pPr>
    </w:p>
    <w:p>
      <w:pPr>
        <w:pStyle w:val="BodyText"/>
        <w:spacing w:line="273" w:lineRule="auto" w:before="0"/>
        <w:ind w:left="2655" w:right="296"/>
        <w:jc w:val="both"/>
      </w:pPr>
      <w:r>
        <w:rPr/>
        <w:t>若被保险人因遭受意外伤害被确诊初次发生本附加险合同约定的重大疾病， 或在等待期后因意外伤害以外的原因被确诊初次发生本附加险合同约定的重大疾病，我们按本条以下约定给付重大疾病保险金和重大疾病关爱金。</w:t>
      </w:r>
    </w:p>
    <w:p>
      <w:pPr>
        <w:pStyle w:val="BodyText"/>
        <w:tabs>
          <w:tab w:pos="2655" w:val="left" w:leader="none"/>
        </w:tabs>
        <w:spacing w:before="143"/>
        <w:ind w:left="1076"/>
      </w:pPr>
      <w:r>
        <w:rPr>
          <w:spacing w:val="20"/>
          <w:position w:val="-2"/>
        </w:rPr>
        <w:t>重大疾病保</w:t>
      </w:r>
      <w:r>
        <w:rPr>
          <w:position w:val="-2"/>
        </w:rPr>
        <w:t>险</w:t>
        <w:tab/>
      </w:r>
      <w:r>
        <w:rPr/>
        <w:t>我们按基本保险金额给付重大疾病保险金。</w:t>
      </w:r>
    </w:p>
    <w:p>
      <w:pPr>
        <w:spacing w:after="0"/>
        <w:sectPr>
          <w:type w:val="continuous"/>
          <w:pgSz w:w="11910" w:h="16840"/>
          <w:pgMar w:top="200" w:bottom="280" w:left="960" w:right="1060"/>
        </w:sectPr>
      </w:pPr>
    </w:p>
    <w:tbl>
      <w:tblPr>
        <w:tblW w:w="0" w:type="auto"/>
        <w:jc w:val="left"/>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7"/>
        <w:gridCol w:w="1754"/>
        <w:gridCol w:w="7258"/>
      </w:tblGrid>
      <w:tr>
        <w:trPr>
          <w:trHeight w:val="353" w:hRule="atLeast"/>
        </w:trPr>
        <w:tc>
          <w:tcPr>
            <w:tcW w:w="637" w:type="dxa"/>
            <w:vMerge w:val="restart"/>
          </w:tcPr>
          <w:p>
            <w:pPr>
              <w:pStyle w:val="TableParagraph"/>
              <w:rPr>
                <w:rFonts w:ascii="Times New Roman"/>
                <w:sz w:val="20"/>
              </w:rPr>
            </w:pPr>
          </w:p>
        </w:tc>
        <w:tc>
          <w:tcPr>
            <w:tcW w:w="1754" w:type="dxa"/>
          </w:tcPr>
          <w:p>
            <w:pPr>
              <w:pStyle w:val="TableParagraph"/>
              <w:spacing w:line="235" w:lineRule="exact"/>
              <w:ind w:left="272"/>
              <w:rPr>
                <w:sz w:val="21"/>
              </w:rPr>
            </w:pPr>
            <w:r>
              <w:rPr>
                <w:sz w:val="21"/>
              </w:rPr>
              <w:t>金</w:t>
            </w:r>
          </w:p>
        </w:tc>
        <w:tc>
          <w:tcPr>
            <w:tcW w:w="7258" w:type="dxa"/>
          </w:tcPr>
          <w:p>
            <w:pPr>
              <w:pStyle w:val="TableParagraph"/>
              <w:spacing w:line="210" w:lineRule="exact"/>
              <w:ind w:left="97"/>
              <w:rPr>
                <w:sz w:val="21"/>
              </w:rPr>
            </w:pPr>
            <w:r>
              <w:rPr>
                <w:sz w:val="21"/>
              </w:rPr>
              <w:t>给付重大疾病保险金后，我们不再承担主险合同的保险金给付责任。</w:t>
            </w:r>
          </w:p>
        </w:tc>
      </w:tr>
      <w:tr>
        <w:trPr>
          <w:trHeight w:val="689" w:hRule="atLeast"/>
        </w:trPr>
        <w:tc>
          <w:tcPr>
            <w:tcW w:w="637" w:type="dxa"/>
            <w:vMerge/>
            <w:tcBorders>
              <w:top w:val="nil"/>
            </w:tcBorders>
          </w:tcPr>
          <w:p>
            <w:pPr>
              <w:rPr>
                <w:sz w:val="2"/>
                <w:szCs w:val="2"/>
              </w:rPr>
            </w:pPr>
          </w:p>
        </w:tc>
        <w:tc>
          <w:tcPr>
            <w:tcW w:w="1754" w:type="dxa"/>
          </w:tcPr>
          <w:p>
            <w:pPr>
              <w:pStyle w:val="TableParagraph"/>
              <w:spacing w:line="273" w:lineRule="auto" w:before="36"/>
              <w:ind w:left="272" w:right="96"/>
              <w:rPr>
                <w:sz w:val="21"/>
              </w:rPr>
            </w:pPr>
            <w:r>
              <w:rPr>
                <w:sz w:val="21"/>
              </w:rPr>
              <w:t>重大疾病关爱金</w:t>
            </w:r>
          </w:p>
        </w:tc>
        <w:tc>
          <w:tcPr>
            <w:tcW w:w="7258" w:type="dxa"/>
          </w:tcPr>
          <w:p>
            <w:pPr>
              <w:pStyle w:val="TableParagraph"/>
              <w:spacing w:before="47"/>
              <w:ind w:left="97"/>
              <w:rPr>
                <w:sz w:val="21"/>
              </w:rPr>
            </w:pPr>
            <w:r>
              <w:rPr>
                <w:spacing w:val="-1"/>
                <w:sz w:val="21"/>
              </w:rPr>
              <w:t>给付重大疾病保险金后</w:t>
            </w:r>
            <w:r>
              <w:rPr>
                <w:spacing w:val="-41"/>
                <w:sz w:val="21"/>
              </w:rPr>
              <w:t>，</w:t>
            </w:r>
            <w:r>
              <w:rPr>
                <w:spacing w:val="-1"/>
                <w:sz w:val="21"/>
              </w:rPr>
              <w:t>我们按基本保险金额</w:t>
            </w:r>
            <w:r>
              <w:rPr>
                <w:sz w:val="21"/>
              </w:rPr>
              <w:t>的</w:t>
            </w:r>
            <w:r>
              <w:rPr>
                <w:spacing w:val="-53"/>
                <w:sz w:val="21"/>
              </w:rPr>
              <w:t> </w:t>
            </w:r>
            <w:r>
              <w:rPr>
                <w:spacing w:val="3"/>
                <w:sz w:val="21"/>
              </w:rPr>
              <w:drawing>
                <wp:inline distT="0" distB="0" distL="0" distR="0">
                  <wp:extent cx="59721" cy="103727"/>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3"/>
                <w:sz w:val="21"/>
              </w:rPr>
            </w:r>
            <w:r>
              <w:rPr>
                <w:spacing w:val="-1"/>
                <w:sz w:val="21"/>
              </w:rPr>
              <w:t>给付重大疾病关爱金</w:t>
            </w:r>
            <w:r>
              <w:rPr>
                <w:spacing w:val="-41"/>
                <w:sz w:val="21"/>
              </w:rPr>
              <w:t>。</w:t>
            </w:r>
            <w:r>
              <w:rPr>
                <w:sz w:val="21"/>
              </w:rPr>
              <w:t>重</w:t>
            </w:r>
          </w:p>
          <w:p>
            <w:pPr>
              <w:pStyle w:val="TableParagraph"/>
              <w:spacing w:before="33"/>
              <w:ind w:left="97"/>
              <w:rPr>
                <w:sz w:val="21"/>
              </w:rPr>
            </w:pPr>
            <w:r>
              <w:rPr>
                <w:sz w:val="21"/>
              </w:rPr>
              <w:t>大疾病关爱金分 12 个月等额给付，首次重大疾病关爱金与重大疾病保险金一</w:t>
            </w:r>
          </w:p>
        </w:tc>
      </w:tr>
      <w:tr>
        <w:trPr>
          <w:trHeight w:val="304" w:hRule="atLeast"/>
        </w:trPr>
        <w:tc>
          <w:tcPr>
            <w:tcW w:w="637" w:type="dxa"/>
            <w:vMerge/>
            <w:tcBorders>
              <w:top w:val="nil"/>
            </w:tcBorders>
          </w:tcPr>
          <w:p>
            <w:pPr>
              <w:rPr>
                <w:sz w:val="2"/>
                <w:szCs w:val="2"/>
              </w:rPr>
            </w:pPr>
          </w:p>
        </w:tc>
        <w:tc>
          <w:tcPr>
            <w:tcW w:w="1754" w:type="dxa"/>
          </w:tcPr>
          <w:p>
            <w:pPr>
              <w:pStyle w:val="TableParagraph"/>
              <w:rPr>
                <w:rFonts w:ascii="Times New Roman"/>
                <w:sz w:val="20"/>
              </w:rPr>
            </w:pPr>
          </w:p>
        </w:tc>
        <w:tc>
          <w:tcPr>
            <w:tcW w:w="7258" w:type="dxa"/>
          </w:tcPr>
          <w:p>
            <w:pPr>
              <w:pStyle w:val="TableParagraph"/>
              <w:spacing w:line="254" w:lineRule="exact"/>
              <w:ind w:left="97"/>
              <w:rPr>
                <w:sz w:val="21"/>
              </w:rPr>
            </w:pPr>
            <w:r>
              <w:rPr>
                <w:sz w:val="21"/>
              </w:rPr>
              <w:t>并给付，以后于首次给付日期在每月的对应日（如果当月没有对应的同一日，</w:t>
            </w:r>
          </w:p>
        </w:tc>
      </w:tr>
      <w:tr>
        <w:trPr>
          <w:trHeight w:val="311" w:hRule="atLeast"/>
        </w:trPr>
        <w:tc>
          <w:tcPr>
            <w:tcW w:w="637" w:type="dxa"/>
            <w:vMerge/>
            <w:tcBorders>
              <w:top w:val="nil"/>
            </w:tcBorders>
          </w:tcPr>
          <w:p>
            <w:pPr>
              <w:rPr>
                <w:sz w:val="2"/>
                <w:szCs w:val="2"/>
              </w:rPr>
            </w:pPr>
          </w:p>
        </w:tc>
        <w:tc>
          <w:tcPr>
            <w:tcW w:w="1754" w:type="dxa"/>
          </w:tcPr>
          <w:p>
            <w:pPr>
              <w:pStyle w:val="TableParagraph"/>
              <w:rPr>
                <w:rFonts w:ascii="Times New Roman"/>
                <w:sz w:val="20"/>
              </w:rPr>
            </w:pPr>
          </w:p>
        </w:tc>
        <w:tc>
          <w:tcPr>
            <w:tcW w:w="7258" w:type="dxa"/>
          </w:tcPr>
          <w:p>
            <w:pPr>
              <w:pStyle w:val="TableParagraph"/>
              <w:spacing w:line="261" w:lineRule="exact"/>
              <w:ind w:left="97"/>
              <w:rPr>
                <w:sz w:val="21"/>
              </w:rPr>
            </w:pPr>
            <w:r>
              <w:rPr>
                <w:sz w:val="21"/>
              </w:rPr>
              <w:t>则以该月最后一日为对应日）给付。给付满 12 次时，主险合同与本附加险合</w:t>
            </w:r>
          </w:p>
        </w:tc>
      </w:tr>
      <w:tr>
        <w:trPr>
          <w:trHeight w:val="311" w:hRule="atLeast"/>
        </w:trPr>
        <w:tc>
          <w:tcPr>
            <w:tcW w:w="637" w:type="dxa"/>
            <w:vMerge/>
            <w:tcBorders>
              <w:top w:val="nil"/>
            </w:tcBorders>
          </w:tcPr>
          <w:p>
            <w:pPr>
              <w:rPr>
                <w:sz w:val="2"/>
                <w:szCs w:val="2"/>
              </w:rPr>
            </w:pPr>
          </w:p>
        </w:tc>
        <w:tc>
          <w:tcPr>
            <w:tcW w:w="1754" w:type="dxa"/>
          </w:tcPr>
          <w:p>
            <w:pPr>
              <w:pStyle w:val="TableParagraph"/>
              <w:rPr>
                <w:rFonts w:ascii="Times New Roman"/>
                <w:sz w:val="20"/>
              </w:rPr>
            </w:pPr>
          </w:p>
        </w:tc>
        <w:tc>
          <w:tcPr>
            <w:tcW w:w="7258" w:type="dxa"/>
          </w:tcPr>
          <w:p>
            <w:pPr>
              <w:pStyle w:val="TableParagraph"/>
              <w:spacing w:line="261" w:lineRule="exact"/>
              <w:ind w:left="97"/>
              <w:rPr>
                <w:sz w:val="21"/>
              </w:rPr>
            </w:pPr>
            <w:r>
              <w:rPr>
                <w:sz w:val="21"/>
              </w:rPr>
              <w:t>同同时终止。若被保险人在领取重大疾病关爱金期间身故，我们给付一次性</w:t>
            </w:r>
          </w:p>
        </w:tc>
      </w:tr>
      <w:tr>
        <w:trPr>
          <w:trHeight w:val="311" w:hRule="atLeast"/>
        </w:trPr>
        <w:tc>
          <w:tcPr>
            <w:tcW w:w="637" w:type="dxa"/>
            <w:vMerge/>
            <w:tcBorders>
              <w:top w:val="nil"/>
            </w:tcBorders>
          </w:tcPr>
          <w:p>
            <w:pPr>
              <w:rPr>
                <w:sz w:val="2"/>
                <w:szCs w:val="2"/>
              </w:rPr>
            </w:pPr>
          </w:p>
        </w:tc>
        <w:tc>
          <w:tcPr>
            <w:tcW w:w="1754" w:type="dxa"/>
          </w:tcPr>
          <w:p>
            <w:pPr>
              <w:pStyle w:val="TableParagraph"/>
              <w:rPr>
                <w:rFonts w:ascii="Times New Roman"/>
                <w:sz w:val="20"/>
              </w:rPr>
            </w:pPr>
          </w:p>
        </w:tc>
        <w:tc>
          <w:tcPr>
            <w:tcW w:w="7258" w:type="dxa"/>
          </w:tcPr>
          <w:p>
            <w:pPr>
              <w:pStyle w:val="TableParagraph"/>
              <w:spacing w:line="264" w:lineRule="exact"/>
              <w:ind w:left="97"/>
              <w:rPr>
                <w:sz w:val="21"/>
              </w:rPr>
            </w:pPr>
            <w:r>
              <w:rPr>
                <w:spacing w:val="-1"/>
                <w:sz w:val="21"/>
              </w:rPr>
              <w:t>重大疾病关爱</w:t>
            </w:r>
            <w:r>
              <w:rPr>
                <w:spacing w:val="-83"/>
                <w:sz w:val="21"/>
              </w:rPr>
              <w:t>金</w:t>
            </w:r>
            <w:r>
              <w:rPr>
                <w:spacing w:val="-1"/>
                <w:sz w:val="21"/>
              </w:rPr>
              <w:t>（金额等值于</w:t>
            </w:r>
            <w:r>
              <w:rPr>
                <w:sz w:val="21"/>
              </w:rPr>
              <w:t>基本保险金额的</w:t>
            </w:r>
            <w:r>
              <w:rPr>
                <w:spacing w:val="-53"/>
                <w:sz w:val="21"/>
              </w:rPr>
              <w:t> </w:t>
            </w:r>
            <w:r>
              <w:rPr>
                <w:spacing w:val="3"/>
                <w:sz w:val="21"/>
              </w:rPr>
              <w:drawing>
                <wp:inline distT="0" distB="0" distL="0" distR="0">
                  <wp:extent cx="59721" cy="103727"/>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3"/>
                <w:sz w:val="21"/>
              </w:rPr>
            </w:r>
            <w:r>
              <w:rPr>
                <w:spacing w:val="-1"/>
                <w:sz w:val="21"/>
              </w:rPr>
              <w:t>扣除已给付的重大疾病关爱</w:t>
            </w:r>
          </w:p>
        </w:tc>
      </w:tr>
      <w:tr>
        <w:trPr>
          <w:trHeight w:val="382" w:hRule="atLeast"/>
        </w:trPr>
        <w:tc>
          <w:tcPr>
            <w:tcW w:w="637" w:type="dxa"/>
            <w:vMerge/>
            <w:tcBorders>
              <w:top w:val="nil"/>
            </w:tcBorders>
          </w:tcPr>
          <w:p>
            <w:pPr>
              <w:rPr>
                <w:sz w:val="2"/>
                <w:szCs w:val="2"/>
              </w:rPr>
            </w:pPr>
          </w:p>
        </w:tc>
        <w:tc>
          <w:tcPr>
            <w:tcW w:w="1754" w:type="dxa"/>
          </w:tcPr>
          <w:p>
            <w:pPr>
              <w:pStyle w:val="TableParagraph"/>
              <w:rPr>
                <w:rFonts w:ascii="Times New Roman"/>
                <w:sz w:val="20"/>
              </w:rPr>
            </w:pPr>
          </w:p>
        </w:tc>
        <w:tc>
          <w:tcPr>
            <w:tcW w:w="7258" w:type="dxa"/>
          </w:tcPr>
          <w:p>
            <w:pPr>
              <w:pStyle w:val="TableParagraph"/>
              <w:spacing w:line="261" w:lineRule="exact"/>
              <w:ind w:left="97"/>
              <w:rPr>
                <w:sz w:val="21"/>
              </w:rPr>
            </w:pPr>
            <w:r>
              <w:rPr>
                <w:sz w:val="21"/>
              </w:rPr>
              <w:t>金），主险合同与本附加险合同同时终止。</w:t>
            </w:r>
          </w:p>
        </w:tc>
      </w:tr>
      <w:tr>
        <w:trPr>
          <w:trHeight w:val="412" w:hRule="atLeast"/>
        </w:trPr>
        <w:tc>
          <w:tcPr>
            <w:tcW w:w="637" w:type="dxa"/>
          </w:tcPr>
          <w:p>
            <w:pPr>
              <w:pStyle w:val="TableParagraph"/>
              <w:spacing w:before="57"/>
              <w:ind w:left="50"/>
              <w:rPr>
                <w:rFonts w:ascii="黑体"/>
                <w:sz w:val="21"/>
              </w:rPr>
            </w:pPr>
            <w:r>
              <w:rPr>
                <w:rFonts w:ascii="黑体"/>
                <w:sz w:val="21"/>
              </w:rPr>
              <w:t>2.4</w:t>
            </w:r>
          </w:p>
        </w:tc>
        <w:tc>
          <w:tcPr>
            <w:tcW w:w="1754" w:type="dxa"/>
          </w:tcPr>
          <w:p>
            <w:pPr>
              <w:pStyle w:val="TableParagraph"/>
              <w:spacing w:before="57"/>
              <w:ind w:left="272"/>
              <w:rPr>
                <w:rFonts w:ascii="黑体" w:eastAsia="黑体" w:hint="eastAsia"/>
                <w:sz w:val="21"/>
              </w:rPr>
            </w:pPr>
            <w:r>
              <w:rPr>
                <w:rFonts w:ascii="黑体" w:eastAsia="黑体" w:hint="eastAsia"/>
                <w:sz w:val="21"/>
              </w:rPr>
              <w:t>责任免除</w:t>
            </w:r>
          </w:p>
        </w:tc>
        <w:tc>
          <w:tcPr>
            <w:tcW w:w="7258" w:type="dxa"/>
          </w:tcPr>
          <w:p>
            <w:pPr>
              <w:pStyle w:val="TableParagraph"/>
              <w:spacing w:before="82"/>
              <w:ind w:left="97"/>
              <w:rPr>
                <w:sz w:val="21"/>
              </w:rPr>
            </w:pPr>
            <w:r>
              <w:rPr>
                <w:sz w:val="21"/>
                <w:shd w:fill="D9D9D9" w:color="auto" w:val="clear"/>
              </w:rPr>
              <w:t>因下列情形之一，导致被保险人发生疾病、达到疾病状态或进行手术的，我</w:t>
            </w:r>
          </w:p>
        </w:tc>
      </w:tr>
      <w:tr>
        <w:trPr>
          <w:trHeight w:val="319" w:hRule="atLeast"/>
        </w:trPr>
        <w:tc>
          <w:tcPr>
            <w:tcW w:w="2391" w:type="dxa"/>
            <w:gridSpan w:val="2"/>
            <w:vMerge w:val="restart"/>
          </w:tcPr>
          <w:p>
            <w:pPr>
              <w:pStyle w:val="TableParagraph"/>
              <w:rPr>
                <w:rFonts w:ascii="Times New Roman"/>
                <w:sz w:val="20"/>
              </w:rPr>
            </w:pPr>
          </w:p>
        </w:tc>
        <w:tc>
          <w:tcPr>
            <w:tcW w:w="7258" w:type="dxa"/>
          </w:tcPr>
          <w:p>
            <w:pPr>
              <w:pStyle w:val="TableParagraph"/>
              <w:spacing w:line="265" w:lineRule="exact"/>
              <w:ind w:left="97"/>
              <w:rPr>
                <w:sz w:val="21"/>
              </w:rPr>
            </w:pPr>
            <w:r>
              <w:rPr>
                <w:sz w:val="21"/>
                <w:shd w:fill="D9D9D9" w:color="auto" w:val="clear"/>
              </w:rPr>
              <w:t>们不承担给付保险金的责任：</w:t>
            </w:r>
          </w:p>
        </w:tc>
      </w:tr>
      <w:tr>
        <w:trPr>
          <w:trHeight w:val="319" w:hRule="atLeast"/>
        </w:trPr>
        <w:tc>
          <w:tcPr>
            <w:tcW w:w="2391" w:type="dxa"/>
            <w:gridSpan w:val="2"/>
            <w:vMerge/>
            <w:tcBorders>
              <w:top w:val="nil"/>
            </w:tcBorders>
          </w:tcPr>
          <w:p>
            <w:pPr>
              <w:rPr>
                <w:sz w:val="2"/>
                <w:szCs w:val="2"/>
              </w:rPr>
            </w:pPr>
          </w:p>
        </w:tc>
        <w:tc>
          <w:tcPr>
            <w:tcW w:w="7258" w:type="dxa"/>
          </w:tcPr>
          <w:p>
            <w:pPr>
              <w:pStyle w:val="TableParagraph"/>
              <w:spacing w:line="265" w:lineRule="exact"/>
              <w:ind w:left="97"/>
              <w:rPr>
                <w:sz w:val="21"/>
              </w:rPr>
            </w:pPr>
            <w:r>
              <w:rPr>
                <w:sz w:val="21"/>
                <w:shd w:fill="D9D9D9" w:color="auto" w:val="clear"/>
              </w:rPr>
              <w:t>(1)投保人对被保险人的故意杀害、故意伤害；</w:t>
            </w:r>
          </w:p>
        </w:tc>
      </w:tr>
      <w:tr>
        <w:trPr>
          <w:trHeight w:val="320" w:hRule="atLeast"/>
        </w:trPr>
        <w:tc>
          <w:tcPr>
            <w:tcW w:w="2391" w:type="dxa"/>
            <w:gridSpan w:val="2"/>
            <w:vMerge/>
            <w:tcBorders>
              <w:top w:val="nil"/>
            </w:tcBorders>
          </w:tcPr>
          <w:p>
            <w:pPr>
              <w:rPr>
                <w:sz w:val="2"/>
                <w:szCs w:val="2"/>
              </w:rPr>
            </w:pPr>
          </w:p>
        </w:tc>
        <w:tc>
          <w:tcPr>
            <w:tcW w:w="7258" w:type="dxa"/>
          </w:tcPr>
          <w:p>
            <w:pPr>
              <w:pStyle w:val="TableParagraph"/>
              <w:spacing w:line="265" w:lineRule="exact"/>
              <w:ind w:left="97"/>
              <w:rPr>
                <w:sz w:val="21"/>
              </w:rPr>
            </w:pPr>
            <w:r>
              <w:rPr>
                <w:sz w:val="21"/>
                <w:shd w:fill="D9D9D9" w:color="auto" w:val="clear"/>
              </w:rPr>
              <w:t>(2)被保险人故意自伤、故意犯罪或者抗拒依法采取的刑事强制措施；</w:t>
            </w:r>
          </w:p>
        </w:tc>
      </w:tr>
      <w:tr>
        <w:trPr>
          <w:trHeight w:val="319" w:hRule="atLeast"/>
        </w:trPr>
        <w:tc>
          <w:tcPr>
            <w:tcW w:w="2391" w:type="dxa"/>
            <w:gridSpan w:val="2"/>
            <w:vMerge/>
            <w:tcBorders>
              <w:top w:val="nil"/>
            </w:tcBorders>
          </w:tcPr>
          <w:p>
            <w:pPr>
              <w:rPr>
                <w:sz w:val="2"/>
                <w:szCs w:val="2"/>
              </w:rPr>
            </w:pPr>
          </w:p>
        </w:tc>
        <w:tc>
          <w:tcPr>
            <w:tcW w:w="7258" w:type="dxa"/>
          </w:tcPr>
          <w:p>
            <w:pPr>
              <w:pStyle w:val="TableParagraph"/>
              <w:spacing w:line="291" w:lineRule="exact"/>
              <w:ind w:left="97"/>
              <w:rPr>
                <w:sz w:val="21"/>
              </w:rPr>
            </w:pPr>
            <w:r>
              <w:rPr>
                <w:sz w:val="21"/>
                <w:shd w:fill="D9D9D9" w:color="auto" w:val="clear"/>
              </w:rPr>
              <w:t>(3)被保险人服用、吸食或注射</w:t>
            </w:r>
            <w:r>
              <w:rPr>
                <w:rFonts w:ascii="微软雅黑" w:eastAsia="微软雅黑" w:hint="eastAsia"/>
                <w:b/>
                <w:sz w:val="21"/>
                <w:shd w:fill="D9D9D9" w:color="auto" w:val="clear"/>
              </w:rPr>
              <w:t>毒品</w:t>
            </w:r>
            <w:r>
              <w:rPr>
                <w:sz w:val="21"/>
                <w:shd w:fill="D9D9D9" w:color="auto" w:val="clear"/>
              </w:rPr>
              <w:t>；</w:t>
            </w:r>
          </w:p>
        </w:tc>
      </w:tr>
      <w:tr>
        <w:trPr>
          <w:trHeight w:val="319" w:hRule="atLeast"/>
        </w:trPr>
        <w:tc>
          <w:tcPr>
            <w:tcW w:w="2391" w:type="dxa"/>
            <w:gridSpan w:val="2"/>
            <w:vMerge/>
            <w:tcBorders>
              <w:top w:val="nil"/>
            </w:tcBorders>
          </w:tcPr>
          <w:p>
            <w:pPr>
              <w:rPr>
                <w:sz w:val="2"/>
                <w:szCs w:val="2"/>
              </w:rPr>
            </w:pPr>
          </w:p>
        </w:tc>
        <w:tc>
          <w:tcPr>
            <w:tcW w:w="7258" w:type="dxa"/>
          </w:tcPr>
          <w:p>
            <w:pPr>
              <w:pStyle w:val="TableParagraph"/>
              <w:spacing w:line="290" w:lineRule="exact"/>
              <w:ind w:left="97"/>
              <w:rPr>
                <w:rFonts w:ascii="微软雅黑" w:eastAsia="微软雅黑" w:hint="eastAsia"/>
                <w:b/>
                <w:sz w:val="21"/>
              </w:rPr>
            </w:pPr>
            <w:r>
              <w:rPr>
                <w:sz w:val="21"/>
                <w:shd w:fill="D9D9D9" w:color="auto" w:val="clear"/>
              </w:rPr>
              <w:t>(4)被保险人</w:t>
            </w:r>
            <w:r>
              <w:rPr>
                <w:rFonts w:ascii="微软雅黑" w:eastAsia="微软雅黑" w:hint="eastAsia"/>
                <w:b/>
                <w:sz w:val="21"/>
                <w:shd w:fill="D9D9D9" w:color="auto" w:val="clear"/>
              </w:rPr>
              <w:t>酒后驾驶</w:t>
            </w:r>
            <w:r>
              <w:rPr>
                <w:sz w:val="21"/>
                <w:shd w:fill="D9D9D9" w:color="auto" w:val="clear"/>
              </w:rPr>
              <w:t>，</w:t>
            </w:r>
            <w:r>
              <w:rPr>
                <w:rFonts w:ascii="微软雅黑" w:eastAsia="微软雅黑" w:hint="eastAsia"/>
                <w:b/>
                <w:sz w:val="21"/>
                <w:shd w:fill="D9D9D9" w:color="auto" w:val="clear"/>
              </w:rPr>
              <w:t>无合法有效驾驶证驾驶</w:t>
            </w:r>
            <w:r>
              <w:rPr>
                <w:sz w:val="21"/>
                <w:shd w:fill="D9D9D9" w:color="auto" w:val="clear"/>
              </w:rPr>
              <w:t>，或驾驶</w:t>
            </w:r>
            <w:r>
              <w:rPr>
                <w:rFonts w:ascii="微软雅黑" w:eastAsia="微软雅黑" w:hint="eastAsia"/>
                <w:b/>
                <w:sz w:val="21"/>
                <w:shd w:fill="D9D9D9" w:color="auto" w:val="clear"/>
              </w:rPr>
              <w:t>无有效行驶证</w:t>
            </w:r>
            <w:r>
              <w:rPr>
                <w:sz w:val="21"/>
                <w:shd w:fill="D9D9D9" w:color="auto" w:val="clear"/>
              </w:rPr>
              <w:t>的</w:t>
            </w:r>
            <w:r>
              <w:rPr>
                <w:rFonts w:ascii="微软雅黑" w:eastAsia="微软雅黑" w:hint="eastAsia"/>
                <w:b/>
                <w:sz w:val="21"/>
                <w:shd w:fill="D9D9D9" w:color="auto" w:val="clear"/>
              </w:rPr>
              <w:t>机动</w:t>
            </w:r>
          </w:p>
        </w:tc>
      </w:tr>
      <w:tr>
        <w:trPr>
          <w:trHeight w:val="320" w:hRule="atLeast"/>
        </w:trPr>
        <w:tc>
          <w:tcPr>
            <w:tcW w:w="2391" w:type="dxa"/>
            <w:gridSpan w:val="2"/>
            <w:vMerge/>
            <w:tcBorders>
              <w:top w:val="nil"/>
            </w:tcBorders>
          </w:tcPr>
          <w:p>
            <w:pPr>
              <w:rPr>
                <w:sz w:val="2"/>
                <w:szCs w:val="2"/>
              </w:rPr>
            </w:pPr>
          </w:p>
        </w:tc>
        <w:tc>
          <w:tcPr>
            <w:tcW w:w="7258" w:type="dxa"/>
          </w:tcPr>
          <w:p>
            <w:pPr>
              <w:pStyle w:val="TableParagraph"/>
              <w:spacing w:line="291" w:lineRule="exact"/>
              <w:ind w:left="97"/>
              <w:rPr>
                <w:sz w:val="21"/>
              </w:rPr>
            </w:pPr>
            <w:r>
              <w:rPr>
                <w:rFonts w:ascii="微软雅黑" w:eastAsia="微软雅黑" w:hint="eastAsia"/>
                <w:b/>
                <w:sz w:val="21"/>
                <w:shd w:fill="D9D9D9" w:color="auto" w:val="clear"/>
              </w:rPr>
              <w:t>车</w:t>
            </w:r>
            <w:r>
              <w:rPr>
                <w:sz w:val="21"/>
                <w:shd w:fill="D9D9D9" w:color="auto" w:val="clear"/>
              </w:rPr>
              <w:t>；</w:t>
            </w:r>
          </w:p>
        </w:tc>
      </w:tr>
      <w:tr>
        <w:trPr>
          <w:trHeight w:val="319" w:hRule="atLeast"/>
        </w:trPr>
        <w:tc>
          <w:tcPr>
            <w:tcW w:w="2391" w:type="dxa"/>
            <w:gridSpan w:val="2"/>
            <w:vMerge/>
            <w:tcBorders>
              <w:top w:val="nil"/>
            </w:tcBorders>
          </w:tcPr>
          <w:p>
            <w:pPr>
              <w:rPr>
                <w:sz w:val="2"/>
                <w:szCs w:val="2"/>
              </w:rPr>
            </w:pPr>
          </w:p>
        </w:tc>
        <w:tc>
          <w:tcPr>
            <w:tcW w:w="7258" w:type="dxa"/>
          </w:tcPr>
          <w:p>
            <w:pPr>
              <w:pStyle w:val="TableParagraph"/>
              <w:spacing w:line="291" w:lineRule="exact"/>
              <w:ind w:left="97"/>
              <w:rPr>
                <w:sz w:val="21"/>
              </w:rPr>
            </w:pPr>
            <w:r>
              <w:rPr>
                <w:sz w:val="21"/>
                <w:shd w:fill="D9D9D9" w:color="auto" w:val="clear"/>
              </w:rPr>
              <w:t>(5)被保险人所患</w:t>
            </w:r>
            <w:r>
              <w:rPr>
                <w:rFonts w:ascii="微软雅黑" w:eastAsia="微软雅黑" w:hint="eastAsia"/>
                <w:b/>
                <w:sz w:val="21"/>
                <w:shd w:fill="D9D9D9" w:color="auto" w:val="clear"/>
              </w:rPr>
              <w:t>遗传性疾病</w:t>
            </w:r>
            <w:r>
              <w:rPr>
                <w:sz w:val="21"/>
                <w:shd w:fill="D9D9D9" w:color="auto" w:val="clear"/>
              </w:rPr>
              <w:t>，</w:t>
            </w:r>
            <w:r>
              <w:rPr>
                <w:rFonts w:ascii="微软雅黑" w:eastAsia="微软雅黑" w:hint="eastAsia"/>
                <w:b/>
                <w:sz w:val="21"/>
                <w:shd w:fill="D9D9D9" w:color="auto" w:val="clear"/>
              </w:rPr>
              <w:t>先天性畸形、变形或染色体异常</w:t>
            </w:r>
            <w:r>
              <w:rPr>
                <w:sz w:val="21"/>
                <w:shd w:fill="D9D9D9" w:color="auto" w:val="clear"/>
              </w:rPr>
              <w:t>；</w:t>
            </w:r>
          </w:p>
        </w:tc>
      </w:tr>
      <w:tr>
        <w:trPr>
          <w:trHeight w:val="319" w:hRule="atLeast"/>
        </w:trPr>
        <w:tc>
          <w:tcPr>
            <w:tcW w:w="2391" w:type="dxa"/>
            <w:gridSpan w:val="2"/>
            <w:vMerge/>
            <w:tcBorders>
              <w:top w:val="nil"/>
            </w:tcBorders>
          </w:tcPr>
          <w:p>
            <w:pPr>
              <w:rPr>
                <w:sz w:val="2"/>
                <w:szCs w:val="2"/>
              </w:rPr>
            </w:pPr>
          </w:p>
        </w:tc>
        <w:tc>
          <w:tcPr>
            <w:tcW w:w="7258" w:type="dxa"/>
          </w:tcPr>
          <w:p>
            <w:pPr>
              <w:pStyle w:val="TableParagraph"/>
              <w:spacing w:line="290" w:lineRule="exact"/>
              <w:ind w:left="97"/>
              <w:rPr>
                <w:sz w:val="21"/>
              </w:rPr>
            </w:pPr>
            <w:r>
              <w:rPr>
                <w:sz w:val="21"/>
                <w:shd w:fill="D9D9D9" w:color="auto" w:val="clear"/>
              </w:rPr>
              <w:t>(6)被保险人</w:t>
            </w:r>
            <w:r>
              <w:rPr>
                <w:rFonts w:ascii="微软雅黑" w:eastAsia="微软雅黑" w:hint="eastAsia"/>
                <w:b/>
                <w:sz w:val="21"/>
                <w:shd w:fill="D9D9D9" w:color="auto" w:val="clear"/>
              </w:rPr>
              <w:t>感染艾滋病病毒或患艾滋病</w:t>
            </w:r>
            <w:r>
              <w:rPr>
                <w:sz w:val="21"/>
                <w:shd w:fill="D9D9D9" w:color="auto" w:val="clear"/>
              </w:rPr>
              <w:t>期间(不包括本附加险合同所保障的</w:t>
            </w:r>
          </w:p>
        </w:tc>
      </w:tr>
      <w:tr>
        <w:trPr>
          <w:trHeight w:val="320" w:hRule="atLeast"/>
        </w:trPr>
        <w:tc>
          <w:tcPr>
            <w:tcW w:w="2391" w:type="dxa"/>
            <w:gridSpan w:val="2"/>
            <w:vMerge/>
            <w:tcBorders>
              <w:top w:val="nil"/>
            </w:tcBorders>
          </w:tcPr>
          <w:p>
            <w:pPr>
              <w:rPr>
                <w:sz w:val="2"/>
                <w:szCs w:val="2"/>
              </w:rPr>
            </w:pPr>
          </w:p>
        </w:tc>
        <w:tc>
          <w:tcPr>
            <w:tcW w:w="7258" w:type="dxa"/>
          </w:tcPr>
          <w:p>
            <w:pPr>
              <w:pStyle w:val="TableParagraph"/>
              <w:spacing w:line="265" w:lineRule="exact"/>
              <w:ind w:left="97"/>
              <w:rPr>
                <w:sz w:val="21"/>
              </w:rPr>
            </w:pPr>
            <w:r>
              <w:rPr>
                <w:sz w:val="21"/>
                <w:shd w:fill="D9D9D9" w:color="auto" w:val="clear"/>
              </w:rPr>
              <w:t>“经输血导致的人类免疫缺陷病毒（HIV）感染”)；</w:t>
            </w:r>
          </w:p>
        </w:tc>
      </w:tr>
      <w:tr>
        <w:trPr>
          <w:trHeight w:val="319" w:hRule="atLeast"/>
        </w:trPr>
        <w:tc>
          <w:tcPr>
            <w:tcW w:w="2391" w:type="dxa"/>
            <w:gridSpan w:val="2"/>
            <w:vMerge/>
            <w:tcBorders>
              <w:top w:val="nil"/>
            </w:tcBorders>
          </w:tcPr>
          <w:p>
            <w:pPr>
              <w:rPr>
                <w:sz w:val="2"/>
                <w:szCs w:val="2"/>
              </w:rPr>
            </w:pPr>
          </w:p>
        </w:tc>
        <w:tc>
          <w:tcPr>
            <w:tcW w:w="7258" w:type="dxa"/>
          </w:tcPr>
          <w:p>
            <w:pPr>
              <w:pStyle w:val="TableParagraph"/>
              <w:spacing w:line="265" w:lineRule="exact"/>
              <w:ind w:left="97"/>
              <w:rPr>
                <w:sz w:val="21"/>
              </w:rPr>
            </w:pPr>
            <w:r>
              <w:rPr>
                <w:sz w:val="21"/>
                <w:shd w:fill="D9D9D9" w:color="auto" w:val="clear"/>
              </w:rPr>
              <w:t>(7)战争、军事冲突、暴乱或武装叛乱；</w:t>
            </w:r>
          </w:p>
        </w:tc>
      </w:tr>
      <w:tr>
        <w:trPr>
          <w:trHeight w:val="264" w:hRule="atLeast"/>
        </w:trPr>
        <w:tc>
          <w:tcPr>
            <w:tcW w:w="2391" w:type="dxa"/>
            <w:gridSpan w:val="2"/>
            <w:vMerge/>
            <w:tcBorders>
              <w:top w:val="nil"/>
            </w:tcBorders>
          </w:tcPr>
          <w:p>
            <w:pPr>
              <w:rPr>
                <w:sz w:val="2"/>
                <w:szCs w:val="2"/>
              </w:rPr>
            </w:pPr>
          </w:p>
        </w:tc>
        <w:tc>
          <w:tcPr>
            <w:tcW w:w="7258" w:type="dxa"/>
          </w:tcPr>
          <w:p>
            <w:pPr>
              <w:pStyle w:val="TableParagraph"/>
              <w:spacing w:line="245" w:lineRule="exact"/>
              <w:ind w:left="97"/>
              <w:rPr>
                <w:sz w:val="21"/>
              </w:rPr>
            </w:pPr>
            <w:r>
              <w:rPr>
                <w:sz w:val="21"/>
                <w:shd w:fill="D9D9D9" w:color="auto" w:val="clear"/>
              </w:rPr>
              <w:t>(8)核爆炸、核辐射或核污染。</w:t>
            </w:r>
          </w:p>
        </w:tc>
      </w:tr>
    </w:tbl>
    <w:p>
      <w:pPr>
        <w:pStyle w:val="BodyText"/>
        <w:spacing w:before="54"/>
        <w:ind w:left="2655" w:right="255" w:firstLine="315"/>
        <w:jc w:val="right"/>
      </w:pPr>
      <w:r>
        <w:rPr/>
        <w:t>发生上述第(1)项情形导致被保险人被确诊发生本附加险合同约定的重大疾病的，本附加险合同终止，我们向受益人退还本附加险合同的</w:t>
      </w:r>
      <w:r>
        <w:rPr>
          <w:rFonts w:ascii="微软雅黑" w:eastAsia="微软雅黑" w:hint="eastAsia"/>
          <w:b/>
        </w:rPr>
        <w:t>现金价值</w:t>
      </w:r>
      <w:r>
        <w:rPr/>
        <w:t>。发生上述其他情形导致被保险人被确诊发生本附加险合同约定的重大疾</w:t>
      </w:r>
    </w:p>
    <w:p>
      <w:pPr>
        <w:pStyle w:val="BodyText"/>
        <w:ind w:left="2655"/>
      </w:pPr>
      <w:r>
        <w:rPr/>
        <w:t>病的，本附加险合同终止，我们向您退还本附加险合同的现金价值。</w:t>
      </w:r>
    </w:p>
    <w:p>
      <w:pPr>
        <w:pStyle w:val="BodyText"/>
        <w:spacing w:before="8"/>
        <w:ind w:left="0"/>
        <w:rPr>
          <w:sz w:val="11"/>
        </w:rPr>
      </w:pPr>
      <w:r>
        <w:rPr/>
        <w:pict>
          <v:shape style="position:absolute;margin-left:53.459999pt;margin-top:8.810438pt;width:483pt;height:16.05pt;mso-position-horizontal-relative:page;mso-position-vertical-relative:paragraph;z-index:1168;mso-wrap-distance-left:0;mso-wrap-distance-right:0" type="#_x0000_t202" filled="true" fillcolor="#d8d8d8" stroked="false">
            <v:textbox inset="0,0,0,0">
              <w:txbxContent>
                <w:p>
                  <w:pPr>
                    <w:tabs>
                      <w:tab w:pos="967" w:val="left" w:leader="none"/>
                    </w:tabs>
                    <w:spacing w:line="285" w:lineRule="exact" w:before="0"/>
                    <w:ind w:left="107" w:right="0" w:firstLine="0"/>
                    <w:jc w:val="left"/>
                    <w:rPr>
                      <w:rFonts w:ascii="黑体" w:eastAsia="黑体" w:hint="eastAsia"/>
                      <w:b/>
                      <w:sz w:val="21"/>
                    </w:rPr>
                  </w:pPr>
                  <w:r>
                    <w:rPr>
                      <w:rFonts w:ascii="黑体" w:eastAsia="黑体" w:hint="eastAsia"/>
                      <w:b/>
                      <w:position w:val="3"/>
                      <w:sz w:val="21"/>
                    </w:rPr>
                    <w:t>3</w:t>
                    <w:tab/>
                  </w:r>
                  <w:r>
                    <w:rPr>
                      <w:rFonts w:ascii="黑体" w:eastAsia="黑体" w:hint="eastAsia"/>
                      <w:b/>
                      <w:w w:val="95"/>
                      <w:sz w:val="21"/>
                    </w:rPr>
                    <w:t>如何申请领取保险金</w:t>
                  </w:r>
                </w:p>
              </w:txbxContent>
            </v:textbox>
            <v:fill type="solid"/>
            <w10:wrap type="topAndBottom"/>
          </v:shape>
        </w:pict>
      </w:r>
    </w:p>
    <w:p>
      <w:pPr>
        <w:pStyle w:val="BodyText"/>
        <w:spacing w:before="11"/>
        <w:ind w:left="0"/>
        <w:rPr>
          <w:sz w:val="5"/>
        </w:rPr>
      </w:pPr>
    </w:p>
    <w:p>
      <w:pPr>
        <w:pStyle w:val="ListParagraph"/>
        <w:numPr>
          <w:ilvl w:val="1"/>
          <w:numId w:val="4"/>
        </w:numPr>
        <w:tabs>
          <w:tab w:pos="1076" w:val="left" w:leader="none"/>
          <w:tab w:pos="1077" w:val="left" w:leader="none"/>
          <w:tab w:pos="2655" w:val="left" w:leader="none"/>
        </w:tabs>
        <w:spacing w:line="280" w:lineRule="auto" w:before="30" w:after="0"/>
        <w:ind w:left="2655" w:right="156" w:hanging="2438"/>
        <w:jc w:val="left"/>
        <w:rPr>
          <w:sz w:val="21"/>
        </w:rPr>
      </w:pPr>
      <w:r>
        <w:rPr>
          <w:rFonts w:ascii="黑体" w:eastAsia="黑体" w:hint="eastAsia"/>
          <w:position w:val="3"/>
          <w:sz w:val="21"/>
        </w:rPr>
        <w:t>受益人</w:t>
        <w:tab/>
      </w:r>
      <w:r>
        <w:rPr>
          <w:sz w:val="21"/>
        </w:rPr>
        <w:t>除另有指定外</w:t>
      </w:r>
      <w:r>
        <w:rPr>
          <w:spacing w:val="-31"/>
          <w:sz w:val="21"/>
        </w:rPr>
        <w:t>，</w:t>
      </w:r>
      <w:r>
        <w:rPr>
          <w:sz w:val="21"/>
        </w:rPr>
        <w:t>重大疾病保险金和重大疾病关爱金的受益人为被保险人本人。一次性重大疾病关爱金的受益人同主险合同身故保险金的受益人。</w:t>
      </w:r>
    </w:p>
    <w:p>
      <w:pPr>
        <w:pStyle w:val="ListParagraph"/>
        <w:numPr>
          <w:ilvl w:val="1"/>
          <w:numId w:val="4"/>
        </w:numPr>
        <w:tabs>
          <w:tab w:pos="1076" w:val="left" w:leader="none"/>
          <w:tab w:pos="1077" w:val="left" w:leader="none"/>
          <w:tab w:pos="2655" w:val="left" w:leader="none"/>
        </w:tabs>
        <w:spacing w:line="240" w:lineRule="auto" w:before="126" w:after="0"/>
        <w:ind w:left="1076" w:right="0" w:hanging="859"/>
        <w:jc w:val="left"/>
        <w:rPr>
          <w:sz w:val="21"/>
        </w:rPr>
      </w:pPr>
      <w:r>
        <w:rPr>
          <w:rFonts w:ascii="黑体" w:eastAsia="黑体" w:hint="eastAsia"/>
          <w:sz w:val="21"/>
        </w:rPr>
        <w:t>保险金申请</w:t>
        <w:tab/>
      </w:r>
      <w:r>
        <w:rPr>
          <w:sz w:val="21"/>
        </w:rPr>
        <w:t>在申请保险金时，请按照下列方式办理：</w:t>
      </w:r>
    </w:p>
    <w:p>
      <w:pPr>
        <w:pStyle w:val="BodyText"/>
        <w:spacing w:before="6"/>
        <w:ind w:left="0"/>
        <w:rPr>
          <w:sz w:val="12"/>
        </w:rPr>
      </w:pPr>
    </w:p>
    <w:p>
      <w:pPr>
        <w:spacing w:after="0"/>
        <w:rPr>
          <w:sz w:val="12"/>
        </w:rPr>
        <w:sectPr>
          <w:pgSz w:w="11910" w:h="16840"/>
          <w:pgMar w:top="1460" w:bottom="280" w:left="960" w:right="1020"/>
        </w:sectPr>
      </w:pPr>
    </w:p>
    <w:p>
      <w:pPr>
        <w:pStyle w:val="BodyText"/>
        <w:spacing w:line="278" w:lineRule="auto" w:before="41"/>
        <w:ind w:left="1076"/>
        <w:jc w:val="both"/>
      </w:pPr>
      <w:r>
        <w:rPr/>
        <w:t>重大疾病保险金、重大疾病关爱金申请</w:t>
      </w:r>
    </w:p>
    <w:p>
      <w:pPr>
        <w:pStyle w:val="BodyText"/>
        <w:spacing w:line="280" w:lineRule="auto" w:before="41"/>
        <w:ind w:left="279" w:right="1794"/>
      </w:pPr>
      <w:r>
        <w:rPr/>
        <w:br w:type="column"/>
      </w:r>
      <w:r>
        <w:rPr/>
        <w:t>受益人须填写保险金给付申请书，并提供下列证明和资料： (1)保险合同；</w:t>
      </w:r>
    </w:p>
    <w:p>
      <w:pPr>
        <w:pStyle w:val="BodyText"/>
        <w:spacing w:before="8"/>
        <w:ind w:left="279"/>
      </w:pPr>
      <w:r>
        <w:rPr/>
        <w:t>(2)受益人的有效身份证件；</w:t>
      </w:r>
    </w:p>
    <w:p>
      <w:pPr>
        <w:pStyle w:val="BodyText"/>
        <w:spacing w:line="280" w:lineRule="auto"/>
        <w:ind w:left="279" w:right="210"/>
      </w:pPr>
      <w:r>
        <w:rPr/>
        <w:t>(3)卫生行政部门认定的二级以上医院出具的附有病理显微镜检查、血液检验及其它科学方法检验报告的疾病诊断证明书；</w:t>
      </w:r>
    </w:p>
    <w:p>
      <w:pPr>
        <w:pStyle w:val="BodyText"/>
        <w:spacing w:line="273" w:lineRule="auto" w:before="8"/>
        <w:ind w:left="279" w:right="219"/>
      </w:pPr>
      <w:r>
        <w:rPr/>
        <w:t>(4)若被保险人在领取重大疾病关爱金期间身故，申请领取一次性重大疾病关爱金的，还需提供卫生行政部门认定的医疗机构、公安部门或其他相关机构出具的被保险人的死亡证明、被保险人的户籍注销证明；保险金作为被保险人遗产时，必须提供可证明合法继承权的相关权利文件；              (5)所能提供的与确认保险事故的性质、原因等有关的其他证明和资料。</w:t>
      </w:r>
    </w:p>
    <w:p>
      <w:pPr>
        <w:pStyle w:val="BodyText"/>
        <w:spacing w:line="273" w:lineRule="auto" w:before="148"/>
        <w:ind w:left="279" w:right="336"/>
      </w:pPr>
      <w:r>
        <w:rPr/>
        <w:t>以上各项保险金申请的证明和资料不完整的，我们将及时一次性通知受益人补充提供有关证明和资料。</w:t>
      </w:r>
    </w:p>
    <w:p>
      <w:pPr>
        <w:spacing w:after="0" w:line="273" w:lineRule="auto"/>
        <w:sectPr>
          <w:type w:val="continuous"/>
          <w:pgSz w:w="11910" w:h="16840"/>
          <w:pgMar w:top="200" w:bottom="280" w:left="960" w:right="1020"/>
          <w:cols w:num="2" w:equalWidth="0">
            <w:col w:w="2337" w:space="40"/>
            <w:col w:w="7553"/>
          </w:cols>
        </w:sectPr>
      </w:pPr>
    </w:p>
    <w:p>
      <w:pPr>
        <w:pStyle w:val="ListParagraph"/>
        <w:numPr>
          <w:ilvl w:val="1"/>
          <w:numId w:val="4"/>
        </w:numPr>
        <w:tabs>
          <w:tab w:pos="1076" w:val="left" w:leader="none"/>
          <w:tab w:pos="1077" w:val="left" w:leader="none"/>
          <w:tab w:pos="2655" w:val="left" w:leader="none"/>
        </w:tabs>
        <w:spacing w:line="273" w:lineRule="auto" w:before="23" w:after="0"/>
        <w:ind w:left="2655" w:right="221" w:hanging="2438"/>
        <w:jc w:val="left"/>
        <w:rPr>
          <w:sz w:val="21"/>
        </w:rPr>
      </w:pPr>
      <w:r>
        <w:rPr>
          <w:rFonts w:ascii="黑体" w:eastAsia="黑体" w:hint="eastAsia"/>
          <w:sz w:val="21"/>
        </w:rPr>
        <w:t>保险金的给付</w:t>
        <w:tab/>
      </w:r>
      <w:r>
        <w:rPr>
          <w:sz w:val="21"/>
        </w:rPr>
        <w:t>我们在收到保险金给付申请书及合同约定的证明和资料后，将在</w:t>
      </w:r>
      <w:r>
        <w:rPr>
          <w:spacing w:val="-53"/>
          <w:sz w:val="21"/>
        </w:rPr>
        <w:t> </w:t>
      </w:r>
      <w:r>
        <w:rPr>
          <w:sz w:val="21"/>
        </w:rPr>
        <w:t>5</w:t>
      </w:r>
      <w:r>
        <w:rPr>
          <w:spacing w:val="-53"/>
          <w:sz w:val="21"/>
        </w:rPr>
        <w:t> </w:t>
      </w:r>
      <w:r>
        <w:rPr>
          <w:sz w:val="21"/>
        </w:rPr>
        <w:t>日内作出核定</w:t>
      </w:r>
      <w:r>
        <w:rPr>
          <w:spacing w:val="-8"/>
          <w:sz w:val="21"/>
        </w:rPr>
        <w:t>；</w:t>
      </w:r>
      <w:r>
        <w:rPr>
          <w:sz w:val="21"/>
        </w:rPr>
        <w:t>情形复杂的</w:t>
      </w:r>
      <w:r>
        <w:rPr>
          <w:spacing w:val="-8"/>
          <w:sz w:val="21"/>
        </w:rPr>
        <w:t>，</w:t>
      </w:r>
      <w:r>
        <w:rPr>
          <w:sz w:val="21"/>
        </w:rPr>
        <w:t>在</w:t>
      </w:r>
      <w:r>
        <w:rPr>
          <w:spacing w:val="-54"/>
          <w:sz w:val="21"/>
        </w:rPr>
        <w:t> </w:t>
      </w:r>
      <w:r>
        <w:rPr>
          <w:sz w:val="21"/>
        </w:rPr>
        <w:t>30</w:t>
      </w:r>
      <w:r>
        <w:rPr>
          <w:spacing w:val="-54"/>
          <w:sz w:val="21"/>
        </w:rPr>
        <w:t> </w:t>
      </w:r>
      <w:r>
        <w:rPr>
          <w:sz w:val="21"/>
        </w:rPr>
        <w:t>日内作出核定</w:t>
      </w:r>
      <w:r>
        <w:rPr>
          <w:spacing w:val="-8"/>
          <w:sz w:val="21"/>
        </w:rPr>
        <w:t>。</w:t>
      </w:r>
      <w:r>
        <w:rPr>
          <w:sz w:val="21"/>
        </w:rPr>
        <w:t>对属于保险责任的</w:t>
      </w:r>
      <w:r>
        <w:rPr>
          <w:spacing w:val="-8"/>
          <w:sz w:val="21"/>
        </w:rPr>
        <w:t>，</w:t>
      </w:r>
      <w:r>
        <w:rPr>
          <w:sz w:val="21"/>
        </w:rPr>
        <w:t>我们在与受益人达成给付保险金的协议后</w:t>
      </w:r>
      <w:r>
        <w:rPr>
          <w:spacing w:val="-66"/>
          <w:sz w:val="21"/>
        </w:rPr>
        <w:t> </w:t>
      </w:r>
      <w:r>
        <w:rPr>
          <w:sz w:val="21"/>
        </w:rPr>
        <w:t>10</w:t>
      </w:r>
      <w:r>
        <w:rPr>
          <w:spacing w:val="-66"/>
          <w:sz w:val="21"/>
        </w:rPr>
        <w:t> </w:t>
      </w:r>
      <w:r>
        <w:rPr>
          <w:sz w:val="21"/>
        </w:rPr>
        <w:t>日内，履行给付保险金义务。</w:t>
      </w:r>
    </w:p>
    <w:p>
      <w:pPr>
        <w:pStyle w:val="BodyText"/>
        <w:spacing w:line="273" w:lineRule="auto" w:before="7"/>
        <w:ind w:left="2655" w:right="296"/>
        <w:jc w:val="both"/>
      </w:pPr>
      <w:r>
        <w:rPr/>
        <w:t>我们未及时履行前款规定义务的，除支付保险金外，应当赔偿受益人因此受到的损失。前述“损失”是指根据中国人民银行公布的同时期的人民币活期存款基准利率计算的利息损失。</w:t>
      </w:r>
    </w:p>
    <w:p>
      <w:pPr>
        <w:pStyle w:val="BodyText"/>
        <w:spacing w:line="273" w:lineRule="auto" w:before="7"/>
        <w:ind w:left="2655" w:right="296"/>
      </w:pPr>
      <w:r>
        <w:rPr>
          <w:spacing w:val="-3"/>
        </w:rPr>
        <w:t>对不属于保险责任的，我们自作出核定之日起 </w:t>
      </w:r>
      <w:r>
        <w:rPr/>
        <w:t>3</w:t>
      </w:r>
      <w:r>
        <w:rPr>
          <w:spacing w:val="-8"/>
        </w:rPr>
        <w:t> 日内向受益人发出拒绝给付保险金通知书并说明理由。</w:t>
      </w:r>
    </w:p>
    <w:p>
      <w:pPr>
        <w:pStyle w:val="BodyText"/>
        <w:spacing w:line="273" w:lineRule="auto" w:before="7"/>
        <w:ind w:left="2655" w:right="223"/>
      </w:pPr>
      <w:r>
        <w:rPr>
          <w:spacing w:val="-3"/>
        </w:rPr>
        <w:t>我们在收到保险金给付申请书及有关证明和资料之日起 </w:t>
      </w:r>
      <w:r>
        <w:rPr/>
        <w:t>60</w:t>
      </w:r>
      <w:r>
        <w:rPr>
          <w:spacing w:val="-13"/>
        </w:rPr>
        <w:t> 日内，对给付保险金的数额不能确定的，根据已有证明和资料可以确定的数额先予支付；我们最终确定给付保险金的数额后，将支付相应的差额。</w:t>
      </w:r>
    </w:p>
    <w:p>
      <w:pPr>
        <w:pStyle w:val="ListParagraph"/>
        <w:numPr>
          <w:ilvl w:val="1"/>
          <w:numId w:val="4"/>
        </w:numPr>
        <w:tabs>
          <w:tab w:pos="1076" w:val="left" w:leader="none"/>
          <w:tab w:pos="1077" w:val="left" w:leader="none"/>
          <w:tab w:pos="2655" w:val="left" w:leader="none"/>
        </w:tabs>
        <w:spacing w:line="273" w:lineRule="auto" w:before="149" w:after="0"/>
        <w:ind w:left="2655" w:right="296" w:hanging="2438"/>
        <w:jc w:val="left"/>
        <w:rPr>
          <w:sz w:val="21"/>
        </w:rPr>
      </w:pPr>
      <w:r>
        <w:rPr>
          <w:rFonts w:ascii="黑体" w:eastAsia="黑体" w:hint="eastAsia"/>
          <w:sz w:val="21"/>
        </w:rPr>
        <w:t>诉讼时效</w:t>
        <w:tab/>
      </w:r>
      <w:r>
        <w:rPr>
          <w:sz w:val="21"/>
        </w:rPr>
        <w:t>受益人向我们请求给付保险金的诉讼时效期间为</w:t>
      </w:r>
      <w:r>
        <w:rPr>
          <w:spacing w:val="-53"/>
          <w:sz w:val="21"/>
        </w:rPr>
        <w:t> </w:t>
      </w:r>
      <w:r>
        <w:rPr>
          <w:sz w:val="21"/>
        </w:rPr>
        <w:t>2</w:t>
      </w:r>
      <w:r>
        <w:rPr>
          <w:spacing w:val="-53"/>
          <w:sz w:val="21"/>
        </w:rPr>
        <w:t> </w:t>
      </w:r>
      <w:r>
        <w:rPr>
          <w:sz w:val="21"/>
        </w:rPr>
        <w:t>年，自其知道或者应当知道保险事故发生之日起计算。</w:t>
      </w:r>
    </w:p>
    <w:p>
      <w:pPr>
        <w:pStyle w:val="BodyText"/>
        <w:spacing w:before="9"/>
        <w:ind w:left="0"/>
        <w:rPr>
          <w:sz w:val="10"/>
        </w:rPr>
      </w:pPr>
      <w:r>
        <w:rPr/>
        <w:pict>
          <v:shape style="position:absolute;margin-left:53.459999pt;margin-top:8.209133pt;width:483pt;height:15.6pt;mso-position-horizontal-relative:page;mso-position-vertical-relative:paragraph;z-index:1192;mso-wrap-distance-left:0;mso-wrap-distance-right:0" type="#_x0000_t202" filled="true" fillcolor="#d8d8d8" stroked="false">
            <v:textbox inset="0,0,0,0">
              <w:txbxContent>
                <w:p>
                  <w:pPr>
                    <w:tabs>
                      <w:tab w:pos="967" w:val="left" w:leader="none"/>
                    </w:tabs>
                    <w:spacing w:line="260" w:lineRule="exact" w:before="0"/>
                    <w:ind w:left="107" w:right="0" w:firstLine="0"/>
                    <w:jc w:val="left"/>
                    <w:rPr>
                      <w:rFonts w:ascii="黑体" w:eastAsia="黑体" w:hint="eastAsia"/>
                      <w:b/>
                      <w:sz w:val="21"/>
                    </w:rPr>
                  </w:pPr>
                  <w:r>
                    <w:rPr>
                      <w:rFonts w:ascii="黑体" w:eastAsia="黑体" w:hint="eastAsia"/>
                      <w:b/>
                      <w:sz w:val="21"/>
                    </w:rPr>
                    <w:t>4</w:t>
                    <w:tab/>
                  </w:r>
                  <w:r>
                    <w:rPr>
                      <w:rFonts w:ascii="黑体" w:eastAsia="黑体" w:hint="eastAsia"/>
                      <w:b/>
                      <w:w w:val="95"/>
                      <w:sz w:val="21"/>
                    </w:rPr>
                    <w:t>如何支付保险费</w:t>
                  </w:r>
                </w:p>
              </w:txbxContent>
            </v:textbox>
            <v:fill type="solid"/>
            <w10:wrap type="topAndBottom"/>
          </v:shape>
        </w:pict>
      </w:r>
    </w:p>
    <w:p>
      <w:pPr>
        <w:pStyle w:val="BodyText"/>
        <w:spacing w:before="12"/>
        <w:ind w:left="0"/>
        <w:rPr>
          <w:sz w:val="5"/>
        </w:rPr>
      </w:pPr>
    </w:p>
    <w:p>
      <w:pPr>
        <w:pStyle w:val="ListParagraph"/>
        <w:numPr>
          <w:ilvl w:val="1"/>
          <w:numId w:val="5"/>
        </w:numPr>
        <w:tabs>
          <w:tab w:pos="1076" w:val="left" w:leader="none"/>
          <w:tab w:pos="1077" w:val="left" w:leader="none"/>
          <w:tab w:pos="2655" w:val="left" w:leader="none"/>
        </w:tabs>
        <w:spacing w:line="278" w:lineRule="auto" w:before="30" w:after="0"/>
        <w:ind w:left="2655" w:right="217" w:hanging="2438"/>
        <w:jc w:val="left"/>
        <w:rPr>
          <w:sz w:val="21"/>
        </w:rPr>
      </w:pPr>
      <w:r>
        <w:rPr>
          <w:rFonts w:ascii="黑体" w:eastAsia="黑体" w:hint="eastAsia"/>
          <w:position w:val="3"/>
          <w:sz w:val="21"/>
        </w:rPr>
        <w:t>保险费的支付</w:t>
        <w:tab/>
      </w:r>
      <w:r>
        <w:rPr>
          <w:sz w:val="21"/>
        </w:rPr>
        <w:t>本附加险合同保险费的交费方式、交费期间及保险费约定支付日与主险合同 一致。</w:t>
      </w:r>
    </w:p>
    <w:p>
      <w:pPr>
        <w:spacing w:after="0" w:line="278" w:lineRule="auto"/>
        <w:jc w:val="left"/>
        <w:rPr>
          <w:sz w:val="21"/>
        </w:rPr>
        <w:sectPr>
          <w:pgSz w:w="11910" w:h="16840"/>
          <w:pgMar w:top="1380" w:bottom="280" w:left="960" w:right="1060"/>
        </w:sectPr>
      </w:pPr>
    </w:p>
    <w:p>
      <w:pPr>
        <w:pStyle w:val="ListParagraph"/>
        <w:numPr>
          <w:ilvl w:val="1"/>
          <w:numId w:val="5"/>
        </w:numPr>
        <w:tabs>
          <w:tab w:pos="1076" w:val="left" w:leader="none"/>
          <w:tab w:pos="1077" w:val="left" w:leader="none"/>
        </w:tabs>
        <w:spacing w:line="280" w:lineRule="auto" w:before="123" w:after="0"/>
        <w:ind w:left="1076" w:right="0" w:hanging="859"/>
        <w:jc w:val="left"/>
        <w:rPr>
          <w:rFonts w:ascii="黑体" w:eastAsia="黑体" w:hint="eastAsia"/>
          <w:sz w:val="21"/>
        </w:rPr>
      </w:pPr>
      <w:r>
        <w:rPr>
          <w:rFonts w:ascii="黑体" w:eastAsia="黑体" w:hint="eastAsia"/>
          <w:sz w:val="21"/>
        </w:rPr>
        <w:t>保险费率的调整</w:t>
      </w:r>
    </w:p>
    <w:p>
      <w:pPr>
        <w:pStyle w:val="BodyText"/>
        <w:spacing w:line="280" w:lineRule="auto" w:before="153"/>
        <w:ind w:left="217" w:right="217"/>
        <w:jc w:val="both"/>
      </w:pPr>
      <w:r>
        <w:rPr/>
        <w:br w:type="column"/>
      </w:r>
      <w:r>
        <w:rPr/>
        <w:t>当我们厘定费率时采用的预定重大疾病发生率与实际重大疾病发生率发生偏离，足以影响保险费率水平的，我们有权调整保险费率。保险费率的调整针对所有被保险人或同一投保年龄的所有被保险人。</w:t>
      </w:r>
    </w:p>
    <w:p>
      <w:pPr>
        <w:pStyle w:val="BodyText"/>
        <w:spacing w:line="280" w:lineRule="auto" w:before="8"/>
        <w:ind w:left="217" w:right="217"/>
        <w:jc w:val="both"/>
      </w:pPr>
      <w:r>
        <w:rPr/>
        <w:t>我们进行保险费率调整后，您应按调整后的保险费率支付续期保险费，保险费率调整前您已支付的保险费不受影响。</w:t>
      </w:r>
    </w:p>
    <w:p>
      <w:pPr>
        <w:pStyle w:val="BodyText"/>
        <w:spacing w:line="278" w:lineRule="auto" w:before="9"/>
        <w:ind w:left="217" w:right="217"/>
        <w:jc w:val="both"/>
      </w:pPr>
      <w:r>
        <w:rPr/>
        <w:t>我们调整保险费率的，将及时通知您。您不接受保险费率调整的，可向我们申请解除合同。</w:t>
      </w:r>
    </w:p>
    <w:p>
      <w:pPr>
        <w:spacing w:after="0" w:line="278" w:lineRule="auto"/>
        <w:jc w:val="both"/>
        <w:sectPr>
          <w:type w:val="continuous"/>
          <w:pgSz w:w="11910" w:h="16840"/>
          <w:pgMar w:top="200" w:bottom="280" w:left="960" w:right="1060"/>
          <w:cols w:num="2" w:equalWidth="0">
            <w:col w:w="2337" w:space="101"/>
            <w:col w:w="7452"/>
          </w:cols>
        </w:sectPr>
      </w:pPr>
    </w:p>
    <w:p>
      <w:pPr>
        <w:pStyle w:val="BodyText"/>
        <w:spacing w:before="12"/>
        <w:ind w:left="0"/>
        <w:rPr>
          <w:sz w:val="10"/>
        </w:rPr>
      </w:pPr>
    </w:p>
    <w:p>
      <w:pPr>
        <w:pStyle w:val="BodyText"/>
        <w:spacing w:before="0"/>
        <w:ind w:left="109"/>
        <w:rPr>
          <w:sz w:val="20"/>
        </w:rPr>
      </w:pPr>
      <w:r>
        <w:rPr>
          <w:sz w:val="20"/>
        </w:rPr>
        <w:pict>
          <v:shape style="width:483pt;height:15.6pt;mso-position-horizontal-relative:char;mso-position-vertical-relative:line" type="#_x0000_t202" filled="true" fillcolor="#d8d8d8" stroked="false">
            <w10:anchorlock/>
            <v:textbox inset="0,0,0,0">
              <w:txbxContent>
                <w:p>
                  <w:pPr>
                    <w:tabs>
                      <w:tab w:pos="967" w:val="left" w:leader="none"/>
                    </w:tabs>
                    <w:spacing w:line="260" w:lineRule="exact" w:before="0"/>
                    <w:ind w:left="107" w:right="0" w:firstLine="0"/>
                    <w:jc w:val="left"/>
                    <w:rPr>
                      <w:rFonts w:ascii="黑体" w:eastAsia="黑体" w:hint="eastAsia"/>
                      <w:b/>
                      <w:sz w:val="21"/>
                    </w:rPr>
                  </w:pPr>
                  <w:r>
                    <w:rPr>
                      <w:rFonts w:ascii="黑体" w:eastAsia="黑体" w:hint="eastAsia"/>
                      <w:b/>
                      <w:sz w:val="21"/>
                    </w:rPr>
                    <w:t>5</w:t>
                    <w:tab/>
                  </w:r>
                  <w:r>
                    <w:rPr>
                      <w:rFonts w:ascii="黑体" w:eastAsia="黑体" w:hint="eastAsia"/>
                      <w:b/>
                      <w:w w:val="95"/>
                      <w:sz w:val="21"/>
                    </w:rPr>
                    <w:t>如何解除保险合同</w:t>
                  </w:r>
                </w:p>
              </w:txbxContent>
            </v:textbox>
            <v:fill type="solid"/>
          </v:shape>
        </w:pict>
      </w:r>
      <w:r>
        <w:rPr>
          <w:sz w:val="20"/>
        </w:rPr>
      </w:r>
    </w:p>
    <w:p>
      <w:pPr>
        <w:pStyle w:val="BodyText"/>
        <w:spacing w:before="9"/>
        <w:ind w:left="0"/>
        <w:rPr>
          <w:sz w:val="5"/>
        </w:rPr>
      </w:pPr>
    </w:p>
    <w:p>
      <w:pPr>
        <w:spacing w:after="0"/>
        <w:rPr>
          <w:sz w:val="5"/>
        </w:rPr>
        <w:sectPr>
          <w:type w:val="continuous"/>
          <w:pgSz w:w="11910" w:h="16840"/>
          <w:pgMar w:top="200" w:bottom="280" w:left="960" w:right="1060"/>
        </w:sectPr>
      </w:pPr>
    </w:p>
    <w:p>
      <w:pPr>
        <w:pStyle w:val="BodyText"/>
        <w:tabs>
          <w:tab w:pos="1076" w:val="left" w:leader="none"/>
        </w:tabs>
        <w:spacing w:line="273" w:lineRule="auto" w:before="35"/>
        <w:ind w:left="1076" w:hanging="860"/>
        <w:rPr>
          <w:rFonts w:ascii="黑体" w:eastAsia="黑体" w:hint="eastAsia"/>
        </w:rPr>
      </w:pPr>
      <w:r>
        <w:rPr>
          <w:rFonts w:ascii="黑体" w:eastAsia="黑体" w:hint="eastAsia"/>
        </w:rPr>
        <w:t>5.1</w:t>
        <w:tab/>
      </w:r>
      <w:r>
        <w:rPr>
          <w:rFonts w:ascii="黑体" w:eastAsia="黑体" w:hint="eastAsia"/>
          <w:spacing w:val="-1"/>
        </w:rPr>
        <w:t>您解除合同的</w:t>
      </w:r>
      <w:r>
        <w:rPr>
          <w:rFonts w:ascii="黑体" w:eastAsia="黑体" w:hint="eastAsia"/>
        </w:rPr>
        <w:t>手续及风险</w:t>
      </w:r>
    </w:p>
    <w:p>
      <w:pPr>
        <w:pStyle w:val="BodyText"/>
        <w:spacing w:line="278" w:lineRule="auto" w:before="60"/>
        <w:ind w:left="217" w:right="217"/>
        <w:jc w:val="both"/>
      </w:pPr>
      <w:r>
        <w:rPr/>
        <w:br w:type="column"/>
      </w:r>
      <w:r>
        <w:rPr/>
        <w:t>如您在犹豫期后申请解除本附加险合同，请填写解除合同申请书并向我们提供下列资料：</w:t>
      </w:r>
    </w:p>
    <w:p>
      <w:pPr>
        <w:pStyle w:val="BodyText"/>
        <w:spacing w:line="280" w:lineRule="auto" w:before="11"/>
        <w:ind w:left="217" w:right="5022"/>
      </w:pPr>
      <w:r>
        <w:rPr/>
        <w:t>(1)保险合同；      </w:t>
      </w:r>
      <w:r>
        <w:rPr>
          <w:spacing w:val="-1"/>
        </w:rPr>
        <w:t>(2)您的有效身份证件。</w:t>
      </w:r>
    </w:p>
    <w:p>
      <w:pPr>
        <w:pStyle w:val="BodyText"/>
        <w:spacing w:line="280" w:lineRule="auto" w:before="8"/>
        <w:ind w:left="217" w:right="217"/>
        <w:jc w:val="both"/>
      </w:pPr>
      <w:r>
        <w:rPr/>
        <w:t>自我们收到解除合同申请书时起，本附加险合同终止。我们自收到解除合同</w:t>
      </w:r>
      <w:r>
        <w:rPr>
          <w:spacing w:val="-10"/>
        </w:rPr>
        <w:t>申请书之日起 </w:t>
      </w:r>
      <w:r>
        <w:rPr/>
        <w:t>30</w:t>
      </w:r>
      <w:r>
        <w:rPr>
          <w:spacing w:val="-11"/>
        </w:rPr>
        <w:t> 日内向您退还本附加险合同的现金价值。已发生重大疾病保险金给付的，我们不退还本附加险合同的现金价值。</w:t>
      </w:r>
    </w:p>
    <w:p>
      <w:pPr>
        <w:pStyle w:val="BodyText"/>
        <w:spacing w:before="8"/>
        <w:ind w:left="217"/>
        <w:jc w:val="both"/>
      </w:pPr>
      <w:r>
        <w:rPr/>
        <w:t>您犹豫期后解除合同会遭受一定损失。</w:t>
      </w:r>
    </w:p>
    <w:p>
      <w:pPr>
        <w:spacing w:after="0"/>
        <w:jc w:val="both"/>
        <w:sectPr>
          <w:type w:val="continuous"/>
          <w:pgSz w:w="11910" w:h="16840"/>
          <w:pgMar w:top="200" w:bottom="280" w:left="960" w:right="1060"/>
          <w:cols w:num="2" w:equalWidth="0">
            <w:col w:w="2336" w:space="102"/>
            <w:col w:w="7452"/>
          </w:cols>
        </w:sectPr>
      </w:pPr>
    </w:p>
    <w:p>
      <w:pPr>
        <w:pStyle w:val="BodyText"/>
        <w:spacing w:before="6"/>
        <w:ind w:left="0"/>
        <w:rPr>
          <w:sz w:val="13"/>
        </w:rPr>
      </w:pPr>
    </w:p>
    <w:p>
      <w:pPr>
        <w:pStyle w:val="BodyText"/>
        <w:spacing w:before="0"/>
        <w:ind w:left="109"/>
        <w:rPr>
          <w:sz w:val="20"/>
        </w:rPr>
      </w:pPr>
      <w:r>
        <w:rPr>
          <w:sz w:val="20"/>
        </w:rPr>
        <w:pict>
          <v:shape style="width:483pt;height:15.6pt;mso-position-horizontal-relative:char;mso-position-vertical-relative:line" type="#_x0000_t202" filled="true" fillcolor="#d8d8d8" stroked="false">
            <w10:anchorlock/>
            <v:textbox inset="0,0,0,0">
              <w:txbxContent>
                <w:p>
                  <w:pPr>
                    <w:tabs>
                      <w:tab w:pos="967" w:val="left" w:leader="none"/>
                    </w:tabs>
                    <w:spacing w:line="260" w:lineRule="exact" w:before="0"/>
                    <w:ind w:left="107" w:right="0" w:firstLine="0"/>
                    <w:jc w:val="left"/>
                    <w:rPr>
                      <w:rFonts w:ascii="黑体" w:eastAsia="黑体" w:hint="eastAsia"/>
                      <w:b/>
                      <w:sz w:val="21"/>
                    </w:rPr>
                  </w:pPr>
                  <w:r>
                    <w:rPr>
                      <w:rFonts w:ascii="黑体" w:eastAsia="黑体" w:hint="eastAsia"/>
                      <w:b/>
                      <w:sz w:val="21"/>
                    </w:rPr>
                    <w:t>6</w:t>
                    <w:tab/>
                  </w:r>
                  <w:r>
                    <w:rPr>
                      <w:rFonts w:ascii="黑体" w:eastAsia="黑体" w:hint="eastAsia"/>
                      <w:b/>
                      <w:w w:val="95"/>
                      <w:sz w:val="21"/>
                    </w:rPr>
                    <w:t>其他需要关注的事项</w:t>
                  </w:r>
                </w:p>
              </w:txbxContent>
            </v:textbox>
            <v:fill type="solid"/>
          </v:shape>
        </w:pict>
      </w:r>
      <w:r>
        <w:rPr>
          <w:sz w:val="20"/>
        </w:rPr>
      </w:r>
    </w:p>
    <w:p>
      <w:pPr>
        <w:pStyle w:val="BodyText"/>
        <w:spacing w:before="9"/>
        <w:ind w:left="0"/>
        <w:rPr>
          <w:sz w:val="5"/>
        </w:rPr>
      </w:pPr>
    </w:p>
    <w:p>
      <w:pPr>
        <w:spacing w:after="0"/>
        <w:rPr>
          <w:sz w:val="5"/>
        </w:rPr>
        <w:sectPr>
          <w:type w:val="continuous"/>
          <w:pgSz w:w="11910" w:h="16840"/>
          <w:pgMar w:top="200" w:bottom="280" w:left="960" w:right="1060"/>
        </w:sectPr>
      </w:pPr>
    </w:p>
    <w:p>
      <w:pPr>
        <w:pStyle w:val="ListParagraph"/>
        <w:numPr>
          <w:ilvl w:val="1"/>
          <w:numId w:val="6"/>
        </w:numPr>
        <w:tabs>
          <w:tab w:pos="1076" w:val="left" w:leader="none"/>
          <w:tab w:pos="1077" w:val="left" w:leader="none"/>
        </w:tabs>
        <w:spacing w:line="278" w:lineRule="auto" w:before="30" w:after="0"/>
        <w:ind w:left="1076" w:right="0" w:hanging="859"/>
        <w:jc w:val="left"/>
        <w:rPr>
          <w:rFonts w:ascii="黑体" w:eastAsia="黑体" w:hint="eastAsia"/>
          <w:sz w:val="21"/>
        </w:rPr>
      </w:pPr>
      <w:r>
        <w:rPr>
          <w:rFonts w:ascii="黑体" w:eastAsia="黑体" w:hint="eastAsia"/>
          <w:sz w:val="21"/>
        </w:rPr>
        <w:t>与主险合同效力的关系</w:t>
      </w:r>
    </w:p>
    <w:p>
      <w:pPr>
        <w:pStyle w:val="BodyText"/>
        <w:spacing w:before="0"/>
        <w:ind w:left="0"/>
        <w:rPr>
          <w:rFonts w:ascii="黑体"/>
          <w:sz w:val="20"/>
        </w:rPr>
      </w:pPr>
    </w:p>
    <w:p>
      <w:pPr>
        <w:pStyle w:val="BodyText"/>
        <w:spacing w:before="3"/>
        <w:ind w:left="0"/>
        <w:rPr>
          <w:rFonts w:ascii="黑体"/>
          <w:sz w:val="14"/>
        </w:rPr>
      </w:pPr>
    </w:p>
    <w:p>
      <w:pPr>
        <w:pStyle w:val="ListParagraph"/>
        <w:numPr>
          <w:ilvl w:val="1"/>
          <w:numId w:val="6"/>
        </w:numPr>
        <w:tabs>
          <w:tab w:pos="1076" w:val="left" w:leader="none"/>
          <w:tab w:pos="1077" w:val="left" w:leader="none"/>
        </w:tabs>
        <w:spacing w:line="273" w:lineRule="auto" w:before="0" w:after="0"/>
        <w:ind w:left="1076" w:right="0" w:hanging="859"/>
        <w:jc w:val="left"/>
        <w:rPr>
          <w:rFonts w:ascii="黑体" w:eastAsia="黑体" w:hint="eastAsia"/>
          <w:sz w:val="21"/>
        </w:rPr>
      </w:pPr>
      <w:r>
        <w:rPr>
          <w:rFonts w:ascii="黑体" w:eastAsia="黑体" w:hint="eastAsia"/>
          <w:spacing w:val="-1"/>
          <w:sz w:val="21"/>
        </w:rPr>
        <w:t>适用主险合同条款</w:t>
      </w:r>
    </w:p>
    <w:p>
      <w:pPr>
        <w:pStyle w:val="BodyText"/>
        <w:spacing w:before="60"/>
        <w:ind w:left="217"/>
      </w:pPr>
      <w:r>
        <w:rPr/>
        <w:br w:type="column"/>
      </w:r>
      <w:r>
        <w:rPr/>
        <w:t>主险合同效力终止后，本附加险合同效力终止。</w:t>
      </w:r>
    </w:p>
    <w:p>
      <w:pPr>
        <w:pStyle w:val="BodyText"/>
        <w:spacing w:line="280" w:lineRule="auto" w:before="43"/>
        <w:ind w:left="217" w:right="296"/>
      </w:pPr>
      <w:r>
        <w:rPr/>
        <w:t>若被保险人发生主险合同约定的保险事故，本附加险合同终止，且不退还本附加险合同保险单的现金价值。</w:t>
      </w:r>
    </w:p>
    <w:p>
      <w:pPr>
        <w:pStyle w:val="BodyText"/>
        <w:spacing w:line="278" w:lineRule="auto" w:before="150"/>
        <w:ind w:left="217" w:right="4496"/>
      </w:pPr>
      <w:r>
        <w:rPr/>
        <w:t>下列事项适用主险合同条款： (1)保险事故通知；       </w:t>
      </w:r>
      <w:r>
        <w:rPr>
          <w:spacing w:val="-1"/>
        </w:rPr>
        <w:t>(2)宽限期；</w:t>
      </w:r>
    </w:p>
    <w:p>
      <w:pPr>
        <w:pStyle w:val="BodyText"/>
        <w:spacing w:before="11"/>
        <w:ind w:left="217"/>
      </w:pPr>
      <w:r>
        <w:rPr/>
        <w:t>(3)效力中止；</w:t>
      </w:r>
    </w:p>
    <w:p>
      <w:pPr>
        <w:spacing w:after="0"/>
        <w:sectPr>
          <w:type w:val="continuous"/>
          <w:pgSz w:w="11910" w:h="16840"/>
          <w:pgMar w:top="200" w:bottom="280" w:left="960" w:right="1060"/>
          <w:cols w:num="2" w:equalWidth="0">
            <w:col w:w="2337" w:space="101"/>
            <w:col w:w="7452"/>
          </w:cols>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5"/>
        <w:gridCol w:w="1692"/>
        <w:gridCol w:w="7273"/>
      </w:tblGrid>
      <w:tr>
        <w:trPr>
          <w:trHeight w:val="264" w:hRule="atLeast"/>
        </w:trPr>
        <w:tc>
          <w:tcPr>
            <w:tcW w:w="2387" w:type="dxa"/>
            <w:gridSpan w:val="2"/>
            <w:vMerge w:val="restart"/>
          </w:tcPr>
          <w:p>
            <w:pPr>
              <w:pStyle w:val="TableParagraph"/>
              <w:rPr>
                <w:rFonts w:ascii="Times New Roman"/>
                <w:sz w:val="20"/>
              </w:rPr>
            </w:pPr>
          </w:p>
        </w:tc>
        <w:tc>
          <w:tcPr>
            <w:tcW w:w="7273" w:type="dxa"/>
          </w:tcPr>
          <w:p>
            <w:pPr>
              <w:pStyle w:val="TableParagraph"/>
              <w:spacing w:line="204" w:lineRule="exact"/>
              <w:ind w:left="159"/>
              <w:rPr>
                <w:sz w:val="21"/>
              </w:rPr>
            </w:pPr>
            <w:r>
              <w:rPr>
                <w:sz w:val="21"/>
              </w:rPr>
              <w:t>(4)效力恢复；</w:t>
            </w:r>
          </w:p>
        </w:tc>
      </w:tr>
      <w:tr>
        <w:trPr>
          <w:trHeight w:val="319" w:hRule="atLeast"/>
        </w:trPr>
        <w:tc>
          <w:tcPr>
            <w:tcW w:w="2387" w:type="dxa"/>
            <w:gridSpan w:val="2"/>
            <w:vMerge/>
            <w:tcBorders>
              <w:top w:val="nil"/>
            </w:tcBorders>
          </w:tcPr>
          <w:p>
            <w:pPr>
              <w:rPr>
                <w:sz w:val="2"/>
                <w:szCs w:val="2"/>
              </w:rPr>
            </w:pPr>
          </w:p>
        </w:tc>
        <w:tc>
          <w:tcPr>
            <w:tcW w:w="7273" w:type="dxa"/>
          </w:tcPr>
          <w:p>
            <w:pPr>
              <w:pStyle w:val="TableParagraph"/>
              <w:spacing w:line="258" w:lineRule="exact"/>
              <w:ind w:left="159"/>
              <w:rPr>
                <w:sz w:val="21"/>
              </w:rPr>
            </w:pPr>
            <w:r>
              <w:rPr>
                <w:sz w:val="21"/>
              </w:rPr>
              <w:t>(5)明确说明与如实告知；</w:t>
            </w:r>
          </w:p>
        </w:tc>
      </w:tr>
      <w:tr>
        <w:trPr>
          <w:trHeight w:val="320" w:hRule="atLeast"/>
        </w:trPr>
        <w:tc>
          <w:tcPr>
            <w:tcW w:w="2387" w:type="dxa"/>
            <w:gridSpan w:val="2"/>
            <w:vMerge/>
            <w:tcBorders>
              <w:top w:val="nil"/>
            </w:tcBorders>
          </w:tcPr>
          <w:p>
            <w:pPr>
              <w:rPr>
                <w:sz w:val="2"/>
                <w:szCs w:val="2"/>
              </w:rPr>
            </w:pPr>
          </w:p>
        </w:tc>
        <w:tc>
          <w:tcPr>
            <w:tcW w:w="7273" w:type="dxa"/>
          </w:tcPr>
          <w:p>
            <w:pPr>
              <w:pStyle w:val="TableParagraph"/>
              <w:spacing w:line="259" w:lineRule="exact"/>
              <w:ind w:left="159"/>
              <w:rPr>
                <w:sz w:val="21"/>
              </w:rPr>
            </w:pPr>
            <w:r>
              <w:rPr>
                <w:sz w:val="21"/>
              </w:rPr>
              <w:t>(6)我们合同解除权的限制；</w:t>
            </w:r>
          </w:p>
        </w:tc>
      </w:tr>
      <w:tr>
        <w:trPr>
          <w:trHeight w:val="319" w:hRule="atLeast"/>
        </w:trPr>
        <w:tc>
          <w:tcPr>
            <w:tcW w:w="2387" w:type="dxa"/>
            <w:gridSpan w:val="2"/>
            <w:vMerge/>
            <w:tcBorders>
              <w:top w:val="nil"/>
            </w:tcBorders>
          </w:tcPr>
          <w:p>
            <w:pPr>
              <w:rPr>
                <w:sz w:val="2"/>
                <w:szCs w:val="2"/>
              </w:rPr>
            </w:pPr>
          </w:p>
        </w:tc>
        <w:tc>
          <w:tcPr>
            <w:tcW w:w="7273" w:type="dxa"/>
          </w:tcPr>
          <w:p>
            <w:pPr>
              <w:pStyle w:val="TableParagraph"/>
              <w:spacing w:line="259" w:lineRule="exact"/>
              <w:ind w:left="159"/>
              <w:rPr>
                <w:sz w:val="21"/>
              </w:rPr>
            </w:pPr>
            <w:r>
              <w:rPr>
                <w:sz w:val="21"/>
              </w:rPr>
              <w:t>(7)年龄和性别确定与错误处理；</w:t>
            </w:r>
          </w:p>
        </w:tc>
      </w:tr>
      <w:tr>
        <w:trPr>
          <w:trHeight w:val="319" w:hRule="atLeast"/>
        </w:trPr>
        <w:tc>
          <w:tcPr>
            <w:tcW w:w="2387" w:type="dxa"/>
            <w:gridSpan w:val="2"/>
            <w:vMerge/>
            <w:tcBorders>
              <w:top w:val="nil"/>
            </w:tcBorders>
          </w:tcPr>
          <w:p>
            <w:pPr>
              <w:rPr>
                <w:sz w:val="2"/>
                <w:szCs w:val="2"/>
              </w:rPr>
            </w:pPr>
          </w:p>
        </w:tc>
        <w:tc>
          <w:tcPr>
            <w:tcW w:w="7273" w:type="dxa"/>
          </w:tcPr>
          <w:p>
            <w:pPr>
              <w:pStyle w:val="TableParagraph"/>
              <w:spacing w:line="258" w:lineRule="exact"/>
              <w:ind w:left="159"/>
              <w:rPr>
                <w:sz w:val="21"/>
              </w:rPr>
            </w:pPr>
            <w:r>
              <w:rPr>
                <w:sz w:val="21"/>
              </w:rPr>
              <w:t>(8)未还款项；</w:t>
            </w:r>
          </w:p>
        </w:tc>
      </w:tr>
      <w:tr>
        <w:trPr>
          <w:trHeight w:val="320" w:hRule="atLeast"/>
        </w:trPr>
        <w:tc>
          <w:tcPr>
            <w:tcW w:w="2387" w:type="dxa"/>
            <w:gridSpan w:val="2"/>
            <w:vMerge/>
            <w:tcBorders>
              <w:top w:val="nil"/>
            </w:tcBorders>
          </w:tcPr>
          <w:p>
            <w:pPr>
              <w:rPr>
                <w:sz w:val="2"/>
                <w:szCs w:val="2"/>
              </w:rPr>
            </w:pPr>
          </w:p>
        </w:tc>
        <w:tc>
          <w:tcPr>
            <w:tcW w:w="7273" w:type="dxa"/>
          </w:tcPr>
          <w:p>
            <w:pPr>
              <w:pStyle w:val="TableParagraph"/>
              <w:spacing w:line="259" w:lineRule="exact"/>
              <w:ind w:left="159"/>
              <w:rPr>
                <w:sz w:val="21"/>
              </w:rPr>
            </w:pPr>
            <w:r>
              <w:rPr>
                <w:sz w:val="21"/>
              </w:rPr>
              <w:t>(9)合同内容变更；</w:t>
            </w:r>
          </w:p>
        </w:tc>
      </w:tr>
      <w:tr>
        <w:trPr>
          <w:trHeight w:val="319" w:hRule="atLeast"/>
        </w:trPr>
        <w:tc>
          <w:tcPr>
            <w:tcW w:w="2387" w:type="dxa"/>
            <w:gridSpan w:val="2"/>
            <w:vMerge/>
            <w:tcBorders>
              <w:top w:val="nil"/>
            </w:tcBorders>
          </w:tcPr>
          <w:p>
            <w:pPr>
              <w:rPr>
                <w:sz w:val="2"/>
                <w:szCs w:val="2"/>
              </w:rPr>
            </w:pPr>
          </w:p>
        </w:tc>
        <w:tc>
          <w:tcPr>
            <w:tcW w:w="7273" w:type="dxa"/>
          </w:tcPr>
          <w:p>
            <w:pPr>
              <w:pStyle w:val="TableParagraph"/>
              <w:spacing w:line="259" w:lineRule="exact"/>
              <w:ind w:left="159"/>
              <w:rPr>
                <w:sz w:val="21"/>
              </w:rPr>
            </w:pPr>
            <w:r>
              <w:rPr>
                <w:sz w:val="21"/>
              </w:rPr>
              <w:t>(10)联系方式变更；</w:t>
            </w:r>
          </w:p>
        </w:tc>
      </w:tr>
      <w:tr>
        <w:trPr>
          <w:trHeight w:val="441" w:hRule="atLeast"/>
        </w:trPr>
        <w:tc>
          <w:tcPr>
            <w:tcW w:w="2387" w:type="dxa"/>
            <w:gridSpan w:val="2"/>
            <w:vMerge/>
            <w:tcBorders>
              <w:top w:val="nil"/>
            </w:tcBorders>
          </w:tcPr>
          <w:p>
            <w:pPr>
              <w:rPr>
                <w:sz w:val="2"/>
                <w:szCs w:val="2"/>
              </w:rPr>
            </w:pPr>
          </w:p>
        </w:tc>
        <w:tc>
          <w:tcPr>
            <w:tcW w:w="7273" w:type="dxa"/>
          </w:tcPr>
          <w:p>
            <w:pPr>
              <w:pStyle w:val="TableParagraph"/>
              <w:spacing w:line="258" w:lineRule="exact"/>
              <w:ind w:left="159"/>
              <w:rPr>
                <w:sz w:val="21"/>
              </w:rPr>
            </w:pPr>
            <w:r>
              <w:rPr>
                <w:sz w:val="21"/>
              </w:rPr>
              <w:t>(11)争议处理。</w:t>
            </w:r>
          </w:p>
        </w:tc>
      </w:tr>
      <w:tr>
        <w:trPr>
          <w:trHeight w:val="311" w:hRule="atLeast"/>
        </w:trPr>
        <w:tc>
          <w:tcPr>
            <w:tcW w:w="695" w:type="dxa"/>
            <w:shd w:val="clear" w:color="auto" w:fill="D8D8D8"/>
          </w:tcPr>
          <w:p>
            <w:pPr>
              <w:pStyle w:val="TableParagraph"/>
              <w:spacing w:line="253" w:lineRule="exact"/>
              <w:ind w:left="107"/>
              <w:rPr>
                <w:rFonts w:ascii="黑体"/>
                <w:b/>
                <w:sz w:val="21"/>
              </w:rPr>
            </w:pPr>
            <w:r>
              <w:rPr>
                <w:rFonts w:ascii="黑体"/>
                <w:b/>
                <w:w w:val="99"/>
                <w:sz w:val="21"/>
              </w:rPr>
              <w:t>7</w:t>
            </w:r>
          </w:p>
        </w:tc>
        <w:tc>
          <w:tcPr>
            <w:tcW w:w="1692" w:type="dxa"/>
            <w:shd w:val="clear" w:color="auto" w:fill="D8D8D8"/>
          </w:tcPr>
          <w:p>
            <w:pPr>
              <w:pStyle w:val="TableParagraph"/>
              <w:spacing w:line="253" w:lineRule="exact"/>
              <w:ind w:left="272"/>
              <w:rPr>
                <w:rFonts w:ascii="黑体" w:eastAsia="黑体" w:hint="eastAsia"/>
                <w:b/>
                <w:sz w:val="21"/>
              </w:rPr>
            </w:pPr>
            <w:r>
              <w:rPr>
                <w:rFonts w:ascii="黑体" w:eastAsia="黑体" w:hint="eastAsia"/>
                <w:b/>
                <w:sz w:val="21"/>
              </w:rPr>
              <w:t>释义</w:t>
            </w:r>
          </w:p>
        </w:tc>
        <w:tc>
          <w:tcPr>
            <w:tcW w:w="7273" w:type="dxa"/>
            <w:shd w:val="clear" w:color="auto" w:fill="D8D8D8"/>
          </w:tcPr>
          <w:p>
            <w:pPr>
              <w:pStyle w:val="TableParagraph"/>
              <w:rPr>
                <w:rFonts w:ascii="Times New Roman"/>
                <w:sz w:val="20"/>
              </w:rPr>
            </w:pPr>
          </w:p>
        </w:tc>
      </w:tr>
      <w:tr>
        <w:trPr>
          <w:trHeight w:val="836" w:hRule="atLeast"/>
        </w:trPr>
        <w:tc>
          <w:tcPr>
            <w:tcW w:w="695" w:type="dxa"/>
          </w:tcPr>
          <w:p>
            <w:pPr>
              <w:pStyle w:val="TableParagraph"/>
              <w:spacing w:before="121"/>
              <w:ind w:left="108"/>
              <w:rPr>
                <w:rFonts w:ascii="黑体"/>
                <w:sz w:val="21"/>
              </w:rPr>
            </w:pPr>
            <w:r>
              <w:rPr>
                <w:rFonts w:ascii="黑体"/>
                <w:sz w:val="21"/>
              </w:rPr>
              <w:t>7.1</w:t>
            </w:r>
          </w:p>
        </w:tc>
        <w:tc>
          <w:tcPr>
            <w:tcW w:w="1692" w:type="dxa"/>
          </w:tcPr>
          <w:p>
            <w:pPr>
              <w:pStyle w:val="TableParagraph"/>
              <w:spacing w:before="121"/>
              <w:ind w:left="272"/>
              <w:rPr>
                <w:rFonts w:ascii="黑体" w:eastAsia="黑体" w:hint="eastAsia"/>
                <w:sz w:val="21"/>
              </w:rPr>
            </w:pPr>
            <w:r>
              <w:rPr>
                <w:rFonts w:ascii="黑体" w:eastAsia="黑体" w:hint="eastAsia"/>
                <w:sz w:val="21"/>
              </w:rPr>
              <w:t>有效身份证件</w:t>
            </w:r>
          </w:p>
        </w:tc>
        <w:tc>
          <w:tcPr>
            <w:tcW w:w="7273" w:type="dxa"/>
          </w:tcPr>
          <w:p>
            <w:pPr>
              <w:pStyle w:val="TableParagraph"/>
              <w:spacing w:line="273" w:lineRule="auto" w:before="121"/>
              <w:ind w:left="159" w:right="181"/>
              <w:rPr>
                <w:sz w:val="21"/>
              </w:rPr>
            </w:pPr>
            <w:r>
              <w:rPr>
                <w:sz w:val="21"/>
              </w:rPr>
              <w:t>指由政府主管部门规定的证明其身份的证件，如：居民身份证、按规定可使用的有效护照、军官证、警官证、士兵证等证件。</w:t>
            </w:r>
          </w:p>
        </w:tc>
      </w:tr>
      <w:tr>
        <w:trPr>
          <w:trHeight w:val="2013" w:hRule="atLeast"/>
        </w:trPr>
        <w:tc>
          <w:tcPr>
            <w:tcW w:w="695" w:type="dxa"/>
          </w:tcPr>
          <w:p>
            <w:pPr>
              <w:pStyle w:val="TableParagraph"/>
              <w:spacing w:before="50"/>
              <w:ind w:left="108"/>
              <w:rPr>
                <w:rFonts w:ascii="黑体"/>
                <w:sz w:val="21"/>
              </w:rPr>
            </w:pPr>
            <w:r>
              <w:rPr>
                <w:rFonts w:ascii="黑体"/>
                <w:sz w:val="21"/>
              </w:rPr>
              <w:t>7.2</w:t>
            </w:r>
          </w:p>
        </w:tc>
        <w:tc>
          <w:tcPr>
            <w:tcW w:w="1692" w:type="dxa"/>
          </w:tcPr>
          <w:p>
            <w:pPr>
              <w:pStyle w:val="TableParagraph"/>
              <w:spacing w:before="50"/>
              <w:ind w:left="272"/>
              <w:rPr>
                <w:rFonts w:ascii="黑体" w:eastAsia="黑体" w:hint="eastAsia"/>
                <w:sz w:val="21"/>
              </w:rPr>
            </w:pPr>
            <w:r>
              <w:rPr>
                <w:rFonts w:ascii="黑体" w:eastAsia="黑体" w:hint="eastAsia"/>
                <w:sz w:val="21"/>
              </w:rPr>
              <w:t>意外伤害</w:t>
            </w:r>
          </w:p>
        </w:tc>
        <w:tc>
          <w:tcPr>
            <w:tcW w:w="7273" w:type="dxa"/>
          </w:tcPr>
          <w:p>
            <w:pPr>
              <w:pStyle w:val="TableParagraph"/>
              <w:spacing w:line="273" w:lineRule="auto" w:before="50"/>
              <w:ind w:left="159" w:right="181"/>
              <w:rPr>
                <w:sz w:val="21"/>
              </w:rPr>
            </w:pPr>
            <w:r>
              <w:rPr>
                <w:sz w:val="21"/>
              </w:rPr>
              <w:t>指遭受外来的、突发的、非本意的、非疾病的客观事件直接致使身体受到的伤害。</w:t>
            </w:r>
          </w:p>
          <w:p>
            <w:pPr>
              <w:pStyle w:val="TableParagraph"/>
              <w:spacing w:line="273" w:lineRule="auto" w:before="7"/>
              <w:ind w:left="159" w:right="107"/>
              <w:rPr>
                <w:sz w:val="21"/>
              </w:rPr>
            </w:pPr>
            <w:r>
              <w:rPr>
                <w:sz w:val="21"/>
                <w:shd w:fill="D9D9D9" w:color="auto" w:val="clear"/>
              </w:rPr>
              <w:t>本附加险合同所述的意外伤害导致的身故，不包括猝死。</w:t>
            </w:r>
            <w:r>
              <w:rPr>
                <w:sz w:val="21"/>
              </w:rPr>
              <w:t>“猝死”是指貌似</w:t>
            </w:r>
            <w:r>
              <w:rPr>
                <w:spacing w:val="-7"/>
                <w:sz w:val="21"/>
              </w:rPr>
              <w:t>健康的人因潜在疾病、机能障碍或其他原因在出现症状后 </w:t>
            </w:r>
            <w:r>
              <w:rPr>
                <w:sz w:val="21"/>
              </w:rPr>
              <w:t>24</w:t>
            </w:r>
            <w:r>
              <w:rPr>
                <w:spacing w:val="-10"/>
                <w:sz w:val="21"/>
              </w:rPr>
              <w:t> 小时内发生的非暴力性突然死亡。关于猝死的认定，如有司法机关的法律文件、医疗机构的诊断书等，则以上述法律文件、诊断书等为准。</w:t>
            </w:r>
          </w:p>
        </w:tc>
      </w:tr>
      <w:tr>
        <w:trPr>
          <w:trHeight w:val="412" w:hRule="atLeast"/>
        </w:trPr>
        <w:tc>
          <w:tcPr>
            <w:tcW w:w="695" w:type="dxa"/>
          </w:tcPr>
          <w:p>
            <w:pPr>
              <w:pStyle w:val="TableParagraph"/>
              <w:spacing w:before="50"/>
              <w:ind w:left="108"/>
              <w:rPr>
                <w:rFonts w:ascii="黑体"/>
                <w:sz w:val="21"/>
              </w:rPr>
            </w:pPr>
            <w:r>
              <w:rPr>
                <w:rFonts w:ascii="黑体"/>
                <w:sz w:val="21"/>
              </w:rPr>
              <w:t>7.3</w:t>
            </w:r>
          </w:p>
        </w:tc>
        <w:tc>
          <w:tcPr>
            <w:tcW w:w="1692" w:type="dxa"/>
          </w:tcPr>
          <w:p>
            <w:pPr>
              <w:pStyle w:val="TableParagraph"/>
              <w:spacing w:before="75"/>
              <w:ind w:left="272"/>
              <w:rPr>
                <w:rFonts w:ascii="黑体" w:eastAsia="黑体" w:hint="eastAsia"/>
                <w:sz w:val="21"/>
              </w:rPr>
            </w:pPr>
            <w:r>
              <w:rPr>
                <w:rFonts w:ascii="黑体" w:eastAsia="黑体" w:hint="eastAsia"/>
                <w:sz w:val="21"/>
              </w:rPr>
              <w:t>毒品</w:t>
            </w:r>
          </w:p>
        </w:tc>
        <w:tc>
          <w:tcPr>
            <w:tcW w:w="7273" w:type="dxa"/>
          </w:tcPr>
          <w:p>
            <w:pPr>
              <w:pStyle w:val="TableParagraph"/>
              <w:spacing w:before="75"/>
              <w:ind w:left="159"/>
              <w:rPr>
                <w:sz w:val="21"/>
              </w:rPr>
            </w:pPr>
            <w:r>
              <w:rPr>
                <w:spacing w:val="-10"/>
                <w:sz w:val="21"/>
              </w:rPr>
              <w:t>指《中华人民共和国刑法》规定的鸦片、海洛因、甲基苯丙胺</w:t>
            </w:r>
            <w:r>
              <w:rPr>
                <w:sz w:val="21"/>
              </w:rPr>
              <w:t>（冰毒</w:t>
            </w:r>
            <w:r>
              <w:rPr>
                <w:spacing w:val="-105"/>
                <w:sz w:val="21"/>
              </w:rPr>
              <w:t>）</w:t>
            </w:r>
            <w:r>
              <w:rPr>
                <w:spacing w:val="-6"/>
                <w:sz w:val="21"/>
              </w:rPr>
              <w:t>、吗啡、</w:t>
            </w:r>
          </w:p>
        </w:tc>
      </w:tr>
      <w:tr>
        <w:trPr>
          <w:trHeight w:val="320" w:hRule="atLeast"/>
        </w:trPr>
        <w:tc>
          <w:tcPr>
            <w:tcW w:w="695" w:type="dxa"/>
          </w:tcPr>
          <w:p>
            <w:pPr>
              <w:pStyle w:val="TableParagraph"/>
              <w:rPr>
                <w:rFonts w:ascii="Times New Roman"/>
                <w:sz w:val="20"/>
              </w:rPr>
            </w:pPr>
          </w:p>
        </w:tc>
        <w:tc>
          <w:tcPr>
            <w:tcW w:w="1692" w:type="dxa"/>
          </w:tcPr>
          <w:p>
            <w:pPr>
              <w:pStyle w:val="TableParagraph"/>
              <w:rPr>
                <w:rFonts w:ascii="Times New Roman"/>
                <w:sz w:val="20"/>
              </w:rPr>
            </w:pPr>
          </w:p>
        </w:tc>
        <w:tc>
          <w:tcPr>
            <w:tcW w:w="7273" w:type="dxa"/>
          </w:tcPr>
          <w:p>
            <w:pPr>
              <w:pStyle w:val="TableParagraph"/>
              <w:spacing w:line="259" w:lineRule="exact"/>
              <w:ind w:left="159"/>
              <w:rPr>
                <w:sz w:val="21"/>
              </w:rPr>
            </w:pPr>
            <w:r>
              <w:rPr>
                <w:sz w:val="21"/>
              </w:rPr>
              <w:t>大麻、可卡因以及国家规定管制的其他能够使人形成瘾癖的麻醉药品和精神</w:t>
            </w:r>
          </w:p>
        </w:tc>
      </w:tr>
      <w:tr>
        <w:trPr>
          <w:trHeight w:val="319" w:hRule="atLeast"/>
        </w:trPr>
        <w:tc>
          <w:tcPr>
            <w:tcW w:w="695" w:type="dxa"/>
          </w:tcPr>
          <w:p>
            <w:pPr>
              <w:pStyle w:val="TableParagraph"/>
              <w:rPr>
                <w:rFonts w:ascii="Times New Roman"/>
                <w:sz w:val="20"/>
              </w:rPr>
            </w:pPr>
          </w:p>
        </w:tc>
        <w:tc>
          <w:tcPr>
            <w:tcW w:w="1692" w:type="dxa"/>
          </w:tcPr>
          <w:p>
            <w:pPr>
              <w:pStyle w:val="TableParagraph"/>
              <w:rPr>
                <w:rFonts w:ascii="Times New Roman"/>
                <w:sz w:val="20"/>
              </w:rPr>
            </w:pPr>
          </w:p>
        </w:tc>
        <w:tc>
          <w:tcPr>
            <w:tcW w:w="7273" w:type="dxa"/>
          </w:tcPr>
          <w:p>
            <w:pPr>
              <w:pStyle w:val="TableParagraph"/>
              <w:spacing w:line="259" w:lineRule="exact"/>
              <w:ind w:left="159"/>
              <w:rPr>
                <w:sz w:val="21"/>
              </w:rPr>
            </w:pPr>
            <w:r>
              <w:rPr>
                <w:sz w:val="21"/>
              </w:rPr>
              <w:t>药品，但不包括由医生开具并遵医嘱使用的用于治疗疾病但含有毒品成分的</w:t>
            </w:r>
          </w:p>
        </w:tc>
      </w:tr>
      <w:tr>
        <w:trPr>
          <w:trHeight w:val="377" w:hRule="atLeast"/>
        </w:trPr>
        <w:tc>
          <w:tcPr>
            <w:tcW w:w="695" w:type="dxa"/>
          </w:tcPr>
          <w:p>
            <w:pPr>
              <w:pStyle w:val="TableParagraph"/>
              <w:rPr>
                <w:rFonts w:ascii="Times New Roman"/>
                <w:sz w:val="20"/>
              </w:rPr>
            </w:pPr>
          </w:p>
        </w:tc>
        <w:tc>
          <w:tcPr>
            <w:tcW w:w="1692" w:type="dxa"/>
          </w:tcPr>
          <w:p>
            <w:pPr>
              <w:pStyle w:val="TableParagraph"/>
              <w:rPr>
                <w:rFonts w:ascii="Times New Roman"/>
                <w:sz w:val="20"/>
              </w:rPr>
            </w:pPr>
          </w:p>
        </w:tc>
        <w:tc>
          <w:tcPr>
            <w:tcW w:w="7273" w:type="dxa"/>
          </w:tcPr>
          <w:p>
            <w:pPr>
              <w:pStyle w:val="TableParagraph"/>
              <w:spacing w:line="258" w:lineRule="exact"/>
              <w:ind w:left="159"/>
              <w:rPr>
                <w:sz w:val="21"/>
              </w:rPr>
            </w:pPr>
            <w:r>
              <w:rPr>
                <w:sz w:val="21"/>
              </w:rPr>
              <w:t>处方药品。</w:t>
            </w:r>
          </w:p>
        </w:tc>
      </w:tr>
      <w:tr>
        <w:trPr>
          <w:trHeight w:val="403" w:hRule="atLeast"/>
        </w:trPr>
        <w:tc>
          <w:tcPr>
            <w:tcW w:w="695" w:type="dxa"/>
          </w:tcPr>
          <w:p>
            <w:pPr>
              <w:pStyle w:val="TableParagraph"/>
              <w:spacing w:before="42"/>
              <w:ind w:left="108"/>
              <w:rPr>
                <w:rFonts w:ascii="黑体"/>
                <w:sz w:val="21"/>
              </w:rPr>
            </w:pPr>
            <w:r>
              <w:rPr>
                <w:rFonts w:ascii="黑体"/>
                <w:sz w:val="21"/>
              </w:rPr>
              <w:t>7.4</w:t>
            </w:r>
          </w:p>
        </w:tc>
        <w:tc>
          <w:tcPr>
            <w:tcW w:w="1692" w:type="dxa"/>
          </w:tcPr>
          <w:p>
            <w:pPr>
              <w:pStyle w:val="TableParagraph"/>
              <w:spacing w:before="67"/>
              <w:ind w:left="272"/>
              <w:rPr>
                <w:rFonts w:ascii="黑体" w:eastAsia="黑体" w:hint="eastAsia"/>
                <w:sz w:val="21"/>
              </w:rPr>
            </w:pPr>
            <w:r>
              <w:rPr>
                <w:rFonts w:ascii="黑体" w:eastAsia="黑体" w:hint="eastAsia"/>
                <w:sz w:val="21"/>
              </w:rPr>
              <w:t>酒后驾驶</w:t>
            </w:r>
          </w:p>
        </w:tc>
        <w:tc>
          <w:tcPr>
            <w:tcW w:w="7273" w:type="dxa"/>
          </w:tcPr>
          <w:p>
            <w:pPr>
              <w:pStyle w:val="TableParagraph"/>
              <w:spacing w:before="67"/>
              <w:ind w:left="159"/>
              <w:rPr>
                <w:sz w:val="21"/>
              </w:rPr>
            </w:pPr>
            <w:r>
              <w:rPr>
                <w:sz w:val="21"/>
              </w:rPr>
              <w:t>指经检测或鉴定，发生事故时车辆驾驶人员每百毫升血液中的酒精含量达到</w:t>
            </w:r>
          </w:p>
        </w:tc>
      </w:tr>
      <w:tr>
        <w:trPr>
          <w:trHeight w:val="320" w:hRule="atLeast"/>
        </w:trPr>
        <w:tc>
          <w:tcPr>
            <w:tcW w:w="695" w:type="dxa"/>
          </w:tcPr>
          <w:p>
            <w:pPr>
              <w:pStyle w:val="TableParagraph"/>
              <w:rPr>
                <w:rFonts w:ascii="Times New Roman"/>
                <w:sz w:val="20"/>
              </w:rPr>
            </w:pPr>
          </w:p>
        </w:tc>
        <w:tc>
          <w:tcPr>
            <w:tcW w:w="1692" w:type="dxa"/>
          </w:tcPr>
          <w:p>
            <w:pPr>
              <w:pStyle w:val="TableParagraph"/>
              <w:rPr>
                <w:rFonts w:ascii="Times New Roman"/>
                <w:sz w:val="20"/>
              </w:rPr>
            </w:pPr>
          </w:p>
        </w:tc>
        <w:tc>
          <w:tcPr>
            <w:tcW w:w="7273" w:type="dxa"/>
          </w:tcPr>
          <w:p>
            <w:pPr>
              <w:pStyle w:val="TableParagraph"/>
              <w:spacing w:line="259" w:lineRule="exact"/>
              <w:ind w:left="159"/>
              <w:rPr>
                <w:sz w:val="21"/>
              </w:rPr>
            </w:pPr>
            <w:r>
              <w:rPr>
                <w:sz w:val="21"/>
              </w:rPr>
              <w:t>或超过一定的标准，公安机关交通管理部门依据《道路交通安全法》的规定</w:t>
            </w:r>
          </w:p>
        </w:tc>
      </w:tr>
      <w:tr>
        <w:trPr>
          <w:trHeight w:val="378" w:hRule="atLeast"/>
        </w:trPr>
        <w:tc>
          <w:tcPr>
            <w:tcW w:w="695" w:type="dxa"/>
          </w:tcPr>
          <w:p>
            <w:pPr>
              <w:pStyle w:val="TableParagraph"/>
              <w:rPr>
                <w:rFonts w:ascii="Times New Roman"/>
                <w:sz w:val="20"/>
              </w:rPr>
            </w:pPr>
          </w:p>
        </w:tc>
        <w:tc>
          <w:tcPr>
            <w:tcW w:w="1692" w:type="dxa"/>
          </w:tcPr>
          <w:p>
            <w:pPr>
              <w:pStyle w:val="TableParagraph"/>
              <w:rPr>
                <w:rFonts w:ascii="Times New Roman"/>
                <w:sz w:val="20"/>
              </w:rPr>
            </w:pPr>
          </w:p>
        </w:tc>
        <w:tc>
          <w:tcPr>
            <w:tcW w:w="7273" w:type="dxa"/>
          </w:tcPr>
          <w:p>
            <w:pPr>
              <w:pStyle w:val="TableParagraph"/>
              <w:spacing w:line="259" w:lineRule="exact"/>
              <w:ind w:left="159"/>
              <w:rPr>
                <w:sz w:val="21"/>
              </w:rPr>
            </w:pPr>
            <w:r>
              <w:rPr>
                <w:sz w:val="21"/>
              </w:rPr>
              <w:t>认定为饮酒后驾驶或醉酒后驾驶。</w:t>
            </w:r>
          </w:p>
        </w:tc>
      </w:tr>
      <w:tr>
        <w:trPr>
          <w:trHeight w:val="403" w:hRule="atLeast"/>
        </w:trPr>
        <w:tc>
          <w:tcPr>
            <w:tcW w:w="695" w:type="dxa"/>
          </w:tcPr>
          <w:p>
            <w:pPr>
              <w:pStyle w:val="TableParagraph"/>
              <w:spacing w:before="42"/>
              <w:ind w:left="108"/>
              <w:rPr>
                <w:rFonts w:ascii="黑体"/>
                <w:sz w:val="21"/>
              </w:rPr>
            </w:pPr>
            <w:r>
              <w:rPr>
                <w:rFonts w:ascii="黑体"/>
                <w:sz w:val="21"/>
              </w:rPr>
              <w:t>7.5</w:t>
            </w:r>
          </w:p>
        </w:tc>
        <w:tc>
          <w:tcPr>
            <w:tcW w:w="1692" w:type="dxa"/>
          </w:tcPr>
          <w:p>
            <w:pPr>
              <w:pStyle w:val="TableParagraph"/>
              <w:spacing w:before="67"/>
              <w:ind w:left="272"/>
              <w:rPr>
                <w:rFonts w:ascii="黑体" w:eastAsia="黑体" w:hint="eastAsia"/>
                <w:sz w:val="21"/>
              </w:rPr>
            </w:pPr>
            <w:r>
              <w:rPr>
                <w:rFonts w:ascii="黑体" w:eastAsia="黑体" w:hint="eastAsia"/>
                <w:sz w:val="21"/>
              </w:rPr>
              <w:t>无合法有效驾</w:t>
            </w:r>
          </w:p>
        </w:tc>
        <w:tc>
          <w:tcPr>
            <w:tcW w:w="7273" w:type="dxa"/>
          </w:tcPr>
          <w:p>
            <w:pPr>
              <w:pStyle w:val="TableParagraph"/>
              <w:spacing w:before="67"/>
              <w:ind w:left="159"/>
              <w:rPr>
                <w:sz w:val="21"/>
              </w:rPr>
            </w:pPr>
            <w:r>
              <w:rPr>
                <w:sz w:val="21"/>
              </w:rPr>
              <w:t>指下列情形之一：</w:t>
            </w:r>
          </w:p>
        </w:tc>
      </w:tr>
      <w:tr>
        <w:trPr>
          <w:trHeight w:val="319" w:hRule="atLeast"/>
        </w:trPr>
        <w:tc>
          <w:tcPr>
            <w:tcW w:w="695" w:type="dxa"/>
          </w:tcPr>
          <w:p>
            <w:pPr>
              <w:pStyle w:val="TableParagraph"/>
              <w:rPr>
                <w:rFonts w:ascii="Times New Roman"/>
                <w:sz w:val="20"/>
              </w:rPr>
            </w:pPr>
          </w:p>
        </w:tc>
        <w:tc>
          <w:tcPr>
            <w:tcW w:w="1692" w:type="dxa"/>
          </w:tcPr>
          <w:p>
            <w:pPr>
              <w:pStyle w:val="TableParagraph"/>
              <w:spacing w:line="258" w:lineRule="exact"/>
              <w:ind w:left="272"/>
              <w:rPr>
                <w:rFonts w:ascii="黑体" w:eastAsia="黑体" w:hint="eastAsia"/>
                <w:sz w:val="21"/>
              </w:rPr>
            </w:pPr>
            <w:r>
              <w:rPr>
                <w:rFonts w:ascii="黑体" w:eastAsia="黑体" w:hint="eastAsia"/>
                <w:sz w:val="21"/>
              </w:rPr>
              <w:t>驶证驾驶</w:t>
            </w:r>
          </w:p>
        </w:tc>
        <w:tc>
          <w:tcPr>
            <w:tcW w:w="7273" w:type="dxa"/>
          </w:tcPr>
          <w:p>
            <w:pPr>
              <w:pStyle w:val="TableParagraph"/>
              <w:spacing w:line="258" w:lineRule="exact"/>
              <w:ind w:left="159"/>
              <w:rPr>
                <w:sz w:val="21"/>
              </w:rPr>
            </w:pPr>
            <w:r>
              <w:rPr>
                <w:sz w:val="21"/>
              </w:rPr>
              <w:t>(1)没有取得驾驶资格；</w:t>
            </w:r>
          </w:p>
        </w:tc>
      </w:tr>
      <w:tr>
        <w:trPr>
          <w:trHeight w:val="320" w:hRule="atLeast"/>
        </w:trPr>
        <w:tc>
          <w:tcPr>
            <w:tcW w:w="695" w:type="dxa"/>
          </w:tcPr>
          <w:p>
            <w:pPr>
              <w:pStyle w:val="TableParagraph"/>
              <w:rPr>
                <w:rFonts w:ascii="Times New Roman"/>
                <w:sz w:val="20"/>
              </w:rPr>
            </w:pPr>
          </w:p>
        </w:tc>
        <w:tc>
          <w:tcPr>
            <w:tcW w:w="1692" w:type="dxa"/>
          </w:tcPr>
          <w:p>
            <w:pPr>
              <w:pStyle w:val="TableParagraph"/>
              <w:rPr>
                <w:rFonts w:ascii="Times New Roman"/>
                <w:sz w:val="20"/>
              </w:rPr>
            </w:pPr>
          </w:p>
        </w:tc>
        <w:tc>
          <w:tcPr>
            <w:tcW w:w="7273" w:type="dxa"/>
          </w:tcPr>
          <w:p>
            <w:pPr>
              <w:pStyle w:val="TableParagraph"/>
              <w:spacing w:line="259" w:lineRule="exact"/>
              <w:ind w:left="159"/>
              <w:rPr>
                <w:sz w:val="21"/>
              </w:rPr>
            </w:pPr>
            <w:r>
              <w:rPr>
                <w:sz w:val="21"/>
              </w:rPr>
              <w:t>(2)驾驶与驾驶证准驾车型不相符合的车辆；</w:t>
            </w:r>
          </w:p>
        </w:tc>
      </w:tr>
      <w:tr>
        <w:trPr>
          <w:trHeight w:val="319" w:hRule="atLeast"/>
        </w:trPr>
        <w:tc>
          <w:tcPr>
            <w:tcW w:w="695" w:type="dxa"/>
          </w:tcPr>
          <w:p>
            <w:pPr>
              <w:pStyle w:val="TableParagraph"/>
              <w:rPr>
                <w:rFonts w:ascii="Times New Roman"/>
                <w:sz w:val="20"/>
              </w:rPr>
            </w:pPr>
          </w:p>
        </w:tc>
        <w:tc>
          <w:tcPr>
            <w:tcW w:w="1692" w:type="dxa"/>
          </w:tcPr>
          <w:p>
            <w:pPr>
              <w:pStyle w:val="TableParagraph"/>
              <w:rPr>
                <w:rFonts w:ascii="Times New Roman"/>
                <w:sz w:val="20"/>
              </w:rPr>
            </w:pPr>
          </w:p>
        </w:tc>
        <w:tc>
          <w:tcPr>
            <w:tcW w:w="7273" w:type="dxa"/>
          </w:tcPr>
          <w:p>
            <w:pPr>
              <w:pStyle w:val="TableParagraph"/>
              <w:spacing w:line="259" w:lineRule="exact"/>
              <w:ind w:left="159"/>
              <w:rPr>
                <w:sz w:val="21"/>
              </w:rPr>
            </w:pPr>
            <w:r>
              <w:rPr>
                <w:sz w:val="21"/>
              </w:rPr>
              <w:t>(3)持审验不合格的驾驶证驾驶；</w:t>
            </w:r>
          </w:p>
        </w:tc>
      </w:tr>
      <w:tr>
        <w:trPr>
          <w:trHeight w:val="319" w:hRule="atLeast"/>
        </w:trPr>
        <w:tc>
          <w:tcPr>
            <w:tcW w:w="695" w:type="dxa"/>
          </w:tcPr>
          <w:p>
            <w:pPr>
              <w:pStyle w:val="TableParagraph"/>
              <w:rPr>
                <w:rFonts w:ascii="Times New Roman"/>
                <w:sz w:val="20"/>
              </w:rPr>
            </w:pPr>
          </w:p>
        </w:tc>
        <w:tc>
          <w:tcPr>
            <w:tcW w:w="1692" w:type="dxa"/>
          </w:tcPr>
          <w:p>
            <w:pPr>
              <w:pStyle w:val="TableParagraph"/>
              <w:rPr>
                <w:rFonts w:ascii="Times New Roman"/>
                <w:sz w:val="20"/>
              </w:rPr>
            </w:pPr>
          </w:p>
        </w:tc>
        <w:tc>
          <w:tcPr>
            <w:tcW w:w="7273" w:type="dxa"/>
          </w:tcPr>
          <w:p>
            <w:pPr>
              <w:pStyle w:val="TableParagraph"/>
              <w:spacing w:line="258" w:lineRule="exact"/>
              <w:ind w:left="159"/>
              <w:rPr>
                <w:sz w:val="21"/>
              </w:rPr>
            </w:pPr>
            <w:r>
              <w:rPr>
                <w:sz w:val="21"/>
              </w:rPr>
              <w:t>(4)持学习驾驶证学习驾车时，无教练员随车指导，或不按指定时间、路线学</w:t>
            </w:r>
          </w:p>
        </w:tc>
      </w:tr>
      <w:tr>
        <w:trPr>
          <w:trHeight w:val="378" w:hRule="atLeast"/>
        </w:trPr>
        <w:tc>
          <w:tcPr>
            <w:tcW w:w="695" w:type="dxa"/>
          </w:tcPr>
          <w:p>
            <w:pPr>
              <w:pStyle w:val="TableParagraph"/>
              <w:rPr>
                <w:rFonts w:ascii="Times New Roman"/>
                <w:sz w:val="20"/>
              </w:rPr>
            </w:pPr>
          </w:p>
        </w:tc>
        <w:tc>
          <w:tcPr>
            <w:tcW w:w="1692" w:type="dxa"/>
          </w:tcPr>
          <w:p>
            <w:pPr>
              <w:pStyle w:val="TableParagraph"/>
              <w:rPr>
                <w:rFonts w:ascii="Times New Roman"/>
                <w:sz w:val="20"/>
              </w:rPr>
            </w:pPr>
          </w:p>
        </w:tc>
        <w:tc>
          <w:tcPr>
            <w:tcW w:w="7273" w:type="dxa"/>
          </w:tcPr>
          <w:p>
            <w:pPr>
              <w:pStyle w:val="TableParagraph"/>
              <w:spacing w:line="259" w:lineRule="exact"/>
              <w:ind w:left="159"/>
              <w:rPr>
                <w:sz w:val="21"/>
              </w:rPr>
            </w:pPr>
            <w:r>
              <w:rPr>
                <w:sz w:val="21"/>
              </w:rPr>
              <w:t>习驾车。</w:t>
            </w:r>
          </w:p>
        </w:tc>
      </w:tr>
      <w:tr>
        <w:trPr>
          <w:trHeight w:val="403" w:hRule="atLeast"/>
        </w:trPr>
        <w:tc>
          <w:tcPr>
            <w:tcW w:w="695" w:type="dxa"/>
          </w:tcPr>
          <w:p>
            <w:pPr>
              <w:pStyle w:val="TableParagraph"/>
              <w:spacing w:before="42"/>
              <w:ind w:left="108"/>
              <w:rPr>
                <w:rFonts w:ascii="黑体"/>
                <w:sz w:val="21"/>
              </w:rPr>
            </w:pPr>
            <w:r>
              <w:rPr>
                <w:rFonts w:ascii="黑体"/>
                <w:sz w:val="21"/>
              </w:rPr>
              <w:t>7.6</w:t>
            </w:r>
          </w:p>
        </w:tc>
        <w:tc>
          <w:tcPr>
            <w:tcW w:w="1692" w:type="dxa"/>
          </w:tcPr>
          <w:p>
            <w:pPr>
              <w:pStyle w:val="TableParagraph"/>
              <w:spacing w:before="67"/>
              <w:ind w:left="272"/>
              <w:rPr>
                <w:rFonts w:ascii="黑体" w:eastAsia="黑体" w:hint="eastAsia"/>
                <w:sz w:val="21"/>
              </w:rPr>
            </w:pPr>
            <w:r>
              <w:rPr>
                <w:rFonts w:ascii="黑体" w:eastAsia="黑体" w:hint="eastAsia"/>
                <w:sz w:val="21"/>
              </w:rPr>
              <w:t>无有效行驶证</w:t>
            </w:r>
          </w:p>
        </w:tc>
        <w:tc>
          <w:tcPr>
            <w:tcW w:w="7273" w:type="dxa"/>
          </w:tcPr>
          <w:p>
            <w:pPr>
              <w:pStyle w:val="TableParagraph"/>
              <w:spacing w:before="67"/>
              <w:ind w:left="159"/>
              <w:rPr>
                <w:sz w:val="21"/>
              </w:rPr>
            </w:pPr>
            <w:r>
              <w:rPr>
                <w:sz w:val="21"/>
              </w:rPr>
              <w:t>指下列情形之一：</w:t>
            </w:r>
          </w:p>
        </w:tc>
      </w:tr>
      <w:tr>
        <w:trPr>
          <w:trHeight w:val="319" w:hRule="atLeast"/>
        </w:trPr>
        <w:tc>
          <w:tcPr>
            <w:tcW w:w="695" w:type="dxa"/>
          </w:tcPr>
          <w:p>
            <w:pPr>
              <w:pStyle w:val="TableParagraph"/>
              <w:rPr>
                <w:rFonts w:ascii="Times New Roman"/>
                <w:sz w:val="20"/>
              </w:rPr>
            </w:pPr>
          </w:p>
        </w:tc>
        <w:tc>
          <w:tcPr>
            <w:tcW w:w="1692" w:type="dxa"/>
          </w:tcPr>
          <w:p>
            <w:pPr>
              <w:pStyle w:val="TableParagraph"/>
              <w:rPr>
                <w:rFonts w:ascii="Times New Roman"/>
                <w:sz w:val="20"/>
              </w:rPr>
            </w:pPr>
          </w:p>
        </w:tc>
        <w:tc>
          <w:tcPr>
            <w:tcW w:w="7273" w:type="dxa"/>
          </w:tcPr>
          <w:p>
            <w:pPr>
              <w:pStyle w:val="TableParagraph"/>
              <w:spacing w:line="259" w:lineRule="exact"/>
              <w:ind w:left="159"/>
              <w:rPr>
                <w:sz w:val="21"/>
              </w:rPr>
            </w:pPr>
            <w:r>
              <w:rPr>
                <w:sz w:val="21"/>
              </w:rPr>
              <w:t>(1)未取得行驶证；</w:t>
            </w:r>
          </w:p>
        </w:tc>
      </w:tr>
      <w:tr>
        <w:trPr>
          <w:trHeight w:val="319" w:hRule="atLeast"/>
        </w:trPr>
        <w:tc>
          <w:tcPr>
            <w:tcW w:w="695" w:type="dxa"/>
          </w:tcPr>
          <w:p>
            <w:pPr>
              <w:pStyle w:val="TableParagraph"/>
              <w:rPr>
                <w:rFonts w:ascii="Times New Roman"/>
                <w:sz w:val="20"/>
              </w:rPr>
            </w:pPr>
          </w:p>
        </w:tc>
        <w:tc>
          <w:tcPr>
            <w:tcW w:w="1692" w:type="dxa"/>
          </w:tcPr>
          <w:p>
            <w:pPr>
              <w:pStyle w:val="TableParagraph"/>
              <w:rPr>
                <w:rFonts w:ascii="Times New Roman"/>
                <w:sz w:val="20"/>
              </w:rPr>
            </w:pPr>
          </w:p>
        </w:tc>
        <w:tc>
          <w:tcPr>
            <w:tcW w:w="7273" w:type="dxa"/>
          </w:tcPr>
          <w:p>
            <w:pPr>
              <w:pStyle w:val="TableParagraph"/>
              <w:spacing w:line="258" w:lineRule="exact"/>
              <w:ind w:left="159"/>
              <w:rPr>
                <w:sz w:val="21"/>
              </w:rPr>
            </w:pPr>
            <w:r>
              <w:rPr>
                <w:sz w:val="21"/>
              </w:rPr>
              <w:t>(2)机动车被依法注销登记的；</w:t>
            </w:r>
          </w:p>
        </w:tc>
      </w:tr>
      <w:tr>
        <w:trPr>
          <w:trHeight w:val="378" w:hRule="atLeast"/>
        </w:trPr>
        <w:tc>
          <w:tcPr>
            <w:tcW w:w="695" w:type="dxa"/>
          </w:tcPr>
          <w:p>
            <w:pPr>
              <w:pStyle w:val="TableParagraph"/>
              <w:rPr>
                <w:rFonts w:ascii="Times New Roman"/>
                <w:sz w:val="20"/>
              </w:rPr>
            </w:pPr>
          </w:p>
        </w:tc>
        <w:tc>
          <w:tcPr>
            <w:tcW w:w="1692" w:type="dxa"/>
          </w:tcPr>
          <w:p>
            <w:pPr>
              <w:pStyle w:val="TableParagraph"/>
              <w:rPr>
                <w:rFonts w:ascii="Times New Roman"/>
                <w:sz w:val="20"/>
              </w:rPr>
            </w:pPr>
          </w:p>
        </w:tc>
        <w:tc>
          <w:tcPr>
            <w:tcW w:w="7273" w:type="dxa"/>
          </w:tcPr>
          <w:p>
            <w:pPr>
              <w:pStyle w:val="TableParagraph"/>
              <w:spacing w:line="259" w:lineRule="exact"/>
              <w:ind w:left="159"/>
              <w:rPr>
                <w:sz w:val="21"/>
              </w:rPr>
            </w:pPr>
            <w:r>
              <w:rPr>
                <w:sz w:val="21"/>
              </w:rPr>
              <w:t>(3)未依法按时进行或通过机动车安全技术检验。</w:t>
            </w:r>
          </w:p>
        </w:tc>
      </w:tr>
      <w:tr>
        <w:trPr>
          <w:trHeight w:val="403" w:hRule="atLeast"/>
        </w:trPr>
        <w:tc>
          <w:tcPr>
            <w:tcW w:w="695" w:type="dxa"/>
          </w:tcPr>
          <w:p>
            <w:pPr>
              <w:pStyle w:val="TableParagraph"/>
              <w:spacing w:before="42"/>
              <w:ind w:left="108"/>
              <w:rPr>
                <w:rFonts w:ascii="黑体"/>
                <w:sz w:val="21"/>
              </w:rPr>
            </w:pPr>
            <w:r>
              <w:rPr>
                <w:rFonts w:ascii="黑体"/>
                <w:sz w:val="21"/>
              </w:rPr>
              <w:t>7.7</w:t>
            </w:r>
          </w:p>
        </w:tc>
        <w:tc>
          <w:tcPr>
            <w:tcW w:w="1692" w:type="dxa"/>
          </w:tcPr>
          <w:p>
            <w:pPr>
              <w:pStyle w:val="TableParagraph"/>
              <w:spacing w:before="67"/>
              <w:ind w:left="272"/>
              <w:rPr>
                <w:rFonts w:ascii="黑体" w:eastAsia="黑体" w:hint="eastAsia"/>
                <w:sz w:val="21"/>
              </w:rPr>
            </w:pPr>
            <w:r>
              <w:rPr>
                <w:rFonts w:ascii="黑体" w:eastAsia="黑体" w:hint="eastAsia"/>
                <w:sz w:val="21"/>
              </w:rPr>
              <w:t>机动车</w:t>
            </w:r>
          </w:p>
        </w:tc>
        <w:tc>
          <w:tcPr>
            <w:tcW w:w="7273" w:type="dxa"/>
          </w:tcPr>
          <w:p>
            <w:pPr>
              <w:pStyle w:val="TableParagraph"/>
              <w:spacing w:before="67"/>
              <w:ind w:left="159"/>
              <w:rPr>
                <w:sz w:val="21"/>
              </w:rPr>
            </w:pPr>
            <w:r>
              <w:rPr>
                <w:sz w:val="21"/>
              </w:rPr>
              <w:t>指以动力装置驱动或者牵引，上道路行驶的供人员乘用或者用于运送物品以</w:t>
            </w:r>
          </w:p>
        </w:tc>
      </w:tr>
      <w:tr>
        <w:trPr>
          <w:trHeight w:val="378" w:hRule="atLeast"/>
        </w:trPr>
        <w:tc>
          <w:tcPr>
            <w:tcW w:w="695" w:type="dxa"/>
          </w:tcPr>
          <w:p>
            <w:pPr>
              <w:pStyle w:val="TableParagraph"/>
              <w:rPr>
                <w:rFonts w:ascii="Times New Roman"/>
                <w:sz w:val="20"/>
              </w:rPr>
            </w:pPr>
          </w:p>
        </w:tc>
        <w:tc>
          <w:tcPr>
            <w:tcW w:w="1692" w:type="dxa"/>
          </w:tcPr>
          <w:p>
            <w:pPr>
              <w:pStyle w:val="TableParagraph"/>
              <w:rPr>
                <w:rFonts w:ascii="Times New Roman"/>
                <w:sz w:val="20"/>
              </w:rPr>
            </w:pPr>
          </w:p>
        </w:tc>
        <w:tc>
          <w:tcPr>
            <w:tcW w:w="7273" w:type="dxa"/>
          </w:tcPr>
          <w:p>
            <w:pPr>
              <w:pStyle w:val="TableParagraph"/>
              <w:spacing w:line="259" w:lineRule="exact"/>
              <w:ind w:left="159"/>
              <w:rPr>
                <w:sz w:val="21"/>
              </w:rPr>
            </w:pPr>
            <w:r>
              <w:rPr>
                <w:sz w:val="21"/>
              </w:rPr>
              <w:t>及进行工程专项作业的轮式车辆。</w:t>
            </w:r>
          </w:p>
        </w:tc>
      </w:tr>
      <w:tr>
        <w:trPr>
          <w:trHeight w:val="403" w:hRule="atLeast"/>
        </w:trPr>
        <w:tc>
          <w:tcPr>
            <w:tcW w:w="695" w:type="dxa"/>
          </w:tcPr>
          <w:p>
            <w:pPr>
              <w:pStyle w:val="TableParagraph"/>
              <w:spacing w:before="42"/>
              <w:ind w:left="108"/>
              <w:rPr>
                <w:rFonts w:ascii="黑体"/>
                <w:sz w:val="21"/>
              </w:rPr>
            </w:pPr>
            <w:r>
              <w:rPr>
                <w:rFonts w:ascii="黑体"/>
                <w:sz w:val="21"/>
              </w:rPr>
              <w:t>7.8</w:t>
            </w:r>
          </w:p>
        </w:tc>
        <w:tc>
          <w:tcPr>
            <w:tcW w:w="1692" w:type="dxa"/>
          </w:tcPr>
          <w:p>
            <w:pPr>
              <w:pStyle w:val="TableParagraph"/>
              <w:spacing w:before="67"/>
              <w:ind w:left="272"/>
              <w:rPr>
                <w:rFonts w:ascii="黑体" w:eastAsia="黑体" w:hint="eastAsia"/>
                <w:sz w:val="21"/>
              </w:rPr>
            </w:pPr>
            <w:r>
              <w:rPr>
                <w:rFonts w:ascii="黑体" w:eastAsia="黑体" w:hint="eastAsia"/>
                <w:sz w:val="21"/>
              </w:rPr>
              <w:t>遗传性疾病</w:t>
            </w:r>
          </w:p>
        </w:tc>
        <w:tc>
          <w:tcPr>
            <w:tcW w:w="7273" w:type="dxa"/>
          </w:tcPr>
          <w:p>
            <w:pPr>
              <w:pStyle w:val="TableParagraph"/>
              <w:spacing w:before="67"/>
              <w:ind w:left="159"/>
              <w:rPr>
                <w:sz w:val="21"/>
              </w:rPr>
            </w:pPr>
            <w:r>
              <w:rPr>
                <w:sz w:val="21"/>
              </w:rPr>
              <w:t>指生殖细胞或受精卵的遗传物质（染色体和基因）发生突变或畸变所引起的</w:t>
            </w:r>
          </w:p>
        </w:tc>
      </w:tr>
      <w:tr>
        <w:trPr>
          <w:trHeight w:val="377" w:hRule="atLeast"/>
        </w:trPr>
        <w:tc>
          <w:tcPr>
            <w:tcW w:w="695" w:type="dxa"/>
          </w:tcPr>
          <w:p>
            <w:pPr>
              <w:pStyle w:val="TableParagraph"/>
              <w:rPr>
                <w:rFonts w:ascii="Times New Roman"/>
                <w:sz w:val="20"/>
              </w:rPr>
            </w:pPr>
          </w:p>
        </w:tc>
        <w:tc>
          <w:tcPr>
            <w:tcW w:w="1692" w:type="dxa"/>
          </w:tcPr>
          <w:p>
            <w:pPr>
              <w:pStyle w:val="TableParagraph"/>
              <w:rPr>
                <w:rFonts w:ascii="Times New Roman"/>
                <w:sz w:val="20"/>
              </w:rPr>
            </w:pPr>
          </w:p>
        </w:tc>
        <w:tc>
          <w:tcPr>
            <w:tcW w:w="7273" w:type="dxa"/>
          </w:tcPr>
          <w:p>
            <w:pPr>
              <w:pStyle w:val="TableParagraph"/>
              <w:spacing w:line="258" w:lineRule="exact"/>
              <w:ind w:left="159"/>
              <w:rPr>
                <w:sz w:val="21"/>
              </w:rPr>
            </w:pPr>
            <w:r>
              <w:rPr>
                <w:sz w:val="21"/>
              </w:rPr>
              <w:t>疾病，通常具有由亲代传至后代的垂直传递的特征。</w:t>
            </w:r>
          </w:p>
        </w:tc>
      </w:tr>
      <w:tr>
        <w:trPr>
          <w:trHeight w:val="348" w:hRule="atLeast"/>
        </w:trPr>
        <w:tc>
          <w:tcPr>
            <w:tcW w:w="695" w:type="dxa"/>
          </w:tcPr>
          <w:p>
            <w:pPr>
              <w:pStyle w:val="TableParagraph"/>
              <w:spacing w:before="42"/>
              <w:ind w:left="108"/>
              <w:rPr>
                <w:rFonts w:ascii="黑体"/>
                <w:sz w:val="21"/>
              </w:rPr>
            </w:pPr>
            <w:r>
              <w:rPr>
                <w:rFonts w:ascii="黑体"/>
                <w:sz w:val="21"/>
              </w:rPr>
              <w:t>7.9</w:t>
            </w:r>
          </w:p>
        </w:tc>
        <w:tc>
          <w:tcPr>
            <w:tcW w:w="1692" w:type="dxa"/>
          </w:tcPr>
          <w:p>
            <w:pPr>
              <w:pStyle w:val="TableParagraph"/>
              <w:spacing w:line="261" w:lineRule="exact" w:before="67"/>
              <w:ind w:left="272"/>
              <w:rPr>
                <w:rFonts w:ascii="黑体" w:eastAsia="黑体" w:hint="eastAsia"/>
                <w:sz w:val="21"/>
              </w:rPr>
            </w:pPr>
            <w:r>
              <w:rPr>
                <w:rFonts w:ascii="黑体" w:eastAsia="黑体" w:hint="eastAsia"/>
                <w:sz w:val="21"/>
              </w:rPr>
              <w:t>先天性畸形、</w:t>
            </w:r>
          </w:p>
        </w:tc>
        <w:tc>
          <w:tcPr>
            <w:tcW w:w="7273" w:type="dxa"/>
          </w:tcPr>
          <w:p>
            <w:pPr>
              <w:pStyle w:val="TableParagraph"/>
              <w:spacing w:line="261" w:lineRule="exact" w:before="67"/>
              <w:ind w:left="159"/>
              <w:rPr>
                <w:sz w:val="21"/>
              </w:rPr>
            </w:pPr>
            <w:r>
              <w:rPr>
                <w:sz w:val="21"/>
              </w:rPr>
              <w:t>指被保险人出生时就具有的畸形、变形或染色体异常。先天性畸形、变形和</w:t>
            </w:r>
          </w:p>
        </w:tc>
      </w:tr>
    </w:tbl>
    <w:p>
      <w:pPr>
        <w:spacing w:after="0" w:line="261" w:lineRule="exact"/>
        <w:rPr>
          <w:sz w:val="21"/>
        </w:rPr>
        <w:sectPr>
          <w:pgSz w:w="11910" w:h="16840"/>
          <w:pgMar w:top="1500" w:bottom="280" w:left="960" w:right="1060"/>
        </w:sectPr>
      </w:pPr>
    </w:p>
    <w:p>
      <w:pPr>
        <w:pStyle w:val="BodyText"/>
        <w:spacing w:line="278" w:lineRule="auto" w:before="8"/>
        <w:ind w:left="976"/>
        <w:rPr>
          <w:rFonts w:ascii="黑体" w:eastAsia="黑体" w:hint="eastAsia"/>
        </w:rPr>
      </w:pPr>
      <w:r>
        <w:rPr>
          <w:rFonts w:ascii="黑体" w:eastAsia="黑体" w:hint="eastAsia"/>
        </w:rPr>
        <w:t>变形或染色体异常</w:t>
      </w:r>
    </w:p>
    <w:p>
      <w:pPr>
        <w:pStyle w:val="ListParagraph"/>
        <w:numPr>
          <w:ilvl w:val="1"/>
          <w:numId w:val="7"/>
        </w:numPr>
        <w:tabs>
          <w:tab w:pos="976" w:val="left" w:leader="none"/>
          <w:tab w:pos="977" w:val="left" w:leader="none"/>
        </w:tabs>
        <w:spacing w:line="280" w:lineRule="auto" w:before="123" w:after="0"/>
        <w:ind w:left="976" w:right="0" w:hanging="859"/>
        <w:jc w:val="left"/>
        <w:rPr>
          <w:rFonts w:ascii="黑体" w:eastAsia="黑体" w:hint="eastAsia"/>
          <w:sz w:val="21"/>
        </w:rPr>
      </w:pPr>
      <w:r>
        <w:rPr>
          <w:rFonts w:ascii="黑体" w:eastAsia="黑体" w:hint="eastAsia"/>
          <w:sz w:val="21"/>
        </w:rPr>
        <w:t>感染艾滋病病毒或患艾滋病</w:t>
      </w:r>
    </w:p>
    <w:p>
      <w:pPr>
        <w:pStyle w:val="BodyText"/>
        <w:spacing w:before="8"/>
        <w:ind w:left="117"/>
      </w:pPr>
      <w:r>
        <w:rPr/>
        <w:br w:type="column"/>
      </w:r>
      <w:r>
        <w:rPr/>
        <w:t>染色体异常依照世界卫生组织《疾病和有关健康问题的国际统计分类》</w:t>
      </w:r>
    </w:p>
    <w:p>
      <w:pPr>
        <w:pStyle w:val="BodyText"/>
        <w:spacing w:before="43"/>
        <w:ind w:left="117"/>
      </w:pPr>
      <w:r>
        <w:rPr/>
        <w:t>（ICD-10）确定。</w:t>
      </w:r>
    </w:p>
    <w:p>
      <w:pPr>
        <w:pStyle w:val="BodyText"/>
        <w:spacing w:before="3"/>
        <w:ind w:left="0"/>
        <w:rPr>
          <w:sz w:val="14"/>
        </w:rPr>
      </w:pPr>
    </w:p>
    <w:p>
      <w:pPr>
        <w:pStyle w:val="BodyText"/>
        <w:spacing w:line="280" w:lineRule="auto" w:before="0"/>
        <w:ind w:left="117" w:right="241"/>
      </w:pPr>
      <w:r>
        <w:rPr>
          <w:spacing w:val="-7"/>
        </w:rPr>
        <w:t>艾滋病病毒指人类免疫缺陷病毒，英文缩写为 </w:t>
      </w:r>
      <w:r>
        <w:rPr/>
        <w:t>HIV</w:t>
      </w:r>
      <w:r>
        <w:rPr>
          <w:spacing w:val="-7"/>
        </w:rPr>
        <w:t>。艾滋病指人类免疫缺陷病</w:t>
      </w:r>
      <w:r>
        <w:rPr>
          <w:spacing w:val="-11"/>
        </w:rPr>
        <w:t>毒引起的获得性免疫缺陷综合征，英文缩写为 </w:t>
      </w:r>
      <w:r>
        <w:rPr/>
        <w:t>AIDS。</w:t>
      </w:r>
    </w:p>
    <w:p>
      <w:pPr>
        <w:pStyle w:val="BodyText"/>
        <w:spacing w:line="278" w:lineRule="auto" w:before="9"/>
        <w:ind w:left="117" w:right="136"/>
      </w:pPr>
      <w:r>
        <w:rPr/>
        <w:t>在人体血液或其他样本中检测到艾滋病病毒或其抗体呈阳性，没有出现临床</w:t>
      </w:r>
      <w:r>
        <w:rPr>
          <w:spacing w:val="-4"/>
        </w:rPr>
        <w:t>症状或体征的，为感染艾滋病病毒；如果同时出现了明显临床症状或体征的， 为患艾滋病。</w:t>
      </w:r>
    </w:p>
    <w:p>
      <w:pPr>
        <w:spacing w:after="0" w:line="278" w:lineRule="auto"/>
        <w:sectPr>
          <w:pgSz w:w="11910" w:h="16840"/>
          <w:pgMar w:top="1420" w:bottom="280" w:left="1060" w:right="1040"/>
          <w:cols w:num="2" w:equalWidth="0">
            <w:col w:w="2237" w:space="201"/>
            <w:col w:w="7372"/>
          </w:cols>
        </w:sectPr>
      </w:pPr>
    </w:p>
    <w:p>
      <w:pPr>
        <w:pStyle w:val="ListParagraph"/>
        <w:numPr>
          <w:ilvl w:val="1"/>
          <w:numId w:val="7"/>
        </w:numPr>
        <w:tabs>
          <w:tab w:pos="976" w:val="left" w:leader="none"/>
          <w:tab w:pos="977" w:val="left" w:leader="none"/>
          <w:tab w:pos="2555" w:val="left" w:leader="none"/>
        </w:tabs>
        <w:spacing w:line="280" w:lineRule="auto" w:before="123" w:after="0"/>
        <w:ind w:left="2555" w:right="237" w:hanging="2438"/>
        <w:jc w:val="left"/>
        <w:rPr>
          <w:sz w:val="21"/>
        </w:rPr>
      </w:pPr>
      <w:r>
        <w:rPr>
          <w:rFonts w:ascii="黑体" w:eastAsia="黑体" w:hint="eastAsia"/>
          <w:sz w:val="21"/>
        </w:rPr>
        <w:t>现金价值</w:t>
        <w:tab/>
      </w:r>
      <w:r>
        <w:rPr>
          <w:sz w:val="21"/>
        </w:rPr>
        <w:t>指本附加险合同所具有的价值，通常体现为解除合同时，根据精算原理计算 的，由我们退还的那部分金额。现金价值见本附加险合同相应栏目。</w:t>
      </w:r>
    </w:p>
    <w:p>
      <w:pPr>
        <w:pStyle w:val="Heading2"/>
        <w:spacing w:line="309" w:lineRule="exact"/>
        <w:ind w:left="148"/>
        <w:rPr>
          <w:rFonts w:ascii="微软雅黑" w:eastAsia="微软雅黑" w:hint="eastAsia"/>
        </w:rPr>
      </w:pPr>
      <w:r>
        <w:rPr>
          <w:rFonts w:ascii="微软雅黑" w:eastAsia="微软雅黑" w:hint="eastAsia"/>
        </w:rPr>
        <w:t>附件 1：重大疾病范围及定义</w:t>
      </w:r>
    </w:p>
    <w:p>
      <w:pPr>
        <w:pStyle w:val="BodyText"/>
        <w:tabs>
          <w:tab w:pos="2616" w:val="left" w:leader="none"/>
        </w:tabs>
        <w:spacing w:line="228" w:lineRule="auto" w:before="175"/>
        <w:ind w:left="2616" w:right="200" w:hanging="1629"/>
      </w:pPr>
      <w:r>
        <w:rPr/>
        <w:t>重大疾病</w:t>
        <w:tab/>
        <w:t>指被保险人初次发生符合下列定义的疾病，或初次接受符合下列所定义的手 术。该疾病或手术由</w:t>
      </w:r>
      <w:r>
        <w:rPr>
          <w:rFonts w:ascii="微软雅黑" w:eastAsia="微软雅黑" w:hint="eastAsia"/>
          <w:b/>
        </w:rPr>
        <w:t>专科医生</w:t>
      </w:r>
      <w:r>
        <w:rPr/>
        <w:t>明确诊断。以下是本附加险合同所附四十种重</w:t>
      </w:r>
    </w:p>
    <w:p>
      <w:pPr>
        <w:pStyle w:val="BodyText"/>
        <w:spacing w:line="278" w:lineRule="auto" w:before="19"/>
        <w:ind w:left="2616" w:right="200"/>
        <w:jc w:val="both"/>
      </w:pPr>
      <w:r>
        <w:rPr/>
        <w:t>大疾病的定义，其中第一种至第二十五种重大疾病是中国保险行业协会制定的《重大疾病保险的疾病定义使用规范》中列明的疾病，第二十六种至第四十种重大疾病是我们在上述《重大疾病保险的疾病定义使用规范》定义的疾病范围之外增加的疾病。</w:t>
      </w:r>
    </w:p>
    <w:p>
      <w:pPr>
        <w:pStyle w:val="BodyText"/>
        <w:spacing w:before="153"/>
        <w:ind w:left="2616"/>
      </w:pPr>
      <w:r>
        <w:rPr/>
        <w:t>（一）恶性肿瘤</w:t>
      </w:r>
    </w:p>
    <w:p>
      <w:pPr>
        <w:pStyle w:val="BodyText"/>
        <w:spacing w:line="278" w:lineRule="auto" w:before="44"/>
        <w:ind w:left="2616" w:right="200"/>
        <w:jc w:val="both"/>
      </w:pPr>
      <w:r>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w:t>
      </w:r>
      <w:r>
        <w:rPr>
          <w:spacing w:val="-53"/>
        </w:rPr>
        <w:t>类》</w:t>
      </w:r>
      <w:r>
        <w:rPr>
          <w:spacing w:val="-1"/>
        </w:rPr>
        <w:t>（ICD-10）的恶性肿瘤范畴。</w:t>
      </w:r>
    </w:p>
    <w:p>
      <w:pPr>
        <w:pStyle w:val="BodyText"/>
        <w:spacing w:line="280" w:lineRule="auto" w:before="11"/>
        <w:ind w:left="2616" w:right="4654"/>
      </w:pPr>
      <w:r>
        <w:rPr>
          <w:shd w:fill="D9D9D9" w:color="auto" w:val="clear"/>
        </w:rPr>
        <w:t>下列疾病不在保障范围内：</w:t>
      </w:r>
      <w:r>
        <w:rPr/>
        <w:t> </w:t>
      </w:r>
      <w:r>
        <w:rPr>
          <w:shd w:fill="D9D9D9" w:color="auto" w:val="clear"/>
        </w:rPr>
        <w:t>(1)原位癌；</w:t>
      </w:r>
    </w:p>
    <w:p>
      <w:pPr>
        <w:pStyle w:val="BodyText"/>
        <w:spacing w:before="8"/>
        <w:ind w:left="2616"/>
      </w:pPr>
      <w:r>
        <w:rPr>
          <w:shd w:fill="D9D9D9" w:color="auto" w:val="clear"/>
        </w:rPr>
        <w:t>(2)相当于 Binet 分期方案 A 期程度的慢性淋巴细胞白血病；</w:t>
      </w:r>
    </w:p>
    <w:p>
      <w:pPr>
        <w:pStyle w:val="BodyText"/>
        <w:spacing w:line="278" w:lineRule="auto"/>
        <w:ind w:left="2616" w:right="1725"/>
      </w:pPr>
      <w:r>
        <w:rPr>
          <w:shd w:fill="D9D9D9" w:color="auto" w:val="clear"/>
        </w:rPr>
        <w:t>(3)</w:t>
      </w:r>
      <w:r>
        <w:rPr>
          <w:spacing w:val="-14"/>
          <w:shd w:fill="D9D9D9" w:color="auto" w:val="clear"/>
        </w:rPr>
        <w:t>相当于 </w:t>
      </w:r>
      <w:r>
        <w:rPr>
          <w:shd w:fill="D9D9D9" w:color="auto" w:val="clear"/>
        </w:rPr>
        <w:t>Ann</w:t>
      </w:r>
      <w:r>
        <w:rPr>
          <w:spacing w:val="-5"/>
          <w:shd w:fill="D9D9D9" w:color="auto" w:val="clear"/>
        </w:rPr>
        <w:t> </w:t>
      </w:r>
      <w:r>
        <w:rPr>
          <w:shd w:fill="D9D9D9" w:color="auto" w:val="clear"/>
        </w:rPr>
        <w:t>Arbor</w:t>
      </w:r>
      <w:r>
        <w:rPr>
          <w:spacing w:val="-20"/>
          <w:shd w:fill="D9D9D9" w:color="auto" w:val="clear"/>
        </w:rPr>
        <w:t> 分期方案 </w:t>
      </w:r>
      <w:r>
        <w:rPr>
          <w:shd w:fill="D9D9D9" w:color="auto" w:val="clear"/>
        </w:rPr>
        <w:t>I</w:t>
      </w:r>
      <w:r>
        <w:rPr>
          <w:spacing w:val="-8"/>
          <w:shd w:fill="D9D9D9" w:color="auto" w:val="clear"/>
        </w:rPr>
        <w:t> 期程度的何杰金氏病；</w:t>
      </w:r>
      <w:r>
        <w:rPr>
          <w:spacing w:val="-8"/>
        </w:rPr>
        <w:t> </w:t>
      </w:r>
      <w:r>
        <w:rPr>
          <w:spacing w:val="-1"/>
          <w:shd w:fill="D9D9D9" w:color="auto" w:val="clear"/>
        </w:rPr>
        <w:t>(4)皮肤癌（不包括恶性黑色素瘤及已发生转移的皮肤癌</w:t>
      </w:r>
      <w:r>
        <w:rPr>
          <w:spacing w:val="-105"/>
          <w:shd w:fill="D9D9D9" w:color="auto" w:val="clear"/>
        </w:rPr>
        <w:t>）</w:t>
      </w:r>
      <w:r>
        <w:rPr>
          <w:shd w:fill="D9D9D9" w:color="auto" w:val="clear"/>
        </w:rPr>
        <w:t>；</w:t>
      </w:r>
      <w:r>
        <w:rPr/>
        <w:t> </w:t>
      </w:r>
      <w:r>
        <w:rPr>
          <w:shd w:fill="D9D9D9" w:color="auto" w:val="clear"/>
        </w:rPr>
        <w:t>(5)TNM</w:t>
      </w:r>
      <w:r>
        <w:rPr>
          <w:spacing w:val="7"/>
          <w:shd w:fill="D9D9D9" w:color="auto" w:val="clear"/>
        </w:rPr>
        <w:t>  分期为  </w:t>
      </w:r>
      <w:r>
        <w:rPr>
          <w:shd w:fill="D9D9D9" w:color="auto" w:val="clear"/>
        </w:rPr>
        <w:t>T1N0M0  期或更轻分期的前列腺癌； </w:t>
      </w:r>
      <w:r>
        <w:rPr>
          <w:spacing w:val="-1"/>
          <w:shd w:fill="D9D9D9" w:color="auto" w:val="clear"/>
        </w:rPr>
        <w:t>(6)感染艾滋病病毒或患艾滋病期间所患恶性肿瘤。</w:t>
      </w:r>
    </w:p>
    <w:p>
      <w:pPr>
        <w:pStyle w:val="BodyText"/>
        <w:spacing w:before="153"/>
        <w:ind w:left="2616"/>
      </w:pPr>
      <w:r>
        <w:rPr/>
        <w:t>（二）急性心肌梗塞</w:t>
      </w:r>
    </w:p>
    <w:p>
      <w:pPr>
        <w:pStyle w:val="BodyText"/>
        <w:spacing w:line="278" w:lineRule="auto"/>
        <w:ind w:left="2616" w:right="200"/>
      </w:pPr>
      <w:r>
        <w:rPr/>
        <w:t>指因冠状动脉阻塞导致的相应区域供血不足造成部分心肌坏死。须满足下列至少三项条件：</w:t>
      </w:r>
    </w:p>
    <w:p>
      <w:pPr>
        <w:pStyle w:val="BodyText"/>
        <w:spacing w:line="280" w:lineRule="auto" w:before="11"/>
        <w:ind w:left="2616" w:right="3301"/>
      </w:pPr>
      <w:r>
        <w:rPr/>
        <w:t>(1)典型临床表现，例如急性胸痛等；  </w:t>
      </w:r>
      <w:r>
        <w:rPr>
          <w:spacing w:val="-1"/>
        </w:rPr>
        <w:t>(2)新近的心电图改变提示急性心肌梗塞；</w:t>
      </w:r>
    </w:p>
    <w:p>
      <w:pPr>
        <w:pStyle w:val="BodyText"/>
        <w:spacing w:line="280" w:lineRule="auto" w:before="8"/>
        <w:ind w:left="2616" w:right="140"/>
      </w:pPr>
      <w:r>
        <w:rPr/>
        <w:t>(3)心肌酶或肌钙蛋白有诊断意义的升高，或呈符合急性心肌梗塞的动态性变化；</w:t>
      </w:r>
    </w:p>
    <w:p>
      <w:pPr>
        <w:pStyle w:val="BodyText"/>
        <w:spacing w:before="4"/>
        <w:ind w:left="2616"/>
      </w:pPr>
      <w:r>
        <w:rPr>
          <w:position w:val="1"/>
        </w:rPr>
        <w:t>(4)发病</w:t>
      </w:r>
      <w:r>
        <w:rPr>
          <w:spacing w:val="-68"/>
          <w:position w:val="1"/>
        </w:rPr>
        <w:t> </w:t>
      </w:r>
      <w:r>
        <w:rPr>
          <w:position w:val="1"/>
        </w:rPr>
        <w:t>90</w:t>
      </w:r>
      <w:r>
        <w:rPr>
          <w:spacing w:val="-68"/>
          <w:position w:val="1"/>
        </w:rPr>
        <w:t> </w:t>
      </w:r>
      <w:r>
        <w:rPr>
          <w:position w:val="1"/>
        </w:rPr>
        <w:t>天后，经检查证实左心室功能降低，如左心室射血分数低于</w:t>
      </w:r>
      <w:r>
        <w:rPr>
          <w:spacing w:val="-53"/>
          <w:position w:val="1"/>
        </w:rPr>
        <w:t> </w:t>
      </w:r>
      <w:r>
        <w:rPr>
          <w:spacing w:val="3"/>
        </w:rPr>
        <w:drawing>
          <wp:inline distT="0" distB="0" distL="0" distR="0">
            <wp:extent cx="60325" cy="104775"/>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position w:val="1"/>
        </w:rPr>
        <w:t>。</w:t>
      </w:r>
    </w:p>
    <w:p>
      <w:pPr>
        <w:pStyle w:val="BodyText"/>
        <w:spacing w:before="8"/>
        <w:ind w:left="0"/>
        <w:rPr>
          <w:sz w:val="14"/>
        </w:rPr>
      </w:pPr>
    </w:p>
    <w:p>
      <w:pPr>
        <w:pStyle w:val="BodyText"/>
        <w:spacing w:before="0"/>
        <w:ind w:left="2616"/>
      </w:pPr>
      <w:r>
        <w:rPr/>
        <w:t>（三）脑中风后遗症</w:t>
      </w:r>
    </w:p>
    <w:p>
      <w:pPr>
        <w:pStyle w:val="BodyText"/>
        <w:spacing w:line="280" w:lineRule="auto" w:before="44"/>
        <w:ind w:left="2616" w:right="200"/>
        <w:jc w:val="both"/>
      </w:pPr>
      <w:r>
        <w:rPr/>
        <w:t>指因脑血管的突发病变引起脑血管出血、栓塞或梗塞，并导致神经系统永久</w:t>
      </w:r>
      <w:r>
        <w:rPr>
          <w:spacing w:val="-1"/>
        </w:rPr>
        <w:t>性的功能障碍。神经系统永久性的功能障碍，指疾病确诊 </w:t>
      </w:r>
      <w:r>
        <w:rPr/>
        <w:t>180</w:t>
      </w:r>
      <w:r>
        <w:rPr>
          <w:spacing w:val="-6"/>
        </w:rPr>
        <w:t> 天后，仍遗留下列一种或一种以上障碍：</w:t>
      </w:r>
    </w:p>
    <w:p>
      <w:pPr>
        <w:spacing w:line="309" w:lineRule="exact" w:before="0"/>
        <w:ind w:left="2616" w:right="0" w:firstLine="0"/>
        <w:jc w:val="both"/>
        <w:rPr>
          <w:sz w:val="21"/>
        </w:rPr>
      </w:pPr>
      <w:r>
        <w:rPr>
          <w:sz w:val="21"/>
        </w:rPr>
        <w:t>(1)一肢或一肢以上</w:t>
      </w:r>
      <w:r>
        <w:rPr>
          <w:rFonts w:ascii="微软雅黑" w:eastAsia="微软雅黑" w:hint="eastAsia"/>
          <w:b/>
          <w:sz w:val="21"/>
        </w:rPr>
        <w:t>肢体机能完全丧失</w:t>
      </w:r>
      <w:r>
        <w:rPr>
          <w:sz w:val="21"/>
        </w:rPr>
        <w:t>；</w:t>
      </w:r>
    </w:p>
    <w:p>
      <w:pPr>
        <w:spacing w:after="0" w:line="309" w:lineRule="exact"/>
        <w:jc w:val="both"/>
        <w:rPr>
          <w:sz w:val="21"/>
        </w:rPr>
        <w:sectPr>
          <w:type w:val="continuous"/>
          <w:pgSz w:w="11910" w:h="16840"/>
          <w:pgMar w:top="200" w:bottom="280" w:left="1060" w:right="1040"/>
        </w:sectPr>
      </w:pPr>
    </w:p>
    <w:p>
      <w:pPr>
        <w:spacing w:line="287" w:lineRule="exact" w:before="0"/>
        <w:ind w:left="1996"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30"/>
        <w:ind w:left="1996" w:right="41" w:firstLine="0"/>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152"/>
      </w:pPr>
      <w:r>
        <w:rPr/>
        <w:t>（四）重大器官移植术或造血干细胞移植术</w:t>
      </w:r>
    </w:p>
    <w:p>
      <w:pPr>
        <w:pStyle w:val="BodyText"/>
        <w:spacing w:line="278" w:lineRule="auto"/>
        <w:ind w:right="100"/>
      </w:pPr>
      <w:r>
        <w:rPr/>
        <w:t>重大器官移植术，指因相应器官功能衰竭，已经实施了肾脏、肝脏、心脏或肺脏的异体移植手术。</w:t>
      </w:r>
    </w:p>
    <w:p>
      <w:pPr>
        <w:pStyle w:val="BodyText"/>
        <w:spacing w:line="278" w:lineRule="auto" w:before="12"/>
        <w:ind w:right="155"/>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153"/>
      </w:pPr>
      <w:r>
        <w:rPr/>
        <w:t>（五）冠状动脉搭桥术（或称冠状动脉旁路移植术）</w:t>
      </w:r>
    </w:p>
    <w:p>
      <w:pPr>
        <w:pStyle w:val="BodyText"/>
        <w:spacing w:line="280" w:lineRule="auto"/>
        <w:ind w:right="100"/>
      </w:pPr>
      <w:r>
        <w:rPr/>
        <w:t>指为治疗严重的冠心病，实际实施了开胸进行的冠状动脉血管旁路移植的手术。</w:t>
      </w:r>
    </w:p>
    <w:p>
      <w:pPr>
        <w:pStyle w:val="BodyText"/>
        <w:spacing w:line="280" w:lineRule="auto" w:before="8"/>
        <w:ind w:right="155"/>
      </w:pPr>
      <w:r>
        <w:rPr>
          <w:shd w:fill="D9D9D9" w:color="auto" w:val="clear"/>
        </w:rPr>
        <w:t>冠状动脉支架植入术、心导管球囊扩张术、激光射频技术及其他非开胸的介入手术、腔镜手术不在保障范围内。</w:t>
      </w:r>
    </w:p>
    <w:p>
      <w:pPr>
        <w:pStyle w:val="BodyText"/>
        <w:spacing w:before="151"/>
      </w:pPr>
      <w:r>
        <w:rPr/>
        <w:t>（六）终末期肾病（或称慢性肾功能衰竭尿毒症期）</w:t>
      </w:r>
    </w:p>
    <w:p>
      <w:pPr>
        <w:pStyle w:val="BodyText"/>
        <w:spacing w:line="278" w:lineRule="auto"/>
        <w:ind w:right="39"/>
      </w:pPr>
      <w:r>
        <w:rPr/>
        <w:t>指双肾功能慢性不可逆性衰竭，达到尿毒症期，经诊断后已经进行了至少 90 天的规律性透析治疗或实施了肾脏移植手术。</w:t>
      </w:r>
    </w:p>
    <w:p>
      <w:pPr>
        <w:pStyle w:val="BodyText"/>
        <w:spacing w:before="153"/>
      </w:pPr>
      <w:r>
        <w:rPr/>
        <w:t>（七）多个肢体缺失</w:t>
      </w:r>
    </w:p>
    <w:p>
      <w:pPr>
        <w:pStyle w:val="BodyText"/>
        <w:spacing w:line="280" w:lineRule="auto"/>
        <w:ind w:right="155"/>
      </w:pPr>
      <w:r>
        <w:rPr/>
        <w:t>指因疾病或意外伤害导致两个或两个以上肢体自腕关节或踝关节近端（靠近躯干端）以上完全性断离。</w:t>
      </w:r>
    </w:p>
    <w:p>
      <w:pPr>
        <w:pStyle w:val="BodyText"/>
        <w:spacing w:before="151"/>
      </w:pPr>
      <w:r>
        <w:rPr/>
        <w:t>（八）急性或亚急性重症肝炎</w:t>
      </w:r>
    </w:p>
    <w:p>
      <w:pPr>
        <w:pStyle w:val="BodyText"/>
        <w:spacing w:line="280" w:lineRule="auto" w:before="44"/>
        <w:ind w:right="100"/>
      </w:pPr>
      <w:r>
        <w:rPr/>
        <w:t>指因肝炎病毒感染引起肝脏组织弥漫性坏死，导致急性肝功能衰竭，且经血清学或病毒学检查证实，并须满足下列全部条件：                    </w:t>
      </w:r>
      <w:r>
        <w:rPr>
          <w:spacing w:val="-1"/>
        </w:rPr>
        <w:t>(1)重度黄疸或黄疸迅速加重；</w:t>
      </w:r>
    </w:p>
    <w:p>
      <w:pPr>
        <w:pStyle w:val="BodyText"/>
        <w:spacing w:before="8"/>
      </w:pPr>
      <w:r>
        <w:rPr/>
        <w:t>(2)肝性脑病；</w:t>
      </w:r>
    </w:p>
    <w:p>
      <w:pPr>
        <w:pStyle w:val="BodyText"/>
        <w:spacing w:line="280" w:lineRule="auto"/>
        <w:ind w:right="2350"/>
      </w:pPr>
      <w:r>
        <w:rPr/>
        <w:t>(3)B 超或其他影像学检查显示肝脏体积急速萎缩； (4)肝功能指标进行性恶化。</w:t>
      </w:r>
    </w:p>
    <w:p>
      <w:pPr>
        <w:pStyle w:val="BodyText"/>
        <w:spacing w:before="151"/>
      </w:pPr>
      <w:r>
        <w:rPr/>
        <w:t>（九）良性脑肿瘤</w:t>
      </w:r>
    </w:p>
    <w:p>
      <w:pPr>
        <w:pStyle w:val="BodyText"/>
        <w:spacing w:line="280" w:lineRule="auto" w:before="44"/>
        <w:ind w:right="100"/>
      </w:pPr>
      <w:r>
        <w:rPr/>
        <w:t>指脑的良性肿瘤，已经引起颅内压增高，临床表现为视神经乳头水肿、精神</w:t>
      </w:r>
      <w:r>
        <w:rPr>
          <w:spacing w:val="-7"/>
        </w:rPr>
        <w:t>症状、癫痫及运动感觉障碍等，并危及生命。须由头颅断层扫描</w:t>
      </w:r>
      <w:r>
        <w:rPr>
          <w:spacing w:val="0"/>
        </w:rPr>
        <w:t>（</w:t>
      </w:r>
      <w:r>
        <w:rPr>
          <w:spacing w:val="-1"/>
        </w:rPr>
        <w:t>CT</w:t>
      </w:r>
      <w:r>
        <w:rPr>
          <w:spacing w:val="-104"/>
        </w:rPr>
        <w:t>）</w:t>
      </w:r>
      <w:r>
        <w:rPr>
          <w:spacing w:val="-4"/>
        </w:rPr>
        <w:t>、核磁共振检查（MRI）或正电子发射断层扫描（PET）等影像学检查证实，并须满</w:t>
      </w:r>
      <w:r>
        <w:rPr>
          <w:spacing w:val="-3"/>
        </w:rPr>
        <w:t>足 下 列 至 少 一 项 条 件 ：                                 </w:t>
      </w:r>
      <w:r>
        <w:rPr/>
        <w:t>(1) </w:t>
      </w:r>
      <w:r>
        <w:rPr>
          <w:spacing w:val="1"/>
        </w:rPr>
        <w:t>实际实施了开颅进行的脑肿瘤完全切除或部分切除的手术；       </w:t>
      </w:r>
      <w:r>
        <w:rPr/>
        <w:t>(2)实</w:t>
      </w:r>
      <w:r>
        <w:rPr>
          <w:spacing w:val="-1"/>
        </w:rPr>
        <w:t>际实施了对脑肿瘤进行的放射治疗。</w:t>
      </w:r>
    </w:p>
    <w:p>
      <w:pPr>
        <w:pStyle w:val="BodyText"/>
        <w:spacing w:before="8"/>
      </w:pPr>
      <w:r>
        <w:rPr>
          <w:shd w:fill="D9D9D9" w:color="auto" w:val="clear"/>
        </w:rPr>
        <w:t>脑垂体瘤、脑囊肿、脑血管性疾病不在保障范围内。</w:t>
      </w:r>
    </w:p>
    <w:p>
      <w:pPr>
        <w:pStyle w:val="BodyText"/>
        <w:spacing w:before="3"/>
        <w:ind w:left="0"/>
        <w:rPr>
          <w:sz w:val="14"/>
        </w:rPr>
      </w:pPr>
    </w:p>
    <w:p>
      <w:pPr>
        <w:pStyle w:val="BodyText"/>
        <w:spacing w:before="0"/>
      </w:pPr>
      <w:r>
        <w:rPr/>
        <w:t>（十）慢性肝功能衰竭失代偿期</w:t>
      </w:r>
    </w:p>
    <w:p>
      <w:pPr>
        <w:pStyle w:val="BodyText"/>
        <w:spacing w:line="280" w:lineRule="auto"/>
        <w:ind w:right="1614"/>
      </w:pPr>
      <w:r>
        <w:rPr/>
        <w:t>指因慢性肝脏疾病导致肝功能衰竭。须满足下列全部条件： (1)持续性黄疸；</w:t>
      </w:r>
    </w:p>
    <w:p>
      <w:pPr>
        <w:pStyle w:val="BodyText"/>
        <w:spacing w:line="280" w:lineRule="auto" w:before="8"/>
        <w:ind w:right="5721"/>
      </w:pPr>
      <w:r>
        <w:rPr/>
        <w:t>(2)腹水；  </w:t>
      </w:r>
      <w:r>
        <w:rPr>
          <w:spacing w:val="-1"/>
        </w:rPr>
        <w:t>(3)肝性脑病；</w:t>
      </w:r>
    </w:p>
    <w:p>
      <w:pPr>
        <w:spacing w:after="0" w:line="280" w:lineRule="auto"/>
        <w:sectPr>
          <w:pgSz w:w="11910" w:h="16840"/>
          <w:pgMar w:top="1420" w:bottom="280" w:left="1680" w:right="1140"/>
        </w:sectPr>
      </w:pPr>
    </w:p>
    <w:p>
      <w:pPr>
        <w:pStyle w:val="BodyText"/>
        <w:spacing w:line="278" w:lineRule="auto" w:before="8"/>
        <w:ind w:right="2165"/>
      </w:pPr>
      <w:r>
        <w:rPr/>
        <w:t>(4)充血性脾肿大伴脾功能亢进或食管胃底静脉曲张。</w:t>
      </w:r>
      <w:r>
        <w:rPr>
          <w:shd w:fill="D9D9D9" w:color="auto" w:val="clear"/>
        </w:rPr>
        <w:t>因酗酒或药物滥用导致的肝功能衰竭不在保障范围内。</w:t>
      </w:r>
    </w:p>
    <w:p>
      <w:pPr>
        <w:pStyle w:val="BodyText"/>
        <w:spacing w:before="153"/>
      </w:pPr>
      <w:r>
        <w:rPr/>
        <w:t>（十一）脑炎后遗症或脑膜炎后遗症</w:t>
      </w:r>
    </w:p>
    <w:p>
      <w:pPr>
        <w:pStyle w:val="BodyText"/>
        <w:spacing w:line="278" w:lineRule="auto"/>
        <w:ind w:right="275"/>
      </w:pPr>
      <w:r>
        <w:rPr/>
        <w:t>指因患脑炎或脑膜炎导致的神经系统永久性的功能障碍。神经系统永久性的功能障碍，指疾病确诊  180  天后，仍遗留下列一种或一种以上障碍： (1)一肢或一肢以上肢体机能完全丧失；                             </w:t>
      </w:r>
      <w:r>
        <w:rPr>
          <w:spacing w:val="-1"/>
        </w:rPr>
        <w:t>(2)语言能力或咀嚼吞咽能力完全丧失；</w:t>
      </w:r>
    </w:p>
    <w:p>
      <w:pPr>
        <w:pStyle w:val="BodyText"/>
        <w:spacing w:line="278" w:lineRule="auto" w:before="11"/>
        <w:ind w:right="173"/>
      </w:pPr>
      <w:r>
        <w:rPr/>
        <w:t>(3)自主生活能力完全丧失，无法独立完成六项基本日常生活活动中的三项或三项以上。</w:t>
      </w:r>
    </w:p>
    <w:p>
      <w:pPr>
        <w:pStyle w:val="BodyText"/>
        <w:spacing w:before="153"/>
      </w:pPr>
      <w:r>
        <w:rPr/>
        <w:t>（十二）深度昏迷</w:t>
      </w:r>
    </w:p>
    <w:p>
      <w:pPr>
        <w:pStyle w:val="BodyText"/>
        <w:spacing w:line="278" w:lineRule="auto"/>
        <w:ind w:right="221"/>
        <w:jc w:val="both"/>
      </w:pPr>
      <w:r>
        <w:rPr/>
        <w:t>指因疾病或意外伤害导致意识丧失,对外界刺激和体内需求均无反应,昏迷程度按照格拉斯哥昏迷分级（Glasgow coma scale）</w:t>
      </w:r>
      <w:r>
        <w:rPr>
          <w:spacing w:val="-11"/>
        </w:rPr>
        <w:t>结果为 </w:t>
      </w:r>
      <w:r>
        <w:rPr/>
        <w:t>5</w:t>
      </w:r>
      <w:r>
        <w:rPr>
          <w:spacing w:val="-22"/>
        </w:rPr>
        <w:t> 分或 </w:t>
      </w:r>
      <w:r>
        <w:rPr/>
        <w:t>5</w:t>
      </w:r>
      <w:r>
        <w:rPr>
          <w:spacing w:val="-10"/>
        </w:rPr>
        <w:t> 分以下， </w:t>
      </w:r>
      <w:r>
        <w:rPr>
          <w:spacing w:val="-13"/>
        </w:rPr>
        <w:t>且已经持续使用呼吸机及其他生命维持系统 </w:t>
      </w:r>
      <w:r>
        <w:rPr/>
        <w:t>96</w:t>
      </w:r>
      <w:r>
        <w:rPr>
          <w:spacing w:val="-12"/>
        </w:rPr>
        <w:t> 小时以上。</w:t>
      </w:r>
    </w:p>
    <w:p>
      <w:pPr>
        <w:pStyle w:val="BodyText"/>
        <w:spacing w:before="11"/>
      </w:pPr>
      <w:r>
        <w:rPr>
          <w:shd w:fill="D9D9D9" w:color="auto" w:val="clear"/>
        </w:rPr>
        <w:t>因酗酒或药物滥用导致的深度昏迷不在保障范围内。</w:t>
      </w:r>
    </w:p>
    <w:p>
      <w:pPr>
        <w:pStyle w:val="BodyText"/>
        <w:spacing w:before="3"/>
        <w:ind w:left="0"/>
        <w:rPr>
          <w:sz w:val="14"/>
        </w:rPr>
      </w:pPr>
    </w:p>
    <w:p>
      <w:pPr>
        <w:pStyle w:val="BodyText"/>
        <w:spacing w:line="266" w:lineRule="exact" w:before="0"/>
      </w:pPr>
      <w:r>
        <w:rPr/>
        <w:t>（十三）双耳失聪</w:t>
      </w:r>
    </w:p>
    <w:p>
      <w:pPr>
        <w:pStyle w:val="BodyText"/>
        <w:spacing w:line="264" w:lineRule="auto" w:before="0"/>
        <w:ind w:right="222"/>
        <w:jc w:val="both"/>
      </w:pPr>
      <w:r>
        <w:rPr/>
        <w:t>指因疾病或意外伤害导致双耳听力</w:t>
      </w:r>
      <w:r>
        <w:rPr>
          <w:rFonts w:ascii="微软雅黑" w:eastAsia="微软雅黑" w:hint="eastAsia"/>
          <w:b/>
        </w:rPr>
        <w:t>永久不可逆</w:t>
      </w:r>
      <w:r>
        <w:rPr>
          <w:spacing w:val="-10"/>
        </w:rPr>
        <w:t>性丧失，在 </w:t>
      </w:r>
      <w:r>
        <w:rPr/>
        <w:t>500</w:t>
      </w:r>
      <w:r>
        <w:rPr>
          <w:spacing w:val="-14"/>
        </w:rPr>
        <w:t> 赫兹、</w:t>
      </w:r>
      <w:r>
        <w:rPr/>
        <w:t>1000</w:t>
      </w:r>
      <w:r>
        <w:rPr>
          <w:spacing w:val="-27"/>
        </w:rPr>
        <w:t> 赫</w:t>
      </w:r>
      <w:r>
        <w:rPr>
          <w:spacing w:val="-38"/>
        </w:rPr>
        <w:t>兹和 </w:t>
      </w:r>
      <w:r>
        <w:rPr/>
        <w:t>2000</w:t>
      </w:r>
      <w:r>
        <w:rPr>
          <w:spacing w:val="-12"/>
        </w:rPr>
        <w:t> 赫兹语音频率下，平均听阈大于 </w:t>
      </w:r>
      <w:r>
        <w:rPr/>
        <w:t>90</w:t>
      </w:r>
      <w:r>
        <w:rPr>
          <w:spacing w:val="-8"/>
        </w:rPr>
        <w:t> 分贝，且经纯音听力测试、声导抗检测或听觉诱发电位检测等证实。</w:t>
      </w:r>
    </w:p>
    <w:p>
      <w:pPr>
        <w:pStyle w:val="BodyText"/>
        <w:spacing w:before="175"/>
      </w:pPr>
      <w:r>
        <w:rPr/>
        <w:t>（十四）双目失明</w:t>
      </w:r>
    </w:p>
    <w:p>
      <w:pPr>
        <w:pStyle w:val="BodyText"/>
        <w:spacing w:line="278" w:lineRule="auto"/>
        <w:ind w:right="220"/>
      </w:pPr>
      <w:r>
        <w:rPr/>
        <w:t>指因疾病或意外伤害导致双眼视力永久不可逆性丧失，双眼中较好眼须满足下列至少一项条件：</w:t>
      </w:r>
    </w:p>
    <w:p>
      <w:pPr>
        <w:pStyle w:val="BodyText"/>
        <w:spacing w:before="11"/>
      </w:pPr>
      <w:r>
        <w:rPr/>
        <w:t>(1)眼球缺失或摘除；</w:t>
      </w:r>
    </w:p>
    <w:p>
      <w:pPr>
        <w:pStyle w:val="BodyText"/>
        <w:spacing w:line="278" w:lineRule="auto"/>
        <w:ind w:right="224"/>
      </w:pPr>
      <w:r>
        <w:rPr/>
        <w:t>(2)</w:t>
      </w:r>
      <w:r>
        <w:rPr>
          <w:spacing w:val="-8"/>
        </w:rPr>
        <w:t>矫正视力低于 </w:t>
      </w:r>
      <w:r>
        <w:rPr>
          <w:spacing w:val="-11"/>
        </w:rPr>
        <w:t>0.02（</w:t>
      </w:r>
      <w:r>
        <w:rPr>
          <w:spacing w:val="-6"/>
        </w:rPr>
        <w:t>采用国际标准视力表，如果使用其他视力表应进行换算</w:t>
      </w:r>
      <w:r>
        <w:rPr>
          <w:spacing w:val="-105"/>
        </w:rPr>
        <w:t>）</w:t>
      </w:r>
      <w:r>
        <w:rPr/>
        <w:t>；</w:t>
      </w:r>
    </w:p>
    <w:p>
      <w:pPr>
        <w:pStyle w:val="BodyText"/>
        <w:spacing w:before="11"/>
      </w:pPr>
      <w:r>
        <w:rPr/>
        <w:t>(3)视野半径小于 5 度。</w:t>
      </w:r>
    </w:p>
    <w:p>
      <w:pPr>
        <w:pStyle w:val="BodyText"/>
        <w:spacing w:before="3"/>
        <w:ind w:left="0"/>
        <w:rPr>
          <w:sz w:val="14"/>
        </w:rPr>
      </w:pPr>
    </w:p>
    <w:p>
      <w:pPr>
        <w:pStyle w:val="BodyText"/>
        <w:spacing w:before="0"/>
      </w:pPr>
      <w:r>
        <w:rPr/>
        <w:t>（十五）瘫痪</w:t>
      </w:r>
    </w:p>
    <w:p>
      <w:pPr>
        <w:pStyle w:val="BodyText"/>
        <w:spacing w:line="278" w:lineRule="auto"/>
        <w:ind w:right="275"/>
        <w:jc w:val="both"/>
      </w:pPr>
      <w:r>
        <w:rPr/>
        <w:t>指因疾病或意外伤害导致两肢或两肢以上肢体机能永久完全丧失。肢体机能</w:t>
      </w:r>
      <w:r>
        <w:rPr>
          <w:spacing w:val="-5"/>
        </w:rPr>
        <w:t>永久完全丧失，指疾病确诊 </w:t>
      </w:r>
      <w:r>
        <w:rPr/>
        <w:t>180</w:t>
      </w:r>
      <w:r>
        <w:rPr>
          <w:spacing w:val="-13"/>
        </w:rPr>
        <w:t> 天后或意外伤害发生 </w:t>
      </w:r>
      <w:r>
        <w:rPr/>
        <w:t>180</w:t>
      </w:r>
      <w:r>
        <w:rPr>
          <w:spacing w:val="-8"/>
        </w:rPr>
        <w:t> 天后，每肢三大关节中的两大关节仍然完全僵硬，或不能随意识活动。</w:t>
      </w:r>
    </w:p>
    <w:p>
      <w:pPr>
        <w:pStyle w:val="BodyText"/>
        <w:spacing w:before="153"/>
      </w:pPr>
      <w:r>
        <w:rPr/>
        <w:t>（十六）心脏瓣膜手术</w:t>
      </w:r>
    </w:p>
    <w:p>
      <w:pPr>
        <w:pStyle w:val="BodyText"/>
      </w:pPr>
      <w:r>
        <w:rPr/>
        <w:t>指为治疗心脏瓣膜疾病，实际实施了开胸进行的心脏瓣膜置换或修复的手术。</w:t>
      </w:r>
    </w:p>
    <w:p>
      <w:pPr>
        <w:pStyle w:val="BodyText"/>
        <w:spacing w:before="3"/>
        <w:ind w:left="0"/>
        <w:rPr>
          <w:sz w:val="14"/>
        </w:rPr>
      </w:pPr>
    </w:p>
    <w:p>
      <w:pPr>
        <w:pStyle w:val="BodyText"/>
        <w:spacing w:before="0"/>
      </w:pPr>
      <w:r>
        <w:rPr/>
        <w:t>（十七）严重阿尔茨海默病</w:t>
      </w:r>
    </w:p>
    <w:p>
      <w:pPr>
        <w:pStyle w:val="BodyText"/>
        <w:spacing w:line="278" w:lineRule="auto" w:before="43"/>
        <w:ind w:right="220"/>
        <w:jc w:val="both"/>
      </w:pPr>
      <w:r>
        <w:rPr/>
        <w:t>指因大脑进行性、不可逆性改变导致智能严重衰退或丧失，临床表现为明显的认知能力障碍、行为异常和社交能力减退，其日常生活必须持续受到他人监护。须由头颅断层扫描</w:t>
      </w:r>
      <w:r>
        <w:rPr>
          <w:spacing w:val="0"/>
        </w:rPr>
        <w:t>（CT</w:t>
      </w:r>
      <w:r>
        <w:rPr>
          <w:spacing w:val="-104"/>
        </w:rPr>
        <w:t>）</w:t>
      </w:r>
      <w:r>
        <w:rPr/>
        <w:t>、核磁共振检查</w:t>
      </w:r>
      <w:r>
        <w:rPr>
          <w:spacing w:val="1"/>
        </w:rPr>
        <w:t>（</w:t>
      </w:r>
      <w:r>
        <w:rPr>
          <w:spacing w:val="-1"/>
        </w:rPr>
        <w:t>M</w:t>
      </w:r>
      <w:r>
        <w:rPr/>
        <w:t>R</w:t>
      </w:r>
      <w:r>
        <w:rPr>
          <w:spacing w:val="0"/>
        </w:rPr>
        <w:t>I）</w:t>
      </w:r>
      <w:r>
        <w:rPr/>
        <w:t>或正电子发射断层扫</w:t>
      </w:r>
      <w:r>
        <w:rPr>
          <w:spacing w:val="-14"/>
        </w:rPr>
        <w:t>描</w:t>
      </w:r>
      <w:r>
        <w:rPr>
          <w:spacing w:val="-4"/>
        </w:rPr>
        <w:t>（PET）</w:t>
      </w:r>
      <w:r>
        <w:rPr>
          <w:spacing w:val="-3"/>
        </w:rPr>
        <w:t>等影像学检查证实，且自主生活能力完全丧失，无法独立完成六项基本日常生活活动中的三项或三项以上。</w:t>
      </w:r>
    </w:p>
    <w:p>
      <w:pPr>
        <w:pStyle w:val="BodyText"/>
        <w:spacing w:before="11"/>
      </w:pPr>
      <w:r>
        <w:rPr>
          <w:shd w:fill="D9D9D9" w:color="auto" w:val="clear"/>
        </w:rPr>
        <w:t>神经官能症和精神疾病不在保障范围内。</w:t>
      </w:r>
    </w:p>
    <w:p>
      <w:pPr>
        <w:pStyle w:val="BodyText"/>
        <w:spacing w:before="3"/>
        <w:ind w:left="0"/>
        <w:rPr>
          <w:sz w:val="14"/>
        </w:rPr>
      </w:pPr>
    </w:p>
    <w:p>
      <w:pPr>
        <w:pStyle w:val="BodyText"/>
        <w:spacing w:before="0"/>
      </w:pPr>
      <w:r>
        <w:rPr/>
        <w:t>（十八）严重脑损伤</w:t>
      </w:r>
    </w:p>
    <w:p>
      <w:pPr>
        <w:pStyle w:val="BodyText"/>
        <w:spacing w:before="43"/>
      </w:pPr>
      <w:r>
        <w:rPr/>
        <w:t>指因头部遭受机械性外力，引起脑重要部位损伤，导致神经系统永久性的功</w:t>
      </w:r>
    </w:p>
    <w:p>
      <w:pPr>
        <w:spacing w:after="0"/>
        <w:sectPr>
          <w:pgSz w:w="11910" w:h="16840"/>
          <w:pgMar w:top="1420" w:bottom="280" w:left="1680" w:right="1020"/>
        </w:sectPr>
      </w:pPr>
    </w:p>
    <w:p>
      <w:pPr>
        <w:pStyle w:val="BodyText"/>
        <w:spacing w:line="278" w:lineRule="auto" w:before="8"/>
        <w:ind w:right="221"/>
      </w:pPr>
      <w:r>
        <w:rPr/>
        <w:t>能障碍。须由头颅断层扫描</w:t>
      </w:r>
      <w:r>
        <w:rPr>
          <w:spacing w:val="1"/>
        </w:rPr>
        <w:t>（</w:t>
      </w:r>
      <w:r>
        <w:rPr>
          <w:spacing w:val="-1"/>
        </w:rPr>
        <w:t>C</w:t>
      </w:r>
      <w:r>
        <w:rPr/>
        <w:t>T</w:t>
      </w:r>
      <w:r>
        <w:rPr>
          <w:spacing w:val="-102"/>
        </w:rPr>
        <w:t>）</w:t>
      </w:r>
      <w:r>
        <w:rPr/>
        <w:t>、核磁共振检查</w:t>
      </w:r>
      <w:r>
        <w:rPr>
          <w:spacing w:val="0"/>
        </w:rPr>
        <w:t>（MRI）</w:t>
      </w:r>
      <w:r>
        <w:rPr/>
        <w:t>或正电子发射断层扫描（PET）</w:t>
      </w:r>
      <w:r>
        <w:rPr>
          <w:spacing w:val="-3"/>
        </w:rPr>
        <w:t>等影像学检查证实。神经系统永久性的功能障碍，指脑损伤 </w:t>
      </w:r>
      <w:r>
        <w:rPr/>
        <w:t>180 天后，仍遗留下列一种或一种以上障碍：                            (1)一肢或一肢以上肢体机能完全丧失；                             </w:t>
      </w:r>
      <w:r>
        <w:rPr>
          <w:spacing w:val="-1"/>
        </w:rPr>
        <w:t>(2)语言能力或咀嚼吞咽能力完全丧失；</w:t>
      </w:r>
    </w:p>
    <w:p>
      <w:pPr>
        <w:pStyle w:val="BodyText"/>
        <w:spacing w:line="280" w:lineRule="auto" w:before="11"/>
        <w:ind w:right="173"/>
      </w:pPr>
      <w:r>
        <w:rPr/>
        <w:t>(3)自主生活能力完全丧失，无法独立完成六项基本日常生活活动中的三项或三项以上。</w:t>
      </w:r>
    </w:p>
    <w:p>
      <w:pPr>
        <w:pStyle w:val="BodyText"/>
        <w:spacing w:before="151"/>
      </w:pPr>
      <w:r>
        <w:rPr/>
        <w:t>（十九）严重帕金森病</w:t>
      </w:r>
    </w:p>
    <w:p>
      <w:pPr>
        <w:pStyle w:val="BodyText"/>
        <w:spacing w:line="280" w:lineRule="auto" w:before="44"/>
        <w:ind w:right="220"/>
      </w:pPr>
      <w:r>
        <w:rPr/>
        <w:t>是一种中枢神经系统的退行性疾病，临床表现为震颤麻痹、共济失调等。须满足下列全部条件：</w:t>
      </w:r>
    </w:p>
    <w:p>
      <w:pPr>
        <w:pStyle w:val="BodyText"/>
        <w:spacing w:before="9"/>
      </w:pPr>
      <w:r>
        <w:rPr/>
        <w:t>(1)药物治疗无法控制病情；</w:t>
      </w:r>
    </w:p>
    <w:p>
      <w:pPr>
        <w:pStyle w:val="BodyText"/>
        <w:spacing w:line="280" w:lineRule="auto" w:before="43"/>
        <w:ind w:right="173"/>
      </w:pPr>
      <w:r>
        <w:rPr/>
        <w:t>(2)自主生活能力完全丧失，无法独立完成六项基本日常生活活动中的三项或三项以上。</w:t>
      </w:r>
    </w:p>
    <w:p>
      <w:pPr>
        <w:pStyle w:val="BodyText"/>
        <w:spacing w:before="9"/>
      </w:pPr>
      <w:r>
        <w:rPr>
          <w:shd w:fill="D9D9D9" w:color="auto" w:val="clear"/>
        </w:rPr>
        <w:t>继发性帕金森综合征不在保障范围内。</w:t>
      </w:r>
    </w:p>
    <w:p>
      <w:pPr>
        <w:pStyle w:val="BodyText"/>
        <w:spacing w:before="3"/>
        <w:ind w:left="0"/>
        <w:rPr>
          <w:sz w:val="14"/>
        </w:rPr>
      </w:pPr>
    </w:p>
    <w:p>
      <w:pPr>
        <w:pStyle w:val="BodyText"/>
        <w:spacing w:before="0"/>
      </w:pPr>
      <w:r>
        <w:rPr/>
        <w:t>（二十）严重Ⅲ度烧伤</w:t>
      </w:r>
    </w:p>
    <w:p>
      <w:pPr>
        <w:pStyle w:val="BodyText"/>
        <w:spacing w:line="280" w:lineRule="auto" w:before="43"/>
        <w:ind w:right="117"/>
      </w:pPr>
      <w:r>
        <w:rPr>
          <w:spacing w:val="-9"/>
        </w:rPr>
        <w:t>指烧伤程度为Ⅲ度，且Ⅲ度烧伤的面积达到全身体表面积的</w:t>
      </w:r>
      <w:r>
        <w:rPr/>
        <w:t>20</w:t>
      </w:r>
      <w:r>
        <w:rPr>
          <w:spacing w:val="11"/>
        </w:rPr>
        <w:t>％或</w:t>
      </w:r>
      <w:r>
        <w:rPr/>
        <w:t>20％以上。体表面积根据《中国新九分法》计算。</w:t>
      </w:r>
    </w:p>
    <w:p>
      <w:pPr>
        <w:pStyle w:val="BodyText"/>
        <w:spacing w:before="151"/>
      </w:pPr>
      <w:r>
        <w:rPr/>
        <w:t>（二十一）严重原发性肺动脉高压</w:t>
      </w:r>
    </w:p>
    <w:p>
      <w:pPr>
        <w:pStyle w:val="BodyText"/>
        <w:spacing w:line="278" w:lineRule="auto"/>
        <w:ind w:right="275"/>
        <w:jc w:val="both"/>
      </w:pP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before="153"/>
      </w:pPr>
      <w:r>
        <w:rPr/>
        <w:t>（二十二）严重运动神经元病</w:t>
      </w:r>
    </w:p>
    <w:p>
      <w:pPr>
        <w:pStyle w:val="BodyText"/>
        <w:spacing w:line="278" w:lineRule="auto"/>
        <w:ind w:right="55"/>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153"/>
      </w:pPr>
      <w:r>
        <w:rPr/>
        <w:t>（二十三）语言能力丧失</w:t>
      </w:r>
    </w:p>
    <w:p>
      <w:pPr>
        <w:pStyle w:val="BodyText"/>
        <w:spacing w:line="280" w:lineRule="auto" w:before="44"/>
        <w:ind w:right="224"/>
      </w:pPr>
      <w:r>
        <w:rPr>
          <w:spacing w:val="-5"/>
        </w:rPr>
        <w:t>指因疾病或意外伤害导致完全丧失语言能力，经过积极治疗至少 </w:t>
      </w:r>
      <w:r>
        <w:rPr/>
        <w:t>12</w:t>
      </w:r>
      <w:r>
        <w:rPr>
          <w:spacing w:val="-31"/>
        </w:rPr>
        <w:t> 个月</w:t>
      </w:r>
      <w:r>
        <w:rPr/>
        <w:t>（声带完全切除不受此时间限制</w:t>
      </w:r>
      <w:r>
        <w:rPr>
          <w:spacing w:val="-105"/>
        </w:rPr>
        <w:t>）</w:t>
      </w:r>
      <w:r>
        <w:rPr>
          <w:spacing w:val="-1"/>
        </w:rPr>
        <w:t>，仍无法通过现有医疗手段恢复。</w:t>
      </w:r>
    </w:p>
    <w:p>
      <w:pPr>
        <w:pStyle w:val="BodyText"/>
        <w:spacing w:before="9"/>
      </w:pPr>
      <w:r>
        <w:rPr>
          <w:shd w:fill="D9D9D9" w:color="auto" w:val="clear"/>
        </w:rPr>
        <w:t>精神心理因素所致的语言能力丧失不在保障范围内。</w:t>
      </w:r>
    </w:p>
    <w:p>
      <w:pPr>
        <w:pStyle w:val="BodyText"/>
        <w:spacing w:before="3"/>
        <w:ind w:left="0"/>
        <w:rPr>
          <w:sz w:val="14"/>
        </w:rPr>
      </w:pPr>
    </w:p>
    <w:p>
      <w:pPr>
        <w:pStyle w:val="BodyText"/>
        <w:spacing w:before="0"/>
      </w:pPr>
      <w:r>
        <w:rPr/>
        <w:t>（二十四）重型再生障碍性贫血</w:t>
      </w:r>
    </w:p>
    <w:p>
      <w:pPr>
        <w:pStyle w:val="BodyText"/>
        <w:spacing w:line="280" w:lineRule="auto" w:before="43"/>
        <w:ind w:right="220"/>
      </w:pPr>
      <w:r>
        <w:rPr/>
        <w:t>指因骨髓造血功能慢性持续性衰竭导致的贫血、中性粒细胞减少及血小板减少。须满足下列全部条件：</w:t>
      </w:r>
    </w:p>
    <w:p>
      <w:pPr>
        <w:pStyle w:val="BodyText"/>
        <w:spacing w:line="278" w:lineRule="auto" w:before="9"/>
        <w:ind w:right="3099"/>
      </w:pPr>
      <w:r>
        <w:rPr/>
        <w:t>(1)骨髓穿刺检查或骨髓活检结果支持诊断； (2)外周血象须具备以下三项条件：</w:t>
      </w:r>
    </w:p>
    <w:p>
      <w:pPr>
        <w:pStyle w:val="BodyText"/>
        <w:spacing w:before="12"/>
      </w:pPr>
      <w:r>
        <w:rPr/>
        <w:t>①中性粒细胞绝对值≤0.5×10</w:t>
      </w:r>
      <w:r>
        <w:rPr>
          <w:position w:val="11"/>
          <w:sz w:val="11"/>
        </w:rPr>
        <w:t>9</w:t>
      </w:r>
      <w:r>
        <w:rPr/>
        <w:t>/L ；</w:t>
      </w:r>
    </w:p>
    <w:p>
      <w:pPr>
        <w:pStyle w:val="BodyText"/>
      </w:pPr>
      <w:r>
        <w:rPr/>
        <w:t>②网织红细胞＜1％；</w:t>
      </w:r>
    </w:p>
    <w:p>
      <w:pPr>
        <w:pStyle w:val="BodyText"/>
        <w:spacing w:before="43"/>
      </w:pPr>
      <w:r>
        <w:rPr/>
        <w:t>③血小板绝对值≤20×10</w:t>
      </w:r>
      <w:r>
        <w:rPr>
          <w:position w:val="11"/>
          <w:sz w:val="11"/>
        </w:rPr>
        <w:t>9</w:t>
      </w:r>
      <w:r>
        <w:rPr/>
        <w:t>/L。</w:t>
      </w:r>
    </w:p>
    <w:p>
      <w:pPr>
        <w:pStyle w:val="BodyText"/>
        <w:spacing w:before="186"/>
      </w:pPr>
      <w:r>
        <w:rPr/>
        <w:t>（二十五）主动脉手术</w:t>
      </w:r>
    </w:p>
    <w:p>
      <w:pPr>
        <w:pStyle w:val="BodyText"/>
      </w:pPr>
      <w:r>
        <w:rPr/>
        <w:t>指为治疗主动脉疾病，实际实施了开胸或开腹进行的切除、置换、修补病损</w:t>
      </w:r>
    </w:p>
    <w:p>
      <w:pPr>
        <w:spacing w:after="0"/>
        <w:sectPr>
          <w:pgSz w:w="11910" w:h="16840"/>
          <w:pgMar w:top="1420" w:bottom="280" w:left="1680" w:right="1020"/>
        </w:sectPr>
      </w:pPr>
    </w:p>
    <w:p>
      <w:pPr>
        <w:pStyle w:val="BodyText"/>
        <w:spacing w:line="278" w:lineRule="auto" w:before="8"/>
        <w:ind w:right="160"/>
      </w:pPr>
      <w:r>
        <w:rPr/>
        <w:t>主动脉血管的手术。主动脉指胸主动脉和腹主动脉，不包括胸主动脉和腹主动脉的分支血管。</w:t>
      </w:r>
    </w:p>
    <w:p>
      <w:pPr>
        <w:pStyle w:val="BodyText"/>
        <w:spacing w:before="11"/>
      </w:pPr>
      <w:r>
        <w:rPr>
          <w:shd w:fill="D9D9D9" w:color="auto" w:val="clear"/>
        </w:rPr>
        <w:t>动脉内血管成形术不在保障范围内。</w:t>
      </w:r>
    </w:p>
    <w:p>
      <w:pPr>
        <w:pStyle w:val="BodyText"/>
        <w:spacing w:before="3"/>
        <w:ind w:left="0"/>
        <w:rPr>
          <w:sz w:val="14"/>
        </w:rPr>
      </w:pPr>
    </w:p>
    <w:p>
      <w:pPr>
        <w:pStyle w:val="BodyText"/>
        <w:spacing w:before="0"/>
      </w:pPr>
      <w:r>
        <w:rPr/>
        <w:t>（二十六）严重原发性心肌病</w:t>
      </w:r>
    </w:p>
    <w:p>
      <w:pPr>
        <w:pStyle w:val="BodyText"/>
        <w:spacing w:line="278" w:lineRule="auto"/>
        <w:ind w:right="109"/>
        <w:jc w:val="both"/>
      </w:pPr>
      <w:r>
        <w:rPr/>
        <w:t>指不明原因引起的一类心肌病变，包括原发性扩张型心肌病、原发性肥厚型心肌病及原发性限制型心肌病三种，病变必须已造成事实上心室功能障碍而出现明显的心功能衰竭（美国纽约心脏协会心功能分类标准心功能达四级</w:t>
      </w:r>
      <w:r>
        <w:rPr>
          <w:spacing w:val="-105"/>
        </w:rPr>
        <w:t>）</w:t>
      </w:r>
      <w:r>
        <w:rPr/>
        <w:t>，</w:t>
      </w:r>
      <w:r>
        <w:rPr>
          <w:spacing w:val="-3"/>
        </w:rPr>
        <w:t>且有相关住院医疗记录显示四级心功能衰竭状态持续至少 </w:t>
      </w:r>
      <w:r>
        <w:rPr/>
        <w:t>180</w:t>
      </w:r>
      <w:r>
        <w:rPr>
          <w:spacing w:val="-18"/>
        </w:rPr>
        <w:t> 天。</w:t>
      </w:r>
    </w:p>
    <w:p>
      <w:pPr>
        <w:pStyle w:val="BodyText"/>
        <w:spacing w:line="280" w:lineRule="auto" w:before="11"/>
        <w:ind w:right="215"/>
      </w:pPr>
      <w:r>
        <w:rPr>
          <w:shd w:fill="D9D9D9" w:color="auto" w:val="clear"/>
        </w:rPr>
        <w:t>继发于全身性疾病或其它器官系统疾病造成的心肌病变不在保障范围内。</w:t>
      </w:r>
      <w:r>
        <w:rPr/>
        <w:t> 美国纽约心脏协会分类标准心功能四级是指有医院的医疗记录显示病人不能进行任何活动，休息时仍有心悸、呼吸困难等心力衰竭表现。</w:t>
      </w:r>
    </w:p>
    <w:p>
      <w:pPr>
        <w:pStyle w:val="BodyText"/>
        <w:spacing w:before="151"/>
      </w:pPr>
      <w:r>
        <w:rPr/>
        <w:t>（二十七）终末期肺病</w:t>
      </w:r>
    </w:p>
    <w:p>
      <w:pPr>
        <w:pStyle w:val="BodyText"/>
        <w:spacing w:line="278" w:lineRule="auto" w:before="44"/>
        <w:ind w:right="845"/>
      </w:pPr>
      <w:r>
        <w:rPr/>
        <w:t>指患有终末期肺病而出现慢性呼吸功能衰竭。须满足下列全部条件： (1)</w:t>
      </w:r>
      <w:r>
        <w:rPr>
          <w:spacing w:val="1"/>
        </w:rPr>
        <w:t>肺功能测试其      </w:t>
      </w:r>
      <w:r>
        <w:rPr/>
        <w:t>FEV1</w:t>
      </w:r>
      <w:r>
        <w:rPr>
          <w:spacing w:val="0"/>
        </w:rPr>
        <w:t>      持续低于      </w:t>
      </w:r>
      <w:r>
        <w:rPr/>
        <w:t>1</w:t>
      </w:r>
      <w:r>
        <w:rPr>
          <w:spacing w:val="1"/>
        </w:rPr>
        <w:t>      升； (2)病人血氧不足必须持续地进行输氧治疗；                   (3)</w:t>
      </w:r>
      <w:r>
        <w:rPr>
          <w:spacing w:val="-2"/>
        </w:rPr>
        <w:t>动脉血气分析氧分压等于或低于 </w:t>
      </w:r>
      <w:r>
        <w:rPr/>
        <w:t>55mmHg；</w:t>
      </w:r>
      <w:r>
        <w:rPr>
          <w:spacing w:val="2"/>
        </w:rPr>
        <w:t>                </w:t>
      </w:r>
      <w:r>
        <w:rPr/>
        <w:t>(4)</w:t>
      </w:r>
      <w:r>
        <w:rPr>
          <w:spacing w:val="-1"/>
        </w:rPr>
        <w:t>休息时出现呼吸困难。</w:t>
      </w:r>
    </w:p>
    <w:p>
      <w:pPr>
        <w:pStyle w:val="BodyText"/>
        <w:spacing w:before="153"/>
      </w:pPr>
      <w:r>
        <w:rPr/>
        <w:t>（二十八）多发性硬化症</w:t>
      </w:r>
    </w:p>
    <w:p>
      <w:pPr>
        <w:pStyle w:val="BodyText"/>
        <w:spacing w:line="278" w:lineRule="auto"/>
        <w:ind w:right="163"/>
        <w:jc w:val="both"/>
      </w:pPr>
      <w:r>
        <w:rPr/>
        <w:t>指因中枢神经系统脱髓鞘所致的不可逆的神经系统功能障碍，须由计算机断</w:t>
      </w:r>
      <w:r>
        <w:rPr>
          <w:spacing w:val="-4"/>
        </w:rPr>
        <w:t>层扫描</w:t>
      </w:r>
      <w:r>
        <w:rPr>
          <w:spacing w:val="-1"/>
        </w:rPr>
        <w:t>（CT</w:t>
      </w:r>
      <w:r>
        <w:rPr>
          <w:spacing w:val="-106"/>
        </w:rPr>
        <w:t>）</w:t>
      </w:r>
      <w:r>
        <w:rPr>
          <w:spacing w:val="-5"/>
        </w:rPr>
        <w:t>、核磁共振检查</w:t>
      </w:r>
      <w:r>
        <w:rPr>
          <w:spacing w:val="-1"/>
        </w:rPr>
        <w:t>（MRI</w:t>
      </w:r>
      <w:r>
        <w:rPr>
          <w:spacing w:val="-9"/>
        </w:rPr>
        <w:t>）</w:t>
      </w:r>
      <w:r>
        <w:rPr>
          <w:spacing w:val="-2"/>
        </w:rPr>
        <w:t>或正电子发射断层扫描</w:t>
      </w:r>
      <w:r>
        <w:rPr>
          <w:spacing w:val="-1"/>
        </w:rPr>
        <w:t>（PET</w:t>
      </w:r>
      <w:r>
        <w:rPr>
          <w:spacing w:val="-9"/>
        </w:rPr>
        <w:t>）</w:t>
      </w:r>
      <w:r>
        <w:rPr>
          <w:spacing w:val="-1"/>
        </w:rPr>
        <w:t>等影像学</w:t>
      </w:r>
      <w:r>
        <w:rPr/>
        <w:t>检查证实，且已经造成自主生活能力完全丧失，无法独立完成六项基本日常</w:t>
      </w:r>
      <w:r>
        <w:rPr>
          <w:spacing w:val="-3"/>
        </w:rPr>
        <w:t>生活活动中的三项或三项以上，持续至少 </w:t>
      </w:r>
      <w:r>
        <w:rPr/>
        <w:t>180</w:t>
      </w:r>
      <w:r>
        <w:rPr>
          <w:spacing w:val="-18"/>
        </w:rPr>
        <w:t> 天。</w:t>
      </w:r>
    </w:p>
    <w:p>
      <w:pPr>
        <w:pStyle w:val="BodyText"/>
        <w:spacing w:before="91"/>
      </w:pPr>
      <w:r>
        <w:rPr/>
        <w:t>（二十九）系统性红斑狼疮累及肾脏（严重的狼疮性肾炎）</w:t>
      </w:r>
    </w:p>
    <w:p>
      <w:pPr>
        <w:pStyle w:val="BodyText"/>
        <w:spacing w:line="278" w:lineRule="auto"/>
        <w:ind w:right="160"/>
        <w:jc w:val="both"/>
      </w:pPr>
      <w:r>
        <w:rPr/>
        <w:t>指系统性红斑狼疮累及肾脏导致的功能损害，经肾脏活检，病理结果符合世界卫生组织（WHO）</w:t>
      </w:r>
      <w:r>
        <w:rPr>
          <w:spacing w:val="-6"/>
        </w:rPr>
        <w:t>诊断标准定义中的 </w:t>
      </w:r>
      <w:r>
        <w:rPr/>
        <w:t>III</w:t>
      </w:r>
      <w:r>
        <w:rPr>
          <w:spacing w:val="-24"/>
        </w:rPr>
        <w:t> 型至 </w:t>
      </w:r>
      <w:r>
        <w:rPr/>
        <w:t>VI</w:t>
      </w:r>
      <w:r>
        <w:rPr>
          <w:spacing w:val="-7"/>
        </w:rPr>
        <w:t> 型的狼疮性肾炎。</w:t>
      </w:r>
      <w:r>
        <w:rPr>
          <w:shd w:fill="D9D9D9" w:color="auto" w:val="clear"/>
        </w:rPr>
        <w:t>其它类型的狼疮，例如盘状红斑狼疮或那些只影响血液和关节的红斑狼疮不在保障范围内。</w:t>
      </w:r>
    </w:p>
    <w:p>
      <w:pPr>
        <w:pStyle w:val="BodyText"/>
        <w:spacing w:before="10"/>
      </w:pPr>
      <w:r>
        <w:rPr/>
        <w:t>世界卫生组织（WHO）狼疮性肾炎标准病理分型：</w:t>
      </w:r>
    </w:p>
    <w:p>
      <w:pPr>
        <w:pStyle w:val="ListParagraph"/>
        <w:numPr>
          <w:ilvl w:val="0"/>
          <w:numId w:val="8"/>
        </w:numPr>
        <w:tabs>
          <w:tab w:pos="2207" w:val="left" w:leader="none"/>
          <w:tab w:pos="4306" w:val="left" w:leader="none"/>
        </w:tabs>
        <w:spacing w:line="240" w:lineRule="auto" w:before="45" w:after="0"/>
        <w:ind w:left="2206" w:right="0" w:hanging="210"/>
        <w:jc w:val="left"/>
        <w:rPr>
          <w:sz w:val="21"/>
        </w:rPr>
      </w:pPr>
      <w:r>
        <w:rPr>
          <w:sz w:val="21"/>
        </w:rPr>
        <w:t>型</w:t>
        <w:tab/>
      </w:r>
      <w:r>
        <w:rPr>
          <w:spacing w:val="-1"/>
          <w:sz w:val="21"/>
        </w:rPr>
        <w:t>正常肾小球型</w:t>
      </w:r>
    </w:p>
    <w:p>
      <w:pPr>
        <w:pStyle w:val="ListParagraph"/>
        <w:numPr>
          <w:ilvl w:val="0"/>
          <w:numId w:val="8"/>
        </w:numPr>
        <w:tabs>
          <w:tab w:pos="2260" w:val="left" w:leader="none"/>
          <w:tab w:pos="4358" w:val="left" w:leader="none"/>
        </w:tabs>
        <w:spacing w:line="240" w:lineRule="auto" w:before="45" w:after="0"/>
        <w:ind w:left="2259" w:right="0" w:hanging="263"/>
        <w:jc w:val="left"/>
        <w:rPr>
          <w:sz w:val="21"/>
        </w:rPr>
      </w:pPr>
      <w:r>
        <w:rPr>
          <w:sz w:val="21"/>
        </w:rPr>
        <w:t>型</w:t>
        <w:tab/>
      </w:r>
      <w:r>
        <w:rPr>
          <w:spacing w:val="-1"/>
          <w:sz w:val="21"/>
        </w:rPr>
        <w:t>系膜增生型</w:t>
      </w:r>
    </w:p>
    <w:p>
      <w:pPr>
        <w:pStyle w:val="ListParagraph"/>
        <w:numPr>
          <w:ilvl w:val="0"/>
          <w:numId w:val="8"/>
        </w:numPr>
        <w:tabs>
          <w:tab w:pos="2364" w:val="left" w:leader="none"/>
          <w:tab w:pos="4358" w:val="left" w:leader="none"/>
        </w:tabs>
        <w:spacing w:line="240" w:lineRule="auto" w:before="44" w:after="0"/>
        <w:ind w:left="2363" w:right="0" w:hanging="367"/>
        <w:jc w:val="left"/>
        <w:rPr>
          <w:sz w:val="21"/>
        </w:rPr>
      </w:pPr>
      <w:r>
        <w:rPr>
          <w:sz w:val="21"/>
        </w:rPr>
        <w:t>型</w:t>
        <w:tab/>
      </w:r>
      <w:r>
        <w:rPr>
          <w:spacing w:val="-1"/>
          <w:sz w:val="21"/>
        </w:rPr>
        <w:t>局灶及节段增生型</w:t>
      </w:r>
    </w:p>
    <w:p>
      <w:pPr>
        <w:pStyle w:val="ListParagraph"/>
        <w:numPr>
          <w:ilvl w:val="0"/>
          <w:numId w:val="8"/>
        </w:numPr>
        <w:tabs>
          <w:tab w:pos="2260" w:val="left" w:leader="none"/>
          <w:tab w:pos="4358" w:val="left" w:leader="none"/>
        </w:tabs>
        <w:spacing w:line="240" w:lineRule="auto" w:before="45" w:after="0"/>
        <w:ind w:left="2259" w:right="0" w:hanging="263"/>
        <w:jc w:val="left"/>
        <w:rPr>
          <w:sz w:val="21"/>
        </w:rPr>
      </w:pPr>
      <w:r>
        <w:rPr>
          <w:sz w:val="21"/>
        </w:rPr>
        <w:t>型</w:t>
        <w:tab/>
      </w:r>
      <w:r>
        <w:rPr>
          <w:spacing w:val="-1"/>
          <w:sz w:val="21"/>
        </w:rPr>
        <w:t>弥漫增生型</w:t>
      </w:r>
    </w:p>
    <w:p>
      <w:pPr>
        <w:pStyle w:val="ListParagraph"/>
        <w:numPr>
          <w:ilvl w:val="0"/>
          <w:numId w:val="8"/>
        </w:numPr>
        <w:tabs>
          <w:tab w:pos="2155" w:val="left" w:leader="none"/>
          <w:tab w:pos="4359" w:val="left" w:leader="none"/>
        </w:tabs>
        <w:spacing w:line="240" w:lineRule="auto" w:before="45" w:after="0"/>
        <w:ind w:left="2154" w:right="0" w:hanging="158"/>
        <w:jc w:val="left"/>
        <w:rPr>
          <w:sz w:val="21"/>
        </w:rPr>
      </w:pPr>
      <w:r>
        <w:rPr>
          <w:sz w:val="21"/>
        </w:rPr>
        <w:t>型</w:t>
        <w:tab/>
      </w:r>
      <w:r>
        <w:rPr>
          <w:spacing w:val="-1"/>
          <w:sz w:val="21"/>
        </w:rPr>
        <w:t>膜型</w:t>
      </w:r>
    </w:p>
    <w:p>
      <w:pPr>
        <w:pStyle w:val="ListParagraph"/>
        <w:numPr>
          <w:ilvl w:val="0"/>
          <w:numId w:val="8"/>
        </w:numPr>
        <w:tabs>
          <w:tab w:pos="2260" w:val="left" w:leader="none"/>
          <w:tab w:pos="4358" w:val="left" w:leader="none"/>
        </w:tabs>
        <w:spacing w:line="240" w:lineRule="auto" w:before="44" w:after="0"/>
        <w:ind w:left="2259" w:right="0" w:hanging="263"/>
        <w:jc w:val="left"/>
        <w:rPr>
          <w:sz w:val="21"/>
        </w:rPr>
      </w:pPr>
      <w:r>
        <w:rPr>
          <w:sz w:val="21"/>
        </w:rPr>
        <w:t>型</w:t>
        <w:tab/>
      </w:r>
      <w:r>
        <w:rPr>
          <w:spacing w:val="-1"/>
          <w:sz w:val="21"/>
        </w:rPr>
        <w:t>肾小球硬化型</w:t>
      </w:r>
    </w:p>
    <w:p>
      <w:pPr>
        <w:pStyle w:val="BodyText"/>
        <w:spacing w:before="3"/>
        <w:ind w:left="0"/>
        <w:rPr>
          <w:sz w:val="14"/>
        </w:rPr>
      </w:pPr>
    </w:p>
    <w:p>
      <w:pPr>
        <w:pStyle w:val="BodyText"/>
        <w:spacing w:before="0"/>
      </w:pPr>
      <w:r>
        <w:rPr/>
        <w:t>（三十）植物人状态</w:t>
      </w:r>
    </w:p>
    <w:p>
      <w:pPr>
        <w:pStyle w:val="BodyText"/>
        <w:spacing w:line="280" w:lineRule="auto"/>
        <w:ind w:right="163"/>
      </w:pPr>
      <w:r>
        <w:rPr>
          <w:spacing w:val="-2"/>
        </w:rPr>
        <w:t>指经神经科医生确诊，</w:t>
      </w:r>
      <w:r>
        <w:rPr>
          <w:spacing w:val="-13"/>
        </w:rPr>
        <w:t>CT</w:t>
      </w:r>
      <w:r>
        <w:rPr>
          <w:spacing w:val="-35"/>
        </w:rPr>
        <w:t>、</w:t>
      </w:r>
      <w:r>
        <w:rPr/>
        <w:t>MRI</w:t>
      </w:r>
      <w:r>
        <w:rPr>
          <w:spacing w:val="-11"/>
        </w:rPr>
        <w:t> 等证实大脑皮质全面坏死。患者临床表现意识完全丧失，但脑干功能仍保持完好，且此情况持续一个月或一个月以上。</w:t>
      </w:r>
    </w:p>
    <w:p>
      <w:pPr>
        <w:spacing w:after="0" w:line="280" w:lineRule="auto"/>
        <w:sectPr>
          <w:pgSz w:w="11910" w:h="16840"/>
          <w:pgMar w:top="1420" w:bottom="280" w:left="1680" w:right="1080"/>
        </w:sectPr>
      </w:pPr>
    </w:p>
    <w:p>
      <w:pPr>
        <w:pStyle w:val="BodyText"/>
        <w:spacing w:before="8"/>
      </w:pPr>
      <w:r>
        <w:rPr/>
        <w:t>（三十一）经输血导致的人类免疫缺陷病毒（HIV）感染</w:t>
      </w:r>
    </w:p>
    <w:p>
      <w:pPr>
        <w:pStyle w:val="BodyText"/>
        <w:spacing w:before="43"/>
      </w:pPr>
      <w:r>
        <w:rPr/>
        <w:t>被保险人感染上人类免疫缺陷病毒（HIV）并且满足下列全部条件：</w:t>
      </w:r>
    </w:p>
    <w:p>
      <w:pPr>
        <w:pStyle w:val="BodyText"/>
        <w:spacing w:line="280" w:lineRule="auto"/>
        <w:ind w:right="98"/>
      </w:pPr>
      <w:r>
        <w:rPr/>
        <w:t>(1)在本附加险合同生效日或最后复效日（以较迟者为准）后因输血而感染HIV；</w:t>
      </w:r>
    </w:p>
    <w:p>
      <w:pPr>
        <w:pStyle w:val="BodyText"/>
        <w:spacing w:line="280" w:lineRule="auto" w:before="8"/>
        <w:ind w:right="98"/>
      </w:pPr>
      <w:r>
        <w:rPr/>
        <w:t>(2</w:t>
      </w:r>
      <w:r>
        <w:rPr>
          <w:spacing w:val="0"/>
        </w:rPr>
        <w:t>)提供输血治疗的输血中心或医院出具该项输血感染属医疗责任事故的报</w:t>
      </w:r>
      <w:r>
        <w:rPr/>
        <w:t>告，或者法院终审裁判为医疗责任；                                </w:t>
      </w:r>
      <w:r>
        <w:rPr>
          <w:spacing w:val="-1"/>
        </w:rPr>
        <w:t>(3)受感染的被保险人不是血友病患者。</w:t>
      </w:r>
    </w:p>
    <w:p>
      <w:pPr>
        <w:pStyle w:val="BodyText"/>
        <w:spacing w:line="280" w:lineRule="auto" w:before="8"/>
        <w:ind w:right="103"/>
      </w:pPr>
      <w:r>
        <w:rPr>
          <w:shd w:fill="D9D9D9" w:color="auto" w:val="clear"/>
        </w:rPr>
        <w:t>在任何治愈艾滋病（AIDS）</w:t>
      </w:r>
      <w:r>
        <w:rPr>
          <w:spacing w:val="-11"/>
          <w:shd w:fill="D9D9D9" w:color="auto" w:val="clear"/>
        </w:rPr>
        <w:t>或阻止 </w:t>
      </w:r>
      <w:r>
        <w:rPr>
          <w:shd w:fill="D9D9D9" w:color="auto" w:val="clear"/>
        </w:rPr>
        <w:t>HIV</w:t>
      </w:r>
      <w:r>
        <w:rPr>
          <w:spacing w:val="-7"/>
          <w:shd w:fill="D9D9D9" w:color="auto" w:val="clear"/>
        </w:rPr>
        <w:t> 病毒作用的疗法被发现以后，或能防</w:t>
      </w:r>
      <w:r>
        <w:rPr>
          <w:spacing w:val="-184"/>
          <w:shd w:fill="D9D9D9" w:color="auto" w:val="clear"/>
        </w:rPr>
        <w:t>止</w:t>
      </w:r>
      <w:r>
        <w:rPr>
          <w:shd w:fill="D9D9D9" w:color="auto" w:val="clear"/>
        </w:rPr>
        <w:t>AIDS</w:t>
      </w:r>
      <w:r>
        <w:rPr>
          <w:spacing w:val="-10"/>
          <w:shd w:fill="D9D9D9" w:color="auto" w:val="clear"/>
        </w:rPr>
        <w:t> 发生的医疗方法被研究出来以后，本保障将不再予以赔付。</w:t>
      </w:r>
    </w:p>
    <w:p>
      <w:pPr>
        <w:pStyle w:val="BodyText"/>
        <w:spacing w:line="278" w:lineRule="auto" w:before="10"/>
        <w:ind w:right="40"/>
      </w:pPr>
      <w:r>
        <w:rPr>
          <w:shd w:fill="D9D9D9" w:color="auto" w:val="clear"/>
        </w:rPr>
        <w:t>任何因其他传播方式（包括但不限于性传播或静脉注射毒品）导致的 HIV 感染不在保障范围内。</w:t>
      </w:r>
    </w:p>
    <w:p>
      <w:pPr>
        <w:pStyle w:val="BodyText"/>
        <w:spacing w:before="173"/>
      </w:pPr>
      <w:r>
        <w:rPr/>
        <w:t>（三十二）严重克隆病</w:t>
      </w:r>
    </w:p>
    <w:p>
      <w:pPr>
        <w:pStyle w:val="BodyText"/>
        <w:spacing w:line="278" w:lineRule="auto"/>
        <w:ind w:right="100"/>
        <w:jc w:val="both"/>
      </w:pP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113"/>
      </w:pPr>
      <w:r>
        <w:rPr/>
        <w:t>（三十三）坏死性筋膜炎</w:t>
      </w:r>
    </w:p>
    <w:p>
      <w:pPr>
        <w:pStyle w:val="BodyText"/>
        <w:spacing w:line="280" w:lineRule="auto" w:before="44"/>
        <w:ind w:right="3095"/>
      </w:pPr>
      <w:r>
        <w:rPr/>
        <w:t>坏死性筋膜炎的诊断须同时符合下列要求： (1)符合坏死性筋膜炎的一般临床表现； </w:t>
      </w:r>
      <w:r>
        <w:rPr>
          <w:spacing w:val="-1"/>
        </w:rPr>
        <w:t>(2)细菌培养检出致病菌；</w:t>
      </w:r>
    </w:p>
    <w:p>
      <w:pPr>
        <w:pStyle w:val="BodyText"/>
        <w:spacing w:line="280" w:lineRule="auto" w:before="8"/>
        <w:ind w:right="40"/>
      </w:pPr>
      <w:r>
        <w:rPr/>
        <w:t>(3)出现广泛性肌肉及软组织坏死，并导致身体受影响部位的功能永久不可逆性丧失。</w:t>
      </w:r>
    </w:p>
    <w:p>
      <w:pPr>
        <w:pStyle w:val="BodyText"/>
        <w:spacing w:before="0"/>
        <w:ind w:left="0"/>
        <w:rPr>
          <w:sz w:val="15"/>
        </w:rPr>
      </w:pPr>
    </w:p>
    <w:p>
      <w:pPr>
        <w:pStyle w:val="BodyText"/>
        <w:spacing w:before="0"/>
      </w:pPr>
      <w:r>
        <w:rPr/>
        <w:t>（三十四）全身性重症肌无力</w:t>
      </w:r>
    </w:p>
    <w:p>
      <w:pPr>
        <w:pStyle w:val="BodyText"/>
        <w:spacing w:line="278" w:lineRule="auto"/>
        <w:ind w:right="100"/>
      </w:pPr>
      <w:r>
        <w:rPr/>
        <w:t>重症肌无力是一种神经肌肉接头传递障碍所致的疾病，表现为局部或全身骨骼肌（特别是眼外肌）极易疲劳。疾病可以累及呼吸肌、上肢或下肢的近端肌群或全身肌肉，必须满足下列全部条件：                          </w:t>
      </w:r>
      <w:r>
        <w:rPr>
          <w:spacing w:val="-1"/>
        </w:rPr>
        <w:t>(1)经药物治疗和胸腺切除治疗一年以上仍无法控制病情；</w:t>
      </w:r>
    </w:p>
    <w:p>
      <w:pPr>
        <w:pStyle w:val="BodyText"/>
        <w:spacing w:line="278" w:lineRule="auto" w:before="11"/>
        <w:ind w:right="53"/>
      </w:pPr>
      <w:r>
        <w:rPr/>
        <w:t>(2)自主生活能力完全丧失，无法独立完成六项基本日常生活活动中的三项或三项以上。</w:t>
      </w:r>
    </w:p>
    <w:p>
      <w:pPr>
        <w:pStyle w:val="BodyText"/>
        <w:spacing w:before="124"/>
      </w:pPr>
      <w:r>
        <w:rPr/>
        <w:t>（三十五）脊髓灰质炎（或称小儿麻痹症）</w:t>
      </w:r>
    </w:p>
    <w:p>
      <w:pPr>
        <w:pStyle w:val="BodyText"/>
        <w:spacing w:line="278" w:lineRule="auto"/>
        <w:ind w:right="100"/>
        <w:jc w:val="both"/>
      </w:pPr>
      <w:r>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w:t>
      </w:r>
      <w:r>
        <w:rPr>
          <w:spacing w:val="-2"/>
        </w:rPr>
        <w:t>的情况予以理赔。肢体机能永久完全丧失，指疾病确诊 </w:t>
      </w:r>
      <w:r>
        <w:rPr/>
        <w:t>180</w:t>
      </w:r>
      <w:r>
        <w:rPr>
          <w:spacing w:val="-6"/>
        </w:rPr>
        <w:t> 天后，每肢三大关节中的两大关节仍然完全僵硬，或不能随意识活动。</w:t>
      </w:r>
    </w:p>
    <w:p>
      <w:pPr>
        <w:spacing w:after="0" w:line="278" w:lineRule="auto"/>
        <w:jc w:val="both"/>
        <w:sectPr>
          <w:pgSz w:w="11910" w:h="16840"/>
          <w:pgMar w:top="1420" w:bottom="280" w:left="1680" w:right="1140"/>
        </w:sectPr>
      </w:pPr>
    </w:p>
    <w:p>
      <w:pPr>
        <w:pStyle w:val="BodyText"/>
        <w:spacing w:before="8"/>
      </w:pPr>
      <w:r>
        <w:rPr/>
        <w:t>（三十六）严重的Ｉ型糖尿病</w:t>
      </w:r>
    </w:p>
    <w:p>
      <w:pPr>
        <w:pStyle w:val="BodyText"/>
        <w:spacing w:line="278" w:lineRule="auto" w:before="43"/>
        <w:ind w:right="100"/>
      </w:pPr>
      <w:r>
        <w:rPr/>
        <w:t>严重的Ｉ型糖尿病为由于胰岛素分泌绝对不足引起的慢性血糖升高，且已经</w:t>
      </w:r>
      <w:r>
        <w:rPr>
          <w:spacing w:val="-4"/>
        </w:rPr>
        <w:t>持续性地依赖外源性胰岛素维持 </w:t>
      </w:r>
      <w:r>
        <w:rPr/>
        <w:t>180</w:t>
      </w:r>
      <w:r>
        <w:rPr>
          <w:spacing w:val="-11"/>
        </w:rPr>
        <w:t> 天以上。须经血胰岛素测定、血 </w:t>
      </w:r>
      <w:r>
        <w:rPr/>
        <w:t>C</w:t>
      </w:r>
      <w:r>
        <w:rPr>
          <w:spacing w:val="-4"/>
        </w:rPr>
        <w:t> 肽测</w:t>
      </w:r>
      <w:r>
        <w:rPr>
          <w:spacing w:val="-19"/>
        </w:rPr>
        <w:t>定或尿 </w:t>
      </w:r>
      <w:r>
        <w:rPr/>
        <w:t>C</w:t>
      </w:r>
      <w:r>
        <w:rPr>
          <w:spacing w:val="-4"/>
        </w:rPr>
        <w:t> 肽测定，结果异常，并由内分泌科专科医生明确诊断。并须在本附加险合同有效期内，满足下述至少            </w:t>
      </w:r>
      <w:r>
        <w:rPr/>
        <w:t>1            个条件： </w:t>
      </w:r>
      <w:r>
        <w:rPr>
          <w:spacing w:val="-1"/>
        </w:rPr>
        <w:t>(1)已出现增殖性视网膜病变；</w:t>
      </w:r>
    </w:p>
    <w:p>
      <w:pPr>
        <w:pStyle w:val="BodyText"/>
        <w:spacing w:line="278" w:lineRule="auto" w:before="11"/>
        <w:ind w:right="3831"/>
      </w:pPr>
      <w:r>
        <w:rPr/>
        <w:t>(2)须植入心脏起搏器治疗心脏病； (3)因坏疽需切除至少一个脚趾。</w:t>
      </w:r>
    </w:p>
    <w:p>
      <w:pPr>
        <w:pStyle w:val="BodyText"/>
        <w:spacing w:before="98"/>
      </w:pPr>
      <w:r>
        <w:rPr/>
        <w:t>（三十七）冠状动脉血管成形术</w:t>
      </w:r>
    </w:p>
    <w:p>
      <w:pPr>
        <w:pStyle w:val="BodyText"/>
        <w:spacing w:line="273" w:lineRule="auto" w:before="19"/>
        <w:ind w:right="102"/>
        <w:jc w:val="both"/>
      </w:pPr>
      <w:r>
        <w:rPr>
          <w:spacing w:val="-5"/>
        </w:rPr>
        <w:t>是指有心绞痛等心脏不适症状，经过血管造影技术检查证实同时存在两支(其</w:t>
      </w:r>
      <w:r>
        <w:rPr>
          <w:spacing w:val="-6"/>
        </w:rPr>
        <w:t>中一支为左冠状动脉主干、左前降支或左回旋支)或更多支的冠状动脉血管发</w:t>
      </w:r>
      <w:r>
        <w:rPr>
          <w:spacing w:val="-14"/>
        </w:rPr>
        <w:t>生严重的狭窄</w:t>
      </w:r>
      <w:r>
        <w:rPr/>
        <w:t>（</w:t>
      </w:r>
      <w:r>
        <w:rPr>
          <w:spacing w:val="-9"/>
        </w:rPr>
        <w:t>狭窄程度在 </w:t>
      </w:r>
      <w:r>
        <w:rPr/>
        <w:t>70％以上</w:t>
      </w:r>
      <w:r>
        <w:rPr>
          <w:spacing w:val="-80"/>
        </w:rPr>
        <w:t>）</w:t>
      </w:r>
      <w:r>
        <w:rPr>
          <w:spacing w:val="-10"/>
        </w:rPr>
        <w:t>，需要并且已实施冠状动脉气囊扩张以改善血管的血流状况。</w:t>
      </w:r>
    </w:p>
    <w:p>
      <w:pPr>
        <w:pStyle w:val="BodyText"/>
        <w:spacing w:before="179"/>
      </w:pPr>
      <w:r>
        <w:rPr/>
        <w:t>（三十八）急性出血坏死性胰腺炎</w:t>
      </w:r>
    </w:p>
    <w:p>
      <w:pPr>
        <w:pStyle w:val="BodyText"/>
        <w:spacing w:line="278" w:lineRule="auto"/>
        <w:ind w:right="100"/>
        <w:jc w:val="both"/>
      </w:pPr>
      <w:r>
        <w:rPr/>
        <w:t>指被保险人因为急性出血坏死性胰腺炎已经接受了外科开腹手术治疗，以进行坏死组织清除、坏死病灶切除或胰腺切除。</w:t>
      </w:r>
      <w:r>
        <w:rPr>
          <w:shd w:fill="D9D9D9" w:color="auto" w:val="clear"/>
        </w:rPr>
        <w:t>因饮酒过量所致的急性出血坏</w:t>
      </w:r>
      <w:r>
        <w:rPr>
          <w:spacing w:val="-208"/>
          <w:shd w:fill="D9D9D9" w:color="auto" w:val="clear"/>
        </w:rPr>
        <w:t>死</w:t>
      </w:r>
      <w:r>
        <w:rPr>
          <w:shd w:fill="D9D9D9" w:color="auto" w:val="clear"/>
        </w:rPr>
        <w:t>性胰腺炎或经腹腔镜手术进行的治疗不在本险种保障范围内。</w:t>
      </w:r>
    </w:p>
    <w:p>
      <w:pPr>
        <w:pStyle w:val="BodyText"/>
        <w:spacing w:before="77"/>
      </w:pPr>
      <w:r>
        <w:rPr/>
        <w:t>（三十九）肾髓质囊性病</w:t>
      </w:r>
    </w:p>
    <w:p>
      <w:pPr>
        <w:pStyle w:val="BodyText"/>
        <w:spacing w:line="278" w:lineRule="auto"/>
        <w:ind w:right="1731"/>
      </w:pPr>
      <w:r>
        <w:rPr/>
        <w:t>肾髓质囊性病的诊断必须同时符合下列要求：         </w:t>
      </w:r>
      <w:r>
        <w:rPr>
          <w:spacing w:val="-1"/>
        </w:rPr>
        <w:t>(1)肾髓质有囊肿、肾小管萎缩及间质纤维化等病理改变； (2)贫血、多尿及肾功能衰竭等临床表现；            (3)诊断须由肾组织活检确定。</w:t>
      </w:r>
    </w:p>
    <w:p>
      <w:pPr>
        <w:pStyle w:val="BodyText"/>
        <w:spacing w:before="11"/>
        <w:ind w:left="0"/>
        <w:rPr>
          <w:sz w:val="13"/>
        </w:rPr>
      </w:pPr>
    </w:p>
    <w:p>
      <w:pPr>
        <w:pStyle w:val="BodyText"/>
        <w:spacing w:before="0"/>
      </w:pPr>
      <w:r>
        <w:rPr/>
        <w:t>（四十）象皮病</w:t>
      </w:r>
    </w:p>
    <w:p>
      <w:pPr>
        <w:pStyle w:val="BodyText"/>
        <w:spacing w:line="314" w:lineRule="auto" w:before="68"/>
        <w:ind w:right="155"/>
        <w:jc w:val="both"/>
      </w:pPr>
      <w:r>
        <w:rPr/>
        <w:t>指末期丝虫病，按国际淋巴学会分级为三度淋巴液肿，其临床表现为肢体非凹陷性水肿伴畸形增大、硬皮症和疣状增生。此病症须经我们认可的专科医生根据临床表现和微丝蚴的化验结果确诊。</w:t>
      </w:r>
    </w:p>
    <w:p>
      <w:pPr>
        <w:pStyle w:val="BodyText"/>
        <w:spacing w:before="138"/>
      </w:pPr>
      <w:r>
        <w:rPr/>
        <w:t>上述重大疾病定义中部分术语释义如下：</w:t>
      </w:r>
    </w:p>
    <w:p>
      <w:pPr>
        <w:pStyle w:val="BodyText"/>
        <w:spacing w:before="163"/>
      </w:pPr>
      <w:r>
        <w:rPr/>
        <w:t>（一）专科医生</w:t>
      </w:r>
    </w:p>
    <w:p>
      <w:pPr>
        <w:pStyle w:val="BodyText"/>
        <w:spacing w:before="43"/>
      </w:pPr>
      <w:r>
        <w:rPr/>
        <w:t>专科医生应当同时满足以下四项资格条件：</w:t>
      </w:r>
    </w:p>
    <w:p>
      <w:pPr>
        <w:pStyle w:val="BodyText"/>
      </w:pPr>
      <w:r>
        <w:rPr/>
        <w:t>(1)具有有效的中华人民共和国《医师资格证书》；</w:t>
      </w:r>
    </w:p>
    <w:p>
      <w:pPr>
        <w:pStyle w:val="BodyText"/>
        <w:spacing w:line="278" w:lineRule="auto"/>
        <w:ind w:right="156"/>
      </w:pPr>
      <w:r>
        <w:rPr>
          <w:spacing w:val="-1"/>
        </w:rPr>
        <w:t>(2)</w:t>
      </w:r>
      <w:r>
        <w:rPr>
          <w:spacing w:val="-6"/>
        </w:rPr>
        <w:t>具有有效的中华人民共和国《医师执业证书》，并按期到相关部门登记注册；</w:t>
      </w:r>
    </w:p>
    <w:p>
      <w:pPr>
        <w:pStyle w:val="BodyText"/>
        <w:spacing w:line="280" w:lineRule="auto" w:before="11"/>
        <w:ind w:right="40"/>
      </w:pPr>
      <w:r>
        <w:rPr/>
        <w:t>(3)具有有效的中华人民共和国主治医师或主治医师以上职称的《医师职称证书》；</w:t>
      </w:r>
    </w:p>
    <w:p>
      <w:pPr>
        <w:pStyle w:val="BodyText"/>
        <w:spacing w:before="8"/>
      </w:pPr>
      <w:r>
        <w:rPr/>
        <w:t>(4)在二级或二级以上医院的相应科室从事临床工作三年以上。</w:t>
      </w:r>
    </w:p>
    <w:p>
      <w:pPr>
        <w:pStyle w:val="BodyText"/>
        <w:spacing w:before="10"/>
        <w:ind w:left="0"/>
        <w:rPr>
          <w:sz w:val="13"/>
        </w:rPr>
      </w:pPr>
    </w:p>
    <w:p>
      <w:pPr>
        <w:pStyle w:val="BodyText"/>
        <w:spacing w:before="0"/>
      </w:pPr>
      <w:r>
        <w:rPr/>
        <w:t>（二）肢体机能完全丧失</w:t>
      </w:r>
    </w:p>
    <w:p>
      <w:pPr>
        <w:pStyle w:val="BodyText"/>
        <w:spacing w:line="280" w:lineRule="auto"/>
        <w:ind w:right="155"/>
      </w:pPr>
      <w:r>
        <w:rPr/>
        <w:t>指肢体的三大关节中的两大关节僵硬，或不能随意识活动。肢体是指包括肩关节的整个上肢或包括髋关节的整个下肢。</w:t>
      </w:r>
    </w:p>
    <w:p>
      <w:pPr>
        <w:spacing w:after="0" w:line="280" w:lineRule="auto"/>
        <w:sectPr>
          <w:pgSz w:w="11910" w:h="16840"/>
          <w:pgMar w:top="1420" w:bottom="280" w:left="1680" w:right="1140"/>
        </w:sectPr>
      </w:pPr>
    </w:p>
    <w:p>
      <w:pPr>
        <w:pStyle w:val="BodyText"/>
        <w:spacing w:before="8"/>
      </w:pPr>
      <w:r>
        <w:rPr/>
        <w:t>（三）语言能力或咀嚼吞咽能力完全丧失</w:t>
      </w:r>
    </w:p>
    <w:p>
      <w:pPr>
        <w:pStyle w:val="BodyText"/>
        <w:spacing w:line="280" w:lineRule="auto" w:before="43"/>
        <w:ind w:right="115"/>
        <w:jc w:val="both"/>
      </w:pPr>
      <w:r>
        <w:rPr/>
        <w:t>语言能力完全丧失，指无法发出四种语音（包括口唇音、齿舌音、口盖音和喉头音）中的任何三种、或声带全部切除，或因大脑语言中枢受伤害而患失语症。</w:t>
      </w:r>
    </w:p>
    <w:p>
      <w:pPr>
        <w:pStyle w:val="BodyText"/>
        <w:spacing w:line="280" w:lineRule="auto" w:before="8"/>
        <w:ind w:right="115"/>
      </w:pPr>
      <w:r>
        <w:rPr/>
        <w:t>咀嚼吞咽能力完全丧失，指因牙齿以外的原因导致器质障碍或机能障碍，以致不能作咀嚼吞咽运动，除流质食物外不能摄取或吞咽的状态。</w:t>
      </w:r>
    </w:p>
    <w:p>
      <w:pPr>
        <w:pStyle w:val="BodyText"/>
        <w:spacing w:line="278" w:lineRule="auto" w:before="124"/>
        <w:ind w:right="4001"/>
      </w:pPr>
      <w:r>
        <w:rPr/>
        <w:t>（四）六项基本日常生活活动  六项基本日常生活活动是指： </w:t>
      </w:r>
      <w:r>
        <w:rPr>
          <w:spacing w:val="-1"/>
        </w:rPr>
        <w:t>(1)穿衣：自己能够穿衣及脱衣；</w:t>
      </w:r>
    </w:p>
    <w:p>
      <w:pPr>
        <w:pStyle w:val="BodyText"/>
        <w:spacing w:line="278" w:lineRule="auto" w:before="12"/>
        <w:ind w:right="1901"/>
      </w:pPr>
      <w:r>
        <w:rPr/>
        <w:t>(2)移动：自己从一个房间到另一个房间；          (3)行动：自己上下床或上下轮椅；                (4)如厕：自己控制进行大小便；                  </w:t>
      </w:r>
      <w:r>
        <w:rPr>
          <w:spacing w:val="-1"/>
        </w:rPr>
        <w:t>(5)进食：自己从已准备好的碗或碟中取食物放入口中； (6)洗澡：自己进行淋浴或盆浴。</w:t>
      </w:r>
    </w:p>
    <w:p>
      <w:pPr>
        <w:pStyle w:val="BodyText"/>
        <w:spacing w:before="5"/>
        <w:ind w:left="0"/>
        <w:rPr>
          <w:sz w:val="17"/>
        </w:rPr>
      </w:pPr>
    </w:p>
    <w:p>
      <w:pPr>
        <w:pStyle w:val="BodyText"/>
        <w:spacing w:before="0"/>
      </w:pPr>
      <w:r>
        <w:rPr/>
        <w:t>（五）永久不可逆</w:t>
      </w:r>
    </w:p>
    <w:p>
      <w:pPr>
        <w:pStyle w:val="BodyText"/>
        <w:spacing w:line="278" w:lineRule="auto"/>
        <w:ind w:right="115"/>
      </w:pPr>
      <w:r>
        <w:rPr>
          <w:spacing w:val="-3"/>
        </w:rPr>
        <w:t>指自疾病确诊或意外伤害发生之日起，经过积极治疗 </w:t>
      </w:r>
      <w:r>
        <w:rPr/>
        <w:t>180</w:t>
      </w:r>
      <w:r>
        <w:rPr>
          <w:spacing w:val="-8"/>
        </w:rPr>
        <w:t> 天后，仍无法通过现有医疗手段恢复。</w:t>
      </w:r>
    </w:p>
    <w:sectPr>
      <w:pgSz w:w="11910" w:h="16840"/>
      <w:pgMar w:top="1420" w:bottom="280" w:left="168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MS UI Gothic">
    <w:altName w:val="MS UI Gothic"/>
    <w:charset w:val="0"/>
    <w:family w:val="swiss"/>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upperRoman"/>
      <w:lvlText w:val="%1"/>
      <w:lvlJc w:val="left"/>
      <w:pPr>
        <w:ind w:left="2206" w:hanging="210"/>
        <w:jc w:val="left"/>
      </w:pPr>
      <w:rPr>
        <w:rFonts w:hint="default" w:ascii="宋体" w:hAnsi="宋体" w:eastAsia="宋体" w:cs="宋体"/>
        <w:w w:val="100"/>
        <w:sz w:val="21"/>
        <w:szCs w:val="21"/>
      </w:rPr>
    </w:lvl>
    <w:lvl w:ilvl="1">
      <w:start w:val="0"/>
      <w:numFmt w:val="bullet"/>
      <w:lvlText w:val="•"/>
      <w:lvlJc w:val="left"/>
      <w:pPr>
        <w:ind w:left="2894" w:hanging="210"/>
      </w:pPr>
      <w:rPr>
        <w:rFonts w:hint="default"/>
      </w:rPr>
    </w:lvl>
    <w:lvl w:ilvl="2">
      <w:start w:val="0"/>
      <w:numFmt w:val="bullet"/>
      <w:lvlText w:val="•"/>
      <w:lvlJc w:val="left"/>
      <w:pPr>
        <w:ind w:left="3588" w:hanging="210"/>
      </w:pPr>
      <w:rPr>
        <w:rFonts w:hint="default"/>
      </w:rPr>
    </w:lvl>
    <w:lvl w:ilvl="3">
      <w:start w:val="0"/>
      <w:numFmt w:val="bullet"/>
      <w:lvlText w:val="•"/>
      <w:lvlJc w:val="left"/>
      <w:pPr>
        <w:ind w:left="4283" w:hanging="210"/>
      </w:pPr>
      <w:rPr>
        <w:rFonts w:hint="default"/>
      </w:rPr>
    </w:lvl>
    <w:lvl w:ilvl="4">
      <w:start w:val="0"/>
      <w:numFmt w:val="bullet"/>
      <w:lvlText w:val="•"/>
      <w:lvlJc w:val="left"/>
      <w:pPr>
        <w:ind w:left="4977" w:hanging="210"/>
      </w:pPr>
      <w:rPr>
        <w:rFonts w:hint="default"/>
      </w:rPr>
    </w:lvl>
    <w:lvl w:ilvl="5">
      <w:start w:val="0"/>
      <w:numFmt w:val="bullet"/>
      <w:lvlText w:val="•"/>
      <w:lvlJc w:val="left"/>
      <w:pPr>
        <w:ind w:left="5672" w:hanging="210"/>
      </w:pPr>
      <w:rPr>
        <w:rFonts w:hint="default"/>
      </w:rPr>
    </w:lvl>
    <w:lvl w:ilvl="6">
      <w:start w:val="0"/>
      <w:numFmt w:val="bullet"/>
      <w:lvlText w:val="•"/>
      <w:lvlJc w:val="left"/>
      <w:pPr>
        <w:ind w:left="6366" w:hanging="210"/>
      </w:pPr>
      <w:rPr>
        <w:rFonts w:hint="default"/>
      </w:rPr>
    </w:lvl>
    <w:lvl w:ilvl="7">
      <w:start w:val="0"/>
      <w:numFmt w:val="bullet"/>
      <w:lvlText w:val="•"/>
      <w:lvlJc w:val="left"/>
      <w:pPr>
        <w:ind w:left="7061" w:hanging="210"/>
      </w:pPr>
      <w:rPr>
        <w:rFonts w:hint="default"/>
      </w:rPr>
    </w:lvl>
    <w:lvl w:ilvl="8">
      <w:start w:val="0"/>
      <w:numFmt w:val="bullet"/>
      <w:lvlText w:val="•"/>
      <w:lvlJc w:val="left"/>
      <w:pPr>
        <w:ind w:left="7755" w:hanging="210"/>
      </w:pPr>
      <w:rPr>
        <w:rFonts w:hint="default"/>
      </w:rPr>
    </w:lvl>
  </w:abstractNum>
  <w:abstractNum w:abstractNumId="6">
    <w:multiLevelType w:val="hybridMultilevel"/>
    <w:lvl w:ilvl="0">
      <w:start w:val="7"/>
      <w:numFmt w:val="decimal"/>
      <w:lvlText w:val="%1"/>
      <w:lvlJc w:val="left"/>
      <w:pPr>
        <w:ind w:left="976" w:hanging="860"/>
        <w:jc w:val="left"/>
      </w:pPr>
      <w:rPr>
        <w:rFonts w:hint="default"/>
      </w:rPr>
    </w:lvl>
    <w:lvl w:ilvl="1">
      <w:start w:val="10"/>
      <w:numFmt w:val="decimal"/>
      <w:lvlText w:val="%1.%2"/>
      <w:lvlJc w:val="left"/>
      <w:pPr>
        <w:ind w:left="976" w:hanging="860"/>
        <w:jc w:val="left"/>
      </w:pPr>
      <w:rPr>
        <w:rFonts w:hint="default" w:ascii="黑体" w:hAnsi="黑体" w:eastAsia="黑体" w:cs="黑体"/>
        <w:spacing w:val="-1"/>
        <w:w w:val="100"/>
        <w:position w:val="3"/>
        <w:sz w:val="21"/>
        <w:szCs w:val="21"/>
      </w:rPr>
    </w:lvl>
    <w:lvl w:ilvl="2">
      <w:start w:val="0"/>
      <w:numFmt w:val="bullet"/>
      <w:lvlText w:val="•"/>
      <w:lvlJc w:val="left"/>
      <w:pPr>
        <w:ind w:left="1231" w:hanging="860"/>
      </w:pPr>
      <w:rPr>
        <w:rFonts w:hint="default"/>
      </w:rPr>
    </w:lvl>
    <w:lvl w:ilvl="3">
      <w:start w:val="0"/>
      <w:numFmt w:val="bullet"/>
      <w:lvlText w:val="•"/>
      <w:lvlJc w:val="left"/>
      <w:pPr>
        <w:ind w:left="1356" w:hanging="860"/>
      </w:pPr>
      <w:rPr>
        <w:rFonts w:hint="default"/>
      </w:rPr>
    </w:lvl>
    <w:lvl w:ilvl="4">
      <w:start w:val="0"/>
      <w:numFmt w:val="bullet"/>
      <w:lvlText w:val="•"/>
      <w:lvlJc w:val="left"/>
      <w:pPr>
        <w:ind w:left="1482" w:hanging="860"/>
      </w:pPr>
      <w:rPr>
        <w:rFonts w:hint="default"/>
      </w:rPr>
    </w:lvl>
    <w:lvl w:ilvl="5">
      <w:start w:val="0"/>
      <w:numFmt w:val="bullet"/>
      <w:lvlText w:val="•"/>
      <w:lvlJc w:val="left"/>
      <w:pPr>
        <w:ind w:left="1608" w:hanging="860"/>
      </w:pPr>
      <w:rPr>
        <w:rFonts w:hint="default"/>
      </w:rPr>
    </w:lvl>
    <w:lvl w:ilvl="6">
      <w:start w:val="0"/>
      <w:numFmt w:val="bullet"/>
      <w:lvlText w:val="•"/>
      <w:lvlJc w:val="left"/>
      <w:pPr>
        <w:ind w:left="1733" w:hanging="860"/>
      </w:pPr>
      <w:rPr>
        <w:rFonts w:hint="default"/>
      </w:rPr>
    </w:lvl>
    <w:lvl w:ilvl="7">
      <w:start w:val="0"/>
      <w:numFmt w:val="bullet"/>
      <w:lvlText w:val="•"/>
      <w:lvlJc w:val="left"/>
      <w:pPr>
        <w:ind w:left="1859" w:hanging="860"/>
      </w:pPr>
      <w:rPr>
        <w:rFonts w:hint="default"/>
      </w:rPr>
    </w:lvl>
    <w:lvl w:ilvl="8">
      <w:start w:val="0"/>
      <w:numFmt w:val="bullet"/>
      <w:lvlText w:val="•"/>
      <w:lvlJc w:val="left"/>
      <w:pPr>
        <w:ind w:left="1985" w:hanging="860"/>
      </w:pPr>
      <w:rPr>
        <w:rFonts w:hint="default"/>
      </w:rPr>
    </w:lvl>
  </w:abstractNum>
  <w:abstractNum w:abstractNumId="5">
    <w:multiLevelType w:val="hybridMultilevel"/>
    <w:lvl w:ilvl="0">
      <w:start w:val="6"/>
      <w:numFmt w:val="decimal"/>
      <w:lvlText w:val="%1"/>
      <w:lvlJc w:val="left"/>
      <w:pPr>
        <w:ind w:left="1076" w:hanging="860"/>
        <w:jc w:val="left"/>
      </w:pPr>
      <w:rPr>
        <w:rFonts w:hint="default"/>
      </w:rPr>
    </w:lvl>
    <w:lvl w:ilvl="1">
      <w:start w:val="1"/>
      <w:numFmt w:val="decimal"/>
      <w:lvlText w:val="%1.%2"/>
      <w:lvlJc w:val="left"/>
      <w:pPr>
        <w:ind w:left="1076" w:hanging="860"/>
        <w:jc w:val="left"/>
      </w:pPr>
      <w:rPr>
        <w:rFonts w:hint="default" w:ascii="黑体" w:hAnsi="黑体" w:eastAsia="黑体" w:cs="黑体"/>
        <w:spacing w:val="-1"/>
        <w:w w:val="100"/>
        <w:position w:val="3"/>
        <w:sz w:val="21"/>
        <w:szCs w:val="21"/>
      </w:rPr>
    </w:lvl>
    <w:lvl w:ilvl="2">
      <w:start w:val="0"/>
      <w:numFmt w:val="bullet"/>
      <w:lvlText w:val="•"/>
      <w:lvlJc w:val="left"/>
      <w:pPr>
        <w:ind w:left="1331" w:hanging="860"/>
      </w:pPr>
      <w:rPr>
        <w:rFonts w:hint="default"/>
      </w:rPr>
    </w:lvl>
    <w:lvl w:ilvl="3">
      <w:start w:val="0"/>
      <w:numFmt w:val="bullet"/>
      <w:lvlText w:val="•"/>
      <w:lvlJc w:val="left"/>
      <w:pPr>
        <w:ind w:left="1456" w:hanging="860"/>
      </w:pPr>
      <w:rPr>
        <w:rFonts w:hint="default"/>
      </w:rPr>
    </w:lvl>
    <w:lvl w:ilvl="4">
      <w:start w:val="0"/>
      <w:numFmt w:val="bullet"/>
      <w:lvlText w:val="•"/>
      <w:lvlJc w:val="left"/>
      <w:pPr>
        <w:ind w:left="1582" w:hanging="860"/>
      </w:pPr>
      <w:rPr>
        <w:rFonts w:hint="default"/>
      </w:rPr>
    </w:lvl>
    <w:lvl w:ilvl="5">
      <w:start w:val="0"/>
      <w:numFmt w:val="bullet"/>
      <w:lvlText w:val="•"/>
      <w:lvlJc w:val="left"/>
      <w:pPr>
        <w:ind w:left="1708" w:hanging="860"/>
      </w:pPr>
      <w:rPr>
        <w:rFonts w:hint="default"/>
      </w:rPr>
    </w:lvl>
    <w:lvl w:ilvl="6">
      <w:start w:val="0"/>
      <w:numFmt w:val="bullet"/>
      <w:lvlText w:val="•"/>
      <w:lvlJc w:val="left"/>
      <w:pPr>
        <w:ind w:left="1833" w:hanging="860"/>
      </w:pPr>
      <w:rPr>
        <w:rFonts w:hint="default"/>
      </w:rPr>
    </w:lvl>
    <w:lvl w:ilvl="7">
      <w:start w:val="0"/>
      <w:numFmt w:val="bullet"/>
      <w:lvlText w:val="•"/>
      <w:lvlJc w:val="left"/>
      <w:pPr>
        <w:ind w:left="1959" w:hanging="860"/>
      </w:pPr>
      <w:rPr>
        <w:rFonts w:hint="default"/>
      </w:rPr>
    </w:lvl>
    <w:lvl w:ilvl="8">
      <w:start w:val="0"/>
      <w:numFmt w:val="bullet"/>
      <w:lvlText w:val="•"/>
      <w:lvlJc w:val="left"/>
      <w:pPr>
        <w:ind w:left="2085" w:hanging="860"/>
      </w:pPr>
      <w:rPr>
        <w:rFonts w:hint="default"/>
      </w:rPr>
    </w:lvl>
  </w:abstractNum>
  <w:abstractNum w:abstractNumId="4">
    <w:multiLevelType w:val="hybridMultilevel"/>
    <w:lvl w:ilvl="0">
      <w:start w:val="4"/>
      <w:numFmt w:val="decimal"/>
      <w:lvlText w:val="%1"/>
      <w:lvlJc w:val="left"/>
      <w:pPr>
        <w:ind w:left="2655" w:hanging="860"/>
        <w:jc w:val="left"/>
      </w:pPr>
      <w:rPr>
        <w:rFonts w:hint="default"/>
      </w:rPr>
    </w:lvl>
    <w:lvl w:ilvl="1">
      <w:start w:val="1"/>
      <w:numFmt w:val="decimal"/>
      <w:lvlText w:val="%1.%2"/>
      <w:lvlJc w:val="left"/>
      <w:pPr>
        <w:ind w:left="2655" w:hanging="860"/>
        <w:jc w:val="left"/>
      </w:pPr>
      <w:rPr>
        <w:rFonts w:hint="default" w:ascii="黑体" w:hAnsi="黑体" w:eastAsia="黑体" w:cs="黑体"/>
        <w:spacing w:val="-1"/>
        <w:w w:val="100"/>
        <w:position w:val="3"/>
        <w:sz w:val="21"/>
        <w:szCs w:val="21"/>
      </w:rPr>
    </w:lvl>
    <w:lvl w:ilvl="2">
      <w:start w:val="0"/>
      <w:numFmt w:val="bullet"/>
      <w:lvlText w:val="•"/>
      <w:lvlJc w:val="left"/>
      <w:pPr>
        <w:ind w:left="4104" w:hanging="860"/>
      </w:pPr>
      <w:rPr>
        <w:rFonts w:hint="default"/>
      </w:rPr>
    </w:lvl>
    <w:lvl w:ilvl="3">
      <w:start w:val="0"/>
      <w:numFmt w:val="bullet"/>
      <w:lvlText w:val="•"/>
      <w:lvlJc w:val="left"/>
      <w:pPr>
        <w:ind w:left="4827" w:hanging="860"/>
      </w:pPr>
      <w:rPr>
        <w:rFonts w:hint="default"/>
      </w:rPr>
    </w:lvl>
    <w:lvl w:ilvl="4">
      <w:start w:val="0"/>
      <w:numFmt w:val="bullet"/>
      <w:lvlText w:val="•"/>
      <w:lvlJc w:val="left"/>
      <w:pPr>
        <w:ind w:left="5549" w:hanging="860"/>
      </w:pPr>
      <w:rPr>
        <w:rFonts w:hint="default"/>
      </w:rPr>
    </w:lvl>
    <w:lvl w:ilvl="5">
      <w:start w:val="0"/>
      <w:numFmt w:val="bullet"/>
      <w:lvlText w:val="•"/>
      <w:lvlJc w:val="left"/>
      <w:pPr>
        <w:ind w:left="6272" w:hanging="860"/>
      </w:pPr>
      <w:rPr>
        <w:rFonts w:hint="default"/>
      </w:rPr>
    </w:lvl>
    <w:lvl w:ilvl="6">
      <w:start w:val="0"/>
      <w:numFmt w:val="bullet"/>
      <w:lvlText w:val="•"/>
      <w:lvlJc w:val="left"/>
      <w:pPr>
        <w:ind w:left="6994" w:hanging="860"/>
      </w:pPr>
      <w:rPr>
        <w:rFonts w:hint="default"/>
      </w:rPr>
    </w:lvl>
    <w:lvl w:ilvl="7">
      <w:start w:val="0"/>
      <w:numFmt w:val="bullet"/>
      <w:lvlText w:val="•"/>
      <w:lvlJc w:val="left"/>
      <w:pPr>
        <w:ind w:left="7717" w:hanging="860"/>
      </w:pPr>
      <w:rPr>
        <w:rFonts w:hint="default"/>
      </w:rPr>
    </w:lvl>
    <w:lvl w:ilvl="8">
      <w:start w:val="0"/>
      <w:numFmt w:val="bullet"/>
      <w:lvlText w:val="•"/>
      <w:lvlJc w:val="left"/>
      <w:pPr>
        <w:ind w:left="8439" w:hanging="860"/>
      </w:pPr>
      <w:rPr>
        <w:rFonts w:hint="default"/>
      </w:rPr>
    </w:lvl>
  </w:abstractNum>
  <w:abstractNum w:abstractNumId="3">
    <w:multiLevelType w:val="hybridMultilevel"/>
    <w:lvl w:ilvl="0">
      <w:start w:val="3"/>
      <w:numFmt w:val="decimal"/>
      <w:lvlText w:val="%1"/>
      <w:lvlJc w:val="left"/>
      <w:pPr>
        <w:ind w:left="2655" w:hanging="860"/>
        <w:jc w:val="left"/>
      </w:pPr>
      <w:rPr>
        <w:rFonts w:hint="default"/>
      </w:rPr>
    </w:lvl>
    <w:lvl w:ilvl="1">
      <w:start w:val="1"/>
      <w:numFmt w:val="decimal"/>
      <w:lvlText w:val="%1.%2"/>
      <w:lvlJc w:val="left"/>
      <w:pPr>
        <w:ind w:left="2655" w:hanging="860"/>
        <w:jc w:val="left"/>
      </w:pPr>
      <w:rPr>
        <w:rFonts w:hint="default" w:ascii="黑体" w:hAnsi="黑体" w:eastAsia="黑体" w:cs="黑体"/>
        <w:spacing w:val="-31"/>
        <w:w w:val="100"/>
        <w:position w:val="3"/>
        <w:sz w:val="21"/>
        <w:szCs w:val="21"/>
      </w:rPr>
    </w:lvl>
    <w:lvl w:ilvl="2">
      <w:start w:val="0"/>
      <w:numFmt w:val="bullet"/>
      <w:lvlText w:val="•"/>
      <w:lvlJc w:val="left"/>
      <w:pPr>
        <w:ind w:left="4112" w:hanging="860"/>
      </w:pPr>
      <w:rPr>
        <w:rFonts w:hint="default"/>
      </w:rPr>
    </w:lvl>
    <w:lvl w:ilvl="3">
      <w:start w:val="0"/>
      <w:numFmt w:val="bullet"/>
      <w:lvlText w:val="•"/>
      <w:lvlJc w:val="left"/>
      <w:pPr>
        <w:ind w:left="4839" w:hanging="860"/>
      </w:pPr>
      <w:rPr>
        <w:rFonts w:hint="default"/>
      </w:rPr>
    </w:lvl>
    <w:lvl w:ilvl="4">
      <w:start w:val="0"/>
      <w:numFmt w:val="bullet"/>
      <w:lvlText w:val="•"/>
      <w:lvlJc w:val="left"/>
      <w:pPr>
        <w:ind w:left="5565" w:hanging="860"/>
      </w:pPr>
      <w:rPr>
        <w:rFonts w:hint="default"/>
      </w:rPr>
    </w:lvl>
    <w:lvl w:ilvl="5">
      <w:start w:val="0"/>
      <w:numFmt w:val="bullet"/>
      <w:lvlText w:val="•"/>
      <w:lvlJc w:val="left"/>
      <w:pPr>
        <w:ind w:left="6292" w:hanging="860"/>
      </w:pPr>
      <w:rPr>
        <w:rFonts w:hint="default"/>
      </w:rPr>
    </w:lvl>
    <w:lvl w:ilvl="6">
      <w:start w:val="0"/>
      <w:numFmt w:val="bullet"/>
      <w:lvlText w:val="•"/>
      <w:lvlJc w:val="left"/>
      <w:pPr>
        <w:ind w:left="7018" w:hanging="860"/>
      </w:pPr>
      <w:rPr>
        <w:rFonts w:hint="default"/>
      </w:rPr>
    </w:lvl>
    <w:lvl w:ilvl="7">
      <w:start w:val="0"/>
      <w:numFmt w:val="bullet"/>
      <w:lvlText w:val="•"/>
      <w:lvlJc w:val="left"/>
      <w:pPr>
        <w:ind w:left="7745" w:hanging="860"/>
      </w:pPr>
      <w:rPr>
        <w:rFonts w:hint="default"/>
      </w:rPr>
    </w:lvl>
    <w:lvl w:ilvl="8">
      <w:start w:val="0"/>
      <w:numFmt w:val="bullet"/>
      <w:lvlText w:val="•"/>
      <w:lvlJc w:val="left"/>
      <w:pPr>
        <w:ind w:left="8471" w:hanging="860"/>
      </w:pPr>
      <w:rPr>
        <w:rFonts w:hint="default"/>
      </w:rPr>
    </w:lvl>
  </w:abstractNum>
  <w:abstractNum w:abstractNumId="2">
    <w:multiLevelType w:val="hybridMultilevel"/>
    <w:lvl w:ilvl="0">
      <w:start w:val="2"/>
      <w:numFmt w:val="decimal"/>
      <w:lvlText w:val="%1"/>
      <w:lvlJc w:val="left"/>
      <w:pPr>
        <w:ind w:left="1076" w:hanging="860"/>
        <w:jc w:val="left"/>
      </w:pPr>
      <w:rPr>
        <w:rFonts w:hint="default"/>
      </w:rPr>
    </w:lvl>
    <w:lvl w:ilvl="1">
      <w:start w:val="1"/>
      <w:numFmt w:val="decimal"/>
      <w:lvlText w:val="%1.%2"/>
      <w:lvlJc w:val="left"/>
      <w:pPr>
        <w:ind w:left="2655" w:hanging="860"/>
        <w:jc w:val="left"/>
      </w:pPr>
      <w:rPr>
        <w:rFonts w:hint="default" w:ascii="黑体" w:hAnsi="黑体" w:eastAsia="黑体" w:cs="黑体"/>
        <w:spacing w:val="-1"/>
        <w:w w:val="100"/>
        <w:sz w:val="21"/>
        <w:szCs w:val="21"/>
      </w:rPr>
    </w:lvl>
    <w:lvl w:ilvl="2">
      <w:start w:val="0"/>
      <w:numFmt w:val="bullet"/>
      <w:lvlText w:val="•"/>
      <w:lvlJc w:val="left"/>
      <w:pPr>
        <w:ind w:left="3462" w:hanging="860"/>
      </w:pPr>
      <w:rPr>
        <w:rFonts w:hint="default"/>
      </w:rPr>
    </w:lvl>
    <w:lvl w:ilvl="3">
      <w:start w:val="0"/>
      <w:numFmt w:val="bullet"/>
      <w:lvlText w:val="•"/>
      <w:lvlJc w:val="left"/>
      <w:pPr>
        <w:ind w:left="4265" w:hanging="860"/>
      </w:pPr>
      <w:rPr>
        <w:rFonts w:hint="default"/>
      </w:rPr>
    </w:lvl>
    <w:lvl w:ilvl="4">
      <w:start w:val="0"/>
      <w:numFmt w:val="bullet"/>
      <w:lvlText w:val="•"/>
      <w:lvlJc w:val="left"/>
      <w:pPr>
        <w:ind w:left="5068" w:hanging="860"/>
      </w:pPr>
      <w:rPr>
        <w:rFonts w:hint="default"/>
      </w:rPr>
    </w:lvl>
    <w:lvl w:ilvl="5">
      <w:start w:val="0"/>
      <w:numFmt w:val="bullet"/>
      <w:lvlText w:val="•"/>
      <w:lvlJc w:val="left"/>
      <w:pPr>
        <w:ind w:left="5870" w:hanging="860"/>
      </w:pPr>
      <w:rPr>
        <w:rFonts w:hint="default"/>
      </w:rPr>
    </w:lvl>
    <w:lvl w:ilvl="6">
      <w:start w:val="0"/>
      <w:numFmt w:val="bullet"/>
      <w:lvlText w:val="•"/>
      <w:lvlJc w:val="left"/>
      <w:pPr>
        <w:ind w:left="6673" w:hanging="860"/>
      </w:pPr>
      <w:rPr>
        <w:rFonts w:hint="default"/>
      </w:rPr>
    </w:lvl>
    <w:lvl w:ilvl="7">
      <w:start w:val="0"/>
      <w:numFmt w:val="bullet"/>
      <w:lvlText w:val="•"/>
      <w:lvlJc w:val="left"/>
      <w:pPr>
        <w:ind w:left="7476" w:hanging="860"/>
      </w:pPr>
      <w:rPr>
        <w:rFonts w:hint="default"/>
      </w:rPr>
    </w:lvl>
    <w:lvl w:ilvl="8">
      <w:start w:val="0"/>
      <w:numFmt w:val="bullet"/>
      <w:lvlText w:val="•"/>
      <w:lvlJc w:val="left"/>
      <w:pPr>
        <w:ind w:left="8278" w:hanging="860"/>
      </w:pPr>
      <w:rPr>
        <w:rFonts w:hint="default"/>
      </w:rPr>
    </w:lvl>
  </w:abstractNum>
  <w:abstractNum w:abstractNumId="1">
    <w:multiLevelType w:val="hybridMultilevel"/>
    <w:lvl w:ilvl="0">
      <w:start w:val="1"/>
      <w:numFmt w:val="decimal"/>
      <w:lvlText w:val="%1"/>
      <w:lvlJc w:val="left"/>
      <w:pPr>
        <w:ind w:left="2655" w:hanging="860"/>
        <w:jc w:val="left"/>
      </w:pPr>
      <w:rPr>
        <w:rFonts w:hint="default"/>
      </w:rPr>
    </w:lvl>
    <w:lvl w:ilvl="1">
      <w:start w:val="1"/>
      <w:numFmt w:val="decimal"/>
      <w:lvlText w:val="%1.%2"/>
      <w:lvlJc w:val="left"/>
      <w:pPr>
        <w:ind w:left="2655" w:hanging="860"/>
        <w:jc w:val="left"/>
      </w:pPr>
      <w:rPr>
        <w:rFonts w:hint="default" w:ascii="黑体" w:hAnsi="黑体" w:eastAsia="黑体" w:cs="黑体"/>
        <w:spacing w:val="-1"/>
        <w:w w:val="100"/>
        <w:sz w:val="21"/>
        <w:szCs w:val="21"/>
      </w:rPr>
    </w:lvl>
    <w:lvl w:ilvl="2">
      <w:start w:val="0"/>
      <w:numFmt w:val="bullet"/>
      <w:lvlText w:val="•"/>
      <w:lvlJc w:val="left"/>
      <w:pPr>
        <w:ind w:left="4104" w:hanging="860"/>
      </w:pPr>
      <w:rPr>
        <w:rFonts w:hint="default"/>
      </w:rPr>
    </w:lvl>
    <w:lvl w:ilvl="3">
      <w:start w:val="0"/>
      <w:numFmt w:val="bullet"/>
      <w:lvlText w:val="•"/>
      <w:lvlJc w:val="left"/>
      <w:pPr>
        <w:ind w:left="4827" w:hanging="860"/>
      </w:pPr>
      <w:rPr>
        <w:rFonts w:hint="default"/>
      </w:rPr>
    </w:lvl>
    <w:lvl w:ilvl="4">
      <w:start w:val="0"/>
      <w:numFmt w:val="bullet"/>
      <w:lvlText w:val="•"/>
      <w:lvlJc w:val="left"/>
      <w:pPr>
        <w:ind w:left="5549" w:hanging="860"/>
      </w:pPr>
      <w:rPr>
        <w:rFonts w:hint="default"/>
      </w:rPr>
    </w:lvl>
    <w:lvl w:ilvl="5">
      <w:start w:val="0"/>
      <w:numFmt w:val="bullet"/>
      <w:lvlText w:val="•"/>
      <w:lvlJc w:val="left"/>
      <w:pPr>
        <w:ind w:left="6272" w:hanging="860"/>
      </w:pPr>
      <w:rPr>
        <w:rFonts w:hint="default"/>
      </w:rPr>
    </w:lvl>
    <w:lvl w:ilvl="6">
      <w:start w:val="0"/>
      <w:numFmt w:val="bullet"/>
      <w:lvlText w:val="•"/>
      <w:lvlJc w:val="left"/>
      <w:pPr>
        <w:ind w:left="6994" w:hanging="860"/>
      </w:pPr>
      <w:rPr>
        <w:rFonts w:hint="default"/>
      </w:rPr>
    </w:lvl>
    <w:lvl w:ilvl="7">
      <w:start w:val="0"/>
      <w:numFmt w:val="bullet"/>
      <w:lvlText w:val="•"/>
      <w:lvlJc w:val="left"/>
      <w:pPr>
        <w:ind w:left="7717" w:hanging="860"/>
      </w:pPr>
      <w:rPr>
        <w:rFonts w:hint="default"/>
      </w:rPr>
    </w:lvl>
    <w:lvl w:ilvl="8">
      <w:start w:val="0"/>
      <w:numFmt w:val="bullet"/>
      <w:lvlText w:val="•"/>
      <w:lvlJc w:val="left"/>
      <w:pPr>
        <w:ind w:left="8439" w:hanging="860"/>
      </w:pPr>
      <w:rPr>
        <w:rFonts w:hint="default"/>
      </w:rPr>
    </w:lvl>
  </w:abstractNum>
  <w:abstractNum w:abstractNumId="0">
    <w:multiLevelType w:val="hybridMultilevel"/>
    <w:lvl w:ilvl="0">
      <w:start w:val="0"/>
      <w:numFmt w:val="bullet"/>
      <w:lvlText w:val="❖"/>
      <w:lvlJc w:val="left"/>
      <w:pPr>
        <w:ind w:left="823" w:hanging="284"/>
      </w:pPr>
      <w:rPr>
        <w:rFonts w:hint="default" w:ascii="MS UI Gothic" w:hAnsi="MS UI Gothic" w:eastAsia="MS UI Gothic" w:cs="MS UI Gothic"/>
        <w:w w:val="89"/>
        <w:sz w:val="18"/>
        <w:szCs w:val="18"/>
      </w:rPr>
    </w:lvl>
    <w:lvl w:ilvl="1">
      <w:start w:val="0"/>
      <w:numFmt w:val="bullet"/>
      <w:lvlText w:val="•"/>
      <w:lvlJc w:val="left"/>
      <w:pPr>
        <w:ind w:left="1798" w:hanging="284"/>
      </w:pPr>
      <w:rPr>
        <w:rFonts w:hint="default"/>
      </w:rPr>
    </w:lvl>
    <w:lvl w:ilvl="2">
      <w:start w:val="0"/>
      <w:numFmt w:val="bullet"/>
      <w:lvlText w:val="•"/>
      <w:lvlJc w:val="left"/>
      <w:pPr>
        <w:ind w:left="2776" w:hanging="284"/>
      </w:pPr>
      <w:rPr>
        <w:rFonts w:hint="default"/>
      </w:rPr>
    </w:lvl>
    <w:lvl w:ilvl="3">
      <w:start w:val="0"/>
      <w:numFmt w:val="bullet"/>
      <w:lvlText w:val="•"/>
      <w:lvlJc w:val="left"/>
      <w:pPr>
        <w:ind w:left="3755" w:hanging="284"/>
      </w:pPr>
      <w:rPr>
        <w:rFonts w:hint="default"/>
      </w:rPr>
    </w:lvl>
    <w:lvl w:ilvl="4">
      <w:start w:val="0"/>
      <w:numFmt w:val="bullet"/>
      <w:lvlText w:val="•"/>
      <w:lvlJc w:val="left"/>
      <w:pPr>
        <w:ind w:left="4733" w:hanging="284"/>
      </w:pPr>
      <w:rPr>
        <w:rFonts w:hint="default"/>
      </w:rPr>
    </w:lvl>
    <w:lvl w:ilvl="5">
      <w:start w:val="0"/>
      <w:numFmt w:val="bullet"/>
      <w:lvlText w:val="•"/>
      <w:lvlJc w:val="left"/>
      <w:pPr>
        <w:ind w:left="5712" w:hanging="284"/>
      </w:pPr>
      <w:rPr>
        <w:rFonts w:hint="default"/>
      </w:rPr>
    </w:lvl>
    <w:lvl w:ilvl="6">
      <w:start w:val="0"/>
      <w:numFmt w:val="bullet"/>
      <w:lvlText w:val="•"/>
      <w:lvlJc w:val="left"/>
      <w:pPr>
        <w:ind w:left="6690" w:hanging="284"/>
      </w:pPr>
      <w:rPr>
        <w:rFonts w:hint="default"/>
      </w:rPr>
    </w:lvl>
    <w:lvl w:ilvl="7">
      <w:start w:val="0"/>
      <w:numFmt w:val="bullet"/>
      <w:lvlText w:val="•"/>
      <w:lvlJc w:val="left"/>
      <w:pPr>
        <w:ind w:left="7669" w:hanging="284"/>
      </w:pPr>
      <w:rPr>
        <w:rFonts w:hint="default"/>
      </w:rPr>
    </w:lvl>
    <w:lvl w:ilvl="8">
      <w:start w:val="0"/>
      <w:numFmt w:val="bullet"/>
      <w:lvlText w:val="•"/>
      <w:lvlJc w:val="left"/>
      <w:pPr>
        <w:ind w:left="8647" w:hanging="284"/>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45"/>
      <w:ind w:left="1996"/>
    </w:pPr>
    <w:rPr>
      <w:rFonts w:ascii="宋体" w:hAnsi="宋体" w:eastAsia="宋体" w:cs="宋体"/>
      <w:sz w:val="21"/>
      <w:szCs w:val="21"/>
    </w:rPr>
  </w:style>
  <w:style w:styleId="Heading1" w:type="paragraph">
    <w:name w:val="Heading 1"/>
    <w:basedOn w:val="Normal"/>
    <w:uiPriority w:val="1"/>
    <w:qFormat/>
    <w:pPr>
      <w:spacing w:line="389" w:lineRule="exact"/>
      <w:ind w:left="2041"/>
      <w:outlineLvl w:val="1"/>
    </w:pPr>
    <w:rPr>
      <w:rFonts w:ascii="黑体" w:hAnsi="黑体" w:eastAsia="黑体" w:cs="黑体"/>
      <w:b/>
      <w:bCs/>
      <w:sz w:val="32"/>
      <w:szCs w:val="32"/>
    </w:rPr>
  </w:style>
  <w:style w:styleId="Heading2" w:type="paragraph">
    <w:name w:val="Heading 2"/>
    <w:basedOn w:val="Normal"/>
    <w:uiPriority w:val="1"/>
    <w:qFormat/>
    <w:pPr>
      <w:spacing w:line="260" w:lineRule="exact"/>
      <w:ind w:left="107"/>
      <w:outlineLvl w:val="2"/>
    </w:pPr>
    <w:rPr>
      <w:rFonts w:ascii="黑体" w:hAnsi="黑体" w:eastAsia="黑体" w:cs="黑体"/>
      <w:b/>
      <w:bCs/>
      <w:sz w:val="21"/>
      <w:szCs w:val="21"/>
    </w:rPr>
  </w:style>
  <w:style w:styleId="ListParagraph" w:type="paragraph">
    <w:name w:val="List Paragraph"/>
    <w:basedOn w:val="Normal"/>
    <w:uiPriority w:val="1"/>
    <w:qFormat/>
    <w:pPr>
      <w:spacing w:before="76"/>
      <w:ind w:left="2655" w:hanging="2438"/>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guihuiping</dc:creator>
  <dc:title>&lt;4D6963726F736F667420576F7264202D20C0FBB1A3B7A2A3A832303131A3A93935BAC531362DB8BDBCD3C0FBCFE9B0B2BFB5CCE1C7B0B8F8B8B6D6D8B4F3BCB2B2A1B1A3CFD5CCF5BFEE&gt;</dc:title>
  <dcterms:created xsi:type="dcterms:W3CDTF">2018-10-19T23:22:22Z</dcterms:created>
  <dcterms:modified xsi:type="dcterms:W3CDTF">2018-10-19T23:22:22Z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PScript5.dll Version 5.2.2</vt:lpwstr>
  </property>
  <property fmtid="{D5CDD505-2E9C-101B-9397-08002B2CF9AE}" pid="4" name="LastSaved">
    <vt:filetime>2018-10-19T00:00:00Z</vt:filetime>
  </property>
</Properties>
</file>