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034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690" w:right="0" w:firstLine="261"/>
        <w:jc w:val="left"/>
        <w:rPr>
          <w:b/>
          <w:sz w:val="24"/>
        </w:rPr>
      </w:pPr>
      <w:r>
        <w:rPr/>
        <w:pict>
          <v:group style="position:absolute;margin-left:83.633759pt;margin-top:-49.679134pt;width:428.4pt;height:57pt;mso-position-horizontal-relative:page;mso-position-vertical-relative:paragraph;z-index:-13240"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sz w:val="24"/>
        </w:rPr>
        <w:t>北大方正人寿保险有限公司 </w:t>
      </w:r>
      <w:r>
        <w:rPr>
          <w:b/>
          <w:spacing w:val="-6"/>
          <w:sz w:val="24"/>
        </w:rPr>
        <w:t>附加额外重大疾病保险 </w:t>
      </w:r>
      <w:r>
        <w:rPr>
          <w:rFonts w:ascii="Times New Roman" w:eastAsia="Times New Roman"/>
          <w:b/>
          <w:sz w:val="24"/>
        </w:rPr>
        <w:t>B</w:t>
      </w:r>
      <w:r>
        <w:rPr>
          <w:rFonts w:ascii="Times New Roman" w:eastAsia="Times New Roman"/>
          <w:b/>
          <w:spacing w:val="-8"/>
          <w:sz w:val="24"/>
        </w:rPr>
        <w:t> </w:t>
      </w:r>
      <w:r>
        <w:rPr>
          <w:b/>
          <w:sz w:val="24"/>
        </w:rPr>
        <w:t>款条款</w:t>
      </w:r>
    </w:p>
    <w:p>
      <w:pPr>
        <w:spacing w:line="312" w:lineRule="exact" w:before="0"/>
        <w:ind w:left="3469" w:right="779"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485" w:firstLine="0"/>
        <w:jc w:val="right"/>
        <w:rPr>
          <w:sz w:val="21"/>
        </w:rPr>
      </w:pPr>
      <w:r>
        <w:rPr>
          <w:sz w:val="21"/>
        </w:rPr>
        <w:t>目录</w:t>
      </w:r>
    </w:p>
    <w:p>
      <w:pPr>
        <w:pStyle w:val="BodyText"/>
        <w:spacing w:before="3"/>
        <w:ind w:left="0"/>
        <w:rPr>
          <w:sz w:val="13"/>
        </w:rPr>
      </w:pPr>
      <w:r>
        <w:rPr/>
        <w:br w:type="column"/>
      </w:r>
      <w:r>
        <w:rPr>
          <w:sz w:val="13"/>
        </w:rPr>
      </w:r>
    </w:p>
    <w:p>
      <w:pPr>
        <w:pStyle w:val="BodyText"/>
        <w:ind w:left="1042"/>
      </w:pPr>
      <w:r>
        <w:rPr/>
        <w:t>请扫描以查询验证条款</w:t>
      </w:r>
    </w:p>
    <w:p>
      <w:pPr>
        <w:spacing w:after="0"/>
        <w:sectPr>
          <w:type w:val="continuous"/>
          <w:pgSz w:w="11960" w:h="16850"/>
          <w:pgMar w:top="280" w:bottom="1200" w:left="1560" w:right="760"/>
          <w:cols w:num="2" w:equalWidth="0">
            <w:col w:w="6094" w:space="40"/>
            <w:col w:w="350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3···</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3"/>
            <w:tabs>
              <w:tab w:pos="1401" w:val="left" w:leader="none"/>
              <w:tab w:pos="8867" w:val="right" w:leader="middleDot"/>
            </w:tabs>
            <w:rPr>
              <w:rFonts w:ascii="Times New Roman" w:hAnsi="Times New Roman" w:eastAsia="Times New Roman"/>
              <w:b w:val="0"/>
              <w:i w:val="0"/>
              <w:sz w:val="21"/>
            </w:rPr>
          </w:pPr>
          <w:r>
            <w:rPr>
              <w:b w:val="0"/>
              <w:i w:val="0"/>
              <w:sz w:val="18"/>
            </w:rPr>
            <w:t>第十四条</w:t>
            <w:tab/>
            <w:t>宽限期</w:t>
            <w:tab/>
          </w:r>
          <w:r>
            <w:rPr>
              <w:rFonts w:ascii="Times New Roman" w:hAnsi="Times New Roman" w:eastAsia="Times New Roman"/>
              <w:b w:val="0"/>
              <w:i w:val="0"/>
              <w:spacing w:val="-11"/>
              <w:sz w:val="21"/>
            </w:rPr>
            <w:t>4····</w:t>
          </w:r>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1"/>
            <w:rPr>
              <w:rFonts w:ascii="Times New Roman" w:hAnsi="Times New Roman" w:eastAsia="Times New Roman"/>
              <w:b w:val="0"/>
              <w:i w:val="0"/>
              <w:sz w:val="21"/>
            </w:rPr>
          </w:pPr>
          <w:hyperlink w:history="true" w:anchor="_TOC_250008">
            <w:r>
              <w:rPr>
                <w:b w:val="0"/>
                <w:i w:val="0"/>
                <w:sz w:val="18"/>
              </w:rPr>
              <w:t>第十五条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07">
            <w:r>
              <w:rPr>
                <w:b w:val="0"/>
                <w:i w:val="0"/>
                <w:sz w:val="18"/>
              </w:rPr>
              <w:t>第十六条</w:t>
              <w:tab/>
              <w:t>减额交清</w:t>
              <w:tab/>
            </w:r>
            <w:r>
              <w:rPr>
                <w:rFonts w:ascii="Times New Roman" w:hAnsi="Times New Roman" w:eastAsia="Times New Roman"/>
                <w:b w:val="0"/>
                <w:i w:val="0"/>
                <w:spacing w:val="-9"/>
                <w:sz w:val="21"/>
              </w:rPr>
              <w:t>4···</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第十七条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第十八条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1"/>
            <w:rPr>
              <w:rFonts w:ascii="Times New Roman" w:hAnsi="Times New Roman" w:eastAsia="Times New Roman"/>
              <w:b w:val="0"/>
              <w:i w:val="0"/>
              <w:sz w:val="21"/>
            </w:rPr>
          </w:pPr>
          <w:hyperlink w:history="true" w:anchor="_TOC_250003">
            <w:r>
              <w:rPr>
                <w:b w:val="0"/>
                <w:i w:val="0"/>
                <w:sz w:val="18"/>
              </w:rPr>
              <w:t>第十九条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spacing w:before="55"/>
            <w:rPr>
              <w:rFonts w:ascii="Times New Roman" w:hAnsi="Times New Roman" w:eastAsia="Times New Roman"/>
              <w:b w:val="0"/>
              <w:i w:val="0"/>
              <w:sz w:val="21"/>
            </w:rPr>
          </w:pPr>
          <w:hyperlink w:history="true" w:anchor="_TOC_250002">
            <w:r>
              <w:rPr>
                <w:b w:val="0"/>
                <w:i w:val="0"/>
                <w:w w:val="100"/>
                <w:sz w:val="18"/>
              </w:rPr>
              <w:t>第二十条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8814" w:val="right" w:leader="middleDot"/>
            </w:tabs>
            <w:spacing w:before="55"/>
            <w:rPr>
              <w:rFonts w:ascii="Times New Roman" w:hAnsi="Times New Roman" w:eastAsia="Times New Roman"/>
              <w:b w:val="0"/>
              <w:i w:val="0"/>
              <w:sz w:val="21"/>
            </w:rPr>
          </w:pPr>
          <w:hyperlink w:history="true" w:anchor="_TOC_250001">
            <w:r>
              <w:rPr>
                <w:b w:val="0"/>
                <w:i w:val="0"/>
                <w:sz w:val="18"/>
              </w:rPr>
              <w:t>第二十一条</w:t>
            </w:r>
            <w:r>
              <w:rPr>
                <w:b w:val="0"/>
                <w:i w:val="0"/>
                <w:spacing w:val="57"/>
                <w:sz w:val="18"/>
              </w:rPr>
              <w:t> </w:t>
            </w:r>
            <w:r>
              <w:rPr>
                <w:b w:val="0"/>
                <w:i w:val="0"/>
                <w:sz w:val="18"/>
              </w:rPr>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2949" w:val="left" w:leader="none"/>
        </w:tabs>
        <w:spacing w:line="670" w:lineRule="atLeast"/>
        <w:ind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spacing w:before="12"/>
        <w:ind w:left="0"/>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5912" w:firstLine="0"/>
        <w:jc w:val="left"/>
        <w:rPr>
          <w:b/>
          <w:sz w:val="18"/>
        </w:rPr>
      </w:pPr>
      <w:r>
        <w:rPr>
          <w:sz w:val="18"/>
        </w:rPr>
        <w:t>本附加合同的英文简称为</w:t>
      </w:r>
      <w:r>
        <w:rPr>
          <w:spacing w:val="-46"/>
          <w:sz w:val="18"/>
        </w:rPr>
        <w:t> </w:t>
      </w:r>
      <w:r>
        <w:rPr>
          <w:rFonts w:ascii="Times New Roman" w:eastAsia="Times New Roman"/>
          <w:sz w:val="18"/>
        </w:rPr>
        <w:t>ADR_B</w:t>
      </w:r>
      <w:r>
        <w:rPr>
          <w:sz w:val="18"/>
        </w:rPr>
        <w:t>。</w:t>
      </w:r>
      <w:r>
        <w:rPr>
          <w:b/>
          <w:sz w:val="18"/>
        </w:rPr>
        <w:t>第二条</w:t>
        <w:tab/>
      </w:r>
      <w:r>
        <w:rPr>
          <w:b/>
          <w:w w:val="95"/>
          <w:sz w:val="18"/>
        </w:rPr>
        <w:t>投保范围</w:t>
      </w:r>
    </w:p>
    <w:p>
      <w:pPr>
        <w:spacing w:line="103" w:lineRule="exact" w:before="36"/>
        <w:ind w:left="5541" w:right="0" w:firstLine="0"/>
        <w:jc w:val="left"/>
        <w:rPr>
          <w:b/>
          <w:sz w:val="12"/>
        </w:rPr>
      </w:pPr>
      <w:r>
        <w:rPr>
          <w:b/>
          <w:sz w:val="12"/>
        </w:rPr>
        <w:t>释义 1</w:t>
      </w:r>
    </w:p>
    <w:p>
      <w:pPr>
        <w:pStyle w:val="BodyText"/>
        <w:tabs>
          <w:tab w:pos="5874" w:val="left" w:leader="none"/>
        </w:tabs>
        <w:spacing w:line="182" w:lineRule="exact"/>
        <w:ind w:left="141"/>
      </w:pPr>
      <w:r>
        <w:rPr/>
        <w:t>本附加合同接受的被保险人的投保年龄为出生满六十天至六十五</w:t>
      </w:r>
      <w:r>
        <w:rPr>
          <w:b/>
        </w:rPr>
        <w:t>周岁</w:t>
        <w:tab/>
      </w:r>
      <w:r>
        <w:rPr/>
        <w:t>。</w:t>
      </w:r>
    </w:p>
    <w:p>
      <w:pPr>
        <w:pStyle w:val="BodyText"/>
        <w:spacing w:before="5"/>
        <w:ind w:left="0"/>
        <w:rPr>
          <w:sz w:val="13"/>
        </w:rPr>
      </w:pPr>
    </w:p>
    <w:p>
      <w:pPr>
        <w:pStyle w:val="Heading1"/>
        <w:tabs>
          <w:tab w:pos="1401" w:val="left" w:leader="none"/>
        </w:tabs>
      </w:pPr>
      <w:bookmarkStart w:name="_TOC_250020"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4"/>
        <w:ind w:left="14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ind w:left="0"/>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6" w:id="5"/>
      <w:r>
        <w:rPr/>
        <w:t>第七条</w:t>
        <w:tab/>
      </w:r>
      <w:bookmarkEnd w:id="5"/>
      <w:r>
        <w:rPr>
          <w:w w:val="95"/>
        </w:rPr>
        <w:t>保险责任</w:t>
      </w:r>
    </w:p>
    <w:p>
      <w:pPr>
        <w:pStyle w:val="BodyText"/>
        <w:spacing w:before="12"/>
        <w:ind w:left="0"/>
        <w:rPr>
          <w:b/>
          <w:sz w:val="14"/>
        </w:rPr>
      </w:pPr>
    </w:p>
    <w:p>
      <w:pPr>
        <w:pStyle w:val="BodyText"/>
        <w:spacing w:line="316" w:lineRule="auto"/>
        <w:ind w:left="141" w:right="3848"/>
      </w:pPr>
      <w:r>
        <w:rPr/>
        <w:t>在本附加合同的有效保险期间内，我们将承担下列保险责任： 重大疾病保险金：</w:t>
      </w:r>
    </w:p>
    <w:p>
      <w:pPr>
        <w:pStyle w:val="BodyText"/>
        <w:spacing w:line="300" w:lineRule="auto"/>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且从确诊之日起二十八天后仍然生存，我们将按基本保险金额的如下比例给付重大疾病保险金，同时本附加合同终止。如果该重大疾病是由于被保险人遭受</w:t>
      </w:r>
      <w:r>
        <w:rPr>
          <w:b/>
        </w:rPr>
        <w:t>意外伤害事故</w:t>
      </w:r>
      <w:r>
        <w:rPr>
          <w:b/>
          <w:spacing w:val="-12"/>
          <w:position w:val="12"/>
          <w:sz w:val="12"/>
        </w:rPr>
        <w:t>释义 </w:t>
      </w:r>
      <w:r>
        <w:rPr>
          <w:b/>
          <w:position w:val="12"/>
          <w:sz w:val="12"/>
        </w:rPr>
        <w:t>5 </w:t>
      </w:r>
      <w:r>
        <w:rPr>
          <w:spacing w:val="-2"/>
        </w:rPr>
        <w:t>引起的，则无须受上述九十天的限制。</w:t>
      </w:r>
    </w:p>
    <w:p>
      <w:pPr>
        <w:pStyle w:val="BodyText"/>
        <w:tabs>
          <w:tab w:pos="3923" w:val="left" w:leader="none"/>
        </w:tabs>
        <w:spacing w:line="228" w:lineRule="exact" w:before="10"/>
        <w:ind w:left="141"/>
      </w:pPr>
      <w:r>
        <w:rPr/>
        <w:t>被保险人初次确诊患有重大疾病时年龄</w:t>
        <w:tab/>
        <w:t>重大疾病</w:t>
      </w:r>
      <w:r>
        <w:rPr>
          <w:spacing w:val="-3"/>
        </w:rPr>
        <w:t>保</w:t>
      </w:r>
      <w:r>
        <w:rPr/>
        <w:t>险金占基本保险金额的比例</w:t>
      </w:r>
    </w:p>
    <w:p>
      <w:pPr>
        <w:spacing w:after="0" w:line="228" w:lineRule="exact"/>
        <w:sectPr>
          <w:headerReference w:type="default" r:id="rId7"/>
          <w:pgSz w:w="11960" w:h="16850"/>
          <w:pgMar w:header="897" w:footer="1001" w:top="1080" w:bottom="1200" w:left="1560" w:right="1540"/>
        </w:sectPr>
      </w:pPr>
    </w:p>
    <w:p>
      <w:pPr>
        <w:pStyle w:val="BodyText"/>
        <w:ind w:left="0"/>
        <w:rPr>
          <w:sz w:val="20"/>
        </w:rPr>
      </w:pPr>
    </w:p>
    <w:p>
      <w:pPr>
        <w:pStyle w:val="BodyText"/>
        <w:ind w:left="0"/>
        <w:rPr>
          <w:sz w:val="20"/>
        </w:rPr>
      </w:pPr>
    </w:p>
    <w:p>
      <w:pPr>
        <w:pStyle w:val="BodyText"/>
        <w:spacing w:before="4" w:after="1"/>
        <w:ind w:left="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1731"/>
      </w:tblGrid>
      <w:tr>
        <w:trPr>
          <w:trHeight w:val="255" w:hRule="atLeast"/>
        </w:trPr>
        <w:tc>
          <w:tcPr>
            <w:tcW w:w="3112" w:type="dxa"/>
          </w:tcPr>
          <w:p>
            <w:pPr>
              <w:pStyle w:val="TableParagraph"/>
              <w:spacing w:line="199" w:lineRule="exact" w:before="0"/>
              <w:ind w:left="50"/>
              <w:rPr>
                <w:sz w:val="18"/>
              </w:rPr>
            </w:pPr>
            <w:r>
              <w:rPr>
                <w:sz w:val="18"/>
              </w:rPr>
              <w:t>不足 </w:t>
            </w:r>
            <w:r>
              <w:rPr>
                <w:rFonts w:ascii="Times New Roman" w:eastAsia="Times New Roman"/>
                <w:sz w:val="18"/>
              </w:rPr>
              <w:t>1 </w:t>
            </w:r>
            <w:r>
              <w:rPr>
                <w:sz w:val="18"/>
              </w:rPr>
              <w:t>周岁</w:t>
            </w:r>
          </w:p>
        </w:tc>
        <w:tc>
          <w:tcPr>
            <w:tcW w:w="1731" w:type="dxa"/>
          </w:tcPr>
          <w:p>
            <w:pPr>
              <w:pStyle w:val="TableParagraph"/>
              <w:spacing w:line="199" w:lineRule="exact" w:before="0"/>
              <w:ind w:right="47"/>
              <w:jc w:val="right"/>
              <w:rPr>
                <w:rFonts w:ascii="Times New Roman"/>
                <w:sz w:val="18"/>
              </w:rPr>
            </w:pPr>
            <w:r>
              <w:rPr>
                <w:rFonts w:ascii="Times New Roman"/>
                <w:sz w:val="18"/>
              </w:rPr>
              <w:t>20%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731" w:type="dxa"/>
          </w:tcPr>
          <w:p>
            <w:pPr>
              <w:pStyle w:val="TableParagraph"/>
              <w:spacing w:before="48"/>
              <w:ind w:right="47"/>
              <w:jc w:val="right"/>
              <w:rPr>
                <w:rFonts w:ascii="Times New Roman"/>
                <w:sz w:val="18"/>
              </w:rPr>
            </w:pPr>
            <w:r>
              <w:rPr>
                <w:rFonts w:ascii="Times New Roman"/>
                <w:sz w:val="18"/>
              </w:rPr>
              <w:t>40%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731" w:type="dxa"/>
          </w:tcPr>
          <w:p>
            <w:pPr>
              <w:pStyle w:val="TableParagraph"/>
              <w:spacing w:before="48"/>
              <w:ind w:right="47"/>
              <w:jc w:val="right"/>
              <w:rPr>
                <w:rFonts w:ascii="Times New Roman"/>
                <w:sz w:val="18"/>
              </w:rPr>
            </w:pPr>
            <w:r>
              <w:rPr>
                <w:rFonts w:ascii="Times New Roman"/>
                <w:sz w:val="18"/>
              </w:rPr>
              <w:t>60%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731" w:type="dxa"/>
          </w:tcPr>
          <w:p>
            <w:pPr>
              <w:pStyle w:val="TableParagraph"/>
              <w:spacing w:before="48"/>
              <w:ind w:right="47"/>
              <w:jc w:val="right"/>
              <w:rPr>
                <w:rFonts w:ascii="Times New Roman"/>
                <w:sz w:val="18"/>
              </w:rPr>
            </w:pPr>
            <w:r>
              <w:rPr>
                <w:rFonts w:ascii="Times New Roman"/>
                <w:sz w:val="18"/>
              </w:rPr>
              <w:t>80%</w:t>
            </w:r>
          </w:p>
        </w:tc>
      </w:tr>
      <w:tr>
        <w:trPr>
          <w:trHeight w:val="255" w:hRule="atLeast"/>
        </w:trPr>
        <w:tc>
          <w:tcPr>
            <w:tcW w:w="3112" w:type="dxa"/>
          </w:tcPr>
          <w:p>
            <w:pPr>
              <w:pStyle w:val="TableParagraph"/>
              <w:spacing w:line="229" w:lineRule="exact"/>
              <w:ind w:left="50"/>
              <w:rPr>
                <w:sz w:val="18"/>
              </w:rPr>
            </w:pPr>
            <w:r>
              <w:rPr>
                <w:sz w:val="18"/>
              </w:rPr>
              <w:t>满 </w:t>
            </w:r>
            <w:r>
              <w:rPr>
                <w:rFonts w:ascii="Times New Roman" w:eastAsia="Times New Roman"/>
                <w:sz w:val="18"/>
              </w:rPr>
              <w:t>4 </w:t>
            </w:r>
            <w:r>
              <w:rPr>
                <w:sz w:val="18"/>
              </w:rPr>
              <w:t>周岁及以后</w:t>
            </w:r>
          </w:p>
        </w:tc>
        <w:tc>
          <w:tcPr>
            <w:tcW w:w="1731" w:type="dxa"/>
          </w:tcPr>
          <w:p>
            <w:pPr>
              <w:pStyle w:val="TableParagraph"/>
              <w:spacing w:line="187" w:lineRule="exact" w:before="48"/>
              <w:ind w:right="47"/>
              <w:jc w:val="right"/>
              <w:rPr>
                <w:rFonts w:ascii="Times New Roman"/>
                <w:sz w:val="18"/>
              </w:rPr>
            </w:pPr>
            <w:r>
              <w:rPr>
                <w:rFonts w:ascii="Times New Roman"/>
                <w:sz w:val="18"/>
              </w:rPr>
              <w:t>100%</w:t>
            </w:r>
          </w:p>
        </w:tc>
      </w:tr>
    </w:tbl>
    <w:p>
      <w:pPr>
        <w:pStyle w:val="BodyText"/>
        <w:spacing w:before="7"/>
        <w:ind w:left="0"/>
        <w:rPr>
          <w:sz w:val="10"/>
        </w:rPr>
      </w:pPr>
    </w:p>
    <w:p>
      <w:pPr>
        <w:pStyle w:val="Heading1"/>
        <w:tabs>
          <w:tab w:pos="1421" w:val="left" w:leader="none"/>
        </w:tabs>
        <w:spacing w:before="45"/>
        <w:ind w:left="161"/>
      </w:pPr>
      <w:bookmarkStart w:name="_TOC_250015" w:id="6"/>
      <w:r>
        <w:rPr/>
        <w:t>第八条</w:t>
        <w:tab/>
      </w:r>
      <w:r>
        <w:rPr>
          <w:spacing w:val="-1"/>
          <w:w w:val="95"/>
        </w:rPr>
        <w:t>责</w:t>
      </w:r>
      <w:bookmarkEnd w:id="6"/>
      <w:r>
        <w:rPr>
          <w:w w:val="95"/>
        </w:rPr>
        <w:t>任免除</w:t>
      </w:r>
    </w:p>
    <w:p>
      <w:pPr>
        <w:pStyle w:val="BodyText"/>
        <w:ind w:left="0"/>
        <w:rPr>
          <w:b/>
          <w:sz w:val="15"/>
        </w:rPr>
      </w:pPr>
    </w:p>
    <w:p>
      <w:pPr>
        <w:spacing w:before="0"/>
        <w:ind w:left="161" w:right="0" w:firstLine="0"/>
        <w:jc w:val="left"/>
        <w:rPr>
          <w:b/>
          <w:sz w:val="18"/>
        </w:rPr>
      </w:pPr>
      <w:r>
        <w:rPr>
          <w:b/>
          <w:w w:val="95"/>
          <w:sz w:val="18"/>
        </w:rPr>
        <w:t>请您注意，下列情形的发生将导致我们的责任免除：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49" w:firstLine="0"/>
        <w:jc w:val="center"/>
        <w:rPr>
          <w:b/>
          <w:sz w:val="12"/>
        </w:rPr>
      </w:pPr>
      <w:r>
        <w:rPr>
          <w:b/>
          <w:sz w:val="12"/>
        </w:rPr>
        <w:t>释义 6</w:t>
      </w:r>
    </w:p>
    <w:p>
      <w:pPr>
        <w:pStyle w:val="Heading1"/>
        <w:tabs>
          <w:tab w:pos="3825" w:val="left" w:leader="none"/>
        </w:tabs>
        <w:spacing w:line="196" w:lineRule="exact"/>
        <w:ind w:left="161"/>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13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83" w:val="left" w:leader="none"/>
          <w:tab w:pos="4728" w:val="left" w:leader="none"/>
          <w:tab w:pos="6710" w:val="left" w:leader="none"/>
        </w:tabs>
        <w:spacing w:line="196" w:lineRule="exact"/>
        <w:ind w:left="161"/>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75" w:val="left" w:leader="none"/>
        </w:tabs>
        <w:spacing w:line="103" w:lineRule="exact" w:before="12"/>
        <w:ind w:left="205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443" w:val="left" w:leader="none"/>
          <w:tab w:pos="5066" w:val="left" w:leader="none"/>
        </w:tabs>
        <w:spacing w:line="196" w:lineRule="exact"/>
        <w:ind w:left="161"/>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2"/>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6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903" w:val="left" w:leader="none"/>
          <w:tab w:pos="4997" w:val="left" w:leader="none"/>
        </w:tabs>
        <w:spacing w:line="196" w:lineRule="exact"/>
        <w:ind w:left="161"/>
      </w:pPr>
      <w:r>
        <w:rPr/>
        <w:t>（</w:t>
      </w:r>
      <w:r>
        <w:rPr>
          <w:rFonts w:ascii="Times New Roman" w:eastAsia="Times New Roman"/>
        </w:rPr>
        <w:t>8</w:t>
      </w:r>
      <w:r>
        <w:rPr/>
        <w:t>）遗传性疾病</w:t>
        <w:tab/>
        <w:t>，先天性畸形、变形或染色体异常</w:t>
        <w:tab/>
        <w:t>。</w:t>
      </w:r>
    </w:p>
    <w:p>
      <w:pPr>
        <w:pStyle w:val="BodyText"/>
        <w:spacing w:line="307" w:lineRule="auto" w:before="42"/>
        <w:ind w:left="161" w:right="114"/>
      </w:pPr>
      <w:r>
        <w:rPr>
          <w:spacing w:val="-3"/>
        </w:rPr>
        <w:t>发生上述</w:t>
      </w:r>
      <w:r>
        <w:rPr>
          <w:spacing w:val="-4"/>
        </w:rPr>
        <w:t>（</w:t>
      </w:r>
      <w:r>
        <w:rPr>
          <w:rFonts w:ascii="Times New Roman" w:hAnsi="Times New Roman" w:eastAsia="Times New Roman"/>
          <w:spacing w:val="-4"/>
        </w:rPr>
        <w:t>1</w:t>
      </w:r>
      <w:r>
        <w:rPr>
          <w:spacing w:val="-4"/>
        </w:rPr>
        <w:t>）</w:t>
      </w:r>
      <w:r>
        <w:rPr>
          <w:spacing w:val="-10"/>
        </w:rPr>
        <w:t>至</w:t>
      </w:r>
      <w:r>
        <w:rPr>
          <w:spacing w:val="-4"/>
        </w:rPr>
        <w:t>（</w:t>
      </w:r>
      <w:r>
        <w:rPr>
          <w:rFonts w:ascii="Times New Roman" w:hAnsi="Times New Roman" w:eastAsia="Times New Roman"/>
          <w:spacing w:val="-4"/>
        </w:rPr>
        <w:t>8</w:t>
      </w:r>
      <w:r>
        <w:rPr>
          <w:spacing w:val="-4"/>
        </w:rPr>
        <w:t>）</w:t>
      </w:r>
      <w:r>
        <w:rPr>
          <w:spacing w:val="-2"/>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1"/>
        <w:ind w:left="0"/>
      </w:pPr>
    </w:p>
    <w:p>
      <w:pPr>
        <w:pStyle w:val="Heading1"/>
        <w:tabs>
          <w:tab w:pos="4500" w:val="left" w:leader="none"/>
        </w:tabs>
        <w:ind w:left="2700"/>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21" w:val="left" w:leader="none"/>
        </w:tabs>
        <w:ind w:left="161"/>
      </w:pPr>
      <w:bookmarkStart w:name="_TOC_250013" w:id="8"/>
      <w:r>
        <w:rPr/>
        <w:t>第九条</w:t>
        <w:tab/>
      </w:r>
      <w:bookmarkEnd w:id="8"/>
      <w:r>
        <w:rPr>
          <w:w w:val="95"/>
        </w:rPr>
        <w:t>受益人的指定和变更</w:t>
      </w:r>
    </w:p>
    <w:p>
      <w:pPr>
        <w:pStyle w:val="BodyText"/>
        <w:ind w:left="0"/>
        <w:rPr>
          <w:b/>
          <w:sz w:val="15"/>
        </w:rPr>
      </w:pPr>
    </w:p>
    <w:p>
      <w:pPr>
        <w:tabs>
          <w:tab w:pos="1421" w:val="left" w:leader="none"/>
        </w:tabs>
        <w:spacing w:line="439" w:lineRule="auto" w:before="0"/>
        <w:ind w:left="161" w:right="52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7"/>
        <w:ind w:left="161"/>
      </w:pPr>
      <w:r>
        <w:rPr/>
        <w:t>重大疾病保险金的申请</w:t>
      </w:r>
    </w:p>
    <w:p>
      <w:pPr>
        <w:pStyle w:val="BodyText"/>
        <w:spacing w:line="316" w:lineRule="auto" w:before="76"/>
        <w:ind w:left="161" w:right="208"/>
      </w:pPr>
      <w:r>
        <w:rPr/>
        <w:t>在符合保险责任有关规定的条件下，由重大疾病保险金受益人作为申请人填写申请书，并凭下列证明、资料的原件向我们申请给付保险金：</w:t>
      </w:r>
    </w:p>
    <w:p>
      <w:pPr>
        <w:pStyle w:val="BodyText"/>
        <w:spacing w:before="18"/>
        <w:ind w:left="161"/>
      </w:pPr>
      <w:r>
        <w:rPr/>
        <w:t>（</w:t>
      </w:r>
      <w:r>
        <w:rPr>
          <w:rFonts w:ascii="Times New Roman" w:eastAsia="Times New Roman"/>
        </w:rPr>
        <w:t>1</w:t>
      </w:r>
      <w:r>
        <w:rPr/>
        <w:t>）申请书；</w:t>
      </w:r>
    </w:p>
    <w:p>
      <w:pPr>
        <w:pStyle w:val="BodyText"/>
        <w:spacing w:before="62"/>
        <w:ind w:left="161"/>
      </w:pPr>
      <w:r>
        <w:rPr/>
        <w:t>（</w:t>
      </w:r>
      <w:r>
        <w:rPr>
          <w:rFonts w:ascii="Times New Roman" w:eastAsia="Times New Roman"/>
        </w:rPr>
        <w:t>2</w:t>
      </w:r>
      <w:r>
        <w:rPr/>
        <w:t>）保险合同；</w:t>
      </w:r>
    </w:p>
    <w:p>
      <w:pPr>
        <w:pStyle w:val="BodyText"/>
        <w:spacing w:before="62"/>
        <w:ind w:left="161"/>
      </w:pPr>
      <w:r>
        <w:rPr/>
        <w:t>（</w:t>
      </w:r>
      <w:r>
        <w:rPr>
          <w:rFonts w:ascii="Times New Roman" w:eastAsia="Times New Roman"/>
        </w:rPr>
        <w:t>3</w:t>
      </w:r>
      <w:r>
        <w:rPr/>
        <w:t>）受益人户籍证明及身份证明；</w:t>
      </w:r>
    </w:p>
    <w:p>
      <w:pPr>
        <w:spacing w:line="103" w:lineRule="exact" w:before="34"/>
        <w:ind w:left="0" w:right="3615" w:firstLine="0"/>
        <w:jc w:val="center"/>
        <w:rPr>
          <w:b/>
          <w:sz w:val="12"/>
        </w:rPr>
      </w:pPr>
      <w:r>
        <w:rPr>
          <w:b/>
          <w:sz w:val="12"/>
        </w:rPr>
        <w:t>释义 14</w:t>
      </w:r>
    </w:p>
    <w:p>
      <w:pPr>
        <w:tabs>
          <w:tab w:pos="2899" w:val="left" w:leader="none"/>
        </w:tabs>
        <w:spacing w:line="196" w:lineRule="exact" w:before="0"/>
        <w:ind w:left="16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61"/>
      </w:pPr>
      <w:r>
        <w:rPr/>
        <w:t>断证明文件；</w:t>
      </w:r>
    </w:p>
    <w:p>
      <w:pPr>
        <w:spacing w:line="103" w:lineRule="exact" w:before="47"/>
        <w:ind w:left="2772" w:right="0" w:firstLine="0"/>
        <w:jc w:val="left"/>
        <w:rPr>
          <w:b/>
          <w:sz w:val="12"/>
        </w:rPr>
      </w:pPr>
      <w:r>
        <w:rPr>
          <w:b/>
          <w:sz w:val="12"/>
        </w:rPr>
        <w:t>释义 16</w:t>
      </w:r>
    </w:p>
    <w:p>
      <w:pPr>
        <w:pStyle w:val="BodyText"/>
        <w:tabs>
          <w:tab w:pos="3194" w:val="left" w:leader="none"/>
        </w:tabs>
        <w:spacing w:line="196" w:lineRule="exact"/>
        <w:ind w:left="16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421" w:val="left" w:leader="none"/>
        </w:tabs>
        <w:spacing w:line="439" w:lineRule="auto" w:before="42"/>
        <w:ind w:left="161" w:right="16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61" w:right="208"/>
      </w:pPr>
      <w:r>
        <w:rPr/>
        <w:t>被保险人或受益人向我们请求给付保险金的诉讼时效期间为二年，自其知道或者应当知道保险事故发生之日起计算。</w:t>
      </w:r>
    </w:p>
    <w:p>
      <w:pPr>
        <w:spacing w:after="0" w:line="316" w:lineRule="auto"/>
        <w:sectPr>
          <w:pgSz w:w="11960" w:h="16850"/>
          <w:pgMar w:header="897" w:footer="1001" w:top="1080" w:bottom="1200" w:left="1540" w:right="1540"/>
        </w:sectPr>
      </w:pPr>
    </w:p>
    <w:p>
      <w:pPr>
        <w:pStyle w:val="BodyText"/>
        <w:ind w:left="0"/>
        <w:rPr>
          <w:sz w:val="20"/>
        </w:rPr>
      </w:pPr>
    </w:p>
    <w:p>
      <w:pPr>
        <w:pStyle w:val="BodyText"/>
        <w:spacing w:before="2"/>
        <w:ind w:left="0"/>
        <w:rPr>
          <w:sz w:val="24"/>
        </w:rPr>
      </w:pPr>
    </w:p>
    <w:p>
      <w:pPr>
        <w:pStyle w:val="Heading1"/>
        <w:tabs>
          <w:tab w:pos="4660" w:val="left" w:leader="none"/>
        </w:tabs>
        <w:spacing w:before="44"/>
        <w:ind w:left="2860"/>
      </w:pPr>
      <w:bookmarkStart w:name="_TOC_250012" w:id="9"/>
      <w:r>
        <w:rPr/>
        <w:t>第四部分</w:t>
        <w:tab/>
      </w:r>
      <w:bookmarkEnd w:id="9"/>
      <w:r>
        <w:rPr>
          <w:w w:val="95"/>
        </w:rPr>
        <w:t>如何交纳保险费</w:t>
      </w:r>
    </w:p>
    <w:p>
      <w:pPr>
        <w:pStyle w:val="BodyText"/>
        <w:spacing w:before="11"/>
        <w:ind w:left="0"/>
        <w:rPr>
          <w:b/>
          <w:sz w:val="29"/>
        </w:rPr>
      </w:pPr>
    </w:p>
    <w:p>
      <w:pPr>
        <w:pStyle w:val="Heading1"/>
        <w:tabs>
          <w:tab w:pos="1401" w:val="left" w:leader="none"/>
        </w:tabs>
        <w:spacing w:before="45"/>
      </w:pPr>
      <w:bookmarkStart w:name="_TOC_250011" w:id="10"/>
      <w:r>
        <w:rPr/>
        <w:t>第十二条</w:t>
        <w:tab/>
      </w:r>
      <w:bookmarkEnd w:id="10"/>
      <w:r>
        <w:rPr>
          <w:w w:val="95"/>
        </w:rPr>
        <w:t>保险费的交纳</w:t>
      </w:r>
    </w:p>
    <w:p>
      <w:pPr>
        <w:pStyle w:val="BodyText"/>
        <w:spacing w:before="13"/>
        <w:ind w:left="0"/>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5351" w:right="0" w:firstLine="0"/>
        <w:jc w:val="left"/>
        <w:rPr>
          <w:b/>
          <w:sz w:val="12"/>
        </w:rPr>
      </w:pPr>
      <w:r>
        <w:rPr>
          <w:b/>
          <w:sz w:val="12"/>
        </w:rPr>
        <w:t>释义 17</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tabs>
          <w:tab w:pos="1401" w:val="left" w:leader="none"/>
        </w:tabs>
        <w:spacing w:line="439" w:lineRule="auto" w:before="54"/>
        <w:ind w:left="141" w:right="6908" w:firstLine="0"/>
        <w:jc w:val="left"/>
        <w:rPr>
          <w:b/>
          <w:sz w:val="18"/>
        </w:rPr>
      </w:pPr>
      <w:r>
        <w:rPr>
          <w:sz w:val="18"/>
        </w:rPr>
        <w:t>加合同相应的保险费。</w:t>
      </w:r>
      <w:r>
        <w:rPr>
          <w:b/>
          <w:sz w:val="18"/>
        </w:rPr>
        <w:t>第十四条</w:t>
        <w:tab/>
      </w:r>
      <w:r>
        <w:rPr>
          <w:b/>
          <w:w w:val="95"/>
          <w:sz w:val="18"/>
        </w:rPr>
        <w:t>宽限期</w:t>
      </w:r>
    </w:p>
    <w:p>
      <w:pPr>
        <w:pStyle w:val="BodyText"/>
        <w:spacing w:line="316" w:lineRule="auto" w:before="46"/>
        <w:ind w:left="141" w:right="2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ind w:left="0"/>
        <w:rPr>
          <w:sz w:val="19"/>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8" w:id="13"/>
      <w:r>
        <w:rPr/>
        <w:t>第十五条</w:t>
        <w:tab/>
      </w:r>
      <w:bookmarkEnd w:id="13"/>
      <w:r>
        <w:rPr>
          <w:w w:val="95"/>
        </w:rPr>
        <w:t>现金价值</w:t>
      </w:r>
    </w:p>
    <w:p>
      <w:pPr>
        <w:pStyle w:val="BodyText"/>
        <w:ind w:left="0"/>
        <w:rPr>
          <w:b/>
          <w:sz w:val="15"/>
        </w:rPr>
      </w:pPr>
    </w:p>
    <w:p>
      <w:pPr>
        <w:pStyle w:val="BodyText"/>
        <w:spacing w:line="316" w:lineRule="auto"/>
        <w:ind w:left="141"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4"/>
      <w:r>
        <w:rPr/>
        <w:t>第十六条</w:t>
        <w:tab/>
      </w:r>
      <w:bookmarkEnd w:id="14"/>
      <w:r>
        <w:rPr>
          <w:w w:val="95"/>
        </w:rPr>
        <w:t>减额交清</w:t>
      </w:r>
    </w:p>
    <w:p>
      <w:pPr>
        <w:pStyle w:val="BodyText"/>
        <w:spacing w:before="12"/>
        <w:ind w:left="0"/>
        <w:rPr>
          <w:b/>
          <w:sz w:val="14"/>
        </w:rPr>
      </w:pPr>
    </w:p>
    <w:p>
      <w:pPr>
        <w:pStyle w:val="BodyText"/>
        <w:ind w:left="141"/>
      </w:pPr>
      <w:r>
        <w:rPr/>
        <w:t>减额交清保险不适用于本附加合同。</w:t>
      </w:r>
    </w:p>
    <w:p>
      <w:pPr>
        <w:pStyle w:val="BodyText"/>
        <w:spacing w:before="1"/>
        <w:ind w:left="0"/>
        <w:rPr>
          <w:sz w:val="24"/>
        </w:rPr>
      </w:pPr>
    </w:p>
    <w:p>
      <w:pPr>
        <w:pStyle w:val="Heading1"/>
        <w:tabs>
          <w:tab w:pos="1799" w:val="left" w:leader="none"/>
        </w:tabs>
        <w:spacing w:before="1"/>
        <w:ind w:left="0" w:right="6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401" w:val="left" w:leader="none"/>
        </w:tabs>
      </w:pPr>
      <w:bookmarkStart w:name="_TOC_250005" w:id="16"/>
      <w:r>
        <w:rPr/>
        <w:t>第十七条</w:t>
        <w:tab/>
      </w:r>
      <w:bookmarkEnd w:id="16"/>
      <w:r>
        <w:rPr>
          <w:w w:val="95"/>
        </w:rPr>
        <w:t>您主动解除合同的权利</w:t>
      </w:r>
    </w:p>
    <w:p>
      <w:pPr>
        <w:pStyle w:val="BodyText"/>
        <w:spacing w:before="12"/>
        <w:ind w:left="0"/>
        <w:rPr>
          <w:b/>
          <w:sz w:val="14"/>
        </w:rPr>
      </w:pPr>
    </w:p>
    <w:p>
      <w:pPr>
        <w:pStyle w:val="BodyText"/>
        <w:ind w:left="141"/>
      </w:pPr>
      <w:r>
        <w:rPr/>
        <w:t>本附加合同犹豫期过后，您仍可以书面通知我们要求解除本附加合同，并应提供下列证明和资料：</w:t>
      </w:r>
    </w:p>
    <w:p>
      <w:pPr>
        <w:pStyle w:val="BodyText"/>
        <w:spacing w:before="76"/>
        <w:ind w:left="141"/>
      </w:pPr>
      <w:r>
        <w:rPr/>
        <w:t>（</w:t>
      </w:r>
      <w:r>
        <w:rPr>
          <w:rFonts w:ascii="Times New Roman" w:eastAsia="Times New Roman"/>
        </w:rPr>
        <w:t>1</w:t>
      </w:r>
      <w:r>
        <w:rPr/>
        <w:t>）保险合同终止申请书；</w:t>
      </w:r>
    </w:p>
    <w:p>
      <w:pPr>
        <w:pStyle w:val="BodyText"/>
        <w:spacing w:before="63"/>
        <w:ind w:left="141"/>
      </w:pPr>
      <w:r>
        <w:rPr/>
        <w:t>（</w:t>
      </w:r>
      <w:r>
        <w:rPr>
          <w:rFonts w:ascii="Times New Roman" w:eastAsia="Times New Roman"/>
        </w:rPr>
        <w:t>2</w:t>
      </w:r>
      <w:r>
        <w:rPr/>
        <w:t>）保险合同原件；</w:t>
      </w:r>
    </w:p>
    <w:p>
      <w:pPr>
        <w:pStyle w:val="BodyText"/>
        <w:spacing w:before="63"/>
        <w:ind w:left="141"/>
      </w:pPr>
      <w:r>
        <w:rPr/>
        <w:t>（</w:t>
      </w:r>
      <w:r>
        <w:rPr>
          <w:rFonts w:ascii="Times New Roman" w:eastAsia="Times New Roman"/>
        </w:rPr>
        <w:t>3</w:t>
      </w:r>
      <w:r>
        <w:rPr/>
        <w:t>）您的身份证明复印件。</w:t>
      </w:r>
    </w:p>
    <w:p>
      <w:pPr>
        <w:pStyle w:val="BodyText"/>
        <w:spacing w:before="63"/>
        <w:ind w:left="141"/>
      </w:pPr>
      <w:r>
        <w:rPr/>
        <w:t>如果您要求解除本附加合同，本附加合同的保险责任将自我们收到终止保险合同的书面申请之次日零时起终</w:t>
      </w:r>
    </w:p>
    <w:p>
      <w:pPr>
        <w:spacing w:line="103" w:lineRule="exact" w:before="48"/>
        <w:ind w:left="0" w:right="2197" w:firstLine="0"/>
        <w:jc w:val="right"/>
        <w:rPr>
          <w:b/>
          <w:sz w:val="12"/>
        </w:rPr>
      </w:pPr>
      <w:r>
        <w:rPr>
          <w:b/>
          <w:sz w:val="12"/>
        </w:rPr>
        <w:t>释义 18</w:t>
      </w:r>
    </w:p>
    <w:p>
      <w:pPr>
        <w:pStyle w:val="BodyText"/>
        <w:tabs>
          <w:tab w:pos="6654" w:val="left" w:leader="none"/>
        </w:tabs>
        <w:spacing w:line="182" w:lineRule="exact"/>
        <w:ind w:left="141"/>
      </w:pPr>
      <w:r>
        <w:rPr/>
        <w:t>止。我们将于收到上述证明和资料之日起三十日内退还本附加合同的</w:t>
      </w:r>
      <w:r>
        <w:rPr>
          <w:b/>
        </w:rPr>
        <w:t>现金价值</w:t>
        <w:tab/>
      </w:r>
      <w:r>
        <w:rPr/>
        <w:t>。</w:t>
      </w:r>
    </w:p>
    <w:p>
      <w:pPr>
        <w:tabs>
          <w:tab w:pos="1401" w:val="left" w:leader="none"/>
        </w:tabs>
        <w:spacing w:line="439" w:lineRule="auto" w:before="55"/>
        <w:ind w:left="141" w:right="5648" w:firstLine="0"/>
        <w:jc w:val="left"/>
        <w:rPr>
          <w:b/>
          <w:sz w:val="18"/>
        </w:rPr>
      </w:pPr>
      <w:r>
        <w:rPr>
          <w:sz w:val="18"/>
        </w:rPr>
        <w:t>您犹豫期后解除合同会遭受一定损失。</w:t>
      </w:r>
      <w:r>
        <w:rPr>
          <w:b/>
          <w:sz w:val="18"/>
        </w:rPr>
        <w:t>第十八条</w:t>
        <w:tab/>
      </w:r>
      <w:r>
        <w:rPr>
          <w:b/>
          <w:w w:val="95"/>
          <w:sz w:val="18"/>
        </w:rPr>
        <w:t>合同效力的终止</w:t>
      </w:r>
    </w:p>
    <w:p>
      <w:pPr>
        <w:pStyle w:val="BodyText"/>
        <w:spacing w:before="47"/>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spacing w:after="0"/>
        <w:sectPr>
          <w:pgSz w:w="11960" w:h="16850"/>
          <w:pgMar w:header="897" w:footer="1001" w:top="1080" w:bottom="1200" w:left="1560" w:right="1540"/>
        </w:sectPr>
      </w:pPr>
    </w:p>
    <w:p>
      <w:pPr>
        <w:pStyle w:val="BodyText"/>
        <w:ind w:left="0"/>
        <w:rPr>
          <w:sz w:val="20"/>
        </w:rPr>
      </w:pPr>
    </w:p>
    <w:p>
      <w:pPr>
        <w:pStyle w:val="BodyText"/>
        <w:spacing w:before="9"/>
        <w:ind w:left="0"/>
        <w:rPr>
          <w:sz w:val="23"/>
        </w:rPr>
      </w:pPr>
    </w:p>
    <w:p>
      <w:pPr>
        <w:pStyle w:val="BodyText"/>
        <w:spacing w:before="51"/>
        <w:ind w:left="141"/>
      </w:pPr>
      <w:r>
        <w:rPr/>
        <w:t>（</w:t>
      </w:r>
      <w:r>
        <w:rPr>
          <w:rFonts w:ascii="Times New Roman" w:eastAsia="Times New Roman"/>
        </w:rPr>
        <w:t>3</w:t>
      </w:r>
      <w:r>
        <w:rPr/>
        <w:t>）因出现本附加合同其他条款所列情况而终止。</w:t>
      </w:r>
    </w:p>
    <w:p>
      <w:pPr>
        <w:pStyle w:val="BodyText"/>
        <w:spacing w:before="1"/>
        <w:ind w:left="0"/>
        <w:rPr>
          <w:sz w:val="23"/>
        </w:rPr>
      </w:pPr>
    </w:p>
    <w:p>
      <w:pPr>
        <w:pStyle w:val="Heading1"/>
        <w:tabs>
          <w:tab w:pos="4391" w:val="left" w:leader="none"/>
        </w:tabs>
        <w:spacing w:before="1"/>
        <w:ind w:left="2591"/>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pPr>
      <w:bookmarkStart w:name="_TOC_250003" w:id="18"/>
      <w:r>
        <w:rPr/>
        <w:t>第十九条</w:t>
        <w:tab/>
      </w:r>
      <w:bookmarkEnd w:id="18"/>
      <w:r>
        <w:rPr>
          <w:w w:val="95"/>
        </w:rPr>
        <w:t>明确说明与如实告知</w:t>
      </w:r>
    </w:p>
    <w:p>
      <w:pPr>
        <w:pStyle w:val="BodyText"/>
        <w:spacing w:before="12"/>
        <w:ind w:left="0"/>
        <w:rPr>
          <w:b/>
          <w:sz w:val="14"/>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210"/>
      </w:pPr>
      <w:r>
        <w:rPr/>
        <w:t>您故意不履行如实告知义务，我们对于本附加合同解除前发生的保险事故，不承担赔偿或者给付保险金的责任，并不退还保险费。</w:t>
      </w:r>
    </w:p>
    <w:p>
      <w:pPr>
        <w:pStyle w:val="BodyText"/>
        <w:spacing w:line="316" w:lineRule="auto" w:before="18"/>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9"/>
      <w:r>
        <w:rPr/>
        <w:t>第二十条</w:t>
        <w:tab/>
      </w:r>
      <w:bookmarkEnd w:id="19"/>
      <w:r>
        <w:rPr>
          <w:w w:val="95"/>
        </w:rPr>
        <w:t>本公司合同解除权的限制</w:t>
      </w:r>
    </w:p>
    <w:p>
      <w:pPr>
        <w:pStyle w:val="BodyText"/>
        <w:spacing w:before="12"/>
        <w:ind w:left="0"/>
        <w:rPr>
          <w:b/>
          <w:sz w:val="14"/>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0"/>
      <w:r>
        <w:rPr/>
        <w:t>第二十一条</w:t>
        <w:tab/>
      </w:r>
      <w:bookmarkEnd w:id="20"/>
      <w:r>
        <w:rPr>
          <w:w w:val="95"/>
        </w:rPr>
        <w:t>未还款项</w:t>
      </w:r>
    </w:p>
    <w:p>
      <w:pPr>
        <w:pStyle w:val="BodyText"/>
        <w:ind w:left="0"/>
        <w:rPr>
          <w:b/>
          <w:sz w:val="15"/>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1799" w:val="left" w:leader="none"/>
        </w:tabs>
        <w:ind w:left="0" w:right="66"/>
        <w:jc w:val="center"/>
      </w:pPr>
      <w:bookmarkStart w:name="_TOC_250000" w:id="21"/>
      <w:r>
        <w:rPr/>
        <w:t>第八部分</w:t>
        <w:tab/>
      </w:r>
      <w:bookmarkEnd w:id="21"/>
      <w:r>
        <w:rPr>
          <w:w w:val="95"/>
        </w:rPr>
        <w:t>释义</w:t>
      </w:r>
    </w:p>
    <w:p>
      <w:pPr>
        <w:pStyle w:val="BodyText"/>
        <w:spacing w:before="3"/>
        <w:ind w:left="0"/>
        <w:rPr>
          <w:b/>
          <w:sz w:val="21"/>
        </w:rPr>
      </w:pPr>
    </w:p>
    <w:p>
      <w:pPr>
        <w:pStyle w:val="BodyText"/>
        <w:tabs>
          <w:tab w:pos="2380" w:val="left" w:leader="none"/>
        </w:tabs>
        <w:ind w:left="141"/>
      </w:pPr>
      <w:r>
        <w:rPr/>
        <w:t>释义</w:t>
      </w:r>
      <w:r>
        <w:rPr>
          <w:spacing w:val="-45"/>
        </w:rPr>
        <w:t> </w:t>
      </w:r>
      <w:r>
        <w:rPr/>
        <w:t>1、周岁</w:t>
        <w:tab/>
        <w:t>:</w:t>
      </w:r>
      <w:r>
        <w:rPr>
          <w:spacing w:val="17"/>
        </w:rPr>
        <w:t> </w:t>
      </w:r>
      <w:r>
        <w:rPr/>
        <w:t>以法定身份证明文件中记载的出生日期为计算基础计算的年龄。</w:t>
      </w:r>
    </w:p>
    <w:p>
      <w:pPr>
        <w:pStyle w:val="BodyText"/>
        <w:spacing w:line="237" w:lineRule="auto" w:before="6"/>
        <w:ind w:right="14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80" w:val="left" w:leader="none"/>
        </w:tabs>
        <w:spacing w:line="237" w:lineRule="auto" w:before="1"/>
        <w:ind w:right="191" w:hanging="2439"/>
      </w:pPr>
      <w:r>
        <w:rPr/>
        <w:t>释义</w:t>
      </w:r>
      <w:r>
        <w:rPr>
          <w:spacing w:val="-45"/>
        </w:rPr>
        <w:t> </w:t>
      </w:r>
      <w:r>
        <w:rPr/>
        <w:t>3、发病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37" w:lineRule="auto" w:before="1"/>
        <w:ind w:right="191" w:hanging="2439"/>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7" w:lineRule="auto" w:before="1"/>
        <w:ind w:right="188" w:hanging="2439"/>
      </w:pPr>
      <w:r>
        <w:rPr/>
        <w:t>释义</w:t>
      </w:r>
      <w:r>
        <w:rPr>
          <w:spacing w:val="-45"/>
        </w:rPr>
        <w:t> </w:t>
      </w:r>
      <w:r>
        <w:rPr/>
        <w:t>5、意外伤害事故</w:t>
        <w:tab/>
        <w:t>:</w:t>
      </w:r>
      <w:r>
        <w:rPr>
          <w:spacing w:val="15"/>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37" w:lineRule="auto" w:before="1"/>
        <w:ind w:right="189" w:hanging="2439"/>
        <w:jc w:val="both"/>
      </w:pPr>
      <w:r>
        <w:rPr/>
        <w:t>释义</w:t>
      </w:r>
      <w:r>
        <w:rPr>
          <w:spacing w:val="-45"/>
        </w:rPr>
        <w:t> </w:t>
      </w:r>
      <w:r>
        <w:rPr/>
        <w:t>6、毒品</w:t>
        <w:tab/>
        <w:t>:</w:t>
      </w:r>
      <w:r>
        <w:rPr>
          <w:spacing w:val="60"/>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1"/>
        <w:ind w:right="189" w:hanging="2439"/>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41"/>
      </w:pPr>
      <w:r>
        <w:rPr/>
        <w:t>释义 8、无合法有效驾驶证驾: 指下列情形之一：</w:t>
      </w:r>
    </w:p>
    <w:p>
      <w:pPr>
        <w:pStyle w:val="BodyText"/>
        <w:tabs>
          <w:tab w:pos="2579" w:val="left" w:leader="none"/>
        </w:tabs>
        <w:spacing w:line="234" w:lineRule="exact"/>
        <w:ind w:left="141"/>
      </w:pPr>
      <w:r>
        <w:rPr/>
        <w:t>驶</w:t>
        <w:tab/>
      </w:r>
      <w:r>
        <w:rPr>
          <w:spacing w:val="-1"/>
        </w:rPr>
        <w:t>1</w:t>
      </w:r>
      <w:r>
        <w:rPr/>
        <w:t>、没有驾驶证驾驶；</w:t>
      </w:r>
    </w:p>
    <w:p>
      <w:pPr>
        <w:pStyle w:val="BodyText"/>
        <w:spacing w:line="234" w:lineRule="exact"/>
      </w:pPr>
      <w:r>
        <w:rPr/>
        <w:t>2、驾驶与驾驶证准驾车型不相符合的车辆；</w:t>
      </w:r>
    </w:p>
    <w:p>
      <w:pPr>
        <w:spacing w:after="0" w:line="234" w:lineRule="exact"/>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spacing w:line="234" w:lineRule="exact" w:before="44"/>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89"/>
      </w:pPr>
      <w:r>
        <w:rPr/>
        <w:t>5、持学习驾驶证学习驾车时，无教练员随车指导，或不按指定时间、路线学习驾车；</w:t>
      </w:r>
    </w:p>
    <w:p>
      <w:pPr>
        <w:pStyle w:val="BodyText"/>
        <w:tabs>
          <w:tab w:pos="2380" w:val="left" w:leader="none"/>
        </w:tabs>
        <w:spacing w:line="237" w:lineRule="auto" w:before="1"/>
        <w:ind w:left="141" w:right="1499" w:firstLine="2438"/>
      </w:pPr>
      <w:r>
        <w:rPr/>
        <w:t>6、公安交通管理部门规定的其他无有效驾驶证驾驶的情况。释义</w:t>
      </w:r>
      <w:r>
        <w:rPr>
          <w:spacing w:val="-45"/>
        </w:rPr>
        <w:t> </w:t>
      </w:r>
      <w:r>
        <w:rPr/>
        <w:t>9、无有效行驶证</w:t>
        <w:tab/>
        <w:t>:</w:t>
      </w:r>
      <w:r>
        <w:rPr>
          <w:spacing w:val="17"/>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80" w:val="left" w:leader="none"/>
        </w:tabs>
        <w:spacing w:line="244" w:lineRule="auto"/>
        <w:ind w:left="141" w:right="282"/>
      </w:pPr>
      <w:r>
        <w:rPr/>
        <w:t>释义</w:t>
      </w:r>
      <w:r>
        <w:rPr>
          <w:spacing w:val="-45"/>
        </w:rPr>
        <w:t> </w:t>
      </w:r>
      <w:r>
        <w:rPr/>
        <w:t>10、艾滋病</w:t>
        <w:tab/>
        <w:t>:</w:t>
      </w:r>
      <w:r>
        <w:rPr>
          <w:spacing w:val="16"/>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18"/>
        </w:rPr>
        <w:t> </w:t>
      </w:r>
      <w:r>
        <w:rPr/>
        <w:t>指人类免疫缺陷病毒,英文缩写为</w:t>
      </w:r>
      <w:r>
        <w:rPr>
          <w:spacing w:val="-45"/>
        </w:rPr>
        <w:t> </w:t>
      </w:r>
      <w:r>
        <w:rPr/>
        <w:t>HIV。</w:t>
      </w:r>
    </w:p>
    <w:p>
      <w:pPr>
        <w:pStyle w:val="BodyText"/>
        <w:tabs>
          <w:tab w:pos="2380" w:val="left" w:leader="none"/>
        </w:tabs>
        <w:spacing w:line="237" w:lineRule="auto" w:before="3"/>
        <w:ind w:right="191" w:hanging="2439"/>
      </w:pPr>
      <w:r>
        <w:rPr/>
        <w:t>释义</w:t>
      </w:r>
      <w:r>
        <w:rPr>
          <w:spacing w:val="-45"/>
        </w:rPr>
        <w:t> </w:t>
      </w:r>
      <w:r>
        <w:rPr/>
        <w:t>12、遗传性疾病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ind w:left="141"/>
      </w:pPr>
      <w:r>
        <w:rPr/>
        <w:t>释义 13、先天性畸形、变形: 指被保险人出生时就具有的畸形、变形或染色体异常。先天性畸形、变形和染</w:t>
      </w:r>
    </w:p>
    <w:p>
      <w:pPr>
        <w:spacing w:after="0" w:line="235" w:lineRule="exact"/>
        <w:sectPr>
          <w:pgSz w:w="11960" w:h="16850"/>
          <w:pgMar w:header="897" w:footer="1001" w:top="1080" w:bottom="1200" w:left="1560" w:right="1540"/>
        </w:sectPr>
      </w:pPr>
    </w:p>
    <w:p>
      <w:pPr>
        <w:pStyle w:val="BodyText"/>
        <w:spacing w:line="233" w:lineRule="exact"/>
        <w:ind w:left="141"/>
      </w:pPr>
      <w:r>
        <w:rPr/>
        <w:t>或染色体异常</w:t>
      </w:r>
    </w:p>
    <w:p>
      <w:pPr>
        <w:pStyle w:val="BodyText"/>
        <w:ind w:left="141" w:right="279"/>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560" w:right="1540"/>
          <w:cols w:num="2" w:equalWidth="0">
            <w:col w:w="1222" w:space="1216"/>
            <w:col w:w="6422"/>
          </w:cols>
        </w:sectPr>
      </w:pPr>
    </w:p>
    <w:p>
      <w:pPr>
        <w:pStyle w:val="BodyText"/>
        <w:spacing w:line="235" w:lineRule="exact"/>
        <w:ind w:left="141"/>
      </w:pPr>
      <w:r>
        <w:rPr/>
        <w:t>释义 14、我们指定或认可的: 1、我们将在批注中列明指定的医院名单，并保留对上述医院名单做出调整的</w:t>
      </w:r>
    </w:p>
    <w:p>
      <w:pPr>
        <w:pStyle w:val="BodyText"/>
        <w:tabs>
          <w:tab w:pos="2579" w:val="left" w:leader="none"/>
        </w:tabs>
        <w:spacing w:line="237" w:lineRule="auto" w:before="2"/>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2"/>
        <w:ind w:right="189"/>
      </w:pPr>
      <w:r>
        <w:rPr/>
        <w:t>2、我们指定的医院均指医院本院，不包括所属的指导或教学医院分院、社区医疗服务点、外设门诊部及合作医院。</w:t>
      </w:r>
    </w:p>
    <w:p>
      <w:pPr>
        <w:pStyle w:val="BodyText"/>
        <w:spacing w:line="237" w:lineRule="auto" w:before="2"/>
        <w:ind w:right="189"/>
      </w:pPr>
      <w:r>
        <w:rPr/>
        <w:t>3、如果被保险人因紧急情况需要就近抢救，可不受我们指定医院的限制，但病情稳定后应转入我们指定的医院。</w:t>
      </w:r>
    </w:p>
    <w:p>
      <w:pPr>
        <w:pStyle w:val="BodyText"/>
        <w:spacing w:line="237" w:lineRule="auto" w:before="2"/>
        <w:ind w:right="189"/>
      </w:pPr>
      <w:r>
        <w:rPr/>
        <w:t>4、如果被保险人在批注中列明医院所在地以外的地区就诊，须选择我们认可的医院。其标准须符合本附加合同中对“医院”的释义。</w:t>
      </w:r>
    </w:p>
    <w:p>
      <w:pPr>
        <w:pStyle w:val="BodyText"/>
        <w:spacing w:line="237" w:lineRule="auto" w:before="2"/>
        <w:ind w:right="189"/>
      </w:pPr>
      <w:r>
        <w:rPr/>
        <w:t>5、如果本保险合同中无指定医院名单批注，被保险人就诊须选择我们认可的医院。其标准须符合本附加合同中对“医院”的释义。</w:t>
      </w:r>
    </w:p>
    <w:p>
      <w:pPr>
        <w:pStyle w:val="BodyText"/>
        <w:tabs>
          <w:tab w:pos="2380" w:val="left" w:leader="none"/>
        </w:tabs>
        <w:spacing w:line="237" w:lineRule="auto" w:before="2"/>
        <w:ind w:right="191" w:hanging="2439"/>
      </w:pPr>
      <w:r>
        <w:rPr/>
        <w:t>释义</w:t>
      </w:r>
      <w:r>
        <w:rPr>
          <w:spacing w:val="-45"/>
        </w:rPr>
        <w:t> </w:t>
      </w:r>
      <w:r>
        <w:rPr/>
        <w:t>15、医院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44" w:lineRule="auto"/>
        <w:ind w:left="141" w:right="2490"/>
      </w:pPr>
      <w:r>
        <w:rPr/>
        <w:t>释义</w:t>
      </w:r>
      <w:r>
        <w:rPr>
          <w:spacing w:val="-45"/>
        </w:rPr>
        <w:t> </w:t>
      </w:r>
      <w:r>
        <w:rPr/>
        <w:t>16、保险事故</w:t>
        <w:tab/>
        <w:t>:</w:t>
      </w:r>
      <w:r>
        <w:rPr>
          <w:spacing w:val="17"/>
        </w:rPr>
        <w:t> </w:t>
      </w:r>
      <w:r>
        <w:rPr/>
        <w:t>是指本附加合同约定的保险责任范围内的事故。释义</w:t>
      </w:r>
      <w:r>
        <w:rPr>
          <w:spacing w:val="-45"/>
        </w:rPr>
        <w:t> </w:t>
      </w:r>
      <w:r>
        <w:rPr/>
        <w:t>17、保险合同周年日</w:t>
        <w:tab/>
        <w:t>:</w:t>
      </w:r>
      <w:r>
        <w:rPr>
          <w:spacing w:val="17"/>
        </w:rPr>
        <w:t> </w:t>
      </w:r>
      <w:r>
        <w:rPr/>
        <w:t>是指主合同生效日起的周年日期。</w:t>
      </w:r>
    </w:p>
    <w:p>
      <w:pPr>
        <w:pStyle w:val="BodyText"/>
        <w:tabs>
          <w:tab w:pos="2380" w:val="left" w:leader="none"/>
        </w:tabs>
        <w:spacing w:line="237" w:lineRule="auto" w:before="3"/>
        <w:ind w:right="189" w:hanging="2439"/>
      </w:pPr>
      <w:r>
        <w:rPr/>
        <w:t>释义</w:t>
      </w:r>
      <w:r>
        <w:rPr>
          <w:spacing w:val="-45"/>
        </w:rPr>
        <w:t> </w:t>
      </w:r>
      <w:r>
        <w:rPr/>
        <w:t>18、现金价值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316" w:lineRule="auto" w:before="37"/>
        <w:ind w:left="141" w:right="208"/>
      </w:pPr>
      <w:r>
        <w:rPr/>
        <w:t>重大疾病是指下列任何一种疾病，被保险人发生符合以下疾病定义所述条件的疾病，应当由专科医生明确诊断。</w:t>
      </w:r>
    </w:p>
    <w:p>
      <w:pPr>
        <w:pStyle w:val="BodyText"/>
        <w:tabs>
          <w:tab w:pos="2380" w:val="left" w:leader="none"/>
        </w:tabs>
        <w:spacing w:line="232" w:lineRule="exact" w:before="4"/>
        <w:ind w:right="189" w:hanging="2439"/>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w:t>
      </w:r>
      <w:r>
        <w:rPr>
          <w:spacing w:val="-1"/>
        </w:rPr>
        <w:t>血管</w:t>
      </w:r>
      <w:r>
        <w:rPr>
          <w:spacing w:val="-20"/>
        </w:rPr>
        <w:t>、</w:t>
      </w:r>
      <w:r>
        <w:rPr/>
        <w:t>淋巴管和体腔扩散转移到身体其它部位的疾病</w:t>
      </w:r>
      <w:r>
        <w:rPr>
          <w:spacing w:val="-20"/>
        </w:rPr>
        <w:t>。</w:t>
      </w:r>
      <w:r>
        <w:rPr/>
        <w:t>经病理学检查结果明确</w:t>
      </w:r>
    </w:p>
    <w:p>
      <w:pPr>
        <w:pStyle w:val="BodyText"/>
        <w:spacing w:line="213" w:lineRule="exact"/>
      </w:pPr>
      <w:r>
        <w:rPr/>
        <w:t>诊断，临床诊断属于世界卫生组织《疾病和有关健康问题的国际统计分类》</w:t>
      </w:r>
    </w:p>
    <w:p>
      <w:pPr>
        <w:pStyle w:val="BodyText"/>
        <w:ind w:left="2942" w:right="3750" w:hanging="363"/>
      </w:pPr>
      <w:r>
        <w:rPr/>
        <w:t>（ICD-10）的恶性肿瘤范畴。 </w:t>
      </w:r>
      <w:r>
        <w:rPr>
          <w:spacing w:val="-1"/>
        </w:rPr>
        <w:t>下列疾病不在保障范围内：</w:t>
      </w:r>
    </w:p>
    <w:p>
      <w:pPr>
        <w:pStyle w:val="BodyText"/>
        <w:spacing w:line="233"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pPr>
      <w:r>
        <w:rPr/>
        <w:t>（6）感染艾滋病病毒或患艾滋病期间所患恶性肿瘤。</w:t>
      </w:r>
    </w:p>
    <w:p>
      <w:pPr>
        <w:spacing w:after="0"/>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right="191" w:hanging="2439"/>
        <w:jc w:val="both"/>
      </w:pPr>
      <w:r>
        <w:rPr/>
        <w:t>2、急性心肌梗塞        ： 指因冠状动脉阻塞导致的相应区域供血不足造成部分心肌坏死。须满足下列至少三项条件：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2"/>
        <w:ind w:right="189"/>
      </w:pPr>
      <w:r>
        <w:rPr/>
        <w:t>（3）心肌酶或肌钙蛋白有诊断意义的升高，或呈符合急性心肌梗塞的动态性变化；</w:t>
      </w:r>
    </w:p>
    <w:p>
      <w:pPr>
        <w:pStyle w:val="BodyText"/>
        <w:spacing w:line="235"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57"/>
        <w:ind w:right="189" w:hanging="2439"/>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pStyle w:val="BodyText"/>
        <w:spacing w:before="40"/>
        <w:ind w:left="141"/>
      </w:pPr>
      <w:r>
        <w:rPr/>
        <w:t>4、重大器官移植术或造血干： 重大器官移植术，指因相应器官功能衰竭，已经实施了肾脏、肝脏、心脏或肺</w:t>
      </w:r>
    </w:p>
    <w:p>
      <w:pPr>
        <w:spacing w:after="0"/>
        <w:sectPr>
          <w:pgSz w:w="11960" w:h="16850"/>
          <w:pgMar w:header="897" w:footer="1001" w:top="1080" w:bottom="1200" w:left="1560" w:right="1540"/>
        </w:sectPr>
      </w:pPr>
    </w:p>
    <w:p>
      <w:pPr>
        <w:pStyle w:val="BodyText"/>
        <w:spacing w:line="233" w:lineRule="exact"/>
        <w:ind w:left="141"/>
      </w:pPr>
      <w:r>
        <w:rPr/>
        <w:t>细胞移植术</w:t>
      </w:r>
    </w:p>
    <w:p>
      <w:pPr>
        <w:pStyle w:val="BodyText"/>
        <w:spacing w:line="233" w:lineRule="exact"/>
        <w:ind w:left="141"/>
      </w:pPr>
      <w:r>
        <w:rPr/>
        <w:br w:type="column"/>
      </w:r>
      <w:r>
        <w:rPr/>
        <w:t>脏的异体移植手术。</w:t>
      </w:r>
    </w:p>
    <w:p>
      <w:pPr>
        <w:pStyle w:val="BodyText"/>
        <w:spacing w:line="237" w:lineRule="auto" w:before="2"/>
        <w:ind w:left="14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540"/>
          <w:cols w:num="2" w:equalWidth="0">
            <w:col w:w="1042" w:space="1396"/>
            <w:col w:w="6422"/>
          </w:cols>
        </w:sectPr>
      </w:pPr>
    </w:p>
    <w:p>
      <w:pPr>
        <w:pStyle w:val="BodyText"/>
        <w:spacing w:line="233" w:lineRule="exact"/>
        <w:ind w:left="141"/>
      </w:pPr>
      <w:r>
        <w:rPr/>
        <w:t>5、冠状动脉搭桥术（或称冠： 指为治疗严重的冠心病，实际实施了开胸进行的冠状动脉血管旁路移植的手</w:t>
      </w:r>
    </w:p>
    <w:p>
      <w:pPr>
        <w:spacing w:after="0" w:line="233" w:lineRule="exact"/>
        <w:sectPr>
          <w:type w:val="continuous"/>
          <w:pgSz w:w="11960" w:h="16850"/>
          <w:pgMar w:top="280" w:bottom="1200" w:left="1560" w:right="1540"/>
        </w:sectPr>
      </w:pPr>
    </w:p>
    <w:p>
      <w:pPr>
        <w:pStyle w:val="BodyText"/>
        <w:spacing w:line="235" w:lineRule="exact"/>
        <w:ind w:left="141"/>
      </w:pPr>
      <w:r>
        <w:rPr/>
        <w:t>状动脉旁路移植术）</w:t>
      </w:r>
    </w:p>
    <w:p>
      <w:pPr>
        <w:spacing w:line="234" w:lineRule="exact" w:before="0"/>
        <w:ind w:left="141" w:right="0" w:firstLine="0"/>
        <w:jc w:val="left"/>
        <w:rPr>
          <w:sz w:val="18"/>
        </w:rPr>
      </w:pPr>
      <w:r>
        <w:rPr/>
        <w:br w:type="column"/>
      </w:r>
      <w:r>
        <w:rPr>
          <w:sz w:val="18"/>
        </w:rPr>
        <w:t>术。</w:t>
      </w:r>
    </w:p>
    <w:p>
      <w:pPr>
        <w:pStyle w:val="BodyText"/>
        <w:ind w:left="141" w:right="13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540"/>
          <w:cols w:num="2" w:equalWidth="0">
            <w:col w:w="1762" w:space="676"/>
            <w:col w:w="6422"/>
          </w:cols>
        </w:sectPr>
      </w:pPr>
    </w:p>
    <w:p>
      <w:pPr>
        <w:pStyle w:val="BodyText"/>
        <w:spacing w:before="20"/>
        <w:ind w:left="14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79" w:val="left" w:leader="none"/>
        </w:tabs>
        <w:spacing w:line="233" w:lineRule="exact"/>
        <w:ind w:left="141"/>
      </w:pPr>
      <w:r>
        <w:rPr/>
        <w:t>功能衰竭尿毒症期）</w:t>
        <w:tab/>
      </w:r>
      <w:r>
        <w:rPr>
          <w:spacing w:val="-1"/>
        </w:rPr>
        <w:t>的</w:t>
      </w:r>
      <w:r>
        <w:rPr/>
        <w:t>规律性透析治疗或实施了肾脏移植手术。</w:t>
      </w:r>
    </w:p>
    <w:p>
      <w:pPr>
        <w:pStyle w:val="BodyText"/>
        <w:spacing w:line="237" w:lineRule="auto" w:before="74"/>
        <w:ind w:right="191" w:hanging="2439"/>
        <w:jc w:val="both"/>
      </w:pPr>
      <w:r>
        <w:rPr/>
        <w:t>7、多个肢体缺失        ： 指因疾病或意外伤害导致两个或两个以上肢体自腕关节或踝关节近端（靠近躯干端）以上完全性断离。</w:t>
      </w:r>
    </w:p>
    <w:p>
      <w:pPr>
        <w:pStyle w:val="BodyText"/>
        <w:spacing w:line="237" w:lineRule="auto" w:before="2"/>
        <w:ind w:right="18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4"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80" w:val="left" w:leader="none"/>
        </w:tabs>
        <w:spacing w:before="110"/>
        <w:ind w:right="18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before="14"/>
        <w:ind w:left="141"/>
      </w:pPr>
      <w:r>
        <w:rPr/>
        <w:t>10、慢性肝功能衰竭失代偿： 指因慢性肝脏疾病导致肝功能衰竭。须满足下列全部条件：</w:t>
      </w:r>
    </w:p>
    <w:p>
      <w:pPr>
        <w:pStyle w:val="BodyText"/>
        <w:tabs>
          <w:tab w:pos="2579" w:val="left" w:leader="none"/>
        </w:tabs>
        <w:spacing w:line="233" w:lineRule="exact"/>
        <w:ind w:left="14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859"/>
      </w:pPr>
      <w:r>
        <w:rPr/>
        <w:t>（4）充血性脾肿大伴脾功能亢进或食管胃底静脉曲张。因酗酒或药物滥用导致的肝功能衰竭不在保障范围内。</w:t>
      </w:r>
    </w:p>
    <w:p>
      <w:pPr>
        <w:pStyle w:val="BodyText"/>
        <w:spacing w:before="33"/>
        <w:ind w:left="141"/>
      </w:pPr>
      <w:r>
        <w:rPr/>
        <w:t>11、脑炎后遗症或脑膜炎后： 指因患脑炎或脑膜炎导致的神经系统永久性的功能障碍。神经系统永久性的功</w:t>
      </w:r>
    </w:p>
    <w:p>
      <w:pPr>
        <w:pStyle w:val="BodyText"/>
        <w:tabs>
          <w:tab w:pos="2579" w:val="left" w:leader="none"/>
        </w:tabs>
        <w:spacing w:line="234" w:lineRule="exact"/>
        <w:ind w:left="14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spacing w:after="0"/>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tabs>
          <w:tab w:pos="2380" w:val="left" w:leader="none"/>
        </w:tabs>
        <w:spacing w:line="237" w:lineRule="auto" w:before="47"/>
        <w:ind w:right="18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80" w:val="left" w:leader="none"/>
        </w:tabs>
        <w:spacing w:line="237" w:lineRule="auto" w:before="102"/>
        <w:ind w:right="186" w:hanging="2439"/>
        <w:jc w:val="both"/>
      </w:pPr>
      <w:r>
        <w:rPr/>
        <w:t>13、双耳失聪</w:t>
        <w:tab/>
        <w:t>：</w:t>
      </w:r>
      <w:r>
        <w:rPr>
          <w:spacing w:val="-72"/>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80" w:val="left" w:leader="none"/>
        </w:tabs>
        <w:spacing w:line="237" w:lineRule="auto" w:before="80"/>
        <w:ind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9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pPr>
      <w:r>
        <w:rPr/>
        <w:t>（3）视野半径小于 5 度。</w:t>
      </w:r>
    </w:p>
    <w:p>
      <w:pPr>
        <w:pStyle w:val="BodyText"/>
        <w:tabs>
          <w:tab w:pos="2380" w:val="left" w:leader="none"/>
        </w:tabs>
        <w:spacing w:line="237" w:lineRule="auto" w:before="52"/>
        <w:ind w:right="191" w:hanging="2439"/>
        <w:jc w:val="both"/>
      </w:pPr>
      <w:r>
        <w:rPr/>
        <w:t>15、瘫痪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before="66"/>
        <w:ind w:left="141"/>
      </w:pPr>
      <w:r>
        <w:rPr/>
        <w:t>16、心脏瓣膜手术</w:t>
        <w:tab/>
        <w:t>：</w:t>
      </w:r>
      <w:r>
        <w:rPr>
          <w:spacing w:val="-75"/>
        </w:rPr>
        <w:t> </w:t>
      </w:r>
      <w:r>
        <w:rPr/>
        <w:t>指为治疗心脏瓣膜疾病，实际实施了开胸进行的心脏瓣膜置换或修复的手术。</w:t>
      </w:r>
    </w:p>
    <w:p>
      <w:pPr>
        <w:pStyle w:val="BodyText"/>
        <w:tabs>
          <w:tab w:pos="2380" w:val="left" w:leader="none"/>
        </w:tabs>
        <w:spacing w:line="237" w:lineRule="auto" w:before="126"/>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spacing w:line="237" w:lineRule="auto" w:before="12"/>
        <w:ind w:right="191" w:hanging="2439"/>
        <w:jc w:val="both"/>
      </w:pPr>
      <w:r>
        <w:rPr/>
        <w:t>18</w:t>
      </w:r>
      <w:r>
        <w:rPr>
          <w:spacing w:val="-4"/>
        </w:rPr>
        <w:t>、严重帕金森病       ： 是一种中枢神经系统的退行性疾病，临床表现为震颤麻痹、共济失调等。须满</w:t>
      </w:r>
      <w:r>
        <w:rPr>
          <w:spacing w:val="-1"/>
        </w:rPr>
        <w:t>足下列全部条件：</w:t>
      </w:r>
    </w:p>
    <w:p>
      <w:pPr>
        <w:pStyle w:val="BodyText"/>
        <w:spacing w:line="234" w:lineRule="exact"/>
      </w:pPr>
      <w:r>
        <w:rPr/>
        <w:t>（1）药物治疗无法控制病情；</w:t>
      </w:r>
    </w:p>
    <w:p>
      <w:pPr>
        <w:pStyle w:val="BodyText"/>
        <w:ind w:right="189"/>
      </w:pPr>
      <w:r>
        <w:rPr/>
        <w:t>（2）自主生活能力完全丧失，无法独立完成六项基本日常生活活动中的三项或三项以上。</w:t>
      </w:r>
    </w:p>
    <w:p>
      <w:pPr>
        <w:pStyle w:val="BodyText"/>
        <w:spacing w:line="233" w:lineRule="exact" w:before="1"/>
      </w:pPr>
      <w:r>
        <w:rPr/>
        <w:t>继发性帕金森综合征不在保障范围内。</w:t>
      </w:r>
    </w:p>
    <w:p>
      <w:pPr>
        <w:pStyle w:val="BodyText"/>
        <w:spacing w:line="237" w:lineRule="auto" w:before="21"/>
        <w:ind w:right="277" w:hanging="2439"/>
        <w:jc w:val="both"/>
      </w:pPr>
      <w:r>
        <w:rPr/>
        <w:t>19</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2"/>
        <w:ind w:right="189" w:hanging="2439"/>
        <w:jc w:val="both"/>
      </w:pPr>
      <w:r>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112"/>
        <w:ind w:right="150" w:hanging="2439"/>
        <w:jc w:val="both"/>
      </w:pPr>
      <w:r>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1"/>
        <w:ind w:right="189" w:hanging="2439"/>
        <w:jc w:val="both"/>
      </w:pPr>
      <w:r>
        <w:rPr/>
        <w:t>22</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pStyle w:val="BodyText"/>
        <w:spacing w:before="101"/>
        <w:ind w:right="197" w:hanging="2439"/>
        <w:jc w:val="both"/>
      </w:pPr>
      <w:r>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42"/>
      </w:pPr>
      <w:r>
        <w:rPr/>
        <w:t>① 中性粒细胞绝对值≤0.5×10</w:t>
      </w:r>
      <w:r>
        <w:rPr>
          <w:position w:val="9"/>
          <w:sz w:val="9"/>
        </w:rPr>
        <w:t>9</w:t>
      </w:r>
      <w:r>
        <w:rPr/>
        <w:t>/L；</w:t>
      </w:r>
    </w:p>
    <w:p>
      <w:pPr>
        <w:pStyle w:val="BodyText"/>
        <w:spacing w:line="234" w:lineRule="exact"/>
        <w:ind w:left="2942"/>
      </w:pPr>
      <w:r>
        <w:rPr/>
        <w:t>② 网织红细胞＜1%；</w:t>
      </w:r>
    </w:p>
    <w:p>
      <w:pPr>
        <w:pStyle w:val="BodyText"/>
        <w:spacing w:line="234" w:lineRule="exact"/>
        <w:ind w:left="2942"/>
      </w:pPr>
      <w:r>
        <w:rPr/>
        <w:t>③ 血小板绝对值≤20×10</w:t>
      </w:r>
      <w:r>
        <w:rPr>
          <w:position w:val="9"/>
          <w:sz w:val="9"/>
        </w:rPr>
        <w:t>9</w:t>
      </w:r>
      <w:r>
        <w:rPr/>
        <w:t>/L。</w:t>
      </w:r>
    </w:p>
    <w:p>
      <w:pPr>
        <w:pStyle w:val="BodyText"/>
        <w:tabs>
          <w:tab w:pos="2380" w:val="left" w:leader="none"/>
        </w:tabs>
        <w:spacing w:line="237" w:lineRule="auto" w:before="93"/>
        <w:ind w:right="188" w:hanging="2439"/>
        <w:jc w:val="both"/>
      </w:pPr>
      <w:r>
        <w:rPr/>
        <w:t>24、主动脉手术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spacing w:after="0" w:line="233" w:lineRule="exact"/>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15" w:lineRule="exact"/>
        <w:ind w:left="141"/>
      </w:pPr>
      <w:r>
        <w:rPr/>
        <w:t>25、慢性肺部疾病</w:t>
        <w:tab/>
        <w:t>：</w:t>
      </w:r>
      <w:r>
        <w:rPr>
          <w:spacing w:val="-72"/>
        </w:rPr>
        <w:t> </w:t>
      </w:r>
      <w:r>
        <w:rPr/>
        <w:t>是指末期肺部疾病包括间质性肺部疾病</w:t>
      </w:r>
      <w:r>
        <w:rPr>
          <w:spacing w:val="-41"/>
        </w:rPr>
        <w:t>，</w:t>
      </w:r>
      <w:r>
        <w:rPr/>
        <w:t>需要永久性的氧气治疗并且功能测验</w:t>
      </w:r>
    </w:p>
    <w:p>
      <w:pPr>
        <w:pStyle w:val="BodyText"/>
        <w:ind w:right="149"/>
      </w:pPr>
      <w:r>
        <w:rPr>
          <w:spacing w:val="-4"/>
        </w:rPr>
        <w:t>FEV1（</w:t>
      </w:r>
      <w:r>
        <w:rPr/>
        <w:t>第一秒钟最大呼气量</w:t>
      </w:r>
      <w:r>
        <w:rPr>
          <w:spacing w:val="-15"/>
        </w:rPr>
        <w:t>）</w:t>
      </w:r>
      <w:r>
        <w:rPr>
          <w:spacing w:val="-7"/>
        </w:rPr>
        <w:t>测验结果少于 </w:t>
      </w:r>
      <w:r>
        <w:rPr/>
        <w:t>1</w:t>
      </w:r>
      <w:r>
        <w:rPr>
          <w:spacing w:val="-8"/>
        </w:rPr>
        <w:t> 公升，以上诊断需要有呼吸科医</w:t>
      </w:r>
      <w:r>
        <w:rPr>
          <w:spacing w:val="-1"/>
        </w:rPr>
        <w:t>师出具医疗诊断证明。</w:t>
      </w:r>
    </w:p>
    <w:p>
      <w:pPr>
        <w:pStyle w:val="BodyText"/>
        <w:spacing w:before="17"/>
        <w:ind w:right="146" w:hanging="2439"/>
        <w:jc w:val="both"/>
      </w:pPr>
      <w:r>
        <w:rPr/>
        <w:t>26</w:t>
      </w:r>
      <w:r>
        <w:rPr>
          <w:spacing w:val="-5"/>
        </w:rPr>
        <w:t>、多发性硬化症        ： 经神经专科医师诊断，电脑断层扫描</w:t>
      </w:r>
      <w:r>
        <w:rPr/>
        <w:t>（CT）或核磁共振（MRI）等检查证实中</w:t>
      </w:r>
      <w:r>
        <w:rPr>
          <w:spacing w:val="-2"/>
        </w:rPr>
        <w:t>枢神经系统有典型脱髓鞘病变,并有持续中枢神经损伤 </w:t>
      </w:r>
      <w:r>
        <w:rPr/>
        <w:t>180</w:t>
      </w:r>
      <w:r>
        <w:rPr>
          <w:spacing w:val="-11"/>
        </w:rPr>
        <w:t> 天以上。</w:t>
      </w:r>
    </w:p>
    <w:p>
      <w:pPr>
        <w:pStyle w:val="BodyText"/>
        <w:spacing w:line="233" w:lineRule="exact"/>
      </w:pPr>
      <w:r>
        <w:rPr/>
        <w:t>其它原因而引起的中枢神经系统疾病除外。</w:t>
      </w:r>
    </w:p>
    <w:p>
      <w:pPr>
        <w:pStyle w:val="BodyText"/>
        <w:tabs>
          <w:tab w:pos="2380" w:val="left" w:leader="none"/>
        </w:tabs>
        <w:spacing w:line="237" w:lineRule="auto" w:before="103"/>
        <w:ind w:right="149" w:hanging="2439"/>
        <w:jc w:val="both"/>
      </w:pPr>
      <w:r>
        <w:rPr/>
        <w:t>27、脊髓灰质炎</w:t>
        <w:tab/>
        <w:t>：</w:t>
      </w:r>
      <w:r>
        <w:rPr>
          <w:spacing w:val="-38"/>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spacing w:before="91"/>
        <w:ind w:left="141"/>
      </w:pPr>
      <w:r>
        <w:rPr/>
        <w:t>28、经输血导致的艾滋病病：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33" w:lineRule="exact"/>
        <w:ind w:left="141"/>
      </w:pPr>
      <w:r>
        <w:rPr/>
        <w:t>毒感染</w:t>
      </w:r>
    </w:p>
    <w:p>
      <w:pPr>
        <w:pStyle w:val="BodyText"/>
        <w:spacing w:line="233" w:lineRule="exact"/>
        <w:ind w:left="141"/>
      </w:pPr>
      <w:r>
        <w:rPr/>
        <w:br w:type="column"/>
      </w:r>
      <w:r>
        <w:rPr/>
        <w:t>导致感染之医疗输血的行为需符合下列所有的条件：</w:t>
      </w:r>
    </w:p>
    <w:p>
      <w:pPr>
        <w:pStyle w:val="BodyText"/>
        <w:spacing w:line="234" w:lineRule="exact"/>
        <w:ind w:left="141"/>
      </w:pPr>
      <w:r>
        <w:rPr/>
        <w:t>1、在保单生效日或复效日之后因治疗必需输血而感染艾滋病毒；</w:t>
      </w:r>
    </w:p>
    <w:p>
      <w:pPr>
        <w:pStyle w:val="BodyText"/>
        <w:ind w:left="141" w:right="152"/>
      </w:pPr>
      <w:r>
        <w:rPr/>
        <w:t>2、输血中心或医院确认被保人因在该输血中心或医院输入污染的血而感染艾滋病毒；</w:t>
      </w:r>
    </w:p>
    <w:p>
      <w:pPr>
        <w:pStyle w:val="BodyText"/>
        <w:spacing w:line="233" w:lineRule="exact" w:before="1"/>
        <w:ind w:left="141"/>
      </w:pPr>
      <w:r>
        <w:rPr/>
        <w:t>3、受感染的被保险人不是血友病患者；</w:t>
      </w:r>
    </w:p>
    <w:p>
      <w:pPr>
        <w:pStyle w:val="BodyText"/>
        <w:spacing w:line="234" w:lineRule="exact"/>
        <w:ind w:left="141"/>
      </w:pPr>
      <w:r>
        <w:rPr/>
        <w:t>4、病情须对生命造成威胁及无法救治。</w:t>
      </w:r>
    </w:p>
    <w:p>
      <w:pPr>
        <w:pStyle w:val="BodyText"/>
        <w:spacing w:line="234" w:lineRule="exact"/>
        <w:ind w:left="141"/>
      </w:pPr>
      <w:r>
        <w:rPr/>
        <w:t>因其它原因，例如性接触或吸毒等而导致的艾滋病毒感染者需特别除外。</w:t>
      </w:r>
    </w:p>
    <w:p>
      <w:pPr>
        <w:spacing w:after="0" w:line="234" w:lineRule="exact"/>
        <w:sectPr>
          <w:type w:val="continuous"/>
          <w:pgSz w:w="11960" w:h="16850"/>
          <w:pgMar w:top="280" w:bottom="1200" w:left="1560" w:right="1580"/>
          <w:cols w:num="2" w:equalWidth="0">
            <w:col w:w="682" w:space="1756"/>
            <w:col w:w="6382"/>
          </w:cols>
        </w:sectPr>
      </w:pPr>
    </w:p>
    <w:p>
      <w:pPr>
        <w:pStyle w:val="BodyText"/>
        <w:spacing w:before="6"/>
        <w:ind w:left="0"/>
        <w:rPr>
          <w:sz w:val="8"/>
        </w:rPr>
      </w:pPr>
    </w:p>
    <w:p>
      <w:pPr>
        <w:pStyle w:val="BodyText"/>
        <w:spacing w:before="44"/>
        <w:ind w:right="149" w:hanging="2439"/>
        <w:jc w:val="both"/>
      </w:pPr>
      <w:r>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2"/>
        </w:rPr>
        <w:t>及血 </w:t>
      </w:r>
      <w:r>
        <w:rPr/>
        <w:t>CPK</w:t>
      </w:r>
      <w:r>
        <w:rPr>
          <w:spacing w:val="-5"/>
        </w:rPr>
        <w:t> 检测证实,经有资格的神经专科医师诊断确诊为遗传性肌营养不良症</w:t>
      </w:r>
      <w:r>
        <w:rPr>
          <w:spacing w:val="-1"/>
        </w:rPr>
        <w:t>而造成在无人协助下无法进行至少三项的日常生活活动。</w:t>
      </w:r>
    </w:p>
    <w:p>
      <w:pPr>
        <w:pStyle w:val="BodyText"/>
        <w:spacing w:line="237" w:lineRule="auto" w:before="49"/>
        <w:ind w:right="149" w:hanging="2439"/>
        <w:jc w:val="both"/>
      </w:pPr>
      <w:r>
        <w:rPr/>
        <w:t>30</w:t>
      </w:r>
      <w:r>
        <w:rPr>
          <w:spacing w:val="-5"/>
        </w:rPr>
        <w:t>、冠状动脉成形手术    ： 确实由心脏专科医生进行的心脏冠状动脉气囊扩张成形手术以矫正二支或以上冠状动脉狭窄或阻塞。必须提供进行手术必要性的冠状动脉造影证据,以证</w:t>
      </w:r>
      <w:r>
        <w:rPr>
          <w:spacing w:val="-7"/>
        </w:rPr>
        <w:t>明被保人手术前确有二支或以上冠状动脉至少达 </w:t>
      </w:r>
      <w:r>
        <w:rPr/>
        <w:t>70</w:t>
      </w:r>
      <w:r>
        <w:rPr>
          <w:spacing w:val="-1"/>
        </w:rPr>
        <w:t> % 的狭窄或阻塞。</w:t>
      </w:r>
    </w:p>
    <w:p>
      <w:pPr>
        <w:pStyle w:val="BodyText"/>
        <w:spacing w:line="237" w:lineRule="auto" w:before="44"/>
        <w:ind w:right="149" w:hanging="2439"/>
        <w:jc w:val="both"/>
      </w:pPr>
      <w:r>
        <w:rPr/>
        <w:t>31</w:t>
      </w:r>
      <w:r>
        <w:rPr>
          <w:spacing w:val="-5"/>
        </w:rPr>
        <w:t>、系统性硬化病        ： 是指一种以皮肤、血管和内脏器官出现异常纤维化为特征的系统性结缔组织</w:t>
      </w:r>
      <w:r>
        <w:rPr>
          <w:spacing w:val="-7"/>
        </w:rPr>
        <w:t>病。须经专科医生确诊，且须提供下列一项或一项以上内脏器官受累的医学证</w:t>
      </w:r>
      <w:r>
        <w:rPr>
          <w:spacing w:val="-1"/>
        </w:rPr>
        <w:t>据：</w:t>
      </w:r>
    </w:p>
    <w:p>
      <w:pPr>
        <w:pStyle w:val="BodyText"/>
        <w:spacing w:line="234" w:lineRule="exact"/>
      </w:pPr>
      <w:r>
        <w:rPr/>
        <w:t>1、肺脏</w:t>
      </w:r>
    </w:p>
    <w:p>
      <w:pPr>
        <w:pStyle w:val="BodyText"/>
        <w:spacing w:line="234" w:lineRule="exact"/>
      </w:pPr>
      <w:r>
        <w:rPr/>
        <w:t>2、心脏</w:t>
      </w:r>
    </w:p>
    <w:p>
      <w:pPr>
        <w:pStyle w:val="BodyText"/>
        <w:spacing w:line="234" w:lineRule="exact"/>
      </w:pPr>
      <w:r>
        <w:rPr/>
        <w:t>3、肾脏</w:t>
      </w:r>
    </w:p>
    <w:p>
      <w:pPr>
        <w:pStyle w:val="BodyText"/>
        <w:ind w:right="110" w:hanging="2439"/>
        <w:jc w:val="both"/>
      </w:pPr>
      <w:r>
        <w:rPr/>
        <w:t>32、肺源性心脏病       ： 是指由慢性肺部疾病所致的心脏病，诊断须由本公司认可的呼吸科专家确诊， 必须同时满足下列诊断标准：</w:t>
      </w:r>
    </w:p>
    <w:p>
      <w:pPr>
        <w:pStyle w:val="BodyText"/>
        <w:spacing w:line="233" w:lineRule="exact"/>
      </w:pPr>
      <w:r>
        <w:rPr/>
        <w:t>1、肺血管阻力高于正常值 3 个单位；</w:t>
      </w:r>
    </w:p>
    <w:p>
      <w:pPr>
        <w:pStyle w:val="BodyText"/>
        <w:spacing w:line="234" w:lineRule="exact"/>
      </w:pPr>
      <w:r>
        <w:rPr/>
        <w:t>2、肺动脉血压不低于 40 毫米汞柱；</w:t>
      </w:r>
    </w:p>
    <w:p>
      <w:pPr>
        <w:pStyle w:val="BodyText"/>
        <w:spacing w:line="234" w:lineRule="exact"/>
      </w:pPr>
      <w:r>
        <w:rPr/>
        <w:t>3、肺动脉楔压不低于 6 毫米汞柱；</w:t>
      </w:r>
    </w:p>
    <w:p>
      <w:pPr>
        <w:pStyle w:val="BodyText"/>
        <w:spacing w:line="234" w:lineRule="exact"/>
      </w:pPr>
      <w:r>
        <w:rPr/>
        <w:t>4、右心室心脏舒张期末期压力不低于 8 毫米汞柱；</w:t>
      </w:r>
    </w:p>
    <w:p>
      <w:pPr>
        <w:pStyle w:val="BodyText"/>
        <w:spacing w:line="234" w:lineRule="exact"/>
      </w:pPr>
      <w:r>
        <w:rPr/>
        <w:drawing>
          <wp:anchor distT="0" distB="0" distL="0" distR="0" allowOverlap="1" layoutInCell="1" locked="0" behindDoc="1" simplePos="0" relativeHeight="268422239">
            <wp:simplePos x="0" y="0"/>
            <wp:positionH relativeFrom="page">
              <wp:posOffset>5417416</wp:posOffset>
            </wp:positionH>
            <wp:positionV relativeFrom="paragraph">
              <wp:posOffset>22899</wp:posOffset>
            </wp:positionV>
            <wp:extent cx="138673" cy="137155"/>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138673" cy="137155"/>
                    </a:xfrm>
                    <a:prstGeom prst="rect">
                      <a:avLst/>
                    </a:prstGeom>
                  </pic:spPr>
                </pic:pic>
              </a:graphicData>
            </a:graphic>
          </wp:anchor>
        </w:drawing>
      </w:r>
      <w:r>
        <w:rPr/>
        <w:t>5、右心室过度肥大、扩张，出现右心衰竭和呼吸困难。</w:t>
      </w:r>
    </w:p>
    <w:p>
      <w:pPr>
        <w:pStyle w:val="BodyText"/>
        <w:spacing w:before="40"/>
        <w:ind w:left="141"/>
      </w:pPr>
      <w:r>
        <w:rPr/>
        <w:t>重大疾病定义的释义：</w:t>
      </w:r>
    </w:p>
    <w:p>
      <w:pPr>
        <w:pStyle w:val="BodyText"/>
        <w:tabs>
          <w:tab w:pos="2380" w:val="left" w:leader="none"/>
        </w:tabs>
        <w:spacing w:line="234" w:lineRule="exact" w:before="38"/>
        <w:ind w:left="14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spacing w:line="237" w:lineRule="auto" w:before="2"/>
        <w:ind w:right="151"/>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right="149"/>
      </w:pPr>
      <w:r>
        <w:rPr/>
        <w:t>（3）具有有效的中华人民共和国主治医师或主治医师以上职称的《医师职称证书》；</w:t>
      </w:r>
    </w:p>
    <w:p>
      <w:pPr>
        <w:pStyle w:val="BodyText"/>
        <w:tabs>
          <w:tab w:pos="2380" w:val="left" w:leader="none"/>
        </w:tabs>
        <w:spacing w:line="280" w:lineRule="auto"/>
        <w:ind w:left="141" w:right="109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2"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spacing w:after="0" w:line="234" w:lineRule="exact"/>
        <w:sectPr>
          <w:type w:val="continuous"/>
          <w:pgSz w:w="11960" w:h="16850"/>
          <w:pgMar w:top="280" w:bottom="1200" w:left="1560" w:right="1580"/>
        </w:sectPr>
      </w:pPr>
    </w:p>
    <w:p>
      <w:pPr>
        <w:pStyle w:val="BodyText"/>
        <w:ind w:left="0"/>
        <w:rPr>
          <w:sz w:val="20"/>
        </w:rPr>
      </w:pPr>
    </w:p>
    <w:p>
      <w:pPr>
        <w:pStyle w:val="BodyText"/>
        <w:spacing w:before="3"/>
        <w:ind w:left="0"/>
        <w:rPr>
          <w:sz w:val="21"/>
        </w:rPr>
      </w:pPr>
    </w:p>
    <w:p>
      <w:pPr>
        <w:pStyle w:val="BodyText"/>
        <w:spacing w:line="234" w:lineRule="exact" w:before="44"/>
      </w:pPr>
      <w:r>
        <w:rPr/>
        <w:t>（4）如厕：自己控制进行大小便；</w:t>
      </w:r>
    </w:p>
    <w:p>
      <w:pPr>
        <w:pStyle w:val="BodyText"/>
        <w:spacing w:line="234" w:lineRule="exact"/>
      </w:pPr>
      <w:r>
        <w:rPr/>
        <w:t>（5）进食：自己从已准备好的碗或碟中取食物放入口中；</w:t>
      </w:r>
    </w:p>
    <w:p>
      <w:pPr>
        <w:pStyle w:val="BodyText"/>
        <w:spacing w:line="234" w:lineRule="exact"/>
      </w:pPr>
      <w:r>
        <w:rPr/>
        <w:t>（6）洗澡：自己进行淋浴或盆浴。</w:t>
      </w:r>
    </w:p>
    <w:p>
      <w:pPr>
        <w:pStyle w:val="BodyText"/>
        <w:ind w:right="1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80" w:val="left" w:leader="none"/>
        </w:tabs>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0"/>
        <w:ind w:left="141"/>
      </w:pPr>
      <w:r>
        <w:rPr/>
        <w:t>语言能力或咀嚼吞咽能力完： 语言能力完全丧失，指无法发出四种语音（包括口唇音、齿舌音、口盖音和喉</w:t>
      </w:r>
    </w:p>
    <w:p>
      <w:pPr>
        <w:spacing w:after="0"/>
        <w:sectPr>
          <w:footerReference w:type="default" r:id="rId9"/>
          <w:pgSz w:w="11960" w:h="16850"/>
          <w:pgMar w:footer="1001" w:header="897" w:top="1080" w:bottom="1200" w:left="1560" w:right="1540"/>
        </w:sectPr>
      </w:pPr>
    </w:p>
    <w:p>
      <w:pPr>
        <w:pStyle w:val="BodyText"/>
        <w:spacing w:line="235" w:lineRule="exact"/>
        <w:ind w:left="141"/>
      </w:pPr>
      <w:r>
        <w:rPr/>
        <w:t>全丧失</w:t>
      </w:r>
    </w:p>
    <w:p>
      <w:pPr>
        <w:pStyle w:val="BodyText"/>
        <w:spacing w:line="237" w:lineRule="auto" w:before="2"/>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line="237" w:lineRule="auto" w:before="67"/>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80396pt;margin-top:781.347778pt;width:71.850pt;height:11pt;mso-position-horizontal-relative:page;mso-position-vertical-relative:page;z-index:-1324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50061pt;margin-top:781.347778pt;width:76.4pt;height:11pt;mso-position-horizontal-relative:page;mso-position-vertical-relative:page;z-index:-13192"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216"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79"/>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2018-10-19T23:25:19Z</dcterms:created>
  <dcterms:modified xsi:type="dcterms:W3CDTF">2018-10-19T23:25:19Z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Microsoft Office Word</vt:lpwstr>
  </property>
  <property fmtid="{D5CDD505-2E9C-101B-9397-08002B2CF9AE}" pid="4" name="LastSaved">
    <vt:filetime>2014-05-22T00:00:00Z</vt:filetime>
  </property>
</Properties>
</file>