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7"/>
        <w:ind w:left="0" w:right="110" w:firstLine="0"/>
        <w:jc w:val="right"/>
        <w:rPr>
          <w:sz w:val="18"/>
        </w:rPr>
      </w:pPr>
      <w:r>
        <w:rPr/>
        <w:drawing>
          <wp:anchor distT="0" distB="0" distL="0" distR="0" allowOverlap="1" layoutInCell="1" locked="0" behindDoc="0" simplePos="0" relativeHeight="0">
            <wp:simplePos x="0" y="0"/>
            <wp:positionH relativeFrom="page">
              <wp:posOffset>5969634</wp:posOffset>
            </wp:positionH>
            <wp:positionV relativeFrom="paragraph">
              <wp:posOffset>237258</wp:posOffset>
            </wp:positionV>
            <wp:extent cx="723899"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anchor>
        </w:drawing>
      </w:r>
      <w:r>
        <w:rPr>
          <w:sz w:val="18"/>
        </w:rPr>
        <w:t>弘康人寿[2017]疾病保险 013 号</w:t>
      </w:r>
    </w:p>
    <w:p>
      <w:pPr>
        <w:pStyle w:val="BodyText"/>
        <w:spacing w:before="0"/>
        <w:ind w:left="0"/>
        <w:rPr>
          <w:sz w:val="20"/>
        </w:rPr>
      </w:pPr>
    </w:p>
    <w:p>
      <w:pPr>
        <w:pStyle w:val="BodyText"/>
        <w:spacing w:before="0"/>
        <w:ind w:left="0"/>
        <w:rPr>
          <w:sz w:val="20"/>
        </w:rPr>
      </w:pPr>
    </w:p>
    <w:p>
      <w:pPr>
        <w:pStyle w:val="BodyText"/>
        <w:spacing w:before="10"/>
        <w:ind w:left="0"/>
        <w:rPr>
          <w:sz w:val="25"/>
        </w:rPr>
      </w:pPr>
    </w:p>
    <w:p>
      <w:pPr>
        <w:spacing w:after="0"/>
        <w:rPr>
          <w:sz w:val="25"/>
        </w:rPr>
        <w:sectPr>
          <w:type w:val="continuous"/>
          <w:pgSz w:w="11910" w:h="16840"/>
          <w:pgMar w:top="220" w:bottom="280" w:left="720" w:right="560"/>
        </w:sectPr>
      </w:pPr>
    </w:p>
    <w:p>
      <w:pPr>
        <w:pStyle w:val="Heading1"/>
        <w:spacing w:line="593" w:lineRule="exact"/>
        <w:ind w:left="2582"/>
      </w:pPr>
      <w:r>
        <w:rPr/>
        <w:t>弘康人寿保险股份有限公司</w:t>
      </w:r>
    </w:p>
    <w:p>
      <w:pPr>
        <w:pStyle w:val="BodyText"/>
        <w:spacing w:before="15"/>
        <w:ind w:left="0"/>
        <w:rPr>
          <w:rFonts w:ascii="微软雅黑"/>
          <w:b/>
          <w:sz w:val="26"/>
        </w:rPr>
      </w:pPr>
      <w:r>
        <w:rPr/>
        <w:br w:type="column"/>
      </w:r>
      <w:r>
        <w:rPr>
          <w:rFonts w:ascii="微软雅黑"/>
          <w:b/>
          <w:sz w:val="26"/>
        </w:rPr>
      </w:r>
    </w:p>
    <w:p>
      <w:pPr>
        <w:spacing w:before="0"/>
        <w:ind w:left="431" w:right="0" w:firstLine="0"/>
        <w:jc w:val="left"/>
        <w:rPr>
          <w:sz w:val="18"/>
        </w:rPr>
      </w:pPr>
      <w:r>
        <w:rPr>
          <w:sz w:val="18"/>
        </w:rPr>
        <w:t>请扫描以查询验证条款</w:t>
      </w:r>
    </w:p>
    <w:p>
      <w:pPr>
        <w:spacing w:after="0"/>
        <w:jc w:val="left"/>
        <w:rPr>
          <w:sz w:val="18"/>
        </w:rPr>
        <w:sectPr>
          <w:type w:val="continuous"/>
          <w:pgSz w:w="11910" w:h="16840"/>
          <w:pgMar w:top="220" w:bottom="280" w:left="720" w:right="560"/>
          <w:cols w:num="2" w:equalWidth="0">
            <w:col w:w="7883" w:space="40"/>
            <w:col w:w="2707"/>
          </w:cols>
        </w:sectPr>
      </w:pPr>
    </w:p>
    <w:p>
      <w:pPr>
        <w:pStyle w:val="Heading1"/>
        <w:spacing w:line="517" w:lineRule="exact"/>
        <w:ind w:right="1796"/>
        <w:jc w:val="center"/>
      </w:pPr>
      <w:r>
        <w:rPr/>
        <w:t>弘康健康人生重大疾病保险 C 款条款</w:t>
      </w:r>
    </w:p>
    <w:p>
      <w:pPr>
        <w:spacing w:before="20"/>
        <w:ind w:left="1635" w:right="1793" w:firstLine="0"/>
        <w:jc w:val="center"/>
        <w:rPr>
          <w:rFonts w:ascii="微软雅黑" w:eastAsia="微软雅黑" w:hint="eastAsia"/>
          <w:b/>
          <w:sz w:val="44"/>
        </w:rPr>
      </w:pPr>
      <w:r>
        <w:rPr>
          <w:rFonts w:ascii="微软雅黑" w:eastAsia="微软雅黑" w:hint="eastAsia"/>
          <w:b/>
          <w:sz w:val="44"/>
        </w:rPr>
        <w:t>阅读指引</w:t>
      </w:r>
    </w:p>
    <w:p>
      <w:pPr>
        <w:pStyle w:val="BodyText"/>
        <w:spacing w:before="186"/>
        <w:ind w:left="1635" w:right="1733"/>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50"/>
          <w:w w:val="100"/>
        </w:rPr>
        <w:t>准</w:t>
      </w:r>
      <w:r>
        <w:rPr>
          <w:spacing w:val="-63"/>
          <w:w w:val="100"/>
          <w:position w:val="-7"/>
        </w:rPr>
        <w:t>．</w:t>
      </w:r>
      <w:r>
        <w:rPr>
          <w:spacing w:val="-151"/>
          <w:w w:val="100"/>
        </w:rPr>
        <w:t>。</w:t>
      </w:r>
      <w:r>
        <w:rPr>
          <w:w w:val="100"/>
          <w:position w:val="-7"/>
        </w:rPr>
        <w:t>．</w:t>
      </w:r>
    </w:p>
    <w:p>
      <w:pPr>
        <w:pStyle w:val="Heading2"/>
        <w:tabs>
          <w:tab w:pos="1241" w:val="left" w:leader="none"/>
        </w:tabs>
        <w:spacing w:line="240" w:lineRule="auto" w:before="232"/>
        <w:ind w:left="227"/>
      </w:pPr>
      <w:r>
        <w:rPr/>
        <w:drawing>
          <wp:anchor distT="0" distB="0" distL="0" distR="0" allowOverlap="1" layoutInCell="1" locked="0" behindDoc="1" simplePos="0" relativeHeight="268402631">
            <wp:simplePos x="0" y="0"/>
            <wp:positionH relativeFrom="page">
              <wp:posOffset>914704</wp:posOffset>
            </wp:positionH>
            <wp:positionV relativeFrom="paragraph">
              <wp:posOffset>173579</wp:posOffset>
            </wp:positionV>
            <wp:extent cx="661416" cy="33070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61416" cy="330707"/>
                    </a:xfrm>
                    <a:prstGeom prst="rect">
                      <a:avLst/>
                    </a:prstGeom>
                  </pic:spPr>
                </pic:pic>
              </a:graphicData>
            </a:graphic>
          </wp:anchor>
        </w:drawing>
      </w:r>
      <w:r>
        <w:rPr/>
        <w:pict>
          <v:group style="position:absolute;margin-left:41.639999pt;margin-top:9.4677pt;width:512.0500pt;height:557.25pt;mso-position-horizontal-relative:page;mso-position-vertical-relative:paragraph;z-index:-32728" coordorigin="833,189" coordsize="10241,11145">
            <v:rect style="position:absolute;left:832;top:189;width:10;height:10" filled="true" fillcolor="#000000" stroked="false">
              <v:fill type="solid"/>
            </v:rect>
            <v:line style="position:absolute" from="842,194" to="11064,194" stroked="true" strokeweight=".48pt" strokecolor="#000000">
              <v:stroke dashstyle="solid"/>
            </v:line>
            <v:rect style="position:absolute;left:11063;top:189;width:10;height:10" filled="true" fillcolor="#000000" stroked="false">
              <v:fill type="solid"/>
            </v:rect>
            <v:line style="position:absolute" from="838,199" to="838,11324" stroked="true" strokeweight=".48pt" strokecolor="#000000">
              <v:stroke dashstyle="solid"/>
            </v:line>
            <v:rect style="position:absolute;left:832;top:11324;width:10;height:10" filled="true" fillcolor="#000000" stroked="false">
              <v:fill type="solid"/>
            </v:rect>
            <v:line style="position:absolute" from="842,11329" to="11064,11329" stroked="true" strokeweight=".47998pt" strokecolor="#000000">
              <v:stroke dashstyle="solid"/>
            </v:line>
            <v:line style="position:absolute" from="11068,199" to="11068,11324" stroked="true" strokeweight=".47998pt" strokecolor="#000000">
              <v:stroke dashstyle="solid"/>
            </v:line>
            <v:rect style="position:absolute;left:11063;top:11324;width:10;height:10" filled="true" fillcolor="#000000" stroked="false">
              <v:fill type="solid"/>
            </v:rect>
            <w10:wrap type="none"/>
          </v:group>
        </w:pict>
      </w:r>
      <w:r>
        <w:rPr>
          <w:rFonts w:ascii="Arial" w:hAnsi="Arial" w:eastAsia="Arial"/>
          <w:w w:val="105"/>
          <w:position w:val="-11"/>
          <w:sz w:val="52"/>
        </w:rPr>
        <w:t></w:t>
        <w:tab/>
      </w:r>
      <w:r>
        <w:rPr>
          <w:spacing w:val="-1"/>
        </w:rPr>
        <w:t>您拥有的重要权益</w:t>
      </w:r>
    </w:p>
    <w:p>
      <w:pPr>
        <w:pStyle w:val="ListParagraph"/>
        <w:numPr>
          <w:ilvl w:val="0"/>
          <w:numId w:val="1"/>
        </w:numPr>
        <w:tabs>
          <w:tab w:pos="1620" w:val="left" w:leader="none"/>
          <w:tab w:pos="1621" w:val="left" w:leader="none"/>
        </w:tabs>
        <w:spacing w:line="240" w:lineRule="auto" w:before="33" w:after="0"/>
        <w:ind w:left="1620" w:right="0" w:hanging="420"/>
        <w:jc w:val="left"/>
        <w:rPr>
          <w:sz w:val="21"/>
        </w:rPr>
      </w:pPr>
      <w:r>
        <w:rPr>
          <w:spacing w:val="-3"/>
          <w:sz w:val="21"/>
        </w:rPr>
        <w:t>签收本合同之日起</w:t>
      </w:r>
      <w:r>
        <w:rPr>
          <w:spacing w:val="-1"/>
          <w:sz w:val="21"/>
        </w:rPr>
        <w:t>10</w:t>
      </w:r>
      <w:r>
        <w:rPr>
          <w:spacing w:val="-2"/>
          <w:sz w:val="21"/>
        </w:rPr>
        <w:t>日内</w:t>
      </w:r>
      <w:r>
        <w:rPr>
          <w:sz w:val="21"/>
        </w:rPr>
        <w:t>（</w:t>
      </w:r>
      <w:r>
        <w:rPr>
          <w:spacing w:val="-2"/>
          <w:sz w:val="21"/>
        </w:rPr>
        <w:t>犹豫期</w:t>
      </w:r>
      <w:r>
        <w:rPr>
          <w:spacing w:val="-3"/>
          <w:sz w:val="21"/>
        </w:rPr>
        <w:t>）您可以要求退还扣除工本费外的全部保险费…</w:t>
      </w:r>
      <w:r>
        <w:rPr>
          <w:sz w:val="21"/>
        </w:rPr>
        <w:t>1.4</w:t>
      </w:r>
    </w:p>
    <w:p>
      <w:pPr>
        <w:pStyle w:val="ListParagraph"/>
        <w:numPr>
          <w:ilvl w:val="0"/>
          <w:numId w:val="1"/>
        </w:numPr>
        <w:tabs>
          <w:tab w:pos="1620" w:val="left" w:leader="none"/>
          <w:tab w:pos="1621" w:val="left" w:leader="none"/>
          <w:tab w:pos="9503" w:val="right" w:leader="dot"/>
        </w:tabs>
        <w:spacing w:line="240" w:lineRule="auto" w:before="22" w:after="0"/>
        <w:ind w:left="1620"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合</w:t>
      </w:r>
      <w:r>
        <w:rPr>
          <w:spacing w:val="-3"/>
          <w:sz w:val="21"/>
        </w:rPr>
        <w:t>同</w:t>
      </w:r>
      <w:r>
        <w:rPr>
          <w:sz w:val="21"/>
        </w:rPr>
        <w:t>提供</w:t>
      </w:r>
      <w:r>
        <w:rPr>
          <w:spacing w:val="-3"/>
          <w:sz w:val="21"/>
        </w:rPr>
        <w:t>的</w:t>
      </w:r>
      <w:r>
        <w:rPr>
          <w:sz w:val="21"/>
        </w:rPr>
        <w:t>保障</w:t>
        <w:tab/>
        <w:t>2.1</w:t>
      </w:r>
    </w:p>
    <w:p>
      <w:pPr>
        <w:pStyle w:val="ListParagraph"/>
        <w:numPr>
          <w:ilvl w:val="0"/>
          <w:numId w:val="1"/>
        </w:numPr>
        <w:tabs>
          <w:tab w:pos="1639" w:val="left" w:leader="none"/>
          <w:tab w:pos="1640" w:val="left" w:leader="none"/>
          <w:tab w:pos="9520" w:val="right" w:leader="dot"/>
        </w:tabs>
        <w:spacing w:line="240" w:lineRule="auto" w:before="22" w:after="0"/>
        <w:ind w:left="1639" w:right="0" w:hanging="439"/>
        <w:jc w:val="left"/>
        <w:rPr>
          <w:sz w:val="21"/>
        </w:rPr>
      </w:pPr>
      <w:r>
        <w:rPr>
          <w:sz w:val="21"/>
        </w:rPr>
        <w:t>您</w:t>
      </w:r>
      <w:r>
        <w:rPr>
          <w:spacing w:val="-3"/>
          <w:sz w:val="21"/>
        </w:rPr>
        <w:t>有</w:t>
      </w:r>
      <w:r>
        <w:rPr>
          <w:sz w:val="21"/>
        </w:rPr>
        <w:t>解</w:t>
      </w:r>
      <w:r>
        <w:rPr>
          <w:spacing w:val="-3"/>
          <w:sz w:val="21"/>
        </w:rPr>
        <w:t>除</w:t>
      </w:r>
      <w:r>
        <w:rPr>
          <w:sz w:val="21"/>
        </w:rPr>
        <w:t>合</w:t>
      </w:r>
      <w:r>
        <w:rPr>
          <w:spacing w:val="-3"/>
          <w:sz w:val="21"/>
        </w:rPr>
        <w:t>同</w:t>
      </w:r>
      <w:r>
        <w:rPr>
          <w:sz w:val="21"/>
        </w:rPr>
        <w:t>的</w:t>
      </w:r>
      <w:r>
        <w:rPr>
          <w:spacing w:val="-3"/>
          <w:sz w:val="21"/>
        </w:rPr>
        <w:t>权</w:t>
      </w:r>
      <w:r>
        <w:rPr>
          <w:sz w:val="21"/>
        </w:rPr>
        <w:t>利</w:t>
        <w:tab/>
        <w:t>6.1</w:t>
      </w:r>
    </w:p>
    <w:p>
      <w:pPr>
        <w:pStyle w:val="Heading2"/>
        <w:tabs>
          <w:tab w:pos="1241" w:val="left" w:leader="none"/>
        </w:tabs>
        <w:spacing w:line="240" w:lineRule="auto" w:before="65"/>
        <w:ind w:left="227"/>
      </w:pPr>
      <w:r>
        <w:rPr/>
        <w:drawing>
          <wp:anchor distT="0" distB="0" distL="0" distR="0" allowOverlap="1" layoutInCell="1" locked="0" behindDoc="1" simplePos="0" relativeHeight="268402655">
            <wp:simplePos x="0" y="0"/>
            <wp:positionH relativeFrom="page">
              <wp:posOffset>914704</wp:posOffset>
            </wp:positionH>
            <wp:positionV relativeFrom="paragraph">
              <wp:posOffset>67534</wp:posOffset>
            </wp:positionV>
            <wp:extent cx="661416" cy="330707"/>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61416" cy="330707"/>
                    </a:xfrm>
                    <a:prstGeom prst="rect">
                      <a:avLst/>
                    </a:prstGeom>
                  </pic:spPr>
                </pic:pic>
              </a:graphicData>
            </a:graphic>
          </wp:anchor>
        </w:drawing>
      </w:r>
      <w:r>
        <w:rPr>
          <w:rFonts w:ascii="Arial" w:hAnsi="Arial" w:eastAsia="Arial"/>
          <w:w w:val="105"/>
          <w:position w:val="-11"/>
          <w:sz w:val="52"/>
        </w:rPr>
        <w:t></w:t>
        <w:tab/>
      </w:r>
      <w:r>
        <w:rPr>
          <w:spacing w:val="-1"/>
        </w:rPr>
        <w:t>您应当特别注意的事项</w:t>
      </w:r>
    </w:p>
    <w:p>
      <w:pPr>
        <w:pStyle w:val="ListParagraph"/>
        <w:numPr>
          <w:ilvl w:val="0"/>
          <w:numId w:val="1"/>
        </w:numPr>
        <w:tabs>
          <w:tab w:pos="1639" w:val="left" w:leader="none"/>
          <w:tab w:pos="1640" w:val="left" w:leader="none"/>
        </w:tabs>
        <w:spacing w:line="240" w:lineRule="auto" w:before="33" w:after="0"/>
        <w:ind w:left="1639" w:right="0" w:hanging="439"/>
        <w:jc w:val="left"/>
        <w:rPr>
          <w:sz w:val="21"/>
        </w:rPr>
      </w:pPr>
      <w:r>
        <w:rPr>
          <w:spacing w:val="-3"/>
          <w:sz w:val="21"/>
        </w:rPr>
        <w:t>在某些情况下，我们不承担保险责任……………………………</w:t>
      </w:r>
      <w:r>
        <w:rPr>
          <w:spacing w:val="-1"/>
          <w:sz w:val="21"/>
        </w:rPr>
        <w:t>…1.4;2.2;3.2;7.2;9.7</w:t>
      </w:r>
    </w:p>
    <w:p>
      <w:pPr>
        <w:pStyle w:val="ListParagraph"/>
        <w:numPr>
          <w:ilvl w:val="0"/>
          <w:numId w:val="1"/>
        </w:numPr>
        <w:tabs>
          <w:tab w:pos="1639" w:val="left" w:leader="none"/>
          <w:tab w:pos="1640" w:val="left" w:leader="none"/>
          <w:tab w:pos="9520" w:val="right" w:leader="dot"/>
        </w:tabs>
        <w:spacing w:line="240" w:lineRule="auto" w:before="22" w:after="0"/>
        <w:ind w:left="1639" w:right="0" w:hanging="439"/>
        <w:jc w:val="left"/>
        <w:rPr>
          <w:sz w:val="21"/>
        </w:rPr>
      </w:pPr>
      <w:r>
        <w:rPr>
          <w:sz w:val="21"/>
        </w:rPr>
        <w:t>保</w:t>
      </w:r>
      <w:r>
        <w:rPr>
          <w:spacing w:val="-3"/>
          <w:sz w:val="21"/>
        </w:rPr>
        <w:t>险</w:t>
      </w:r>
      <w:r>
        <w:rPr>
          <w:sz w:val="21"/>
        </w:rPr>
        <w:t>事</w:t>
      </w:r>
      <w:r>
        <w:rPr>
          <w:spacing w:val="-3"/>
          <w:sz w:val="21"/>
        </w:rPr>
        <w:t>故</w:t>
      </w:r>
      <w:r>
        <w:rPr>
          <w:sz w:val="21"/>
        </w:rPr>
        <w:t>发</w:t>
      </w:r>
      <w:r>
        <w:rPr>
          <w:spacing w:val="-3"/>
          <w:sz w:val="21"/>
        </w:rPr>
        <w:t>生</w:t>
      </w:r>
      <w:r>
        <w:rPr>
          <w:sz w:val="21"/>
        </w:rPr>
        <w:t>后</w:t>
      </w:r>
      <w:r>
        <w:rPr>
          <w:spacing w:val="-3"/>
          <w:sz w:val="21"/>
        </w:rPr>
        <w:t>请</w:t>
      </w:r>
      <w:r>
        <w:rPr>
          <w:sz w:val="21"/>
        </w:rPr>
        <w:t>您</w:t>
      </w:r>
      <w:r>
        <w:rPr>
          <w:spacing w:val="-3"/>
          <w:sz w:val="21"/>
        </w:rPr>
        <w:t>及时</w:t>
      </w:r>
      <w:r>
        <w:rPr>
          <w:sz w:val="21"/>
        </w:rPr>
        <w:t>通知</w:t>
      </w:r>
      <w:r>
        <w:rPr>
          <w:spacing w:val="-3"/>
          <w:sz w:val="21"/>
        </w:rPr>
        <w:t>我</w:t>
      </w:r>
      <w:r>
        <w:rPr>
          <w:sz w:val="21"/>
        </w:rPr>
        <w:t>们</w:t>
        <w:tab/>
        <w:t>3.2</w:t>
      </w:r>
    </w:p>
    <w:p>
      <w:pPr>
        <w:pStyle w:val="ListParagraph"/>
        <w:numPr>
          <w:ilvl w:val="0"/>
          <w:numId w:val="1"/>
        </w:numPr>
        <w:tabs>
          <w:tab w:pos="1639" w:val="left" w:leader="none"/>
          <w:tab w:pos="1640" w:val="left" w:leader="none"/>
          <w:tab w:pos="9520" w:val="right" w:leader="dot"/>
        </w:tabs>
        <w:spacing w:line="240" w:lineRule="auto" w:before="22" w:after="0"/>
        <w:ind w:left="1639" w:right="0" w:hanging="439"/>
        <w:jc w:val="left"/>
        <w:rPr>
          <w:sz w:val="21"/>
        </w:rPr>
      </w:pPr>
      <w:r>
        <w:rPr>
          <w:sz w:val="21"/>
        </w:rPr>
        <w:t>您</w:t>
      </w:r>
      <w:r>
        <w:rPr>
          <w:spacing w:val="-3"/>
          <w:sz w:val="21"/>
        </w:rPr>
        <w:t>应</w:t>
      </w:r>
      <w:r>
        <w:rPr>
          <w:sz w:val="21"/>
        </w:rPr>
        <w:t>当</w:t>
      </w:r>
      <w:r>
        <w:rPr>
          <w:spacing w:val="-3"/>
          <w:sz w:val="21"/>
        </w:rPr>
        <w:t>按</w:t>
      </w:r>
      <w:r>
        <w:rPr>
          <w:sz w:val="21"/>
        </w:rPr>
        <w:t>时</w:t>
      </w:r>
      <w:r>
        <w:rPr>
          <w:spacing w:val="-3"/>
          <w:sz w:val="21"/>
        </w:rPr>
        <w:t>交</w:t>
      </w:r>
      <w:r>
        <w:rPr>
          <w:sz w:val="21"/>
        </w:rPr>
        <w:t>纳</w:t>
      </w:r>
      <w:r>
        <w:rPr>
          <w:spacing w:val="-3"/>
          <w:sz w:val="21"/>
        </w:rPr>
        <w:t>保</w:t>
      </w:r>
      <w:r>
        <w:rPr>
          <w:sz w:val="21"/>
        </w:rPr>
        <w:t>险费</w:t>
        <w:tab/>
        <w:t>4.1</w:t>
      </w:r>
    </w:p>
    <w:p>
      <w:pPr>
        <w:pStyle w:val="ListParagraph"/>
        <w:numPr>
          <w:ilvl w:val="0"/>
          <w:numId w:val="1"/>
        </w:numPr>
        <w:tabs>
          <w:tab w:pos="1639" w:val="left" w:leader="none"/>
          <w:tab w:pos="1640" w:val="left" w:leader="none"/>
          <w:tab w:pos="9520" w:val="right" w:leader="dot"/>
        </w:tabs>
        <w:spacing w:line="240" w:lineRule="auto" w:before="22" w:after="0"/>
        <w:ind w:left="1639" w:right="0" w:hanging="439"/>
        <w:jc w:val="left"/>
        <w:rPr>
          <w:sz w:val="21"/>
        </w:rPr>
      </w:pPr>
      <w:r>
        <w:rPr>
          <w:sz w:val="21"/>
        </w:rPr>
        <w:t>解</w:t>
      </w:r>
      <w:r>
        <w:rPr>
          <w:spacing w:val="-3"/>
          <w:sz w:val="21"/>
        </w:rPr>
        <w:t>除</w:t>
      </w:r>
      <w:r>
        <w:rPr>
          <w:sz w:val="21"/>
        </w:rPr>
        <w:t>合</w:t>
      </w:r>
      <w:r>
        <w:rPr>
          <w:spacing w:val="-3"/>
          <w:sz w:val="21"/>
        </w:rPr>
        <w:t>同</w:t>
      </w:r>
      <w:r>
        <w:rPr>
          <w:sz w:val="21"/>
        </w:rPr>
        <w:t>会</w:t>
      </w:r>
      <w:r>
        <w:rPr>
          <w:spacing w:val="-3"/>
          <w:sz w:val="21"/>
        </w:rPr>
        <w:t>给</w:t>
      </w:r>
      <w:r>
        <w:rPr>
          <w:sz w:val="21"/>
        </w:rPr>
        <w:t>您</w:t>
      </w:r>
      <w:r>
        <w:rPr>
          <w:spacing w:val="-3"/>
          <w:sz w:val="21"/>
        </w:rPr>
        <w:t>造</w:t>
      </w:r>
      <w:r>
        <w:rPr>
          <w:sz w:val="21"/>
        </w:rPr>
        <w:t>成</w:t>
      </w:r>
      <w:r>
        <w:rPr>
          <w:spacing w:val="-3"/>
          <w:sz w:val="21"/>
        </w:rPr>
        <w:t>一定</w:t>
      </w:r>
      <w:r>
        <w:rPr>
          <w:sz w:val="21"/>
        </w:rPr>
        <w:t>的损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t>6.1</w:t>
      </w:r>
    </w:p>
    <w:p>
      <w:pPr>
        <w:pStyle w:val="ListParagraph"/>
        <w:numPr>
          <w:ilvl w:val="0"/>
          <w:numId w:val="1"/>
        </w:numPr>
        <w:tabs>
          <w:tab w:pos="1639" w:val="left" w:leader="none"/>
          <w:tab w:pos="1640" w:val="left" w:leader="none"/>
          <w:tab w:pos="9520" w:val="right" w:leader="dot"/>
        </w:tabs>
        <w:spacing w:line="240" w:lineRule="auto" w:before="22" w:after="0"/>
        <w:ind w:left="1639" w:right="0" w:hanging="439"/>
        <w:jc w:val="left"/>
        <w:rPr>
          <w:sz w:val="21"/>
        </w:rPr>
      </w:pPr>
      <w:r>
        <w:rPr>
          <w:sz w:val="21"/>
        </w:rPr>
        <w:t>您</w:t>
      </w:r>
      <w:r>
        <w:rPr>
          <w:spacing w:val="-3"/>
          <w:sz w:val="21"/>
        </w:rPr>
        <w:t>有</w:t>
      </w:r>
      <w:r>
        <w:rPr>
          <w:sz w:val="21"/>
        </w:rPr>
        <w:t>如</w:t>
      </w:r>
      <w:r>
        <w:rPr>
          <w:spacing w:val="-3"/>
          <w:sz w:val="21"/>
        </w:rPr>
        <w:t>实</w:t>
      </w:r>
      <w:r>
        <w:rPr>
          <w:sz w:val="21"/>
        </w:rPr>
        <w:t>告</w:t>
      </w:r>
      <w:r>
        <w:rPr>
          <w:spacing w:val="-3"/>
          <w:sz w:val="21"/>
        </w:rPr>
        <w:t>知</w:t>
      </w:r>
      <w:r>
        <w:rPr>
          <w:sz w:val="21"/>
        </w:rPr>
        <w:t>的</w:t>
      </w:r>
      <w:r>
        <w:rPr>
          <w:spacing w:val="-3"/>
          <w:sz w:val="21"/>
        </w:rPr>
        <w:t>义</w:t>
      </w:r>
      <w:r>
        <w:rPr>
          <w:sz w:val="21"/>
        </w:rPr>
        <w:t>务</w:t>
        <w:tab/>
        <w:t>7.2</w:t>
      </w:r>
    </w:p>
    <w:p>
      <w:pPr>
        <w:pStyle w:val="ListParagraph"/>
        <w:numPr>
          <w:ilvl w:val="0"/>
          <w:numId w:val="1"/>
        </w:numPr>
        <w:tabs>
          <w:tab w:pos="1639" w:val="left" w:leader="none"/>
          <w:tab w:pos="1640" w:val="left" w:leader="none"/>
          <w:tab w:pos="9309" w:val="right" w:leader="dot"/>
        </w:tabs>
        <w:spacing w:line="240" w:lineRule="auto" w:before="22" w:after="0"/>
        <w:ind w:left="1639" w:right="0" w:hanging="439"/>
        <w:jc w:val="left"/>
        <w:rPr>
          <w:sz w:val="21"/>
        </w:rPr>
      </w:pPr>
      <w:r>
        <w:rPr>
          <w:sz w:val="21"/>
        </w:rPr>
        <w:t>我</w:t>
      </w:r>
      <w:r>
        <w:rPr>
          <w:spacing w:val="-3"/>
          <w:sz w:val="21"/>
        </w:rPr>
        <w:t>们</w:t>
      </w:r>
      <w:r>
        <w:rPr>
          <w:sz w:val="21"/>
        </w:rPr>
        <w:t>对</w:t>
      </w:r>
      <w:r>
        <w:rPr>
          <w:spacing w:val="-3"/>
          <w:sz w:val="21"/>
        </w:rPr>
        <w:t>一</w:t>
      </w:r>
      <w:r>
        <w:rPr>
          <w:sz w:val="21"/>
        </w:rPr>
        <w:t>些</w:t>
      </w:r>
      <w:r>
        <w:rPr>
          <w:spacing w:val="-3"/>
          <w:sz w:val="21"/>
        </w:rPr>
        <w:t>重</w:t>
      </w:r>
      <w:r>
        <w:rPr>
          <w:sz w:val="21"/>
        </w:rPr>
        <w:t>要</w:t>
      </w:r>
      <w:r>
        <w:rPr>
          <w:spacing w:val="-3"/>
          <w:sz w:val="21"/>
        </w:rPr>
        <w:t>术</w:t>
      </w:r>
      <w:r>
        <w:rPr>
          <w:sz w:val="21"/>
        </w:rPr>
        <w:t>语</w:t>
      </w:r>
      <w:r>
        <w:rPr>
          <w:spacing w:val="-3"/>
          <w:sz w:val="21"/>
        </w:rPr>
        <w:t>进行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9</w:t>
      </w:r>
    </w:p>
    <w:p>
      <w:pPr>
        <w:pStyle w:val="Heading2"/>
        <w:tabs>
          <w:tab w:pos="1241" w:val="left" w:leader="none"/>
        </w:tabs>
        <w:spacing w:line="240" w:lineRule="auto" w:before="65"/>
        <w:ind w:left="227"/>
      </w:pPr>
      <w:r>
        <w:rPr/>
        <w:drawing>
          <wp:anchor distT="0" distB="0" distL="0" distR="0" allowOverlap="1" layoutInCell="1" locked="0" behindDoc="1" simplePos="0" relativeHeight="268402679">
            <wp:simplePos x="0" y="0"/>
            <wp:positionH relativeFrom="page">
              <wp:posOffset>914704</wp:posOffset>
            </wp:positionH>
            <wp:positionV relativeFrom="paragraph">
              <wp:posOffset>67534</wp:posOffset>
            </wp:positionV>
            <wp:extent cx="661416" cy="330708"/>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61416" cy="330708"/>
                    </a:xfrm>
                    <a:prstGeom prst="rect">
                      <a:avLst/>
                    </a:prstGeom>
                  </pic:spPr>
                </pic:pic>
              </a:graphicData>
            </a:graphic>
          </wp:anchor>
        </w:drawing>
      </w:r>
      <w:r>
        <w:rPr>
          <w:rFonts w:ascii="Arial" w:hAnsi="Arial" w:eastAsia="Arial"/>
          <w:w w:val="105"/>
          <w:position w:val="-11"/>
          <w:sz w:val="52"/>
        </w:rPr>
        <w:t></w:t>
        <w:tab/>
      </w:r>
      <w:r>
        <w:rPr>
          <w:spacing w:val="-3"/>
        </w:rPr>
        <w:t>条款是保险合同的重要内容，为充分保障您的权益，请您仔细阅读本条款 </w:t>
      </w:r>
      <w:r>
        <w:rPr>
          <w:spacing w:val="-3"/>
          <w:w w:val="100"/>
          <w:position w:val="-18"/>
        </w:rPr>
        <w:drawing>
          <wp:inline distT="0" distB="0" distL="0" distR="0">
            <wp:extent cx="661415" cy="330708"/>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661415" cy="330708"/>
                    </a:xfrm>
                    <a:prstGeom prst="rect">
                      <a:avLst/>
                    </a:prstGeom>
                  </pic:spPr>
                </pic:pic>
              </a:graphicData>
            </a:graphic>
          </wp:inline>
        </w:drawing>
      </w:r>
      <w:r>
        <w:rPr>
          <w:spacing w:val="-3"/>
          <w:w w:val="100"/>
          <w:position w:val="-18"/>
        </w:rPr>
      </w:r>
    </w:p>
    <w:p>
      <w:pPr>
        <w:tabs>
          <w:tab w:pos="1241" w:val="left" w:leader="none"/>
        </w:tabs>
        <w:spacing w:before="76"/>
        <w:ind w:left="227" w:right="0" w:firstLine="0"/>
        <w:jc w:val="left"/>
        <w:rPr>
          <w:rFonts w:ascii="微软雅黑" w:hAnsi="微软雅黑" w:eastAsia="微软雅黑" w:hint="eastAsia"/>
          <w:b/>
          <w:sz w:val="21"/>
        </w:rPr>
      </w:pPr>
      <w:r>
        <w:rPr/>
        <w:drawing>
          <wp:anchor distT="0" distB="0" distL="0" distR="0" allowOverlap="1" layoutInCell="1" locked="0" behindDoc="1" simplePos="0" relativeHeight="268402703">
            <wp:simplePos x="0" y="0"/>
            <wp:positionH relativeFrom="page">
              <wp:posOffset>914704</wp:posOffset>
            </wp:positionH>
            <wp:positionV relativeFrom="paragraph">
              <wp:posOffset>74519</wp:posOffset>
            </wp:positionV>
            <wp:extent cx="661416" cy="330708"/>
            <wp:effectExtent l="0" t="0" r="0" b="0"/>
            <wp:wrapNone/>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661416" cy="330708"/>
                    </a:xfrm>
                    <a:prstGeom prst="rect">
                      <a:avLst/>
                    </a:prstGeom>
                  </pic:spPr>
                </pic:pic>
              </a:graphicData>
            </a:graphic>
          </wp:anchor>
        </w:drawing>
      </w:r>
      <w:r>
        <w:rPr>
          <w:rFonts w:ascii="Arial" w:hAnsi="Arial" w:eastAsia="Arial"/>
          <w:b/>
          <w:w w:val="110"/>
          <w:position w:val="-11"/>
          <w:sz w:val="52"/>
        </w:rPr>
        <w:t></w:t>
        <w:tab/>
      </w:r>
      <w:r>
        <w:rPr>
          <w:rFonts w:ascii="微软雅黑" w:hAnsi="微软雅黑" w:eastAsia="微软雅黑" w:hint="eastAsia"/>
          <w:b/>
          <w:sz w:val="21"/>
        </w:rPr>
        <w:t>条款目录</w:t>
      </w:r>
    </w:p>
    <w:p>
      <w:pPr>
        <w:spacing w:after="0"/>
        <w:jc w:val="left"/>
        <w:rPr>
          <w:rFonts w:ascii="微软雅黑" w:hAnsi="微软雅黑" w:eastAsia="微软雅黑" w:hint="eastAsia"/>
          <w:sz w:val="21"/>
        </w:rPr>
        <w:sectPr>
          <w:type w:val="continuous"/>
          <w:pgSz w:w="11910" w:h="16840"/>
          <w:pgMar w:top="220" w:bottom="280" w:left="720" w:right="560"/>
        </w:sectPr>
      </w:pPr>
    </w:p>
    <w:p>
      <w:pPr>
        <w:pStyle w:val="Heading2"/>
        <w:spacing w:line="333" w:lineRule="exact"/>
        <w:ind w:left="1354"/>
      </w:pPr>
      <w:r>
        <w:rPr>
          <w:w w:val="81"/>
        </w:rPr>
        <w:t>1</w:t>
      </w:r>
      <w:r>
        <w:rPr>
          <w:w w:val="176"/>
        </w:rPr>
        <w:t>.</w:t>
      </w:r>
      <w:r>
        <w:rPr>
          <w:w w:val="100"/>
        </w:rPr>
        <w:t>您与我们订立的合同</w:t>
      </w:r>
    </w:p>
    <w:p>
      <w:pPr>
        <w:pStyle w:val="ListParagraph"/>
        <w:numPr>
          <w:ilvl w:val="1"/>
          <w:numId w:val="2"/>
        </w:numPr>
        <w:tabs>
          <w:tab w:pos="1988" w:val="left" w:leader="none"/>
        </w:tabs>
        <w:spacing w:line="240" w:lineRule="auto" w:before="11" w:after="0"/>
        <w:ind w:left="1987" w:right="0" w:hanging="422"/>
        <w:jc w:val="left"/>
        <w:rPr>
          <w:sz w:val="21"/>
        </w:rPr>
      </w:pPr>
      <w:r>
        <w:rPr>
          <w:spacing w:val="-3"/>
          <w:sz w:val="21"/>
        </w:rPr>
        <w:t>合同构成</w:t>
      </w:r>
    </w:p>
    <w:p>
      <w:pPr>
        <w:pStyle w:val="ListParagraph"/>
        <w:numPr>
          <w:ilvl w:val="1"/>
          <w:numId w:val="2"/>
        </w:numPr>
        <w:tabs>
          <w:tab w:pos="1988" w:val="left" w:leader="none"/>
        </w:tabs>
        <w:spacing w:line="240" w:lineRule="auto" w:before="36" w:after="0"/>
        <w:ind w:left="1987" w:right="0" w:hanging="422"/>
        <w:jc w:val="left"/>
        <w:rPr>
          <w:sz w:val="21"/>
        </w:rPr>
      </w:pPr>
      <w:r>
        <w:rPr>
          <w:spacing w:val="-3"/>
          <w:sz w:val="21"/>
        </w:rPr>
        <w:t>合同成立与生效</w:t>
      </w:r>
    </w:p>
    <w:p>
      <w:pPr>
        <w:pStyle w:val="ListParagraph"/>
        <w:numPr>
          <w:ilvl w:val="1"/>
          <w:numId w:val="2"/>
        </w:numPr>
        <w:tabs>
          <w:tab w:pos="1988" w:val="left" w:leader="none"/>
        </w:tabs>
        <w:spacing w:line="240" w:lineRule="auto" w:before="36" w:after="0"/>
        <w:ind w:left="1987" w:right="0" w:hanging="422"/>
        <w:jc w:val="left"/>
        <w:rPr>
          <w:sz w:val="21"/>
        </w:rPr>
      </w:pPr>
      <w:r>
        <w:rPr>
          <w:spacing w:val="-3"/>
          <w:sz w:val="21"/>
        </w:rPr>
        <w:t>投保年龄</w:t>
      </w:r>
    </w:p>
    <w:p>
      <w:pPr>
        <w:pStyle w:val="ListParagraph"/>
        <w:numPr>
          <w:ilvl w:val="1"/>
          <w:numId w:val="2"/>
        </w:numPr>
        <w:tabs>
          <w:tab w:pos="1988" w:val="left" w:leader="none"/>
        </w:tabs>
        <w:spacing w:line="262" w:lineRule="exact" w:before="36" w:after="0"/>
        <w:ind w:left="1987" w:right="0" w:hanging="422"/>
        <w:jc w:val="left"/>
        <w:rPr>
          <w:sz w:val="21"/>
        </w:rPr>
      </w:pPr>
      <w:r>
        <w:rPr>
          <w:spacing w:val="-2"/>
          <w:sz w:val="21"/>
        </w:rPr>
        <w:t>犹豫期</w:t>
      </w:r>
    </w:p>
    <w:p>
      <w:pPr>
        <w:pStyle w:val="Heading2"/>
        <w:ind w:left="1354"/>
      </w:pPr>
      <w:r>
        <w:rPr>
          <w:w w:val="81"/>
        </w:rPr>
        <w:t>2</w:t>
      </w:r>
      <w:r>
        <w:rPr>
          <w:w w:val="176"/>
        </w:rPr>
        <w:t>.</w:t>
      </w:r>
      <w:r>
        <w:rPr>
          <w:w w:val="100"/>
        </w:rPr>
        <w:t>我们提供的保障</w:t>
      </w:r>
    </w:p>
    <w:p>
      <w:pPr>
        <w:pStyle w:val="ListParagraph"/>
        <w:numPr>
          <w:ilvl w:val="1"/>
          <w:numId w:val="3"/>
        </w:numPr>
        <w:tabs>
          <w:tab w:pos="1988" w:val="left" w:leader="none"/>
        </w:tabs>
        <w:spacing w:line="240" w:lineRule="auto" w:before="12" w:after="0"/>
        <w:ind w:left="1987" w:right="0" w:hanging="422"/>
        <w:jc w:val="left"/>
        <w:rPr>
          <w:sz w:val="21"/>
        </w:rPr>
      </w:pPr>
      <w:r>
        <w:rPr>
          <w:spacing w:val="-3"/>
          <w:sz w:val="21"/>
        </w:rPr>
        <w:t>保险责任</w:t>
      </w:r>
    </w:p>
    <w:p>
      <w:pPr>
        <w:pStyle w:val="ListParagraph"/>
        <w:numPr>
          <w:ilvl w:val="1"/>
          <w:numId w:val="3"/>
        </w:numPr>
        <w:tabs>
          <w:tab w:pos="1988" w:val="left" w:leader="none"/>
        </w:tabs>
        <w:spacing w:line="240" w:lineRule="auto" w:before="37" w:after="0"/>
        <w:ind w:left="1987" w:right="0" w:hanging="422"/>
        <w:jc w:val="left"/>
        <w:rPr>
          <w:sz w:val="21"/>
        </w:rPr>
      </w:pPr>
      <w:r>
        <w:rPr>
          <w:spacing w:val="-3"/>
          <w:sz w:val="21"/>
        </w:rPr>
        <w:t>责任免除</w:t>
      </w:r>
    </w:p>
    <w:p>
      <w:pPr>
        <w:pStyle w:val="ListParagraph"/>
        <w:numPr>
          <w:ilvl w:val="1"/>
          <w:numId w:val="3"/>
        </w:numPr>
        <w:tabs>
          <w:tab w:pos="1988" w:val="left" w:leader="none"/>
        </w:tabs>
        <w:spacing w:line="240" w:lineRule="auto" w:before="37" w:after="0"/>
        <w:ind w:left="1987" w:right="0" w:hanging="422"/>
        <w:jc w:val="left"/>
        <w:rPr>
          <w:sz w:val="21"/>
        </w:rPr>
      </w:pPr>
      <w:r>
        <w:rPr>
          <w:spacing w:val="-3"/>
          <w:sz w:val="21"/>
        </w:rPr>
        <w:t>保险金额</w:t>
      </w:r>
    </w:p>
    <w:p>
      <w:pPr>
        <w:pStyle w:val="ListParagraph"/>
        <w:numPr>
          <w:ilvl w:val="1"/>
          <w:numId w:val="3"/>
        </w:numPr>
        <w:tabs>
          <w:tab w:pos="1988" w:val="left" w:leader="none"/>
        </w:tabs>
        <w:spacing w:line="262" w:lineRule="exact" w:before="37" w:after="0"/>
        <w:ind w:left="1987" w:right="0" w:hanging="422"/>
        <w:jc w:val="left"/>
        <w:rPr>
          <w:sz w:val="21"/>
        </w:rPr>
      </w:pPr>
      <w:r>
        <w:rPr>
          <w:spacing w:val="-3"/>
          <w:sz w:val="21"/>
        </w:rPr>
        <w:t>保险期间</w:t>
      </w:r>
    </w:p>
    <w:p>
      <w:pPr>
        <w:pStyle w:val="Heading2"/>
        <w:ind w:left="1354"/>
      </w:pPr>
      <w:r>
        <w:rPr>
          <w:w w:val="81"/>
        </w:rPr>
        <w:t>3</w:t>
      </w:r>
      <w:r>
        <w:rPr>
          <w:w w:val="176"/>
        </w:rPr>
        <w:t>.</w:t>
      </w:r>
      <w:r>
        <w:rPr>
          <w:w w:val="100"/>
        </w:rPr>
        <w:t>保险金的申请</w:t>
      </w:r>
    </w:p>
    <w:p>
      <w:pPr>
        <w:pStyle w:val="ListParagraph"/>
        <w:numPr>
          <w:ilvl w:val="1"/>
          <w:numId w:val="4"/>
        </w:numPr>
        <w:tabs>
          <w:tab w:pos="1988" w:val="left" w:leader="none"/>
        </w:tabs>
        <w:spacing w:line="240" w:lineRule="auto" w:before="12" w:after="0"/>
        <w:ind w:left="1987" w:right="0" w:hanging="422"/>
        <w:jc w:val="left"/>
        <w:rPr>
          <w:sz w:val="21"/>
        </w:rPr>
      </w:pPr>
      <w:r>
        <w:rPr>
          <w:spacing w:val="-2"/>
          <w:sz w:val="21"/>
        </w:rPr>
        <w:t>受益人</w:t>
      </w:r>
    </w:p>
    <w:p>
      <w:pPr>
        <w:pStyle w:val="ListParagraph"/>
        <w:numPr>
          <w:ilvl w:val="1"/>
          <w:numId w:val="4"/>
        </w:numPr>
        <w:tabs>
          <w:tab w:pos="1988" w:val="left" w:leader="none"/>
        </w:tabs>
        <w:spacing w:line="240" w:lineRule="auto" w:before="37" w:after="0"/>
        <w:ind w:left="1987" w:right="0" w:hanging="422"/>
        <w:jc w:val="left"/>
        <w:rPr>
          <w:sz w:val="21"/>
        </w:rPr>
      </w:pPr>
      <w:r>
        <w:rPr>
          <w:spacing w:val="-3"/>
          <w:sz w:val="21"/>
        </w:rPr>
        <w:t>保险事故通知</w:t>
      </w:r>
    </w:p>
    <w:p>
      <w:pPr>
        <w:pStyle w:val="ListParagraph"/>
        <w:numPr>
          <w:ilvl w:val="1"/>
          <w:numId w:val="4"/>
        </w:numPr>
        <w:tabs>
          <w:tab w:pos="1988" w:val="left" w:leader="none"/>
        </w:tabs>
        <w:spacing w:line="240" w:lineRule="auto" w:before="37" w:after="0"/>
        <w:ind w:left="1987" w:right="0" w:hanging="422"/>
        <w:jc w:val="left"/>
        <w:rPr>
          <w:sz w:val="21"/>
        </w:rPr>
      </w:pPr>
      <w:r>
        <w:rPr>
          <w:spacing w:val="-3"/>
          <w:sz w:val="21"/>
        </w:rPr>
        <w:t>保险金申请</w:t>
      </w:r>
    </w:p>
    <w:p>
      <w:pPr>
        <w:pStyle w:val="ListParagraph"/>
        <w:numPr>
          <w:ilvl w:val="1"/>
          <w:numId w:val="4"/>
        </w:numPr>
        <w:tabs>
          <w:tab w:pos="1988" w:val="left" w:leader="none"/>
        </w:tabs>
        <w:spacing w:line="240" w:lineRule="auto" w:before="37" w:after="0"/>
        <w:ind w:left="1987" w:right="0" w:hanging="422"/>
        <w:jc w:val="left"/>
        <w:rPr>
          <w:sz w:val="21"/>
        </w:rPr>
      </w:pPr>
      <w:r>
        <w:rPr>
          <w:spacing w:val="-3"/>
          <w:sz w:val="21"/>
        </w:rPr>
        <w:t>保险金给付</w:t>
      </w:r>
    </w:p>
    <w:p>
      <w:pPr>
        <w:pStyle w:val="ListParagraph"/>
        <w:numPr>
          <w:ilvl w:val="1"/>
          <w:numId w:val="4"/>
        </w:numPr>
        <w:tabs>
          <w:tab w:pos="1988" w:val="left" w:leader="none"/>
        </w:tabs>
        <w:spacing w:line="262" w:lineRule="exact" w:before="37" w:after="0"/>
        <w:ind w:left="1987" w:right="0" w:hanging="422"/>
        <w:jc w:val="left"/>
        <w:rPr>
          <w:sz w:val="21"/>
        </w:rPr>
      </w:pPr>
      <w:r>
        <w:rPr>
          <w:spacing w:val="-3"/>
          <w:sz w:val="21"/>
        </w:rPr>
        <w:t>诉讼时效</w:t>
      </w:r>
    </w:p>
    <w:p>
      <w:pPr>
        <w:pStyle w:val="Heading2"/>
        <w:ind w:left="1354"/>
      </w:pPr>
      <w:r>
        <w:rPr/>
        <w:t>4.保险费的交纳</w:t>
      </w:r>
    </w:p>
    <w:p>
      <w:pPr>
        <w:pStyle w:val="ListParagraph"/>
        <w:numPr>
          <w:ilvl w:val="1"/>
          <w:numId w:val="5"/>
        </w:numPr>
        <w:tabs>
          <w:tab w:pos="1988" w:val="left" w:leader="none"/>
        </w:tabs>
        <w:spacing w:line="240" w:lineRule="auto" w:before="12" w:after="0"/>
        <w:ind w:left="1987" w:right="0" w:hanging="422"/>
        <w:jc w:val="left"/>
        <w:rPr>
          <w:sz w:val="21"/>
        </w:rPr>
      </w:pPr>
      <w:r>
        <w:rPr>
          <w:spacing w:val="-3"/>
          <w:sz w:val="21"/>
        </w:rPr>
        <w:t>保险费交纳</w:t>
      </w:r>
    </w:p>
    <w:p>
      <w:pPr>
        <w:pStyle w:val="ListParagraph"/>
        <w:numPr>
          <w:ilvl w:val="1"/>
          <w:numId w:val="5"/>
        </w:numPr>
        <w:tabs>
          <w:tab w:pos="1988" w:val="left" w:leader="none"/>
        </w:tabs>
        <w:spacing w:line="262" w:lineRule="exact" w:before="33" w:after="0"/>
        <w:ind w:left="1987" w:right="0" w:hanging="422"/>
        <w:jc w:val="left"/>
        <w:rPr>
          <w:sz w:val="21"/>
        </w:rPr>
      </w:pPr>
      <w:r>
        <w:rPr>
          <w:spacing w:val="-3"/>
          <w:w w:val="100"/>
          <w:sz w:val="21"/>
        </w:rPr>
        <w:br w:type="column"/>
      </w:r>
      <w:r>
        <w:rPr>
          <w:spacing w:val="-2"/>
          <w:sz w:val="21"/>
        </w:rPr>
        <w:t>宽限期</w:t>
      </w:r>
    </w:p>
    <w:p>
      <w:pPr>
        <w:pStyle w:val="Heading2"/>
        <w:numPr>
          <w:ilvl w:val="0"/>
          <w:numId w:val="6"/>
        </w:numPr>
        <w:tabs>
          <w:tab w:pos="1686" w:val="left" w:leader="none"/>
        </w:tabs>
        <w:spacing w:line="350" w:lineRule="exact" w:before="0" w:after="0"/>
        <w:ind w:left="1685" w:right="0" w:hanging="331"/>
        <w:jc w:val="left"/>
      </w:pPr>
      <w:r>
        <w:rPr/>
        <w:t>合同效力的中止与恢复</w:t>
      </w:r>
    </w:p>
    <w:p>
      <w:pPr>
        <w:pStyle w:val="ListParagraph"/>
        <w:numPr>
          <w:ilvl w:val="1"/>
          <w:numId w:val="6"/>
        </w:numPr>
        <w:tabs>
          <w:tab w:pos="1988" w:val="left" w:leader="none"/>
        </w:tabs>
        <w:spacing w:line="240" w:lineRule="auto" w:before="11" w:after="0"/>
        <w:ind w:left="1987" w:right="0" w:hanging="422"/>
        <w:jc w:val="left"/>
        <w:rPr>
          <w:sz w:val="21"/>
        </w:rPr>
      </w:pPr>
      <w:r>
        <w:rPr>
          <w:spacing w:val="-3"/>
          <w:sz w:val="21"/>
        </w:rPr>
        <w:t>合同效力中止</w:t>
      </w:r>
    </w:p>
    <w:p>
      <w:pPr>
        <w:pStyle w:val="ListParagraph"/>
        <w:numPr>
          <w:ilvl w:val="1"/>
          <w:numId w:val="6"/>
        </w:numPr>
        <w:tabs>
          <w:tab w:pos="1988" w:val="left" w:leader="none"/>
        </w:tabs>
        <w:spacing w:line="262" w:lineRule="exact" w:before="36" w:after="0"/>
        <w:ind w:left="1987" w:right="0" w:hanging="422"/>
        <w:jc w:val="left"/>
        <w:rPr>
          <w:sz w:val="21"/>
        </w:rPr>
      </w:pPr>
      <w:r>
        <w:rPr>
          <w:spacing w:val="-3"/>
          <w:sz w:val="21"/>
        </w:rPr>
        <w:t>合同效力恢复</w:t>
      </w:r>
    </w:p>
    <w:p>
      <w:pPr>
        <w:pStyle w:val="Heading2"/>
      </w:pPr>
      <w:r>
        <w:rPr/>
        <w:t>6.合同解除</w:t>
      </w:r>
    </w:p>
    <w:p>
      <w:pPr>
        <w:pStyle w:val="ListParagraph"/>
        <w:numPr>
          <w:ilvl w:val="1"/>
          <w:numId w:val="7"/>
        </w:numPr>
        <w:tabs>
          <w:tab w:pos="1988" w:val="left" w:leader="none"/>
        </w:tabs>
        <w:spacing w:line="240" w:lineRule="auto" w:before="12" w:after="0"/>
        <w:ind w:left="1987" w:right="0" w:hanging="422"/>
        <w:jc w:val="left"/>
        <w:rPr>
          <w:sz w:val="21"/>
        </w:rPr>
      </w:pPr>
      <w:r>
        <w:rPr>
          <w:spacing w:val="-3"/>
          <w:sz w:val="21"/>
        </w:rPr>
        <w:t>您解除合同的手续及风险</w:t>
      </w:r>
    </w:p>
    <w:p>
      <w:pPr>
        <w:pStyle w:val="ListParagraph"/>
        <w:numPr>
          <w:ilvl w:val="1"/>
          <w:numId w:val="7"/>
        </w:numPr>
        <w:tabs>
          <w:tab w:pos="1988" w:val="left" w:leader="none"/>
        </w:tabs>
        <w:spacing w:line="240" w:lineRule="auto" w:before="37" w:after="0"/>
        <w:ind w:left="1987" w:right="0" w:hanging="422"/>
        <w:jc w:val="left"/>
        <w:rPr>
          <w:sz w:val="21"/>
        </w:rPr>
      </w:pPr>
      <w:r>
        <w:rPr>
          <w:spacing w:val="-3"/>
          <w:sz w:val="21"/>
        </w:rPr>
        <w:t>合同内容变更</w:t>
      </w:r>
    </w:p>
    <w:p>
      <w:pPr>
        <w:pStyle w:val="ListParagraph"/>
        <w:numPr>
          <w:ilvl w:val="1"/>
          <w:numId w:val="7"/>
        </w:numPr>
        <w:tabs>
          <w:tab w:pos="1988" w:val="left" w:leader="none"/>
        </w:tabs>
        <w:spacing w:line="262" w:lineRule="exact" w:before="37" w:after="0"/>
        <w:ind w:left="1987" w:right="0" w:hanging="422"/>
        <w:jc w:val="left"/>
        <w:rPr>
          <w:sz w:val="21"/>
        </w:rPr>
      </w:pPr>
      <w:r>
        <w:rPr>
          <w:spacing w:val="-3"/>
          <w:sz w:val="21"/>
        </w:rPr>
        <w:t>联系方式变更</w:t>
      </w:r>
    </w:p>
    <w:p>
      <w:pPr>
        <w:pStyle w:val="Heading2"/>
      </w:pPr>
      <w:r>
        <w:rPr/>
        <w:t>7.明确说明与如实告知</w:t>
      </w:r>
    </w:p>
    <w:p>
      <w:pPr>
        <w:pStyle w:val="ListParagraph"/>
        <w:numPr>
          <w:ilvl w:val="1"/>
          <w:numId w:val="8"/>
        </w:numPr>
        <w:tabs>
          <w:tab w:pos="1988" w:val="left" w:leader="none"/>
        </w:tabs>
        <w:spacing w:line="240" w:lineRule="auto" w:before="12" w:after="0"/>
        <w:ind w:left="1987" w:right="0" w:hanging="422"/>
        <w:jc w:val="left"/>
        <w:rPr>
          <w:sz w:val="21"/>
        </w:rPr>
      </w:pPr>
      <w:r>
        <w:rPr>
          <w:spacing w:val="-3"/>
          <w:sz w:val="21"/>
        </w:rPr>
        <w:t>明确说明</w:t>
      </w:r>
    </w:p>
    <w:p>
      <w:pPr>
        <w:pStyle w:val="ListParagraph"/>
        <w:numPr>
          <w:ilvl w:val="1"/>
          <w:numId w:val="8"/>
        </w:numPr>
        <w:tabs>
          <w:tab w:pos="1988" w:val="left" w:leader="none"/>
        </w:tabs>
        <w:spacing w:line="240" w:lineRule="auto" w:before="37" w:after="0"/>
        <w:ind w:left="1987" w:right="0" w:hanging="422"/>
        <w:jc w:val="left"/>
        <w:rPr>
          <w:sz w:val="21"/>
        </w:rPr>
      </w:pPr>
      <w:r>
        <w:rPr>
          <w:spacing w:val="-3"/>
          <w:sz w:val="21"/>
        </w:rPr>
        <w:t>如实告知</w:t>
      </w:r>
    </w:p>
    <w:p>
      <w:pPr>
        <w:pStyle w:val="ListParagraph"/>
        <w:numPr>
          <w:ilvl w:val="1"/>
          <w:numId w:val="8"/>
        </w:numPr>
        <w:tabs>
          <w:tab w:pos="1988" w:val="left" w:leader="none"/>
        </w:tabs>
        <w:spacing w:line="262" w:lineRule="exact" w:before="37" w:after="0"/>
        <w:ind w:left="1987" w:right="0" w:hanging="422"/>
        <w:jc w:val="left"/>
        <w:rPr>
          <w:sz w:val="21"/>
        </w:rPr>
      </w:pPr>
      <w:r>
        <w:rPr>
          <w:spacing w:val="-3"/>
          <w:sz w:val="21"/>
        </w:rPr>
        <w:t>本公司合同解除权的限制</w:t>
      </w:r>
    </w:p>
    <w:p>
      <w:pPr>
        <w:pStyle w:val="Heading2"/>
      </w:pPr>
      <w:r>
        <w:rPr/>
        <w:t>8.其他需要关注的事项</w:t>
      </w:r>
    </w:p>
    <w:p>
      <w:pPr>
        <w:pStyle w:val="ListParagraph"/>
        <w:numPr>
          <w:ilvl w:val="1"/>
          <w:numId w:val="9"/>
        </w:numPr>
        <w:tabs>
          <w:tab w:pos="1988" w:val="left" w:leader="none"/>
        </w:tabs>
        <w:spacing w:line="240" w:lineRule="auto" w:before="12" w:after="0"/>
        <w:ind w:left="1987" w:right="0" w:hanging="422"/>
        <w:jc w:val="left"/>
        <w:rPr>
          <w:sz w:val="21"/>
        </w:rPr>
      </w:pPr>
      <w:r>
        <w:rPr>
          <w:spacing w:val="-3"/>
          <w:sz w:val="21"/>
        </w:rPr>
        <w:t>年龄性别错误</w:t>
      </w:r>
    </w:p>
    <w:p>
      <w:pPr>
        <w:pStyle w:val="ListParagraph"/>
        <w:numPr>
          <w:ilvl w:val="1"/>
          <w:numId w:val="9"/>
        </w:numPr>
        <w:tabs>
          <w:tab w:pos="1988" w:val="left" w:leader="none"/>
        </w:tabs>
        <w:spacing w:line="240" w:lineRule="auto" w:before="36" w:after="0"/>
        <w:ind w:left="1987" w:right="0" w:hanging="422"/>
        <w:jc w:val="left"/>
        <w:rPr>
          <w:sz w:val="21"/>
        </w:rPr>
      </w:pPr>
      <w:r>
        <w:rPr>
          <w:spacing w:val="-3"/>
          <w:sz w:val="21"/>
        </w:rPr>
        <w:t>合同效力终止</w:t>
      </w:r>
    </w:p>
    <w:p>
      <w:pPr>
        <w:pStyle w:val="ListParagraph"/>
        <w:numPr>
          <w:ilvl w:val="1"/>
          <w:numId w:val="9"/>
        </w:numPr>
        <w:tabs>
          <w:tab w:pos="1988" w:val="left" w:leader="none"/>
        </w:tabs>
        <w:spacing w:line="240" w:lineRule="auto" w:before="36" w:after="0"/>
        <w:ind w:left="1987" w:right="0" w:hanging="422"/>
        <w:jc w:val="left"/>
        <w:rPr>
          <w:sz w:val="21"/>
        </w:rPr>
      </w:pPr>
      <w:r>
        <w:rPr>
          <w:spacing w:val="-3"/>
          <w:sz w:val="21"/>
        </w:rPr>
        <w:t>未还款项</w:t>
      </w:r>
    </w:p>
    <w:p>
      <w:pPr>
        <w:pStyle w:val="ListParagraph"/>
        <w:numPr>
          <w:ilvl w:val="1"/>
          <w:numId w:val="9"/>
        </w:numPr>
        <w:tabs>
          <w:tab w:pos="1988" w:val="left" w:leader="none"/>
        </w:tabs>
        <w:spacing w:line="262" w:lineRule="exact" w:before="36" w:after="0"/>
        <w:ind w:left="1987" w:right="0" w:hanging="422"/>
        <w:jc w:val="left"/>
        <w:rPr>
          <w:sz w:val="21"/>
        </w:rPr>
      </w:pPr>
      <w:r>
        <w:rPr>
          <w:spacing w:val="-3"/>
          <w:sz w:val="21"/>
        </w:rPr>
        <w:t>争议处理</w:t>
      </w:r>
    </w:p>
    <w:p>
      <w:pPr>
        <w:pStyle w:val="Heading2"/>
      </w:pPr>
      <w:r>
        <w:rPr/>
        <w:t>9.释义</w:t>
      </w:r>
    </w:p>
    <w:p>
      <w:pPr>
        <w:spacing w:after="0"/>
        <w:sectPr>
          <w:type w:val="continuous"/>
          <w:pgSz w:w="11910" w:h="16840"/>
          <w:pgMar w:top="220" w:bottom="280" w:left="720" w:right="560"/>
          <w:cols w:num="2" w:equalWidth="0">
            <w:col w:w="3467" w:space="1063"/>
            <w:col w:w="6100"/>
          </w:cols>
        </w:sectPr>
      </w:pPr>
    </w:p>
    <w:p>
      <w:pPr>
        <w:spacing w:line="498" w:lineRule="exact" w:before="0"/>
        <w:ind w:left="2742" w:right="0" w:firstLine="0"/>
        <w:jc w:val="left"/>
        <w:rPr>
          <w:rFonts w:ascii="微软雅黑" w:eastAsia="微软雅黑" w:hint="eastAsia"/>
          <w:b/>
          <w:sz w:val="44"/>
        </w:rPr>
      </w:pPr>
      <w:r>
        <w:rPr>
          <w:rFonts w:ascii="微软雅黑" w:eastAsia="微软雅黑" w:hint="eastAsia"/>
          <w:b/>
          <w:sz w:val="44"/>
        </w:rPr>
        <w:t>弘康人寿保险股份有限公司</w:t>
      </w:r>
    </w:p>
    <w:p>
      <w:pPr>
        <w:spacing w:line="679" w:lineRule="exact" w:before="0"/>
        <w:ind w:left="1857" w:right="0" w:firstLine="0"/>
        <w:jc w:val="left"/>
        <w:rPr>
          <w:rFonts w:ascii="微软雅黑" w:eastAsia="微软雅黑" w:hint="eastAsia"/>
          <w:b/>
          <w:sz w:val="44"/>
        </w:rPr>
      </w:pPr>
      <w:r>
        <w:rPr>
          <w:rFonts w:ascii="微软雅黑" w:eastAsia="微软雅黑" w:hint="eastAsia"/>
          <w:b/>
          <w:sz w:val="44"/>
        </w:rPr>
        <w:t>弘康健康人生重大疾病保险 C 款条款</w:t>
      </w:r>
    </w:p>
    <w:p>
      <w:pPr>
        <w:pStyle w:val="BodyText"/>
        <w:spacing w:before="13"/>
        <w:ind w:left="0"/>
        <w:rPr>
          <w:rFonts w:ascii="微软雅黑"/>
          <w:b/>
          <w:sz w:val="37"/>
        </w:rPr>
      </w:pPr>
    </w:p>
    <w:p>
      <w:pPr>
        <w:pStyle w:val="BodyText"/>
        <w:spacing w:line="273" w:lineRule="auto" w:before="0"/>
        <w:ind w:left="248" w:right="302"/>
      </w:pPr>
      <w:r>
        <w:rPr>
          <w:spacing w:val="-6"/>
          <w:w w:val="100"/>
        </w:rPr>
        <w:t>在本条款中，“您”指投保人，“我们”和“本公司”指弘康人寿保险股份有限公司，“本合同”指您与我们之</w:t>
      </w:r>
      <w:r>
        <w:rPr>
          <w:spacing w:val="-6"/>
        </w:rPr>
        <w:t>间订立的 “弘康健康人生重大疾病保险 </w:t>
      </w:r>
      <w:r>
        <w:rPr/>
        <w:t>C</w:t>
      </w:r>
      <w:r>
        <w:rPr>
          <w:spacing w:val="-28"/>
        </w:rPr>
        <w:t> 款合同”。</w:t>
      </w:r>
    </w:p>
    <w:p>
      <w:pPr>
        <w:pStyle w:val="BodyText"/>
        <w:spacing w:before="0"/>
        <w:ind w:left="0"/>
        <w:rPr>
          <w:sz w:val="20"/>
        </w:rPr>
      </w:pPr>
    </w:p>
    <w:p>
      <w:pPr>
        <w:pStyle w:val="BodyText"/>
        <w:spacing w:before="5" w:after="1"/>
        <w:ind w:left="0"/>
        <w:rPr>
          <w:sz w:val="11"/>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2"/>
        <w:gridCol w:w="2006"/>
        <w:gridCol w:w="7698"/>
      </w:tblGrid>
      <w:tr>
        <w:trPr>
          <w:trHeight w:val="522" w:hRule="atLeast"/>
        </w:trPr>
        <w:tc>
          <w:tcPr>
            <w:tcW w:w="822" w:type="dxa"/>
            <w:tcBorders>
              <w:bottom w:val="single" w:sz="8" w:space="0" w:color="000000"/>
            </w:tcBorders>
          </w:tcPr>
          <w:p>
            <w:pPr>
              <w:pStyle w:val="TableParagraph"/>
              <w:spacing w:line="423" w:lineRule="exact"/>
              <w:ind w:left="0" w:right="189"/>
              <w:jc w:val="right"/>
              <w:rPr>
                <w:rFonts w:ascii="Arial" w:hAnsi="Arial"/>
                <w:b/>
                <w:sz w:val="40"/>
              </w:rPr>
            </w:pPr>
            <w:r>
              <w:rPr>
                <w:rFonts w:ascii="Arial" w:hAnsi="Arial"/>
                <w:b/>
                <w:w w:val="119"/>
                <w:sz w:val="40"/>
              </w:rPr>
              <w:t></w:t>
            </w:r>
          </w:p>
        </w:tc>
        <w:tc>
          <w:tcPr>
            <w:tcW w:w="9704" w:type="dxa"/>
            <w:gridSpan w:val="2"/>
            <w:tcBorders>
              <w:bottom w:val="single" w:sz="8" w:space="0" w:color="000000"/>
            </w:tcBorders>
          </w:tcPr>
          <w:p>
            <w:pPr>
              <w:pStyle w:val="TableParagraph"/>
              <w:spacing w:line="358" w:lineRule="exact"/>
              <w:ind w:left="191"/>
              <w:rPr>
                <w:rFonts w:ascii="微软雅黑" w:eastAsia="微软雅黑" w:hint="eastAsia"/>
                <w:b/>
                <w:sz w:val="24"/>
              </w:rPr>
            </w:pPr>
            <w:r>
              <w:rPr>
                <w:rFonts w:ascii="微软雅黑" w:eastAsia="微软雅黑" w:hint="eastAsia"/>
                <w:b/>
                <w:sz w:val="24"/>
              </w:rPr>
              <w:t>您与我们订立的合同</w:t>
            </w:r>
          </w:p>
        </w:tc>
      </w:tr>
      <w:tr>
        <w:trPr>
          <w:trHeight w:val="1257" w:hRule="atLeast"/>
        </w:trPr>
        <w:tc>
          <w:tcPr>
            <w:tcW w:w="822" w:type="dxa"/>
            <w:tcBorders>
              <w:top w:val="single" w:sz="8" w:space="0" w:color="000000"/>
            </w:tcBorders>
          </w:tcPr>
          <w:p>
            <w:pPr>
              <w:pStyle w:val="TableParagraph"/>
              <w:spacing w:before="131"/>
              <w:ind w:left="110"/>
              <w:rPr>
                <w:rFonts w:ascii="微软雅黑"/>
                <w:b/>
                <w:sz w:val="21"/>
              </w:rPr>
            </w:pPr>
            <w:r>
              <w:rPr>
                <w:rFonts w:ascii="微软雅黑"/>
                <w:b/>
                <w:sz w:val="21"/>
              </w:rPr>
              <w:t>1.1</w:t>
            </w:r>
          </w:p>
        </w:tc>
        <w:tc>
          <w:tcPr>
            <w:tcW w:w="2006" w:type="dxa"/>
            <w:tcBorders>
              <w:top w:val="single" w:sz="8" w:space="0" w:color="000000"/>
            </w:tcBorders>
          </w:tcPr>
          <w:p>
            <w:pPr>
              <w:pStyle w:val="TableParagraph"/>
              <w:spacing w:before="131"/>
              <w:ind w:left="191"/>
              <w:rPr>
                <w:rFonts w:ascii="微软雅黑" w:eastAsia="微软雅黑" w:hint="eastAsia"/>
                <w:b/>
                <w:sz w:val="21"/>
              </w:rPr>
            </w:pPr>
            <w:r>
              <w:rPr>
                <w:rFonts w:ascii="微软雅黑" w:eastAsia="微软雅黑" w:hint="eastAsia"/>
                <w:b/>
                <w:sz w:val="21"/>
              </w:rPr>
              <w:t>合同构成</w:t>
            </w:r>
          </w:p>
        </w:tc>
        <w:tc>
          <w:tcPr>
            <w:tcW w:w="7698" w:type="dxa"/>
            <w:tcBorders>
              <w:top w:val="single" w:sz="8" w:space="0" w:color="000000"/>
            </w:tcBorders>
          </w:tcPr>
          <w:p>
            <w:pPr>
              <w:pStyle w:val="TableParagraph"/>
              <w:spacing w:before="10"/>
              <w:ind w:left="0"/>
              <w:rPr>
                <w:sz w:val="14"/>
              </w:rPr>
            </w:pPr>
          </w:p>
          <w:p>
            <w:pPr>
              <w:pStyle w:val="TableParagraph"/>
              <w:spacing w:line="273" w:lineRule="auto"/>
              <w:ind w:left="133" w:right="-15"/>
              <w:rPr>
                <w:sz w:val="21"/>
              </w:rPr>
            </w:pPr>
            <w:r>
              <w:rPr>
                <w:spacing w:val="-8"/>
                <w:sz w:val="21"/>
              </w:rPr>
              <w:t>本合同是您与我们约定保险权利义务关系的协议，包括本保险条款、保险单或其他</w:t>
            </w:r>
            <w:r>
              <w:rPr>
                <w:spacing w:val="-5"/>
                <w:sz w:val="21"/>
              </w:rPr>
              <w:t>保险凭证、投保单、与保险合同有关的投保文件、合法有效的声明、健康告知书、</w:t>
            </w:r>
            <w:r>
              <w:rPr>
                <w:spacing w:val="-4"/>
                <w:sz w:val="21"/>
              </w:rPr>
              <w:t>变更申请书、批注、批单及其他您与我们共同认可的书面协议。</w:t>
            </w:r>
          </w:p>
        </w:tc>
      </w:tr>
      <w:tr>
        <w:trPr>
          <w:trHeight w:val="2098" w:hRule="atLeast"/>
        </w:trPr>
        <w:tc>
          <w:tcPr>
            <w:tcW w:w="822" w:type="dxa"/>
          </w:tcPr>
          <w:p>
            <w:pPr>
              <w:pStyle w:val="TableParagraph"/>
              <w:spacing w:before="38"/>
              <w:ind w:left="110"/>
              <w:rPr>
                <w:rFonts w:ascii="微软雅黑"/>
                <w:b/>
                <w:sz w:val="21"/>
              </w:rPr>
            </w:pPr>
            <w:r>
              <w:rPr>
                <w:rFonts w:ascii="微软雅黑"/>
                <w:b/>
                <w:sz w:val="21"/>
              </w:rPr>
              <w:t>1.2</w:t>
            </w:r>
          </w:p>
        </w:tc>
        <w:tc>
          <w:tcPr>
            <w:tcW w:w="2006" w:type="dxa"/>
          </w:tcPr>
          <w:p>
            <w:pPr>
              <w:pStyle w:val="TableParagraph"/>
              <w:spacing w:before="38"/>
              <w:ind w:left="191"/>
              <w:rPr>
                <w:rFonts w:ascii="微软雅黑" w:eastAsia="微软雅黑" w:hint="eastAsia"/>
                <w:b/>
                <w:sz w:val="21"/>
              </w:rPr>
            </w:pPr>
            <w:r>
              <w:rPr>
                <w:rFonts w:ascii="微软雅黑" w:eastAsia="微软雅黑" w:hint="eastAsia"/>
                <w:b/>
                <w:sz w:val="21"/>
              </w:rPr>
              <w:t>合同成立与生效</w:t>
            </w:r>
          </w:p>
        </w:tc>
        <w:tc>
          <w:tcPr>
            <w:tcW w:w="7698" w:type="dxa"/>
          </w:tcPr>
          <w:p>
            <w:pPr>
              <w:pStyle w:val="TableParagraph"/>
              <w:spacing w:before="100"/>
              <w:ind w:left="133"/>
              <w:rPr>
                <w:sz w:val="21"/>
              </w:rPr>
            </w:pPr>
            <w:r>
              <w:rPr>
                <w:sz w:val="21"/>
              </w:rPr>
              <w:t>一、您提出保险申请、我们同意承保，本合同成立。</w:t>
            </w:r>
          </w:p>
          <w:p>
            <w:pPr>
              <w:pStyle w:val="TableParagraph"/>
              <w:spacing w:line="273" w:lineRule="auto" w:before="36"/>
              <w:ind w:left="554" w:right="101" w:hanging="421"/>
              <w:jc w:val="both"/>
              <w:rPr>
                <w:sz w:val="21"/>
              </w:rPr>
            </w:pPr>
            <w:r>
              <w:rPr>
                <w:spacing w:val="-11"/>
                <w:sz w:val="21"/>
              </w:rPr>
              <w:t>二、除另有约定外，自本合同成立、本公司收取保险费并签发保险单后次日零时起</w:t>
            </w:r>
            <w:r>
              <w:rPr>
                <w:spacing w:val="-14"/>
                <w:sz w:val="21"/>
              </w:rPr>
              <w:t>本合同生效，生效日应载于保险单上。本公司自生效日的零时起开始承担本合</w:t>
            </w:r>
            <w:r>
              <w:rPr>
                <w:spacing w:val="-3"/>
                <w:sz w:val="21"/>
              </w:rPr>
              <w:t>同约定的保险责任。</w:t>
            </w:r>
          </w:p>
          <w:p>
            <w:pPr>
              <w:pStyle w:val="TableParagraph"/>
              <w:spacing w:line="312" w:lineRule="exact" w:before="3"/>
              <w:ind w:left="554" w:right="141" w:hanging="421"/>
              <w:jc w:val="both"/>
              <w:rPr>
                <w:sz w:val="21"/>
              </w:rPr>
            </w:pPr>
            <w:r>
              <w:rPr>
                <w:sz w:val="21"/>
              </w:rPr>
              <w:t>三、</w:t>
            </w:r>
            <w:r>
              <w:rPr>
                <w:rFonts w:ascii="微软雅黑" w:eastAsia="微软雅黑" w:hint="eastAsia"/>
                <w:b/>
                <w:sz w:val="21"/>
              </w:rPr>
              <w:t>保单年度</w:t>
            </w:r>
            <w:r>
              <w:rPr>
                <w:spacing w:val="-16"/>
                <w:sz w:val="21"/>
              </w:rPr>
              <w:t>(见 </w:t>
            </w:r>
            <w:r>
              <w:rPr>
                <w:sz w:val="21"/>
              </w:rPr>
              <w:t>9.1)</w:t>
            </w:r>
            <w:r>
              <w:rPr>
                <w:rFonts w:ascii="微软雅黑" w:eastAsia="微软雅黑" w:hint="eastAsia"/>
                <w:b/>
                <w:spacing w:val="-1"/>
                <w:sz w:val="21"/>
              </w:rPr>
              <w:t>、保单周年日</w:t>
            </w:r>
            <w:r>
              <w:rPr>
                <w:spacing w:val="-16"/>
                <w:sz w:val="21"/>
              </w:rPr>
              <w:t>(见 </w:t>
            </w:r>
            <w:r>
              <w:rPr>
                <w:sz w:val="21"/>
              </w:rPr>
              <w:t>9.2</w:t>
            </w:r>
            <w:r>
              <w:rPr>
                <w:spacing w:val="-2"/>
                <w:sz w:val="21"/>
              </w:rPr>
              <w:t>)、</w:t>
            </w:r>
            <w:r>
              <w:rPr>
                <w:rFonts w:ascii="微软雅黑" w:eastAsia="微软雅黑" w:hint="eastAsia"/>
                <w:b/>
                <w:sz w:val="21"/>
              </w:rPr>
              <w:t>保险费应交日</w:t>
            </w:r>
            <w:r>
              <w:rPr>
                <w:spacing w:val="-3"/>
                <w:sz w:val="21"/>
              </w:rPr>
              <w:t>（</w:t>
            </w:r>
            <w:r>
              <w:rPr>
                <w:spacing w:val="-22"/>
                <w:sz w:val="21"/>
              </w:rPr>
              <w:t>见 </w:t>
            </w:r>
            <w:r>
              <w:rPr>
                <w:sz w:val="21"/>
              </w:rPr>
              <w:t>9.3）</w:t>
            </w:r>
            <w:r>
              <w:rPr>
                <w:spacing w:val="-3"/>
                <w:sz w:val="21"/>
              </w:rPr>
              <w:t>均以生效日进行计算。</w:t>
            </w:r>
          </w:p>
        </w:tc>
      </w:tr>
      <w:tr>
        <w:trPr>
          <w:trHeight w:val="850" w:hRule="atLeast"/>
        </w:trPr>
        <w:tc>
          <w:tcPr>
            <w:tcW w:w="822" w:type="dxa"/>
          </w:tcPr>
          <w:p>
            <w:pPr>
              <w:pStyle w:val="TableParagraph"/>
              <w:spacing w:before="37"/>
              <w:ind w:left="110"/>
              <w:rPr>
                <w:rFonts w:ascii="微软雅黑"/>
                <w:b/>
                <w:sz w:val="21"/>
              </w:rPr>
            </w:pPr>
            <w:r>
              <w:rPr>
                <w:rFonts w:ascii="微软雅黑"/>
                <w:b/>
                <w:sz w:val="21"/>
              </w:rPr>
              <w:t>1.3</w:t>
            </w:r>
          </w:p>
        </w:tc>
        <w:tc>
          <w:tcPr>
            <w:tcW w:w="2006" w:type="dxa"/>
          </w:tcPr>
          <w:p>
            <w:pPr>
              <w:pStyle w:val="TableParagraph"/>
              <w:spacing w:before="37"/>
              <w:ind w:left="191"/>
              <w:rPr>
                <w:rFonts w:ascii="微软雅黑" w:eastAsia="微软雅黑" w:hint="eastAsia"/>
                <w:b/>
                <w:sz w:val="21"/>
              </w:rPr>
            </w:pPr>
            <w:r>
              <w:rPr>
                <w:rFonts w:ascii="微软雅黑" w:eastAsia="微软雅黑" w:hint="eastAsia"/>
                <w:b/>
                <w:sz w:val="21"/>
              </w:rPr>
              <w:t>投保年龄</w:t>
            </w:r>
          </w:p>
        </w:tc>
        <w:tc>
          <w:tcPr>
            <w:tcW w:w="7698" w:type="dxa"/>
          </w:tcPr>
          <w:p>
            <w:pPr>
              <w:pStyle w:val="TableParagraph"/>
              <w:spacing w:line="247" w:lineRule="auto" w:before="37"/>
              <w:ind w:left="133" w:right="98"/>
              <w:rPr>
                <w:sz w:val="21"/>
              </w:rPr>
            </w:pPr>
            <w:r>
              <w:rPr>
                <w:spacing w:val="-5"/>
                <w:sz w:val="21"/>
              </w:rPr>
              <w:t>指投保时被保险人的年龄，投保年龄以</w:t>
            </w:r>
            <w:r>
              <w:rPr>
                <w:rFonts w:ascii="微软雅黑" w:eastAsia="微软雅黑" w:hint="eastAsia"/>
                <w:b/>
                <w:sz w:val="21"/>
              </w:rPr>
              <w:t>周岁</w:t>
            </w:r>
            <w:r>
              <w:rPr>
                <w:spacing w:val="-9"/>
                <w:sz w:val="21"/>
              </w:rPr>
              <w:t>(见 </w:t>
            </w:r>
            <w:r>
              <w:rPr>
                <w:sz w:val="21"/>
              </w:rPr>
              <w:t>9.4</w:t>
            </w:r>
            <w:r>
              <w:rPr>
                <w:spacing w:val="-6"/>
                <w:sz w:val="21"/>
              </w:rPr>
              <w:t>)计算，本合同接受的投保年龄</w:t>
            </w:r>
            <w:r>
              <w:rPr>
                <w:spacing w:val="-28"/>
                <w:sz w:val="21"/>
              </w:rPr>
              <w:t>为 </w:t>
            </w:r>
            <w:r>
              <w:rPr>
                <w:sz w:val="21"/>
              </w:rPr>
              <w:t>0</w:t>
            </w:r>
            <w:r>
              <w:rPr>
                <w:spacing w:val="-18"/>
                <w:sz w:val="21"/>
              </w:rPr>
              <w:t> 周岁</w:t>
            </w:r>
            <w:r>
              <w:rPr>
                <w:spacing w:val="-3"/>
                <w:sz w:val="21"/>
              </w:rPr>
              <w:t>（</w:t>
            </w:r>
            <w:r>
              <w:rPr>
                <w:spacing w:val="-15"/>
                <w:sz w:val="21"/>
              </w:rPr>
              <w:t>出生满 </w:t>
            </w:r>
            <w:r>
              <w:rPr>
                <w:sz w:val="21"/>
              </w:rPr>
              <w:t>30</w:t>
            </w:r>
            <w:r>
              <w:rPr>
                <w:spacing w:val="-27"/>
                <w:sz w:val="21"/>
              </w:rPr>
              <w:t> 天</w:t>
            </w:r>
            <w:r>
              <w:rPr>
                <w:spacing w:val="-3"/>
                <w:sz w:val="21"/>
              </w:rPr>
              <w:t>）</w:t>
            </w:r>
            <w:r>
              <w:rPr>
                <w:spacing w:val="-25"/>
                <w:sz w:val="21"/>
              </w:rPr>
              <w:t>至 </w:t>
            </w:r>
            <w:r>
              <w:rPr>
                <w:sz w:val="21"/>
              </w:rPr>
              <w:t>55</w:t>
            </w:r>
            <w:r>
              <w:rPr>
                <w:spacing w:val="-19"/>
                <w:sz w:val="21"/>
              </w:rPr>
              <w:t> 周岁</w:t>
            </w:r>
            <w:r>
              <w:rPr>
                <w:sz w:val="21"/>
              </w:rPr>
              <w:t>（</w:t>
            </w:r>
            <w:r>
              <w:rPr>
                <w:spacing w:val="-27"/>
                <w:sz w:val="21"/>
              </w:rPr>
              <w:t>含 </w:t>
            </w:r>
            <w:r>
              <w:rPr>
                <w:sz w:val="21"/>
              </w:rPr>
              <w:t>55</w:t>
            </w:r>
            <w:r>
              <w:rPr>
                <w:spacing w:val="-18"/>
                <w:sz w:val="21"/>
              </w:rPr>
              <w:t> 周岁</w:t>
            </w:r>
            <w:r>
              <w:rPr>
                <w:spacing w:val="-108"/>
                <w:sz w:val="21"/>
              </w:rPr>
              <w:t>）</w:t>
            </w:r>
            <w:r>
              <w:rPr>
                <w:sz w:val="21"/>
              </w:rPr>
              <w:t>。</w:t>
            </w:r>
          </w:p>
        </w:tc>
      </w:tr>
      <w:tr>
        <w:trPr>
          <w:trHeight w:val="3062" w:hRule="atLeast"/>
        </w:trPr>
        <w:tc>
          <w:tcPr>
            <w:tcW w:w="822" w:type="dxa"/>
          </w:tcPr>
          <w:p>
            <w:pPr>
              <w:pStyle w:val="TableParagraph"/>
              <w:spacing w:before="38"/>
              <w:ind w:left="110"/>
              <w:rPr>
                <w:rFonts w:ascii="微软雅黑"/>
                <w:b/>
                <w:sz w:val="21"/>
              </w:rPr>
            </w:pPr>
            <w:r>
              <w:rPr>
                <w:rFonts w:ascii="微软雅黑"/>
                <w:b/>
                <w:sz w:val="21"/>
              </w:rPr>
              <w:t>1.4</w:t>
            </w:r>
          </w:p>
        </w:tc>
        <w:tc>
          <w:tcPr>
            <w:tcW w:w="2006" w:type="dxa"/>
          </w:tcPr>
          <w:p>
            <w:pPr>
              <w:pStyle w:val="TableParagraph"/>
              <w:spacing w:before="38"/>
              <w:ind w:left="191"/>
              <w:rPr>
                <w:rFonts w:ascii="微软雅黑" w:eastAsia="微软雅黑" w:hint="eastAsia"/>
                <w:b/>
                <w:sz w:val="21"/>
              </w:rPr>
            </w:pPr>
            <w:r>
              <w:rPr>
                <w:rFonts w:ascii="微软雅黑" w:eastAsia="微软雅黑" w:hint="eastAsia"/>
                <w:b/>
                <w:sz w:val="21"/>
              </w:rPr>
              <w:t>犹豫期</w:t>
            </w:r>
          </w:p>
        </w:tc>
        <w:tc>
          <w:tcPr>
            <w:tcW w:w="7698" w:type="dxa"/>
          </w:tcPr>
          <w:p>
            <w:pPr>
              <w:pStyle w:val="TableParagraph"/>
              <w:spacing w:line="273" w:lineRule="auto" w:before="100"/>
              <w:ind w:left="554" w:right="100" w:hanging="421"/>
              <w:rPr>
                <w:sz w:val="21"/>
              </w:rPr>
            </w:pPr>
            <w:r>
              <w:rPr>
                <w:spacing w:val="-3"/>
                <w:sz w:val="21"/>
              </w:rPr>
              <w:t>一、您收到本合同并书面签收或按照本公司要求的其他方式对本合同进行确认之</w:t>
            </w:r>
            <w:r>
              <w:rPr>
                <w:spacing w:val="-17"/>
                <w:sz w:val="21"/>
              </w:rPr>
              <w:t>日起 </w:t>
            </w:r>
            <w:r>
              <w:rPr>
                <w:sz w:val="21"/>
              </w:rPr>
              <w:t>10</w:t>
            </w:r>
            <w:r>
              <w:rPr>
                <w:spacing w:val="-28"/>
                <w:sz w:val="21"/>
              </w:rPr>
              <w:t> 日内</w:t>
            </w:r>
            <w:r>
              <w:rPr>
                <w:sz w:val="21"/>
              </w:rPr>
              <w:t>（</w:t>
            </w:r>
            <w:r>
              <w:rPr>
                <w:spacing w:val="-17"/>
                <w:sz w:val="21"/>
              </w:rPr>
              <w:t>含第 </w:t>
            </w:r>
            <w:r>
              <w:rPr>
                <w:sz w:val="21"/>
              </w:rPr>
              <w:t>10</w:t>
            </w:r>
            <w:r>
              <w:rPr>
                <w:spacing w:val="-25"/>
                <w:sz w:val="21"/>
              </w:rPr>
              <w:t> 日</w:t>
            </w:r>
            <w:r>
              <w:rPr>
                <w:spacing w:val="-36"/>
                <w:sz w:val="21"/>
              </w:rPr>
              <w:t>）</w:t>
            </w:r>
            <w:r>
              <w:rPr>
                <w:spacing w:val="-7"/>
                <w:sz w:val="21"/>
              </w:rPr>
              <w:t>为犹豫期，在此期间请您仔细审阅本合同的各项内</w:t>
            </w:r>
            <w:r>
              <w:rPr>
                <w:spacing w:val="-12"/>
                <w:sz w:val="21"/>
              </w:rPr>
              <w:t>容，特别是责任免除条款、合同解除条款以及如实告知等内容。若您认为本合</w:t>
            </w:r>
            <w:r>
              <w:rPr>
                <w:spacing w:val="-10"/>
                <w:sz w:val="21"/>
              </w:rPr>
              <w:t>同与您的需求不相符，您可以在此期间提出解除本合同，我们将在扣除不超过</w:t>
            </w:r>
          </w:p>
          <w:p>
            <w:pPr>
              <w:pStyle w:val="TableParagraph"/>
              <w:spacing w:line="273" w:lineRule="auto" w:before="7"/>
              <w:ind w:left="554" w:right="104"/>
              <w:rPr>
                <w:sz w:val="21"/>
              </w:rPr>
            </w:pPr>
            <w:r>
              <w:rPr>
                <w:sz w:val="21"/>
              </w:rPr>
              <w:t>10 元的工本费后无息退还您所交纳的保险费。但经本公司体检的，本公司有权扣除体检费。</w:t>
            </w:r>
          </w:p>
          <w:p>
            <w:pPr>
              <w:pStyle w:val="TableParagraph"/>
              <w:spacing w:line="204" w:lineRule="auto" w:before="49"/>
              <w:ind w:left="554" w:right="98" w:hanging="421"/>
              <w:jc w:val="both"/>
              <w:rPr>
                <w:rFonts w:ascii="微软雅黑" w:eastAsia="微软雅黑" w:hint="eastAsia"/>
                <w:b/>
                <w:sz w:val="22"/>
              </w:rPr>
            </w:pPr>
            <w:r>
              <w:rPr>
                <w:spacing w:val="-7"/>
                <w:sz w:val="21"/>
              </w:rPr>
              <w:t>二、您在犹豫期内提出解除合同时需填写解除合同申请书，并提供保险合同及您的</w:t>
            </w:r>
            <w:r>
              <w:rPr>
                <w:rFonts w:ascii="微软雅黑" w:eastAsia="微软雅黑" w:hint="eastAsia"/>
                <w:b/>
                <w:spacing w:val="-7"/>
                <w:sz w:val="21"/>
              </w:rPr>
              <w:t>有效身份证件</w:t>
            </w:r>
            <w:r>
              <w:rPr>
                <w:spacing w:val="-16"/>
                <w:sz w:val="21"/>
              </w:rPr>
              <w:t>(见 </w:t>
            </w:r>
            <w:r>
              <w:rPr>
                <w:sz w:val="21"/>
              </w:rPr>
              <w:t>9.5)</w:t>
            </w:r>
            <w:r>
              <w:rPr>
                <w:spacing w:val="-8"/>
                <w:sz w:val="21"/>
              </w:rPr>
              <w:t>。自我们收到解除合同申请书时起，本合同终止，</w:t>
            </w:r>
            <w:r>
              <w:rPr>
                <w:rFonts w:ascii="微软雅黑" w:eastAsia="微软雅黑" w:hint="eastAsia"/>
                <w:b/>
                <w:sz w:val="22"/>
              </w:rPr>
              <w:t>在犹</w:t>
            </w:r>
            <w:r>
              <w:rPr>
                <w:rFonts w:ascii="微软雅黑" w:eastAsia="微软雅黑" w:hint="eastAsia"/>
                <w:b/>
                <w:spacing w:val="-2"/>
                <w:w w:val="95"/>
                <w:sz w:val="22"/>
              </w:rPr>
              <w:t>豫期内发生的保险事故我们不承担保险责任。</w:t>
            </w:r>
          </w:p>
        </w:tc>
      </w:tr>
      <w:tr>
        <w:trPr>
          <w:trHeight w:val="710" w:hRule="atLeast"/>
        </w:trPr>
        <w:tc>
          <w:tcPr>
            <w:tcW w:w="822" w:type="dxa"/>
            <w:tcBorders>
              <w:bottom w:val="single" w:sz="8" w:space="0" w:color="000000"/>
            </w:tcBorders>
          </w:tcPr>
          <w:p>
            <w:pPr>
              <w:pStyle w:val="TableParagraph"/>
              <w:spacing w:before="151"/>
              <w:ind w:left="0" w:right="189"/>
              <w:jc w:val="right"/>
              <w:rPr>
                <w:rFonts w:ascii="Arial" w:hAnsi="Arial"/>
                <w:b/>
                <w:sz w:val="40"/>
              </w:rPr>
            </w:pPr>
            <w:r>
              <w:rPr>
                <w:rFonts w:ascii="Arial" w:hAnsi="Arial"/>
                <w:b/>
                <w:w w:val="119"/>
                <w:sz w:val="40"/>
              </w:rPr>
              <w:t></w:t>
            </w:r>
          </w:p>
        </w:tc>
        <w:tc>
          <w:tcPr>
            <w:tcW w:w="2006" w:type="dxa"/>
            <w:tcBorders>
              <w:bottom w:val="single" w:sz="8" w:space="0" w:color="000000"/>
            </w:tcBorders>
          </w:tcPr>
          <w:p>
            <w:pPr>
              <w:pStyle w:val="TableParagraph"/>
              <w:spacing w:before="131"/>
              <w:ind w:left="191"/>
              <w:rPr>
                <w:rFonts w:ascii="微软雅黑" w:eastAsia="微软雅黑" w:hint="eastAsia"/>
                <w:b/>
                <w:sz w:val="24"/>
              </w:rPr>
            </w:pPr>
            <w:r>
              <w:rPr>
                <w:rFonts w:ascii="微软雅黑" w:eastAsia="微软雅黑" w:hint="eastAsia"/>
                <w:b/>
                <w:sz w:val="24"/>
              </w:rPr>
              <w:t>我们提供的保障</w:t>
            </w:r>
          </w:p>
        </w:tc>
        <w:tc>
          <w:tcPr>
            <w:tcW w:w="7698" w:type="dxa"/>
            <w:tcBorders>
              <w:bottom w:val="single" w:sz="8" w:space="0" w:color="000000"/>
            </w:tcBorders>
          </w:tcPr>
          <w:p>
            <w:pPr>
              <w:pStyle w:val="TableParagraph"/>
              <w:ind w:left="0"/>
              <w:rPr>
                <w:rFonts w:ascii="Times New Roman"/>
                <w:sz w:val="20"/>
              </w:rPr>
            </w:pPr>
          </w:p>
        </w:tc>
      </w:tr>
      <w:tr>
        <w:trPr>
          <w:trHeight w:val="652" w:hRule="atLeast"/>
        </w:trPr>
        <w:tc>
          <w:tcPr>
            <w:tcW w:w="822" w:type="dxa"/>
            <w:tcBorders>
              <w:top w:val="single" w:sz="8" w:space="0" w:color="000000"/>
            </w:tcBorders>
          </w:tcPr>
          <w:p>
            <w:pPr>
              <w:pStyle w:val="TableParagraph"/>
              <w:spacing w:before="151"/>
              <w:ind w:left="110"/>
              <w:rPr>
                <w:rFonts w:ascii="微软雅黑"/>
                <w:b/>
                <w:sz w:val="21"/>
              </w:rPr>
            </w:pPr>
            <w:r>
              <w:rPr>
                <w:rFonts w:ascii="微软雅黑"/>
                <w:b/>
                <w:sz w:val="21"/>
              </w:rPr>
              <w:t>2.1</w:t>
            </w:r>
          </w:p>
        </w:tc>
        <w:tc>
          <w:tcPr>
            <w:tcW w:w="2006" w:type="dxa"/>
            <w:tcBorders>
              <w:top w:val="single" w:sz="8" w:space="0" w:color="000000"/>
            </w:tcBorders>
          </w:tcPr>
          <w:p>
            <w:pPr>
              <w:pStyle w:val="TableParagraph"/>
              <w:spacing w:before="151"/>
              <w:ind w:left="191"/>
              <w:rPr>
                <w:rFonts w:ascii="微软雅黑" w:eastAsia="微软雅黑" w:hint="eastAsia"/>
                <w:b/>
                <w:sz w:val="21"/>
              </w:rPr>
            </w:pPr>
            <w:r>
              <w:rPr>
                <w:rFonts w:ascii="微软雅黑" w:eastAsia="微软雅黑" w:hint="eastAsia"/>
                <w:b/>
                <w:sz w:val="21"/>
              </w:rPr>
              <w:t>保险责任</w:t>
            </w:r>
          </w:p>
        </w:tc>
        <w:tc>
          <w:tcPr>
            <w:tcW w:w="7698" w:type="dxa"/>
            <w:tcBorders>
              <w:top w:val="single" w:sz="8" w:space="0" w:color="000000"/>
            </w:tcBorders>
          </w:tcPr>
          <w:p>
            <w:pPr>
              <w:pStyle w:val="TableParagraph"/>
              <w:spacing w:before="3"/>
              <w:ind w:left="0"/>
              <w:rPr>
                <w:sz w:val="16"/>
              </w:rPr>
            </w:pPr>
          </w:p>
          <w:p>
            <w:pPr>
              <w:pStyle w:val="TableParagraph"/>
              <w:spacing w:before="1"/>
              <w:ind w:left="133"/>
              <w:rPr>
                <w:sz w:val="21"/>
              </w:rPr>
            </w:pPr>
            <w:r>
              <w:rPr>
                <w:sz w:val="21"/>
              </w:rPr>
              <w:t>在本合同有效期间内，我们按照以下约定承担保险责任：</w:t>
            </w:r>
          </w:p>
        </w:tc>
      </w:tr>
      <w:tr>
        <w:trPr>
          <w:trHeight w:val="1935" w:hRule="atLeast"/>
        </w:trPr>
        <w:tc>
          <w:tcPr>
            <w:tcW w:w="822" w:type="dxa"/>
          </w:tcPr>
          <w:p>
            <w:pPr>
              <w:pStyle w:val="TableParagraph"/>
              <w:ind w:left="0"/>
              <w:rPr>
                <w:rFonts w:ascii="Times New Roman"/>
                <w:sz w:val="20"/>
              </w:rPr>
            </w:pPr>
          </w:p>
        </w:tc>
        <w:tc>
          <w:tcPr>
            <w:tcW w:w="2006" w:type="dxa"/>
          </w:tcPr>
          <w:p>
            <w:pPr>
              <w:pStyle w:val="TableParagraph"/>
              <w:spacing w:before="13"/>
              <w:ind w:left="191"/>
              <w:rPr>
                <w:rFonts w:ascii="Microsoft JhengHei" w:eastAsia="Microsoft JhengHei" w:hint="eastAsia"/>
                <w:b/>
                <w:sz w:val="24"/>
              </w:rPr>
            </w:pPr>
            <w:r>
              <w:rPr>
                <w:rFonts w:ascii="Microsoft JhengHei" w:eastAsia="Microsoft JhengHei" w:hint="eastAsia"/>
                <w:b/>
                <w:sz w:val="24"/>
              </w:rPr>
              <w:t>重大疾病保险金</w:t>
            </w:r>
          </w:p>
        </w:tc>
        <w:tc>
          <w:tcPr>
            <w:tcW w:w="7698" w:type="dxa"/>
          </w:tcPr>
          <w:p>
            <w:pPr>
              <w:pStyle w:val="TableParagraph"/>
              <w:spacing w:line="225" w:lineRule="auto" w:before="60"/>
              <w:ind w:left="554" w:right="101" w:hanging="421"/>
              <w:jc w:val="both"/>
              <w:rPr>
                <w:sz w:val="21"/>
              </w:rPr>
            </w:pPr>
            <w:r>
              <w:rPr>
                <w:spacing w:val="-4"/>
                <w:sz w:val="21"/>
              </w:rPr>
              <w:t>一、若被保险人于本合同生效或最后复效之日起 </w:t>
            </w:r>
            <w:r>
              <w:rPr>
                <w:sz w:val="21"/>
              </w:rPr>
              <w:t>180</w:t>
            </w:r>
            <w:r>
              <w:rPr>
                <w:spacing w:val="-9"/>
                <w:sz w:val="21"/>
              </w:rPr>
              <w:t> 日内</w:t>
            </w:r>
            <w:r>
              <w:rPr>
                <w:sz w:val="21"/>
              </w:rPr>
              <w:t>（</w:t>
            </w:r>
            <w:r>
              <w:rPr>
                <w:spacing w:val="-8"/>
                <w:sz w:val="21"/>
              </w:rPr>
              <w:t>含第 </w:t>
            </w:r>
            <w:r>
              <w:rPr>
                <w:sz w:val="21"/>
              </w:rPr>
              <w:t>180</w:t>
            </w:r>
            <w:r>
              <w:rPr>
                <w:spacing w:val="-11"/>
                <w:sz w:val="21"/>
              </w:rPr>
              <w:t> 日</w:t>
            </w:r>
            <w:r>
              <w:rPr>
                <w:spacing w:val="-3"/>
                <w:sz w:val="21"/>
              </w:rPr>
              <w:t>）因</w:t>
            </w:r>
            <w:r>
              <w:rPr>
                <w:rFonts w:ascii="微软雅黑" w:eastAsia="微软雅黑" w:hint="eastAsia"/>
                <w:b/>
                <w:sz w:val="21"/>
              </w:rPr>
              <w:t>意外伤害</w:t>
            </w:r>
            <w:r>
              <w:rPr>
                <w:spacing w:val="0"/>
                <w:sz w:val="21"/>
              </w:rPr>
              <w:t>(见 </w:t>
            </w:r>
            <w:r>
              <w:rPr>
                <w:sz w:val="21"/>
              </w:rPr>
              <w:t>9.6</w:t>
            </w:r>
            <w:r>
              <w:rPr>
                <w:spacing w:val="-3"/>
                <w:sz w:val="21"/>
              </w:rPr>
              <w:t>)以外的原因</w:t>
            </w:r>
            <w:r>
              <w:rPr>
                <w:rFonts w:ascii="微软雅黑" w:eastAsia="微软雅黑" w:hint="eastAsia"/>
                <w:b/>
                <w:spacing w:val="-2"/>
                <w:sz w:val="21"/>
              </w:rPr>
              <w:t>初次患本合同所列的重大疾病</w:t>
            </w:r>
            <w:r>
              <w:rPr>
                <w:spacing w:val="0"/>
                <w:sz w:val="21"/>
              </w:rPr>
              <w:t>(见 </w:t>
            </w:r>
            <w:r>
              <w:rPr>
                <w:sz w:val="21"/>
              </w:rPr>
              <w:t>9.7；9.8)，我们</w:t>
            </w:r>
            <w:r>
              <w:rPr>
                <w:spacing w:val="-3"/>
                <w:sz w:val="21"/>
              </w:rPr>
              <w:t>将无息返还您所交的保费，本合同终止。</w:t>
            </w:r>
          </w:p>
          <w:p>
            <w:pPr>
              <w:pStyle w:val="TableParagraph"/>
              <w:spacing w:line="310" w:lineRule="atLeast" w:before="2"/>
              <w:ind w:left="554" w:right="98" w:hanging="421"/>
              <w:jc w:val="both"/>
              <w:rPr>
                <w:sz w:val="21"/>
              </w:rPr>
            </w:pPr>
            <w:r>
              <w:rPr>
                <w:spacing w:val="-12"/>
                <w:sz w:val="21"/>
              </w:rPr>
              <w:t>二、若被保险人因意外伤害，或于本合同生效或最后复效之日起 </w:t>
            </w:r>
            <w:r>
              <w:rPr>
                <w:sz w:val="21"/>
              </w:rPr>
              <w:t>180</w:t>
            </w:r>
            <w:r>
              <w:rPr>
                <w:spacing w:val="-8"/>
                <w:sz w:val="21"/>
              </w:rPr>
              <w:t> 日后因意外伤</w:t>
            </w:r>
            <w:r>
              <w:rPr>
                <w:spacing w:val="-10"/>
                <w:sz w:val="21"/>
              </w:rPr>
              <w:t>害以外的原因初次患本合同所列的重大疾病，我们按本合同载明的保险金额给</w:t>
            </w:r>
            <w:r>
              <w:rPr>
                <w:spacing w:val="-5"/>
                <w:sz w:val="21"/>
              </w:rPr>
              <w:t>付重大疾病保险金，本合同终止。</w:t>
            </w:r>
          </w:p>
        </w:tc>
      </w:tr>
    </w:tbl>
    <w:p>
      <w:pPr>
        <w:spacing w:after="0" w:line="310" w:lineRule="atLeast"/>
        <w:jc w:val="both"/>
        <w:rPr>
          <w:sz w:val="21"/>
        </w:rPr>
        <w:sectPr>
          <w:pgSz w:w="11910" w:h="16840"/>
          <w:pgMar w:top="1320" w:bottom="280" w:left="560" w:right="60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2"/>
        <w:gridCol w:w="2006"/>
        <w:gridCol w:w="7702"/>
      </w:tblGrid>
      <w:tr>
        <w:trPr>
          <w:trHeight w:val="4755" w:hRule="atLeast"/>
        </w:trPr>
        <w:tc>
          <w:tcPr>
            <w:tcW w:w="822" w:type="dxa"/>
          </w:tcPr>
          <w:p>
            <w:pPr>
              <w:pStyle w:val="TableParagraph"/>
              <w:spacing w:line="246" w:lineRule="exact"/>
              <w:ind w:left="110"/>
              <w:rPr>
                <w:rFonts w:ascii="微软雅黑"/>
                <w:b/>
                <w:sz w:val="21"/>
              </w:rPr>
            </w:pPr>
            <w:r>
              <w:rPr>
                <w:rFonts w:ascii="微软雅黑"/>
                <w:b/>
                <w:sz w:val="21"/>
              </w:rPr>
              <w:t>2.2</w:t>
            </w:r>
          </w:p>
        </w:tc>
        <w:tc>
          <w:tcPr>
            <w:tcW w:w="2006" w:type="dxa"/>
          </w:tcPr>
          <w:p>
            <w:pPr>
              <w:pStyle w:val="TableParagraph"/>
              <w:spacing w:line="245" w:lineRule="exact"/>
              <w:ind w:left="191"/>
              <w:rPr>
                <w:rFonts w:ascii="Microsoft JhengHei" w:eastAsia="Microsoft JhengHei" w:hint="eastAsia"/>
                <w:b/>
                <w:sz w:val="21"/>
              </w:rPr>
            </w:pPr>
            <w:r>
              <w:rPr>
                <w:rFonts w:ascii="Microsoft JhengHei" w:eastAsia="Microsoft JhengHei" w:hint="eastAsia"/>
                <w:b/>
                <w:sz w:val="21"/>
              </w:rPr>
              <w:t>责任免除</w:t>
            </w:r>
          </w:p>
        </w:tc>
        <w:tc>
          <w:tcPr>
            <w:tcW w:w="7702" w:type="dxa"/>
          </w:tcPr>
          <w:p>
            <w:pPr>
              <w:pStyle w:val="TableParagraph"/>
              <w:spacing w:line="222" w:lineRule="exact"/>
              <w:ind w:left="133"/>
              <w:rPr>
                <w:sz w:val="22"/>
              </w:rPr>
            </w:pPr>
            <w:r>
              <w:rPr>
                <w:w w:val="95"/>
                <w:sz w:val="22"/>
              </w:rPr>
              <w:t>一、因下列情形之一导致被保险人患重大疾病的，我们不承担给付保险金的责任：</w:t>
            </w:r>
          </w:p>
          <w:p>
            <w:pPr>
              <w:pStyle w:val="TableParagraph"/>
              <w:spacing w:before="24"/>
              <w:ind w:left="345"/>
              <w:rPr>
                <w:sz w:val="22"/>
              </w:rPr>
            </w:pPr>
            <w:r>
              <w:rPr>
                <w:w w:val="95"/>
                <w:sz w:val="22"/>
              </w:rPr>
              <w:t>（一）投保人对被保险人的故意杀害、故意伤害；</w:t>
            </w:r>
          </w:p>
          <w:p>
            <w:pPr>
              <w:pStyle w:val="TableParagraph"/>
              <w:spacing w:before="23"/>
              <w:ind w:left="345"/>
              <w:rPr>
                <w:sz w:val="22"/>
              </w:rPr>
            </w:pPr>
            <w:r>
              <w:rPr>
                <w:w w:val="95"/>
                <w:sz w:val="22"/>
              </w:rPr>
              <w:t>（二）被保险人故意犯罪或抗拒依法采取的刑事强制措施；</w:t>
            </w:r>
          </w:p>
          <w:p>
            <w:pPr>
              <w:pStyle w:val="TableParagraph"/>
              <w:spacing w:line="265" w:lineRule="exact" w:before="23"/>
              <w:ind w:left="345"/>
              <w:rPr>
                <w:sz w:val="22"/>
              </w:rPr>
            </w:pPr>
            <w:r>
              <w:rPr>
                <w:w w:val="95"/>
                <w:sz w:val="22"/>
              </w:rPr>
              <w:t>（三）被保险人殴斗、故意自伤；</w:t>
            </w:r>
          </w:p>
          <w:p>
            <w:pPr>
              <w:pStyle w:val="TableParagraph"/>
              <w:spacing w:line="325" w:lineRule="exact"/>
              <w:ind w:left="345"/>
              <w:rPr>
                <w:sz w:val="22"/>
              </w:rPr>
            </w:pPr>
            <w:r>
              <w:rPr>
                <w:w w:val="95"/>
                <w:sz w:val="22"/>
              </w:rPr>
              <w:t>（四</w:t>
            </w:r>
            <w:r>
              <w:rPr>
                <w:spacing w:val="-3"/>
                <w:w w:val="95"/>
                <w:sz w:val="22"/>
              </w:rPr>
              <w:t>）被保险人主动吸食或注射</w:t>
            </w:r>
            <w:r>
              <w:rPr>
                <w:rFonts w:ascii="Microsoft JhengHei" w:eastAsia="Microsoft JhengHei" w:hint="eastAsia"/>
                <w:b/>
                <w:w w:val="95"/>
                <w:sz w:val="22"/>
              </w:rPr>
              <w:t>毒品</w:t>
            </w:r>
            <w:r>
              <w:rPr>
                <w:spacing w:val="-3"/>
                <w:w w:val="95"/>
                <w:sz w:val="22"/>
              </w:rPr>
              <w:t>（</w:t>
            </w:r>
            <w:r>
              <w:rPr>
                <w:w w:val="95"/>
                <w:sz w:val="22"/>
              </w:rPr>
              <w:t>见</w:t>
            </w:r>
            <w:r>
              <w:rPr>
                <w:spacing w:val="-58"/>
                <w:sz w:val="22"/>
              </w:rPr>
              <w:t> </w:t>
            </w:r>
            <w:r>
              <w:rPr>
                <w:w w:val="95"/>
                <w:sz w:val="22"/>
              </w:rPr>
              <w:t>9</w:t>
            </w:r>
            <w:r>
              <w:rPr>
                <w:spacing w:val="-3"/>
                <w:w w:val="95"/>
                <w:sz w:val="22"/>
              </w:rPr>
              <w:t>.</w:t>
            </w:r>
            <w:r>
              <w:rPr>
                <w:w w:val="95"/>
                <w:sz w:val="22"/>
              </w:rPr>
              <w:t>9</w:t>
            </w:r>
            <w:r>
              <w:rPr>
                <w:spacing w:val="-106"/>
                <w:w w:val="95"/>
                <w:sz w:val="22"/>
              </w:rPr>
              <w:t>）</w:t>
            </w:r>
            <w:r>
              <w:rPr>
                <w:w w:val="95"/>
                <w:sz w:val="22"/>
              </w:rPr>
              <w:t>；</w:t>
            </w:r>
          </w:p>
          <w:p>
            <w:pPr>
              <w:pStyle w:val="TableParagraph"/>
              <w:spacing w:line="194" w:lineRule="auto" w:before="38"/>
              <w:ind w:left="969" w:right="203" w:hanging="624"/>
              <w:rPr>
                <w:sz w:val="22"/>
              </w:rPr>
            </w:pPr>
            <w:r>
              <w:rPr>
                <w:w w:val="96"/>
                <w:sz w:val="22"/>
              </w:rPr>
              <w:t>（五</w:t>
            </w:r>
            <w:r>
              <w:rPr>
                <w:spacing w:val="-3"/>
                <w:w w:val="96"/>
                <w:sz w:val="22"/>
              </w:rPr>
              <w:t>）被保险人</w:t>
            </w:r>
            <w:r>
              <w:rPr>
                <w:rFonts w:ascii="Microsoft JhengHei" w:eastAsia="Microsoft JhengHei" w:hint="eastAsia"/>
                <w:b/>
                <w:spacing w:val="-1"/>
                <w:w w:val="96"/>
                <w:sz w:val="22"/>
              </w:rPr>
              <w:t>酒后驾驶</w:t>
            </w:r>
            <w:r>
              <w:rPr>
                <w:w w:val="96"/>
                <w:sz w:val="22"/>
              </w:rPr>
              <w:t>（见</w:t>
            </w:r>
            <w:r>
              <w:rPr>
                <w:spacing w:val="-57"/>
                <w:sz w:val="22"/>
              </w:rPr>
              <w:t> </w:t>
            </w:r>
            <w:r>
              <w:rPr>
                <w:spacing w:val="-3"/>
                <w:w w:val="96"/>
                <w:sz w:val="22"/>
              </w:rPr>
              <w:t>9</w:t>
            </w:r>
            <w:r>
              <w:rPr>
                <w:w w:val="96"/>
                <w:sz w:val="22"/>
              </w:rPr>
              <w:t>.10</w:t>
            </w:r>
            <w:r>
              <w:rPr>
                <w:spacing w:val="-108"/>
                <w:w w:val="96"/>
                <w:sz w:val="22"/>
              </w:rPr>
              <w:t>）</w:t>
            </w:r>
            <w:r>
              <w:rPr>
                <w:spacing w:val="-3"/>
                <w:w w:val="96"/>
                <w:sz w:val="22"/>
              </w:rPr>
              <w:t>、</w:t>
            </w:r>
            <w:r>
              <w:rPr>
                <w:rFonts w:ascii="Microsoft JhengHei" w:eastAsia="Microsoft JhengHei" w:hint="eastAsia"/>
                <w:b/>
                <w:spacing w:val="-1"/>
                <w:w w:val="96"/>
                <w:sz w:val="22"/>
              </w:rPr>
              <w:t>无有效驾驶证驾驶</w:t>
            </w:r>
            <w:r>
              <w:rPr>
                <w:spacing w:val="-3"/>
                <w:w w:val="96"/>
                <w:sz w:val="22"/>
              </w:rPr>
              <w:t>（</w:t>
            </w:r>
            <w:r>
              <w:rPr>
                <w:w w:val="96"/>
                <w:sz w:val="22"/>
              </w:rPr>
              <w:t>见</w:t>
            </w:r>
            <w:r>
              <w:rPr>
                <w:spacing w:val="-58"/>
                <w:sz w:val="22"/>
              </w:rPr>
              <w:t> </w:t>
            </w:r>
            <w:r>
              <w:rPr>
                <w:w w:val="96"/>
                <w:sz w:val="22"/>
              </w:rPr>
              <w:t>9.</w:t>
            </w:r>
            <w:r>
              <w:rPr>
                <w:spacing w:val="-3"/>
                <w:w w:val="96"/>
                <w:sz w:val="22"/>
              </w:rPr>
              <w:t>1</w:t>
            </w:r>
            <w:r>
              <w:rPr>
                <w:w w:val="96"/>
                <w:sz w:val="22"/>
              </w:rPr>
              <w:t>1</w:t>
            </w:r>
            <w:r>
              <w:rPr>
                <w:spacing w:val="-3"/>
                <w:w w:val="96"/>
                <w:sz w:val="22"/>
              </w:rPr>
              <w:t>）或驾驶</w:t>
            </w:r>
            <w:r>
              <w:rPr>
                <w:rFonts w:ascii="Microsoft JhengHei" w:eastAsia="Microsoft JhengHei" w:hint="eastAsia"/>
                <w:b/>
                <w:w w:val="96"/>
                <w:sz w:val="22"/>
              </w:rPr>
              <w:t>无有效行驶证</w:t>
            </w:r>
            <w:r>
              <w:rPr>
                <w:spacing w:val="-3"/>
                <w:w w:val="96"/>
                <w:sz w:val="22"/>
              </w:rPr>
              <w:t>（</w:t>
            </w:r>
            <w:r>
              <w:rPr>
                <w:w w:val="96"/>
                <w:sz w:val="22"/>
              </w:rPr>
              <w:t>见</w:t>
            </w:r>
            <w:r>
              <w:rPr>
                <w:spacing w:val="-58"/>
                <w:sz w:val="22"/>
              </w:rPr>
              <w:t> </w:t>
            </w:r>
            <w:r>
              <w:rPr>
                <w:w w:val="96"/>
                <w:sz w:val="22"/>
              </w:rPr>
              <w:t>9</w:t>
            </w:r>
            <w:r>
              <w:rPr>
                <w:spacing w:val="-3"/>
                <w:w w:val="96"/>
                <w:sz w:val="22"/>
              </w:rPr>
              <w:t>.</w:t>
            </w:r>
            <w:r>
              <w:rPr>
                <w:w w:val="96"/>
                <w:sz w:val="22"/>
              </w:rPr>
              <w:t>12</w:t>
            </w:r>
            <w:r>
              <w:rPr>
                <w:spacing w:val="-3"/>
                <w:w w:val="96"/>
                <w:sz w:val="22"/>
              </w:rPr>
              <w:t>）的</w:t>
            </w:r>
            <w:r>
              <w:rPr>
                <w:rFonts w:ascii="Microsoft JhengHei" w:eastAsia="Microsoft JhengHei" w:hint="eastAsia"/>
                <w:b/>
                <w:w w:val="96"/>
                <w:sz w:val="22"/>
              </w:rPr>
              <w:t>机动车</w:t>
            </w:r>
            <w:r>
              <w:rPr>
                <w:spacing w:val="-3"/>
                <w:w w:val="96"/>
                <w:sz w:val="22"/>
              </w:rPr>
              <w:t>（</w:t>
            </w:r>
            <w:r>
              <w:rPr>
                <w:w w:val="96"/>
                <w:sz w:val="22"/>
              </w:rPr>
              <w:t>见</w:t>
            </w:r>
            <w:r>
              <w:rPr>
                <w:spacing w:val="-58"/>
                <w:sz w:val="22"/>
              </w:rPr>
              <w:t> </w:t>
            </w:r>
            <w:r>
              <w:rPr>
                <w:w w:val="96"/>
                <w:sz w:val="22"/>
              </w:rPr>
              <w:t>9.</w:t>
            </w:r>
            <w:r>
              <w:rPr>
                <w:spacing w:val="-3"/>
                <w:w w:val="96"/>
                <w:sz w:val="22"/>
              </w:rPr>
              <w:t>1</w:t>
            </w:r>
            <w:r>
              <w:rPr>
                <w:w w:val="96"/>
                <w:sz w:val="22"/>
              </w:rPr>
              <w:t>3</w:t>
            </w:r>
            <w:r>
              <w:rPr>
                <w:spacing w:val="-106"/>
                <w:w w:val="96"/>
                <w:sz w:val="22"/>
              </w:rPr>
              <w:t>）</w:t>
            </w:r>
            <w:r>
              <w:rPr>
                <w:w w:val="96"/>
                <w:sz w:val="22"/>
              </w:rPr>
              <w:t>；</w:t>
            </w:r>
          </w:p>
          <w:p>
            <w:pPr>
              <w:pStyle w:val="TableParagraph"/>
              <w:spacing w:line="259" w:lineRule="auto"/>
              <w:ind w:left="674" w:right="103" w:hanging="329"/>
              <w:rPr>
                <w:sz w:val="22"/>
              </w:rPr>
            </w:pPr>
            <w:r>
              <w:rPr>
                <w:w w:val="95"/>
                <w:sz w:val="22"/>
              </w:rPr>
              <w:t>（六</w:t>
            </w:r>
            <w:r>
              <w:rPr>
                <w:spacing w:val="-24"/>
                <w:w w:val="95"/>
                <w:sz w:val="22"/>
              </w:rPr>
              <w:t>）</w:t>
            </w:r>
            <w:r>
              <w:rPr>
                <w:spacing w:val="-11"/>
                <w:w w:val="95"/>
                <w:sz w:val="22"/>
              </w:rPr>
              <w:t>战争、军事冲突、暴乱、恐怖活动或武装叛乱</w:t>
            </w:r>
            <w:r>
              <w:rPr>
                <w:w w:val="95"/>
                <w:sz w:val="22"/>
              </w:rPr>
              <w:t>（</w:t>
            </w:r>
            <w:r>
              <w:rPr>
                <w:spacing w:val="-3"/>
                <w:w w:val="95"/>
                <w:sz w:val="22"/>
              </w:rPr>
              <w:t>以上行为以政府宣告或认</w:t>
            </w:r>
            <w:r>
              <w:rPr>
                <w:spacing w:val="-3"/>
                <w:w w:val="95"/>
                <w:sz w:val="22"/>
              </w:rPr>
              <w:t>定为准</w:t>
            </w:r>
            <w:r>
              <w:rPr>
                <w:spacing w:val="-106"/>
                <w:w w:val="95"/>
                <w:sz w:val="22"/>
              </w:rPr>
              <w:t>）</w:t>
            </w:r>
            <w:r>
              <w:rPr>
                <w:w w:val="95"/>
                <w:sz w:val="22"/>
              </w:rPr>
              <w:t>；</w:t>
            </w:r>
          </w:p>
          <w:p>
            <w:pPr>
              <w:pStyle w:val="TableParagraph"/>
              <w:spacing w:line="265" w:lineRule="exact" w:before="7"/>
              <w:ind w:left="345"/>
              <w:rPr>
                <w:sz w:val="22"/>
              </w:rPr>
            </w:pPr>
            <w:r>
              <w:rPr>
                <w:w w:val="95"/>
                <w:sz w:val="22"/>
              </w:rPr>
              <w:t>（七）核爆炸、核辐射或核污染；</w:t>
            </w:r>
          </w:p>
          <w:p>
            <w:pPr>
              <w:pStyle w:val="TableParagraph"/>
              <w:spacing w:line="312" w:lineRule="exact" w:before="54"/>
              <w:ind w:left="133" w:right="102" w:firstLine="211"/>
              <w:rPr>
                <w:sz w:val="22"/>
              </w:rPr>
            </w:pPr>
            <w:r>
              <w:rPr>
                <w:w w:val="96"/>
                <w:sz w:val="22"/>
              </w:rPr>
              <w:t>（八</w:t>
            </w:r>
            <w:r>
              <w:rPr>
                <w:spacing w:val="-3"/>
                <w:w w:val="96"/>
                <w:sz w:val="22"/>
              </w:rPr>
              <w:t>）</w:t>
            </w:r>
            <w:r>
              <w:rPr>
                <w:rFonts w:ascii="Microsoft JhengHei" w:eastAsia="Microsoft JhengHei" w:hint="eastAsia"/>
                <w:b/>
                <w:w w:val="96"/>
                <w:sz w:val="22"/>
              </w:rPr>
              <w:t>遗传性疾病</w:t>
            </w:r>
            <w:r>
              <w:rPr>
                <w:spacing w:val="-3"/>
                <w:w w:val="96"/>
                <w:sz w:val="22"/>
              </w:rPr>
              <w:t>（</w:t>
            </w:r>
            <w:r>
              <w:rPr>
                <w:w w:val="96"/>
                <w:sz w:val="22"/>
              </w:rPr>
              <w:t>见</w:t>
            </w:r>
            <w:r>
              <w:rPr>
                <w:spacing w:val="-60"/>
                <w:sz w:val="22"/>
              </w:rPr>
              <w:t> </w:t>
            </w:r>
            <w:r>
              <w:rPr>
                <w:w w:val="96"/>
                <w:sz w:val="22"/>
              </w:rPr>
              <w:t>9</w:t>
            </w:r>
            <w:r>
              <w:rPr>
                <w:spacing w:val="-3"/>
                <w:w w:val="96"/>
                <w:sz w:val="22"/>
              </w:rPr>
              <w:t>.</w:t>
            </w:r>
            <w:r>
              <w:rPr>
                <w:w w:val="96"/>
                <w:sz w:val="22"/>
              </w:rPr>
              <w:t>14</w:t>
            </w:r>
            <w:r>
              <w:rPr>
                <w:spacing w:val="-108"/>
                <w:w w:val="96"/>
                <w:sz w:val="22"/>
              </w:rPr>
              <w:t>）</w:t>
            </w:r>
            <w:r>
              <w:rPr>
                <w:rFonts w:ascii="Microsoft JhengHei" w:eastAsia="Microsoft JhengHei" w:hint="eastAsia"/>
                <w:b/>
                <w:spacing w:val="-1"/>
                <w:w w:val="96"/>
                <w:sz w:val="22"/>
              </w:rPr>
              <w:t>、先天性畸形、变形或染色体异常</w:t>
            </w:r>
            <w:r>
              <w:rPr>
                <w:spacing w:val="-3"/>
                <w:w w:val="96"/>
                <w:sz w:val="22"/>
              </w:rPr>
              <w:t>（</w:t>
            </w:r>
            <w:r>
              <w:rPr>
                <w:w w:val="96"/>
                <w:sz w:val="22"/>
              </w:rPr>
              <w:t>见</w:t>
            </w:r>
            <w:r>
              <w:rPr>
                <w:spacing w:val="-58"/>
                <w:sz w:val="22"/>
              </w:rPr>
              <w:t> </w:t>
            </w:r>
            <w:r>
              <w:rPr>
                <w:w w:val="96"/>
                <w:sz w:val="22"/>
              </w:rPr>
              <w:t>9</w:t>
            </w:r>
            <w:r>
              <w:rPr>
                <w:spacing w:val="-3"/>
                <w:w w:val="96"/>
                <w:sz w:val="22"/>
              </w:rPr>
              <w:t>.</w:t>
            </w:r>
            <w:r>
              <w:rPr>
                <w:w w:val="96"/>
                <w:sz w:val="22"/>
              </w:rPr>
              <w:t>15</w:t>
            </w:r>
            <w:r>
              <w:rPr>
                <w:spacing w:val="-108"/>
                <w:w w:val="96"/>
                <w:sz w:val="22"/>
              </w:rPr>
              <w:t>）</w:t>
            </w:r>
            <w:r>
              <w:rPr>
                <w:w w:val="96"/>
                <w:sz w:val="22"/>
              </w:rPr>
              <w:t>。</w:t>
            </w:r>
            <w:r>
              <w:rPr>
                <w:spacing w:val="-9"/>
                <w:w w:val="95"/>
                <w:sz w:val="22"/>
              </w:rPr>
              <w:t>二、发</w:t>
            </w:r>
            <w:r>
              <w:rPr>
                <w:w w:val="95"/>
                <w:sz w:val="22"/>
              </w:rPr>
              <w:t>Th</w:t>
            </w:r>
            <w:r>
              <w:rPr>
                <w:spacing w:val="-9"/>
                <w:w w:val="95"/>
                <w:sz w:val="22"/>
              </w:rPr>
              <w:t>上述第</w:t>
            </w:r>
            <w:r>
              <w:rPr>
                <w:spacing w:val="-3"/>
                <w:w w:val="95"/>
                <w:sz w:val="22"/>
              </w:rPr>
              <w:t>（</w:t>
            </w:r>
            <w:r>
              <w:rPr>
                <w:w w:val="95"/>
                <w:sz w:val="22"/>
              </w:rPr>
              <w:t>一</w:t>
            </w:r>
            <w:r>
              <w:rPr>
                <w:spacing w:val="-22"/>
                <w:w w:val="95"/>
                <w:sz w:val="22"/>
              </w:rPr>
              <w:t>）</w:t>
            </w:r>
            <w:r>
              <w:rPr>
                <w:spacing w:val="-6"/>
                <w:w w:val="95"/>
                <w:sz w:val="22"/>
              </w:rPr>
              <w:t>种情形导致被保险人患重大疾病的，本合同终止。我们向保</w:t>
            </w:r>
          </w:p>
          <w:p>
            <w:pPr>
              <w:pStyle w:val="TableParagraph"/>
              <w:spacing w:line="305" w:lineRule="exact"/>
              <w:ind w:left="554"/>
              <w:rPr>
                <w:sz w:val="22"/>
              </w:rPr>
            </w:pPr>
            <w:r>
              <w:rPr>
                <w:w w:val="95"/>
                <w:sz w:val="22"/>
              </w:rPr>
              <w:t>险金受益人退还本合同当时的</w:t>
            </w:r>
            <w:r>
              <w:rPr>
                <w:rFonts w:ascii="Microsoft JhengHei" w:eastAsia="Microsoft JhengHei" w:hint="eastAsia"/>
                <w:b/>
                <w:w w:val="95"/>
                <w:sz w:val="22"/>
              </w:rPr>
              <w:t>现金价值</w:t>
            </w:r>
            <w:r>
              <w:rPr>
                <w:w w:val="95"/>
                <w:sz w:val="22"/>
              </w:rPr>
              <w:t>(见 9.16)。</w:t>
            </w:r>
          </w:p>
          <w:p>
            <w:pPr>
              <w:pStyle w:val="TableParagraph"/>
              <w:spacing w:line="259" w:lineRule="auto"/>
              <w:ind w:left="554" w:right="105" w:hanging="421"/>
              <w:rPr>
                <w:sz w:val="22"/>
              </w:rPr>
            </w:pPr>
            <w:r>
              <w:rPr>
                <w:spacing w:val="-12"/>
                <w:w w:val="95"/>
                <w:sz w:val="22"/>
              </w:rPr>
              <w:t>三、发</w:t>
            </w:r>
            <w:r>
              <w:rPr>
                <w:w w:val="95"/>
                <w:sz w:val="22"/>
              </w:rPr>
              <w:t>Th</w:t>
            </w:r>
            <w:r>
              <w:rPr>
                <w:spacing w:val="-7"/>
                <w:w w:val="95"/>
                <w:sz w:val="22"/>
              </w:rPr>
              <w:t>上述其他情形导致被保险人患重大疾病的，本合同终止，我们向您退还本</w:t>
            </w:r>
            <w:r>
              <w:rPr>
                <w:spacing w:val="-5"/>
                <w:w w:val="95"/>
                <w:sz w:val="22"/>
              </w:rPr>
              <w:t>合同当时的现金价值。</w:t>
            </w:r>
          </w:p>
        </w:tc>
      </w:tr>
      <w:tr>
        <w:trPr>
          <w:trHeight w:val="849" w:hRule="atLeast"/>
        </w:trPr>
        <w:tc>
          <w:tcPr>
            <w:tcW w:w="822" w:type="dxa"/>
          </w:tcPr>
          <w:p>
            <w:pPr>
              <w:pStyle w:val="TableParagraph"/>
              <w:spacing w:before="37"/>
              <w:ind w:left="110"/>
              <w:rPr>
                <w:rFonts w:ascii="微软雅黑"/>
                <w:b/>
                <w:sz w:val="21"/>
              </w:rPr>
            </w:pPr>
            <w:r>
              <w:rPr>
                <w:rFonts w:ascii="微软雅黑"/>
                <w:b/>
                <w:sz w:val="21"/>
              </w:rPr>
              <w:t>2.3</w:t>
            </w:r>
          </w:p>
        </w:tc>
        <w:tc>
          <w:tcPr>
            <w:tcW w:w="2006" w:type="dxa"/>
          </w:tcPr>
          <w:p>
            <w:pPr>
              <w:pStyle w:val="TableParagraph"/>
              <w:spacing w:before="37"/>
              <w:ind w:left="191"/>
              <w:rPr>
                <w:rFonts w:ascii="微软雅黑" w:eastAsia="微软雅黑" w:hint="eastAsia"/>
                <w:b/>
                <w:sz w:val="21"/>
              </w:rPr>
            </w:pPr>
            <w:r>
              <w:rPr>
                <w:rFonts w:ascii="微软雅黑" w:eastAsia="微软雅黑" w:hint="eastAsia"/>
                <w:b/>
                <w:sz w:val="21"/>
              </w:rPr>
              <w:t>保险金额</w:t>
            </w:r>
          </w:p>
        </w:tc>
        <w:tc>
          <w:tcPr>
            <w:tcW w:w="7702" w:type="dxa"/>
          </w:tcPr>
          <w:p>
            <w:pPr>
              <w:pStyle w:val="TableParagraph"/>
              <w:spacing w:line="273" w:lineRule="auto" w:before="100"/>
              <w:ind w:left="133" w:right="102"/>
              <w:rPr>
                <w:sz w:val="21"/>
              </w:rPr>
            </w:pPr>
            <w:r>
              <w:rPr>
                <w:spacing w:val="-8"/>
                <w:sz w:val="21"/>
              </w:rPr>
              <w:t>本合同的保险金额由您在投保时与我们约定，并在保险单上载明。投保时的保险金</w:t>
            </w:r>
            <w:r>
              <w:rPr>
                <w:spacing w:val="-5"/>
                <w:sz w:val="21"/>
              </w:rPr>
              <w:t>额须符合我们当时的投保规则。</w:t>
            </w:r>
          </w:p>
        </w:tc>
      </w:tr>
      <w:tr>
        <w:trPr>
          <w:trHeight w:val="563" w:hRule="atLeast"/>
        </w:trPr>
        <w:tc>
          <w:tcPr>
            <w:tcW w:w="822" w:type="dxa"/>
          </w:tcPr>
          <w:p>
            <w:pPr>
              <w:pStyle w:val="TableParagraph"/>
              <w:spacing w:before="37"/>
              <w:ind w:left="110"/>
              <w:rPr>
                <w:rFonts w:ascii="微软雅黑"/>
                <w:b/>
                <w:sz w:val="21"/>
              </w:rPr>
            </w:pPr>
            <w:r>
              <w:rPr>
                <w:rFonts w:ascii="微软雅黑"/>
                <w:b/>
                <w:sz w:val="21"/>
              </w:rPr>
              <w:t>2.4</w:t>
            </w:r>
          </w:p>
        </w:tc>
        <w:tc>
          <w:tcPr>
            <w:tcW w:w="2006" w:type="dxa"/>
          </w:tcPr>
          <w:p>
            <w:pPr>
              <w:pStyle w:val="TableParagraph"/>
              <w:spacing w:before="37"/>
              <w:ind w:left="191"/>
              <w:rPr>
                <w:rFonts w:ascii="微软雅黑" w:eastAsia="微软雅黑" w:hint="eastAsia"/>
                <w:b/>
                <w:sz w:val="21"/>
              </w:rPr>
            </w:pPr>
            <w:r>
              <w:rPr>
                <w:rFonts w:ascii="微软雅黑" w:eastAsia="微软雅黑" w:hint="eastAsia"/>
                <w:b/>
                <w:sz w:val="21"/>
              </w:rPr>
              <w:t>保险期间</w:t>
            </w:r>
          </w:p>
        </w:tc>
        <w:tc>
          <w:tcPr>
            <w:tcW w:w="7702" w:type="dxa"/>
          </w:tcPr>
          <w:p>
            <w:pPr>
              <w:pStyle w:val="TableParagraph"/>
              <w:spacing w:before="99"/>
              <w:ind w:left="133"/>
              <w:rPr>
                <w:sz w:val="21"/>
              </w:rPr>
            </w:pPr>
            <w:r>
              <w:rPr>
                <w:sz w:val="21"/>
              </w:rPr>
              <w:t>本合同保险期间由您和我们协商确定，以保险单载明的保险合同生效日为准。</w:t>
            </w:r>
          </w:p>
        </w:tc>
      </w:tr>
      <w:tr>
        <w:trPr>
          <w:trHeight w:val="711" w:hRule="atLeast"/>
        </w:trPr>
        <w:tc>
          <w:tcPr>
            <w:tcW w:w="822" w:type="dxa"/>
            <w:tcBorders>
              <w:bottom w:val="single" w:sz="8" w:space="0" w:color="000000"/>
            </w:tcBorders>
          </w:tcPr>
          <w:p>
            <w:pPr>
              <w:pStyle w:val="TableParagraph"/>
              <w:spacing w:before="152"/>
              <w:ind w:left="273"/>
              <w:rPr>
                <w:rFonts w:ascii="Arial" w:hAnsi="Arial"/>
                <w:b/>
                <w:sz w:val="40"/>
              </w:rPr>
            </w:pPr>
            <w:r>
              <w:rPr>
                <w:rFonts w:ascii="Arial" w:hAnsi="Arial"/>
                <w:b/>
                <w:w w:val="119"/>
                <w:sz w:val="40"/>
              </w:rPr>
              <w:t></w:t>
            </w:r>
          </w:p>
        </w:tc>
        <w:tc>
          <w:tcPr>
            <w:tcW w:w="2006" w:type="dxa"/>
            <w:tcBorders>
              <w:bottom w:val="single" w:sz="8" w:space="0" w:color="000000"/>
            </w:tcBorders>
          </w:tcPr>
          <w:p>
            <w:pPr>
              <w:pStyle w:val="TableParagraph"/>
              <w:spacing w:before="132"/>
              <w:ind w:left="191"/>
              <w:rPr>
                <w:rFonts w:ascii="微软雅黑" w:eastAsia="微软雅黑" w:hint="eastAsia"/>
                <w:b/>
                <w:sz w:val="24"/>
              </w:rPr>
            </w:pPr>
            <w:r>
              <w:rPr>
                <w:rFonts w:ascii="微软雅黑" w:eastAsia="微软雅黑" w:hint="eastAsia"/>
                <w:b/>
                <w:sz w:val="24"/>
              </w:rPr>
              <w:t>保险金的申请</w:t>
            </w:r>
          </w:p>
        </w:tc>
        <w:tc>
          <w:tcPr>
            <w:tcW w:w="7702" w:type="dxa"/>
            <w:tcBorders>
              <w:bottom w:val="single" w:sz="8" w:space="0" w:color="000000"/>
            </w:tcBorders>
          </w:tcPr>
          <w:p>
            <w:pPr>
              <w:pStyle w:val="TableParagraph"/>
              <w:ind w:left="0"/>
              <w:rPr>
                <w:rFonts w:ascii="Times New Roman"/>
                <w:sz w:val="20"/>
              </w:rPr>
            </w:pPr>
          </w:p>
        </w:tc>
      </w:tr>
      <w:tr>
        <w:trPr>
          <w:trHeight w:val="617" w:hRule="atLeast"/>
        </w:trPr>
        <w:tc>
          <w:tcPr>
            <w:tcW w:w="822" w:type="dxa"/>
            <w:tcBorders>
              <w:top w:val="single" w:sz="8" w:space="0" w:color="000000"/>
            </w:tcBorders>
          </w:tcPr>
          <w:p>
            <w:pPr>
              <w:pStyle w:val="TableParagraph"/>
              <w:spacing w:before="131"/>
              <w:ind w:left="110"/>
              <w:rPr>
                <w:rFonts w:ascii="微软雅黑"/>
                <w:b/>
                <w:sz w:val="21"/>
              </w:rPr>
            </w:pPr>
            <w:r>
              <w:rPr>
                <w:rFonts w:ascii="微软雅黑"/>
                <w:b/>
                <w:sz w:val="21"/>
              </w:rPr>
              <w:t>3.1</w:t>
            </w:r>
          </w:p>
        </w:tc>
        <w:tc>
          <w:tcPr>
            <w:tcW w:w="2006" w:type="dxa"/>
            <w:tcBorders>
              <w:top w:val="single" w:sz="8" w:space="0" w:color="000000"/>
            </w:tcBorders>
          </w:tcPr>
          <w:p>
            <w:pPr>
              <w:pStyle w:val="TableParagraph"/>
              <w:spacing w:before="131"/>
              <w:ind w:left="191"/>
              <w:rPr>
                <w:rFonts w:ascii="微软雅黑" w:eastAsia="微软雅黑" w:hint="eastAsia"/>
                <w:b/>
                <w:sz w:val="21"/>
              </w:rPr>
            </w:pPr>
            <w:r>
              <w:rPr>
                <w:rFonts w:ascii="微软雅黑" w:eastAsia="微软雅黑" w:hint="eastAsia"/>
                <w:b/>
                <w:sz w:val="21"/>
              </w:rPr>
              <w:t>受益人</w:t>
            </w:r>
          </w:p>
        </w:tc>
        <w:tc>
          <w:tcPr>
            <w:tcW w:w="7702" w:type="dxa"/>
            <w:tcBorders>
              <w:top w:val="single" w:sz="8" w:space="0" w:color="000000"/>
            </w:tcBorders>
          </w:tcPr>
          <w:p>
            <w:pPr>
              <w:pStyle w:val="TableParagraph"/>
              <w:spacing w:before="10"/>
              <w:ind w:left="0"/>
              <w:rPr>
                <w:sz w:val="14"/>
              </w:rPr>
            </w:pPr>
          </w:p>
          <w:p>
            <w:pPr>
              <w:pStyle w:val="TableParagraph"/>
              <w:ind w:left="133"/>
              <w:rPr>
                <w:sz w:val="21"/>
              </w:rPr>
            </w:pPr>
            <w:r>
              <w:rPr>
                <w:sz w:val="21"/>
              </w:rPr>
              <w:t>除另有约定外，重大疾病保险金的受益人为被保险人本人。</w:t>
            </w:r>
          </w:p>
        </w:tc>
      </w:tr>
      <w:tr>
        <w:trPr>
          <w:trHeight w:val="1736" w:hRule="atLeast"/>
        </w:trPr>
        <w:tc>
          <w:tcPr>
            <w:tcW w:w="822" w:type="dxa"/>
          </w:tcPr>
          <w:p>
            <w:pPr>
              <w:pStyle w:val="TableParagraph"/>
              <w:spacing w:before="32"/>
              <w:ind w:left="110"/>
              <w:rPr>
                <w:rFonts w:ascii="微软雅黑"/>
                <w:b/>
                <w:sz w:val="21"/>
              </w:rPr>
            </w:pPr>
            <w:r>
              <w:rPr>
                <w:rFonts w:ascii="微软雅黑"/>
                <w:b/>
                <w:sz w:val="21"/>
              </w:rPr>
              <w:t>3.2</w:t>
            </w:r>
          </w:p>
        </w:tc>
        <w:tc>
          <w:tcPr>
            <w:tcW w:w="2006" w:type="dxa"/>
          </w:tcPr>
          <w:p>
            <w:pPr>
              <w:pStyle w:val="TableParagraph"/>
              <w:spacing w:before="32"/>
              <w:ind w:left="191"/>
              <w:rPr>
                <w:rFonts w:ascii="微软雅黑" w:eastAsia="微软雅黑" w:hint="eastAsia"/>
                <w:b/>
                <w:sz w:val="21"/>
              </w:rPr>
            </w:pPr>
            <w:r>
              <w:rPr>
                <w:rFonts w:ascii="微软雅黑" w:eastAsia="微软雅黑" w:hint="eastAsia"/>
                <w:b/>
                <w:sz w:val="21"/>
              </w:rPr>
              <w:t>保险事故通知</w:t>
            </w:r>
          </w:p>
        </w:tc>
        <w:tc>
          <w:tcPr>
            <w:tcW w:w="7702" w:type="dxa"/>
          </w:tcPr>
          <w:p>
            <w:pPr>
              <w:pStyle w:val="TableParagraph"/>
              <w:spacing w:line="187" w:lineRule="auto" w:before="97"/>
              <w:ind w:left="133" w:right="2"/>
              <w:rPr>
                <w:sz w:val="21"/>
              </w:rPr>
            </w:pPr>
            <w:r>
              <w:rPr>
                <w:spacing w:val="-6"/>
                <w:sz w:val="21"/>
              </w:rPr>
              <w:t>您、被保险人或受益人应于知道保险事故发生之日起 </w:t>
            </w:r>
            <w:r>
              <w:rPr>
                <w:sz w:val="21"/>
              </w:rPr>
              <w:t>10</w:t>
            </w:r>
            <w:r>
              <w:rPr>
                <w:spacing w:val="-10"/>
                <w:sz w:val="21"/>
              </w:rPr>
              <w:t> 日内通知我们。</w:t>
            </w:r>
            <w:r>
              <w:rPr>
                <w:rFonts w:ascii="Microsoft JhengHei" w:eastAsia="Microsoft JhengHei" w:hint="eastAsia"/>
                <w:b/>
                <w:sz w:val="22"/>
              </w:rPr>
              <w:t>若故意或</w:t>
            </w:r>
            <w:r>
              <w:rPr>
                <w:rFonts w:ascii="Microsoft JhengHei" w:eastAsia="Microsoft JhengHei" w:hint="eastAsia"/>
                <w:b/>
                <w:spacing w:val="-5"/>
                <w:w w:val="95"/>
                <w:sz w:val="22"/>
              </w:rPr>
              <w:t>者因重大过失未及时通知，致使保险事故的性质、原因、损失程度等难以确定的， 我们对无法确定的部分，不承担给付保险金的责任</w:t>
            </w:r>
            <w:r>
              <w:rPr>
                <w:spacing w:val="-5"/>
                <w:w w:val="95"/>
                <w:sz w:val="21"/>
              </w:rPr>
              <w:t>，但我们通过其他途径已经及</w:t>
            </w:r>
          </w:p>
          <w:p>
            <w:pPr>
              <w:pStyle w:val="TableParagraph"/>
              <w:spacing w:line="261" w:lineRule="auto"/>
              <w:ind w:left="133" w:right="109"/>
              <w:rPr>
                <w:sz w:val="21"/>
              </w:rPr>
            </w:pPr>
            <w:r>
              <w:rPr>
                <w:sz w:val="21"/>
              </w:rPr>
              <w:t>时知道或应当及时知道保险事故发生或虽未及时通知但不影响我们确定保险事故的性质、原因、损失程度的除外。</w:t>
            </w:r>
          </w:p>
        </w:tc>
      </w:tr>
      <w:tr>
        <w:trPr>
          <w:trHeight w:val="543" w:hRule="atLeast"/>
        </w:trPr>
        <w:tc>
          <w:tcPr>
            <w:tcW w:w="822" w:type="dxa"/>
          </w:tcPr>
          <w:p>
            <w:pPr>
              <w:pStyle w:val="TableParagraph"/>
              <w:spacing w:before="43"/>
              <w:ind w:left="110"/>
              <w:rPr>
                <w:rFonts w:ascii="微软雅黑"/>
                <w:b/>
                <w:sz w:val="21"/>
              </w:rPr>
            </w:pPr>
            <w:r>
              <w:rPr>
                <w:rFonts w:ascii="微软雅黑"/>
                <w:b/>
                <w:sz w:val="21"/>
              </w:rPr>
              <w:t>3.3</w:t>
            </w:r>
          </w:p>
        </w:tc>
        <w:tc>
          <w:tcPr>
            <w:tcW w:w="2006" w:type="dxa"/>
          </w:tcPr>
          <w:p>
            <w:pPr>
              <w:pStyle w:val="TableParagraph"/>
              <w:spacing w:before="43"/>
              <w:ind w:left="191"/>
              <w:rPr>
                <w:rFonts w:ascii="微软雅黑" w:eastAsia="微软雅黑" w:hint="eastAsia"/>
                <w:b/>
                <w:sz w:val="21"/>
              </w:rPr>
            </w:pPr>
            <w:r>
              <w:rPr>
                <w:rFonts w:ascii="微软雅黑" w:eastAsia="微软雅黑" w:hint="eastAsia"/>
                <w:b/>
                <w:sz w:val="21"/>
              </w:rPr>
              <w:t>保险金申请</w:t>
            </w:r>
          </w:p>
        </w:tc>
        <w:tc>
          <w:tcPr>
            <w:tcW w:w="7702" w:type="dxa"/>
          </w:tcPr>
          <w:p>
            <w:pPr>
              <w:pStyle w:val="TableParagraph"/>
              <w:spacing w:before="105"/>
              <w:ind w:left="133"/>
              <w:rPr>
                <w:sz w:val="21"/>
              </w:rPr>
            </w:pPr>
            <w:r>
              <w:rPr>
                <w:sz w:val="21"/>
              </w:rPr>
              <w:t>在申请保险金时，请按照下列方式办理：</w:t>
            </w:r>
          </w:p>
        </w:tc>
      </w:tr>
      <w:tr>
        <w:trPr>
          <w:trHeight w:val="3035" w:hRule="atLeast"/>
        </w:trPr>
        <w:tc>
          <w:tcPr>
            <w:tcW w:w="822" w:type="dxa"/>
          </w:tcPr>
          <w:p>
            <w:pPr>
              <w:pStyle w:val="TableParagraph"/>
              <w:ind w:left="0"/>
              <w:rPr>
                <w:rFonts w:ascii="Times New Roman"/>
                <w:sz w:val="20"/>
              </w:rPr>
            </w:pPr>
          </w:p>
        </w:tc>
        <w:tc>
          <w:tcPr>
            <w:tcW w:w="2006" w:type="dxa"/>
          </w:tcPr>
          <w:p>
            <w:pPr>
              <w:pStyle w:val="TableParagraph"/>
              <w:spacing w:line="184" w:lineRule="auto" w:before="108"/>
              <w:ind w:left="191" w:right="130"/>
              <w:rPr>
                <w:rFonts w:ascii="Microsoft JhengHei" w:eastAsia="Microsoft JhengHei" w:hint="eastAsia"/>
                <w:b/>
                <w:sz w:val="24"/>
              </w:rPr>
            </w:pPr>
            <w:r>
              <w:rPr>
                <w:rFonts w:ascii="Microsoft JhengHei" w:eastAsia="Microsoft JhengHei" w:hint="eastAsia"/>
                <w:b/>
                <w:sz w:val="24"/>
              </w:rPr>
              <w:t>重大疾病保险金申请</w:t>
            </w:r>
          </w:p>
        </w:tc>
        <w:tc>
          <w:tcPr>
            <w:tcW w:w="7702" w:type="dxa"/>
          </w:tcPr>
          <w:p>
            <w:pPr>
              <w:pStyle w:val="TableParagraph"/>
              <w:spacing w:line="273" w:lineRule="auto" w:before="99"/>
              <w:ind w:left="590" w:right="172" w:hanging="421"/>
              <w:rPr>
                <w:sz w:val="21"/>
              </w:rPr>
            </w:pPr>
            <w:r>
              <w:rPr>
                <w:sz w:val="21"/>
              </w:rPr>
              <w:t>一、由受益人或被保险人的继承人作为申请人填写保险金给付申请书，并向我们提供下列资料：</w:t>
            </w:r>
          </w:p>
          <w:p>
            <w:pPr>
              <w:pStyle w:val="TableParagraph"/>
              <w:spacing w:line="262" w:lineRule="exact" w:before="7"/>
              <w:ind w:left="552"/>
              <w:rPr>
                <w:sz w:val="21"/>
              </w:rPr>
            </w:pPr>
            <w:r>
              <w:rPr>
                <w:sz w:val="21"/>
              </w:rPr>
              <w:t>(一)申请人的有效身份证件；</w:t>
            </w:r>
          </w:p>
          <w:p>
            <w:pPr>
              <w:pStyle w:val="TableParagraph"/>
              <w:spacing w:line="247" w:lineRule="auto"/>
              <w:ind w:left="972" w:right="103" w:hanging="420"/>
              <w:rPr>
                <w:sz w:val="21"/>
              </w:rPr>
            </w:pPr>
            <w:r>
              <w:rPr>
                <w:sz w:val="21"/>
              </w:rPr>
              <w:t>(二)国家卫生行政部门认定的</w:t>
            </w:r>
            <w:r>
              <w:rPr>
                <w:rFonts w:ascii="微软雅黑" w:eastAsia="微软雅黑" w:hint="eastAsia"/>
                <w:b/>
                <w:sz w:val="21"/>
              </w:rPr>
              <w:t>医疗机构</w:t>
            </w:r>
            <w:r>
              <w:rPr>
                <w:sz w:val="21"/>
              </w:rPr>
              <w:t>(见 9.17)出具的可证明被保险人患重大疾病的诊断证明和诊断所患重大疾病必需的检查报告；</w:t>
            </w:r>
          </w:p>
          <w:p>
            <w:pPr>
              <w:pStyle w:val="TableParagraph"/>
              <w:spacing w:line="273" w:lineRule="auto" w:before="44"/>
              <w:ind w:left="170" w:right="1" w:firstLine="382"/>
              <w:rPr>
                <w:sz w:val="21"/>
              </w:rPr>
            </w:pPr>
            <w:r>
              <w:rPr>
                <w:sz w:val="21"/>
              </w:rPr>
              <w:t>(三)所能提供的与确认保险事故的性质、原因、伤害程度等有关的其他资料。二、保险金作为被保险人遗产时，申请人还须提供可证明合法继承权的相关权利</w:t>
            </w:r>
          </w:p>
          <w:p>
            <w:pPr>
              <w:pStyle w:val="TableParagraph"/>
              <w:spacing w:before="7"/>
              <w:ind w:left="590"/>
              <w:rPr>
                <w:sz w:val="21"/>
              </w:rPr>
            </w:pPr>
            <w:r>
              <w:rPr>
                <w:sz w:val="21"/>
              </w:rPr>
              <w:t>文件。</w:t>
            </w:r>
          </w:p>
          <w:p>
            <w:pPr>
              <w:pStyle w:val="TableParagraph"/>
              <w:spacing w:before="37"/>
              <w:ind w:left="170"/>
              <w:rPr>
                <w:sz w:val="21"/>
              </w:rPr>
            </w:pPr>
            <w:r>
              <w:rPr>
                <w:sz w:val="21"/>
              </w:rPr>
              <w:t>三、上述申请资料不完整的，我们将及时一次性通知申请人补充提供有关资料。</w:t>
            </w:r>
          </w:p>
        </w:tc>
      </w:tr>
      <w:tr>
        <w:trPr>
          <w:trHeight w:val="1311" w:hRule="atLeast"/>
        </w:trPr>
        <w:tc>
          <w:tcPr>
            <w:tcW w:w="822" w:type="dxa"/>
          </w:tcPr>
          <w:p>
            <w:pPr>
              <w:pStyle w:val="TableParagraph"/>
              <w:spacing w:before="38"/>
              <w:ind w:left="110"/>
              <w:rPr>
                <w:rFonts w:ascii="微软雅黑"/>
                <w:b/>
                <w:sz w:val="21"/>
              </w:rPr>
            </w:pPr>
            <w:r>
              <w:rPr>
                <w:rFonts w:ascii="微软雅黑"/>
                <w:b/>
                <w:w w:val="81"/>
                <w:sz w:val="21"/>
              </w:rPr>
              <w:t>3</w:t>
            </w:r>
            <w:r>
              <w:rPr>
                <w:rFonts w:ascii="微软雅黑"/>
                <w:b/>
                <w:w w:val="176"/>
                <w:sz w:val="21"/>
              </w:rPr>
              <w:t>.</w:t>
            </w:r>
            <w:r>
              <w:rPr>
                <w:rFonts w:ascii="微软雅黑"/>
                <w:b/>
                <w:w w:val="81"/>
                <w:sz w:val="21"/>
              </w:rPr>
              <w:t>4</w:t>
            </w:r>
          </w:p>
        </w:tc>
        <w:tc>
          <w:tcPr>
            <w:tcW w:w="2006" w:type="dxa"/>
          </w:tcPr>
          <w:p>
            <w:pPr>
              <w:pStyle w:val="TableParagraph"/>
              <w:spacing w:before="38"/>
              <w:ind w:left="191"/>
              <w:rPr>
                <w:rFonts w:ascii="微软雅黑" w:eastAsia="微软雅黑" w:hint="eastAsia"/>
                <w:b/>
                <w:sz w:val="21"/>
              </w:rPr>
            </w:pPr>
            <w:r>
              <w:rPr>
                <w:rFonts w:ascii="微软雅黑" w:eastAsia="微软雅黑" w:hint="eastAsia"/>
                <w:b/>
                <w:sz w:val="21"/>
              </w:rPr>
              <w:t>保险金给付</w:t>
            </w:r>
          </w:p>
        </w:tc>
        <w:tc>
          <w:tcPr>
            <w:tcW w:w="7702" w:type="dxa"/>
          </w:tcPr>
          <w:p>
            <w:pPr>
              <w:pStyle w:val="TableParagraph"/>
              <w:spacing w:before="100"/>
              <w:ind w:left="133" w:right="-15"/>
              <w:rPr>
                <w:sz w:val="21"/>
              </w:rPr>
            </w:pPr>
            <w:r>
              <w:rPr>
                <w:spacing w:val="-6"/>
                <w:sz w:val="21"/>
              </w:rPr>
              <w:t>一、我们在收到保险金给付申请书及本合同约定的资料后，将在 </w:t>
            </w:r>
            <w:r>
              <w:rPr>
                <w:sz w:val="21"/>
              </w:rPr>
              <w:t>5</w:t>
            </w:r>
            <w:r>
              <w:rPr>
                <w:spacing w:val="-7"/>
                <w:sz w:val="21"/>
              </w:rPr>
              <w:t> 日内作出核定；</w:t>
            </w:r>
          </w:p>
          <w:p>
            <w:pPr>
              <w:pStyle w:val="TableParagraph"/>
              <w:spacing w:before="36"/>
              <w:ind w:left="540"/>
              <w:rPr>
                <w:sz w:val="21"/>
              </w:rPr>
            </w:pPr>
            <w:r>
              <w:rPr>
                <w:sz w:val="21"/>
              </w:rPr>
              <w:t>情形复杂的，在 30 日内作出核定。对属于保险责任的，我们在与受益人达成</w:t>
            </w:r>
          </w:p>
          <w:p>
            <w:pPr>
              <w:pStyle w:val="TableParagraph"/>
              <w:spacing w:before="36"/>
              <w:ind w:left="540"/>
              <w:rPr>
                <w:sz w:val="21"/>
              </w:rPr>
            </w:pPr>
            <w:r>
              <w:rPr>
                <w:sz w:val="21"/>
              </w:rPr>
              <w:t>给付保险金的协议后 10 日内，履行给付保险金义务。</w:t>
            </w:r>
          </w:p>
          <w:p>
            <w:pPr>
              <w:pStyle w:val="TableParagraph"/>
              <w:spacing w:line="255" w:lineRule="exact" w:before="36"/>
              <w:ind w:left="133"/>
              <w:rPr>
                <w:sz w:val="21"/>
              </w:rPr>
            </w:pPr>
            <w:r>
              <w:rPr>
                <w:sz w:val="21"/>
              </w:rPr>
              <w:t>二、我们未及时履行前款规定义务的，除支付保险金外，应当赔偿受益人因此受</w:t>
            </w:r>
          </w:p>
        </w:tc>
      </w:tr>
    </w:tbl>
    <w:p>
      <w:pPr>
        <w:spacing w:after="0" w:line="255" w:lineRule="exact"/>
        <w:rPr>
          <w:sz w:val="21"/>
        </w:rPr>
        <w:sectPr>
          <w:pgSz w:w="11910" w:h="16840"/>
          <w:pgMar w:top="1380" w:bottom="280" w:left="560" w:right="5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2"/>
        <w:gridCol w:w="2010"/>
        <w:gridCol w:w="7693"/>
      </w:tblGrid>
      <w:tr>
        <w:trPr>
          <w:trHeight w:val="1935" w:hRule="atLeast"/>
        </w:trPr>
        <w:tc>
          <w:tcPr>
            <w:tcW w:w="822" w:type="dxa"/>
          </w:tcPr>
          <w:p>
            <w:pPr>
              <w:pStyle w:val="TableParagraph"/>
              <w:ind w:left="0"/>
              <w:rPr>
                <w:rFonts w:ascii="Times New Roman"/>
                <w:sz w:val="20"/>
              </w:rPr>
            </w:pPr>
          </w:p>
        </w:tc>
        <w:tc>
          <w:tcPr>
            <w:tcW w:w="2010" w:type="dxa"/>
          </w:tcPr>
          <w:p>
            <w:pPr>
              <w:pStyle w:val="TableParagraph"/>
              <w:ind w:left="0"/>
              <w:rPr>
                <w:rFonts w:ascii="Times New Roman"/>
                <w:sz w:val="20"/>
              </w:rPr>
            </w:pPr>
          </w:p>
        </w:tc>
        <w:tc>
          <w:tcPr>
            <w:tcW w:w="7693" w:type="dxa"/>
          </w:tcPr>
          <w:p>
            <w:pPr>
              <w:pStyle w:val="TableParagraph"/>
              <w:spacing w:line="205" w:lineRule="exact"/>
              <w:ind w:left="536"/>
              <w:rPr>
                <w:sz w:val="21"/>
              </w:rPr>
            </w:pPr>
            <w:r>
              <w:rPr>
                <w:sz w:val="21"/>
              </w:rPr>
              <w:t>到的损失。</w:t>
            </w:r>
          </w:p>
          <w:p>
            <w:pPr>
              <w:pStyle w:val="TableParagraph"/>
              <w:spacing w:line="273" w:lineRule="auto" w:before="37"/>
              <w:ind w:left="536" w:right="98" w:hanging="407"/>
              <w:jc w:val="both"/>
              <w:rPr>
                <w:sz w:val="21"/>
              </w:rPr>
            </w:pPr>
            <w:r>
              <w:rPr>
                <w:sz w:val="21"/>
              </w:rPr>
              <w:t>三、对不属于保险责任的，我们自作出核定之日起 3 日内向受益人发出拒绝给付保险金通知书并说明理由。</w:t>
            </w:r>
          </w:p>
          <w:p>
            <w:pPr>
              <w:pStyle w:val="TableParagraph"/>
              <w:spacing w:line="273" w:lineRule="auto" w:before="7"/>
              <w:ind w:left="536" w:right="97" w:hanging="407"/>
              <w:jc w:val="both"/>
              <w:rPr>
                <w:sz w:val="21"/>
              </w:rPr>
            </w:pPr>
            <w:r>
              <w:rPr>
                <w:spacing w:val="-5"/>
                <w:sz w:val="21"/>
              </w:rPr>
              <w:t>四、我们在收到保险金给付申请书及本合同约定的资料之日起 </w:t>
            </w:r>
            <w:r>
              <w:rPr>
                <w:sz w:val="21"/>
              </w:rPr>
              <w:t>60</w:t>
            </w:r>
            <w:r>
              <w:rPr>
                <w:spacing w:val="-8"/>
                <w:sz w:val="21"/>
              </w:rPr>
              <w:t> 日内，对给付保</w:t>
            </w:r>
            <w:r>
              <w:rPr>
                <w:spacing w:val="-11"/>
                <w:sz w:val="21"/>
              </w:rPr>
              <w:t>险金的数额不能确定的，根据已有资料可以确定的数额先予支付；我们最终确</w:t>
            </w:r>
            <w:r>
              <w:rPr>
                <w:spacing w:val="-6"/>
                <w:sz w:val="21"/>
              </w:rPr>
              <w:t>定给付保险金的数额后，再给付相应的差额。</w:t>
            </w:r>
          </w:p>
        </w:tc>
      </w:tr>
      <w:tr>
        <w:trPr>
          <w:trHeight w:val="875" w:hRule="atLeast"/>
        </w:trPr>
        <w:tc>
          <w:tcPr>
            <w:tcW w:w="822" w:type="dxa"/>
          </w:tcPr>
          <w:p>
            <w:pPr>
              <w:pStyle w:val="TableParagraph"/>
              <w:spacing w:before="32"/>
              <w:ind w:left="110"/>
              <w:rPr>
                <w:rFonts w:ascii="微软雅黑"/>
                <w:b/>
                <w:sz w:val="21"/>
              </w:rPr>
            </w:pPr>
            <w:r>
              <w:rPr>
                <w:rFonts w:ascii="微软雅黑"/>
                <w:b/>
                <w:sz w:val="21"/>
              </w:rPr>
              <w:t>3.5</w:t>
            </w:r>
          </w:p>
        </w:tc>
        <w:tc>
          <w:tcPr>
            <w:tcW w:w="2010" w:type="dxa"/>
          </w:tcPr>
          <w:p>
            <w:pPr>
              <w:pStyle w:val="TableParagraph"/>
              <w:spacing w:before="32"/>
              <w:ind w:left="191"/>
              <w:rPr>
                <w:rFonts w:ascii="微软雅黑" w:eastAsia="微软雅黑" w:hint="eastAsia"/>
                <w:b/>
                <w:sz w:val="21"/>
              </w:rPr>
            </w:pPr>
            <w:r>
              <w:rPr>
                <w:rFonts w:ascii="微软雅黑" w:eastAsia="微软雅黑" w:hint="eastAsia"/>
                <w:b/>
                <w:sz w:val="21"/>
              </w:rPr>
              <w:t>诉讼时效</w:t>
            </w:r>
          </w:p>
        </w:tc>
        <w:tc>
          <w:tcPr>
            <w:tcW w:w="7693" w:type="dxa"/>
          </w:tcPr>
          <w:p>
            <w:pPr>
              <w:pStyle w:val="TableParagraph"/>
              <w:spacing w:line="273" w:lineRule="auto" w:before="94"/>
              <w:ind w:left="130" w:right="98"/>
              <w:rPr>
                <w:sz w:val="21"/>
              </w:rPr>
            </w:pPr>
            <w:r>
              <w:rPr>
                <w:spacing w:val="-5"/>
                <w:sz w:val="21"/>
              </w:rPr>
              <w:t>申请人向我们请求给付保险金的诉讼时效期间为 </w:t>
            </w:r>
            <w:r>
              <w:rPr>
                <w:sz w:val="21"/>
              </w:rPr>
              <w:t>2</w:t>
            </w:r>
            <w:r>
              <w:rPr>
                <w:spacing w:val="-14"/>
                <w:sz w:val="21"/>
              </w:rPr>
              <w:t> 年，自其知道或应当知道保险事</w:t>
            </w:r>
            <w:r>
              <w:rPr>
                <w:spacing w:val="-7"/>
                <w:sz w:val="21"/>
              </w:rPr>
              <w:t>故发生之日起计算。</w:t>
            </w:r>
          </w:p>
        </w:tc>
      </w:tr>
      <w:tr>
        <w:trPr>
          <w:trHeight w:val="710" w:hRule="atLeast"/>
        </w:trPr>
        <w:tc>
          <w:tcPr>
            <w:tcW w:w="822" w:type="dxa"/>
            <w:tcBorders>
              <w:bottom w:val="single" w:sz="8" w:space="0" w:color="000000"/>
            </w:tcBorders>
          </w:tcPr>
          <w:p>
            <w:pPr>
              <w:pStyle w:val="TableParagraph"/>
              <w:spacing w:before="144"/>
              <w:ind w:left="0" w:right="189"/>
              <w:jc w:val="right"/>
              <w:rPr>
                <w:rFonts w:ascii="Arial" w:hAnsi="Arial"/>
                <w:b/>
                <w:sz w:val="40"/>
              </w:rPr>
            </w:pPr>
            <w:r>
              <w:rPr>
                <w:rFonts w:ascii="Arial" w:hAnsi="Arial"/>
                <w:b/>
                <w:w w:val="119"/>
                <w:sz w:val="40"/>
              </w:rPr>
              <w:t></w:t>
            </w:r>
          </w:p>
        </w:tc>
        <w:tc>
          <w:tcPr>
            <w:tcW w:w="2010" w:type="dxa"/>
            <w:tcBorders>
              <w:bottom w:val="single" w:sz="8" w:space="0" w:color="000000"/>
            </w:tcBorders>
          </w:tcPr>
          <w:p>
            <w:pPr>
              <w:pStyle w:val="TableParagraph"/>
              <w:spacing w:before="125"/>
              <w:ind w:left="191"/>
              <w:rPr>
                <w:rFonts w:ascii="微软雅黑" w:eastAsia="微软雅黑" w:hint="eastAsia"/>
                <w:b/>
                <w:sz w:val="24"/>
              </w:rPr>
            </w:pPr>
            <w:r>
              <w:rPr>
                <w:rFonts w:ascii="微软雅黑" w:eastAsia="微软雅黑" w:hint="eastAsia"/>
                <w:b/>
                <w:sz w:val="24"/>
              </w:rPr>
              <w:t>保险费的交纳</w:t>
            </w:r>
          </w:p>
        </w:tc>
        <w:tc>
          <w:tcPr>
            <w:tcW w:w="7693" w:type="dxa"/>
            <w:tcBorders>
              <w:bottom w:val="single" w:sz="8" w:space="0" w:color="000000"/>
            </w:tcBorders>
          </w:tcPr>
          <w:p>
            <w:pPr>
              <w:pStyle w:val="TableParagraph"/>
              <w:ind w:left="0"/>
              <w:rPr>
                <w:rFonts w:ascii="Times New Roman"/>
                <w:sz w:val="20"/>
              </w:rPr>
            </w:pPr>
          </w:p>
        </w:tc>
      </w:tr>
      <w:tr>
        <w:trPr>
          <w:trHeight w:val="946" w:hRule="atLeast"/>
        </w:trPr>
        <w:tc>
          <w:tcPr>
            <w:tcW w:w="822" w:type="dxa"/>
            <w:tcBorders>
              <w:top w:val="single" w:sz="8" w:space="0" w:color="000000"/>
            </w:tcBorders>
          </w:tcPr>
          <w:p>
            <w:pPr>
              <w:pStyle w:val="TableParagraph"/>
              <w:spacing w:before="127"/>
              <w:ind w:left="110"/>
              <w:rPr>
                <w:rFonts w:ascii="微软雅黑"/>
                <w:b/>
                <w:sz w:val="21"/>
              </w:rPr>
            </w:pPr>
            <w:r>
              <w:rPr>
                <w:rFonts w:ascii="微软雅黑"/>
                <w:b/>
                <w:sz w:val="21"/>
              </w:rPr>
              <w:t>4.1</w:t>
            </w:r>
          </w:p>
        </w:tc>
        <w:tc>
          <w:tcPr>
            <w:tcW w:w="2010" w:type="dxa"/>
            <w:tcBorders>
              <w:top w:val="single" w:sz="8" w:space="0" w:color="000000"/>
            </w:tcBorders>
          </w:tcPr>
          <w:p>
            <w:pPr>
              <w:pStyle w:val="TableParagraph"/>
              <w:spacing w:before="127"/>
              <w:ind w:left="191"/>
              <w:rPr>
                <w:rFonts w:ascii="微软雅黑" w:eastAsia="微软雅黑" w:hint="eastAsia"/>
                <w:b/>
                <w:sz w:val="21"/>
              </w:rPr>
            </w:pPr>
            <w:r>
              <w:rPr>
                <w:rFonts w:ascii="微软雅黑" w:eastAsia="微软雅黑" w:hint="eastAsia"/>
                <w:b/>
                <w:sz w:val="21"/>
              </w:rPr>
              <w:t>保险费交纳</w:t>
            </w:r>
          </w:p>
        </w:tc>
        <w:tc>
          <w:tcPr>
            <w:tcW w:w="7693" w:type="dxa"/>
            <w:tcBorders>
              <w:top w:val="single" w:sz="8" w:space="0" w:color="000000"/>
            </w:tcBorders>
          </w:tcPr>
          <w:p>
            <w:pPr>
              <w:pStyle w:val="TableParagraph"/>
              <w:spacing w:before="6"/>
              <w:ind w:left="0"/>
              <w:rPr>
                <w:sz w:val="14"/>
              </w:rPr>
            </w:pPr>
          </w:p>
          <w:p>
            <w:pPr>
              <w:pStyle w:val="TableParagraph"/>
              <w:spacing w:line="273" w:lineRule="auto"/>
              <w:ind w:left="130" w:right="191"/>
              <w:rPr>
                <w:sz w:val="21"/>
              </w:rPr>
            </w:pPr>
            <w:r>
              <w:rPr>
                <w:sz w:val="21"/>
              </w:rPr>
              <w:t>一、本合同的保险费交费方式和交费期间由您和本公司约定并在保险单上载明。二、在交纳首期保险费后，您应当在每个保险费应交日交纳当期的保险费。</w:t>
            </w:r>
          </w:p>
        </w:tc>
      </w:tr>
      <w:tr>
        <w:trPr>
          <w:trHeight w:val="1811" w:hRule="atLeast"/>
        </w:trPr>
        <w:tc>
          <w:tcPr>
            <w:tcW w:w="822" w:type="dxa"/>
          </w:tcPr>
          <w:p>
            <w:pPr>
              <w:pStyle w:val="TableParagraph"/>
              <w:spacing w:before="30"/>
              <w:ind w:left="110"/>
              <w:rPr>
                <w:rFonts w:ascii="微软雅黑"/>
                <w:b/>
                <w:sz w:val="21"/>
              </w:rPr>
            </w:pPr>
            <w:r>
              <w:rPr>
                <w:rFonts w:ascii="微软雅黑"/>
                <w:b/>
                <w:w w:val="81"/>
                <w:sz w:val="21"/>
              </w:rPr>
              <w:t>4</w:t>
            </w:r>
            <w:r>
              <w:rPr>
                <w:rFonts w:ascii="微软雅黑"/>
                <w:b/>
                <w:w w:val="176"/>
                <w:sz w:val="21"/>
              </w:rPr>
              <w:t>.</w:t>
            </w:r>
            <w:r>
              <w:rPr>
                <w:rFonts w:ascii="微软雅黑"/>
                <w:b/>
                <w:w w:val="81"/>
                <w:sz w:val="21"/>
              </w:rPr>
              <w:t>2</w:t>
            </w:r>
          </w:p>
        </w:tc>
        <w:tc>
          <w:tcPr>
            <w:tcW w:w="2010" w:type="dxa"/>
          </w:tcPr>
          <w:p>
            <w:pPr>
              <w:pStyle w:val="TableParagraph"/>
              <w:spacing w:before="30"/>
              <w:ind w:left="191"/>
              <w:rPr>
                <w:rFonts w:ascii="微软雅黑" w:eastAsia="微软雅黑" w:hint="eastAsia"/>
                <w:b/>
                <w:sz w:val="21"/>
              </w:rPr>
            </w:pPr>
            <w:r>
              <w:rPr>
                <w:rFonts w:ascii="微软雅黑" w:eastAsia="微软雅黑" w:hint="eastAsia"/>
                <w:b/>
                <w:sz w:val="21"/>
              </w:rPr>
              <w:t>宽限期</w:t>
            </w:r>
          </w:p>
        </w:tc>
        <w:tc>
          <w:tcPr>
            <w:tcW w:w="7693" w:type="dxa"/>
          </w:tcPr>
          <w:p>
            <w:pPr>
              <w:pStyle w:val="TableParagraph"/>
              <w:spacing w:line="273" w:lineRule="auto" w:before="93"/>
              <w:ind w:left="536" w:right="102" w:hanging="407"/>
              <w:jc w:val="both"/>
              <w:rPr>
                <w:sz w:val="21"/>
              </w:rPr>
            </w:pPr>
            <w:r>
              <w:rPr>
                <w:spacing w:val="-6"/>
                <w:sz w:val="21"/>
              </w:rPr>
              <w:t>一、如果您在保险费应交日未交纳保险费，自保险费应交日的次日起 </w:t>
            </w:r>
            <w:r>
              <w:rPr>
                <w:sz w:val="21"/>
              </w:rPr>
              <w:t>60</w:t>
            </w:r>
            <w:r>
              <w:rPr>
                <w:spacing w:val="-11"/>
                <w:sz w:val="21"/>
              </w:rPr>
              <w:t> 日内为宽</w:t>
            </w:r>
            <w:r>
              <w:rPr>
                <w:spacing w:val="-10"/>
                <w:sz w:val="21"/>
              </w:rPr>
              <w:t>限期。宽限期内发生的保险事故，本公司仍会承担保险责任，但在给付保险金</w:t>
            </w:r>
            <w:r>
              <w:rPr>
                <w:spacing w:val="-5"/>
                <w:sz w:val="21"/>
              </w:rPr>
              <w:t>时会扣除您欠交的保险费及利息。</w:t>
            </w:r>
          </w:p>
          <w:p>
            <w:pPr>
              <w:pStyle w:val="TableParagraph"/>
              <w:spacing w:line="273" w:lineRule="auto" w:before="7"/>
              <w:ind w:left="536" w:right="103" w:hanging="407"/>
              <w:jc w:val="both"/>
              <w:rPr>
                <w:sz w:val="21"/>
              </w:rPr>
            </w:pPr>
            <w:r>
              <w:rPr>
                <w:sz w:val="21"/>
              </w:rPr>
              <w:t>二、如果宽限期结束之后您仍未交纳保险费，则本合同自宽限期满的次日零时起中止，但本合同另有约定的除外。</w:t>
            </w:r>
          </w:p>
        </w:tc>
      </w:tr>
      <w:tr>
        <w:trPr>
          <w:trHeight w:val="711" w:hRule="atLeast"/>
        </w:trPr>
        <w:tc>
          <w:tcPr>
            <w:tcW w:w="822" w:type="dxa"/>
            <w:tcBorders>
              <w:bottom w:val="single" w:sz="8" w:space="0" w:color="000000"/>
            </w:tcBorders>
          </w:tcPr>
          <w:p>
            <w:pPr>
              <w:pStyle w:val="TableParagraph"/>
              <w:spacing w:before="146"/>
              <w:ind w:left="0" w:right="189"/>
              <w:jc w:val="right"/>
              <w:rPr>
                <w:rFonts w:ascii="Arial" w:hAnsi="Arial"/>
                <w:b/>
                <w:sz w:val="40"/>
              </w:rPr>
            </w:pPr>
            <w:r>
              <w:rPr>
                <w:rFonts w:ascii="Arial" w:hAnsi="Arial"/>
                <w:b/>
                <w:w w:val="119"/>
                <w:sz w:val="40"/>
              </w:rPr>
              <w:t></w:t>
            </w:r>
          </w:p>
        </w:tc>
        <w:tc>
          <w:tcPr>
            <w:tcW w:w="9703" w:type="dxa"/>
            <w:gridSpan w:val="2"/>
            <w:tcBorders>
              <w:bottom w:val="single" w:sz="8" w:space="0" w:color="000000"/>
            </w:tcBorders>
          </w:tcPr>
          <w:p>
            <w:pPr>
              <w:pStyle w:val="TableParagraph"/>
              <w:spacing w:before="126"/>
              <w:ind w:left="191"/>
              <w:rPr>
                <w:rFonts w:ascii="微软雅黑" w:eastAsia="微软雅黑" w:hint="eastAsia"/>
                <w:b/>
                <w:sz w:val="24"/>
              </w:rPr>
            </w:pPr>
            <w:r>
              <w:rPr>
                <w:rFonts w:ascii="微软雅黑" w:eastAsia="微软雅黑" w:hint="eastAsia"/>
                <w:b/>
                <w:sz w:val="24"/>
              </w:rPr>
              <w:t>合同效力的中止与恢复</w:t>
            </w:r>
          </w:p>
        </w:tc>
      </w:tr>
      <w:tr>
        <w:trPr>
          <w:trHeight w:val="634" w:hRule="atLeast"/>
        </w:trPr>
        <w:tc>
          <w:tcPr>
            <w:tcW w:w="822" w:type="dxa"/>
            <w:tcBorders>
              <w:top w:val="single" w:sz="8" w:space="0" w:color="000000"/>
            </w:tcBorders>
          </w:tcPr>
          <w:p>
            <w:pPr>
              <w:pStyle w:val="TableParagraph"/>
              <w:spacing w:before="127"/>
              <w:ind w:left="110"/>
              <w:rPr>
                <w:rFonts w:ascii="微软雅黑"/>
                <w:b/>
                <w:sz w:val="21"/>
              </w:rPr>
            </w:pPr>
            <w:r>
              <w:rPr>
                <w:rFonts w:ascii="微软雅黑"/>
                <w:b/>
                <w:w w:val="81"/>
                <w:sz w:val="21"/>
              </w:rPr>
              <w:t>5</w:t>
            </w:r>
            <w:r>
              <w:rPr>
                <w:rFonts w:ascii="微软雅黑"/>
                <w:b/>
                <w:w w:val="176"/>
                <w:sz w:val="21"/>
              </w:rPr>
              <w:t>.</w:t>
            </w:r>
            <w:r>
              <w:rPr>
                <w:rFonts w:ascii="微软雅黑"/>
                <w:b/>
                <w:w w:val="81"/>
                <w:sz w:val="21"/>
              </w:rPr>
              <w:t>1</w:t>
            </w:r>
          </w:p>
        </w:tc>
        <w:tc>
          <w:tcPr>
            <w:tcW w:w="2010" w:type="dxa"/>
            <w:tcBorders>
              <w:top w:val="single" w:sz="8" w:space="0" w:color="000000"/>
            </w:tcBorders>
          </w:tcPr>
          <w:p>
            <w:pPr>
              <w:pStyle w:val="TableParagraph"/>
              <w:spacing w:before="127"/>
              <w:ind w:left="191"/>
              <w:rPr>
                <w:rFonts w:ascii="微软雅黑" w:eastAsia="微软雅黑" w:hint="eastAsia"/>
                <w:b/>
                <w:sz w:val="21"/>
              </w:rPr>
            </w:pPr>
            <w:r>
              <w:rPr>
                <w:rFonts w:ascii="微软雅黑" w:eastAsia="微软雅黑" w:hint="eastAsia"/>
                <w:b/>
                <w:sz w:val="21"/>
              </w:rPr>
              <w:t>合同效力中止</w:t>
            </w:r>
          </w:p>
        </w:tc>
        <w:tc>
          <w:tcPr>
            <w:tcW w:w="7693" w:type="dxa"/>
            <w:tcBorders>
              <w:top w:val="single" w:sz="8" w:space="0" w:color="000000"/>
            </w:tcBorders>
          </w:tcPr>
          <w:p>
            <w:pPr>
              <w:pStyle w:val="TableParagraph"/>
              <w:spacing w:before="6"/>
              <w:ind w:left="0"/>
              <w:rPr>
                <w:sz w:val="14"/>
              </w:rPr>
            </w:pPr>
          </w:p>
          <w:p>
            <w:pPr>
              <w:pStyle w:val="TableParagraph"/>
              <w:ind w:left="163"/>
              <w:rPr>
                <w:sz w:val="21"/>
              </w:rPr>
            </w:pPr>
            <w:r>
              <w:rPr>
                <w:sz w:val="21"/>
              </w:rPr>
              <w:t>在本合同效力中止期间，本公司不承担保险责任。</w:t>
            </w:r>
          </w:p>
        </w:tc>
      </w:tr>
      <w:tr>
        <w:trPr>
          <w:trHeight w:val="2123" w:hRule="atLeast"/>
        </w:trPr>
        <w:tc>
          <w:tcPr>
            <w:tcW w:w="822" w:type="dxa"/>
          </w:tcPr>
          <w:p>
            <w:pPr>
              <w:pStyle w:val="TableParagraph"/>
              <w:spacing w:before="31"/>
              <w:ind w:left="110"/>
              <w:rPr>
                <w:rFonts w:ascii="微软雅黑"/>
                <w:b/>
                <w:sz w:val="21"/>
              </w:rPr>
            </w:pPr>
            <w:r>
              <w:rPr>
                <w:rFonts w:ascii="微软雅黑"/>
                <w:b/>
                <w:w w:val="81"/>
                <w:sz w:val="21"/>
              </w:rPr>
              <w:t>5</w:t>
            </w:r>
            <w:r>
              <w:rPr>
                <w:rFonts w:ascii="微软雅黑"/>
                <w:b/>
                <w:w w:val="176"/>
                <w:sz w:val="21"/>
              </w:rPr>
              <w:t>.</w:t>
            </w:r>
            <w:r>
              <w:rPr>
                <w:rFonts w:ascii="微软雅黑"/>
                <w:b/>
                <w:w w:val="81"/>
                <w:sz w:val="21"/>
              </w:rPr>
              <w:t>2</w:t>
            </w:r>
          </w:p>
        </w:tc>
        <w:tc>
          <w:tcPr>
            <w:tcW w:w="2010" w:type="dxa"/>
          </w:tcPr>
          <w:p>
            <w:pPr>
              <w:pStyle w:val="TableParagraph"/>
              <w:spacing w:before="31"/>
              <w:ind w:left="191"/>
              <w:rPr>
                <w:rFonts w:ascii="微软雅黑" w:eastAsia="微软雅黑" w:hint="eastAsia"/>
                <w:b/>
                <w:sz w:val="21"/>
              </w:rPr>
            </w:pPr>
            <w:r>
              <w:rPr>
                <w:rFonts w:ascii="微软雅黑" w:eastAsia="微软雅黑" w:hint="eastAsia"/>
                <w:b/>
                <w:sz w:val="21"/>
              </w:rPr>
              <w:t>合同效力恢复</w:t>
            </w:r>
          </w:p>
        </w:tc>
        <w:tc>
          <w:tcPr>
            <w:tcW w:w="7693" w:type="dxa"/>
          </w:tcPr>
          <w:p>
            <w:pPr>
              <w:pStyle w:val="TableParagraph"/>
              <w:spacing w:line="273" w:lineRule="auto" w:before="93"/>
              <w:ind w:left="536" w:right="97" w:hanging="407"/>
              <w:jc w:val="both"/>
              <w:rPr>
                <w:sz w:val="21"/>
              </w:rPr>
            </w:pPr>
            <w:r>
              <w:rPr>
                <w:spacing w:val="-5"/>
                <w:sz w:val="21"/>
              </w:rPr>
              <w:t>一、本合同效力中止后 </w:t>
            </w:r>
            <w:r>
              <w:rPr>
                <w:sz w:val="21"/>
              </w:rPr>
              <w:t>2</w:t>
            </w:r>
            <w:r>
              <w:rPr>
                <w:spacing w:val="-8"/>
                <w:sz w:val="21"/>
              </w:rPr>
              <w:t> 年内，您可以申请恢复合同效力</w:t>
            </w:r>
            <w:r>
              <w:rPr>
                <w:spacing w:val="-3"/>
                <w:sz w:val="21"/>
              </w:rPr>
              <w:t>（简称复效</w:t>
            </w:r>
            <w:r>
              <w:rPr>
                <w:spacing w:val="-106"/>
                <w:sz w:val="21"/>
              </w:rPr>
              <w:t>）</w:t>
            </w:r>
            <w:r>
              <w:rPr>
                <w:spacing w:val="-3"/>
                <w:sz w:val="21"/>
              </w:rPr>
              <w:t>。您应填写</w:t>
            </w:r>
            <w:r>
              <w:rPr>
                <w:spacing w:val="-11"/>
                <w:sz w:val="21"/>
              </w:rPr>
              <w:t>复效申请书，我们会要求您提供被保险人的健康声明书、体检报告书及其他相</w:t>
            </w:r>
            <w:r>
              <w:rPr>
                <w:spacing w:val="-6"/>
                <w:sz w:val="21"/>
              </w:rPr>
              <w:t>关证明文件，我们会对材料进行审核，做出是否同意复效的决定。</w:t>
            </w:r>
          </w:p>
          <w:p>
            <w:pPr>
              <w:pStyle w:val="TableParagraph"/>
              <w:spacing w:line="273" w:lineRule="auto" w:before="7"/>
              <w:ind w:left="536" w:right="100" w:hanging="407"/>
              <w:jc w:val="both"/>
              <w:rPr>
                <w:sz w:val="21"/>
              </w:rPr>
            </w:pPr>
            <w:r>
              <w:rPr>
                <w:sz w:val="21"/>
              </w:rPr>
              <w:t>二、经双方达成复效协议，自您补交本合同保险费的次日零时起，本合同效力恢复。</w:t>
            </w:r>
          </w:p>
          <w:p>
            <w:pPr>
              <w:pStyle w:val="TableParagraph"/>
              <w:spacing w:before="7"/>
              <w:ind w:left="130"/>
              <w:rPr>
                <w:sz w:val="21"/>
              </w:rPr>
            </w:pPr>
            <w:r>
              <w:rPr>
                <w:sz w:val="21"/>
              </w:rPr>
              <w:t>三、自本合同效力中止之日起满 2 年您和我们未达成协议的，本合同终止。</w:t>
            </w:r>
          </w:p>
        </w:tc>
      </w:tr>
      <w:tr>
        <w:trPr>
          <w:trHeight w:val="711" w:hRule="atLeast"/>
        </w:trPr>
        <w:tc>
          <w:tcPr>
            <w:tcW w:w="822" w:type="dxa"/>
            <w:tcBorders>
              <w:bottom w:val="single" w:sz="8" w:space="0" w:color="000000"/>
            </w:tcBorders>
          </w:tcPr>
          <w:p>
            <w:pPr>
              <w:pStyle w:val="TableParagraph"/>
              <w:spacing w:before="146"/>
              <w:ind w:left="0" w:right="189"/>
              <w:jc w:val="right"/>
              <w:rPr>
                <w:rFonts w:ascii="Arial" w:hAnsi="Arial"/>
                <w:b/>
                <w:sz w:val="40"/>
              </w:rPr>
            </w:pPr>
            <w:r>
              <w:rPr>
                <w:rFonts w:ascii="Arial" w:hAnsi="Arial"/>
                <w:b/>
                <w:w w:val="119"/>
                <w:sz w:val="40"/>
              </w:rPr>
              <w:t></w:t>
            </w:r>
          </w:p>
        </w:tc>
        <w:tc>
          <w:tcPr>
            <w:tcW w:w="2010" w:type="dxa"/>
            <w:tcBorders>
              <w:bottom w:val="single" w:sz="8" w:space="0" w:color="000000"/>
            </w:tcBorders>
          </w:tcPr>
          <w:p>
            <w:pPr>
              <w:pStyle w:val="TableParagraph"/>
              <w:spacing w:before="126"/>
              <w:ind w:left="191"/>
              <w:rPr>
                <w:rFonts w:ascii="微软雅黑" w:eastAsia="微软雅黑" w:hint="eastAsia"/>
                <w:b/>
                <w:sz w:val="24"/>
              </w:rPr>
            </w:pPr>
            <w:r>
              <w:rPr>
                <w:rFonts w:ascii="微软雅黑" w:eastAsia="微软雅黑" w:hint="eastAsia"/>
                <w:b/>
                <w:sz w:val="24"/>
              </w:rPr>
              <w:t>合同解除</w:t>
            </w:r>
          </w:p>
        </w:tc>
        <w:tc>
          <w:tcPr>
            <w:tcW w:w="7693" w:type="dxa"/>
            <w:tcBorders>
              <w:bottom w:val="single" w:sz="8" w:space="0" w:color="000000"/>
            </w:tcBorders>
          </w:tcPr>
          <w:p>
            <w:pPr>
              <w:pStyle w:val="TableParagraph"/>
              <w:ind w:left="0"/>
              <w:rPr>
                <w:rFonts w:ascii="Times New Roman"/>
                <w:sz w:val="20"/>
              </w:rPr>
            </w:pPr>
          </w:p>
        </w:tc>
      </w:tr>
      <w:tr>
        <w:trPr>
          <w:trHeight w:val="2494" w:hRule="atLeast"/>
        </w:trPr>
        <w:tc>
          <w:tcPr>
            <w:tcW w:w="822" w:type="dxa"/>
            <w:tcBorders>
              <w:top w:val="single" w:sz="8" w:space="0" w:color="000000"/>
            </w:tcBorders>
          </w:tcPr>
          <w:p>
            <w:pPr>
              <w:pStyle w:val="TableParagraph"/>
              <w:spacing w:before="124"/>
              <w:ind w:left="110"/>
              <w:rPr>
                <w:rFonts w:ascii="微软雅黑"/>
                <w:b/>
                <w:sz w:val="21"/>
              </w:rPr>
            </w:pPr>
            <w:r>
              <w:rPr>
                <w:rFonts w:ascii="微软雅黑"/>
                <w:b/>
                <w:w w:val="81"/>
                <w:sz w:val="21"/>
              </w:rPr>
              <w:t>6</w:t>
            </w:r>
            <w:r>
              <w:rPr>
                <w:rFonts w:ascii="微软雅黑"/>
                <w:b/>
                <w:w w:val="176"/>
                <w:sz w:val="21"/>
              </w:rPr>
              <w:t>.</w:t>
            </w:r>
            <w:r>
              <w:rPr>
                <w:rFonts w:ascii="微软雅黑"/>
                <w:b/>
                <w:w w:val="81"/>
                <w:sz w:val="21"/>
              </w:rPr>
              <w:t>1</w:t>
            </w:r>
          </w:p>
        </w:tc>
        <w:tc>
          <w:tcPr>
            <w:tcW w:w="2010" w:type="dxa"/>
            <w:tcBorders>
              <w:top w:val="single" w:sz="8" w:space="0" w:color="000000"/>
            </w:tcBorders>
          </w:tcPr>
          <w:p>
            <w:pPr>
              <w:pStyle w:val="TableParagraph"/>
              <w:spacing w:line="206" w:lineRule="auto" w:before="175"/>
              <w:ind w:left="191" w:right="127"/>
              <w:rPr>
                <w:rFonts w:ascii="微软雅黑" w:eastAsia="微软雅黑" w:hint="eastAsia"/>
                <w:b/>
                <w:sz w:val="21"/>
              </w:rPr>
            </w:pPr>
            <w:r>
              <w:rPr>
                <w:rFonts w:ascii="微软雅黑" w:eastAsia="微软雅黑" w:hint="eastAsia"/>
                <w:b/>
                <w:sz w:val="21"/>
              </w:rPr>
              <w:t>您解除合同的手续及风险</w:t>
            </w:r>
          </w:p>
        </w:tc>
        <w:tc>
          <w:tcPr>
            <w:tcW w:w="7693" w:type="dxa"/>
            <w:tcBorders>
              <w:top w:val="single" w:sz="8" w:space="0" w:color="000000"/>
            </w:tcBorders>
          </w:tcPr>
          <w:p>
            <w:pPr>
              <w:pStyle w:val="TableParagraph"/>
              <w:spacing w:before="4"/>
              <w:ind w:left="0"/>
              <w:rPr>
                <w:sz w:val="14"/>
              </w:rPr>
            </w:pPr>
          </w:p>
          <w:p>
            <w:pPr>
              <w:pStyle w:val="TableParagraph"/>
              <w:spacing w:line="273" w:lineRule="auto"/>
              <w:ind w:left="572" w:right="181" w:hanging="421"/>
              <w:rPr>
                <w:sz w:val="21"/>
              </w:rPr>
            </w:pPr>
            <w:r>
              <w:rPr>
                <w:sz w:val="21"/>
              </w:rPr>
              <w:t>一、若您在犹豫期后申请解除本合同，请填写解除合同申请书并向我们提供下列资料：</w:t>
            </w:r>
          </w:p>
          <w:p>
            <w:pPr>
              <w:pStyle w:val="TableParagraph"/>
              <w:spacing w:before="7"/>
              <w:ind w:left="478"/>
              <w:rPr>
                <w:sz w:val="21"/>
              </w:rPr>
            </w:pPr>
            <w:r>
              <w:rPr>
                <w:sz w:val="21"/>
              </w:rPr>
              <w:t>（一）保险合同；</w:t>
            </w:r>
          </w:p>
          <w:p>
            <w:pPr>
              <w:pStyle w:val="TableParagraph"/>
              <w:spacing w:before="37"/>
              <w:ind w:left="478"/>
              <w:rPr>
                <w:sz w:val="21"/>
              </w:rPr>
            </w:pPr>
            <w:r>
              <w:rPr>
                <w:sz w:val="21"/>
              </w:rPr>
              <w:t>（二）您的有效身份证件。</w:t>
            </w:r>
          </w:p>
          <w:p>
            <w:pPr>
              <w:pStyle w:val="TableParagraph"/>
              <w:spacing w:line="273" w:lineRule="auto" w:before="37"/>
              <w:ind w:left="572" w:right="181" w:hanging="421"/>
              <w:rPr>
                <w:sz w:val="21"/>
              </w:rPr>
            </w:pPr>
            <w:r>
              <w:rPr>
                <w:sz w:val="21"/>
              </w:rPr>
              <w:t>二、自我们收到解除合同申请书时起，本合同终止。我们自收到解除合同申请书之日起 30 日内退还本合同的现金价值。</w:t>
            </w:r>
          </w:p>
          <w:p>
            <w:pPr>
              <w:pStyle w:val="TableParagraph"/>
              <w:spacing w:before="7"/>
              <w:ind w:left="130"/>
              <w:rPr>
                <w:sz w:val="21"/>
              </w:rPr>
            </w:pPr>
            <w:r>
              <w:rPr>
                <w:sz w:val="21"/>
              </w:rPr>
              <w:t>三、您犹豫期后解除合同可能会遭受一定损失。</w:t>
            </w:r>
          </w:p>
        </w:tc>
      </w:tr>
      <w:tr>
        <w:trPr>
          <w:trHeight w:val="964" w:hRule="atLeast"/>
        </w:trPr>
        <w:tc>
          <w:tcPr>
            <w:tcW w:w="822" w:type="dxa"/>
          </w:tcPr>
          <w:p>
            <w:pPr>
              <w:pStyle w:val="TableParagraph"/>
              <w:spacing w:before="21"/>
              <w:ind w:left="110"/>
              <w:rPr>
                <w:rFonts w:ascii="微软雅黑"/>
                <w:b/>
                <w:sz w:val="21"/>
              </w:rPr>
            </w:pPr>
            <w:r>
              <w:rPr>
                <w:rFonts w:ascii="微软雅黑"/>
                <w:b/>
                <w:sz w:val="21"/>
              </w:rPr>
              <w:t>6.2</w:t>
            </w:r>
          </w:p>
        </w:tc>
        <w:tc>
          <w:tcPr>
            <w:tcW w:w="2010" w:type="dxa"/>
          </w:tcPr>
          <w:p>
            <w:pPr>
              <w:pStyle w:val="TableParagraph"/>
              <w:spacing w:before="21"/>
              <w:ind w:left="191"/>
              <w:rPr>
                <w:rFonts w:ascii="微软雅黑" w:eastAsia="微软雅黑" w:hint="eastAsia"/>
                <w:b/>
                <w:sz w:val="21"/>
              </w:rPr>
            </w:pPr>
            <w:r>
              <w:rPr>
                <w:rFonts w:ascii="微软雅黑" w:eastAsia="微软雅黑" w:hint="eastAsia"/>
                <w:b/>
                <w:sz w:val="21"/>
              </w:rPr>
              <w:t>合同内容变更</w:t>
            </w:r>
          </w:p>
        </w:tc>
        <w:tc>
          <w:tcPr>
            <w:tcW w:w="7693" w:type="dxa"/>
          </w:tcPr>
          <w:p>
            <w:pPr>
              <w:pStyle w:val="TableParagraph"/>
              <w:spacing w:line="300" w:lineRule="atLeast" w:before="58"/>
              <w:ind w:left="130" w:right="98"/>
              <w:jc w:val="both"/>
              <w:rPr>
                <w:sz w:val="21"/>
              </w:rPr>
            </w:pPr>
            <w:r>
              <w:rPr>
                <w:spacing w:val="-11"/>
                <w:sz w:val="21"/>
              </w:rPr>
              <w:t>本合同生效后，若您需变更本合同的内容，应当向我们提出变更合同的申请，在您</w:t>
            </w:r>
            <w:r>
              <w:rPr>
                <w:spacing w:val="-13"/>
                <w:sz w:val="21"/>
              </w:rPr>
              <w:t>与我们达成一致后，可以对合同约定事项进行变更，变更可以通过在保险合同上批</w:t>
            </w:r>
            <w:r>
              <w:rPr>
                <w:spacing w:val="-6"/>
                <w:sz w:val="21"/>
              </w:rPr>
              <w:t>注、附贴批单的方式进行。</w:t>
            </w:r>
          </w:p>
        </w:tc>
      </w:tr>
    </w:tbl>
    <w:p>
      <w:pPr>
        <w:spacing w:after="0" w:line="300" w:lineRule="atLeast"/>
        <w:jc w:val="both"/>
        <w:rPr>
          <w:sz w:val="21"/>
        </w:rPr>
        <w:sectPr>
          <w:pgSz w:w="11910" w:h="16840"/>
          <w:pgMar w:top="1400" w:bottom="280" w:left="560" w:right="60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2"/>
        <w:gridCol w:w="2010"/>
        <w:gridCol w:w="7696"/>
      </w:tblGrid>
      <w:tr>
        <w:trPr>
          <w:trHeight w:val="1304" w:hRule="atLeast"/>
        </w:trPr>
        <w:tc>
          <w:tcPr>
            <w:tcW w:w="822" w:type="dxa"/>
          </w:tcPr>
          <w:p>
            <w:pPr>
              <w:pStyle w:val="TableParagraph"/>
              <w:spacing w:line="229" w:lineRule="exact"/>
              <w:ind w:left="110"/>
              <w:rPr>
                <w:rFonts w:ascii="微软雅黑"/>
                <w:b/>
                <w:sz w:val="21"/>
              </w:rPr>
            </w:pPr>
            <w:r>
              <w:rPr>
                <w:rFonts w:ascii="微软雅黑"/>
                <w:b/>
                <w:sz w:val="21"/>
              </w:rPr>
              <w:t>6.3</w:t>
            </w:r>
          </w:p>
        </w:tc>
        <w:tc>
          <w:tcPr>
            <w:tcW w:w="2010" w:type="dxa"/>
          </w:tcPr>
          <w:p>
            <w:pPr>
              <w:pStyle w:val="TableParagraph"/>
              <w:spacing w:line="229" w:lineRule="exact"/>
              <w:ind w:left="191"/>
              <w:rPr>
                <w:rFonts w:ascii="微软雅黑" w:eastAsia="微软雅黑" w:hint="eastAsia"/>
                <w:b/>
                <w:sz w:val="21"/>
              </w:rPr>
            </w:pPr>
            <w:r>
              <w:rPr>
                <w:rFonts w:ascii="微软雅黑" w:eastAsia="微软雅黑" w:hint="eastAsia"/>
                <w:b/>
                <w:sz w:val="21"/>
              </w:rPr>
              <w:t>联系方式变更</w:t>
            </w:r>
          </w:p>
        </w:tc>
        <w:tc>
          <w:tcPr>
            <w:tcW w:w="7696" w:type="dxa"/>
          </w:tcPr>
          <w:p>
            <w:pPr>
              <w:pStyle w:val="TableParagraph"/>
              <w:spacing w:line="203" w:lineRule="exact"/>
              <w:ind w:left="130"/>
              <w:rPr>
                <w:sz w:val="21"/>
              </w:rPr>
            </w:pPr>
            <w:r>
              <w:rPr>
                <w:sz w:val="21"/>
              </w:rPr>
              <w:t>为保障您的合法权益，您的住所、通讯地址或电话等联系方式变更时，请及时以书</w:t>
            </w:r>
          </w:p>
          <w:p>
            <w:pPr>
              <w:pStyle w:val="TableParagraph"/>
              <w:spacing w:line="261" w:lineRule="auto" w:before="25"/>
              <w:ind w:left="130" w:right="101"/>
              <w:jc w:val="both"/>
              <w:rPr>
                <w:sz w:val="21"/>
              </w:rPr>
            </w:pPr>
            <w:r>
              <w:rPr>
                <w:spacing w:val="-9"/>
                <w:sz w:val="21"/>
              </w:rPr>
              <w:t>面形式或双方认可的其他形式通知我们。若您未以书面形式或双方认可的其他形式</w:t>
            </w:r>
            <w:r>
              <w:rPr>
                <w:spacing w:val="-12"/>
                <w:sz w:val="21"/>
              </w:rPr>
              <w:t>通知我们，我们按本合同载明的最后住所或通讯地址发送的有关通知，均视为已送</w:t>
            </w:r>
            <w:r>
              <w:rPr>
                <w:spacing w:val="-7"/>
                <w:sz w:val="21"/>
              </w:rPr>
              <w:t>达给您。</w:t>
            </w:r>
          </w:p>
        </w:tc>
      </w:tr>
      <w:tr>
        <w:trPr>
          <w:trHeight w:val="715" w:hRule="atLeast"/>
        </w:trPr>
        <w:tc>
          <w:tcPr>
            <w:tcW w:w="822" w:type="dxa"/>
            <w:tcBorders>
              <w:bottom w:val="single" w:sz="8" w:space="0" w:color="000000"/>
            </w:tcBorders>
          </w:tcPr>
          <w:p>
            <w:pPr>
              <w:pStyle w:val="TableParagraph"/>
              <w:spacing w:before="148"/>
              <w:ind w:left="273"/>
              <w:rPr>
                <w:rFonts w:ascii="Arial" w:hAnsi="Arial"/>
                <w:b/>
                <w:sz w:val="40"/>
              </w:rPr>
            </w:pPr>
            <w:r>
              <w:rPr>
                <w:rFonts w:ascii="Arial" w:hAnsi="Arial"/>
                <w:b/>
                <w:w w:val="119"/>
                <w:sz w:val="40"/>
              </w:rPr>
              <w:t></w:t>
            </w:r>
          </w:p>
        </w:tc>
        <w:tc>
          <w:tcPr>
            <w:tcW w:w="9706" w:type="dxa"/>
            <w:gridSpan w:val="2"/>
            <w:tcBorders>
              <w:bottom w:val="single" w:sz="8" w:space="0" w:color="000000"/>
            </w:tcBorders>
          </w:tcPr>
          <w:p>
            <w:pPr>
              <w:pStyle w:val="TableParagraph"/>
              <w:spacing w:before="128"/>
              <w:ind w:left="191"/>
              <w:rPr>
                <w:rFonts w:ascii="微软雅黑" w:eastAsia="微软雅黑" w:hint="eastAsia"/>
                <w:b/>
                <w:sz w:val="24"/>
              </w:rPr>
            </w:pPr>
            <w:r>
              <w:rPr>
                <w:rFonts w:ascii="微软雅黑" w:eastAsia="微软雅黑" w:hint="eastAsia"/>
                <w:b/>
                <w:sz w:val="24"/>
              </w:rPr>
              <w:t>明确说明与如实告知</w:t>
            </w:r>
          </w:p>
        </w:tc>
      </w:tr>
      <w:tr>
        <w:trPr>
          <w:trHeight w:val="1570" w:hRule="atLeast"/>
        </w:trPr>
        <w:tc>
          <w:tcPr>
            <w:tcW w:w="822" w:type="dxa"/>
            <w:tcBorders>
              <w:top w:val="single" w:sz="8" w:space="0" w:color="000000"/>
            </w:tcBorders>
          </w:tcPr>
          <w:p>
            <w:pPr>
              <w:pStyle w:val="TableParagraph"/>
              <w:spacing w:before="125"/>
              <w:ind w:left="110"/>
              <w:rPr>
                <w:rFonts w:ascii="微软雅黑"/>
                <w:b/>
                <w:sz w:val="21"/>
              </w:rPr>
            </w:pPr>
            <w:r>
              <w:rPr>
                <w:rFonts w:ascii="微软雅黑"/>
                <w:b/>
                <w:sz w:val="21"/>
              </w:rPr>
              <w:t>7.1</w:t>
            </w:r>
          </w:p>
        </w:tc>
        <w:tc>
          <w:tcPr>
            <w:tcW w:w="2010" w:type="dxa"/>
            <w:tcBorders>
              <w:top w:val="single" w:sz="8" w:space="0" w:color="000000"/>
            </w:tcBorders>
          </w:tcPr>
          <w:p>
            <w:pPr>
              <w:pStyle w:val="TableParagraph"/>
              <w:spacing w:before="125"/>
              <w:ind w:left="191"/>
              <w:rPr>
                <w:rFonts w:ascii="微软雅黑" w:eastAsia="微软雅黑" w:hint="eastAsia"/>
                <w:b/>
                <w:sz w:val="21"/>
              </w:rPr>
            </w:pPr>
            <w:r>
              <w:rPr>
                <w:rFonts w:ascii="微软雅黑" w:eastAsia="微软雅黑" w:hint="eastAsia"/>
                <w:b/>
                <w:sz w:val="21"/>
              </w:rPr>
              <w:t>明确说明</w:t>
            </w:r>
          </w:p>
        </w:tc>
        <w:tc>
          <w:tcPr>
            <w:tcW w:w="7696" w:type="dxa"/>
            <w:tcBorders>
              <w:top w:val="single" w:sz="8" w:space="0" w:color="000000"/>
            </w:tcBorders>
          </w:tcPr>
          <w:p>
            <w:pPr>
              <w:pStyle w:val="TableParagraph"/>
              <w:spacing w:before="4"/>
              <w:ind w:left="0"/>
              <w:rPr>
                <w:sz w:val="14"/>
              </w:rPr>
            </w:pPr>
          </w:p>
          <w:p>
            <w:pPr>
              <w:pStyle w:val="TableParagraph"/>
              <w:spacing w:before="1"/>
              <w:ind w:left="130"/>
              <w:rPr>
                <w:sz w:val="21"/>
              </w:rPr>
            </w:pPr>
            <w:r>
              <w:rPr>
                <w:sz w:val="21"/>
              </w:rPr>
              <w:t>一、订立本合同时，我们会向您说明本合同的内容。</w:t>
            </w:r>
          </w:p>
          <w:p>
            <w:pPr>
              <w:pStyle w:val="TableParagraph"/>
              <w:spacing w:line="273" w:lineRule="auto" w:before="37"/>
              <w:ind w:left="550" w:right="100" w:hanging="421"/>
              <w:jc w:val="both"/>
              <w:rPr>
                <w:sz w:val="21"/>
              </w:rPr>
            </w:pPr>
            <w:r>
              <w:rPr>
                <w:sz w:val="21"/>
              </w:rPr>
              <w:t>二、对保险条款中免除我们责任的条款，我们在订立合同时应当在投保单、保险</w:t>
            </w:r>
            <w:r>
              <w:rPr>
                <w:spacing w:val="-8"/>
                <w:sz w:val="21"/>
              </w:rPr>
              <w:t>单或其他保险凭证上作出足以引起您注意的提示，并对该条款的内容以书面或</w:t>
            </w:r>
            <w:r>
              <w:rPr>
                <w:spacing w:val="-3"/>
                <w:sz w:val="21"/>
              </w:rPr>
              <w:t>口头形式向您作出明确说明，未作提示或明确说明的，该条款不产生效力。</w:t>
            </w:r>
          </w:p>
        </w:tc>
      </w:tr>
      <w:tr>
        <w:trPr>
          <w:trHeight w:val="3347" w:hRule="atLeast"/>
        </w:trPr>
        <w:tc>
          <w:tcPr>
            <w:tcW w:w="822" w:type="dxa"/>
          </w:tcPr>
          <w:p>
            <w:pPr>
              <w:pStyle w:val="TableParagraph"/>
              <w:spacing w:before="29"/>
              <w:ind w:left="110"/>
              <w:rPr>
                <w:rFonts w:ascii="微软雅黑"/>
                <w:b/>
                <w:sz w:val="21"/>
              </w:rPr>
            </w:pPr>
            <w:r>
              <w:rPr>
                <w:rFonts w:ascii="微软雅黑"/>
                <w:b/>
                <w:sz w:val="21"/>
              </w:rPr>
              <w:t>7.2</w:t>
            </w:r>
          </w:p>
        </w:tc>
        <w:tc>
          <w:tcPr>
            <w:tcW w:w="2010" w:type="dxa"/>
          </w:tcPr>
          <w:p>
            <w:pPr>
              <w:pStyle w:val="TableParagraph"/>
              <w:spacing w:before="29"/>
              <w:ind w:left="191"/>
              <w:rPr>
                <w:rFonts w:ascii="微软雅黑" w:eastAsia="微软雅黑" w:hint="eastAsia"/>
                <w:b/>
                <w:sz w:val="21"/>
              </w:rPr>
            </w:pPr>
            <w:r>
              <w:rPr>
                <w:rFonts w:ascii="微软雅黑" w:eastAsia="微软雅黑" w:hint="eastAsia"/>
                <w:b/>
                <w:sz w:val="21"/>
              </w:rPr>
              <w:t>如实告知</w:t>
            </w:r>
          </w:p>
        </w:tc>
        <w:tc>
          <w:tcPr>
            <w:tcW w:w="7696" w:type="dxa"/>
          </w:tcPr>
          <w:p>
            <w:pPr>
              <w:pStyle w:val="TableParagraph"/>
              <w:spacing w:before="91"/>
              <w:ind w:left="130"/>
              <w:rPr>
                <w:sz w:val="21"/>
              </w:rPr>
            </w:pPr>
            <w:r>
              <w:rPr>
                <w:sz w:val="21"/>
              </w:rPr>
              <w:t>一、我们就您和被保险人的有关情况提出询问的，您应当如实告知。</w:t>
            </w:r>
          </w:p>
          <w:p>
            <w:pPr>
              <w:pStyle w:val="TableParagraph"/>
              <w:spacing w:line="273" w:lineRule="auto" w:before="37"/>
              <w:ind w:left="550" w:right="100" w:hanging="421"/>
              <w:jc w:val="both"/>
              <w:rPr>
                <w:sz w:val="21"/>
              </w:rPr>
            </w:pPr>
            <w:r>
              <w:rPr>
                <w:spacing w:val="-7"/>
                <w:sz w:val="21"/>
              </w:rPr>
              <w:t>二、若您故意或因重大过失未履行前款规定的如实告知义务，足以影响我们决定是</w:t>
            </w:r>
            <w:r>
              <w:rPr>
                <w:spacing w:val="-5"/>
                <w:sz w:val="21"/>
              </w:rPr>
              <w:t>否同意承保或提高保险费率的，我们有权解除本合同。</w:t>
            </w:r>
          </w:p>
          <w:p>
            <w:pPr>
              <w:pStyle w:val="TableParagraph"/>
              <w:spacing w:line="194" w:lineRule="auto"/>
              <w:ind w:left="550" w:right="104" w:hanging="421"/>
              <w:jc w:val="both"/>
              <w:rPr>
                <w:sz w:val="21"/>
              </w:rPr>
            </w:pPr>
            <w:r>
              <w:rPr>
                <w:w w:val="95"/>
                <w:sz w:val="21"/>
              </w:rPr>
              <w:t>三、</w:t>
            </w:r>
            <w:r>
              <w:rPr>
                <w:rFonts w:ascii="Microsoft JhengHei" w:eastAsia="Microsoft JhengHei" w:hint="eastAsia"/>
                <w:b/>
                <w:w w:val="95"/>
                <w:sz w:val="22"/>
              </w:rPr>
              <w:t>若您故意不履行如实告知义务，对于本合同解除前发Th的保险事故，我们不承担给付保险金的责任</w:t>
            </w:r>
            <w:r>
              <w:rPr>
                <w:w w:val="95"/>
                <w:sz w:val="21"/>
              </w:rPr>
              <w:t>，并不退还保险费。</w:t>
            </w:r>
          </w:p>
          <w:p>
            <w:pPr>
              <w:pStyle w:val="TableParagraph"/>
              <w:spacing w:line="312" w:lineRule="exact" w:before="8"/>
              <w:ind w:left="550" w:right="99" w:hanging="421"/>
              <w:jc w:val="both"/>
              <w:rPr>
                <w:sz w:val="21"/>
              </w:rPr>
            </w:pPr>
            <w:r>
              <w:rPr>
                <w:w w:val="95"/>
                <w:sz w:val="21"/>
              </w:rPr>
              <w:t>四、</w:t>
            </w:r>
            <w:r>
              <w:rPr>
                <w:rFonts w:ascii="Microsoft JhengHei" w:eastAsia="Microsoft JhengHei" w:hint="eastAsia"/>
                <w:b/>
                <w:w w:val="95"/>
                <w:sz w:val="22"/>
              </w:rPr>
              <w:t>若您因重大过失未履行如实告知义务，对保险事故的发Th有严重影响的，对于本合同解除前发Th的保险事故，我们不承担给付保险金的责任</w:t>
            </w:r>
            <w:r>
              <w:rPr>
                <w:w w:val="95"/>
                <w:sz w:val="21"/>
              </w:rPr>
              <w:t>，但应当退</w:t>
            </w:r>
            <w:r>
              <w:rPr>
                <w:sz w:val="21"/>
              </w:rPr>
              <w:t>还保险费。</w:t>
            </w:r>
          </w:p>
          <w:p>
            <w:pPr>
              <w:pStyle w:val="TableParagraph"/>
              <w:spacing w:line="273" w:lineRule="auto" w:before="4"/>
              <w:ind w:left="550" w:right="100" w:hanging="421"/>
              <w:jc w:val="both"/>
              <w:rPr>
                <w:sz w:val="21"/>
              </w:rPr>
            </w:pPr>
            <w:r>
              <w:rPr>
                <w:spacing w:val="-7"/>
                <w:sz w:val="21"/>
              </w:rPr>
              <w:t>五、我们在合同订立时已经知道您未如实告知的情况的，我们不得解除合同；发生</w:t>
            </w:r>
            <w:r>
              <w:rPr>
                <w:spacing w:val="-5"/>
                <w:sz w:val="21"/>
              </w:rPr>
              <w:t>保险事故的，我们承担给付保险金的责任。</w:t>
            </w:r>
          </w:p>
        </w:tc>
      </w:tr>
      <w:tr>
        <w:trPr>
          <w:trHeight w:val="1188" w:hRule="atLeast"/>
        </w:trPr>
        <w:tc>
          <w:tcPr>
            <w:tcW w:w="822" w:type="dxa"/>
          </w:tcPr>
          <w:p>
            <w:pPr>
              <w:pStyle w:val="TableParagraph"/>
              <w:spacing w:before="30"/>
              <w:ind w:left="110"/>
              <w:rPr>
                <w:rFonts w:ascii="微软雅黑"/>
                <w:b/>
                <w:sz w:val="21"/>
              </w:rPr>
            </w:pPr>
            <w:r>
              <w:rPr>
                <w:rFonts w:ascii="微软雅黑"/>
                <w:b/>
                <w:sz w:val="21"/>
              </w:rPr>
              <w:t>7.3</w:t>
            </w:r>
          </w:p>
        </w:tc>
        <w:tc>
          <w:tcPr>
            <w:tcW w:w="2010" w:type="dxa"/>
          </w:tcPr>
          <w:p>
            <w:pPr>
              <w:pStyle w:val="TableParagraph"/>
              <w:spacing w:line="206" w:lineRule="auto" w:before="81"/>
              <w:ind w:left="191" w:right="127"/>
              <w:rPr>
                <w:rFonts w:ascii="微软雅黑" w:eastAsia="微软雅黑" w:hint="eastAsia"/>
                <w:b/>
                <w:sz w:val="21"/>
              </w:rPr>
            </w:pPr>
            <w:r>
              <w:rPr>
                <w:rFonts w:ascii="微软雅黑" w:eastAsia="微软雅黑" w:hint="eastAsia"/>
                <w:b/>
                <w:sz w:val="21"/>
              </w:rPr>
              <w:t>本公司合同解除权的限制</w:t>
            </w:r>
          </w:p>
        </w:tc>
        <w:tc>
          <w:tcPr>
            <w:tcW w:w="7696" w:type="dxa"/>
          </w:tcPr>
          <w:p>
            <w:pPr>
              <w:pStyle w:val="TableParagraph"/>
              <w:spacing w:before="92"/>
              <w:ind w:left="130" w:right="-15"/>
              <w:rPr>
                <w:sz w:val="21"/>
              </w:rPr>
            </w:pPr>
            <w:r>
              <w:rPr>
                <w:spacing w:val="-11"/>
                <w:sz w:val="21"/>
              </w:rPr>
              <w:t>前条约定的合同解除权，自我们知道有解除事由之日起，超过 </w:t>
            </w:r>
            <w:r>
              <w:rPr>
                <w:sz w:val="21"/>
              </w:rPr>
              <w:t>30</w:t>
            </w:r>
            <w:r>
              <w:rPr>
                <w:spacing w:val="-7"/>
                <w:sz w:val="21"/>
              </w:rPr>
              <w:t> 日不行使而消灭。</w:t>
            </w:r>
          </w:p>
          <w:p>
            <w:pPr>
              <w:pStyle w:val="TableParagraph"/>
              <w:spacing w:line="273" w:lineRule="auto" w:before="36"/>
              <w:ind w:left="130" w:right="105"/>
              <w:rPr>
                <w:sz w:val="21"/>
              </w:rPr>
            </w:pPr>
            <w:r>
              <w:rPr>
                <w:spacing w:val="-6"/>
                <w:sz w:val="21"/>
              </w:rPr>
              <w:t>自本合同成立之日起超过 </w:t>
            </w:r>
            <w:r>
              <w:rPr>
                <w:sz w:val="21"/>
              </w:rPr>
              <w:t>2</w:t>
            </w:r>
            <w:r>
              <w:rPr>
                <w:spacing w:val="-14"/>
                <w:sz w:val="21"/>
              </w:rPr>
              <w:t> 年的，我们不得解除合同；发生保险事故的，我们承担</w:t>
            </w:r>
            <w:r>
              <w:rPr>
                <w:spacing w:val="-7"/>
                <w:sz w:val="21"/>
              </w:rPr>
              <w:t>给付保险金的责任。</w:t>
            </w:r>
          </w:p>
        </w:tc>
      </w:tr>
      <w:tr>
        <w:trPr>
          <w:trHeight w:val="710" w:hRule="atLeast"/>
        </w:trPr>
        <w:tc>
          <w:tcPr>
            <w:tcW w:w="822" w:type="dxa"/>
            <w:tcBorders>
              <w:bottom w:val="single" w:sz="8" w:space="0" w:color="000000"/>
            </w:tcBorders>
          </w:tcPr>
          <w:p>
            <w:pPr>
              <w:pStyle w:val="TableParagraph"/>
              <w:spacing w:before="143"/>
              <w:ind w:left="110"/>
              <w:rPr>
                <w:rFonts w:ascii="Arial" w:hAnsi="Arial"/>
                <w:b/>
                <w:sz w:val="40"/>
              </w:rPr>
            </w:pPr>
            <w:r>
              <w:rPr>
                <w:rFonts w:ascii="Arial" w:hAnsi="Arial"/>
                <w:b/>
                <w:w w:val="119"/>
                <w:sz w:val="40"/>
              </w:rPr>
              <w:t></w:t>
            </w:r>
          </w:p>
        </w:tc>
        <w:tc>
          <w:tcPr>
            <w:tcW w:w="9706" w:type="dxa"/>
            <w:gridSpan w:val="2"/>
            <w:tcBorders>
              <w:bottom w:val="single" w:sz="8" w:space="0" w:color="000000"/>
            </w:tcBorders>
          </w:tcPr>
          <w:p>
            <w:pPr>
              <w:pStyle w:val="TableParagraph"/>
              <w:spacing w:before="123"/>
              <w:ind w:left="191"/>
              <w:rPr>
                <w:rFonts w:ascii="微软雅黑" w:eastAsia="微软雅黑" w:hint="eastAsia"/>
                <w:b/>
                <w:sz w:val="24"/>
              </w:rPr>
            </w:pPr>
            <w:r>
              <w:rPr>
                <w:rFonts w:ascii="微软雅黑" w:eastAsia="微软雅黑" w:hint="eastAsia"/>
                <w:b/>
                <w:sz w:val="24"/>
              </w:rPr>
              <w:t>其他需要关注的事项</w:t>
            </w:r>
          </w:p>
        </w:tc>
      </w:tr>
      <w:tr>
        <w:trPr>
          <w:trHeight w:val="3442" w:hRule="atLeast"/>
        </w:trPr>
        <w:tc>
          <w:tcPr>
            <w:tcW w:w="822" w:type="dxa"/>
            <w:tcBorders>
              <w:top w:val="single" w:sz="8" w:space="0" w:color="000000"/>
            </w:tcBorders>
          </w:tcPr>
          <w:p>
            <w:pPr>
              <w:pStyle w:val="TableParagraph"/>
              <w:spacing w:before="125"/>
              <w:ind w:left="110"/>
              <w:rPr>
                <w:rFonts w:ascii="微软雅黑"/>
                <w:b/>
                <w:sz w:val="21"/>
              </w:rPr>
            </w:pPr>
            <w:r>
              <w:rPr>
                <w:rFonts w:ascii="微软雅黑"/>
                <w:b/>
                <w:w w:val="81"/>
                <w:sz w:val="21"/>
              </w:rPr>
              <w:t>8</w:t>
            </w:r>
            <w:r>
              <w:rPr>
                <w:rFonts w:ascii="微软雅黑"/>
                <w:b/>
                <w:w w:val="176"/>
                <w:sz w:val="21"/>
              </w:rPr>
              <w:t>.</w:t>
            </w:r>
            <w:r>
              <w:rPr>
                <w:rFonts w:ascii="微软雅黑"/>
                <w:b/>
                <w:w w:val="81"/>
                <w:sz w:val="21"/>
              </w:rPr>
              <w:t>1</w:t>
            </w:r>
          </w:p>
        </w:tc>
        <w:tc>
          <w:tcPr>
            <w:tcW w:w="2010" w:type="dxa"/>
            <w:tcBorders>
              <w:top w:val="single" w:sz="8" w:space="0" w:color="000000"/>
            </w:tcBorders>
          </w:tcPr>
          <w:p>
            <w:pPr>
              <w:pStyle w:val="TableParagraph"/>
              <w:spacing w:before="125"/>
              <w:ind w:left="191"/>
              <w:rPr>
                <w:rFonts w:ascii="微软雅黑" w:eastAsia="微软雅黑" w:hint="eastAsia"/>
                <w:b/>
                <w:sz w:val="21"/>
              </w:rPr>
            </w:pPr>
            <w:r>
              <w:rPr>
                <w:rFonts w:ascii="微软雅黑" w:eastAsia="微软雅黑" w:hint="eastAsia"/>
                <w:b/>
                <w:sz w:val="21"/>
              </w:rPr>
              <w:t>年龄性别错误</w:t>
            </w:r>
          </w:p>
        </w:tc>
        <w:tc>
          <w:tcPr>
            <w:tcW w:w="7696" w:type="dxa"/>
            <w:tcBorders>
              <w:top w:val="single" w:sz="8" w:space="0" w:color="000000"/>
            </w:tcBorders>
          </w:tcPr>
          <w:p>
            <w:pPr>
              <w:pStyle w:val="TableParagraph"/>
              <w:spacing w:before="4"/>
              <w:ind w:left="0"/>
              <w:rPr>
                <w:sz w:val="14"/>
              </w:rPr>
            </w:pPr>
          </w:p>
          <w:p>
            <w:pPr>
              <w:pStyle w:val="TableParagraph"/>
              <w:spacing w:line="273" w:lineRule="auto" w:before="1"/>
              <w:ind w:left="130" w:right="203" w:firstLine="2"/>
              <w:rPr>
                <w:sz w:val="21"/>
              </w:rPr>
            </w:pPr>
            <w:r>
              <w:rPr>
                <w:sz w:val="21"/>
              </w:rPr>
              <w:t>您在申请投保时，应将与有效身份证件相符的被保险人的出生日期和性别在投保单上填明，如果发生错误按照下列方式办理：</w:t>
            </w:r>
          </w:p>
          <w:p>
            <w:pPr>
              <w:pStyle w:val="TableParagraph"/>
              <w:spacing w:line="273" w:lineRule="auto" w:before="8"/>
              <w:ind w:left="550" w:right="100" w:hanging="421"/>
              <w:jc w:val="both"/>
              <w:rPr>
                <w:sz w:val="21"/>
              </w:rPr>
            </w:pPr>
            <w:r>
              <w:rPr>
                <w:spacing w:val="-9"/>
                <w:sz w:val="21"/>
              </w:rPr>
              <w:t>(一)您申报的被保险人年龄不真实，并且其真实年龄不符合本合同约定投保年龄限</w:t>
            </w:r>
            <w:r>
              <w:rPr>
                <w:spacing w:val="-12"/>
                <w:sz w:val="21"/>
              </w:rPr>
              <w:t>制的，本公司有权解除合同。本公司行使合同解除权适用“本公司合同解除权</w:t>
            </w:r>
            <w:r>
              <w:rPr>
                <w:spacing w:val="-6"/>
                <w:sz w:val="21"/>
              </w:rPr>
              <w:t>的限制”的规定。对于解除合同的，本公司向您退还本合同的现金价值。</w:t>
            </w:r>
          </w:p>
          <w:p>
            <w:pPr>
              <w:pStyle w:val="TableParagraph"/>
              <w:spacing w:line="273" w:lineRule="auto" w:before="8"/>
              <w:ind w:left="550" w:right="-15" w:hanging="421"/>
              <w:rPr>
                <w:sz w:val="21"/>
              </w:rPr>
            </w:pPr>
            <w:r>
              <w:rPr>
                <w:spacing w:val="-3"/>
                <w:sz w:val="21"/>
              </w:rPr>
              <w:t>(二)您申报的被保险人年龄、性别不真实，致使您实付保险费少于应付保险费的， </w:t>
            </w:r>
            <w:r>
              <w:rPr>
                <w:spacing w:val="-8"/>
                <w:sz w:val="21"/>
              </w:rPr>
              <w:t>本公司有权更正并要求您补交保险费。若已经发生保险事故，在给付保险金时</w:t>
            </w:r>
            <w:r>
              <w:rPr>
                <w:spacing w:val="-5"/>
                <w:sz w:val="21"/>
              </w:rPr>
              <w:t>按实付保险费和应付保险费的比例给付。</w:t>
            </w:r>
          </w:p>
          <w:p>
            <w:pPr>
              <w:pStyle w:val="TableParagraph"/>
              <w:spacing w:line="273" w:lineRule="auto" w:before="8"/>
              <w:ind w:left="550" w:right="-15" w:hanging="421"/>
              <w:rPr>
                <w:sz w:val="21"/>
              </w:rPr>
            </w:pPr>
            <w:r>
              <w:rPr>
                <w:spacing w:val="-3"/>
                <w:sz w:val="21"/>
              </w:rPr>
              <w:t>(三)您申报的被保险人年龄、性别不真实，致使您实付保险费多于应付保险费的， 本公司会将多收的保险费退还给您。</w:t>
            </w:r>
          </w:p>
        </w:tc>
      </w:tr>
      <w:tr>
        <w:trPr>
          <w:trHeight w:val="1151" w:hRule="atLeast"/>
        </w:trPr>
        <w:tc>
          <w:tcPr>
            <w:tcW w:w="822" w:type="dxa"/>
          </w:tcPr>
          <w:p>
            <w:pPr>
              <w:pStyle w:val="TableParagraph"/>
              <w:spacing w:before="29"/>
              <w:ind w:left="110"/>
              <w:rPr>
                <w:rFonts w:ascii="微软雅黑"/>
                <w:b/>
                <w:sz w:val="21"/>
              </w:rPr>
            </w:pPr>
            <w:r>
              <w:rPr>
                <w:rFonts w:ascii="微软雅黑"/>
                <w:b/>
                <w:sz w:val="21"/>
              </w:rPr>
              <w:t>8.2</w:t>
            </w:r>
          </w:p>
        </w:tc>
        <w:tc>
          <w:tcPr>
            <w:tcW w:w="2010" w:type="dxa"/>
          </w:tcPr>
          <w:p>
            <w:pPr>
              <w:pStyle w:val="TableParagraph"/>
              <w:spacing w:before="29"/>
              <w:ind w:left="191"/>
              <w:rPr>
                <w:rFonts w:ascii="微软雅黑" w:eastAsia="微软雅黑" w:hint="eastAsia"/>
                <w:b/>
                <w:sz w:val="21"/>
              </w:rPr>
            </w:pPr>
            <w:r>
              <w:rPr>
                <w:rFonts w:ascii="微软雅黑" w:eastAsia="微软雅黑" w:hint="eastAsia"/>
                <w:b/>
                <w:sz w:val="21"/>
              </w:rPr>
              <w:t>合同效力终止</w:t>
            </w:r>
          </w:p>
        </w:tc>
        <w:tc>
          <w:tcPr>
            <w:tcW w:w="7696" w:type="dxa"/>
          </w:tcPr>
          <w:p>
            <w:pPr>
              <w:pStyle w:val="TableParagraph"/>
              <w:spacing w:before="91"/>
              <w:ind w:left="130"/>
              <w:rPr>
                <w:sz w:val="21"/>
              </w:rPr>
            </w:pPr>
            <w:r>
              <w:rPr>
                <w:sz w:val="21"/>
              </w:rPr>
              <w:t>当发生下列情形之一时，本合同效力终止：</w:t>
            </w:r>
          </w:p>
          <w:p>
            <w:pPr>
              <w:pStyle w:val="TableParagraph"/>
              <w:spacing w:before="36"/>
              <w:ind w:left="130"/>
              <w:rPr>
                <w:sz w:val="21"/>
              </w:rPr>
            </w:pPr>
            <w:r>
              <w:rPr>
                <w:sz w:val="21"/>
              </w:rPr>
              <w:t>(一)您申请解除本合同；</w:t>
            </w:r>
          </w:p>
          <w:p>
            <w:pPr>
              <w:pStyle w:val="TableParagraph"/>
              <w:spacing w:before="36"/>
              <w:ind w:left="130"/>
              <w:rPr>
                <w:sz w:val="21"/>
              </w:rPr>
            </w:pPr>
            <w:r>
              <w:rPr>
                <w:sz w:val="21"/>
              </w:rPr>
              <w:t>(二)因本合同其他条款所列情况而效力终止。</w:t>
            </w:r>
          </w:p>
        </w:tc>
      </w:tr>
      <w:tr>
        <w:trPr>
          <w:trHeight w:val="664" w:hRule="atLeast"/>
        </w:trPr>
        <w:tc>
          <w:tcPr>
            <w:tcW w:w="822" w:type="dxa"/>
          </w:tcPr>
          <w:p>
            <w:pPr>
              <w:pStyle w:val="TableParagraph"/>
              <w:spacing w:before="19"/>
              <w:ind w:left="110"/>
              <w:rPr>
                <w:rFonts w:ascii="微软雅黑"/>
                <w:b/>
                <w:sz w:val="21"/>
              </w:rPr>
            </w:pPr>
            <w:r>
              <w:rPr>
                <w:rFonts w:ascii="微软雅黑"/>
                <w:b/>
                <w:w w:val="81"/>
                <w:sz w:val="21"/>
              </w:rPr>
              <w:t>8</w:t>
            </w:r>
            <w:r>
              <w:rPr>
                <w:rFonts w:ascii="微软雅黑"/>
                <w:b/>
                <w:w w:val="176"/>
                <w:sz w:val="21"/>
              </w:rPr>
              <w:t>.</w:t>
            </w:r>
            <w:r>
              <w:rPr>
                <w:rFonts w:ascii="微软雅黑"/>
                <w:b/>
                <w:w w:val="81"/>
                <w:sz w:val="21"/>
              </w:rPr>
              <w:t>3</w:t>
            </w:r>
          </w:p>
        </w:tc>
        <w:tc>
          <w:tcPr>
            <w:tcW w:w="2010" w:type="dxa"/>
          </w:tcPr>
          <w:p>
            <w:pPr>
              <w:pStyle w:val="TableParagraph"/>
              <w:spacing w:before="19"/>
              <w:ind w:left="191"/>
              <w:rPr>
                <w:rFonts w:ascii="微软雅黑" w:eastAsia="微软雅黑" w:hint="eastAsia"/>
                <w:b/>
                <w:sz w:val="21"/>
              </w:rPr>
            </w:pPr>
            <w:r>
              <w:rPr>
                <w:rFonts w:ascii="微软雅黑" w:eastAsia="微软雅黑" w:hint="eastAsia"/>
                <w:b/>
                <w:sz w:val="21"/>
              </w:rPr>
              <w:t>未还款项</w:t>
            </w:r>
          </w:p>
        </w:tc>
        <w:tc>
          <w:tcPr>
            <w:tcW w:w="7696" w:type="dxa"/>
          </w:tcPr>
          <w:p>
            <w:pPr>
              <w:pStyle w:val="TableParagraph"/>
              <w:spacing w:line="300" w:lineRule="atLeast" w:before="56"/>
              <w:ind w:left="130" w:right="100"/>
              <w:rPr>
                <w:sz w:val="21"/>
              </w:rPr>
            </w:pPr>
            <w:r>
              <w:rPr>
                <w:spacing w:val="-9"/>
                <w:sz w:val="21"/>
              </w:rPr>
              <w:t>我们在给付各项保险金和退还现金价值时，若您有欠交的保险费及利息或其他未还</w:t>
            </w:r>
            <w:r>
              <w:rPr>
                <w:spacing w:val="-13"/>
                <w:sz w:val="21"/>
              </w:rPr>
              <w:t>清款项及其利息，我们将在您偿清上述款项及相关利息后支付保险金和退还现金价</w:t>
            </w:r>
          </w:p>
        </w:tc>
      </w:tr>
    </w:tbl>
    <w:p>
      <w:pPr>
        <w:spacing w:after="0" w:line="300" w:lineRule="atLeast"/>
        <w:rPr>
          <w:sz w:val="21"/>
        </w:rPr>
        <w:sectPr>
          <w:pgSz w:w="11910" w:h="16840"/>
          <w:pgMar w:top="1380" w:bottom="280" w:left="560" w:right="5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
        <w:gridCol w:w="2092"/>
        <w:gridCol w:w="7717"/>
      </w:tblGrid>
      <w:tr>
        <w:trPr>
          <w:trHeight w:val="368" w:hRule="atLeast"/>
        </w:trPr>
        <w:tc>
          <w:tcPr>
            <w:tcW w:w="741" w:type="dxa"/>
          </w:tcPr>
          <w:p>
            <w:pPr>
              <w:pStyle w:val="TableParagraph"/>
              <w:ind w:left="0"/>
              <w:rPr>
                <w:rFonts w:ascii="Times New Roman"/>
                <w:sz w:val="20"/>
              </w:rPr>
            </w:pPr>
          </w:p>
        </w:tc>
        <w:tc>
          <w:tcPr>
            <w:tcW w:w="2092" w:type="dxa"/>
          </w:tcPr>
          <w:p>
            <w:pPr>
              <w:pStyle w:val="TableParagraph"/>
              <w:ind w:left="0"/>
              <w:rPr>
                <w:rFonts w:ascii="Times New Roman"/>
                <w:sz w:val="20"/>
              </w:rPr>
            </w:pPr>
          </w:p>
        </w:tc>
        <w:tc>
          <w:tcPr>
            <w:tcW w:w="7717" w:type="dxa"/>
          </w:tcPr>
          <w:p>
            <w:pPr>
              <w:pStyle w:val="TableParagraph"/>
              <w:spacing w:line="203" w:lineRule="exact"/>
              <w:ind w:left="129"/>
              <w:rPr>
                <w:sz w:val="21"/>
              </w:rPr>
            </w:pPr>
            <w:r>
              <w:rPr>
                <w:sz w:val="21"/>
              </w:rPr>
              <w:t>值。</w:t>
            </w:r>
          </w:p>
        </w:tc>
      </w:tr>
      <w:tr>
        <w:trPr>
          <w:trHeight w:val="2139" w:hRule="atLeast"/>
        </w:trPr>
        <w:tc>
          <w:tcPr>
            <w:tcW w:w="741" w:type="dxa"/>
          </w:tcPr>
          <w:p>
            <w:pPr>
              <w:pStyle w:val="TableParagraph"/>
              <w:spacing w:before="23"/>
              <w:ind w:left="110"/>
              <w:rPr>
                <w:rFonts w:ascii="微软雅黑"/>
                <w:b/>
                <w:sz w:val="21"/>
              </w:rPr>
            </w:pPr>
            <w:r>
              <w:rPr>
                <w:rFonts w:ascii="微软雅黑"/>
                <w:b/>
                <w:w w:val="81"/>
                <w:sz w:val="21"/>
              </w:rPr>
              <w:t>8</w:t>
            </w:r>
            <w:r>
              <w:rPr>
                <w:rFonts w:ascii="微软雅黑"/>
                <w:b/>
                <w:w w:val="176"/>
                <w:sz w:val="21"/>
              </w:rPr>
              <w:t>.</w:t>
            </w:r>
            <w:r>
              <w:rPr>
                <w:rFonts w:ascii="微软雅黑"/>
                <w:b/>
                <w:w w:val="81"/>
                <w:sz w:val="21"/>
              </w:rPr>
              <w:t>4</w:t>
            </w:r>
          </w:p>
        </w:tc>
        <w:tc>
          <w:tcPr>
            <w:tcW w:w="2092" w:type="dxa"/>
          </w:tcPr>
          <w:p>
            <w:pPr>
              <w:pStyle w:val="TableParagraph"/>
              <w:spacing w:before="23"/>
              <w:ind w:left="272"/>
              <w:rPr>
                <w:rFonts w:ascii="微软雅黑" w:eastAsia="微软雅黑" w:hint="eastAsia"/>
                <w:b/>
                <w:sz w:val="21"/>
              </w:rPr>
            </w:pPr>
            <w:r>
              <w:rPr>
                <w:rFonts w:ascii="微软雅黑" w:eastAsia="微软雅黑" w:hint="eastAsia"/>
                <w:b/>
                <w:sz w:val="21"/>
              </w:rPr>
              <w:t>争议处理</w:t>
            </w:r>
          </w:p>
        </w:tc>
        <w:tc>
          <w:tcPr>
            <w:tcW w:w="7717" w:type="dxa"/>
          </w:tcPr>
          <w:p>
            <w:pPr>
              <w:pStyle w:val="TableParagraph"/>
              <w:spacing w:line="273" w:lineRule="auto" w:before="107"/>
              <w:ind w:left="129" w:right="123"/>
              <w:rPr>
                <w:sz w:val="21"/>
              </w:rPr>
            </w:pPr>
            <w:r>
              <w:rPr>
                <w:spacing w:val="-10"/>
                <w:sz w:val="21"/>
              </w:rPr>
              <w:t>在本合同履行过程中发生任何争议，当事人应根据本合同约定选择下列两种方式之</w:t>
            </w:r>
            <w:r>
              <w:rPr>
                <w:spacing w:val="-5"/>
                <w:sz w:val="21"/>
              </w:rPr>
              <w:t>一予以解决：</w:t>
            </w:r>
          </w:p>
          <w:p>
            <w:pPr>
              <w:pStyle w:val="TableParagraph"/>
              <w:spacing w:line="273" w:lineRule="auto" w:before="7"/>
              <w:ind w:left="585" w:right="128" w:hanging="421"/>
              <w:rPr>
                <w:sz w:val="21"/>
              </w:rPr>
            </w:pPr>
            <w:r>
              <w:rPr>
                <w:sz w:val="21"/>
              </w:rPr>
              <w:t>(一)因履行本合同发生的争议，由当事人协商解决，协商不成的，提交双方共同选定的仲裁委员会，按其当时有效的仲裁规则仲裁解决；</w:t>
            </w:r>
          </w:p>
          <w:p>
            <w:pPr>
              <w:pStyle w:val="TableParagraph"/>
              <w:spacing w:line="273" w:lineRule="auto" w:before="7"/>
              <w:ind w:left="585" w:right="128" w:hanging="421"/>
              <w:rPr>
                <w:sz w:val="21"/>
              </w:rPr>
            </w:pPr>
            <w:r>
              <w:rPr>
                <w:sz w:val="21"/>
              </w:rPr>
              <w:t>(二)因履行本合同发生的争议，由当事人协商解决，协商不成的，依法向人民法院起诉。</w:t>
            </w:r>
          </w:p>
        </w:tc>
      </w:tr>
      <w:tr>
        <w:trPr>
          <w:trHeight w:val="711" w:hRule="atLeast"/>
        </w:trPr>
        <w:tc>
          <w:tcPr>
            <w:tcW w:w="741" w:type="dxa"/>
            <w:tcBorders>
              <w:bottom w:val="single" w:sz="8" w:space="0" w:color="000000"/>
            </w:tcBorders>
          </w:tcPr>
          <w:p>
            <w:pPr>
              <w:pStyle w:val="TableParagraph"/>
              <w:spacing w:before="144"/>
              <w:ind w:left="110"/>
              <w:rPr>
                <w:rFonts w:ascii="Arial" w:hAnsi="Arial"/>
                <w:b/>
                <w:sz w:val="40"/>
              </w:rPr>
            </w:pPr>
            <w:r>
              <w:rPr>
                <w:rFonts w:ascii="Arial" w:hAnsi="Arial"/>
                <w:b/>
                <w:w w:val="119"/>
                <w:sz w:val="40"/>
              </w:rPr>
              <w:t></w:t>
            </w:r>
          </w:p>
        </w:tc>
        <w:tc>
          <w:tcPr>
            <w:tcW w:w="2092" w:type="dxa"/>
            <w:tcBorders>
              <w:bottom w:val="single" w:sz="8" w:space="0" w:color="000000"/>
            </w:tcBorders>
          </w:tcPr>
          <w:p>
            <w:pPr>
              <w:pStyle w:val="TableParagraph"/>
              <w:spacing w:before="124"/>
              <w:ind w:left="272"/>
              <w:rPr>
                <w:rFonts w:ascii="微软雅黑" w:eastAsia="微软雅黑" w:hint="eastAsia"/>
                <w:b/>
                <w:sz w:val="24"/>
              </w:rPr>
            </w:pPr>
            <w:r>
              <w:rPr>
                <w:rFonts w:ascii="微软雅黑" w:eastAsia="微软雅黑" w:hint="eastAsia"/>
                <w:b/>
                <w:sz w:val="24"/>
              </w:rPr>
              <w:t>释义</w:t>
            </w:r>
          </w:p>
        </w:tc>
        <w:tc>
          <w:tcPr>
            <w:tcW w:w="7717" w:type="dxa"/>
            <w:tcBorders>
              <w:bottom w:val="single" w:sz="8" w:space="0" w:color="000000"/>
            </w:tcBorders>
          </w:tcPr>
          <w:p>
            <w:pPr>
              <w:pStyle w:val="TableParagraph"/>
              <w:ind w:left="0"/>
              <w:rPr>
                <w:rFonts w:ascii="Times New Roman"/>
                <w:sz w:val="20"/>
              </w:rPr>
            </w:pPr>
          </w:p>
        </w:tc>
      </w:tr>
      <w:tr>
        <w:trPr>
          <w:trHeight w:val="905" w:hRule="atLeast"/>
        </w:trPr>
        <w:tc>
          <w:tcPr>
            <w:tcW w:w="741" w:type="dxa"/>
            <w:tcBorders>
              <w:top w:val="single" w:sz="8" w:space="0" w:color="000000"/>
            </w:tcBorders>
          </w:tcPr>
          <w:p>
            <w:pPr>
              <w:pStyle w:val="TableParagraph"/>
              <w:spacing w:before="104"/>
              <w:ind w:left="110"/>
              <w:rPr>
                <w:rFonts w:ascii="微软雅黑"/>
                <w:b/>
                <w:sz w:val="21"/>
              </w:rPr>
            </w:pPr>
            <w:r>
              <w:rPr>
                <w:rFonts w:ascii="微软雅黑"/>
                <w:b/>
                <w:sz w:val="21"/>
              </w:rPr>
              <w:t>9.1</w:t>
            </w:r>
          </w:p>
        </w:tc>
        <w:tc>
          <w:tcPr>
            <w:tcW w:w="2092" w:type="dxa"/>
            <w:tcBorders>
              <w:top w:val="single" w:sz="8" w:space="0" w:color="000000"/>
            </w:tcBorders>
          </w:tcPr>
          <w:p>
            <w:pPr>
              <w:pStyle w:val="TableParagraph"/>
              <w:spacing w:before="104"/>
              <w:ind w:left="272"/>
              <w:rPr>
                <w:rFonts w:ascii="微软雅黑" w:eastAsia="微软雅黑" w:hint="eastAsia"/>
                <w:b/>
                <w:sz w:val="21"/>
              </w:rPr>
            </w:pPr>
            <w:r>
              <w:rPr>
                <w:rFonts w:ascii="微软雅黑" w:eastAsia="微软雅黑" w:hint="eastAsia"/>
                <w:b/>
                <w:sz w:val="21"/>
              </w:rPr>
              <w:t>保单年度</w:t>
            </w:r>
          </w:p>
        </w:tc>
        <w:tc>
          <w:tcPr>
            <w:tcW w:w="7717" w:type="dxa"/>
            <w:tcBorders>
              <w:top w:val="single" w:sz="8" w:space="0" w:color="000000"/>
            </w:tcBorders>
          </w:tcPr>
          <w:p>
            <w:pPr>
              <w:pStyle w:val="TableParagraph"/>
              <w:spacing w:line="259" w:lineRule="auto" w:before="166"/>
              <w:ind w:left="129" w:right="228"/>
              <w:rPr>
                <w:sz w:val="21"/>
              </w:rPr>
            </w:pPr>
            <w:r>
              <w:rPr>
                <w:sz w:val="21"/>
              </w:rPr>
              <w:t>从本合同生效日或保单周年日零时起至下一年度的保单周年日零时止为一个保单年度。</w:t>
            </w:r>
          </w:p>
        </w:tc>
      </w:tr>
      <w:tr>
        <w:trPr>
          <w:trHeight w:val="827" w:hRule="atLeast"/>
        </w:trPr>
        <w:tc>
          <w:tcPr>
            <w:tcW w:w="741" w:type="dxa"/>
          </w:tcPr>
          <w:p>
            <w:pPr>
              <w:pStyle w:val="TableParagraph"/>
              <w:spacing w:before="24"/>
              <w:ind w:left="110"/>
              <w:rPr>
                <w:rFonts w:ascii="微软雅黑"/>
                <w:b/>
                <w:sz w:val="21"/>
              </w:rPr>
            </w:pPr>
            <w:r>
              <w:rPr>
                <w:rFonts w:ascii="微软雅黑"/>
                <w:b/>
                <w:sz w:val="21"/>
              </w:rPr>
              <w:t>9.2</w:t>
            </w:r>
          </w:p>
        </w:tc>
        <w:tc>
          <w:tcPr>
            <w:tcW w:w="2092" w:type="dxa"/>
          </w:tcPr>
          <w:p>
            <w:pPr>
              <w:pStyle w:val="TableParagraph"/>
              <w:spacing w:before="24"/>
              <w:ind w:left="272"/>
              <w:rPr>
                <w:rFonts w:ascii="微软雅黑" w:eastAsia="微软雅黑" w:hint="eastAsia"/>
                <w:b/>
                <w:sz w:val="21"/>
              </w:rPr>
            </w:pPr>
            <w:r>
              <w:rPr>
                <w:rFonts w:ascii="微软雅黑" w:eastAsia="微软雅黑" w:hint="eastAsia"/>
                <w:b/>
                <w:sz w:val="21"/>
              </w:rPr>
              <w:t>保单周年日</w:t>
            </w:r>
          </w:p>
        </w:tc>
        <w:tc>
          <w:tcPr>
            <w:tcW w:w="7717" w:type="dxa"/>
          </w:tcPr>
          <w:p>
            <w:pPr>
              <w:pStyle w:val="TableParagraph"/>
              <w:spacing w:line="261" w:lineRule="auto" w:before="87"/>
              <w:ind w:left="129" w:right="122"/>
              <w:rPr>
                <w:sz w:val="21"/>
              </w:rPr>
            </w:pPr>
            <w:r>
              <w:rPr>
                <w:spacing w:val="-8"/>
                <w:sz w:val="21"/>
              </w:rPr>
              <w:t>指本合同生效日在合同生效后每年的对应日，不含本合同生效日当日。若当月没有</w:t>
            </w:r>
            <w:r>
              <w:rPr>
                <w:spacing w:val="-5"/>
                <w:sz w:val="21"/>
              </w:rPr>
              <w:t>对应的同一日，则以该月最后一日为对应日。</w:t>
            </w:r>
          </w:p>
        </w:tc>
      </w:tr>
      <w:tr>
        <w:trPr>
          <w:trHeight w:val="836" w:hRule="atLeast"/>
        </w:trPr>
        <w:tc>
          <w:tcPr>
            <w:tcW w:w="741" w:type="dxa"/>
          </w:tcPr>
          <w:p>
            <w:pPr>
              <w:pStyle w:val="TableParagraph"/>
              <w:spacing w:before="23"/>
              <w:ind w:left="110"/>
              <w:rPr>
                <w:rFonts w:ascii="微软雅黑"/>
                <w:b/>
                <w:sz w:val="21"/>
              </w:rPr>
            </w:pPr>
            <w:r>
              <w:rPr>
                <w:rFonts w:ascii="微软雅黑"/>
                <w:b/>
                <w:sz w:val="21"/>
              </w:rPr>
              <w:t>9.3</w:t>
            </w:r>
          </w:p>
        </w:tc>
        <w:tc>
          <w:tcPr>
            <w:tcW w:w="2092" w:type="dxa"/>
          </w:tcPr>
          <w:p>
            <w:pPr>
              <w:pStyle w:val="TableParagraph"/>
              <w:spacing w:before="23"/>
              <w:ind w:left="272"/>
              <w:rPr>
                <w:rFonts w:ascii="微软雅黑" w:eastAsia="微软雅黑" w:hint="eastAsia"/>
                <w:b/>
                <w:sz w:val="21"/>
              </w:rPr>
            </w:pPr>
            <w:r>
              <w:rPr>
                <w:rFonts w:ascii="微软雅黑" w:eastAsia="微软雅黑" w:hint="eastAsia"/>
                <w:b/>
                <w:sz w:val="21"/>
              </w:rPr>
              <w:t>保险费应交日</w:t>
            </w:r>
          </w:p>
        </w:tc>
        <w:tc>
          <w:tcPr>
            <w:tcW w:w="7717" w:type="dxa"/>
          </w:tcPr>
          <w:p>
            <w:pPr>
              <w:pStyle w:val="TableParagraph"/>
              <w:spacing w:line="261" w:lineRule="auto" w:before="85"/>
              <w:ind w:left="129" w:right="122"/>
              <w:rPr>
                <w:sz w:val="21"/>
              </w:rPr>
            </w:pPr>
            <w:r>
              <w:rPr>
                <w:spacing w:val="-9"/>
                <w:sz w:val="21"/>
              </w:rPr>
              <w:t>指本合同生效日在每月、每季、每半年或者每年</w:t>
            </w:r>
            <w:r>
              <w:rPr>
                <w:spacing w:val="-3"/>
                <w:sz w:val="21"/>
              </w:rPr>
              <w:t>（根据交费方式确定</w:t>
            </w:r>
            <w:r>
              <w:rPr>
                <w:spacing w:val="-29"/>
                <w:sz w:val="21"/>
              </w:rPr>
              <w:t>）</w:t>
            </w:r>
            <w:r>
              <w:rPr>
                <w:spacing w:val="-2"/>
                <w:sz w:val="21"/>
              </w:rPr>
              <w:t>的对应日的</w:t>
            </w:r>
            <w:r>
              <w:rPr>
                <w:spacing w:val="-3"/>
                <w:sz w:val="21"/>
              </w:rPr>
              <w:t>前一日。如果当月无对应的同一日，则以该月最后一日为对应日。</w:t>
            </w:r>
          </w:p>
        </w:tc>
      </w:tr>
      <w:tr>
        <w:trPr>
          <w:trHeight w:val="862" w:hRule="atLeast"/>
        </w:trPr>
        <w:tc>
          <w:tcPr>
            <w:tcW w:w="741" w:type="dxa"/>
          </w:tcPr>
          <w:p>
            <w:pPr>
              <w:pStyle w:val="TableParagraph"/>
              <w:spacing w:before="34"/>
              <w:ind w:left="110"/>
              <w:rPr>
                <w:rFonts w:ascii="微软雅黑"/>
                <w:b/>
                <w:sz w:val="21"/>
              </w:rPr>
            </w:pPr>
            <w:r>
              <w:rPr>
                <w:rFonts w:ascii="微软雅黑"/>
                <w:b/>
                <w:sz w:val="21"/>
              </w:rPr>
              <w:t>9.4</w:t>
            </w:r>
          </w:p>
        </w:tc>
        <w:tc>
          <w:tcPr>
            <w:tcW w:w="2092" w:type="dxa"/>
          </w:tcPr>
          <w:p>
            <w:pPr>
              <w:pStyle w:val="TableParagraph"/>
              <w:spacing w:before="34"/>
              <w:ind w:left="272"/>
              <w:rPr>
                <w:rFonts w:ascii="微软雅黑" w:eastAsia="微软雅黑" w:hint="eastAsia"/>
                <w:b/>
                <w:sz w:val="21"/>
              </w:rPr>
            </w:pPr>
            <w:r>
              <w:rPr>
                <w:rFonts w:ascii="微软雅黑" w:eastAsia="微软雅黑" w:hint="eastAsia"/>
                <w:b/>
                <w:sz w:val="21"/>
              </w:rPr>
              <w:t>周岁</w:t>
            </w:r>
          </w:p>
        </w:tc>
        <w:tc>
          <w:tcPr>
            <w:tcW w:w="7717" w:type="dxa"/>
          </w:tcPr>
          <w:p>
            <w:pPr>
              <w:pStyle w:val="TableParagraph"/>
              <w:spacing w:line="273" w:lineRule="auto" w:before="96"/>
              <w:ind w:left="129" w:right="123"/>
              <w:rPr>
                <w:sz w:val="21"/>
              </w:rPr>
            </w:pPr>
            <w:r>
              <w:rPr>
                <w:spacing w:val="-8"/>
                <w:sz w:val="21"/>
              </w:rPr>
              <w:t>指按法定身份证明文件中记载的出生日期计算的年龄，自出生之日起为零周岁，每</w:t>
            </w:r>
            <w:r>
              <w:rPr>
                <w:spacing w:val="-5"/>
                <w:sz w:val="21"/>
              </w:rPr>
              <w:t>经过一年增加一岁，不足一年的不计。</w:t>
            </w:r>
          </w:p>
        </w:tc>
      </w:tr>
      <w:tr>
        <w:trPr>
          <w:trHeight w:val="859" w:hRule="atLeast"/>
        </w:trPr>
        <w:tc>
          <w:tcPr>
            <w:tcW w:w="741" w:type="dxa"/>
          </w:tcPr>
          <w:p>
            <w:pPr>
              <w:pStyle w:val="TableParagraph"/>
              <w:spacing w:before="37"/>
              <w:ind w:left="110"/>
              <w:rPr>
                <w:rFonts w:ascii="微软雅黑"/>
                <w:b/>
                <w:sz w:val="21"/>
              </w:rPr>
            </w:pPr>
            <w:r>
              <w:rPr>
                <w:rFonts w:ascii="微软雅黑"/>
                <w:b/>
                <w:sz w:val="21"/>
              </w:rPr>
              <w:t>9.5</w:t>
            </w:r>
          </w:p>
        </w:tc>
        <w:tc>
          <w:tcPr>
            <w:tcW w:w="2092" w:type="dxa"/>
          </w:tcPr>
          <w:p>
            <w:pPr>
              <w:pStyle w:val="TableParagraph"/>
              <w:spacing w:before="37"/>
              <w:ind w:left="272"/>
              <w:rPr>
                <w:rFonts w:ascii="微软雅黑" w:eastAsia="微软雅黑" w:hint="eastAsia"/>
                <w:b/>
                <w:sz w:val="21"/>
              </w:rPr>
            </w:pPr>
            <w:r>
              <w:rPr>
                <w:rFonts w:ascii="微软雅黑" w:eastAsia="微软雅黑" w:hint="eastAsia"/>
                <w:b/>
                <w:sz w:val="21"/>
              </w:rPr>
              <w:t>有效身份证件</w:t>
            </w:r>
          </w:p>
        </w:tc>
        <w:tc>
          <w:tcPr>
            <w:tcW w:w="7717" w:type="dxa"/>
          </w:tcPr>
          <w:p>
            <w:pPr>
              <w:pStyle w:val="TableParagraph"/>
              <w:spacing w:line="273" w:lineRule="auto" w:before="100"/>
              <w:ind w:left="129" w:right="125"/>
              <w:rPr>
                <w:sz w:val="21"/>
              </w:rPr>
            </w:pPr>
            <w:r>
              <w:rPr>
                <w:spacing w:val="-8"/>
                <w:sz w:val="21"/>
              </w:rPr>
              <w:t>指由政府主管部门规定的证明其身份的证件，如：居民身份证、按规定可使用的有</w:t>
            </w:r>
            <w:r>
              <w:rPr>
                <w:spacing w:val="-5"/>
                <w:sz w:val="21"/>
              </w:rPr>
              <w:t>效护照、军官证、警官证、士兵证、户口簿等证件。</w:t>
            </w:r>
          </w:p>
        </w:tc>
      </w:tr>
      <w:tr>
        <w:trPr>
          <w:trHeight w:val="528" w:hRule="atLeast"/>
        </w:trPr>
        <w:tc>
          <w:tcPr>
            <w:tcW w:w="741" w:type="dxa"/>
          </w:tcPr>
          <w:p>
            <w:pPr>
              <w:pStyle w:val="TableParagraph"/>
              <w:spacing w:before="30"/>
              <w:ind w:left="110"/>
              <w:rPr>
                <w:rFonts w:ascii="微软雅黑"/>
                <w:b/>
                <w:sz w:val="21"/>
              </w:rPr>
            </w:pPr>
            <w:r>
              <w:rPr>
                <w:rFonts w:ascii="微软雅黑"/>
                <w:b/>
                <w:sz w:val="21"/>
              </w:rPr>
              <w:t>9.6</w:t>
            </w:r>
          </w:p>
        </w:tc>
        <w:tc>
          <w:tcPr>
            <w:tcW w:w="2092" w:type="dxa"/>
          </w:tcPr>
          <w:p>
            <w:pPr>
              <w:pStyle w:val="TableParagraph"/>
              <w:spacing w:before="30"/>
              <w:ind w:left="272"/>
              <w:rPr>
                <w:rFonts w:ascii="微软雅黑" w:eastAsia="微软雅黑" w:hint="eastAsia"/>
                <w:b/>
                <w:sz w:val="21"/>
              </w:rPr>
            </w:pPr>
            <w:r>
              <w:rPr>
                <w:rFonts w:ascii="微软雅黑" w:eastAsia="微软雅黑" w:hint="eastAsia"/>
                <w:b/>
                <w:sz w:val="21"/>
              </w:rPr>
              <w:t>意外伤害</w:t>
            </w:r>
          </w:p>
        </w:tc>
        <w:tc>
          <w:tcPr>
            <w:tcW w:w="7717" w:type="dxa"/>
          </w:tcPr>
          <w:p>
            <w:pPr>
              <w:pStyle w:val="TableParagraph"/>
              <w:spacing w:before="92"/>
              <w:ind w:left="129"/>
              <w:rPr>
                <w:sz w:val="21"/>
              </w:rPr>
            </w:pPr>
            <w:r>
              <w:rPr>
                <w:sz w:val="21"/>
              </w:rPr>
              <w:t>指遭受外来的、突发的、非本意的、非疾病的客观事件直接致使身体受到的伤害。</w:t>
            </w:r>
          </w:p>
        </w:tc>
      </w:tr>
      <w:tr>
        <w:trPr>
          <w:trHeight w:val="2695" w:hRule="atLeast"/>
        </w:trPr>
        <w:tc>
          <w:tcPr>
            <w:tcW w:w="741" w:type="dxa"/>
          </w:tcPr>
          <w:p>
            <w:pPr>
              <w:pStyle w:val="TableParagraph"/>
              <w:spacing w:before="40"/>
              <w:ind w:left="110"/>
              <w:rPr>
                <w:rFonts w:ascii="微软雅黑"/>
                <w:b/>
                <w:sz w:val="21"/>
              </w:rPr>
            </w:pPr>
            <w:r>
              <w:rPr>
                <w:rFonts w:ascii="微软雅黑"/>
                <w:b/>
                <w:sz w:val="21"/>
              </w:rPr>
              <w:t>9.7</w:t>
            </w:r>
          </w:p>
        </w:tc>
        <w:tc>
          <w:tcPr>
            <w:tcW w:w="2092" w:type="dxa"/>
          </w:tcPr>
          <w:p>
            <w:pPr>
              <w:pStyle w:val="TableParagraph"/>
              <w:spacing w:line="206" w:lineRule="auto" w:before="91"/>
              <w:ind w:left="272" w:right="128"/>
              <w:rPr>
                <w:rFonts w:ascii="微软雅黑" w:eastAsia="微软雅黑" w:hint="eastAsia"/>
                <w:b/>
                <w:sz w:val="21"/>
              </w:rPr>
            </w:pPr>
            <w:r>
              <w:rPr>
                <w:rFonts w:ascii="微软雅黑" w:eastAsia="微软雅黑" w:hint="eastAsia"/>
                <w:b/>
                <w:sz w:val="21"/>
              </w:rPr>
              <w:t>初次患本合同所列的重大疾病</w:t>
            </w:r>
          </w:p>
        </w:tc>
        <w:tc>
          <w:tcPr>
            <w:tcW w:w="7717" w:type="dxa"/>
          </w:tcPr>
          <w:p>
            <w:pPr>
              <w:pStyle w:val="TableParagraph"/>
              <w:spacing w:before="81"/>
              <w:ind w:left="129"/>
              <w:rPr>
                <w:sz w:val="21"/>
              </w:rPr>
            </w:pPr>
            <w:r>
              <w:rPr>
                <w:sz w:val="21"/>
              </w:rPr>
              <w:t>指被保险人患同时符合以下条件的重大疾病：</w:t>
            </w:r>
          </w:p>
          <w:p>
            <w:pPr>
              <w:pStyle w:val="TableParagraph"/>
              <w:spacing w:before="20"/>
              <w:ind w:left="129"/>
              <w:rPr>
                <w:sz w:val="21"/>
              </w:rPr>
            </w:pPr>
            <w:r>
              <w:rPr>
                <w:sz w:val="21"/>
              </w:rPr>
              <w:t>(一)被保险人自出生后首次出现该重大疾病之症状体征；</w:t>
            </w:r>
          </w:p>
          <w:p>
            <w:pPr>
              <w:pStyle w:val="TableParagraph"/>
              <w:spacing w:line="273" w:lineRule="auto" w:before="36"/>
              <w:ind w:left="549" w:right="132" w:hanging="421"/>
              <w:rPr>
                <w:sz w:val="21"/>
              </w:rPr>
            </w:pPr>
            <w:r>
              <w:rPr>
                <w:sz w:val="21"/>
              </w:rPr>
              <w:t>(二)被保险人在本合同有效期间内首次出现该重大疾病之症状体征并被确诊患该重大疾病；</w:t>
            </w:r>
          </w:p>
          <w:p>
            <w:pPr>
              <w:pStyle w:val="TableParagraph"/>
              <w:spacing w:before="7"/>
              <w:ind w:left="129"/>
              <w:rPr>
                <w:sz w:val="21"/>
              </w:rPr>
            </w:pPr>
            <w:r>
              <w:rPr>
                <w:sz w:val="21"/>
              </w:rPr>
              <w:t>(三)该重大疾病之症状体征符合本合同的定义；</w:t>
            </w:r>
          </w:p>
          <w:p>
            <w:pPr>
              <w:pStyle w:val="TableParagraph"/>
              <w:spacing w:line="255" w:lineRule="exact" w:before="37"/>
              <w:ind w:left="129"/>
              <w:rPr>
                <w:sz w:val="21"/>
              </w:rPr>
            </w:pPr>
            <w:r>
              <w:rPr>
                <w:sz w:val="21"/>
              </w:rPr>
              <w:t>(四)该重大疾病已在本合同中列明。</w:t>
            </w:r>
          </w:p>
          <w:p>
            <w:pPr>
              <w:pStyle w:val="TableParagraph"/>
              <w:spacing w:line="196" w:lineRule="auto" w:before="48"/>
              <w:ind w:left="128" w:right="206"/>
              <w:rPr>
                <w:rFonts w:ascii="微软雅黑" w:eastAsia="微软雅黑" w:hint="eastAsia"/>
                <w:b/>
                <w:sz w:val="22"/>
              </w:rPr>
            </w:pPr>
            <w:r>
              <w:rPr>
                <w:rFonts w:ascii="微软雅黑" w:eastAsia="微软雅黑" w:hint="eastAsia"/>
                <w:b/>
                <w:w w:val="95"/>
                <w:sz w:val="22"/>
              </w:rPr>
              <w:t>对于被保险人在本合同生效日前出现的本合同所列的重大疾病，本公司不承担给付保险金责任。</w:t>
            </w:r>
          </w:p>
        </w:tc>
      </w:tr>
      <w:tr>
        <w:trPr>
          <w:trHeight w:val="1468" w:hRule="atLeast"/>
        </w:trPr>
        <w:tc>
          <w:tcPr>
            <w:tcW w:w="741" w:type="dxa"/>
          </w:tcPr>
          <w:p>
            <w:pPr>
              <w:pStyle w:val="TableParagraph"/>
              <w:spacing w:before="28"/>
              <w:ind w:left="110"/>
              <w:rPr>
                <w:rFonts w:ascii="微软雅黑"/>
                <w:b/>
                <w:sz w:val="21"/>
              </w:rPr>
            </w:pPr>
            <w:r>
              <w:rPr>
                <w:rFonts w:ascii="微软雅黑"/>
                <w:b/>
                <w:sz w:val="21"/>
              </w:rPr>
              <w:t>9.8</w:t>
            </w:r>
          </w:p>
        </w:tc>
        <w:tc>
          <w:tcPr>
            <w:tcW w:w="2092" w:type="dxa"/>
          </w:tcPr>
          <w:p>
            <w:pPr>
              <w:pStyle w:val="TableParagraph"/>
              <w:spacing w:before="28"/>
              <w:ind w:left="272"/>
              <w:rPr>
                <w:rFonts w:ascii="微软雅黑" w:eastAsia="微软雅黑" w:hint="eastAsia"/>
                <w:b/>
                <w:sz w:val="21"/>
              </w:rPr>
            </w:pPr>
            <w:r>
              <w:rPr>
                <w:rFonts w:ascii="微软雅黑" w:eastAsia="微软雅黑" w:hint="eastAsia"/>
                <w:b/>
                <w:sz w:val="21"/>
              </w:rPr>
              <w:t>重大疾病</w:t>
            </w:r>
          </w:p>
        </w:tc>
        <w:tc>
          <w:tcPr>
            <w:tcW w:w="7717" w:type="dxa"/>
          </w:tcPr>
          <w:p>
            <w:pPr>
              <w:pStyle w:val="TableParagraph"/>
              <w:spacing w:before="28"/>
              <w:ind w:left="129"/>
              <w:rPr>
                <w:sz w:val="21"/>
              </w:rPr>
            </w:pPr>
            <w:r>
              <w:rPr>
                <w:spacing w:val="-8"/>
                <w:sz w:val="21"/>
              </w:rPr>
              <w:t>指被保险人发生符合以下疾病定义所述条件的疾病</w:t>
            </w:r>
            <w:r>
              <w:rPr>
                <w:spacing w:val="-3"/>
                <w:sz w:val="21"/>
              </w:rPr>
              <w:t>（</w:t>
            </w:r>
            <w:r>
              <w:rPr>
                <w:spacing w:val="-15"/>
                <w:sz w:val="21"/>
              </w:rPr>
              <w:t>共 </w:t>
            </w:r>
            <w:r>
              <w:rPr>
                <w:sz w:val="21"/>
              </w:rPr>
              <w:t>50</w:t>
            </w:r>
            <w:r>
              <w:rPr>
                <w:spacing w:val="-16"/>
                <w:sz w:val="21"/>
              </w:rPr>
              <w:t> 种</w:t>
            </w:r>
            <w:r>
              <w:rPr>
                <w:spacing w:val="-104"/>
                <w:sz w:val="21"/>
              </w:rPr>
              <w:t>）</w:t>
            </w:r>
            <w:r>
              <w:rPr>
                <w:spacing w:val="-28"/>
                <w:sz w:val="21"/>
              </w:rPr>
              <w:t>，应当由</w:t>
            </w:r>
            <w:r>
              <w:rPr>
                <w:rFonts w:ascii="微软雅黑" w:eastAsia="微软雅黑" w:hint="eastAsia"/>
                <w:b/>
                <w:spacing w:val="-26"/>
                <w:sz w:val="21"/>
              </w:rPr>
              <w:t>专科医生</w:t>
            </w:r>
            <w:r>
              <w:rPr>
                <w:sz w:val="21"/>
              </w:rPr>
              <w:t>（见</w:t>
            </w:r>
          </w:p>
          <w:p>
            <w:pPr>
              <w:pStyle w:val="TableParagraph"/>
              <w:spacing w:before="11"/>
              <w:ind w:left="129"/>
              <w:rPr>
                <w:sz w:val="21"/>
              </w:rPr>
            </w:pPr>
            <w:r>
              <w:rPr>
                <w:sz w:val="21"/>
              </w:rPr>
              <w:t>9.18）明确诊断。</w:t>
            </w:r>
          </w:p>
          <w:p>
            <w:pPr>
              <w:pStyle w:val="TableParagraph"/>
              <w:spacing w:before="37"/>
              <w:ind w:left="129"/>
              <w:rPr>
                <w:sz w:val="21"/>
              </w:rPr>
            </w:pPr>
            <w:r>
              <w:rPr>
                <w:spacing w:val="-22"/>
                <w:sz w:val="21"/>
              </w:rPr>
              <w:t>第 </w:t>
            </w:r>
            <w:r>
              <w:rPr>
                <w:sz w:val="21"/>
              </w:rPr>
              <w:t>1</w:t>
            </w:r>
            <w:r>
              <w:rPr>
                <w:spacing w:val="-23"/>
                <w:sz w:val="21"/>
              </w:rPr>
              <w:t> 至第 </w:t>
            </w:r>
            <w:r>
              <w:rPr>
                <w:sz w:val="21"/>
              </w:rPr>
              <w:t>25</w:t>
            </w:r>
            <w:r>
              <w:rPr>
                <w:spacing w:val="-8"/>
                <w:sz w:val="21"/>
              </w:rPr>
              <w:t> 项为中国保险行业协会与中国医师协会共同制定的重大疾病保险的疾</w:t>
            </w:r>
          </w:p>
          <w:p>
            <w:pPr>
              <w:pStyle w:val="TableParagraph"/>
              <w:spacing w:before="37"/>
              <w:ind w:left="129"/>
              <w:rPr>
                <w:sz w:val="21"/>
              </w:rPr>
            </w:pPr>
            <w:r>
              <w:rPr>
                <w:sz w:val="21"/>
              </w:rPr>
              <w:t>病定义，第 26 至第 50 项为本公司增加的疾病种类并自行制定的疾病定义。</w:t>
            </w:r>
          </w:p>
        </w:tc>
      </w:tr>
      <w:tr>
        <w:trPr>
          <w:trHeight w:val="1941" w:hRule="atLeast"/>
        </w:trPr>
        <w:tc>
          <w:tcPr>
            <w:tcW w:w="741" w:type="dxa"/>
          </w:tcPr>
          <w:p>
            <w:pPr>
              <w:pStyle w:val="TableParagraph"/>
              <w:ind w:left="0"/>
              <w:rPr>
                <w:rFonts w:ascii="Times New Roman"/>
                <w:sz w:val="20"/>
              </w:rPr>
            </w:pPr>
          </w:p>
        </w:tc>
        <w:tc>
          <w:tcPr>
            <w:tcW w:w="2092" w:type="dxa"/>
          </w:tcPr>
          <w:p>
            <w:pPr>
              <w:pStyle w:val="TableParagraph"/>
              <w:spacing w:before="20"/>
              <w:ind w:left="272"/>
              <w:rPr>
                <w:rFonts w:ascii="Microsoft JhengHei" w:eastAsia="Microsoft JhengHei" w:hint="eastAsia"/>
                <w:b/>
                <w:sz w:val="21"/>
              </w:rPr>
            </w:pPr>
            <w:r>
              <w:rPr>
                <w:rFonts w:ascii="微软雅黑" w:eastAsia="微软雅黑" w:hint="eastAsia"/>
                <w:b/>
                <w:w w:val="95"/>
                <w:sz w:val="21"/>
              </w:rPr>
              <w:t>1</w:t>
            </w:r>
            <w:r>
              <w:rPr>
                <w:rFonts w:ascii="Microsoft JhengHei" w:eastAsia="Microsoft JhengHei" w:hint="eastAsia"/>
                <w:b/>
                <w:w w:val="95"/>
                <w:sz w:val="21"/>
              </w:rPr>
              <w:t>、恶性肿瘤</w:t>
            </w:r>
          </w:p>
        </w:tc>
        <w:tc>
          <w:tcPr>
            <w:tcW w:w="7717" w:type="dxa"/>
          </w:tcPr>
          <w:p>
            <w:pPr>
              <w:pStyle w:val="TableParagraph"/>
              <w:spacing w:line="273" w:lineRule="auto" w:before="98"/>
              <w:ind w:left="129"/>
              <w:rPr>
                <w:sz w:val="21"/>
              </w:rPr>
            </w:pPr>
            <w:r>
              <w:rPr>
                <w:spacing w:val="-11"/>
                <w:sz w:val="21"/>
              </w:rPr>
              <w:t>指恶性细胞不受控制的进行性增长和扩散，浸润和破坏周围正常组织，可以经血管、</w:t>
            </w:r>
            <w:r>
              <w:rPr>
                <w:spacing w:val="-9"/>
                <w:sz w:val="21"/>
              </w:rPr>
              <w:t>淋巴管和体腔扩散转移到身体其它部位的疾病。经病理学检查结果明确诊断，临床诊断属于世界卫生组织《疾病和有关健康问题的国际统计分类》</w:t>
            </w:r>
            <w:r>
              <w:rPr>
                <w:spacing w:val="-4"/>
                <w:sz w:val="21"/>
              </w:rPr>
              <w:t>（ICD-10）</w:t>
            </w:r>
            <w:r>
              <w:rPr>
                <w:spacing w:val="-2"/>
                <w:sz w:val="21"/>
              </w:rPr>
              <w:t>的恶性</w:t>
            </w:r>
            <w:r>
              <w:rPr>
                <w:spacing w:val="-3"/>
                <w:sz w:val="21"/>
              </w:rPr>
              <w:t>肿瘤范畴。下列疾病不在保障范围内：</w:t>
            </w:r>
          </w:p>
          <w:p>
            <w:pPr>
              <w:pStyle w:val="TableParagraph"/>
              <w:spacing w:before="7"/>
              <w:ind w:left="129"/>
              <w:rPr>
                <w:sz w:val="21"/>
              </w:rPr>
            </w:pPr>
            <w:r>
              <w:rPr>
                <w:sz w:val="21"/>
              </w:rPr>
              <w:t>（1）原位癌；</w:t>
            </w:r>
          </w:p>
          <w:p>
            <w:pPr>
              <w:pStyle w:val="TableParagraph"/>
              <w:spacing w:line="263" w:lineRule="exact" w:before="37"/>
              <w:ind w:left="129"/>
              <w:rPr>
                <w:sz w:val="21"/>
              </w:rPr>
            </w:pPr>
            <w:r>
              <w:rPr>
                <w:sz w:val="21"/>
              </w:rPr>
              <w:t>（2）相当于Binet分期方案A期程度的慢性淋巴细胞白血病；</w:t>
            </w:r>
          </w:p>
        </w:tc>
      </w:tr>
    </w:tbl>
    <w:p>
      <w:pPr>
        <w:spacing w:after="0" w:line="263" w:lineRule="exact"/>
        <w:rPr>
          <w:sz w:val="21"/>
        </w:rPr>
        <w:sectPr>
          <w:pgSz w:w="11910" w:h="16840"/>
          <w:pgMar w:top="1380" w:bottom="280" w:left="560" w:right="5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2"/>
        <w:gridCol w:w="7892"/>
      </w:tblGrid>
      <w:tr>
        <w:trPr>
          <w:trHeight w:val="1306" w:hRule="atLeast"/>
        </w:trPr>
        <w:tc>
          <w:tcPr>
            <w:tcW w:w="2042" w:type="dxa"/>
          </w:tcPr>
          <w:p>
            <w:pPr>
              <w:pStyle w:val="TableParagraph"/>
              <w:ind w:left="0"/>
              <w:rPr>
                <w:rFonts w:ascii="Times New Roman"/>
                <w:sz w:val="20"/>
              </w:rPr>
            </w:pPr>
          </w:p>
        </w:tc>
        <w:tc>
          <w:tcPr>
            <w:tcW w:w="7892" w:type="dxa"/>
          </w:tcPr>
          <w:p>
            <w:pPr>
              <w:pStyle w:val="TableParagraph"/>
              <w:spacing w:line="205" w:lineRule="exact"/>
              <w:ind w:left="106"/>
              <w:rPr>
                <w:sz w:val="21"/>
              </w:rPr>
            </w:pPr>
            <w:r>
              <w:rPr>
                <w:sz w:val="21"/>
              </w:rPr>
              <w:t>（3）相当于Ann Arbor分期方案I期程度的何杰金氏病；</w:t>
            </w:r>
          </w:p>
          <w:p>
            <w:pPr>
              <w:pStyle w:val="TableParagraph"/>
              <w:spacing w:before="37"/>
              <w:ind w:left="106"/>
              <w:rPr>
                <w:sz w:val="21"/>
              </w:rPr>
            </w:pPr>
            <w:r>
              <w:rPr>
                <w:sz w:val="21"/>
              </w:rPr>
              <w:t>（4）皮肤癌（不包括恶性黑色素瘤及已发生转移的皮肤癌）；</w:t>
            </w:r>
          </w:p>
          <w:p>
            <w:pPr>
              <w:pStyle w:val="TableParagraph"/>
              <w:spacing w:before="36"/>
              <w:ind w:left="106"/>
              <w:rPr>
                <w:sz w:val="21"/>
              </w:rPr>
            </w:pPr>
            <w:r>
              <w:rPr>
                <w:position w:val="1"/>
                <w:sz w:val="21"/>
              </w:rPr>
              <w:t>（5）TNM分期为T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p>
            <w:pPr>
              <w:pStyle w:val="TableParagraph"/>
              <w:spacing w:before="37"/>
              <w:ind w:left="106"/>
              <w:rPr>
                <w:sz w:val="21"/>
              </w:rPr>
            </w:pPr>
            <w:r>
              <w:rPr>
                <w:sz w:val="21"/>
              </w:rPr>
              <w:t>（6）感染艾滋病病毒或患艾滋病期间所患恶性肿瘤。</w:t>
            </w:r>
          </w:p>
        </w:tc>
      </w:tr>
      <w:tr>
        <w:trPr>
          <w:trHeight w:val="2098" w:hRule="atLeast"/>
        </w:trPr>
        <w:tc>
          <w:tcPr>
            <w:tcW w:w="2042" w:type="dxa"/>
          </w:tcPr>
          <w:p>
            <w:pPr>
              <w:pStyle w:val="TableParagraph"/>
              <w:spacing w:before="21"/>
              <w:ind w:left="200"/>
              <w:rPr>
                <w:rFonts w:ascii="Microsoft JhengHei" w:eastAsia="Microsoft JhengHei" w:hint="eastAsia"/>
                <w:b/>
                <w:sz w:val="21"/>
              </w:rPr>
            </w:pPr>
            <w:r>
              <w:rPr>
                <w:rFonts w:ascii="微软雅黑" w:eastAsia="微软雅黑" w:hint="eastAsia"/>
                <w:b/>
                <w:sz w:val="21"/>
              </w:rPr>
              <w:t>2</w:t>
            </w:r>
            <w:r>
              <w:rPr>
                <w:rFonts w:ascii="Microsoft JhengHei" w:eastAsia="Microsoft JhengHei" w:hint="eastAsia"/>
                <w:b/>
                <w:sz w:val="21"/>
              </w:rPr>
              <w:t>、急性心ft梗塞</w:t>
            </w:r>
          </w:p>
        </w:tc>
        <w:tc>
          <w:tcPr>
            <w:tcW w:w="7892" w:type="dxa"/>
          </w:tcPr>
          <w:p>
            <w:pPr>
              <w:pStyle w:val="TableParagraph"/>
              <w:spacing w:line="273" w:lineRule="auto" w:before="100"/>
              <w:ind w:left="106" w:right="301"/>
              <w:rPr>
                <w:sz w:val="21"/>
              </w:rPr>
            </w:pPr>
            <w:r>
              <w:rPr>
                <w:spacing w:val="-6"/>
                <w:sz w:val="21"/>
              </w:rPr>
              <w:t>指因冠状动脉阻塞导致的相应区域供血不足造成部分心肌坏死。须满足下列至少三</w:t>
            </w:r>
            <w:r>
              <w:rPr>
                <w:spacing w:val="-4"/>
                <w:sz w:val="21"/>
              </w:rPr>
              <w:t>项条件：</w:t>
            </w:r>
          </w:p>
          <w:p>
            <w:pPr>
              <w:pStyle w:val="TableParagraph"/>
              <w:spacing w:before="7"/>
              <w:ind w:left="106"/>
              <w:rPr>
                <w:sz w:val="21"/>
              </w:rPr>
            </w:pPr>
            <w:r>
              <w:rPr>
                <w:sz w:val="21"/>
              </w:rPr>
              <w:t>（1）典型临床表现，例如急性胸痛等；</w:t>
            </w:r>
          </w:p>
          <w:p>
            <w:pPr>
              <w:pStyle w:val="TableParagraph"/>
              <w:spacing w:before="36"/>
              <w:ind w:left="106"/>
              <w:rPr>
                <w:sz w:val="21"/>
              </w:rPr>
            </w:pPr>
            <w:r>
              <w:rPr>
                <w:sz w:val="21"/>
              </w:rPr>
              <w:t>（2）新近的心电图改变提示急性心肌梗塞；</w:t>
            </w:r>
          </w:p>
          <w:p>
            <w:pPr>
              <w:pStyle w:val="TableParagraph"/>
              <w:spacing w:before="36"/>
              <w:ind w:left="106"/>
              <w:rPr>
                <w:sz w:val="21"/>
              </w:rPr>
            </w:pPr>
            <w:r>
              <w:rPr>
                <w:sz w:val="21"/>
              </w:rPr>
              <w:t>（3）心肌酶或肌钙蛋白有诊断意义的升高，或呈符合急性心肌梗塞的动态性变化；</w:t>
            </w:r>
          </w:p>
          <w:p>
            <w:pPr>
              <w:pStyle w:val="TableParagraph"/>
              <w:spacing w:before="36"/>
              <w:ind w:left="106"/>
              <w:rPr>
                <w:sz w:val="21"/>
              </w:rPr>
            </w:pPr>
            <w:r>
              <w:rPr>
                <w:sz w:val="21"/>
              </w:rPr>
              <w:t>（4）发病 90 天后，经检查证实左心室功能降低的，如左心室射血分数低于 50%。</w:t>
            </w:r>
          </w:p>
        </w:tc>
      </w:tr>
      <w:tr>
        <w:trPr>
          <w:trHeight w:val="2411" w:hRule="atLeast"/>
        </w:trPr>
        <w:tc>
          <w:tcPr>
            <w:tcW w:w="2042" w:type="dxa"/>
          </w:tcPr>
          <w:p>
            <w:pPr>
              <w:pStyle w:val="TableParagraph"/>
              <w:spacing w:before="20"/>
              <w:ind w:left="200"/>
              <w:rPr>
                <w:rFonts w:ascii="Microsoft JhengHei" w:eastAsia="Microsoft JhengHei" w:hint="eastAsia"/>
                <w:b/>
                <w:sz w:val="21"/>
              </w:rPr>
            </w:pPr>
            <w:r>
              <w:rPr>
                <w:rFonts w:ascii="微软雅黑" w:eastAsia="微软雅黑" w:hint="eastAsia"/>
                <w:b/>
                <w:w w:val="95"/>
                <w:sz w:val="21"/>
              </w:rPr>
              <w:t>3</w:t>
            </w:r>
            <w:r>
              <w:rPr>
                <w:rFonts w:ascii="Microsoft JhengHei" w:eastAsia="Microsoft JhengHei" w:hint="eastAsia"/>
                <w:b/>
                <w:w w:val="95"/>
                <w:sz w:val="21"/>
              </w:rPr>
              <w:t>、脑中风后遗症</w:t>
            </w:r>
          </w:p>
        </w:tc>
        <w:tc>
          <w:tcPr>
            <w:tcW w:w="7892" w:type="dxa"/>
          </w:tcPr>
          <w:p>
            <w:pPr>
              <w:pStyle w:val="TableParagraph"/>
              <w:spacing w:line="273" w:lineRule="auto" w:before="99"/>
              <w:ind w:left="106" w:right="301"/>
              <w:jc w:val="both"/>
              <w:rPr>
                <w:sz w:val="21"/>
              </w:rPr>
            </w:pPr>
            <w:r>
              <w:rPr>
                <w:spacing w:val="-8"/>
                <w:sz w:val="21"/>
              </w:rPr>
              <w:t>指因脑血管的突发病变引起脑血管出血、栓塞或梗塞，并导致神经系统永久性功能</w:t>
            </w:r>
            <w:r>
              <w:rPr>
                <w:spacing w:val="-3"/>
                <w:sz w:val="21"/>
              </w:rPr>
              <w:t>障碍。神经系统永久性的功能障碍，指疾病确诊</w:t>
            </w:r>
            <w:r>
              <w:rPr>
                <w:sz w:val="21"/>
              </w:rPr>
              <w:t>180</w:t>
            </w:r>
            <w:r>
              <w:rPr>
                <w:spacing w:val="-2"/>
                <w:sz w:val="21"/>
              </w:rPr>
              <w:t>天后，仍遗留下列一种或一种</w:t>
            </w:r>
            <w:r>
              <w:rPr>
                <w:spacing w:val="-3"/>
                <w:sz w:val="21"/>
              </w:rPr>
              <w:t>以上障碍：</w:t>
            </w:r>
          </w:p>
          <w:p>
            <w:pPr>
              <w:pStyle w:val="TableParagraph"/>
              <w:spacing w:line="283" w:lineRule="exact"/>
              <w:ind w:left="106"/>
              <w:rPr>
                <w:sz w:val="21"/>
              </w:rPr>
            </w:pPr>
            <w:r>
              <w:rPr>
                <w:sz w:val="21"/>
              </w:rPr>
              <w:t>（1）一肢或一肢以上</w:t>
            </w:r>
            <w:r>
              <w:rPr>
                <w:rFonts w:ascii="微软雅黑" w:eastAsia="微软雅黑" w:hint="eastAsia"/>
                <w:b/>
                <w:sz w:val="21"/>
              </w:rPr>
              <w:t>肢体机能完全丧失</w:t>
            </w:r>
            <w:r>
              <w:rPr>
                <w:sz w:val="21"/>
              </w:rPr>
              <w:t>(见9.19)；</w:t>
            </w:r>
          </w:p>
          <w:p>
            <w:pPr>
              <w:pStyle w:val="TableParagraph"/>
              <w:spacing w:line="312" w:lineRule="exact"/>
              <w:ind w:left="106"/>
              <w:rPr>
                <w:sz w:val="21"/>
              </w:rPr>
            </w:pPr>
            <w:r>
              <w:rPr>
                <w:sz w:val="21"/>
              </w:rPr>
              <w:t>（2）</w:t>
            </w:r>
            <w:r>
              <w:rPr>
                <w:rFonts w:ascii="微软雅黑" w:eastAsia="微软雅黑" w:hint="eastAsia"/>
                <w:b/>
                <w:sz w:val="21"/>
              </w:rPr>
              <w:t>语言能力或咀嚼吞咽能力完全丧失</w:t>
            </w:r>
            <w:r>
              <w:rPr>
                <w:sz w:val="21"/>
              </w:rPr>
              <w:t>（见9.20）；</w:t>
            </w:r>
          </w:p>
          <w:p>
            <w:pPr>
              <w:pStyle w:val="TableParagraph"/>
              <w:spacing w:line="312" w:lineRule="exact" w:before="32"/>
              <w:ind w:left="106" w:right="310"/>
              <w:rPr>
                <w:sz w:val="21"/>
              </w:rPr>
            </w:pPr>
            <w:r>
              <w:rPr>
                <w:spacing w:val="-5"/>
                <w:sz w:val="21"/>
              </w:rPr>
              <w:t>（3）</w:t>
            </w:r>
            <w:r>
              <w:rPr>
                <w:spacing w:val="-4"/>
                <w:sz w:val="21"/>
              </w:rPr>
              <w:t>自主生活能力完全丧失，无法独立完成</w:t>
            </w:r>
            <w:r>
              <w:rPr>
                <w:rFonts w:ascii="微软雅黑" w:eastAsia="微软雅黑" w:hint="eastAsia"/>
                <w:b/>
                <w:spacing w:val="-1"/>
                <w:sz w:val="21"/>
              </w:rPr>
              <w:t>六项基本日常生活活动</w:t>
            </w:r>
            <w:r>
              <w:rPr>
                <w:spacing w:val="-3"/>
                <w:sz w:val="21"/>
              </w:rPr>
              <w:t>（</w:t>
            </w:r>
            <w:r>
              <w:rPr>
                <w:spacing w:val="-8"/>
                <w:sz w:val="21"/>
              </w:rPr>
              <w:t>见 </w:t>
            </w:r>
            <w:r>
              <w:rPr>
                <w:spacing w:val="-4"/>
                <w:sz w:val="21"/>
              </w:rPr>
              <w:t>9.21）</w:t>
            </w:r>
            <w:r>
              <w:rPr>
                <w:spacing w:val="-10"/>
                <w:sz w:val="21"/>
              </w:rPr>
              <w:t>中</w:t>
            </w:r>
            <w:r>
              <w:rPr>
                <w:spacing w:val="-3"/>
                <w:sz w:val="21"/>
              </w:rPr>
              <w:t>的三项或三项以上。</w:t>
            </w:r>
          </w:p>
        </w:tc>
      </w:tr>
      <w:tr>
        <w:trPr>
          <w:trHeight w:val="1474" w:hRule="atLeast"/>
        </w:trPr>
        <w:tc>
          <w:tcPr>
            <w:tcW w:w="2042" w:type="dxa"/>
          </w:tcPr>
          <w:p>
            <w:pPr>
              <w:pStyle w:val="TableParagraph"/>
              <w:spacing w:line="201" w:lineRule="auto" w:before="80"/>
              <w:ind w:left="200" w:right="104"/>
              <w:jc w:val="both"/>
              <w:rPr>
                <w:rFonts w:ascii="Microsoft JhengHei" w:eastAsia="Microsoft JhengHei" w:hint="eastAsia"/>
                <w:b/>
                <w:sz w:val="21"/>
              </w:rPr>
            </w:pPr>
            <w:r>
              <w:rPr>
                <w:rFonts w:ascii="微软雅黑" w:eastAsia="微软雅黑" w:hint="eastAsia"/>
                <w:b/>
                <w:w w:val="95"/>
                <w:sz w:val="21"/>
              </w:rPr>
              <w:t>4</w:t>
            </w:r>
            <w:r>
              <w:rPr>
                <w:rFonts w:ascii="Microsoft JhengHei" w:eastAsia="Microsoft JhengHei" w:hint="eastAsia"/>
                <w:b/>
                <w:w w:val="95"/>
                <w:sz w:val="21"/>
              </w:rPr>
              <w:t>、重大器官移植术</w:t>
            </w:r>
            <w:r>
              <w:rPr>
                <w:rFonts w:ascii="Microsoft JhengHei" w:eastAsia="Microsoft JhengHei" w:hint="eastAsia"/>
                <w:b/>
                <w:sz w:val="21"/>
              </w:rPr>
              <w:t>或造血干细胞移植术</w:t>
            </w:r>
          </w:p>
        </w:tc>
        <w:tc>
          <w:tcPr>
            <w:tcW w:w="7892" w:type="dxa"/>
          </w:tcPr>
          <w:p>
            <w:pPr>
              <w:pStyle w:val="TableParagraph"/>
              <w:spacing w:line="273" w:lineRule="auto" w:before="100"/>
              <w:ind w:left="106" w:right="301"/>
              <w:rPr>
                <w:sz w:val="21"/>
              </w:rPr>
            </w:pPr>
            <w:r>
              <w:rPr>
                <w:spacing w:val="-9"/>
                <w:sz w:val="21"/>
              </w:rPr>
              <w:t>重大器官移植术，指因相应器官功能衰竭，已经实施了肾脏、肝脏、心脏或肺脏的</w:t>
            </w:r>
            <w:r>
              <w:rPr>
                <w:spacing w:val="-5"/>
                <w:sz w:val="21"/>
              </w:rPr>
              <w:t>异体移植手术。</w:t>
            </w:r>
          </w:p>
          <w:p>
            <w:pPr>
              <w:pStyle w:val="TableParagraph"/>
              <w:spacing w:line="273" w:lineRule="auto" w:before="7"/>
              <w:ind w:left="106" w:right="197"/>
              <w:rPr>
                <w:sz w:val="21"/>
              </w:rPr>
            </w:pPr>
            <w:r>
              <w:rPr>
                <w:spacing w:val="-10"/>
                <w:sz w:val="21"/>
              </w:rPr>
              <w:t>造血干细胞移植术，指因造血功能损害或造血系统恶性肿瘤，已经实施了造血干细 </w:t>
            </w:r>
            <w:r>
              <w:rPr>
                <w:spacing w:val="-63"/>
                <w:sz w:val="21"/>
              </w:rPr>
              <w:t>胞</w:t>
            </w:r>
            <w:r>
              <w:rPr>
                <w:spacing w:val="-3"/>
                <w:sz w:val="21"/>
              </w:rPr>
              <w:t>（</w:t>
            </w:r>
            <w:r>
              <w:rPr>
                <w:spacing w:val="-10"/>
                <w:sz w:val="21"/>
              </w:rPr>
              <w:t>包括骨髓造血干细胞、外周血造血干细胞和脐血造血干细胞</w:t>
            </w:r>
            <w:r>
              <w:rPr>
                <w:spacing w:val="-65"/>
                <w:sz w:val="21"/>
              </w:rPr>
              <w:t>）</w:t>
            </w:r>
            <w:r>
              <w:rPr>
                <w:spacing w:val="-3"/>
                <w:sz w:val="21"/>
              </w:rPr>
              <w:t>的异体移植手术。</w:t>
            </w:r>
          </w:p>
        </w:tc>
      </w:tr>
      <w:tr>
        <w:trPr>
          <w:trHeight w:val="1163" w:hRule="atLeast"/>
        </w:trPr>
        <w:tc>
          <w:tcPr>
            <w:tcW w:w="2042" w:type="dxa"/>
          </w:tcPr>
          <w:p>
            <w:pPr>
              <w:pStyle w:val="TableParagraph"/>
              <w:spacing w:before="20"/>
              <w:ind w:left="200"/>
              <w:rPr>
                <w:rFonts w:ascii="Microsoft JhengHei" w:eastAsia="Microsoft JhengHei" w:hint="eastAsia"/>
                <w:b/>
                <w:sz w:val="21"/>
              </w:rPr>
            </w:pPr>
            <w:r>
              <w:rPr>
                <w:rFonts w:ascii="微软雅黑" w:eastAsia="微软雅黑" w:hint="eastAsia"/>
                <w:b/>
                <w:w w:val="95"/>
                <w:sz w:val="21"/>
              </w:rPr>
              <w:t>5</w:t>
            </w:r>
            <w:r>
              <w:rPr>
                <w:rFonts w:ascii="Microsoft JhengHei" w:eastAsia="Microsoft JhengHei" w:hint="eastAsia"/>
                <w:b/>
                <w:w w:val="95"/>
                <w:sz w:val="21"/>
              </w:rPr>
              <w:t>、冠状动脉搭桥术</w:t>
            </w:r>
          </w:p>
        </w:tc>
        <w:tc>
          <w:tcPr>
            <w:tcW w:w="7892" w:type="dxa"/>
          </w:tcPr>
          <w:p>
            <w:pPr>
              <w:pStyle w:val="TableParagraph"/>
              <w:spacing w:line="273" w:lineRule="auto" w:before="99"/>
              <w:ind w:left="106" w:right="301"/>
              <w:rPr>
                <w:sz w:val="21"/>
              </w:rPr>
            </w:pPr>
            <w:r>
              <w:rPr>
                <w:spacing w:val="-3"/>
                <w:sz w:val="21"/>
              </w:rPr>
              <w:t>指为治疗严重的冠心病，实际实施了开胸进行的冠状动脉血管旁路移植的手术。</w:t>
            </w:r>
            <w:r>
              <w:rPr>
                <w:spacing w:val="-9"/>
                <w:sz w:val="21"/>
              </w:rPr>
              <w:t>冠状动脉支架植入手术、心导管球囊扩张术、激光射频技术及其他非开胸的介入手</w:t>
            </w:r>
            <w:r>
              <w:rPr>
                <w:spacing w:val="-5"/>
                <w:sz w:val="21"/>
              </w:rPr>
              <w:t>术、腔镜手术不在保障范围内。</w:t>
            </w:r>
          </w:p>
        </w:tc>
      </w:tr>
      <w:tr>
        <w:trPr>
          <w:trHeight w:val="842" w:hRule="atLeast"/>
        </w:trPr>
        <w:tc>
          <w:tcPr>
            <w:tcW w:w="2042" w:type="dxa"/>
          </w:tcPr>
          <w:p>
            <w:pPr>
              <w:pStyle w:val="TableParagraph"/>
              <w:spacing w:before="21"/>
              <w:ind w:left="200"/>
              <w:rPr>
                <w:rFonts w:ascii="Microsoft JhengHei" w:eastAsia="Microsoft JhengHei" w:hint="eastAsia"/>
                <w:b/>
                <w:sz w:val="21"/>
              </w:rPr>
            </w:pPr>
            <w:r>
              <w:rPr>
                <w:rFonts w:ascii="微软雅黑" w:eastAsia="微软雅黑" w:hint="eastAsia"/>
                <w:b/>
                <w:w w:val="95"/>
                <w:sz w:val="21"/>
              </w:rPr>
              <w:t>6</w:t>
            </w:r>
            <w:r>
              <w:rPr>
                <w:rFonts w:ascii="Microsoft JhengHei" w:eastAsia="Microsoft JhengHei" w:hint="eastAsia"/>
                <w:b/>
                <w:w w:val="95"/>
                <w:sz w:val="21"/>
              </w:rPr>
              <w:t>、终末期肾病</w:t>
            </w:r>
          </w:p>
        </w:tc>
        <w:tc>
          <w:tcPr>
            <w:tcW w:w="7892" w:type="dxa"/>
          </w:tcPr>
          <w:p>
            <w:pPr>
              <w:pStyle w:val="TableParagraph"/>
              <w:spacing w:line="273" w:lineRule="auto" w:before="100"/>
              <w:ind w:left="106" w:right="322"/>
              <w:rPr>
                <w:sz w:val="21"/>
              </w:rPr>
            </w:pPr>
            <w:r>
              <w:rPr>
                <w:spacing w:val="-4"/>
                <w:sz w:val="21"/>
              </w:rPr>
              <w:t>指双肾功能慢性不可逆性衰竭，达到尿毒症期，经诊断后已经进行了至少 </w:t>
            </w:r>
            <w:r>
              <w:rPr>
                <w:sz w:val="21"/>
              </w:rPr>
              <w:t>90</w:t>
            </w:r>
            <w:r>
              <w:rPr>
                <w:spacing w:val="-14"/>
                <w:sz w:val="21"/>
              </w:rPr>
              <w:t> 天的</w:t>
            </w:r>
            <w:r>
              <w:rPr>
                <w:spacing w:val="-7"/>
                <w:sz w:val="21"/>
              </w:rPr>
              <w:t>规律性透析治疗或实施了肾脏移植手术。</w:t>
            </w:r>
          </w:p>
        </w:tc>
      </w:tr>
      <w:tr>
        <w:trPr>
          <w:trHeight w:val="842" w:hRule="atLeast"/>
        </w:trPr>
        <w:tc>
          <w:tcPr>
            <w:tcW w:w="2042" w:type="dxa"/>
          </w:tcPr>
          <w:p>
            <w:pPr>
              <w:pStyle w:val="TableParagraph"/>
              <w:spacing w:before="12"/>
              <w:ind w:left="200"/>
              <w:rPr>
                <w:rFonts w:ascii="Microsoft JhengHei" w:eastAsia="Microsoft JhengHei" w:hint="eastAsia"/>
                <w:b/>
                <w:sz w:val="21"/>
              </w:rPr>
            </w:pPr>
            <w:r>
              <w:rPr>
                <w:rFonts w:ascii="微软雅黑" w:eastAsia="微软雅黑" w:hint="eastAsia"/>
                <w:b/>
                <w:w w:val="95"/>
                <w:sz w:val="21"/>
              </w:rPr>
              <w:t>7</w:t>
            </w:r>
            <w:r>
              <w:rPr>
                <w:rFonts w:ascii="Microsoft JhengHei" w:eastAsia="Microsoft JhengHei" w:hint="eastAsia"/>
                <w:b/>
                <w:w w:val="95"/>
                <w:sz w:val="21"/>
              </w:rPr>
              <w:t>、多个肢体缺失</w:t>
            </w:r>
          </w:p>
        </w:tc>
        <w:tc>
          <w:tcPr>
            <w:tcW w:w="7892" w:type="dxa"/>
          </w:tcPr>
          <w:p>
            <w:pPr>
              <w:pStyle w:val="TableParagraph"/>
              <w:spacing w:line="273" w:lineRule="auto" w:before="90"/>
              <w:ind w:left="106" w:right="426"/>
              <w:rPr>
                <w:sz w:val="21"/>
              </w:rPr>
            </w:pPr>
            <w:r>
              <w:rPr>
                <w:sz w:val="21"/>
              </w:rPr>
              <w:t>指因疾病或意外伤害导致两个或两个以上肢体自腕关节或踝关节近端（靠近躯干端）以上完全性断离。</w:t>
            </w:r>
          </w:p>
        </w:tc>
      </w:tr>
      <w:tr>
        <w:trPr>
          <w:trHeight w:val="2100" w:hRule="atLeast"/>
        </w:trPr>
        <w:tc>
          <w:tcPr>
            <w:tcW w:w="2042" w:type="dxa"/>
          </w:tcPr>
          <w:p>
            <w:pPr>
              <w:pStyle w:val="TableParagraph"/>
              <w:spacing w:line="199" w:lineRule="auto" w:before="84"/>
              <w:ind w:left="200" w:right="104"/>
              <w:rPr>
                <w:rFonts w:ascii="Microsoft JhengHei" w:eastAsia="Microsoft JhengHei" w:hint="eastAsia"/>
                <w:b/>
                <w:sz w:val="21"/>
              </w:rPr>
            </w:pPr>
            <w:r>
              <w:rPr>
                <w:rFonts w:ascii="微软雅黑" w:eastAsia="微软雅黑" w:hint="eastAsia"/>
                <w:b/>
                <w:w w:val="95"/>
                <w:sz w:val="21"/>
              </w:rPr>
              <w:t>8</w:t>
            </w:r>
            <w:r>
              <w:rPr>
                <w:rFonts w:ascii="Microsoft JhengHei" w:eastAsia="Microsoft JhengHei" w:hint="eastAsia"/>
                <w:b/>
                <w:w w:val="95"/>
                <w:sz w:val="21"/>
              </w:rPr>
              <w:t>、急性或亚急性重</w:t>
            </w:r>
            <w:r>
              <w:rPr>
                <w:rFonts w:ascii="Microsoft JhengHei" w:eastAsia="Microsoft JhengHei" w:hint="eastAsia"/>
                <w:b/>
                <w:sz w:val="21"/>
              </w:rPr>
              <w:t>症肝炎</w:t>
            </w:r>
          </w:p>
        </w:tc>
        <w:tc>
          <w:tcPr>
            <w:tcW w:w="7892" w:type="dxa"/>
          </w:tcPr>
          <w:p>
            <w:pPr>
              <w:pStyle w:val="TableParagraph"/>
              <w:spacing w:line="273" w:lineRule="auto" w:before="100"/>
              <w:ind w:left="106" w:right="300"/>
              <w:rPr>
                <w:sz w:val="21"/>
              </w:rPr>
            </w:pPr>
            <w:r>
              <w:rPr>
                <w:spacing w:val="-7"/>
                <w:sz w:val="21"/>
              </w:rPr>
              <w:t>指因肝炎病毒感染引起肝脏组织弥漫性坏死，导致急性肝功能衰竭，且经血清学或</w:t>
            </w:r>
            <w:r>
              <w:rPr>
                <w:spacing w:val="-5"/>
                <w:sz w:val="21"/>
              </w:rPr>
              <w:t>病毒学检查证实，并须满足下列全部条件：</w:t>
            </w:r>
          </w:p>
          <w:p>
            <w:pPr>
              <w:pStyle w:val="TableParagraph"/>
              <w:spacing w:before="7"/>
              <w:ind w:left="106"/>
              <w:rPr>
                <w:sz w:val="21"/>
              </w:rPr>
            </w:pPr>
            <w:r>
              <w:rPr>
                <w:sz w:val="21"/>
              </w:rPr>
              <w:t>（1）重度黄疸或黄疸迅速加重；</w:t>
            </w:r>
          </w:p>
          <w:p>
            <w:pPr>
              <w:pStyle w:val="TableParagraph"/>
              <w:spacing w:before="36"/>
              <w:ind w:left="106"/>
              <w:rPr>
                <w:sz w:val="21"/>
              </w:rPr>
            </w:pPr>
            <w:r>
              <w:rPr>
                <w:sz w:val="21"/>
              </w:rPr>
              <w:t>（2）肝性脑病；</w:t>
            </w:r>
          </w:p>
          <w:p>
            <w:pPr>
              <w:pStyle w:val="TableParagraph"/>
              <w:spacing w:before="37"/>
              <w:ind w:left="106"/>
              <w:rPr>
                <w:sz w:val="21"/>
              </w:rPr>
            </w:pPr>
            <w:r>
              <w:rPr>
                <w:sz w:val="21"/>
              </w:rPr>
              <w:t>（3）B超或其他影像学检查显示肝脏体积急速萎缩；</w:t>
            </w:r>
          </w:p>
          <w:p>
            <w:pPr>
              <w:pStyle w:val="TableParagraph"/>
              <w:spacing w:before="37"/>
              <w:ind w:left="106"/>
              <w:rPr>
                <w:sz w:val="21"/>
              </w:rPr>
            </w:pPr>
            <w:r>
              <w:rPr>
                <w:sz w:val="21"/>
              </w:rPr>
              <w:t>（4）肝功能指标进行性恶化。</w:t>
            </w:r>
          </w:p>
        </w:tc>
      </w:tr>
      <w:tr>
        <w:trPr>
          <w:trHeight w:val="1941" w:hRule="atLeast"/>
        </w:trPr>
        <w:tc>
          <w:tcPr>
            <w:tcW w:w="2042" w:type="dxa"/>
          </w:tcPr>
          <w:p>
            <w:pPr>
              <w:pStyle w:val="TableParagraph"/>
              <w:spacing w:before="21"/>
              <w:ind w:left="200"/>
              <w:rPr>
                <w:rFonts w:ascii="Microsoft JhengHei" w:eastAsia="Microsoft JhengHei" w:hint="eastAsia"/>
                <w:b/>
                <w:sz w:val="21"/>
              </w:rPr>
            </w:pPr>
            <w:r>
              <w:rPr>
                <w:rFonts w:ascii="微软雅黑" w:eastAsia="微软雅黑" w:hint="eastAsia"/>
                <w:b/>
                <w:w w:val="95"/>
                <w:sz w:val="21"/>
              </w:rPr>
              <w:t>9</w:t>
            </w:r>
            <w:r>
              <w:rPr>
                <w:rFonts w:ascii="Microsoft JhengHei" w:eastAsia="Microsoft JhengHei" w:hint="eastAsia"/>
                <w:b/>
                <w:w w:val="95"/>
                <w:sz w:val="21"/>
              </w:rPr>
              <w:t>、良性脑肿瘤</w:t>
            </w:r>
          </w:p>
        </w:tc>
        <w:tc>
          <w:tcPr>
            <w:tcW w:w="7892" w:type="dxa"/>
          </w:tcPr>
          <w:p>
            <w:pPr>
              <w:pStyle w:val="TableParagraph"/>
              <w:spacing w:line="273" w:lineRule="auto" w:before="100"/>
              <w:ind w:left="106" w:right="197"/>
              <w:jc w:val="both"/>
              <w:rPr>
                <w:sz w:val="21"/>
              </w:rPr>
            </w:pPr>
            <w:r>
              <w:rPr>
                <w:spacing w:val="-3"/>
                <w:sz w:val="21"/>
              </w:rPr>
              <w:t>指脑的良性肿瘤，已经引起颅内压增高，临床表现为视神经乳头水肿、精神症状、</w:t>
            </w:r>
            <w:r>
              <w:rPr>
                <w:spacing w:val="-19"/>
                <w:w w:val="100"/>
                <w:sz w:val="21"/>
              </w:rPr>
              <w:t>癫痫及运动感觉障碍等，并危及生命。须由头颅断层扫描</w:t>
            </w:r>
            <w:r>
              <w:rPr>
                <w:w w:val="100"/>
                <w:sz w:val="21"/>
              </w:rPr>
              <w:t>（C</w:t>
            </w:r>
            <w:r>
              <w:rPr>
                <w:spacing w:val="-3"/>
                <w:w w:val="100"/>
                <w:sz w:val="21"/>
              </w:rPr>
              <w:t>T</w:t>
            </w:r>
            <w:r>
              <w:rPr>
                <w:spacing w:val="-85"/>
                <w:w w:val="100"/>
                <w:sz w:val="21"/>
              </w:rPr>
              <w:t>）</w:t>
            </w:r>
            <w:r>
              <w:rPr>
                <w:spacing w:val="-27"/>
                <w:w w:val="100"/>
                <w:sz w:val="21"/>
              </w:rPr>
              <w:t>、核磁共振检查</w:t>
            </w:r>
            <w:r>
              <w:rPr>
                <w:spacing w:val="-1"/>
                <w:w w:val="100"/>
                <w:sz w:val="21"/>
              </w:rPr>
              <w:t>（</w:t>
            </w:r>
            <w:r>
              <w:rPr>
                <w:w w:val="100"/>
                <w:sz w:val="21"/>
              </w:rPr>
              <w:t>M</w:t>
            </w:r>
            <w:r>
              <w:rPr>
                <w:spacing w:val="-3"/>
                <w:w w:val="100"/>
                <w:sz w:val="21"/>
              </w:rPr>
              <w:t>R</w:t>
            </w:r>
            <w:r>
              <w:rPr>
                <w:spacing w:val="-1"/>
                <w:w w:val="100"/>
                <w:sz w:val="21"/>
              </w:rPr>
              <w:t>I</w:t>
            </w:r>
            <w:r>
              <w:rPr>
                <w:w w:val="100"/>
                <w:sz w:val="21"/>
              </w:rPr>
              <w:t>）</w:t>
            </w:r>
            <w:r>
              <w:rPr>
                <w:spacing w:val="-3"/>
                <w:sz w:val="21"/>
              </w:rPr>
              <w:t>或正电子发射断层扫描</w:t>
            </w:r>
            <w:r>
              <w:rPr>
                <w:sz w:val="21"/>
              </w:rPr>
              <w:t>（PET）</w:t>
            </w:r>
            <w:r>
              <w:rPr>
                <w:spacing w:val="-3"/>
                <w:sz w:val="21"/>
              </w:rPr>
              <w:t>等影像学检查证实，并须满足下列至少一项条件：</w:t>
            </w:r>
          </w:p>
          <w:p>
            <w:pPr>
              <w:pStyle w:val="TableParagraph"/>
              <w:spacing w:before="7"/>
              <w:ind w:left="106"/>
              <w:jc w:val="both"/>
              <w:rPr>
                <w:sz w:val="21"/>
              </w:rPr>
            </w:pPr>
            <w:r>
              <w:rPr>
                <w:sz w:val="21"/>
              </w:rPr>
              <w:t>（1）实际实施了开颅进行的脑肿瘤完全切除或部分切除的手术；</w:t>
            </w:r>
          </w:p>
          <w:p>
            <w:pPr>
              <w:pStyle w:val="TableParagraph"/>
              <w:spacing w:before="37"/>
              <w:ind w:left="106"/>
              <w:jc w:val="both"/>
              <w:rPr>
                <w:sz w:val="21"/>
              </w:rPr>
            </w:pPr>
            <w:r>
              <w:rPr>
                <w:sz w:val="21"/>
              </w:rPr>
              <w:t>（2）实际实施了对脑肿瘤进行的放射治疗。</w:t>
            </w:r>
          </w:p>
          <w:p>
            <w:pPr>
              <w:pStyle w:val="TableParagraph"/>
              <w:spacing w:line="261" w:lineRule="exact" w:before="37"/>
              <w:ind w:left="106"/>
              <w:jc w:val="both"/>
              <w:rPr>
                <w:sz w:val="21"/>
              </w:rPr>
            </w:pPr>
            <w:r>
              <w:rPr>
                <w:sz w:val="21"/>
              </w:rPr>
              <w:t>脑垂体瘤、脑囊肿、脑血管性疾病不在保障范围内。</w:t>
            </w:r>
          </w:p>
        </w:tc>
      </w:tr>
    </w:tbl>
    <w:p>
      <w:pPr>
        <w:spacing w:after="0" w:line="261" w:lineRule="exact"/>
        <w:jc w:val="both"/>
        <w:rPr>
          <w:sz w:val="21"/>
        </w:rPr>
        <w:sectPr>
          <w:pgSz w:w="11910" w:h="16840"/>
          <w:pgMar w:top="1400" w:bottom="280" w:left="1380" w:right="360"/>
        </w:sectPr>
      </w:pPr>
    </w:p>
    <w:p>
      <w:pPr>
        <w:pStyle w:val="BodyText"/>
        <w:spacing w:before="7"/>
        <w:ind w:left="0"/>
        <w:rPr>
          <w:rFonts w:ascii="Times New Roman"/>
          <w:sz w:val="2"/>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8"/>
        <w:gridCol w:w="7948"/>
      </w:tblGrid>
      <w:tr>
        <w:trPr>
          <w:trHeight w:val="1940" w:hRule="atLeast"/>
        </w:trPr>
        <w:tc>
          <w:tcPr>
            <w:tcW w:w="1988" w:type="dxa"/>
          </w:tcPr>
          <w:p>
            <w:pPr>
              <w:pStyle w:val="TableParagraph"/>
              <w:spacing w:line="205" w:lineRule="exact"/>
              <w:ind w:left="200"/>
              <w:rPr>
                <w:rFonts w:ascii="Microsoft JhengHei" w:eastAsia="Microsoft JhengHei" w:hint="eastAsia"/>
                <w:b/>
                <w:sz w:val="21"/>
              </w:rPr>
            </w:pPr>
            <w:r>
              <w:rPr>
                <w:rFonts w:ascii="微软雅黑" w:eastAsia="微软雅黑" w:hint="eastAsia"/>
                <w:b/>
                <w:w w:val="95"/>
                <w:sz w:val="21"/>
              </w:rPr>
              <w:t>10</w:t>
            </w:r>
            <w:r>
              <w:rPr>
                <w:rFonts w:ascii="Microsoft JhengHei" w:eastAsia="Microsoft JhengHei" w:hint="eastAsia"/>
                <w:b/>
                <w:w w:val="95"/>
                <w:sz w:val="21"/>
              </w:rPr>
              <w:t>、慢性肝功能衰</w:t>
            </w:r>
          </w:p>
          <w:p>
            <w:pPr>
              <w:pStyle w:val="TableParagraph"/>
              <w:spacing w:line="334" w:lineRule="exact"/>
              <w:ind w:left="200"/>
              <w:rPr>
                <w:rFonts w:ascii="Microsoft JhengHei" w:eastAsia="Microsoft JhengHei" w:hint="eastAsia"/>
                <w:b/>
                <w:sz w:val="21"/>
              </w:rPr>
            </w:pPr>
            <w:r>
              <w:rPr>
                <w:rFonts w:ascii="Microsoft JhengHei" w:eastAsia="Microsoft JhengHei" w:hint="eastAsia"/>
                <w:b/>
                <w:sz w:val="21"/>
              </w:rPr>
              <w:t>竭失代偿期</w:t>
            </w:r>
          </w:p>
        </w:tc>
        <w:tc>
          <w:tcPr>
            <w:tcW w:w="7948" w:type="dxa"/>
          </w:tcPr>
          <w:p>
            <w:pPr>
              <w:pStyle w:val="TableParagraph"/>
              <w:spacing w:line="223" w:lineRule="exact"/>
              <w:ind w:left="160"/>
              <w:rPr>
                <w:sz w:val="21"/>
              </w:rPr>
            </w:pPr>
            <w:r>
              <w:rPr>
                <w:sz w:val="21"/>
              </w:rPr>
              <w:t>指因慢性肝脏疾病导致肝功能衰竭，须满足下列全部条件：</w:t>
            </w:r>
          </w:p>
          <w:p>
            <w:pPr>
              <w:pStyle w:val="TableParagraph"/>
              <w:spacing w:before="37"/>
              <w:ind w:left="160"/>
              <w:rPr>
                <w:sz w:val="21"/>
              </w:rPr>
            </w:pPr>
            <w:r>
              <w:rPr>
                <w:sz w:val="21"/>
              </w:rPr>
              <w:t>（1）持续性黄疸；</w:t>
            </w:r>
          </w:p>
          <w:p>
            <w:pPr>
              <w:pStyle w:val="TableParagraph"/>
              <w:spacing w:before="37"/>
              <w:ind w:left="160"/>
              <w:rPr>
                <w:sz w:val="21"/>
              </w:rPr>
            </w:pPr>
            <w:r>
              <w:rPr>
                <w:sz w:val="21"/>
              </w:rPr>
              <w:t>（2）腹水；</w:t>
            </w:r>
          </w:p>
          <w:p>
            <w:pPr>
              <w:pStyle w:val="TableParagraph"/>
              <w:spacing w:before="37"/>
              <w:ind w:left="160"/>
              <w:rPr>
                <w:sz w:val="21"/>
              </w:rPr>
            </w:pPr>
            <w:r>
              <w:rPr>
                <w:sz w:val="21"/>
              </w:rPr>
              <w:t>（3）肝性脑病；</w:t>
            </w:r>
          </w:p>
          <w:p>
            <w:pPr>
              <w:pStyle w:val="TableParagraph"/>
              <w:spacing w:line="262" w:lineRule="exact" w:before="37"/>
              <w:ind w:left="160"/>
              <w:rPr>
                <w:sz w:val="21"/>
              </w:rPr>
            </w:pPr>
            <w:r>
              <w:rPr>
                <w:sz w:val="21"/>
              </w:rPr>
              <w:t>（4）充血性脾肿大伴脾功能亢进或食管胃底静脉曲张。</w:t>
            </w:r>
          </w:p>
          <w:p>
            <w:pPr>
              <w:pStyle w:val="TableParagraph"/>
              <w:spacing w:line="350" w:lineRule="exact"/>
              <w:ind w:left="160"/>
              <w:rPr>
                <w:sz w:val="21"/>
              </w:rPr>
            </w:pPr>
            <w:r>
              <w:rPr>
                <w:sz w:val="21"/>
              </w:rPr>
              <w:t>因</w:t>
            </w:r>
            <w:r>
              <w:rPr>
                <w:rFonts w:ascii="微软雅黑" w:eastAsia="微软雅黑" w:hint="eastAsia"/>
                <w:b/>
                <w:sz w:val="21"/>
              </w:rPr>
              <w:t>酗酒</w:t>
            </w:r>
            <w:r>
              <w:rPr>
                <w:sz w:val="21"/>
              </w:rPr>
              <w:t>（见 9.22）或药物滥用导致的肝功能衰竭不在保障范围内。</w:t>
            </w:r>
          </w:p>
        </w:tc>
      </w:tr>
      <w:tr>
        <w:trPr>
          <w:trHeight w:val="2099" w:hRule="atLeast"/>
        </w:trPr>
        <w:tc>
          <w:tcPr>
            <w:tcW w:w="1988" w:type="dxa"/>
          </w:tcPr>
          <w:p>
            <w:pPr>
              <w:pStyle w:val="TableParagraph"/>
              <w:spacing w:line="199" w:lineRule="auto" w:before="89"/>
              <w:ind w:left="200" w:right="101"/>
              <w:rPr>
                <w:rFonts w:ascii="Microsoft JhengHei" w:eastAsia="Microsoft JhengHei" w:hint="eastAsia"/>
                <w:b/>
                <w:sz w:val="21"/>
              </w:rPr>
            </w:pPr>
            <w:r>
              <w:rPr>
                <w:rFonts w:ascii="微软雅黑" w:eastAsia="微软雅黑" w:hint="eastAsia"/>
                <w:b/>
                <w:w w:val="95"/>
                <w:sz w:val="21"/>
              </w:rPr>
              <w:t>11</w:t>
            </w:r>
            <w:r>
              <w:rPr>
                <w:rFonts w:ascii="Microsoft JhengHei" w:eastAsia="Microsoft JhengHei" w:hint="eastAsia"/>
                <w:b/>
                <w:w w:val="95"/>
                <w:sz w:val="21"/>
              </w:rPr>
              <w:t>、脑炎后遗症或</w:t>
            </w:r>
            <w:r>
              <w:rPr>
                <w:rFonts w:ascii="Microsoft JhengHei" w:eastAsia="Microsoft JhengHei" w:hint="eastAsia"/>
                <w:b/>
                <w:sz w:val="21"/>
              </w:rPr>
              <w:t>脑膜炎后遗症</w:t>
            </w:r>
          </w:p>
        </w:tc>
        <w:tc>
          <w:tcPr>
            <w:tcW w:w="7948" w:type="dxa"/>
          </w:tcPr>
          <w:p>
            <w:pPr>
              <w:pStyle w:val="TableParagraph"/>
              <w:spacing w:line="273" w:lineRule="auto" w:before="105"/>
              <w:ind w:left="160" w:right="303"/>
              <w:rPr>
                <w:sz w:val="21"/>
              </w:rPr>
            </w:pPr>
            <w:r>
              <w:rPr>
                <w:spacing w:val="-7"/>
                <w:sz w:val="21"/>
              </w:rPr>
              <w:t>指因患脑炎或脑膜炎导致的神经系统永久性的功能障碍。神经系统永久性的功能障</w:t>
            </w:r>
            <w:r>
              <w:rPr>
                <w:spacing w:val="-3"/>
                <w:sz w:val="21"/>
              </w:rPr>
              <w:t>碍，指疾病确诊</w:t>
            </w:r>
            <w:r>
              <w:rPr>
                <w:sz w:val="21"/>
              </w:rPr>
              <w:t>180</w:t>
            </w:r>
            <w:r>
              <w:rPr>
                <w:spacing w:val="-3"/>
                <w:sz w:val="21"/>
              </w:rPr>
              <w:t>天后，仍残留下列一种或一种以上障碍：</w:t>
            </w:r>
          </w:p>
          <w:p>
            <w:pPr>
              <w:pStyle w:val="TableParagraph"/>
              <w:spacing w:before="7"/>
              <w:ind w:left="160"/>
              <w:rPr>
                <w:sz w:val="21"/>
              </w:rPr>
            </w:pPr>
            <w:r>
              <w:rPr>
                <w:sz w:val="21"/>
              </w:rPr>
              <w:t>（1）一肢或一肢以上肢体机能完全丧失；</w:t>
            </w:r>
          </w:p>
          <w:p>
            <w:pPr>
              <w:pStyle w:val="TableParagraph"/>
              <w:spacing w:before="37"/>
              <w:ind w:left="160"/>
              <w:rPr>
                <w:sz w:val="21"/>
              </w:rPr>
            </w:pPr>
            <w:r>
              <w:rPr>
                <w:sz w:val="21"/>
              </w:rPr>
              <w:t>（2）语言能力或咀嚼吞咽能力完全丧失；</w:t>
            </w:r>
          </w:p>
          <w:p>
            <w:pPr>
              <w:pStyle w:val="TableParagraph"/>
              <w:spacing w:line="273" w:lineRule="auto" w:before="37"/>
              <w:ind w:left="160" w:right="324"/>
              <w:rPr>
                <w:sz w:val="21"/>
              </w:rPr>
            </w:pPr>
            <w:r>
              <w:rPr>
                <w:sz w:val="21"/>
              </w:rPr>
              <w:t>（3）自主生活能力完全丧失，无法独立完成六项基本日常生活活动中的三项或三项以上。</w:t>
            </w:r>
          </w:p>
        </w:tc>
      </w:tr>
      <w:tr>
        <w:trPr>
          <w:trHeight w:val="1475" w:hRule="atLeast"/>
        </w:trPr>
        <w:tc>
          <w:tcPr>
            <w:tcW w:w="1988" w:type="dxa"/>
          </w:tcPr>
          <w:p>
            <w:pPr>
              <w:pStyle w:val="TableParagraph"/>
              <w:spacing w:before="28"/>
              <w:ind w:left="200"/>
              <w:rPr>
                <w:rFonts w:ascii="Microsoft JhengHei" w:eastAsia="Microsoft JhengHei" w:hint="eastAsia"/>
                <w:b/>
                <w:sz w:val="21"/>
              </w:rPr>
            </w:pPr>
            <w:r>
              <w:rPr>
                <w:rFonts w:ascii="微软雅黑" w:eastAsia="微软雅黑" w:hint="eastAsia"/>
                <w:b/>
                <w:w w:val="95"/>
                <w:sz w:val="21"/>
              </w:rPr>
              <w:t>12</w:t>
            </w:r>
            <w:r>
              <w:rPr>
                <w:rFonts w:ascii="Microsoft JhengHei" w:eastAsia="Microsoft JhengHei" w:hint="eastAsia"/>
                <w:b/>
                <w:w w:val="95"/>
                <w:sz w:val="21"/>
              </w:rPr>
              <w:t>、深度昏迷</w:t>
            </w:r>
          </w:p>
        </w:tc>
        <w:tc>
          <w:tcPr>
            <w:tcW w:w="7948" w:type="dxa"/>
          </w:tcPr>
          <w:p>
            <w:pPr>
              <w:pStyle w:val="TableParagraph"/>
              <w:spacing w:line="273" w:lineRule="auto" w:before="107"/>
              <w:ind w:left="160" w:right="307"/>
              <w:jc w:val="both"/>
              <w:rPr>
                <w:sz w:val="21"/>
              </w:rPr>
            </w:pPr>
            <w:r>
              <w:rPr>
                <w:spacing w:val="-3"/>
                <w:sz w:val="21"/>
              </w:rPr>
              <w:t>指因疾病或意外伤害导致意识丧失,对外界刺激和体内需求均无反应，昏迷程度按照格拉斯哥昏迷分级</w:t>
            </w:r>
            <w:r>
              <w:rPr>
                <w:sz w:val="21"/>
              </w:rPr>
              <w:t>（Glasgow</w:t>
            </w:r>
            <w:r>
              <w:rPr>
                <w:spacing w:val="-32"/>
                <w:sz w:val="21"/>
              </w:rPr>
              <w:t> </w:t>
            </w:r>
            <w:r>
              <w:rPr>
                <w:sz w:val="21"/>
              </w:rPr>
              <w:t>coma</w:t>
            </w:r>
            <w:r>
              <w:rPr>
                <w:spacing w:val="-29"/>
                <w:sz w:val="21"/>
              </w:rPr>
              <w:t> </w:t>
            </w:r>
            <w:r>
              <w:rPr>
                <w:sz w:val="21"/>
              </w:rPr>
              <w:t>scale）</w:t>
            </w:r>
            <w:r>
              <w:rPr>
                <w:spacing w:val="-3"/>
                <w:sz w:val="21"/>
              </w:rPr>
              <w:t>结果为5</w:t>
            </w:r>
            <w:r>
              <w:rPr>
                <w:sz w:val="21"/>
              </w:rPr>
              <w:t>分或</w:t>
            </w:r>
            <w:r>
              <w:rPr>
                <w:spacing w:val="-3"/>
                <w:sz w:val="21"/>
              </w:rPr>
              <w:t>5分以下，且已经持续使用呼吸机及其它生命维持系统</w:t>
            </w:r>
            <w:r>
              <w:rPr>
                <w:sz w:val="21"/>
              </w:rPr>
              <w:t>96</w:t>
            </w:r>
            <w:r>
              <w:rPr>
                <w:spacing w:val="-3"/>
                <w:sz w:val="21"/>
              </w:rPr>
              <w:t>小时以上。</w:t>
            </w:r>
          </w:p>
          <w:p>
            <w:pPr>
              <w:pStyle w:val="TableParagraph"/>
              <w:spacing w:before="8"/>
              <w:ind w:left="160"/>
              <w:jc w:val="both"/>
              <w:rPr>
                <w:sz w:val="21"/>
              </w:rPr>
            </w:pPr>
            <w:r>
              <w:rPr>
                <w:sz w:val="21"/>
              </w:rPr>
              <w:t>由于酗酒或药物滥用导致的深度昏迷不在保障范围内。</w:t>
            </w:r>
          </w:p>
        </w:tc>
      </w:tr>
      <w:tr>
        <w:trPr>
          <w:trHeight w:val="1786" w:hRule="atLeast"/>
        </w:trPr>
        <w:tc>
          <w:tcPr>
            <w:tcW w:w="1988" w:type="dxa"/>
          </w:tcPr>
          <w:p>
            <w:pPr>
              <w:pStyle w:val="TableParagraph"/>
              <w:spacing w:line="336" w:lineRule="exact" w:before="26"/>
              <w:ind w:left="200"/>
              <w:rPr>
                <w:rFonts w:ascii="微软雅黑" w:hAnsi="微软雅黑" w:eastAsia="微软雅黑" w:hint="eastAsia"/>
                <w:b/>
                <w:sz w:val="21"/>
              </w:rPr>
            </w:pPr>
            <w:r>
              <w:rPr>
                <w:rFonts w:ascii="微软雅黑" w:hAnsi="微软雅黑" w:eastAsia="微软雅黑" w:hint="eastAsia"/>
                <w:b/>
                <w:w w:val="95"/>
                <w:sz w:val="21"/>
              </w:rPr>
              <w:t>13</w:t>
            </w:r>
            <w:r>
              <w:rPr>
                <w:rFonts w:ascii="Microsoft JhengHei" w:hAnsi="Microsoft JhengHei" w:eastAsia="Microsoft JhengHei" w:hint="eastAsia"/>
                <w:b/>
                <w:w w:val="95"/>
                <w:sz w:val="21"/>
              </w:rPr>
              <w:t>、双耳失聪</w:t>
            </w:r>
            <w:r>
              <w:rPr>
                <w:rFonts w:ascii="微软雅黑" w:hAnsi="微软雅黑" w:eastAsia="微软雅黑" w:hint="eastAsia"/>
                <w:b/>
                <w:w w:val="95"/>
                <w:sz w:val="21"/>
              </w:rPr>
              <w:t>——</w:t>
            </w:r>
          </w:p>
          <w:p>
            <w:pPr>
              <w:pStyle w:val="TableParagraph"/>
              <w:spacing w:line="334" w:lineRule="exact"/>
              <w:ind w:left="200"/>
              <w:rPr>
                <w:rFonts w:ascii="Microsoft JhengHei" w:eastAsia="Microsoft JhengHei" w:hint="eastAsia"/>
                <w:b/>
                <w:sz w:val="21"/>
              </w:rPr>
            </w:pPr>
            <w:r>
              <w:rPr>
                <w:rFonts w:ascii="Microsoft JhengHei" w:eastAsia="Microsoft JhengHei" w:hint="eastAsia"/>
                <w:b/>
                <w:sz w:val="21"/>
              </w:rPr>
              <w:t>三岁始理赔</w:t>
            </w:r>
          </w:p>
        </w:tc>
        <w:tc>
          <w:tcPr>
            <w:tcW w:w="7948" w:type="dxa"/>
          </w:tcPr>
          <w:p>
            <w:pPr>
              <w:pStyle w:val="TableParagraph"/>
              <w:spacing w:line="259" w:lineRule="auto" w:before="43"/>
              <w:ind w:left="160" w:right="302"/>
              <w:jc w:val="both"/>
              <w:rPr>
                <w:sz w:val="21"/>
              </w:rPr>
            </w:pPr>
            <w:r>
              <w:rPr>
                <w:spacing w:val="-3"/>
                <w:sz w:val="21"/>
              </w:rPr>
              <w:t>指因疾病或意外伤害导致双耳听力</w:t>
            </w:r>
            <w:r>
              <w:rPr>
                <w:rFonts w:ascii="微软雅黑" w:eastAsia="微软雅黑" w:hint="eastAsia"/>
                <w:b/>
                <w:sz w:val="21"/>
              </w:rPr>
              <w:t>永久不可逆</w:t>
            </w:r>
            <w:r>
              <w:rPr>
                <w:sz w:val="21"/>
              </w:rPr>
              <w:t>(见9.23)</w:t>
            </w:r>
            <w:r>
              <w:rPr>
                <w:spacing w:val="-1"/>
                <w:sz w:val="21"/>
              </w:rPr>
              <w:t>性丧失，在</w:t>
            </w:r>
            <w:r>
              <w:rPr>
                <w:sz w:val="21"/>
              </w:rPr>
              <w:t>500赫兹、1000 赫兹和2000</w:t>
            </w:r>
            <w:r>
              <w:rPr>
                <w:spacing w:val="-7"/>
                <w:sz w:val="21"/>
              </w:rPr>
              <w:t>赫兹语音频率下，平均听阈大于</w:t>
            </w:r>
            <w:r>
              <w:rPr>
                <w:sz w:val="21"/>
              </w:rPr>
              <w:t>90</w:t>
            </w:r>
            <w:r>
              <w:rPr>
                <w:spacing w:val="-8"/>
                <w:sz w:val="21"/>
              </w:rPr>
              <w:t>分贝，且经纯音听力测试、声导抗检</w:t>
            </w:r>
            <w:r>
              <w:rPr>
                <w:spacing w:val="-5"/>
                <w:sz w:val="21"/>
              </w:rPr>
              <w:t>测或听觉诱发电位检测等证实。</w:t>
            </w:r>
          </w:p>
          <w:p>
            <w:pPr>
              <w:pStyle w:val="TableParagraph"/>
              <w:spacing w:line="273" w:lineRule="auto" w:before="20"/>
              <w:ind w:left="160" w:right="303"/>
              <w:jc w:val="both"/>
              <w:rPr>
                <w:sz w:val="21"/>
              </w:rPr>
            </w:pPr>
            <w:r>
              <w:rPr>
                <w:spacing w:val="-8"/>
                <w:sz w:val="21"/>
              </w:rPr>
              <w:t>被保险人申请理赔时年龄必须在三周岁以上，并且提供理赔当时的听力丧失诊断及</w:t>
            </w:r>
            <w:r>
              <w:rPr>
                <w:spacing w:val="-5"/>
                <w:sz w:val="21"/>
              </w:rPr>
              <w:t>检查证据。</w:t>
            </w:r>
          </w:p>
        </w:tc>
      </w:tr>
      <w:tr>
        <w:trPr>
          <w:trHeight w:val="2412" w:hRule="atLeast"/>
        </w:trPr>
        <w:tc>
          <w:tcPr>
            <w:tcW w:w="1988" w:type="dxa"/>
          </w:tcPr>
          <w:p>
            <w:pPr>
              <w:pStyle w:val="TableParagraph"/>
              <w:spacing w:line="336" w:lineRule="exact" w:before="28"/>
              <w:ind w:left="200"/>
              <w:rPr>
                <w:rFonts w:ascii="微软雅黑" w:hAnsi="微软雅黑" w:eastAsia="微软雅黑" w:hint="eastAsia"/>
                <w:b/>
                <w:sz w:val="21"/>
              </w:rPr>
            </w:pPr>
            <w:r>
              <w:rPr>
                <w:rFonts w:ascii="微软雅黑" w:hAnsi="微软雅黑" w:eastAsia="微软雅黑" w:hint="eastAsia"/>
                <w:b/>
                <w:w w:val="95"/>
                <w:sz w:val="21"/>
              </w:rPr>
              <w:t>14</w:t>
            </w:r>
            <w:r>
              <w:rPr>
                <w:rFonts w:ascii="Microsoft JhengHei" w:hAnsi="Microsoft JhengHei" w:eastAsia="Microsoft JhengHei" w:hint="eastAsia"/>
                <w:b/>
                <w:w w:val="95"/>
                <w:sz w:val="21"/>
              </w:rPr>
              <w:t>、双目失明</w:t>
            </w:r>
            <w:r>
              <w:rPr>
                <w:rFonts w:ascii="微软雅黑" w:hAnsi="微软雅黑" w:eastAsia="微软雅黑" w:hint="eastAsia"/>
                <w:b/>
                <w:w w:val="95"/>
                <w:sz w:val="21"/>
              </w:rPr>
              <w:t>——</w:t>
            </w:r>
          </w:p>
          <w:p>
            <w:pPr>
              <w:pStyle w:val="TableParagraph"/>
              <w:spacing w:line="335" w:lineRule="exact"/>
              <w:ind w:left="200"/>
              <w:rPr>
                <w:rFonts w:ascii="Microsoft JhengHei" w:eastAsia="Microsoft JhengHei" w:hint="eastAsia"/>
                <w:b/>
                <w:sz w:val="21"/>
              </w:rPr>
            </w:pPr>
            <w:r>
              <w:rPr>
                <w:rFonts w:ascii="Microsoft JhengHei" w:eastAsia="Microsoft JhengHei" w:hint="eastAsia"/>
                <w:b/>
                <w:sz w:val="21"/>
              </w:rPr>
              <w:t>三岁始理赔</w:t>
            </w:r>
          </w:p>
        </w:tc>
        <w:tc>
          <w:tcPr>
            <w:tcW w:w="7948" w:type="dxa"/>
          </w:tcPr>
          <w:p>
            <w:pPr>
              <w:pStyle w:val="TableParagraph"/>
              <w:spacing w:line="273" w:lineRule="auto" w:before="106"/>
              <w:ind w:left="160" w:right="303"/>
              <w:rPr>
                <w:sz w:val="21"/>
              </w:rPr>
            </w:pPr>
            <w:r>
              <w:rPr>
                <w:spacing w:val="-7"/>
                <w:sz w:val="21"/>
              </w:rPr>
              <w:t>指因疾病或意外伤害导致双眼视力永久不可逆性丧失，双眼中较好眼须满足下列至</w:t>
            </w:r>
            <w:r>
              <w:rPr>
                <w:spacing w:val="-5"/>
                <w:sz w:val="21"/>
              </w:rPr>
              <w:t>少一项条件：</w:t>
            </w:r>
          </w:p>
          <w:p>
            <w:pPr>
              <w:pStyle w:val="TableParagraph"/>
              <w:spacing w:before="7"/>
              <w:ind w:left="160"/>
              <w:rPr>
                <w:sz w:val="21"/>
              </w:rPr>
            </w:pPr>
            <w:r>
              <w:rPr>
                <w:sz w:val="21"/>
              </w:rPr>
              <w:t>（1）眼球缺失或摘除；</w:t>
            </w:r>
          </w:p>
          <w:p>
            <w:pPr>
              <w:pStyle w:val="TableParagraph"/>
              <w:spacing w:before="37"/>
              <w:ind w:left="160"/>
              <w:rPr>
                <w:sz w:val="21"/>
              </w:rPr>
            </w:pPr>
            <w:r>
              <w:rPr>
                <w:w w:val="100"/>
                <w:sz w:val="21"/>
              </w:rPr>
              <w:t>（</w:t>
            </w:r>
            <w:r>
              <w:rPr>
                <w:spacing w:val="-3"/>
                <w:w w:val="100"/>
                <w:sz w:val="21"/>
              </w:rPr>
              <w:t>2</w:t>
            </w:r>
            <w:r>
              <w:rPr>
                <w:spacing w:val="6"/>
                <w:w w:val="100"/>
                <w:sz w:val="21"/>
              </w:rPr>
              <w:t>）</w:t>
            </w:r>
            <w:r>
              <w:rPr>
                <w:spacing w:val="-3"/>
                <w:w w:val="100"/>
                <w:sz w:val="21"/>
              </w:rPr>
              <w:t>矫正视力低于</w:t>
            </w:r>
            <w:r>
              <w:rPr>
                <w:w w:val="100"/>
                <w:sz w:val="21"/>
              </w:rPr>
              <w:t>0</w:t>
            </w:r>
            <w:r>
              <w:rPr>
                <w:spacing w:val="-3"/>
                <w:w w:val="100"/>
                <w:sz w:val="21"/>
              </w:rPr>
              <w:t>.</w:t>
            </w:r>
            <w:r>
              <w:rPr>
                <w:w w:val="100"/>
                <w:sz w:val="21"/>
              </w:rPr>
              <w:t>0</w:t>
            </w:r>
            <w:r>
              <w:rPr>
                <w:spacing w:val="-101"/>
                <w:w w:val="100"/>
                <w:sz w:val="21"/>
              </w:rPr>
              <w:t>2</w:t>
            </w:r>
            <w:r>
              <w:rPr>
                <w:spacing w:val="-3"/>
                <w:w w:val="100"/>
                <w:sz w:val="21"/>
              </w:rPr>
              <w:t>（</w:t>
            </w:r>
            <w:r>
              <w:rPr>
                <w:spacing w:val="-12"/>
                <w:w w:val="100"/>
                <w:sz w:val="21"/>
              </w:rPr>
              <w:t>采用国际标准视力表，如果使用其他视力表应进行换算</w:t>
            </w:r>
            <w:r>
              <w:rPr>
                <w:spacing w:val="-101"/>
                <w:w w:val="100"/>
                <w:sz w:val="21"/>
              </w:rPr>
              <w:t>）</w:t>
            </w:r>
            <w:r>
              <w:rPr>
                <w:w w:val="100"/>
                <w:sz w:val="21"/>
              </w:rPr>
              <w:t>；</w:t>
            </w:r>
          </w:p>
          <w:p>
            <w:pPr>
              <w:pStyle w:val="TableParagraph"/>
              <w:spacing w:before="37"/>
              <w:ind w:left="160"/>
              <w:rPr>
                <w:sz w:val="21"/>
              </w:rPr>
            </w:pPr>
            <w:r>
              <w:rPr>
                <w:sz w:val="21"/>
              </w:rPr>
              <w:t>（3）视野半径小于5度。</w:t>
            </w:r>
          </w:p>
          <w:p>
            <w:pPr>
              <w:pStyle w:val="TableParagraph"/>
              <w:spacing w:line="273" w:lineRule="auto" w:before="37"/>
              <w:ind w:left="160" w:right="303"/>
              <w:rPr>
                <w:sz w:val="21"/>
              </w:rPr>
            </w:pPr>
            <w:r>
              <w:rPr>
                <w:spacing w:val="-8"/>
                <w:sz w:val="21"/>
              </w:rPr>
              <w:t>被保险人申请理赔时年龄必须在三周岁以上，并且提供理赔当时的视力丧失诊断及</w:t>
            </w:r>
            <w:r>
              <w:rPr>
                <w:spacing w:val="-5"/>
                <w:sz w:val="21"/>
              </w:rPr>
              <w:t>检查证据。</w:t>
            </w:r>
          </w:p>
        </w:tc>
      </w:tr>
      <w:tr>
        <w:trPr>
          <w:trHeight w:val="1162" w:hRule="atLeast"/>
        </w:trPr>
        <w:tc>
          <w:tcPr>
            <w:tcW w:w="1988" w:type="dxa"/>
          </w:tcPr>
          <w:p>
            <w:pPr>
              <w:pStyle w:val="TableParagraph"/>
              <w:spacing w:before="28"/>
              <w:ind w:left="200"/>
              <w:rPr>
                <w:rFonts w:ascii="Microsoft JhengHei" w:eastAsia="Microsoft JhengHei" w:hint="eastAsia"/>
                <w:b/>
                <w:sz w:val="21"/>
              </w:rPr>
            </w:pPr>
            <w:r>
              <w:rPr>
                <w:rFonts w:ascii="微软雅黑" w:eastAsia="微软雅黑" w:hint="eastAsia"/>
                <w:b/>
                <w:w w:val="95"/>
                <w:sz w:val="21"/>
              </w:rPr>
              <w:t>15</w:t>
            </w:r>
            <w:r>
              <w:rPr>
                <w:rFonts w:ascii="Microsoft JhengHei" w:eastAsia="Microsoft JhengHei" w:hint="eastAsia"/>
                <w:b/>
                <w:w w:val="95"/>
                <w:sz w:val="21"/>
              </w:rPr>
              <w:t>、瘫痪</w:t>
            </w:r>
          </w:p>
        </w:tc>
        <w:tc>
          <w:tcPr>
            <w:tcW w:w="7948" w:type="dxa"/>
          </w:tcPr>
          <w:p>
            <w:pPr>
              <w:pStyle w:val="TableParagraph"/>
              <w:spacing w:line="273" w:lineRule="auto" w:before="106"/>
              <w:ind w:left="160" w:right="302"/>
              <w:jc w:val="both"/>
              <w:rPr>
                <w:sz w:val="21"/>
              </w:rPr>
            </w:pPr>
            <w:r>
              <w:rPr>
                <w:spacing w:val="-6"/>
                <w:sz w:val="21"/>
              </w:rPr>
              <w:t>指因疾病或意外伤害导致两肢或两肢以上肢体机能永久完全丧失。肢体机能永久完</w:t>
            </w:r>
            <w:r>
              <w:rPr>
                <w:spacing w:val="-13"/>
                <w:sz w:val="21"/>
              </w:rPr>
              <w:t>全丧失，指疾病确诊 </w:t>
            </w:r>
            <w:r>
              <w:rPr>
                <w:sz w:val="21"/>
              </w:rPr>
              <w:t>180</w:t>
            </w:r>
            <w:r>
              <w:rPr>
                <w:spacing w:val="-13"/>
                <w:sz w:val="21"/>
              </w:rPr>
              <w:t> 天后或意外伤害发生 </w:t>
            </w:r>
            <w:r>
              <w:rPr>
                <w:sz w:val="21"/>
              </w:rPr>
              <w:t>180</w:t>
            </w:r>
            <w:r>
              <w:rPr>
                <w:spacing w:val="-12"/>
                <w:sz w:val="21"/>
              </w:rPr>
              <w:t> 天后，每肢三大关节中的两大关</w:t>
            </w:r>
            <w:r>
              <w:rPr>
                <w:spacing w:val="-6"/>
                <w:sz w:val="21"/>
              </w:rPr>
              <w:t>节仍然完全僵硬，或不能随意识活动。</w:t>
            </w:r>
          </w:p>
        </w:tc>
      </w:tr>
      <w:tr>
        <w:trPr>
          <w:trHeight w:val="543" w:hRule="atLeast"/>
        </w:trPr>
        <w:tc>
          <w:tcPr>
            <w:tcW w:w="1988" w:type="dxa"/>
          </w:tcPr>
          <w:p>
            <w:pPr>
              <w:pStyle w:val="TableParagraph"/>
              <w:spacing w:before="26"/>
              <w:ind w:left="200"/>
              <w:rPr>
                <w:rFonts w:ascii="Microsoft JhengHei" w:eastAsia="Microsoft JhengHei" w:hint="eastAsia"/>
                <w:b/>
                <w:sz w:val="21"/>
              </w:rPr>
            </w:pPr>
            <w:r>
              <w:rPr>
                <w:rFonts w:ascii="微软雅黑" w:eastAsia="微软雅黑" w:hint="eastAsia"/>
                <w:b/>
                <w:w w:val="95"/>
                <w:sz w:val="21"/>
              </w:rPr>
              <w:t>16</w:t>
            </w:r>
            <w:r>
              <w:rPr>
                <w:rFonts w:ascii="Microsoft JhengHei" w:eastAsia="Microsoft JhengHei" w:hint="eastAsia"/>
                <w:b/>
                <w:w w:val="95"/>
                <w:sz w:val="21"/>
              </w:rPr>
              <w:t>、心脏瓣膜手术</w:t>
            </w:r>
          </w:p>
        </w:tc>
        <w:tc>
          <w:tcPr>
            <w:tcW w:w="7948" w:type="dxa"/>
          </w:tcPr>
          <w:p>
            <w:pPr>
              <w:pStyle w:val="TableParagraph"/>
              <w:spacing w:before="105"/>
              <w:ind w:left="100"/>
              <w:rPr>
                <w:sz w:val="21"/>
              </w:rPr>
            </w:pPr>
            <w:r>
              <w:rPr>
                <w:sz w:val="21"/>
              </w:rPr>
              <w:t>指为治疗心脏瓣膜疾病，实际实施了开胸进行的心脏瓣膜置换或修复的手术。</w:t>
            </w:r>
          </w:p>
        </w:tc>
      </w:tr>
      <w:tr>
        <w:trPr>
          <w:trHeight w:val="2094" w:hRule="atLeast"/>
        </w:trPr>
        <w:tc>
          <w:tcPr>
            <w:tcW w:w="1988" w:type="dxa"/>
          </w:tcPr>
          <w:p>
            <w:pPr>
              <w:pStyle w:val="TableParagraph"/>
              <w:spacing w:line="199" w:lineRule="auto" w:before="86"/>
              <w:ind w:left="200" w:right="101"/>
              <w:rPr>
                <w:rFonts w:ascii="Microsoft JhengHei" w:eastAsia="Microsoft JhengHei" w:hint="eastAsia"/>
                <w:b/>
                <w:sz w:val="21"/>
              </w:rPr>
            </w:pPr>
            <w:r>
              <w:rPr>
                <w:rFonts w:ascii="微软雅黑" w:eastAsia="微软雅黑" w:hint="eastAsia"/>
                <w:b/>
                <w:w w:val="95"/>
                <w:sz w:val="21"/>
              </w:rPr>
              <w:t>17</w:t>
            </w:r>
            <w:r>
              <w:rPr>
                <w:rFonts w:ascii="Microsoft JhengHei" w:eastAsia="Microsoft JhengHei" w:hint="eastAsia"/>
                <w:b/>
                <w:w w:val="95"/>
                <w:sz w:val="21"/>
              </w:rPr>
              <w:t>、严重阿尔茨海</w:t>
            </w:r>
            <w:r>
              <w:rPr>
                <w:rFonts w:ascii="Microsoft JhengHei" w:eastAsia="Microsoft JhengHei" w:hint="eastAsia"/>
                <w:b/>
                <w:sz w:val="21"/>
              </w:rPr>
              <w:t>默病</w:t>
            </w:r>
          </w:p>
        </w:tc>
        <w:tc>
          <w:tcPr>
            <w:tcW w:w="7948" w:type="dxa"/>
          </w:tcPr>
          <w:p>
            <w:pPr>
              <w:pStyle w:val="TableParagraph"/>
              <w:spacing w:line="273" w:lineRule="auto" w:before="103"/>
              <w:ind w:left="160" w:right="303"/>
              <w:jc w:val="both"/>
              <w:rPr>
                <w:sz w:val="21"/>
              </w:rPr>
            </w:pPr>
            <w:r>
              <w:rPr>
                <w:spacing w:val="-10"/>
                <w:sz w:val="21"/>
              </w:rPr>
              <w:t>指因大脑进行性、不可逆性改变导致智能严重衰退或丧失，临床表现为明显的认知</w:t>
            </w:r>
            <w:r>
              <w:rPr>
                <w:spacing w:val="-11"/>
                <w:sz w:val="21"/>
              </w:rPr>
              <w:t>能力障碍、行为异常和社交能力减退，其日常生活必须持续受到他人监护。须由头</w:t>
            </w:r>
            <w:r>
              <w:rPr>
                <w:spacing w:val="-9"/>
                <w:sz w:val="21"/>
              </w:rPr>
              <w:t>颅断层扫描</w:t>
            </w:r>
            <w:r>
              <w:rPr>
                <w:spacing w:val="-4"/>
                <w:sz w:val="21"/>
              </w:rPr>
              <w:t>（CT）</w:t>
            </w:r>
            <w:r>
              <w:rPr>
                <w:spacing w:val="-7"/>
                <w:sz w:val="21"/>
              </w:rPr>
              <w:t>、核磁共振检查</w:t>
            </w:r>
            <w:r>
              <w:rPr>
                <w:spacing w:val="-4"/>
                <w:sz w:val="21"/>
              </w:rPr>
              <w:t>（MRI）或正电子发射断层扫描（PET）</w:t>
            </w:r>
            <w:r>
              <w:rPr>
                <w:spacing w:val="-2"/>
                <w:sz w:val="21"/>
              </w:rPr>
              <w:t>等影像学</w:t>
            </w:r>
            <w:r>
              <w:rPr>
                <w:spacing w:val="-11"/>
                <w:sz w:val="21"/>
              </w:rPr>
              <w:t>检查证实，自主生活能力完全丧失，无法独立完成六项基本日常生活活动中的三项</w:t>
            </w:r>
            <w:r>
              <w:rPr>
                <w:spacing w:val="-6"/>
                <w:sz w:val="21"/>
              </w:rPr>
              <w:t>或三项以上。</w:t>
            </w:r>
          </w:p>
          <w:p>
            <w:pPr>
              <w:pStyle w:val="TableParagraph"/>
              <w:spacing w:before="8"/>
              <w:ind w:left="160"/>
              <w:jc w:val="both"/>
              <w:rPr>
                <w:sz w:val="21"/>
              </w:rPr>
            </w:pPr>
            <w:r>
              <w:rPr>
                <w:sz w:val="21"/>
              </w:rPr>
              <w:t>神经官能症和精神疾病不在保障范围内。</w:t>
            </w:r>
          </w:p>
        </w:tc>
      </w:tr>
      <w:tr>
        <w:trPr>
          <w:trHeight w:val="388" w:hRule="atLeast"/>
        </w:trPr>
        <w:tc>
          <w:tcPr>
            <w:tcW w:w="1988" w:type="dxa"/>
          </w:tcPr>
          <w:p>
            <w:pPr>
              <w:pStyle w:val="TableParagraph"/>
              <w:spacing w:line="342" w:lineRule="exact" w:before="26"/>
              <w:ind w:left="200"/>
              <w:rPr>
                <w:rFonts w:ascii="Microsoft JhengHei" w:eastAsia="Microsoft JhengHei" w:hint="eastAsia"/>
                <w:b/>
                <w:sz w:val="21"/>
              </w:rPr>
            </w:pPr>
            <w:r>
              <w:rPr>
                <w:rFonts w:ascii="微软雅黑" w:eastAsia="微软雅黑" w:hint="eastAsia"/>
                <w:b/>
                <w:w w:val="95"/>
                <w:sz w:val="21"/>
              </w:rPr>
              <w:t>18</w:t>
            </w:r>
            <w:r>
              <w:rPr>
                <w:rFonts w:ascii="Microsoft JhengHei" w:eastAsia="Microsoft JhengHei" w:hint="eastAsia"/>
                <w:b/>
                <w:w w:val="95"/>
                <w:sz w:val="21"/>
              </w:rPr>
              <w:t>、严重脑损伤</w:t>
            </w:r>
          </w:p>
        </w:tc>
        <w:tc>
          <w:tcPr>
            <w:tcW w:w="7948" w:type="dxa"/>
          </w:tcPr>
          <w:p>
            <w:pPr>
              <w:pStyle w:val="TableParagraph"/>
              <w:spacing w:line="263" w:lineRule="exact" w:before="105"/>
              <w:ind w:left="160"/>
              <w:rPr>
                <w:sz w:val="21"/>
              </w:rPr>
            </w:pPr>
            <w:r>
              <w:rPr>
                <w:sz w:val="21"/>
              </w:rPr>
              <w:t>指因头部遭受机械性外力，引起脑重要部位损伤，导致神经系统永久性的功能障碍。</w:t>
            </w:r>
          </w:p>
        </w:tc>
      </w:tr>
    </w:tbl>
    <w:p>
      <w:pPr>
        <w:spacing w:after="0" w:line="263" w:lineRule="exact"/>
        <w:rPr>
          <w:sz w:val="21"/>
        </w:rPr>
        <w:sectPr>
          <w:pgSz w:w="11910" w:h="16840"/>
          <w:pgMar w:top="1580" w:bottom="280" w:left="1380" w:right="3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7"/>
        <w:gridCol w:w="7918"/>
      </w:tblGrid>
      <w:tr>
        <w:trPr>
          <w:trHeight w:val="2242" w:hRule="atLeast"/>
        </w:trPr>
        <w:tc>
          <w:tcPr>
            <w:tcW w:w="2017" w:type="dxa"/>
          </w:tcPr>
          <w:p>
            <w:pPr>
              <w:pStyle w:val="TableParagraph"/>
              <w:ind w:left="0"/>
              <w:rPr>
                <w:rFonts w:ascii="Times New Roman"/>
                <w:sz w:val="20"/>
              </w:rPr>
            </w:pPr>
          </w:p>
        </w:tc>
        <w:tc>
          <w:tcPr>
            <w:tcW w:w="7918" w:type="dxa"/>
          </w:tcPr>
          <w:p>
            <w:pPr>
              <w:pStyle w:val="TableParagraph"/>
              <w:spacing w:line="205" w:lineRule="exact"/>
              <w:rPr>
                <w:sz w:val="21"/>
              </w:rPr>
            </w:pPr>
            <w:r>
              <w:rPr>
                <w:sz w:val="21"/>
              </w:rPr>
              <w:t>须由头颅断层扫描（CT）、核磁共振检查（MRI）或正电子发射断层扫描（PET）等</w:t>
            </w:r>
          </w:p>
          <w:p>
            <w:pPr>
              <w:pStyle w:val="TableParagraph"/>
              <w:spacing w:line="273" w:lineRule="auto" w:before="37"/>
              <w:ind w:right="301"/>
              <w:rPr>
                <w:sz w:val="21"/>
              </w:rPr>
            </w:pPr>
            <w:r>
              <w:rPr>
                <w:sz w:val="21"/>
              </w:rPr>
              <w:t>影像学检查证实。神经系统永久性的功能障碍，指脑损伤180天后，仍遗留下列一种或一种以上障碍：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right="323"/>
              <w:rPr>
                <w:sz w:val="21"/>
              </w:rPr>
            </w:pPr>
            <w:r>
              <w:rPr>
                <w:sz w:val="21"/>
              </w:rPr>
              <w:t>（3）自主生活能力完全丧失，无法独立完成六项基本日常生活活动中的三项或三项以上。</w:t>
            </w:r>
          </w:p>
        </w:tc>
      </w:tr>
      <w:tr>
        <w:trPr>
          <w:trHeight w:val="2099" w:hRule="atLeast"/>
        </w:trPr>
        <w:tc>
          <w:tcPr>
            <w:tcW w:w="2017" w:type="dxa"/>
          </w:tcPr>
          <w:p>
            <w:pPr>
              <w:pStyle w:val="TableParagraph"/>
              <w:spacing w:before="21"/>
              <w:ind w:left="200"/>
              <w:rPr>
                <w:rFonts w:ascii="Microsoft JhengHei" w:eastAsia="Microsoft JhengHei" w:hint="eastAsia"/>
                <w:b/>
                <w:sz w:val="21"/>
              </w:rPr>
            </w:pPr>
            <w:r>
              <w:rPr>
                <w:rFonts w:ascii="微软雅黑" w:eastAsia="微软雅黑" w:hint="eastAsia"/>
                <w:b/>
                <w:w w:val="95"/>
                <w:sz w:val="21"/>
              </w:rPr>
              <w:t>19</w:t>
            </w:r>
            <w:r>
              <w:rPr>
                <w:rFonts w:ascii="Microsoft JhengHei" w:eastAsia="Microsoft JhengHei" w:hint="eastAsia"/>
                <w:b/>
                <w:w w:val="95"/>
                <w:sz w:val="21"/>
              </w:rPr>
              <w:t>、严重帕金森病</w:t>
            </w:r>
          </w:p>
        </w:tc>
        <w:tc>
          <w:tcPr>
            <w:tcW w:w="7918" w:type="dxa"/>
          </w:tcPr>
          <w:p>
            <w:pPr>
              <w:pStyle w:val="TableParagraph"/>
              <w:spacing w:line="273" w:lineRule="auto" w:before="100"/>
              <w:ind w:right="302"/>
              <w:rPr>
                <w:sz w:val="21"/>
              </w:rPr>
            </w:pPr>
            <w:r>
              <w:rPr>
                <w:spacing w:val="-7"/>
                <w:sz w:val="21"/>
              </w:rPr>
              <w:t>指一种中枢神经系统的退行性疾病，临床表现为震颤麻痹、共济失调等。须满足下</w:t>
            </w:r>
            <w:r>
              <w:rPr>
                <w:spacing w:val="-5"/>
                <w:sz w:val="21"/>
              </w:rPr>
              <w:t>列全部条件：</w:t>
            </w:r>
          </w:p>
          <w:p>
            <w:pPr>
              <w:pStyle w:val="TableParagraph"/>
              <w:spacing w:before="7"/>
              <w:rPr>
                <w:sz w:val="21"/>
              </w:rPr>
            </w:pPr>
            <w:r>
              <w:rPr>
                <w:sz w:val="21"/>
              </w:rPr>
              <w:t>（1）药物治疗无法控制病情；</w:t>
            </w:r>
          </w:p>
          <w:p>
            <w:pPr>
              <w:pStyle w:val="TableParagraph"/>
              <w:spacing w:line="273" w:lineRule="auto" w:before="36"/>
              <w:ind w:right="306"/>
              <w:rPr>
                <w:sz w:val="21"/>
              </w:rPr>
            </w:pPr>
            <w:r>
              <w:rPr>
                <w:sz w:val="21"/>
              </w:rPr>
              <w:t>（2）自主生活能力完全丧失，无法独立完成六项基本日常生活活动中的三项或三项以上。</w:t>
            </w:r>
          </w:p>
          <w:p>
            <w:pPr>
              <w:pStyle w:val="TableParagraph"/>
              <w:spacing w:before="7"/>
              <w:rPr>
                <w:sz w:val="21"/>
              </w:rPr>
            </w:pPr>
            <w:r>
              <w:rPr>
                <w:sz w:val="21"/>
              </w:rPr>
              <w:t>继发性帕金森综合征不在保障范围内。</w:t>
            </w:r>
          </w:p>
        </w:tc>
      </w:tr>
      <w:tr>
        <w:trPr>
          <w:trHeight w:val="851" w:hRule="atLeast"/>
        </w:trPr>
        <w:tc>
          <w:tcPr>
            <w:tcW w:w="2017" w:type="dxa"/>
          </w:tcPr>
          <w:p>
            <w:pPr>
              <w:pStyle w:val="TableParagraph"/>
              <w:spacing w:line="199" w:lineRule="auto" w:before="82"/>
              <w:ind w:left="200" w:right="74"/>
              <w:rPr>
                <w:rFonts w:ascii="Microsoft JhengHei" w:eastAsia="Microsoft JhengHei" w:hint="eastAsia"/>
                <w:b/>
                <w:sz w:val="21"/>
              </w:rPr>
            </w:pPr>
            <w:r>
              <w:rPr>
                <w:rFonts w:ascii="微软雅黑" w:eastAsia="微软雅黑" w:hint="eastAsia"/>
                <w:b/>
                <w:sz w:val="21"/>
              </w:rPr>
              <w:t>20</w:t>
            </w:r>
            <w:r>
              <w:rPr>
                <w:rFonts w:ascii="Microsoft JhengHei" w:eastAsia="Microsoft JhengHei" w:hint="eastAsia"/>
                <w:b/>
                <w:sz w:val="21"/>
              </w:rPr>
              <w:t>、严重 </w:t>
            </w:r>
            <w:r>
              <w:rPr>
                <w:rFonts w:ascii="微软雅黑" w:eastAsia="微软雅黑" w:hint="eastAsia"/>
                <w:b/>
                <w:w w:val="130"/>
                <w:sz w:val="21"/>
              </w:rPr>
              <w:t>III </w:t>
            </w:r>
            <w:r>
              <w:rPr>
                <w:rFonts w:ascii="Microsoft JhengHei" w:eastAsia="Microsoft JhengHei" w:hint="eastAsia"/>
                <w:b/>
                <w:sz w:val="21"/>
              </w:rPr>
              <w:t>度烧伤</w:t>
            </w:r>
          </w:p>
        </w:tc>
        <w:tc>
          <w:tcPr>
            <w:tcW w:w="7918" w:type="dxa"/>
          </w:tcPr>
          <w:p>
            <w:pPr>
              <w:pStyle w:val="TableParagraph"/>
              <w:spacing w:line="273" w:lineRule="auto" w:before="99"/>
              <w:ind w:right="301"/>
              <w:rPr>
                <w:sz w:val="21"/>
              </w:rPr>
            </w:pPr>
            <w:r>
              <w:rPr>
                <w:spacing w:val="-8"/>
                <w:sz w:val="21"/>
              </w:rPr>
              <w:t>指烧伤程度为Ⅲ度，且Ⅲ度烧伤面积达到全身体表面积的</w:t>
            </w:r>
            <w:r>
              <w:rPr>
                <w:sz w:val="21"/>
              </w:rPr>
              <w:t>20％或20</w:t>
            </w:r>
            <w:r>
              <w:rPr>
                <w:spacing w:val="-9"/>
                <w:sz w:val="21"/>
              </w:rPr>
              <w:t>％以上。体表面</w:t>
            </w:r>
            <w:r>
              <w:rPr>
                <w:spacing w:val="-5"/>
                <w:sz w:val="21"/>
              </w:rPr>
              <w:t>积根据《中国新九分法》计算。</w:t>
            </w:r>
          </w:p>
        </w:tc>
      </w:tr>
      <w:tr>
        <w:trPr>
          <w:trHeight w:val="1162" w:hRule="atLeast"/>
        </w:trPr>
        <w:tc>
          <w:tcPr>
            <w:tcW w:w="2017" w:type="dxa"/>
          </w:tcPr>
          <w:p>
            <w:pPr>
              <w:pStyle w:val="TableParagraph"/>
              <w:spacing w:line="199" w:lineRule="auto" w:before="83"/>
              <w:ind w:left="200" w:right="130"/>
              <w:rPr>
                <w:rFonts w:ascii="Microsoft JhengHei" w:eastAsia="Microsoft JhengHei" w:hint="eastAsia"/>
                <w:b/>
                <w:sz w:val="21"/>
              </w:rPr>
            </w:pPr>
            <w:r>
              <w:rPr>
                <w:rFonts w:ascii="微软雅黑" w:eastAsia="微软雅黑" w:hint="eastAsia"/>
                <w:b/>
                <w:w w:val="95"/>
                <w:sz w:val="21"/>
              </w:rPr>
              <w:t>21</w:t>
            </w:r>
            <w:r>
              <w:rPr>
                <w:rFonts w:ascii="Microsoft JhengHei" w:eastAsia="Microsoft JhengHei" w:hint="eastAsia"/>
                <w:b/>
                <w:w w:val="95"/>
                <w:sz w:val="21"/>
              </w:rPr>
              <w:t>、严重原发性肺</w:t>
            </w:r>
            <w:r>
              <w:rPr>
                <w:rFonts w:ascii="Microsoft JhengHei" w:eastAsia="Microsoft JhengHei" w:hint="eastAsia"/>
                <w:b/>
                <w:sz w:val="21"/>
              </w:rPr>
              <w:t>动脉高压</w:t>
            </w:r>
          </w:p>
        </w:tc>
        <w:tc>
          <w:tcPr>
            <w:tcW w:w="7918" w:type="dxa"/>
          </w:tcPr>
          <w:p>
            <w:pPr>
              <w:pStyle w:val="TableParagraph"/>
              <w:spacing w:line="273" w:lineRule="auto" w:before="100"/>
              <w:ind w:right="198"/>
              <w:rPr>
                <w:sz w:val="21"/>
              </w:rPr>
            </w:pPr>
            <w:r>
              <w:rPr>
                <w:spacing w:val="-8"/>
                <w:sz w:val="21"/>
              </w:rPr>
              <w:t>指不明原因的肺动脉压力持续性增高，进行性发展而导致的慢性疾病，已经造成永</w:t>
            </w:r>
            <w:r>
              <w:rPr>
                <w:spacing w:val="-12"/>
                <w:sz w:val="21"/>
              </w:rPr>
              <w:t>久不可逆性的体力活动能力受限，达到美国纽约心脏病学会心功能状态分级 </w:t>
            </w:r>
            <w:r>
              <w:rPr>
                <w:sz w:val="21"/>
              </w:rPr>
              <w:t>IV</w:t>
            </w:r>
            <w:r>
              <w:rPr>
                <w:spacing w:val="-13"/>
                <w:sz w:val="21"/>
              </w:rPr>
              <w:t> 级， </w:t>
            </w:r>
            <w:r>
              <w:rPr>
                <w:spacing w:val="-9"/>
                <w:sz w:val="21"/>
              </w:rPr>
              <w:t>静息状态下肺动脉平均压超过 </w:t>
            </w:r>
            <w:r>
              <w:rPr>
                <w:sz w:val="21"/>
              </w:rPr>
              <w:t>30mmHg。</w:t>
            </w:r>
          </w:p>
        </w:tc>
      </w:tr>
      <w:tr>
        <w:trPr>
          <w:trHeight w:val="1162" w:hRule="atLeast"/>
        </w:trPr>
        <w:tc>
          <w:tcPr>
            <w:tcW w:w="2017" w:type="dxa"/>
          </w:tcPr>
          <w:p>
            <w:pPr>
              <w:pStyle w:val="TableParagraph"/>
              <w:spacing w:line="199" w:lineRule="auto" w:before="82"/>
              <w:ind w:left="200" w:right="130"/>
              <w:rPr>
                <w:rFonts w:ascii="Microsoft JhengHei" w:eastAsia="Microsoft JhengHei" w:hint="eastAsia"/>
                <w:b/>
                <w:sz w:val="21"/>
              </w:rPr>
            </w:pPr>
            <w:r>
              <w:rPr>
                <w:rFonts w:ascii="微软雅黑" w:eastAsia="微软雅黑" w:hint="eastAsia"/>
                <w:b/>
                <w:w w:val="95"/>
                <w:sz w:val="21"/>
              </w:rPr>
              <w:t>22</w:t>
            </w:r>
            <w:r>
              <w:rPr>
                <w:rFonts w:ascii="Microsoft JhengHei" w:eastAsia="Microsoft JhengHei" w:hint="eastAsia"/>
                <w:b/>
                <w:w w:val="95"/>
                <w:sz w:val="21"/>
              </w:rPr>
              <w:t>、严重运动神经</w:t>
            </w:r>
            <w:r>
              <w:rPr>
                <w:rFonts w:ascii="Microsoft JhengHei" w:eastAsia="Microsoft JhengHei" w:hint="eastAsia"/>
                <w:b/>
                <w:sz w:val="21"/>
              </w:rPr>
              <w:t>元病</w:t>
            </w:r>
          </w:p>
        </w:tc>
        <w:tc>
          <w:tcPr>
            <w:tcW w:w="7918" w:type="dxa"/>
          </w:tcPr>
          <w:p>
            <w:pPr>
              <w:pStyle w:val="TableParagraph"/>
              <w:spacing w:line="273" w:lineRule="auto" w:before="99"/>
              <w:ind w:right="301"/>
              <w:jc w:val="both"/>
              <w:rPr>
                <w:sz w:val="21"/>
              </w:rPr>
            </w:pPr>
            <w:r>
              <w:rPr>
                <w:spacing w:val="-7"/>
                <w:sz w:val="21"/>
              </w:rPr>
              <w:t>是一组中枢神经系统运动神经元的进行性变性疾病，包括进行性脊肌萎缩症、进行</w:t>
            </w:r>
            <w:r>
              <w:rPr>
                <w:spacing w:val="-11"/>
                <w:sz w:val="21"/>
              </w:rPr>
              <w:t>性延髓麻痹症、原发性侧索硬化症、肌萎缩性侧索硬化症。须满足自主生活能力完</w:t>
            </w:r>
            <w:r>
              <w:rPr>
                <w:spacing w:val="-6"/>
                <w:sz w:val="21"/>
              </w:rPr>
              <w:t>全丧失，无法独立完成六项基本日常生活活动中的三项或三项以上。</w:t>
            </w:r>
          </w:p>
        </w:tc>
      </w:tr>
      <w:tr>
        <w:trPr>
          <w:trHeight w:val="1788" w:hRule="atLeast"/>
        </w:trPr>
        <w:tc>
          <w:tcPr>
            <w:tcW w:w="2017" w:type="dxa"/>
          </w:tcPr>
          <w:p>
            <w:pPr>
              <w:pStyle w:val="TableParagraph"/>
              <w:spacing w:line="336" w:lineRule="exact" w:before="21"/>
              <w:ind w:left="200"/>
              <w:rPr>
                <w:rFonts w:ascii="Microsoft JhengHei" w:eastAsia="Microsoft JhengHei" w:hint="eastAsia"/>
                <w:b/>
                <w:sz w:val="21"/>
              </w:rPr>
            </w:pPr>
            <w:r>
              <w:rPr>
                <w:rFonts w:ascii="微软雅黑" w:eastAsia="微软雅黑" w:hint="eastAsia"/>
                <w:b/>
                <w:w w:val="95"/>
                <w:sz w:val="21"/>
              </w:rPr>
              <w:t>23</w:t>
            </w:r>
            <w:r>
              <w:rPr>
                <w:rFonts w:ascii="Microsoft JhengHei" w:eastAsia="Microsoft JhengHei" w:hint="eastAsia"/>
                <w:b/>
                <w:w w:val="95"/>
                <w:sz w:val="21"/>
              </w:rPr>
              <w:t>、语言能力丧失</w:t>
            </w:r>
          </w:p>
          <w:p>
            <w:pPr>
              <w:pStyle w:val="TableParagraph"/>
              <w:spacing w:line="335" w:lineRule="exact"/>
              <w:ind w:left="200"/>
              <w:rPr>
                <w:rFonts w:ascii="Microsoft JhengHei" w:eastAsia="Microsoft JhengHei" w:hint="eastAsia"/>
                <w:b/>
                <w:sz w:val="21"/>
              </w:rPr>
            </w:pPr>
            <w:r>
              <w:rPr>
                <w:rFonts w:ascii="Microsoft JhengHei" w:eastAsia="Microsoft JhengHei" w:hint="eastAsia"/>
                <w:b/>
                <w:sz w:val="21"/>
              </w:rPr>
              <w:t>－三岁始理赔</w:t>
            </w:r>
          </w:p>
        </w:tc>
        <w:tc>
          <w:tcPr>
            <w:tcW w:w="7918" w:type="dxa"/>
          </w:tcPr>
          <w:p>
            <w:pPr>
              <w:pStyle w:val="TableParagraph"/>
              <w:spacing w:line="273" w:lineRule="auto" w:before="100"/>
              <w:ind w:right="223"/>
              <w:rPr>
                <w:sz w:val="21"/>
              </w:rPr>
            </w:pPr>
            <w:r>
              <w:rPr>
                <w:sz w:val="21"/>
              </w:rPr>
              <w:t>指因疾病或意外伤害导致完全丧失语言能力，经过积极治疗至少12个月（声带完全切除不受此时间限制），仍无法通过现有医疗手段恢复。</w:t>
            </w:r>
          </w:p>
          <w:p>
            <w:pPr>
              <w:pStyle w:val="TableParagraph"/>
              <w:spacing w:before="7"/>
              <w:rPr>
                <w:sz w:val="21"/>
              </w:rPr>
            </w:pPr>
            <w:r>
              <w:rPr>
                <w:sz w:val="21"/>
              </w:rPr>
              <w:t>精神心理因素所致的语言能力丧失不在保障范围内。</w:t>
            </w:r>
          </w:p>
          <w:p>
            <w:pPr>
              <w:pStyle w:val="TableParagraph"/>
              <w:spacing w:line="273" w:lineRule="auto" w:before="36"/>
              <w:ind w:right="302"/>
              <w:rPr>
                <w:sz w:val="21"/>
              </w:rPr>
            </w:pPr>
            <w:r>
              <w:rPr>
                <w:spacing w:val="-8"/>
                <w:sz w:val="21"/>
              </w:rPr>
              <w:t>被保险人申请理赔时年龄必须在三周岁以上，并且提供理赔当时的语言能力丧失诊</w:t>
            </w:r>
            <w:r>
              <w:rPr>
                <w:spacing w:val="-5"/>
                <w:sz w:val="21"/>
              </w:rPr>
              <w:t>断及检查证据。</w:t>
            </w:r>
          </w:p>
        </w:tc>
      </w:tr>
      <w:tr>
        <w:trPr>
          <w:trHeight w:val="2411" w:hRule="atLeast"/>
        </w:trPr>
        <w:tc>
          <w:tcPr>
            <w:tcW w:w="2017" w:type="dxa"/>
          </w:tcPr>
          <w:p>
            <w:pPr>
              <w:pStyle w:val="TableParagraph"/>
              <w:spacing w:line="199" w:lineRule="auto" w:before="84"/>
              <w:ind w:left="200" w:right="130"/>
              <w:rPr>
                <w:rFonts w:ascii="Microsoft JhengHei" w:eastAsia="Microsoft JhengHei" w:hint="eastAsia"/>
                <w:b/>
                <w:sz w:val="21"/>
              </w:rPr>
            </w:pPr>
            <w:r>
              <w:rPr>
                <w:rFonts w:ascii="微软雅黑" w:eastAsia="微软雅黑" w:hint="eastAsia"/>
                <w:b/>
                <w:w w:val="95"/>
                <w:sz w:val="21"/>
              </w:rPr>
              <w:t>24</w:t>
            </w:r>
            <w:r>
              <w:rPr>
                <w:rFonts w:ascii="Microsoft JhengHei" w:eastAsia="Microsoft JhengHei" w:hint="eastAsia"/>
                <w:b/>
                <w:w w:val="95"/>
                <w:sz w:val="21"/>
              </w:rPr>
              <w:t>、重型再生障碍</w:t>
            </w:r>
            <w:r>
              <w:rPr>
                <w:rFonts w:ascii="Microsoft JhengHei" w:eastAsia="Microsoft JhengHei" w:hint="eastAsia"/>
                <w:b/>
                <w:sz w:val="21"/>
              </w:rPr>
              <w:t>性贫血</w:t>
            </w:r>
          </w:p>
        </w:tc>
        <w:tc>
          <w:tcPr>
            <w:tcW w:w="7918" w:type="dxa"/>
          </w:tcPr>
          <w:p>
            <w:pPr>
              <w:pStyle w:val="TableParagraph"/>
              <w:spacing w:line="273" w:lineRule="auto" w:before="100"/>
              <w:ind w:right="302"/>
              <w:rPr>
                <w:sz w:val="21"/>
              </w:rPr>
            </w:pPr>
            <w:r>
              <w:rPr>
                <w:spacing w:val="-7"/>
                <w:sz w:val="21"/>
              </w:rPr>
              <w:t>指因骨髓造血功能慢性持续性衰竭导致的贫血、中性粒细胞减少及血小板减少，须</w:t>
            </w:r>
            <w:r>
              <w:rPr>
                <w:spacing w:val="-5"/>
                <w:sz w:val="21"/>
              </w:rPr>
              <w:t>满足下列全部条件：</w:t>
            </w:r>
          </w:p>
          <w:p>
            <w:pPr>
              <w:pStyle w:val="TableParagraph"/>
              <w:spacing w:before="7"/>
              <w:rPr>
                <w:sz w:val="21"/>
              </w:rPr>
            </w:pPr>
            <w:r>
              <w:rPr>
                <w:sz w:val="21"/>
              </w:rPr>
              <w:t>（1）骨髓穿刺检查或骨髓活检结果支持诊断；</w:t>
            </w:r>
          </w:p>
          <w:p>
            <w:pPr>
              <w:pStyle w:val="TableParagraph"/>
              <w:spacing w:before="36"/>
              <w:rPr>
                <w:sz w:val="21"/>
              </w:rPr>
            </w:pPr>
            <w:r>
              <w:rPr>
                <w:sz w:val="21"/>
              </w:rPr>
              <w:t>（2）外周血象必须具备以下三项条件：</w:t>
            </w:r>
          </w:p>
          <w:p>
            <w:pPr>
              <w:pStyle w:val="TableParagraph"/>
              <w:spacing w:before="36"/>
              <w:ind w:left="552"/>
              <w:rPr>
                <w:sz w:val="21"/>
              </w:rPr>
            </w:pPr>
            <w:r>
              <w:rPr>
                <w:sz w:val="21"/>
              </w:rPr>
              <w:t>①中性粒细胞绝对值≤0.5×10</w:t>
            </w:r>
            <w:r>
              <w:rPr>
                <w:position w:val="11"/>
                <w:sz w:val="11"/>
              </w:rPr>
              <w:t>9</w:t>
            </w:r>
            <w:r>
              <w:rPr>
                <w:sz w:val="21"/>
              </w:rPr>
              <w:t>/L；</w:t>
            </w:r>
          </w:p>
          <w:p>
            <w:pPr>
              <w:pStyle w:val="TableParagraph"/>
              <w:spacing w:before="36"/>
              <w:ind w:left="552"/>
              <w:rPr>
                <w:sz w:val="21"/>
              </w:rPr>
            </w:pPr>
            <w:r>
              <w:rPr>
                <w:sz w:val="21"/>
              </w:rPr>
              <w:t>②网织红细胞＜1%；</w:t>
            </w:r>
          </w:p>
          <w:p>
            <w:pPr>
              <w:pStyle w:val="TableParagraph"/>
              <w:spacing w:before="36"/>
              <w:ind w:left="552"/>
              <w:rPr>
                <w:sz w:val="21"/>
              </w:rPr>
            </w:pPr>
            <w:r>
              <w:rPr>
                <w:sz w:val="21"/>
              </w:rPr>
              <w:t>③血小板绝对值≤20×10</w:t>
            </w:r>
            <w:r>
              <w:rPr>
                <w:position w:val="11"/>
                <w:sz w:val="11"/>
              </w:rPr>
              <w:t>9</w:t>
            </w:r>
            <w:r>
              <w:rPr>
                <w:sz w:val="21"/>
              </w:rPr>
              <w:t>/L。</w:t>
            </w:r>
          </w:p>
        </w:tc>
      </w:tr>
      <w:tr>
        <w:trPr>
          <w:trHeight w:val="1475" w:hRule="atLeast"/>
        </w:trPr>
        <w:tc>
          <w:tcPr>
            <w:tcW w:w="2017" w:type="dxa"/>
          </w:tcPr>
          <w:p>
            <w:pPr>
              <w:pStyle w:val="TableParagraph"/>
              <w:spacing w:before="20"/>
              <w:ind w:left="200"/>
              <w:rPr>
                <w:rFonts w:ascii="Microsoft JhengHei" w:eastAsia="Microsoft JhengHei" w:hint="eastAsia"/>
                <w:b/>
                <w:sz w:val="21"/>
              </w:rPr>
            </w:pPr>
            <w:r>
              <w:rPr>
                <w:rFonts w:ascii="微软雅黑" w:eastAsia="微软雅黑" w:hint="eastAsia"/>
                <w:b/>
                <w:w w:val="95"/>
                <w:sz w:val="21"/>
              </w:rPr>
              <w:t>25</w:t>
            </w:r>
            <w:r>
              <w:rPr>
                <w:rFonts w:ascii="Microsoft JhengHei" w:eastAsia="Microsoft JhengHei" w:hint="eastAsia"/>
                <w:b/>
                <w:w w:val="95"/>
                <w:sz w:val="21"/>
              </w:rPr>
              <w:t>、主动脉手术</w:t>
            </w:r>
          </w:p>
        </w:tc>
        <w:tc>
          <w:tcPr>
            <w:tcW w:w="7918" w:type="dxa"/>
          </w:tcPr>
          <w:p>
            <w:pPr>
              <w:pStyle w:val="TableParagraph"/>
              <w:spacing w:line="273" w:lineRule="auto" w:before="99"/>
              <w:ind w:right="302"/>
              <w:jc w:val="both"/>
              <w:rPr>
                <w:sz w:val="21"/>
              </w:rPr>
            </w:pPr>
            <w:r>
              <w:rPr>
                <w:spacing w:val="-8"/>
                <w:sz w:val="21"/>
              </w:rPr>
              <w:t>指为治疗主动脉疾病，实际实施了开胸或开腹进行的切除、置换、修补病损主动脉</w:t>
            </w:r>
            <w:r>
              <w:rPr>
                <w:spacing w:val="-12"/>
                <w:sz w:val="21"/>
              </w:rPr>
              <w:t>血管的手术。主动脉指胸主动脉和腹主动脉，不包括胸主动脉和腹主动脉的分支血管。</w:t>
            </w:r>
          </w:p>
          <w:p>
            <w:pPr>
              <w:pStyle w:val="TableParagraph"/>
              <w:spacing w:before="7"/>
              <w:jc w:val="both"/>
              <w:rPr>
                <w:sz w:val="21"/>
              </w:rPr>
            </w:pPr>
            <w:r>
              <w:rPr>
                <w:sz w:val="21"/>
              </w:rPr>
              <w:t>动脉内血管成形术不在保障范围内。</w:t>
            </w:r>
          </w:p>
        </w:tc>
      </w:tr>
      <w:tr>
        <w:trPr>
          <w:trHeight w:val="1005" w:hRule="atLeast"/>
        </w:trPr>
        <w:tc>
          <w:tcPr>
            <w:tcW w:w="2017" w:type="dxa"/>
          </w:tcPr>
          <w:p>
            <w:pPr>
              <w:pStyle w:val="TableParagraph"/>
              <w:spacing w:line="199" w:lineRule="auto" w:before="84"/>
              <w:ind w:left="200" w:right="130"/>
              <w:rPr>
                <w:rFonts w:ascii="Microsoft JhengHei" w:eastAsia="Microsoft JhengHei" w:hint="eastAsia"/>
                <w:b/>
                <w:sz w:val="21"/>
              </w:rPr>
            </w:pPr>
            <w:r>
              <w:rPr>
                <w:rFonts w:ascii="微软雅黑" w:eastAsia="微软雅黑" w:hint="eastAsia"/>
                <w:b/>
                <w:w w:val="95"/>
                <w:sz w:val="21"/>
              </w:rPr>
              <w:t>26</w:t>
            </w:r>
            <w:r>
              <w:rPr>
                <w:rFonts w:ascii="Microsoft JhengHei" w:eastAsia="Microsoft JhengHei" w:hint="eastAsia"/>
                <w:b/>
                <w:w w:val="95"/>
                <w:sz w:val="21"/>
              </w:rPr>
              <w:t>、慢性呼吸功能</w:t>
            </w:r>
            <w:r>
              <w:rPr>
                <w:rFonts w:ascii="Microsoft JhengHei" w:eastAsia="Microsoft JhengHei" w:hint="eastAsia"/>
                <w:b/>
                <w:sz w:val="21"/>
              </w:rPr>
              <w:t>衰竭</w:t>
            </w:r>
          </w:p>
        </w:tc>
        <w:tc>
          <w:tcPr>
            <w:tcW w:w="7918" w:type="dxa"/>
          </w:tcPr>
          <w:p>
            <w:pPr>
              <w:pStyle w:val="TableParagraph"/>
              <w:spacing w:line="273" w:lineRule="auto" w:before="100"/>
              <w:ind w:right="301"/>
              <w:rPr>
                <w:sz w:val="21"/>
              </w:rPr>
            </w:pPr>
            <w:r>
              <w:rPr>
                <w:spacing w:val="-7"/>
                <w:sz w:val="21"/>
              </w:rPr>
              <w:t>慢性肺部疾病导致永久不可逆性的慢性呼吸功能衰竭。慢性呼吸功能衰竭必须明确</w:t>
            </w:r>
            <w:r>
              <w:rPr>
                <w:spacing w:val="-5"/>
                <w:sz w:val="21"/>
              </w:rPr>
              <w:t>诊断并满足下列全部条件：</w:t>
            </w:r>
          </w:p>
          <w:p>
            <w:pPr>
              <w:pStyle w:val="TableParagraph"/>
              <w:spacing w:line="261" w:lineRule="exact" w:before="7"/>
              <w:rPr>
                <w:sz w:val="21"/>
              </w:rPr>
            </w:pPr>
            <w:r>
              <w:rPr>
                <w:sz w:val="21"/>
              </w:rPr>
              <w:t>（1）休息时出现呼吸困难；</w:t>
            </w:r>
          </w:p>
        </w:tc>
      </w:tr>
    </w:tbl>
    <w:p>
      <w:pPr>
        <w:spacing w:after="0" w:line="261" w:lineRule="exact"/>
        <w:rPr>
          <w:sz w:val="21"/>
        </w:rPr>
        <w:sectPr>
          <w:pgSz w:w="11910" w:h="16840"/>
          <w:pgMar w:top="1400" w:bottom="280" w:left="1380" w:right="360"/>
        </w:sectPr>
      </w:pPr>
    </w:p>
    <w:p>
      <w:pPr>
        <w:pStyle w:val="BodyText"/>
        <w:spacing w:before="9"/>
        <w:ind w:left="2061"/>
      </w:pPr>
      <w:r>
        <w:rPr>
          <w:position w:val="1"/>
        </w:rPr>
        <w:t>（2）动脉血氧分压 （PaO</w:t>
      </w:r>
      <w:r>
        <w:rPr>
          <w:sz w:val="11"/>
        </w:rPr>
        <w:t>2</w:t>
      </w:r>
      <w:r>
        <w:rPr>
          <w:position w:val="1"/>
        </w:rPr>
        <w:t>）&lt; 50mmHg；</w:t>
      </w:r>
    </w:p>
    <w:p>
      <w:pPr>
        <w:pStyle w:val="BodyText"/>
        <w:ind w:left="2061"/>
      </w:pPr>
      <w:r>
        <w:rPr>
          <w:position w:val="1"/>
        </w:rPr>
        <w:t>（3）动脉血氧饱和度 （SaO</w:t>
      </w:r>
      <w:r>
        <w:rPr>
          <w:sz w:val="11"/>
        </w:rPr>
        <w:t>2</w:t>
      </w:r>
      <w:r>
        <w:rPr>
          <w:position w:val="1"/>
        </w:rPr>
        <w:t>）&lt; 80％；</w:t>
      </w:r>
    </w:p>
    <w:p>
      <w:pPr>
        <w:pStyle w:val="BodyText"/>
        <w:ind w:left="2061"/>
      </w:pPr>
      <w:r>
        <w:rPr/>
        <w:t>（4）因缺氧必须接受持续的输氧治疗。</w:t>
      </w:r>
    </w:p>
    <w:p>
      <w:pPr>
        <w:pStyle w:val="BodyText"/>
        <w:spacing w:before="7"/>
        <w:ind w:left="0"/>
        <w:rPr>
          <w:sz w:val="16"/>
        </w:rPr>
      </w:pPr>
    </w:p>
    <w:p>
      <w:pPr>
        <w:spacing w:after="0"/>
        <w:rPr>
          <w:sz w:val="16"/>
        </w:rPr>
        <w:sectPr>
          <w:pgSz w:w="11910" w:h="16840"/>
          <w:pgMar w:top="1320" w:bottom="280" w:left="1580" w:right="560"/>
        </w:sectPr>
      </w:pPr>
    </w:p>
    <w:p>
      <w:pPr>
        <w:pStyle w:val="Heading2"/>
        <w:spacing w:line="199" w:lineRule="auto" w:before="32"/>
        <w:ind w:left="112"/>
        <w:rPr>
          <w:rFonts w:ascii="Microsoft JhengHei" w:eastAsia="Microsoft JhengHei" w:hint="eastAsia"/>
        </w:rPr>
      </w:pPr>
      <w:r>
        <w:rPr>
          <w:w w:val="95"/>
        </w:rPr>
        <w:t>27</w:t>
      </w:r>
      <w:r>
        <w:rPr>
          <w:rFonts w:ascii="Microsoft JhengHei" w:eastAsia="Microsoft JhengHei" w:hint="eastAsia"/>
          <w:w w:val="95"/>
        </w:rPr>
        <w:t>、严重多发性硬</w:t>
      </w:r>
      <w:r>
        <w:rPr>
          <w:rFonts w:ascii="Microsoft JhengHei" w:eastAsia="Microsoft JhengHei" w:hint="eastAsia"/>
        </w:rPr>
        <w:t>化</w:t>
      </w:r>
    </w:p>
    <w:p>
      <w:pPr>
        <w:pStyle w:val="BodyText"/>
        <w:spacing w:line="273" w:lineRule="auto" w:before="48"/>
        <w:ind w:left="112" w:right="221"/>
        <w:jc w:val="both"/>
      </w:pPr>
      <w:r>
        <w:rPr/>
        <w:br w:type="column"/>
      </w:r>
      <w:r>
        <w:rPr>
          <w:spacing w:val="-7"/>
        </w:rPr>
        <w:t>多发性硬化为中枢神经系统白质多灶性脱髓鞘病变，病变有时累及灰质。多发性硬</w:t>
      </w:r>
      <w:r>
        <w:rPr>
          <w:spacing w:val="-11"/>
        </w:rPr>
        <w:t>化必须明确诊断，并且已经造成永久不可逆的神经系统功能损害。永久不可逆的神</w:t>
      </w:r>
      <w:r>
        <w:rPr>
          <w:spacing w:val="-9"/>
        </w:rPr>
        <w:t>经系统损害指被保险人持续 </w:t>
      </w:r>
      <w:r>
        <w:rPr/>
        <w:t>180</w:t>
      </w:r>
      <w:r>
        <w:rPr>
          <w:spacing w:val="-8"/>
        </w:rPr>
        <w:t> 天无法独立完成下列基本日常生活活动：</w:t>
      </w:r>
    </w:p>
    <w:p>
      <w:pPr>
        <w:pStyle w:val="BodyText"/>
        <w:spacing w:before="7"/>
        <w:ind w:left="112"/>
        <w:jc w:val="both"/>
      </w:pPr>
      <w:r>
        <w:rPr/>
        <w:t>（1）移动：自己从一个房间到另一个房间；或者</w:t>
      </w:r>
    </w:p>
    <w:p>
      <w:pPr>
        <w:pStyle w:val="BodyText"/>
        <w:spacing w:before="36"/>
        <w:ind w:left="112"/>
        <w:jc w:val="both"/>
      </w:pPr>
      <w:r>
        <w:rPr/>
        <w:t>（2）进食：自己从已准备好的碗或碟中取食物放入口中。</w:t>
      </w:r>
    </w:p>
    <w:p>
      <w:pPr>
        <w:spacing w:after="0"/>
        <w:jc w:val="both"/>
        <w:sectPr>
          <w:type w:val="continuous"/>
          <w:pgSz w:w="11910" w:h="16840"/>
          <w:pgMar w:top="220" w:bottom="280" w:left="1580" w:right="560"/>
          <w:cols w:num="2" w:equalWidth="0">
            <w:col w:w="1798" w:space="151"/>
            <w:col w:w="7821"/>
          </w:cols>
        </w:sectPr>
      </w:pPr>
    </w:p>
    <w:p>
      <w:pPr>
        <w:pStyle w:val="BodyText"/>
        <w:spacing w:before="4"/>
        <w:ind w:left="0"/>
        <w:rPr>
          <w:sz w:val="16"/>
        </w:rPr>
      </w:pPr>
    </w:p>
    <w:p>
      <w:pPr>
        <w:tabs>
          <w:tab w:pos="2061" w:val="left" w:leader="none"/>
        </w:tabs>
        <w:spacing w:line="339" w:lineRule="exact" w:before="0"/>
        <w:ind w:left="112" w:right="0" w:firstLine="0"/>
        <w:jc w:val="left"/>
        <w:rPr>
          <w:sz w:val="21"/>
        </w:rPr>
      </w:pPr>
      <w:r>
        <w:rPr>
          <w:rFonts w:ascii="微软雅黑" w:eastAsia="微软雅黑" w:hint="eastAsia"/>
          <w:b/>
          <w:position w:val="1"/>
          <w:sz w:val="21"/>
        </w:rPr>
        <w:t>28</w:t>
      </w:r>
      <w:r>
        <w:rPr>
          <w:rFonts w:ascii="Microsoft JhengHei" w:eastAsia="Microsoft JhengHei" w:hint="eastAsia"/>
          <w:b/>
          <w:position w:val="1"/>
          <w:sz w:val="21"/>
        </w:rPr>
        <w:t>、重症ft无力</w:t>
        <w:tab/>
      </w:r>
      <w:r>
        <w:rPr>
          <w:sz w:val="21"/>
        </w:rPr>
        <w:t>重症肌无力是</w:t>
      </w:r>
      <w:r>
        <w:rPr>
          <w:spacing w:val="2"/>
          <w:sz w:val="21"/>
        </w:rPr>
        <w:t>一</w:t>
      </w:r>
      <w:r>
        <w:rPr>
          <w:sz w:val="21"/>
        </w:rPr>
        <w:t>种神经肌肉接头传递障</w:t>
      </w:r>
      <w:r>
        <w:rPr>
          <w:spacing w:val="2"/>
          <w:sz w:val="21"/>
        </w:rPr>
        <w:t>碍</w:t>
      </w:r>
      <w:r>
        <w:rPr>
          <w:sz w:val="21"/>
        </w:rPr>
        <w:t>所致的疾病，表现为局</w:t>
      </w:r>
      <w:r>
        <w:rPr>
          <w:spacing w:val="2"/>
          <w:sz w:val="21"/>
        </w:rPr>
        <w:t>部</w:t>
      </w:r>
      <w:r>
        <w:rPr>
          <w:sz w:val="21"/>
        </w:rPr>
        <w:t>或全身骨骼肌</w:t>
      </w:r>
    </w:p>
    <w:p>
      <w:pPr>
        <w:pStyle w:val="BodyText"/>
        <w:spacing w:line="273" w:lineRule="auto" w:before="21"/>
        <w:ind w:left="2061" w:right="221"/>
      </w:pPr>
      <w:r>
        <w:rPr/>
        <w:t>（</w:t>
      </w:r>
      <w:r>
        <w:rPr>
          <w:spacing w:val="-3"/>
        </w:rPr>
        <w:t>特别是眼外肌</w:t>
      </w:r>
      <w:r>
        <w:rPr>
          <w:spacing w:val="-32"/>
        </w:rPr>
        <w:t>）</w:t>
      </w:r>
      <w:r>
        <w:rPr>
          <w:spacing w:val="-9"/>
        </w:rPr>
        <w:t>极易疲劳。疾病可以累及呼吸肌、上肢或下肢的近端肌群或全身</w:t>
      </w:r>
      <w:r>
        <w:rPr>
          <w:spacing w:val="-5"/>
        </w:rPr>
        <w:t>肌肉，必须满足下列全部条件：</w:t>
      </w:r>
    </w:p>
    <w:p>
      <w:pPr>
        <w:pStyle w:val="BodyText"/>
        <w:spacing w:before="7"/>
        <w:ind w:left="2061"/>
      </w:pPr>
      <w:r>
        <w:rPr/>
        <w:t>（1）经药物治疗和胸腺切除治疗一年以上仍无法控制病情；</w:t>
      </w:r>
    </w:p>
    <w:p>
      <w:pPr>
        <w:pStyle w:val="BodyText"/>
        <w:spacing w:line="273" w:lineRule="auto"/>
        <w:ind w:left="2061" w:right="225"/>
      </w:pPr>
      <w:r>
        <w:rPr/>
        <w:t>（2）自主生活能力完全丧失，无法独立完成六项基本日常生活活动中的三项或三项以上。</w:t>
      </w:r>
    </w:p>
    <w:p>
      <w:pPr>
        <w:pStyle w:val="BodyText"/>
        <w:spacing w:line="268" w:lineRule="auto" w:before="158"/>
        <w:ind w:left="2061" w:right="220" w:hanging="1949"/>
        <w:jc w:val="both"/>
      </w:pPr>
      <w:r>
        <w:rPr>
          <w:rFonts w:ascii="微软雅黑" w:eastAsia="微软雅黑" w:hint="eastAsia"/>
          <w:b/>
          <w:position w:val="1"/>
        </w:rPr>
        <w:t>29</w:t>
      </w:r>
      <w:r>
        <w:rPr>
          <w:rFonts w:ascii="Microsoft JhengHei" w:eastAsia="Microsoft JhengHei" w:hint="eastAsia"/>
          <w:b/>
          <w:spacing w:val="-1"/>
          <w:position w:val="1"/>
        </w:rPr>
        <w:t>、严重心</w:t>
      </w:r>
      <w:r>
        <w:rPr>
          <w:rFonts w:ascii="Microsoft JhengHei" w:eastAsia="Microsoft JhengHei" w:hint="eastAsia"/>
          <w:b/>
          <w:position w:val="1"/>
        </w:rPr>
        <w:t>ft</w:t>
      </w:r>
      <w:r>
        <w:rPr>
          <w:rFonts w:ascii="Microsoft JhengHei" w:eastAsia="Microsoft JhengHei" w:hint="eastAsia"/>
          <w:b/>
          <w:spacing w:val="6"/>
          <w:position w:val="1"/>
        </w:rPr>
        <w:t>病      </w:t>
      </w:r>
      <w:r>
        <w:rPr>
          <w:spacing w:val="-8"/>
        </w:rPr>
        <w:t>指不明原因引起的一类心肌病变，包括原发性扩张型心肌病、原发性肥厚型心肌病</w:t>
      </w:r>
      <w:r>
        <w:rPr>
          <w:spacing w:val="-10"/>
        </w:rPr>
        <w:t>及原发性限制型心肌病三种，本病须经专科医生明确诊断，且病变必须已造成事实上心室功能障碍而出现明显的心功能衰竭</w:t>
      </w:r>
      <w:r>
        <w:rPr/>
        <w:t>（</w:t>
      </w:r>
      <w:r>
        <w:rPr>
          <w:spacing w:val="-3"/>
        </w:rPr>
        <w:t>指按照美国纽约心脏协会心功能分类标</w:t>
      </w:r>
      <w:r>
        <w:rPr>
          <w:spacing w:val="-3"/>
          <w:w w:val="100"/>
        </w:rPr>
        <w:t>准心功能达四级</w:t>
      </w:r>
      <w:r>
        <w:rPr>
          <w:w w:val="100"/>
        </w:rPr>
        <w:t>*</w:t>
      </w:r>
      <w:r>
        <w:rPr>
          <w:spacing w:val="-106"/>
          <w:w w:val="100"/>
        </w:rPr>
        <w:t>）</w:t>
      </w:r>
      <w:r>
        <w:rPr>
          <w:spacing w:val="-11"/>
          <w:w w:val="100"/>
        </w:rPr>
        <w:t>，且有相关住院医疗记录及检查显示四级心功能衰竭状态持续至</w:t>
      </w:r>
      <w:r>
        <w:rPr>
          <w:spacing w:val="-23"/>
        </w:rPr>
        <w:t>少 </w:t>
      </w:r>
      <w:r>
        <w:rPr/>
        <w:t>180</w:t>
      </w:r>
      <w:r>
        <w:rPr>
          <w:spacing w:val="-14"/>
        </w:rPr>
        <w:t> 天。继发于全身性疾病或其它器官系统疾病以及由于酒精和药物滥用造成的</w:t>
      </w:r>
      <w:r>
        <w:rPr>
          <w:spacing w:val="-7"/>
        </w:rPr>
        <w:t>心肌病变不在保障范围内。</w:t>
      </w:r>
    </w:p>
    <w:p>
      <w:pPr>
        <w:pStyle w:val="BodyText"/>
        <w:spacing w:before="5"/>
        <w:ind w:left="0"/>
        <w:rPr>
          <w:sz w:val="14"/>
        </w:rPr>
      </w:pPr>
    </w:p>
    <w:p>
      <w:pPr>
        <w:spacing w:after="0"/>
        <w:rPr>
          <w:sz w:val="14"/>
        </w:rPr>
        <w:sectPr>
          <w:type w:val="continuous"/>
          <w:pgSz w:w="11910" w:h="16840"/>
          <w:pgMar w:top="220" w:bottom="280" w:left="1580" w:right="560"/>
        </w:sectPr>
      </w:pPr>
    </w:p>
    <w:p>
      <w:pPr>
        <w:pStyle w:val="Heading2"/>
        <w:spacing w:line="199" w:lineRule="auto" w:before="32"/>
        <w:ind w:left="112"/>
        <w:rPr>
          <w:rFonts w:ascii="Microsoft JhengHei" w:eastAsia="Microsoft JhengHei" w:hint="eastAsia"/>
        </w:rPr>
      </w:pPr>
      <w:r>
        <w:rPr>
          <w:w w:val="95"/>
        </w:rPr>
        <w:t>30</w:t>
      </w:r>
      <w:r>
        <w:rPr>
          <w:rFonts w:ascii="Microsoft JhengHei" w:eastAsia="Microsoft JhengHei" w:hint="eastAsia"/>
          <w:w w:val="95"/>
        </w:rPr>
        <w:t>、严重类风湿性</w:t>
      </w:r>
      <w:r>
        <w:rPr>
          <w:rFonts w:ascii="Microsoft JhengHei" w:eastAsia="Microsoft JhengHei" w:hint="eastAsia"/>
        </w:rPr>
        <w:t>关节炎</w:t>
      </w:r>
    </w:p>
    <w:p>
      <w:pPr>
        <w:pStyle w:val="BodyText"/>
        <w:spacing w:before="49"/>
        <w:ind w:left="112"/>
      </w:pPr>
      <w:r>
        <w:rPr/>
        <w:br w:type="column"/>
      </w:r>
      <w:r>
        <w:rPr/>
        <w:t>指类风湿性关节炎患者必须符合以下三项标准:</w:t>
      </w:r>
    </w:p>
    <w:p>
      <w:pPr>
        <w:pStyle w:val="BodyText"/>
        <w:spacing w:line="273" w:lineRule="auto"/>
        <w:ind w:left="112" w:right="115"/>
      </w:pPr>
      <w:r>
        <w:rPr>
          <w:w w:val="100"/>
        </w:rPr>
        <w:t>（1</w:t>
      </w:r>
      <w:r>
        <w:rPr>
          <w:spacing w:val="-97"/>
          <w:w w:val="100"/>
        </w:rPr>
        <w:t>）</w:t>
      </w:r>
      <w:r>
        <w:rPr>
          <w:spacing w:val="-7"/>
          <w:w w:val="100"/>
        </w:rPr>
        <w:t>至少包括下列关节中的三组或以上有广泛受损和畸形改变:手指关节、腕关节、</w:t>
      </w:r>
      <w:r>
        <w:rPr>
          <w:spacing w:val="-5"/>
        </w:rPr>
        <w:t>肘关节、膝关节、髋关节、踝关节、脊椎或脚趾关节；</w:t>
      </w:r>
    </w:p>
    <w:p>
      <w:pPr>
        <w:pStyle w:val="BodyText"/>
        <w:spacing w:line="273" w:lineRule="auto" w:before="7"/>
        <w:ind w:left="112" w:right="220"/>
      </w:pPr>
      <w:r>
        <w:rPr/>
        <w:t>（2）</w:t>
      </w:r>
      <w:r>
        <w:rPr>
          <w:spacing w:val="-6"/>
        </w:rPr>
        <w:t>手和腕的后前位 </w:t>
      </w:r>
      <w:r>
        <w:rPr/>
        <w:t>X</w:t>
      </w:r>
      <w:r>
        <w:rPr>
          <w:spacing w:val="-7"/>
        </w:rPr>
        <w:t> 线拍片检查可见类风湿性关节炎的典型变化，包括骨质侵</w:t>
      </w:r>
      <w:r>
        <w:rPr>
          <w:spacing w:val="-5"/>
        </w:rPr>
        <w:t>蚀或钙流失，位于受累关节及其邻近部位尤其明显；</w:t>
      </w:r>
    </w:p>
    <w:p>
      <w:pPr>
        <w:pStyle w:val="BodyText"/>
        <w:spacing w:before="7"/>
        <w:ind w:left="112"/>
      </w:pPr>
      <w:r>
        <w:rPr/>
        <w:t>（3）关节的畸形改变至少持续 6 个月。</w:t>
      </w:r>
    </w:p>
    <w:p>
      <w:pPr>
        <w:pStyle w:val="BodyText"/>
        <w:ind w:left="112"/>
      </w:pPr>
      <w:r>
        <w:rPr/>
        <w:t>必须经专科医生明确诊断，且首次已接受膝关节或髋关节置换手术。</w:t>
      </w:r>
    </w:p>
    <w:p>
      <w:pPr>
        <w:spacing w:after="0"/>
        <w:sectPr>
          <w:type w:val="continuous"/>
          <w:pgSz w:w="11910" w:h="16840"/>
          <w:pgMar w:top="220" w:bottom="280" w:left="1580" w:right="560"/>
          <w:cols w:num="2" w:equalWidth="0">
            <w:col w:w="1798" w:space="151"/>
            <w:col w:w="7821"/>
          </w:cols>
        </w:sectPr>
      </w:pPr>
    </w:p>
    <w:p>
      <w:pPr>
        <w:pStyle w:val="BodyText"/>
        <w:spacing w:before="7"/>
        <w:ind w:left="0"/>
        <w:rPr>
          <w:sz w:val="16"/>
        </w:rPr>
      </w:pPr>
    </w:p>
    <w:p>
      <w:pPr>
        <w:spacing w:after="0"/>
        <w:rPr>
          <w:sz w:val="16"/>
        </w:rPr>
        <w:sectPr>
          <w:type w:val="continuous"/>
          <w:pgSz w:w="11910" w:h="16840"/>
          <w:pgMar w:top="220" w:bottom="280" w:left="1580" w:right="560"/>
        </w:sectPr>
      </w:pPr>
    </w:p>
    <w:p>
      <w:pPr>
        <w:pStyle w:val="Heading2"/>
        <w:spacing w:line="201" w:lineRule="auto" w:before="28"/>
        <w:ind w:left="112"/>
        <w:jc w:val="both"/>
        <w:rPr>
          <w:rFonts w:ascii="Microsoft JhengHei" w:eastAsia="Microsoft JhengHei" w:hint="eastAsia"/>
        </w:rPr>
      </w:pPr>
      <w:r>
        <w:rPr>
          <w:w w:val="95"/>
        </w:rPr>
        <w:t>31</w:t>
      </w:r>
      <w:r>
        <w:rPr>
          <w:rFonts w:ascii="Microsoft JhengHei" w:eastAsia="Microsoft JhengHei" w:hint="eastAsia"/>
          <w:w w:val="95"/>
        </w:rPr>
        <w:t>、系统性红斑狼</w:t>
      </w:r>
      <w:r>
        <w:rPr>
          <w:rFonts w:ascii="Microsoft JhengHei" w:eastAsia="Microsoft JhengHei" w:hint="eastAsia"/>
        </w:rPr>
        <w:t>疮</w:t>
      </w:r>
      <w:r>
        <w:rPr>
          <w:rFonts w:ascii="Microsoft JhengHei" w:eastAsia="Microsoft JhengHei" w:hint="eastAsia"/>
          <w:w w:val="120"/>
        </w:rPr>
        <w:t>－</w:t>
      </w:r>
      <w:r>
        <w:rPr>
          <w:w w:val="120"/>
        </w:rPr>
        <w:t>III </w:t>
      </w:r>
      <w:r>
        <w:rPr>
          <w:rFonts w:ascii="Microsoft JhengHei" w:eastAsia="Microsoft JhengHei" w:hint="eastAsia"/>
        </w:rPr>
        <w:t>型或以上狼疮性肾炎</w:t>
      </w:r>
    </w:p>
    <w:p>
      <w:pPr>
        <w:pStyle w:val="BodyText"/>
        <w:spacing w:line="273" w:lineRule="auto" w:before="48"/>
        <w:ind w:left="112" w:right="137"/>
      </w:pPr>
      <w:r>
        <w:rPr/>
        <w:br w:type="column"/>
      </w:r>
      <w:r>
        <w:rPr>
          <w:spacing w:val="-3"/>
        </w:rPr>
        <w:t>狼疮性肾炎是系统性红斑狼疮的一种并发症。系统性红斑狼疮是由多种因素引起， </w:t>
      </w:r>
      <w:r>
        <w:rPr>
          <w:spacing w:val="-8"/>
        </w:rPr>
        <w:t>累及多系统的自身免疫性疾病，其特点是生成自身抗体对抗多种自身抗原。狼疮性</w:t>
      </w:r>
      <w:r>
        <w:rPr>
          <w:spacing w:val="-3"/>
        </w:rPr>
        <w:t>肾炎是指系统性红斑狼疮患者并发狼疮性肾炎而影响和损害肾脏功能。</w:t>
      </w:r>
    </w:p>
    <w:p>
      <w:pPr>
        <w:pStyle w:val="BodyText"/>
        <w:spacing w:before="7"/>
        <w:ind w:left="112"/>
      </w:pPr>
      <w:r>
        <w:rPr/>
        <w:t>世界卫生组织（WHO）狼疮性肾炎分型：</w:t>
      </w:r>
    </w:p>
    <w:p>
      <w:pPr>
        <w:pStyle w:val="BodyText"/>
        <w:spacing w:before="8"/>
        <w:ind w:left="0"/>
        <w:rPr>
          <w:sz w:val="20"/>
        </w:rPr>
      </w:pPr>
    </w:p>
    <w:tbl>
      <w:tblPr>
        <w:tblW w:w="0" w:type="auto"/>
        <w:jc w:val="left"/>
        <w:tblInd w:w="5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00"/>
        <w:gridCol w:w="3656"/>
      </w:tblGrid>
      <w:tr>
        <w:trPr>
          <w:trHeight w:val="313" w:hRule="atLeast"/>
        </w:trPr>
        <w:tc>
          <w:tcPr>
            <w:tcW w:w="2900" w:type="dxa"/>
          </w:tcPr>
          <w:p>
            <w:pPr>
              <w:pStyle w:val="TableParagraph"/>
              <w:spacing w:line="264" w:lineRule="exact"/>
              <w:ind w:left="107"/>
              <w:rPr>
                <w:sz w:val="21"/>
              </w:rPr>
            </w:pPr>
            <w:r>
              <w:rPr>
                <w:sz w:val="21"/>
              </w:rPr>
              <w:t>I 型（微小病变型）</w:t>
            </w:r>
          </w:p>
        </w:tc>
        <w:tc>
          <w:tcPr>
            <w:tcW w:w="3656" w:type="dxa"/>
          </w:tcPr>
          <w:p>
            <w:pPr>
              <w:pStyle w:val="TableParagraph"/>
              <w:spacing w:line="264" w:lineRule="exact"/>
              <w:ind w:left="107"/>
              <w:rPr>
                <w:sz w:val="21"/>
              </w:rPr>
            </w:pPr>
            <w:r>
              <w:rPr>
                <w:sz w:val="21"/>
              </w:rPr>
              <w:t>镜下阴性，尿液正常</w:t>
            </w:r>
          </w:p>
        </w:tc>
      </w:tr>
      <w:tr>
        <w:trPr>
          <w:trHeight w:val="311" w:hRule="atLeast"/>
        </w:trPr>
        <w:tc>
          <w:tcPr>
            <w:tcW w:w="2900" w:type="dxa"/>
          </w:tcPr>
          <w:p>
            <w:pPr>
              <w:pStyle w:val="TableParagraph"/>
              <w:spacing w:line="262" w:lineRule="exact"/>
              <w:ind w:left="107"/>
              <w:rPr>
                <w:sz w:val="21"/>
              </w:rPr>
            </w:pPr>
            <w:r>
              <w:rPr>
                <w:sz w:val="21"/>
              </w:rPr>
              <w:t>II 型（系膜病变型）</w:t>
            </w:r>
          </w:p>
        </w:tc>
        <w:tc>
          <w:tcPr>
            <w:tcW w:w="3656" w:type="dxa"/>
          </w:tcPr>
          <w:p>
            <w:pPr>
              <w:pStyle w:val="TableParagraph"/>
              <w:spacing w:line="262" w:lineRule="exact"/>
              <w:ind w:left="107"/>
              <w:rPr>
                <w:sz w:val="21"/>
              </w:rPr>
            </w:pPr>
            <w:r>
              <w:rPr>
                <w:sz w:val="21"/>
              </w:rPr>
              <w:t>中度蛋白尿，偶有尿沉渣改变</w:t>
            </w:r>
          </w:p>
        </w:tc>
      </w:tr>
      <w:tr>
        <w:trPr>
          <w:trHeight w:val="311" w:hRule="atLeast"/>
        </w:trPr>
        <w:tc>
          <w:tcPr>
            <w:tcW w:w="2900" w:type="dxa"/>
          </w:tcPr>
          <w:p>
            <w:pPr>
              <w:pStyle w:val="TableParagraph"/>
              <w:spacing w:line="263" w:lineRule="exact"/>
              <w:ind w:left="107"/>
              <w:rPr>
                <w:sz w:val="21"/>
              </w:rPr>
            </w:pPr>
            <w:r>
              <w:rPr>
                <w:sz w:val="21"/>
              </w:rPr>
              <w:t>III 型（局灶及节段增生型）</w:t>
            </w:r>
          </w:p>
        </w:tc>
        <w:tc>
          <w:tcPr>
            <w:tcW w:w="3656" w:type="dxa"/>
          </w:tcPr>
          <w:p>
            <w:pPr>
              <w:pStyle w:val="TableParagraph"/>
              <w:spacing w:line="263" w:lineRule="exact"/>
              <w:ind w:left="107"/>
              <w:rPr>
                <w:sz w:val="21"/>
              </w:rPr>
            </w:pPr>
            <w:r>
              <w:rPr>
                <w:sz w:val="21"/>
              </w:rPr>
              <w:t>蛋白尿，尿沉渣改变</w:t>
            </w:r>
          </w:p>
        </w:tc>
      </w:tr>
      <w:tr>
        <w:trPr>
          <w:trHeight w:val="625" w:hRule="atLeast"/>
        </w:trPr>
        <w:tc>
          <w:tcPr>
            <w:tcW w:w="2900" w:type="dxa"/>
          </w:tcPr>
          <w:p>
            <w:pPr>
              <w:pStyle w:val="TableParagraph"/>
              <w:spacing w:line="264" w:lineRule="exact"/>
              <w:ind w:left="107"/>
              <w:rPr>
                <w:sz w:val="21"/>
              </w:rPr>
            </w:pPr>
            <w:r>
              <w:rPr>
                <w:sz w:val="21"/>
              </w:rPr>
              <w:t>IV 型（弥漫增生型）</w:t>
            </w:r>
          </w:p>
        </w:tc>
        <w:tc>
          <w:tcPr>
            <w:tcW w:w="3656" w:type="dxa"/>
          </w:tcPr>
          <w:p>
            <w:pPr>
              <w:pStyle w:val="TableParagraph"/>
              <w:spacing w:line="264" w:lineRule="exact"/>
              <w:ind w:left="107"/>
              <w:rPr>
                <w:sz w:val="21"/>
              </w:rPr>
            </w:pPr>
            <w:r>
              <w:rPr>
                <w:sz w:val="21"/>
              </w:rPr>
              <w:t>急性肾炎伴有尿沉渣改变及／或肾病</w:t>
            </w:r>
          </w:p>
          <w:p>
            <w:pPr>
              <w:pStyle w:val="TableParagraph"/>
              <w:spacing w:before="37"/>
              <w:ind w:left="107"/>
              <w:rPr>
                <w:sz w:val="21"/>
              </w:rPr>
            </w:pPr>
            <w:r>
              <w:rPr>
                <w:sz w:val="21"/>
              </w:rPr>
              <w:t>综合征</w:t>
            </w:r>
          </w:p>
        </w:tc>
      </w:tr>
      <w:tr>
        <w:trPr>
          <w:trHeight w:val="311" w:hRule="atLeast"/>
        </w:trPr>
        <w:tc>
          <w:tcPr>
            <w:tcW w:w="2900" w:type="dxa"/>
          </w:tcPr>
          <w:p>
            <w:pPr>
              <w:pStyle w:val="TableParagraph"/>
              <w:spacing w:line="262" w:lineRule="exact"/>
              <w:ind w:left="107"/>
              <w:rPr>
                <w:sz w:val="21"/>
              </w:rPr>
            </w:pPr>
            <w:r>
              <w:rPr>
                <w:sz w:val="21"/>
              </w:rPr>
              <w:t>V 型（膜型）</w:t>
            </w:r>
          </w:p>
        </w:tc>
        <w:tc>
          <w:tcPr>
            <w:tcW w:w="3656" w:type="dxa"/>
          </w:tcPr>
          <w:p>
            <w:pPr>
              <w:pStyle w:val="TableParagraph"/>
              <w:spacing w:line="262" w:lineRule="exact"/>
              <w:ind w:left="107"/>
              <w:rPr>
                <w:sz w:val="21"/>
              </w:rPr>
            </w:pPr>
            <w:r>
              <w:rPr>
                <w:sz w:val="21"/>
              </w:rPr>
              <w:t>肾病综合征或重度蛋白尿</w:t>
            </w:r>
          </w:p>
        </w:tc>
      </w:tr>
      <w:tr>
        <w:trPr>
          <w:trHeight w:val="625" w:hRule="atLeast"/>
        </w:trPr>
        <w:tc>
          <w:tcPr>
            <w:tcW w:w="2900" w:type="dxa"/>
          </w:tcPr>
          <w:p>
            <w:pPr>
              <w:pStyle w:val="TableParagraph"/>
              <w:spacing w:line="262" w:lineRule="exact"/>
              <w:ind w:left="107"/>
              <w:rPr>
                <w:sz w:val="21"/>
              </w:rPr>
            </w:pPr>
            <w:r>
              <w:rPr>
                <w:sz w:val="21"/>
              </w:rPr>
              <w:t>Ⅵ型（肾小球硬化型）</w:t>
            </w:r>
          </w:p>
        </w:tc>
        <w:tc>
          <w:tcPr>
            <w:tcW w:w="3656" w:type="dxa"/>
          </w:tcPr>
          <w:p>
            <w:pPr>
              <w:pStyle w:val="TableParagraph"/>
              <w:spacing w:line="273" w:lineRule="auto"/>
              <w:ind w:left="107" w:right="88"/>
              <w:rPr>
                <w:sz w:val="21"/>
              </w:rPr>
            </w:pPr>
            <w:r>
              <w:rPr>
                <w:sz w:val="21"/>
              </w:rPr>
              <w:t>肾小球硬化成纤维团状，肾功能差， 无法恢复</w:t>
            </w:r>
          </w:p>
        </w:tc>
      </w:tr>
    </w:tbl>
    <w:p>
      <w:pPr>
        <w:pStyle w:val="BodyText"/>
        <w:spacing w:before="11"/>
        <w:ind w:left="0"/>
        <w:rPr>
          <w:sz w:val="22"/>
        </w:rPr>
      </w:pPr>
    </w:p>
    <w:p>
      <w:pPr>
        <w:pStyle w:val="BodyText"/>
        <w:spacing w:before="0"/>
        <w:ind w:left="112"/>
      </w:pPr>
      <w:r>
        <w:rPr>
          <w:spacing w:val="-6"/>
        </w:rPr>
        <w:t>严重狼疮性肾炎是指经肾脏活检确认的，符合 </w:t>
      </w:r>
      <w:r>
        <w:rPr/>
        <w:t>WHO</w:t>
      </w:r>
      <w:r>
        <w:rPr>
          <w:spacing w:val="-15"/>
        </w:rPr>
        <w:t> 诊断标准定义 </w:t>
      </w:r>
      <w:r>
        <w:rPr/>
        <w:t>III</w:t>
      </w:r>
      <w:r>
        <w:rPr>
          <w:spacing w:val="-20"/>
        </w:rPr>
        <w:t> 型、</w:t>
      </w:r>
      <w:r>
        <w:rPr/>
        <w:t>IV</w:t>
      </w:r>
      <w:r>
        <w:rPr>
          <w:spacing w:val="-20"/>
        </w:rPr>
        <w:t> 型、</w:t>
      </w:r>
      <w:r>
        <w:rPr/>
        <w:t>V</w:t>
      </w:r>
    </w:p>
    <w:p>
      <w:pPr>
        <w:spacing w:after="0"/>
        <w:sectPr>
          <w:type w:val="continuous"/>
          <w:pgSz w:w="11910" w:h="16840"/>
          <w:pgMar w:top="220" w:bottom="280" w:left="1580" w:right="560"/>
          <w:cols w:num="2" w:equalWidth="0">
            <w:col w:w="1798" w:space="151"/>
            <w:col w:w="7821"/>
          </w:cols>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7"/>
        <w:gridCol w:w="7917"/>
      </w:tblGrid>
      <w:tr>
        <w:trPr>
          <w:trHeight w:val="994" w:hRule="atLeast"/>
        </w:trPr>
        <w:tc>
          <w:tcPr>
            <w:tcW w:w="2017" w:type="dxa"/>
          </w:tcPr>
          <w:p>
            <w:pPr>
              <w:pStyle w:val="TableParagraph"/>
              <w:ind w:left="0"/>
              <w:rPr>
                <w:rFonts w:ascii="Times New Roman"/>
                <w:sz w:val="20"/>
              </w:rPr>
            </w:pPr>
          </w:p>
        </w:tc>
        <w:tc>
          <w:tcPr>
            <w:tcW w:w="7917" w:type="dxa"/>
          </w:tcPr>
          <w:p>
            <w:pPr>
              <w:pStyle w:val="TableParagraph"/>
              <w:spacing w:line="205" w:lineRule="exact"/>
              <w:rPr>
                <w:sz w:val="21"/>
              </w:rPr>
            </w:pPr>
            <w:r>
              <w:rPr>
                <w:sz w:val="21"/>
              </w:rPr>
              <w:t>型和Ⅵ型的狼疮性肾炎,且肌酐清除率持续低于 30ml/分。其他类型的红斑性狼疮，</w:t>
            </w:r>
          </w:p>
          <w:p>
            <w:pPr>
              <w:pStyle w:val="TableParagraph"/>
              <w:spacing w:line="273" w:lineRule="auto" w:before="37"/>
              <w:ind w:right="1897"/>
              <w:rPr>
                <w:sz w:val="21"/>
              </w:rPr>
            </w:pPr>
            <w:r>
              <w:rPr>
                <w:sz w:val="21"/>
              </w:rPr>
              <w:t>如盘状狼疮、仅累及血液及关节的狼疮不在本合同保障范围內。本病必须由免疫和风湿科专家医师确诊。</w:t>
            </w:r>
          </w:p>
        </w:tc>
      </w:tr>
      <w:tr>
        <w:trPr>
          <w:trHeight w:val="1162" w:hRule="atLeast"/>
        </w:trPr>
        <w:tc>
          <w:tcPr>
            <w:tcW w:w="2017" w:type="dxa"/>
          </w:tcPr>
          <w:p>
            <w:pPr>
              <w:pStyle w:val="TableParagraph"/>
              <w:spacing w:before="21"/>
              <w:ind w:left="200"/>
              <w:rPr>
                <w:rFonts w:ascii="Microsoft JhengHei" w:eastAsia="Microsoft JhengHei" w:hint="eastAsia"/>
                <w:b/>
                <w:sz w:val="21"/>
              </w:rPr>
            </w:pPr>
            <w:r>
              <w:rPr>
                <w:rFonts w:ascii="微软雅黑" w:eastAsia="微软雅黑" w:hint="eastAsia"/>
                <w:b/>
                <w:w w:val="95"/>
                <w:sz w:val="21"/>
              </w:rPr>
              <w:t>32</w:t>
            </w:r>
            <w:r>
              <w:rPr>
                <w:rFonts w:ascii="Microsoft JhengHei" w:eastAsia="Microsoft JhengHei" w:hint="eastAsia"/>
                <w:b/>
                <w:w w:val="95"/>
                <w:sz w:val="21"/>
              </w:rPr>
              <w:t>、严重克隆病</w:t>
            </w:r>
          </w:p>
        </w:tc>
        <w:tc>
          <w:tcPr>
            <w:tcW w:w="7917" w:type="dxa"/>
          </w:tcPr>
          <w:p>
            <w:pPr>
              <w:pStyle w:val="TableParagraph"/>
              <w:spacing w:line="273" w:lineRule="auto" w:before="100"/>
              <w:ind w:right="301"/>
              <w:jc w:val="both"/>
              <w:rPr>
                <w:sz w:val="21"/>
              </w:rPr>
            </w:pPr>
            <w:r>
              <w:rPr>
                <w:spacing w:val="-8"/>
                <w:sz w:val="21"/>
              </w:rPr>
              <w:t>克隆病是一种慢性肉芽肿性肠炎，具有特征性的克隆病病理组织学变化。诊断必须</w:t>
            </w:r>
            <w:r>
              <w:rPr>
                <w:spacing w:val="-12"/>
                <w:sz w:val="21"/>
              </w:rPr>
              <w:t>由病理检查结果证实。被保险人所患的克隆病必须已经造成瘘管形成并伴有肠梗阻</w:t>
            </w:r>
            <w:r>
              <w:rPr>
                <w:spacing w:val="-6"/>
                <w:sz w:val="21"/>
              </w:rPr>
              <w:t>或肠穿孔。</w:t>
            </w:r>
          </w:p>
        </w:tc>
      </w:tr>
      <w:tr>
        <w:trPr>
          <w:trHeight w:val="1157" w:hRule="atLeast"/>
        </w:trPr>
        <w:tc>
          <w:tcPr>
            <w:tcW w:w="2017" w:type="dxa"/>
          </w:tcPr>
          <w:p>
            <w:pPr>
              <w:pStyle w:val="TableParagraph"/>
              <w:spacing w:line="199" w:lineRule="auto" w:before="82"/>
              <w:ind w:left="200" w:right="130"/>
              <w:rPr>
                <w:rFonts w:ascii="Microsoft JhengHei" w:eastAsia="Microsoft JhengHei" w:hint="eastAsia"/>
                <w:b/>
                <w:sz w:val="21"/>
              </w:rPr>
            </w:pPr>
            <w:r>
              <w:rPr>
                <w:rFonts w:ascii="微软雅黑" w:eastAsia="微软雅黑" w:hint="eastAsia"/>
                <w:b/>
                <w:w w:val="95"/>
                <w:sz w:val="21"/>
              </w:rPr>
              <w:t>33</w:t>
            </w:r>
            <w:r>
              <w:rPr>
                <w:rFonts w:ascii="Microsoft JhengHei" w:eastAsia="Microsoft JhengHei" w:hint="eastAsia"/>
                <w:b/>
                <w:w w:val="95"/>
                <w:sz w:val="21"/>
              </w:rPr>
              <w:t>、急性坏死性胰</w:t>
            </w:r>
            <w:r>
              <w:rPr>
                <w:rFonts w:ascii="Microsoft JhengHei" w:eastAsia="Microsoft JhengHei" w:hint="eastAsia"/>
                <w:b/>
                <w:sz w:val="21"/>
              </w:rPr>
              <w:t>腺炎</w:t>
            </w:r>
          </w:p>
        </w:tc>
        <w:tc>
          <w:tcPr>
            <w:tcW w:w="7917" w:type="dxa"/>
          </w:tcPr>
          <w:p>
            <w:pPr>
              <w:pStyle w:val="TableParagraph"/>
              <w:spacing w:line="273" w:lineRule="auto" w:before="99"/>
              <w:ind w:right="301"/>
              <w:jc w:val="both"/>
              <w:rPr>
                <w:sz w:val="21"/>
              </w:rPr>
            </w:pPr>
            <w:r>
              <w:rPr>
                <w:spacing w:val="-7"/>
                <w:sz w:val="21"/>
              </w:rPr>
              <w:t>是指由本公司认可的专科医师确诊为急性坏死性胰腺炎，需进行坏死组织清除、病</w:t>
            </w:r>
            <w:r>
              <w:rPr>
                <w:spacing w:val="-6"/>
                <w:sz w:val="21"/>
              </w:rPr>
              <w:t>灶切除或胰腺部分切除的手术治疗，但不包括因酒精中毒引起的急性坏死性胰腺炎。</w:t>
            </w:r>
          </w:p>
        </w:tc>
      </w:tr>
      <w:tr>
        <w:trPr>
          <w:trHeight w:val="1822" w:hRule="atLeast"/>
        </w:trPr>
        <w:tc>
          <w:tcPr>
            <w:tcW w:w="2017" w:type="dxa"/>
          </w:tcPr>
          <w:p>
            <w:pPr>
              <w:pStyle w:val="TableParagraph"/>
              <w:spacing w:before="26"/>
              <w:ind w:left="200"/>
              <w:rPr>
                <w:rFonts w:ascii="Microsoft JhengHei" w:eastAsia="Microsoft JhengHei" w:hint="eastAsia"/>
                <w:b/>
                <w:sz w:val="21"/>
              </w:rPr>
            </w:pPr>
            <w:r>
              <w:rPr>
                <w:rFonts w:ascii="微软雅黑" w:eastAsia="微软雅黑" w:hint="eastAsia"/>
                <w:b/>
                <w:sz w:val="21"/>
              </w:rPr>
              <w:t>34</w:t>
            </w:r>
            <w:r>
              <w:rPr>
                <w:rFonts w:ascii="Microsoft JhengHei" w:eastAsia="Microsoft JhengHei" w:hint="eastAsia"/>
                <w:b/>
                <w:sz w:val="21"/>
              </w:rPr>
              <w:t>、ft营养不良症</w:t>
            </w:r>
          </w:p>
        </w:tc>
        <w:tc>
          <w:tcPr>
            <w:tcW w:w="7917" w:type="dxa"/>
          </w:tcPr>
          <w:p>
            <w:pPr>
              <w:pStyle w:val="TableParagraph"/>
              <w:spacing w:line="285" w:lineRule="auto" w:before="83"/>
              <w:ind w:right="338"/>
              <w:rPr>
                <w:sz w:val="21"/>
              </w:rPr>
            </w:pPr>
            <w:r>
              <w:rPr>
                <w:sz w:val="21"/>
              </w:rPr>
              <w:t>指一组原发于肌肉的遗传性疾病，临床表现为与神经系统无关的肌肉无力和肌肉萎缩。且须满足下列全部条件：</w:t>
            </w:r>
          </w:p>
          <w:p>
            <w:pPr>
              <w:pStyle w:val="TableParagraph"/>
              <w:spacing w:before="33"/>
              <w:rPr>
                <w:sz w:val="21"/>
              </w:rPr>
            </w:pPr>
            <w:r>
              <w:rPr>
                <w:sz w:val="21"/>
              </w:rPr>
              <w:t>（1）肌肉组织活检结果满足肌营养不良症的肌肉细胞变性、坏死等阳性改变；</w:t>
            </w:r>
          </w:p>
          <w:p>
            <w:pPr>
              <w:pStyle w:val="TableParagraph"/>
              <w:spacing w:line="273" w:lineRule="auto" w:before="37"/>
              <w:ind w:right="322"/>
              <w:rPr>
                <w:sz w:val="21"/>
              </w:rPr>
            </w:pPr>
            <w:r>
              <w:rPr>
                <w:sz w:val="21"/>
              </w:rPr>
              <w:t>（2）自主生活能力完全丧失，无法独立完成六项基本日常生活活动中的三项或三项以上。</w:t>
            </w:r>
          </w:p>
        </w:tc>
      </w:tr>
      <w:tr>
        <w:trPr>
          <w:trHeight w:val="1786" w:hRule="atLeast"/>
        </w:trPr>
        <w:tc>
          <w:tcPr>
            <w:tcW w:w="2017" w:type="dxa"/>
          </w:tcPr>
          <w:p>
            <w:pPr>
              <w:pStyle w:val="TableParagraph"/>
              <w:spacing w:before="21"/>
              <w:ind w:left="200"/>
              <w:rPr>
                <w:rFonts w:ascii="Microsoft JhengHei" w:eastAsia="Microsoft JhengHei" w:hint="eastAsia"/>
                <w:b/>
                <w:sz w:val="21"/>
              </w:rPr>
            </w:pPr>
            <w:r>
              <w:rPr>
                <w:rFonts w:ascii="微软雅黑" w:eastAsia="微软雅黑" w:hint="eastAsia"/>
                <w:b/>
                <w:w w:val="95"/>
                <w:sz w:val="21"/>
              </w:rPr>
              <w:t>35</w:t>
            </w:r>
            <w:r>
              <w:rPr>
                <w:rFonts w:ascii="Microsoft JhengHei" w:eastAsia="Microsoft JhengHei" w:hint="eastAsia"/>
                <w:b/>
                <w:w w:val="95"/>
                <w:sz w:val="21"/>
              </w:rPr>
              <w:t>、脊髓灰质炎</w:t>
            </w:r>
          </w:p>
        </w:tc>
        <w:tc>
          <w:tcPr>
            <w:tcW w:w="7917" w:type="dxa"/>
          </w:tcPr>
          <w:p>
            <w:pPr>
              <w:pStyle w:val="TableParagraph"/>
              <w:spacing w:line="273" w:lineRule="auto" w:before="100"/>
              <w:ind w:right="300"/>
              <w:jc w:val="both"/>
              <w:rPr>
                <w:sz w:val="21"/>
              </w:rPr>
            </w:pPr>
            <w:r>
              <w:rPr>
                <w:spacing w:val="-7"/>
                <w:sz w:val="21"/>
              </w:rPr>
              <w:t>脊髓灰质炎是由于脊髓灰质炎病毒感染所致的瘫痪性疾病，临床表现为运动功能损</w:t>
            </w:r>
            <w:r>
              <w:rPr>
                <w:spacing w:val="-11"/>
                <w:sz w:val="21"/>
              </w:rPr>
              <w:t>害或呼吸无力。脊髓灰质炎必须明确诊断。本保单仅对脊髓灰质炎造成的神经系统</w:t>
            </w:r>
            <w:r>
              <w:rPr>
                <w:spacing w:val="-9"/>
                <w:sz w:val="21"/>
              </w:rPr>
              <w:t>功能损害导致被保险人一肢或一肢以上肢体机能永久完全丧失的情况予以理赔。肢</w:t>
            </w:r>
            <w:r>
              <w:rPr>
                <w:spacing w:val="-11"/>
                <w:sz w:val="21"/>
              </w:rPr>
              <w:t>体机能永久完全丧失，指疾病确诊 </w:t>
            </w:r>
            <w:r>
              <w:rPr>
                <w:sz w:val="21"/>
              </w:rPr>
              <w:t>180</w:t>
            </w:r>
            <w:r>
              <w:rPr>
                <w:spacing w:val="-11"/>
                <w:sz w:val="21"/>
              </w:rPr>
              <w:t> 天后，每肢三大关节中的两大关节仍然完全</w:t>
            </w:r>
            <w:r>
              <w:rPr>
                <w:spacing w:val="-6"/>
                <w:sz w:val="21"/>
              </w:rPr>
              <w:t>僵硬，或不能随意识活动。</w:t>
            </w:r>
          </w:p>
        </w:tc>
      </w:tr>
      <w:tr>
        <w:trPr>
          <w:trHeight w:val="2149" w:hRule="atLeast"/>
        </w:trPr>
        <w:tc>
          <w:tcPr>
            <w:tcW w:w="2017" w:type="dxa"/>
          </w:tcPr>
          <w:p>
            <w:pPr>
              <w:pStyle w:val="TableParagraph"/>
              <w:spacing w:before="20"/>
              <w:ind w:left="200"/>
              <w:rPr>
                <w:rFonts w:ascii="Microsoft JhengHei" w:eastAsia="Microsoft JhengHei" w:hint="eastAsia"/>
                <w:b/>
                <w:sz w:val="21"/>
              </w:rPr>
            </w:pPr>
            <w:r>
              <w:rPr>
                <w:rFonts w:ascii="微软雅黑" w:eastAsia="微软雅黑" w:hint="eastAsia"/>
                <w:b/>
                <w:w w:val="95"/>
                <w:sz w:val="21"/>
              </w:rPr>
              <w:t>36</w:t>
            </w:r>
            <w:r>
              <w:rPr>
                <w:rFonts w:ascii="Microsoft JhengHei" w:eastAsia="Microsoft JhengHei" w:hint="eastAsia"/>
                <w:b/>
                <w:w w:val="95"/>
                <w:sz w:val="21"/>
              </w:rPr>
              <w:t>、终末期肺病</w:t>
            </w:r>
          </w:p>
        </w:tc>
        <w:tc>
          <w:tcPr>
            <w:tcW w:w="7917" w:type="dxa"/>
          </w:tcPr>
          <w:p>
            <w:pPr>
              <w:pStyle w:val="TableParagraph"/>
              <w:spacing w:before="140"/>
              <w:ind w:right="300"/>
              <w:rPr>
                <w:sz w:val="21"/>
              </w:rPr>
            </w:pPr>
            <w:r>
              <w:rPr>
                <w:spacing w:val="-7"/>
                <w:sz w:val="21"/>
              </w:rPr>
              <w:t>慢性肺部疾病导致永久不可逆性的慢性呼吸功能衰竭，必须由呼吸专科医师确认并</w:t>
            </w:r>
            <w:r>
              <w:rPr>
                <w:spacing w:val="-3"/>
                <w:sz w:val="21"/>
              </w:rPr>
              <w:t>符合下列所有条件：</w:t>
            </w:r>
          </w:p>
          <w:p>
            <w:pPr>
              <w:pStyle w:val="TableParagraph"/>
              <w:spacing w:before="59"/>
              <w:rPr>
                <w:sz w:val="21"/>
              </w:rPr>
            </w:pPr>
            <w:r>
              <w:rPr>
                <w:sz w:val="21"/>
              </w:rPr>
              <w:t>（1）肺功能测试其 FEV1 持续低于 0.75 升；</w:t>
            </w:r>
          </w:p>
          <w:p>
            <w:pPr>
              <w:pStyle w:val="TableParagraph"/>
              <w:spacing w:before="58"/>
              <w:rPr>
                <w:sz w:val="21"/>
              </w:rPr>
            </w:pPr>
            <w:r>
              <w:rPr>
                <w:sz w:val="21"/>
              </w:rPr>
              <w:t>（2）病人缺氧必须广泛而持续地进行输氧治疗；</w:t>
            </w:r>
          </w:p>
          <w:p>
            <w:pPr>
              <w:pStyle w:val="TableParagraph"/>
              <w:spacing w:before="60"/>
              <w:rPr>
                <w:sz w:val="21"/>
              </w:rPr>
            </w:pPr>
            <w:r>
              <w:rPr>
                <w:sz w:val="21"/>
              </w:rPr>
              <w:t>（3）动脉血气分析氧分压低于 55mmHg。</w:t>
            </w:r>
          </w:p>
          <w:p>
            <w:pPr>
              <w:pStyle w:val="TableParagraph"/>
              <w:spacing w:before="17"/>
              <w:rPr>
                <w:sz w:val="21"/>
              </w:rPr>
            </w:pPr>
            <w:r>
              <w:rPr>
                <w:sz w:val="21"/>
              </w:rPr>
              <w:t>理赔时必须提供以上三项相应的证明文件或检查报告。</w:t>
            </w:r>
          </w:p>
        </w:tc>
      </w:tr>
      <w:tr>
        <w:trPr>
          <w:trHeight w:val="4283" w:hRule="atLeast"/>
        </w:trPr>
        <w:tc>
          <w:tcPr>
            <w:tcW w:w="2017" w:type="dxa"/>
          </w:tcPr>
          <w:p>
            <w:pPr>
              <w:pStyle w:val="TableParagraph"/>
              <w:spacing w:line="199" w:lineRule="auto" w:before="84"/>
              <w:ind w:left="200" w:right="130"/>
              <w:rPr>
                <w:rFonts w:ascii="Microsoft JhengHei" w:eastAsia="Microsoft JhengHei" w:hint="eastAsia"/>
                <w:b/>
                <w:sz w:val="21"/>
              </w:rPr>
            </w:pPr>
            <w:r>
              <w:rPr>
                <w:rFonts w:ascii="微软雅黑" w:eastAsia="微软雅黑" w:hint="eastAsia"/>
                <w:b/>
                <w:w w:val="95"/>
                <w:sz w:val="21"/>
              </w:rPr>
              <w:t>37</w:t>
            </w:r>
            <w:r>
              <w:rPr>
                <w:rFonts w:ascii="Microsoft JhengHei" w:eastAsia="Microsoft JhengHei" w:hint="eastAsia"/>
                <w:b/>
                <w:w w:val="95"/>
                <w:sz w:val="21"/>
              </w:rPr>
              <w:t>、经输血感染艾</w:t>
            </w:r>
            <w:r>
              <w:rPr>
                <w:rFonts w:ascii="Microsoft JhengHei" w:eastAsia="Microsoft JhengHei" w:hint="eastAsia"/>
                <w:b/>
                <w:sz w:val="21"/>
              </w:rPr>
              <w:t>滋病病毒</w:t>
            </w:r>
          </w:p>
        </w:tc>
        <w:tc>
          <w:tcPr>
            <w:tcW w:w="7917" w:type="dxa"/>
          </w:tcPr>
          <w:p>
            <w:pPr>
              <w:pStyle w:val="TableParagraph"/>
              <w:spacing w:before="100"/>
              <w:rPr>
                <w:sz w:val="21"/>
              </w:rPr>
            </w:pPr>
            <w:r>
              <w:rPr>
                <w:sz w:val="21"/>
              </w:rPr>
              <w:t>是指被保险人感染上人类免疫缺陷病毒并且符合下列所有条件：</w:t>
            </w:r>
          </w:p>
          <w:p>
            <w:pPr>
              <w:pStyle w:val="TableParagraph"/>
              <w:spacing w:line="273" w:lineRule="auto" w:before="37"/>
              <w:ind w:right="322"/>
              <w:rPr>
                <w:sz w:val="21"/>
              </w:rPr>
            </w:pPr>
            <w:r>
              <w:rPr>
                <w:sz w:val="21"/>
              </w:rPr>
              <w:t>（1）在保障起始日或复效日之后，被保险人因治疗必需而接受输血，并且因输血而感染人类免疫缺陷病毒；</w:t>
            </w:r>
          </w:p>
          <w:p>
            <w:pPr>
              <w:pStyle w:val="TableParagraph"/>
              <w:spacing w:line="273" w:lineRule="auto" w:before="8"/>
              <w:ind w:right="322"/>
              <w:rPr>
                <w:sz w:val="21"/>
              </w:rPr>
            </w:pPr>
            <w:r>
              <w:rPr>
                <w:sz w:val="21"/>
              </w:rPr>
              <w:t>（2）提供输血治疗的输血中心或医院出具该项输血感染属医疗责任事故的报告， 或者法院终审裁定为医疗责任并且不准上诉；</w:t>
            </w:r>
          </w:p>
          <w:p>
            <w:pPr>
              <w:pStyle w:val="TableParagraph"/>
              <w:spacing w:before="8"/>
              <w:rPr>
                <w:sz w:val="21"/>
              </w:rPr>
            </w:pPr>
            <w:r>
              <w:rPr>
                <w:sz w:val="21"/>
              </w:rPr>
              <w:t>（3）提供输血治疗的输血中心或医院必须拥有合法经营执照；</w:t>
            </w:r>
          </w:p>
          <w:p>
            <w:pPr>
              <w:pStyle w:val="TableParagraph"/>
              <w:spacing w:before="37"/>
              <w:rPr>
                <w:sz w:val="21"/>
              </w:rPr>
            </w:pPr>
            <w:r>
              <w:rPr>
                <w:sz w:val="21"/>
              </w:rPr>
              <w:t>（4）受感染的被保险人不是血友病患者；</w:t>
            </w:r>
          </w:p>
          <w:p>
            <w:pPr>
              <w:pStyle w:val="TableParagraph"/>
              <w:spacing w:line="273" w:lineRule="auto" w:before="37"/>
              <w:ind w:right="301"/>
              <w:rPr>
                <w:sz w:val="21"/>
              </w:rPr>
            </w:pPr>
            <w:r>
              <w:rPr>
                <w:spacing w:val="-6"/>
                <w:sz w:val="21"/>
              </w:rPr>
              <w:t>在任何治愈艾滋病或阻止人类免疫缺陷病毒作用的疗法被发现以后，或能防止艾滋</w:t>
            </w:r>
            <w:r>
              <w:rPr>
                <w:spacing w:val="-4"/>
                <w:sz w:val="21"/>
              </w:rPr>
              <w:t>病发生的医疗方法被研究出来以后，本保障将不再予以赔付。</w:t>
            </w:r>
          </w:p>
          <w:p>
            <w:pPr>
              <w:pStyle w:val="TableParagraph"/>
              <w:spacing w:line="273" w:lineRule="auto" w:before="8"/>
              <w:ind w:right="223"/>
              <w:rPr>
                <w:sz w:val="21"/>
              </w:rPr>
            </w:pPr>
            <w:r>
              <w:rPr>
                <w:sz w:val="21"/>
              </w:rPr>
              <w:t>任何因其他传播方式（包括：性传播或静脉注射毒品）导致的人类免疫缺陷病毒感染不在本合同保障范围内。</w:t>
            </w:r>
          </w:p>
          <w:p>
            <w:pPr>
              <w:pStyle w:val="TableParagraph"/>
              <w:spacing w:line="273" w:lineRule="auto" w:before="8"/>
              <w:ind w:right="426"/>
              <w:rPr>
                <w:sz w:val="21"/>
              </w:rPr>
            </w:pPr>
            <w:r>
              <w:rPr>
                <w:sz w:val="21"/>
              </w:rPr>
              <w:t>保险公司必须拥有获得使用被保险人的血液样本的权利和能够对这些样本进行独立检验的权利。</w:t>
            </w:r>
          </w:p>
        </w:tc>
      </w:tr>
      <w:tr>
        <w:trPr>
          <w:trHeight w:val="733" w:hRule="atLeast"/>
        </w:trPr>
        <w:tc>
          <w:tcPr>
            <w:tcW w:w="2017" w:type="dxa"/>
          </w:tcPr>
          <w:p>
            <w:pPr>
              <w:pStyle w:val="TableParagraph"/>
              <w:spacing w:before="20"/>
              <w:ind w:left="200"/>
              <w:rPr>
                <w:rFonts w:ascii="Microsoft JhengHei" w:eastAsia="Microsoft JhengHei" w:hint="eastAsia"/>
                <w:b/>
                <w:sz w:val="21"/>
              </w:rPr>
            </w:pPr>
            <w:r>
              <w:rPr>
                <w:rFonts w:ascii="微软雅黑" w:eastAsia="微软雅黑" w:hint="eastAsia"/>
                <w:b/>
                <w:w w:val="95"/>
                <w:sz w:val="21"/>
              </w:rPr>
              <w:t>38</w:t>
            </w:r>
            <w:r>
              <w:rPr>
                <w:rFonts w:ascii="Microsoft JhengHei" w:eastAsia="Microsoft JhengHei" w:hint="eastAsia"/>
                <w:b/>
                <w:w w:val="95"/>
                <w:sz w:val="21"/>
              </w:rPr>
              <w:t>、肾髓质囊性病</w:t>
            </w:r>
          </w:p>
        </w:tc>
        <w:tc>
          <w:tcPr>
            <w:tcW w:w="7917" w:type="dxa"/>
          </w:tcPr>
          <w:p>
            <w:pPr>
              <w:pStyle w:val="TableParagraph"/>
              <w:spacing w:before="130"/>
              <w:rPr>
                <w:sz w:val="21"/>
              </w:rPr>
            </w:pPr>
            <w:r>
              <w:rPr>
                <w:sz w:val="21"/>
              </w:rPr>
              <w:t>肾髓质囊性病的诊断必须同时符合下列要求：</w:t>
            </w:r>
          </w:p>
          <w:p>
            <w:pPr>
              <w:pStyle w:val="TableParagraph"/>
              <w:spacing w:line="261" w:lineRule="exact" w:before="46"/>
              <w:rPr>
                <w:sz w:val="21"/>
              </w:rPr>
            </w:pPr>
            <w:r>
              <w:rPr>
                <w:sz w:val="21"/>
              </w:rPr>
              <w:t>（1）肾髓质有囊肿、肾小管萎缩及间质纤维化等病理改变；</w:t>
            </w:r>
          </w:p>
        </w:tc>
      </w:tr>
    </w:tbl>
    <w:p>
      <w:pPr>
        <w:spacing w:after="0" w:line="261" w:lineRule="exact"/>
        <w:rPr>
          <w:sz w:val="21"/>
        </w:rPr>
        <w:sectPr>
          <w:pgSz w:w="11910" w:h="16840"/>
          <w:pgMar w:top="1400" w:bottom="280" w:left="1380" w:right="3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7"/>
        <w:gridCol w:w="7918"/>
      </w:tblGrid>
      <w:tr>
        <w:trPr>
          <w:trHeight w:val="714" w:hRule="atLeast"/>
        </w:trPr>
        <w:tc>
          <w:tcPr>
            <w:tcW w:w="2017" w:type="dxa"/>
          </w:tcPr>
          <w:p>
            <w:pPr>
              <w:pStyle w:val="TableParagraph"/>
              <w:ind w:left="0"/>
              <w:rPr>
                <w:rFonts w:ascii="Times New Roman"/>
                <w:sz w:val="20"/>
              </w:rPr>
            </w:pPr>
          </w:p>
        </w:tc>
        <w:tc>
          <w:tcPr>
            <w:tcW w:w="7918" w:type="dxa"/>
          </w:tcPr>
          <w:p>
            <w:pPr>
              <w:pStyle w:val="TableParagraph"/>
              <w:spacing w:line="203" w:lineRule="exact"/>
              <w:rPr>
                <w:sz w:val="21"/>
              </w:rPr>
            </w:pPr>
            <w:r>
              <w:rPr>
                <w:sz w:val="21"/>
              </w:rPr>
              <w:t>（2）贫血、多尿及肾功能衰竭等临床表现；</w:t>
            </w:r>
          </w:p>
          <w:p>
            <w:pPr>
              <w:pStyle w:val="TableParagraph"/>
              <w:spacing w:before="52"/>
              <w:rPr>
                <w:sz w:val="21"/>
              </w:rPr>
            </w:pPr>
            <w:r>
              <w:rPr>
                <w:sz w:val="21"/>
              </w:rPr>
              <w:t>（3）诊断须由肾组织活检确定。</w:t>
            </w:r>
          </w:p>
        </w:tc>
      </w:tr>
      <w:tr>
        <w:trPr>
          <w:trHeight w:val="2324" w:hRule="atLeast"/>
        </w:trPr>
        <w:tc>
          <w:tcPr>
            <w:tcW w:w="2017" w:type="dxa"/>
          </w:tcPr>
          <w:p>
            <w:pPr>
              <w:pStyle w:val="TableParagraph"/>
              <w:spacing w:line="201" w:lineRule="auto" w:before="96"/>
              <w:ind w:left="200" w:right="130"/>
              <w:jc w:val="both"/>
              <w:rPr>
                <w:rFonts w:ascii="Microsoft JhengHei" w:eastAsia="Microsoft JhengHei" w:hint="eastAsia"/>
                <w:b/>
                <w:sz w:val="21"/>
              </w:rPr>
            </w:pPr>
            <w:r>
              <w:rPr>
                <w:rFonts w:ascii="微软雅黑" w:eastAsia="微软雅黑" w:hint="eastAsia"/>
                <w:b/>
                <w:w w:val="95"/>
                <w:sz w:val="21"/>
              </w:rPr>
              <w:t>39</w:t>
            </w:r>
            <w:r>
              <w:rPr>
                <w:rFonts w:ascii="Microsoft JhengHei" w:eastAsia="Microsoft JhengHei" w:hint="eastAsia"/>
                <w:b/>
                <w:w w:val="95"/>
                <w:sz w:val="21"/>
              </w:rPr>
              <w:t>、胰岛素依赖型</w:t>
            </w:r>
            <w:r>
              <w:rPr>
                <w:rFonts w:ascii="Microsoft JhengHei" w:eastAsia="Microsoft JhengHei" w:hint="eastAsia"/>
                <w:b/>
                <w:sz w:val="21"/>
              </w:rPr>
              <w:t>糖尿病（Ｉ型糖尿病）</w:t>
            </w:r>
          </w:p>
        </w:tc>
        <w:tc>
          <w:tcPr>
            <w:tcW w:w="7918" w:type="dxa"/>
          </w:tcPr>
          <w:p>
            <w:pPr>
              <w:pStyle w:val="TableParagraph"/>
              <w:spacing w:line="326" w:lineRule="auto" w:before="148"/>
              <w:ind w:right="301"/>
              <w:jc w:val="both"/>
              <w:rPr>
                <w:sz w:val="21"/>
              </w:rPr>
            </w:pPr>
            <w:r>
              <w:rPr>
                <w:spacing w:val="-6"/>
                <w:sz w:val="21"/>
              </w:rPr>
              <w:t>胰岛素依赖型糖尿病是由于胰岛素分泌不足引起的慢性血糖升高，并需持续性地依</w:t>
            </w:r>
            <w:r>
              <w:rPr>
                <w:spacing w:val="-10"/>
                <w:sz w:val="21"/>
              </w:rPr>
              <w:t>赖外源性胰岛素维持一百八十天以上，须由本公司认可的有资格的内分泌医生确诊</w:t>
            </w:r>
            <w:r>
              <w:rPr>
                <w:spacing w:val="-3"/>
                <w:sz w:val="21"/>
              </w:rPr>
              <w:t>并在本合同保险责任有效期内，满足下述至少一个条件：</w:t>
            </w:r>
          </w:p>
          <w:p>
            <w:pPr>
              <w:pStyle w:val="TableParagraph"/>
              <w:spacing w:line="246" w:lineRule="exact"/>
              <w:jc w:val="both"/>
              <w:rPr>
                <w:sz w:val="21"/>
              </w:rPr>
            </w:pPr>
            <w:r>
              <w:rPr>
                <w:sz w:val="21"/>
              </w:rPr>
              <w:t>（1）本公司认可的内分泌医生确定已出现增殖性视网膜病变；</w:t>
            </w:r>
          </w:p>
          <w:p>
            <w:pPr>
              <w:pStyle w:val="TableParagraph"/>
              <w:spacing w:before="51"/>
              <w:jc w:val="both"/>
              <w:rPr>
                <w:sz w:val="21"/>
              </w:rPr>
            </w:pPr>
            <w:r>
              <w:rPr>
                <w:sz w:val="21"/>
              </w:rPr>
              <w:t>（2）须植入心脏起搏器治疗心脏病；</w:t>
            </w:r>
          </w:p>
          <w:p>
            <w:pPr>
              <w:pStyle w:val="TableParagraph"/>
              <w:spacing w:before="51"/>
              <w:jc w:val="both"/>
              <w:rPr>
                <w:sz w:val="21"/>
              </w:rPr>
            </w:pPr>
            <w:r>
              <w:rPr>
                <w:sz w:val="21"/>
              </w:rPr>
              <w:t>（3）因坏疽需切除一只或以上脚趾。</w:t>
            </w:r>
          </w:p>
        </w:tc>
      </w:tr>
      <w:tr>
        <w:trPr>
          <w:trHeight w:val="1716" w:hRule="atLeast"/>
        </w:trPr>
        <w:tc>
          <w:tcPr>
            <w:tcW w:w="2017" w:type="dxa"/>
          </w:tcPr>
          <w:p>
            <w:pPr>
              <w:pStyle w:val="TableParagraph"/>
              <w:spacing w:before="32"/>
              <w:ind w:left="200"/>
              <w:rPr>
                <w:rFonts w:ascii="Microsoft JhengHei" w:eastAsia="Microsoft JhengHei" w:hint="eastAsia"/>
                <w:b/>
                <w:sz w:val="21"/>
              </w:rPr>
            </w:pPr>
            <w:r>
              <w:rPr>
                <w:rFonts w:ascii="微软雅黑" w:eastAsia="微软雅黑" w:hint="eastAsia"/>
                <w:b/>
                <w:w w:val="95"/>
                <w:sz w:val="21"/>
              </w:rPr>
              <w:t>40</w:t>
            </w:r>
            <w:r>
              <w:rPr>
                <w:rFonts w:ascii="Microsoft JhengHei" w:eastAsia="Microsoft JhengHei" w:hint="eastAsia"/>
                <w:b/>
                <w:w w:val="95"/>
                <w:sz w:val="21"/>
              </w:rPr>
              <w:t>、植物人</w:t>
            </w:r>
          </w:p>
        </w:tc>
        <w:tc>
          <w:tcPr>
            <w:tcW w:w="7918" w:type="dxa"/>
          </w:tcPr>
          <w:p>
            <w:pPr>
              <w:pStyle w:val="TableParagraph"/>
              <w:spacing w:line="326" w:lineRule="auto" w:before="142"/>
              <w:ind w:right="198"/>
              <w:rPr>
                <w:sz w:val="21"/>
              </w:rPr>
            </w:pPr>
            <w:r>
              <w:rPr>
                <w:spacing w:val="-3"/>
                <w:sz w:val="21"/>
              </w:rPr>
              <w:t>指脑皮质广泛性坏死而导致对自身及周边的认知能力完全丧失,但脑干功能依然存</w:t>
            </w:r>
            <w:r>
              <w:rPr>
                <w:spacing w:val="-13"/>
                <w:w w:val="100"/>
                <w:sz w:val="21"/>
              </w:rPr>
              <w:t>在，必须经神经科专科医生明确诊断,并有头颅断层扫描</w:t>
            </w:r>
            <w:r>
              <w:rPr>
                <w:w w:val="100"/>
                <w:sz w:val="21"/>
              </w:rPr>
              <w:t>（CT</w:t>
            </w:r>
            <w:r>
              <w:rPr>
                <w:spacing w:val="-106"/>
                <w:w w:val="100"/>
                <w:sz w:val="21"/>
              </w:rPr>
              <w:t>）</w:t>
            </w:r>
            <w:r>
              <w:rPr>
                <w:spacing w:val="-24"/>
                <w:w w:val="100"/>
                <w:sz w:val="21"/>
              </w:rPr>
              <w:t>，核磁共振检查</w:t>
            </w:r>
            <w:r>
              <w:rPr>
                <w:spacing w:val="-1"/>
                <w:w w:val="100"/>
                <w:sz w:val="21"/>
              </w:rPr>
              <w:t>（</w:t>
            </w:r>
            <w:r>
              <w:rPr>
                <w:spacing w:val="-3"/>
                <w:w w:val="100"/>
                <w:sz w:val="21"/>
              </w:rPr>
              <w:t>MR</w:t>
            </w:r>
            <w:r>
              <w:rPr>
                <w:w w:val="100"/>
                <w:sz w:val="21"/>
              </w:rPr>
              <w:t>I）</w:t>
            </w:r>
            <w:r>
              <w:rPr>
                <w:spacing w:val="-3"/>
                <w:sz w:val="21"/>
              </w:rPr>
              <w:t>或正电子发射断层扫描</w:t>
            </w:r>
            <w:r>
              <w:rPr>
                <w:sz w:val="21"/>
              </w:rPr>
              <w:t>（PET）</w:t>
            </w:r>
            <w:r>
              <w:rPr>
                <w:spacing w:val="-3"/>
                <w:sz w:val="21"/>
              </w:rPr>
              <w:t>等影像学检查证实。上述情况必须有至少一个月的病历记录加以证实。由于酗酒或滥用药物所致的植物人状态不在保障范围内。</w:t>
            </w:r>
          </w:p>
        </w:tc>
      </w:tr>
      <w:tr>
        <w:trPr>
          <w:trHeight w:val="1166" w:hRule="atLeast"/>
        </w:trPr>
        <w:tc>
          <w:tcPr>
            <w:tcW w:w="2017" w:type="dxa"/>
          </w:tcPr>
          <w:p>
            <w:pPr>
              <w:pStyle w:val="TableParagraph"/>
              <w:spacing w:before="29"/>
              <w:ind w:left="200"/>
              <w:rPr>
                <w:rFonts w:ascii="Microsoft JhengHei" w:eastAsia="Microsoft JhengHei" w:hint="eastAsia"/>
                <w:b/>
                <w:sz w:val="21"/>
              </w:rPr>
            </w:pPr>
            <w:r>
              <w:rPr>
                <w:rFonts w:ascii="微软雅黑" w:eastAsia="微软雅黑" w:hint="eastAsia"/>
                <w:b/>
                <w:w w:val="95"/>
                <w:sz w:val="21"/>
              </w:rPr>
              <w:t>41</w:t>
            </w:r>
            <w:r>
              <w:rPr>
                <w:rFonts w:ascii="Microsoft JhengHei" w:eastAsia="Microsoft JhengHei" w:hint="eastAsia"/>
                <w:b/>
                <w:w w:val="95"/>
                <w:sz w:val="21"/>
              </w:rPr>
              <w:t>、严重川崎病</w:t>
            </w:r>
          </w:p>
        </w:tc>
        <w:tc>
          <w:tcPr>
            <w:tcW w:w="7918" w:type="dxa"/>
          </w:tcPr>
          <w:p>
            <w:pPr>
              <w:pStyle w:val="TableParagraph"/>
              <w:spacing w:line="273" w:lineRule="auto" w:before="108"/>
              <w:ind w:right="301"/>
              <w:jc w:val="both"/>
              <w:rPr>
                <w:sz w:val="21"/>
              </w:rPr>
            </w:pPr>
            <w:r>
              <w:rPr>
                <w:spacing w:val="-8"/>
                <w:sz w:val="21"/>
              </w:rPr>
              <w:t>川崎病为一种病因不明的系统性血管炎。本合同所指严重川崎病是指经心脏超声心</w:t>
            </w:r>
            <w:r>
              <w:rPr>
                <w:spacing w:val="-7"/>
                <w:sz w:val="21"/>
              </w:rPr>
              <w:t>动图或冠脉造影检查证实川崎病并发冠状动脉瘤，并且实际接受了手术治疗的情况。</w:t>
            </w:r>
          </w:p>
        </w:tc>
      </w:tr>
      <w:tr>
        <w:trPr>
          <w:trHeight w:val="2399" w:hRule="atLeast"/>
        </w:trPr>
        <w:tc>
          <w:tcPr>
            <w:tcW w:w="2017" w:type="dxa"/>
          </w:tcPr>
          <w:p>
            <w:pPr>
              <w:pStyle w:val="TableParagraph"/>
              <w:spacing w:line="199" w:lineRule="auto" w:before="75"/>
              <w:ind w:left="200" w:right="130"/>
              <w:rPr>
                <w:rFonts w:ascii="Microsoft JhengHei" w:eastAsia="Microsoft JhengHei" w:hint="eastAsia"/>
                <w:b/>
                <w:sz w:val="21"/>
              </w:rPr>
            </w:pPr>
            <w:r>
              <w:rPr>
                <w:rFonts w:ascii="微软雅黑" w:eastAsia="微软雅黑" w:hint="eastAsia"/>
                <w:b/>
                <w:w w:val="95"/>
                <w:sz w:val="21"/>
              </w:rPr>
              <w:t>42</w:t>
            </w:r>
            <w:r>
              <w:rPr>
                <w:rFonts w:ascii="Microsoft JhengHei" w:eastAsia="Microsoft JhengHei" w:hint="eastAsia"/>
                <w:b/>
                <w:w w:val="95"/>
                <w:sz w:val="21"/>
              </w:rPr>
              <w:t>、细菌性脑脊髓</w:t>
            </w:r>
            <w:r>
              <w:rPr>
                <w:rFonts w:ascii="Microsoft JhengHei" w:eastAsia="Microsoft JhengHei" w:hint="eastAsia"/>
                <w:b/>
                <w:sz w:val="21"/>
              </w:rPr>
              <w:t>膜炎</w:t>
            </w:r>
          </w:p>
        </w:tc>
        <w:tc>
          <w:tcPr>
            <w:tcW w:w="7918" w:type="dxa"/>
          </w:tcPr>
          <w:p>
            <w:pPr>
              <w:pStyle w:val="TableParagraph"/>
              <w:spacing w:line="273" w:lineRule="auto" w:before="91"/>
              <w:ind w:right="302"/>
              <w:jc w:val="both"/>
              <w:rPr>
                <w:sz w:val="21"/>
              </w:rPr>
            </w:pPr>
            <w:r>
              <w:rPr>
                <w:spacing w:val="-8"/>
                <w:sz w:val="21"/>
              </w:rPr>
              <w:t>指因细菌引起脑和脊髓的脑脊膜炎性感染，经脑脊液细菌学检查确诊，且导致永久</w:t>
            </w:r>
            <w:r>
              <w:rPr>
                <w:spacing w:val="-12"/>
                <w:sz w:val="21"/>
              </w:rPr>
              <w:t>性神经损伤。永久性神经损伤是指经我们认可的神经专科医师明确诊断，遗留下列</w:t>
            </w:r>
            <w:r>
              <w:rPr>
                <w:spacing w:val="-6"/>
                <w:sz w:val="21"/>
              </w:rPr>
              <w:t>残疾之一而无法复原并持续达一百八十天以上者：</w:t>
            </w:r>
          </w:p>
          <w:p>
            <w:pPr>
              <w:pStyle w:val="TableParagraph"/>
              <w:spacing w:before="7"/>
              <w:jc w:val="both"/>
              <w:rPr>
                <w:sz w:val="21"/>
              </w:rPr>
            </w:pPr>
            <w:r>
              <w:rPr>
                <w:sz w:val="21"/>
              </w:rPr>
              <w:t>（1）符合神经精神病学标准的严重认知功能障碍，而需持续监护；</w:t>
            </w:r>
          </w:p>
          <w:p>
            <w:pPr>
              <w:pStyle w:val="TableParagraph"/>
              <w:spacing w:before="37"/>
              <w:jc w:val="both"/>
              <w:rPr>
                <w:sz w:val="21"/>
              </w:rPr>
            </w:pPr>
            <w:r>
              <w:rPr>
                <w:sz w:val="21"/>
              </w:rPr>
              <w:t>（2）听力丧失或失明；</w:t>
            </w:r>
          </w:p>
          <w:p>
            <w:pPr>
              <w:pStyle w:val="TableParagraph"/>
              <w:spacing w:before="37"/>
              <w:jc w:val="both"/>
              <w:rPr>
                <w:sz w:val="21"/>
              </w:rPr>
            </w:pPr>
            <w:r>
              <w:rPr>
                <w:sz w:val="21"/>
              </w:rPr>
              <w:t>（3）语言机能丧失；</w:t>
            </w:r>
          </w:p>
          <w:p>
            <w:pPr>
              <w:pStyle w:val="TableParagraph"/>
              <w:spacing w:before="37"/>
              <w:jc w:val="both"/>
              <w:rPr>
                <w:sz w:val="21"/>
              </w:rPr>
            </w:pPr>
            <w:r>
              <w:rPr>
                <w:sz w:val="21"/>
              </w:rPr>
              <w:t>（4）肌体功能障碍，导致无法完成其中三项或三项以上的日常生活活动。</w:t>
            </w:r>
          </w:p>
        </w:tc>
      </w:tr>
      <w:tr>
        <w:trPr>
          <w:trHeight w:val="1150" w:hRule="atLeast"/>
        </w:trPr>
        <w:tc>
          <w:tcPr>
            <w:tcW w:w="2017" w:type="dxa"/>
          </w:tcPr>
          <w:p>
            <w:pPr>
              <w:pStyle w:val="TableParagraph"/>
              <w:spacing w:line="199" w:lineRule="auto" w:before="76"/>
              <w:ind w:left="200" w:right="130"/>
              <w:rPr>
                <w:rFonts w:ascii="Microsoft JhengHei" w:eastAsia="Microsoft JhengHei" w:hint="eastAsia"/>
                <w:b/>
                <w:sz w:val="21"/>
              </w:rPr>
            </w:pPr>
            <w:r>
              <w:rPr>
                <w:rFonts w:ascii="微软雅黑" w:eastAsia="微软雅黑" w:hint="eastAsia"/>
                <w:b/>
                <w:w w:val="95"/>
                <w:sz w:val="21"/>
              </w:rPr>
              <w:t>43</w:t>
            </w:r>
            <w:r>
              <w:rPr>
                <w:rFonts w:ascii="Microsoft JhengHei" w:eastAsia="Microsoft JhengHei" w:hint="eastAsia"/>
                <w:b/>
                <w:w w:val="95"/>
                <w:sz w:val="21"/>
              </w:rPr>
              <w:t>、严重幼年类风</w:t>
            </w:r>
            <w:r>
              <w:rPr>
                <w:rFonts w:ascii="Microsoft JhengHei" w:eastAsia="Microsoft JhengHei" w:hint="eastAsia"/>
                <w:b/>
                <w:sz w:val="21"/>
              </w:rPr>
              <w:t>湿关节炎</w:t>
            </w:r>
          </w:p>
        </w:tc>
        <w:tc>
          <w:tcPr>
            <w:tcW w:w="7918" w:type="dxa"/>
          </w:tcPr>
          <w:p>
            <w:pPr>
              <w:pStyle w:val="TableParagraph"/>
              <w:spacing w:line="273" w:lineRule="auto" w:before="92"/>
              <w:ind w:right="301"/>
              <w:jc w:val="both"/>
              <w:rPr>
                <w:sz w:val="21"/>
              </w:rPr>
            </w:pPr>
            <w:r>
              <w:rPr>
                <w:sz w:val="21"/>
              </w:rPr>
              <w:t>幼年类风湿关节炎是一种儿童期结缔组织病。诊断必须由小儿风湿科专科医生确</w:t>
            </w:r>
            <w:r>
              <w:rPr>
                <w:spacing w:val="-12"/>
                <w:sz w:val="21"/>
              </w:rPr>
              <w:t>认。本合同仅对实际接受了膝关节或髋关节置换手术治疗的严重的幼年类风湿关节</w:t>
            </w:r>
            <w:r>
              <w:rPr>
                <w:spacing w:val="-6"/>
                <w:sz w:val="21"/>
              </w:rPr>
              <w:t>炎予以理赔。</w:t>
            </w:r>
          </w:p>
        </w:tc>
      </w:tr>
      <w:tr>
        <w:trPr>
          <w:trHeight w:val="1462" w:hRule="atLeast"/>
        </w:trPr>
        <w:tc>
          <w:tcPr>
            <w:tcW w:w="2017" w:type="dxa"/>
          </w:tcPr>
          <w:p>
            <w:pPr>
              <w:pStyle w:val="TableParagraph"/>
              <w:spacing w:line="199" w:lineRule="auto" w:before="75"/>
              <w:ind w:left="200" w:right="130"/>
              <w:rPr>
                <w:rFonts w:ascii="Microsoft JhengHei" w:eastAsia="Microsoft JhengHei" w:hint="eastAsia"/>
                <w:b/>
                <w:sz w:val="21"/>
              </w:rPr>
            </w:pPr>
            <w:r>
              <w:rPr>
                <w:rFonts w:ascii="微软雅黑" w:eastAsia="微软雅黑" w:hint="eastAsia"/>
                <w:b/>
                <w:w w:val="95"/>
                <w:sz w:val="21"/>
              </w:rPr>
              <w:t>44</w:t>
            </w:r>
            <w:r>
              <w:rPr>
                <w:rFonts w:ascii="Microsoft JhengHei" w:eastAsia="Microsoft JhengHei" w:hint="eastAsia"/>
                <w:b/>
                <w:w w:val="95"/>
                <w:sz w:val="21"/>
              </w:rPr>
              <w:t>、严重溃疡性结</w:t>
            </w:r>
            <w:r>
              <w:rPr>
                <w:rFonts w:ascii="Microsoft JhengHei" w:eastAsia="Microsoft JhengHei" w:hint="eastAsia"/>
                <w:b/>
                <w:sz w:val="21"/>
              </w:rPr>
              <w:t>肠炎</w:t>
            </w:r>
          </w:p>
        </w:tc>
        <w:tc>
          <w:tcPr>
            <w:tcW w:w="7918" w:type="dxa"/>
          </w:tcPr>
          <w:p>
            <w:pPr>
              <w:pStyle w:val="TableParagraph"/>
              <w:spacing w:line="273" w:lineRule="auto" w:before="91"/>
              <w:ind w:right="301"/>
              <w:jc w:val="both"/>
              <w:rPr>
                <w:sz w:val="21"/>
              </w:rPr>
            </w:pPr>
            <w:r>
              <w:rPr>
                <w:sz w:val="21"/>
              </w:rPr>
              <w:t>本保单所保障的溃疡性结肠炎是指伴有致命性电解质紊乱的急性暴发性溃疡性结</w:t>
            </w:r>
            <w:r>
              <w:rPr>
                <w:spacing w:val="-11"/>
                <w:sz w:val="21"/>
              </w:rPr>
              <w:t>肠炎，病变累及全结肠，表现为严重的血便和系统性症状体征，治疗通常采取全结</w:t>
            </w:r>
            <w:r>
              <w:rPr>
                <w:spacing w:val="-12"/>
                <w:sz w:val="21"/>
              </w:rPr>
              <w:t>肠切除和回肠造瘘术。溃疡性结肠炎必须根据组织病理学特点诊断，并且被保险人</w:t>
            </w:r>
            <w:r>
              <w:rPr>
                <w:spacing w:val="-6"/>
                <w:sz w:val="21"/>
              </w:rPr>
              <w:t>已经接受了结肠切除和回肠造瘘术。</w:t>
            </w:r>
          </w:p>
        </w:tc>
      </w:tr>
      <w:tr>
        <w:trPr>
          <w:trHeight w:val="2872" w:hRule="atLeast"/>
        </w:trPr>
        <w:tc>
          <w:tcPr>
            <w:tcW w:w="2017" w:type="dxa"/>
          </w:tcPr>
          <w:p>
            <w:pPr>
              <w:pStyle w:val="TableParagraph"/>
              <w:spacing w:line="199" w:lineRule="auto" w:before="76"/>
              <w:ind w:left="200" w:right="130"/>
              <w:rPr>
                <w:rFonts w:ascii="Microsoft JhengHei" w:eastAsia="Microsoft JhengHei" w:hint="eastAsia"/>
                <w:b/>
                <w:sz w:val="21"/>
              </w:rPr>
            </w:pPr>
            <w:r>
              <w:rPr>
                <w:rFonts w:ascii="微软雅黑" w:eastAsia="微软雅黑" w:hint="eastAsia"/>
                <w:b/>
                <w:w w:val="95"/>
                <w:sz w:val="21"/>
              </w:rPr>
              <w:t>45</w:t>
            </w:r>
            <w:r>
              <w:rPr>
                <w:rFonts w:ascii="Microsoft JhengHei" w:eastAsia="Microsoft JhengHei" w:hint="eastAsia"/>
                <w:b/>
                <w:w w:val="95"/>
                <w:sz w:val="21"/>
              </w:rPr>
              <w:t>、慢性肾上腺皮</w:t>
            </w:r>
            <w:r>
              <w:rPr>
                <w:rFonts w:ascii="Microsoft JhengHei" w:eastAsia="Microsoft JhengHei" w:hint="eastAsia"/>
                <w:b/>
                <w:sz w:val="21"/>
              </w:rPr>
              <w:t>质功能衰竭</w:t>
            </w:r>
          </w:p>
        </w:tc>
        <w:tc>
          <w:tcPr>
            <w:tcW w:w="7918" w:type="dxa"/>
          </w:tcPr>
          <w:p>
            <w:pPr>
              <w:pStyle w:val="TableParagraph"/>
              <w:spacing w:line="273" w:lineRule="auto" w:before="92"/>
              <w:ind w:right="302"/>
              <w:jc w:val="both"/>
              <w:rPr>
                <w:sz w:val="21"/>
              </w:rPr>
            </w:pPr>
            <w:r>
              <w:rPr>
                <w:spacing w:val="-9"/>
                <w:sz w:val="21"/>
              </w:rPr>
              <w:t>因为自身免疫功能紊乱，使肾上腺组织逐渐受损，而需要长期接受糖皮质激素及肾</w:t>
            </w:r>
            <w:r>
              <w:rPr>
                <w:spacing w:val="-12"/>
                <w:sz w:val="21"/>
              </w:rPr>
              <w:t>上腺皮质激素替代疗法。该病必须经国家机关认可的有合法资质的内分泌专科医生</w:t>
            </w:r>
            <w:r>
              <w:rPr>
                <w:spacing w:val="-6"/>
                <w:sz w:val="21"/>
              </w:rPr>
              <w:t>确诊，并有以下报告作为证据：</w:t>
            </w:r>
          </w:p>
          <w:p>
            <w:pPr>
              <w:pStyle w:val="TableParagraph"/>
              <w:spacing w:before="7"/>
              <w:jc w:val="both"/>
              <w:rPr>
                <w:sz w:val="21"/>
              </w:rPr>
            </w:pPr>
            <w:r>
              <w:rPr>
                <w:sz w:val="21"/>
              </w:rPr>
              <w:t>（1）促肾上腺皮质激素(ACTH)刺激试验；</w:t>
            </w:r>
          </w:p>
          <w:p>
            <w:pPr>
              <w:pStyle w:val="TableParagraph"/>
              <w:spacing w:before="37"/>
              <w:jc w:val="both"/>
              <w:rPr>
                <w:sz w:val="21"/>
              </w:rPr>
            </w:pPr>
            <w:r>
              <w:rPr>
                <w:sz w:val="21"/>
              </w:rPr>
              <w:t>（2）胰岛素血糖减少测试；</w:t>
            </w:r>
          </w:p>
          <w:p>
            <w:pPr>
              <w:pStyle w:val="TableParagraph"/>
              <w:spacing w:before="37"/>
              <w:jc w:val="both"/>
              <w:rPr>
                <w:sz w:val="21"/>
              </w:rPr>
            </w:pPr>
            <w:r>
              <w:rPr>
                <w:sz w:val="21"/>
              </w:rPr>
              <w:t>（3）血浆促肾上腺皮质激素(ACTH)水平测定；</w:t>
            </w:r>
          </w:p>
          <w:p>
            <w:pPr>
              <w:pStyle w:val="TableParagraph"/>
              <w:spacing w:before="37"/>
              <w:jc w:val="both"/>
              <w:rPr>
                <w:sz w:val="21"/>
              </w:rPr>
            </w:pPr>
            <w:r>
              <w:rPr>
                <w:sz w:val="21"/>
              </w:rPr>
              <w:t>（4）血浆肾素活性(PRA)测定。</w:t>
            </w:r>
          </w:p>
          <w:p>
            <w:pPr>
              <w:pStyle w:val="TableParagraph"/>
              <w:spacing w:line="310" w:lineRule="atLeast" w:before="1"/>
              <w:ind w:right="301"/>
              <w:rPr>
                <w:sz w:val="21"/>
              </w:rPr>
            </w:pPr>
            <w:r>
              <w:rPr>
                <w:spacing w:val="-6"/>
                <w:sz w:val="21"/>
              </w:rPr>
              <w:t>慢性肾上腺皮质功能衰竭只对由自身免疫功能紊乱引起的承担保险责任，其他原因</w:t>
            </w:r>
            <w:r>
              <w:rPr>
                <w:spacing w:val="-4"/>
                <w:sz w:val="21"/>
              </w:rPr>
              <w:t>引起的除外。</w:t>
            </w:r>
          </w:p>
        </w:tc>
      </w:tr>
    </w:tbl>
    <w:p>
      <w:pPr>
        <w:spacing w:after="0" w:line="310" w:lineRule="atLeast"/>
        <w:rPr>
          <w:sz w:val="21"/>
        </w:rPr>
        <w:sectPr>
          <w:pgSz w:w="11910" w:h="16840"/>
          <w:pgMar w:top="1380" w:bottom="280" w:left="1380" w:right="3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3"/>
        <w:gridCol w:w="2060"/>
        <w:gridCol w:w="7793"/>
      </w:tblGrid>
      <w:tr>
        <w:trPr>
          <w:trHeight w:val="1942" w:hRule="atLeast"/>
        </w:trPr>
        <w:tc>
          <w:tcPr>
            <w:tcW w:w="863" w:type="dxa"/>
          </w:tcPr>
          <w:p>
            <w:pPr>
              <w:pStyle w:val="TableParagraph"/>
              <w:ind w:left="0"/>
              <w:rPr>
                <w:rFonts w:ascii="Times New Roman"/>
                <w:sz w:val="20"/>
              </w:rPr>
            </w:pPr>
          </w:p>
        </w:tc>
        <w:tc>
          <w:tcPr>
            <w:tcW w:w="2060" w:type="dxa"/>
          </w:tcPr>
          <w:p>
            <w:pPr>
              <w:pStyle w:val="TableParagraph"/>
              <w:spacing w:line="236" w:lineRule="exact"/>
              <w:ind w:left="239"/>
              <w:rPr>
                <w:rFonts w:ascii="Microsoft JhengHei" w:eastAsia="Microsoft JhengHei" w:hint="eastAsia"/>
                <w:b/>
                <w:sz w:val="21"/>
              </w:rPr>
            </w:pPr>
            <w:r>
              <w:rPr>
                <w:rFonts w:ascii="微软雅黑" w:eastAsia="微软雅黑" w:hint="eastAsia"/>
                <w:b/>
                <w:w w:val="95"/>
                <w:sz w:val="21"/>
              </w:rPr>
              <w:t>46</w:t>
            </w:r>
            <w:r>
              <w:rPr>
                <w:rFonts w:ascii="Microsoft JhengHei" w:eastAsia="Microsoft JhengHei" w:hint="eastAsia"/>
                <w:b/>
                <w:w w:val="95"/>
                <w:sz w:val="21"/>
              </w:rPr>
              <w:t>、严重哮喘</w:t>
            </w:r>
          </w:p>
        </w:tc>
        <w:tc>
          <w:tcPr>
            <w:tcW w:w="7793" w:type="dxa"/>
          </w:tcPr>
          <w:p>
            <w:pPr>
              <w:pStyle w:val="TableParagraph"/>
              <w:spacing w:line="223" w:lineRule="exact"/>
              <w:ind w:left="128"/>
              <w:rPr>
                <w:sz w:val="21"/>
              </w:rPr>
            </w:pPr>
            <w:r>
              <w:rPr>
                <w:sz w:val="21"/>
              </w:rPr>
              <w:t>被保险人必须在过去两年内曾发生哮喘持续状态，并符合以下其中两项标准，本公</w:t>
            </w:r>
          </w:p>
          <w:p>
            <w:pPr>
              <w:pStyle w:val="TableParagraph"/>
              <w:spacing w:before="37"/>
              <w:ind w:left="128"/>
              <w:rPr>
                <w:sz w:val="21"/>
              </w:rPr>
            </w:pPr>
            <w:r>
              <w:rPr>
                <w:sz w:val="21"/>
              </w:rPr>
              <w:t>司才承担保险责任：</w:t>
            </w:r>
          </w:p>
          <w:p>
            <w:pPr>
              <w:pStyle w:val="TableParagraph"/>
              <w:spacing w:before="36"/>
              <w:ind w:left="128"/>
              <w:rPr>
                <w:sz w:val="21"/>
              </w:rPr>
            </w:pPr>
            <w:r>
              <w:rPr>
                <w:sz w:val="21"/>
              </w:rPr>
              <w:t>（1）运动耐受力永久并持续地减少并且轻微的运动能引起气促；</w:t>
            </w:r>
          </w:p>
          <w:p>
            <w:pPr>
              <w:pStyle w:val="TableParagraph"/>
              <w:spacing w:before="36"/>
              <w:ind w:left="128"/>
              <w:rPr>
                <w:sz w:val="21"/>
              </w:rPr>
            </w:pPr>
            <w:r>
              <w:rPr>
                <w:sz w:val="21"/>
              </w:rPr>
              <w:t>（2）长期胸腔过渡膨胀而导致胸腔畸形；</w:t>
            </w:r>
          </w:p>
          <w:p>
            <w:pPr>
              <w:pStyle w:val="TableParagraph"/>
              <w:spacing w:before="36"/>
              <w:ind w:left="128"/>
              <w:rPr>
                <w:sz w:val="21"/>
              </w:rPr>
            </w:pPr>
            <w:r>
              <w:rPr>
                <w:sz w:val="21"/>
              </w:rPr>
              <w:t>（3）在家及在静息状态下需要吸氧；</w:t>
            </w:r>
          </w:p>
          <w:p>
            <w:pPr>
              <w:pStyle w:val="TableParagraph"/>
              <w:spacing w:before="36"/>
              <w:ind w:left="128"/>
              <w:rPr>
                <w:sz w:val="21"/>
              </w:rPr>
            </w:pPr>
            <w:r>
              <w:rPr>
                <w:sz w:val="21"/>
              </w:rPr>
              <w:t>（4）持续的每天服用类固醇药物(至少持续六个月以上)。</w:t>
            </w:r>
          </w:p>
        </w:tc>
      </w:tr>
      <w:tr>
        <w:trPr>
          <w:trHeight w:val="1786" w:hRule="atLeast"/>
        </w:trPr>
        <w:tc>
          <w:tcPr>
            <w:tcW w:w="863" w:type="dxa"/>
          </w:tcPr>
          <w:p>
            <w:pPr>
              <w:pStyle w:val="TableParagraph"/>
              <w:ind w:left="0"/>
              <w:rPr>
                <w:rFonts w:ascii="Times New Roman"/>
                <w:sz w:val="20"/>
              </w:rPr>
            </w:pPr>
          </w:p>
        </w:tc>
        <w:tc>
          <w:tcPr>
            <w:tcW w:w="2060" w:type="dxa"/>
          </w:tcPr>
          <w:p>
            <w:pPr>
              <w:pStyle w:val="TableParagraph"/>
              <w:spacing w:before="28"/>
              <w:ind w:left="239"/>
              <w:rPr>
                <w:rFonts w:ascii="Microsoft JhengHei" w:eastAsia="Microsoft JhengHei" w:hint="eastAsia"/>
                <w:b/>
                <w:sz w:val="21"/>
              </w:rPr>
            </w:pPr>
            <w:r>
              <w:rPr>
                <w:rFonts w:ascii="微软雅黑" w:eastAsia="微软雅黑" w:hint="eastAsia"/>
                <w:b/>
                <w:w w:val="95"/>
                <w:sz w:val="21"/>
              </w:rPr>
              <w:t>47</w:t>
            </w:r>
            <w:r>
              <w:rPr>
                <w:rFonts w:ascii="Microsoft JhengHei" w:eastAsia="Microsoft JhengHei" w:hint="eastAsia"/>
                <w:b/>
                <w:w w:val="95"/>
                <w:sz w:val="21"/>
              </w:rPr>
              <w:t>、坏死性筋膜炎</w:t>
            </w:r>
          </w:p>
        </w:tc>
        <w:tc>
          <w:tcPr>
            <w:tcW w:w="7793" w:type="dxa"/>
          </w:tcPr>
          <w:p>
            <w:pPr>
              <w:pStyle w:val="TableParagraph"/>
              <w:spacing w:before="106"/>
              <w:ind w:left="128"/>
              <w:rPr>
                <w:sz w:val="21"/>
              </w:rPr>
            </w:pPr>
            <w:r>
              <w:rPr>
                <w:sz w:val="21"/>
              </w:rPr>
              <w:t>坏死性筋膜炎的诊断须同时符合下列要求：</w:t>
            </w:r>
          </w:p>
          <w:p>
            <w:pPr>
              <w:pStyle w:val="TableParagraph"/>
              <w:spacing w:before="36"/>
              <w:ind w:left="128"/>
              <w:rPr>
                <w:sz w:val="21"/>
              </w:rPr>
            </w:pPr>
            <w:r>
              <w:rPr>
                <w:sz w:val="21"/>
              </w:rPr>
              <w:t>（1）符合坏死性筋膜炎的一般临床表现；</w:t>
            </w:r>
          </w:p>
          <w:p>
            <w:pPr>
              <w:pStyle w:val="TableParagraph"/>
              <w:spacing w:before="36"/>
              <w:ind w:left="128"/>
              <w:rPr>
                <w:sz w:val="21"/>
              </w:rPr>
            </w:pPr>
            <w:r>
              <w:rPr>
                <w:sz w:val="21"/>
              </w:rPr>
              <w:t>（2）细菌培养检出致病菌；</w:t>
            </w:r>
          </w:p>
          <w:p>
            <w:pPr>
              <w:pStyle w:val="TableParagraph"/>
              <w:spacing w:line="273" w:lineRule="auto" w:before="36"/>
              <w:ind w:left="128" w:right="201"/>
              <w:rPr>
                <w:sz w:val="21"/>
              </w:rPr>
            </w:pPr>
            <w:r>
              <w:rPr>
                <w:sz w:val="21"/>
              </w:rPr>
              <w:t>（3）出现广泛性肌肉及软组织坏死，并导致身体受影响部位永久完全失去功能。所谓永久完全失去功能是指受影响部位的功能丧失超过六个月者。</w:t>
            </w:r>
          </w:p>
        </w:tc>
      </w:tr>
      <w:tr>
        <w:trPr>
          <w:trHeight w:val="2411" w:hRule="atLeast"/>
        </w:trPr>
        <w:tc>
          <w:tcPr>
            <w:tcW w:w="863" w:type="dxa"/>
          </w:tcPr>
          <w:p>
            <w:pPr>
              <w:pStyle w:val="TableParagraph"/>
              <w:ind w:left="0"/>
              <w:rPr>
                <w:rFonts w:ascii="Times New Roman"/>
                <w:sz w:val="20"/>
              </w:rPr>
            </w:pPr>
          </w:p>
        </w:tc>
        <w:tc>
          <w:tcPr>
            <w:tcW w:w="2060" w:type="dxa"/>
          </w:tcPr>
          <w:p>
            <w:pPr>
              <w:pStyle w:val="TableParagraph"/>
              <w:spacing w:before="26"/>
              <w:ind w:left="239"/>
              <w:rPr>
                <w:rFonts w:ascii="Microsoft JhengHei" w:eastAsia="Microsoft JhengHei" w:hint="eastAsia"/>
                <w:b/>
                <w:sz w:val="21"/>
              </w:rPr>
            </w:pPr>
            <w:r>
              <w:rPr>
                <w:rFonts w:ascii="微软雅黑" w:eastAsia="微软雅黑" w:hint="eastAsia"/>
                <w:b/>
                <w:w w:val="95"/>
                <w:sz w:val="21"/>
              </w:rPr>
              <w:t>48</w:t>
            </w:r>
            <w:r>
              <w:rPr>
                <w:rFonts w:ascii="Microsoft JhengHei" w:eastAsia="Microsoft JhengHei" w:hint="eastAsia"/>
                <w:b/>
                <w:w w:val="95"/>
                <w:sz w:val="21"/>
              </w:rPr>
              <w:t>、疯牛病</w:t>
            </w:r>
          </w:p>
        </w:tc>
        <w:tc>
          <w:tcPr>
            <w:tcW w:w="7793" w:type="dxa"/>
          </w:tcPr>
          <w:p>
            <w:pPr>
              <w:pStyle w:val="TableParagraph"/>
              <w:spacing w:before="105"/>
              <w:ind w:left="128"/>
              <w:rPr>
                <w:sz w:val="21"/>
              </w:rPr>
            </w:pPr>
            <w:r>
              <w:rPr>
                <w:sz w:val="21"/>
              </w:rPr>
              <w:t>神经系统疾病及致命的成胶质状脑病，并有以下症状：</w:t>
            </w:r>
          </w:p>
          <w:p>
            <w:pPr>
              <w:pStyle w:val="TableParagraph"/>
              <w:spacing w:before="37"/>
              <w:ind w:left="128"/>
              <w:rPr>
                <w:sz w:val="21"/>
              </w:rPr>
            </w:pPr>
            <w:r>
              <w:rPr>
                <w:sz w:val="21"/>
              </w:rPr>
              <w:t>（1）不能控制的肌肉痉挛及震颤；</w:t>
            </w:r>
          </w:p>
          <w:p>
            <w:pPr>
              <w:pStyle w:val="TableParagraph"/>
              <w:spacing w:before="37"/>
              <w:ind w:left="128"/>
              <w:rPr>
                <w:sz w:val="21"/>
              </w:rPr>
            </w:pPr>
            <w:r>
              <w:rPr>
                <w:sz w:val="21"/>
              </w:rPr>
              <w:t>（2）逐渐痴呆；</w:t>
            </w:r>
          </w:p>
          <w:p>
            <w:pPr>
              <w:pStyle w:val="TableParagraph"/>
              <w:spacing w:before="37"/>
              <w:ind w:left="128"/>
              <w:rPr>
                <w:sz w:val="21"/>
              </w:rPr>
            </w:pPr>
            <w:r>
              <w:rPr>
                <w:sz w:val="21"/>
              </w:rPr>
              <w:t>（3）小脑功能不良，共济失调；</w:t>
            </w:r>
          </w:p>
          <w:p>
            <w:pPr>
              <w:pStyle w:val="TableParagraph"/>
              <w:spacing w:before="37"/>
              <w:ind w:left="128"/>
              <w:rPr>
                <w:sz w:val="21"/>
              </w:rPr>
            </w:pPr>
            <w:r>
              <w:rPr>
                <w:sz w:val="21"/>
              </w:rPr>
              <w:t>（4）手足徐动症；</w:t>
            </w:r>
          </w:p>
          <w:p>
            <w:pPr>
              <w:pStyle w:val="TableParagraph"/>
              <w:spacing w:line="273" w:lineRule="auto" w:before="37"/>
              <w:ind w:left="128" w:right="201"/>
              <w:rPr>
                <w:sz w:val="21"/>
              </w:rPr>
            </w:pPr>
            <w:r>
              <w:rPr>
                <w:spacing w:val="-8"/>
                <w:sz w:val="21"/>
              </w:rPr>
              <w:t>诊断必须经神经专科医生基于以下检查报告作出：脑电图、脑脊液报告、电脑断层</w:t>
            </w:r>
            <w:r>
              <w:rPr>
                <w:spacing w:val="-1"/>
                <w:sz w:val="21"/>
              </w:rPr>
              <w:t>扫描(CT</w:t>
            </w:r>
            <w:r>
              <w:rPr>
                <w:spacing w:val="-3"/>
                <w:sz w:val="21"/>
              </w:rPr>
              <w:t>)及核磁共振</w:t>
            </w:r>
            <w:r>
              <w:rPr>
                <w:spacing w:val="-1"/>
                <w:sz w:val="21"/>
              </w:rPr>
              <w:t>(MRI)</w:t>
            </w:r>
            <w:r>
              <w:rPr>
                <w:sz w:val="21"/>
              </w:rPr>
              <w:t>。</w:t>
            </w:r>
          </w:p>
        </w:tc>
      </w:tr>
      <w:tr>
        <w:trPr>
          <w:trHeight w:val="2411" w:hRule="atLeast"/>
        </w:trPr>
        <w:tc>
          <w:tcPr>
            <w:tcW w:w="863" w:type="dxa"/>
          </w:tcPr>
          <w:p>
            <w:pPr>
              <w:pStyle w:val="TableParagraph"/>
              <w:ind w:left="0"/>
              <w:rPr>
                <w:rFonts w:ascii="Times New Roman"/>
                <w:sz w:val="20"/>
              </w:rPr>
            </w:pPr>
          </w:p>
        </w:tc>
        <w:tc>
          <w:tcPr>
            <w:tcW w:w="2060" w:type="dxa"/>
          </w:tcPr>
          <w:p>
            <w:pPr>
              <w:pStyle w:val="TableParagraph"/>
              <w:spacing w:line="199" w:lineRule="auto" w:before="90"/>
              <w:ind w:left="239" w:right="133"/>
              <w:rPr>
                <w:rFonts w:ascii="Microsoft JhengHei" w:eastAsia="Microsoft JhengHei" w:hint="eastAsia"/>
                <w:b/>
                <w:sz w:val="21"/>
              </w:rPr>
            </w:pPr>
            <w:r>
              <w:rPr>
                <w:rFonts w:ascii="微软雅黑" w:eastAsia="微软雅黑" w:hint="eastAsia"/>
                <w:b/>
                <w:w w:val="95"/>
                <w:sz w:val="21"/>
              </w:rPr>
              <w:t>49</w:t>
            </w:r>
            <w:r>
              <w:rPr>
                <w:rFonts w:ascii="Microsoft JhengHei" w:eastAsia="Microsoft JhengHei" w:hint="eastAsia"/>
                <w:b/>
                <w:w w:val="95"/>
                <w:sz w:val="21"/>
              </w:rPr>
              <w:t>、原发性硬化性</w:t>
            </w:r>
            <w:r>
              <w:rPr>
                <w:rFonts w:ascii="Microsoft JhengHei" w:eastAsia="Microsoft JhengHei" w:hint="eastAsia"/>
                <w:b/>
                <w:sz w:val="21"/>
              </w:rPr>
              <w:t>胆管炎</w:t>
            </w:r>
          </w:p>
        </w:tc>
        <w:tc>
          <w:tcPr>
            <w:tcW w:w="7793" w:type="dxa"/>
          </w:tcPr>
          <w:p>
            <w:pPr>
              <w:pStyle w:val="TableParagraph"/>
              <w:spacing w:line="273" w:lineRule="auto" w:before="106"/>
              <w:ind w:left="128" w:right="201"/>
              <w:jc w:val="both"/>
              <w:rPr>
                <w:sz w:val="21"/>
              </w:rPr>
            </w:pPr>
            <w:r>
              <w:rPr>
                <w:spacing w:val="-9"/>
                <w:sz w:val="21"/>
              </w:rPr>
              <w:t>指一种胆汁淤积综合征，其特征是肝内、肝外胆道因纤维化性炎症逐渐狭窄，并最终导致完全阻塞而发展为肝硬化。本病须经内镜逆行胰胆管造影等影像学检查证</w:t>
            </w:r>
            <w:r>
              <w:rPr>
                <w:spacing w:val="-5"/>
                <w:sz w:val="21"/>
              </w:rPr>
              <w:t>实，并须满足下列全部条件：</w:t>
            </w:r>
          </w:p>
          <w:p>
            <w:pPr>
              <w:pStyle w:val="TableParagraph"/>
              <w:spacing w:before="7"/>
              <w:ind w:left="128"/>
              <w:jc w:val="both"/>
              <w:rPr>
                <w:sz w:val="21"/>
              </w:rPr>
            </w:pPr>
            <w:r>
              <w:rPr>
                <w:sz w:val="21"/>
              </w:rPr>
              <w:t>（1）总胆红素和直接胆红素同时升高，血清ALP&gt;200U/L；</w:t>
            </w:r>
          </w:p>
          <w:p>
            <w:pPr>
              <w:pStyle w:val="TableParagraph"/>
              <w:spacing w:before="37"/>
              <w:ind w:left="128"/>
              <w:jc w:val="both"/>
              <w:rPr>
                <w:sz w:val="21"/>
              </w:rPr>
            </w:pPr>
            <w:r>
              <w:rPr>
                <w:sz w:val="21"/>
              </w:rPr>
              <w:t>（2）持续性黄疸病史；</w:t>
            </w:r>
          </w:p>
          <w:p>
            <w:pPr>
              <w:pStyle w:val="TableParagraph"/>
              <w:spacing w:before="37"/>
              <w:ind w:left="128"/>
              <w:jc w:val="both"/>
              <w:rPr>
                <w:sz w:val="21"/>
              </w:rPr>
            </w:pPr>
            <w:r>
              <w:rPr>
                <w:sz w:val="21"/>
              </w:rPr>
              <w:t>（3）出现胆汁性肝硬化或门脉高压。</w:t>
            </w:r>
          </w:p>
          <w:p>
            <w:pPr>
              <w:pStyle w:val="TableParagraph"/>
              <w:spacing w:before="36"/>
              <w:ind w:left="128"/>
              <w:jc w:val="both"/>
              <w:rPr>
                <w:sz w:val="21"/>
              </w:rPr>
            </w:pPr>
            <w:r>
              <w:rPr>
                <w:sz w:val="21"/>
              </w:rPr>
              <w:t>因肿瘤或胆管损伤等继发性的硬化性胆管炎不在保障范围内。</w:t>
            </w:r>
          </w:p>
        </w:tc>
      </w:tr>
      <w:tr>
        <w:trPr>
          <w:trHeight w:val="2728" w:hRule="atLeast"/>
        </w:trPr>
        <w:tc>
          <w:tcPr>
            <w:tcW w:w="863" w:type="dxa"/>
          </w:tcPr>
          <w:p>
            <w:pPr>
              <w:pStyle w:val="TableParagraph"/>
              <w:ind w:left="0"/>
              <w:rPr>
                <w:rFonts w:ascii="Times New Roman"/>
                <w:sz w:val="20"/>
              </w:rPr>
            </w:pPr>
          </w:p>
        </w:tc>
        <w:tc>
          <w:tcPr>
            <w:tcW w:w="2060" w:type="dxa"/>
          </w:tcPr>
          <w:p>
            <w:pPr>
              <w:pStyle w:val="TableParagraph"/>
              <w:spacing w:line="340" w:lineRule="exact" w:before="26"/>
              <w:ind w:left="239"/>
              <w:rPr>
                <w:rFonts w:ascii="Microsoft JhengHei" w:eastAsia="Microsoft JhengHei" w:hint="eastAsia"/>
                <w:b/>
                <w:sz w:val="21"/>
              </w:rPr>
            </w:pPr>
            <w:r>
              <w:rPr>
                <w:rFonts w:ascii="微软雅黑" w:eastAsia="微软雅黑" w:hint="eastAsia"/>
                <w:b/>
                <w:w w:val="95"/>
                <w:sz w:val="21"/>
              </w:rPr>
              <w:t>50</w:t>
            </w:r>
            <w:r>
              <w:rPr>
                <w:rFonts w:ascii="Microsoft JhengHei" w:eastAsia="Microsoft JhengHei" w:hint="eastAsia"/>
                <w:b/>
                <w:w w:val="95"/>
                <w:sz w:val="21"/>
              </w:rPr>
              <w:t>、肝豆状核变性</w:t>
            </w:r>
          </w:p>
          <w:p>
            <w:pPr>
              <w:pStyle w:val="TableParagraph"/>
              <w:spacing w:line="340" w:lineRule="exact"/>
              <w:ind w:left="239"/>
              <w:rPr>
                <w:rFonts w:ascii="微软雅黑" w:eastAsia="微软雅黑" w:hint="eastAsia"/>
                <w:b/>
                <w:sz w:val="21"/>
              </w:rPr>
            </w:pPr>
            <w:r>
              <w:rPr>
                <w:rFonts w:ascii="微软雅黑" w:eastAsia="微软雅黑" w:hint="eastAsia"/>
                <w:b/>
                <w:w w:val="95"/>
                <w:sz w:val="21"/>
              </w:rPr>
              <w:t>(Wilson </w:t>
            </w:r>
            <w:r>
              <w:rPr>
                <w:rFonts w:ascii="Microsoft JhengHei" w:eastAsia="Microsoft JhengHei" w:hint="eastAsia"/>
                <w:b/>
                <w:w w:val="95"/>
                <w:sz w:val="21"/>
              </w:rPr>
              <w:t>病</w:t>
            </w:r>
            <w:r>
              <w:rPr>
                <w:rFonts w:ascii="微软雅黑" w:eastAsia="微软雅黑" w:hint="eastAsia"/>
                <w:b/>
                <w:w w:val="95"/>
                <w:sz w:val="21"/>
              </w:rPr>
              <w:t>)</w:t>
            </w:r>
          </w:p>
        </w:tc>
        <w:tc>
          <w:tcPr>
            <w:tcW w:w="7793" w:type="dxa"/>
          </w:tcPr>
          <w:p>
            <w:pPr>
              <w:pStyle w:val="TableParagraph"/>
              <w:spacing w:line="273" w:lineRule="auto" w:before="105"/>
              <w:ind w:right="208"/>
              <w:rPr>
                <w:sz w:val="21"/>
              </w:rPr>
            </w:pPr>
            <w:r>
              <w:rPr>
                <w:sz w:val="21"/>
              </w:rPr>
              <w:t>指由于先天性铜代谢障碍所引起的一种疾病，其特点为肝硬化与双侧脑基底神经节变性同时存在，且须经专科医生明确诊断，并同时必须具备下列情况：</w:t>
            </w:r>
          </w:p>
          <w:p>
            <w:pPr>
              <w:pStyle w:val="TableParagraph"/>
              <w:spacing w:line="273" w:lineRule="auto" w:before="7"/>
              <w:ind w:right="203"/>
              <w:rPr>
                <w:sz w:val="21"/>
              </w:rPr>
            </w:pPr>
            <w:r>
              <w:rPr>
                <w:sz w:val="21"/>
              </w:rPr>
              <w:t>（1）临床表现包括：进行性加剧的肢体震颤，肌强直，吞咽及发音困难，精神异常。</w:t>
            </w:r>
          </w:p>
          <w:p>
            <w:pPr>
              <w:pStyle w:val="TableParagraph"/>
              <w:spacing w:before="7"/>
              <w:rPr>
                <w:sz w:val="21"/>
              </w:rPr>
            </w:pPr>
            <w:r>
              <w:rPr>
                <w:sz w:val="21"/>
              </w:rPr>
              <w:t>（2）角膜色素环（K-F 环）。</w:t>
            </w:r>
          </w:p>
          <w:p>
            <w:pPr>
              <w:pStyle w:val="TableParagraph"/>
              <w:spacing w:before="36"/>
              <w:rPr>
                <w:sz w:val="21"/>
              </w:rPr>
            </w:pPr>
            <w:r>
              <w:rPr>
                <w:sz w:val="21"/>
              </w:rPr>
              <w:t>（3）血清铜和血清铜蓝蛋白降低，尿铜增加。</w:t>
            </w:r>
          </w:p>
          <w:p>
            <w:pPr>
              <w:pStyle w:val="TableParagraph"/>
              <w:spacing w:before="36"/>
              <w:rPr>
                <w:sz w:val="21"/>
              </w:rPr>
            </w:pPr>
            <w:r>
              <w:rPr>
                <w:sz w:val="21"/>
              </w:rPr>
              <w:t>（4）食管静脉曲张</w:t>
            </w:r>
          </w:p>
          <w:p>
            <w:pPr>
              <w:pStyle w:val="TableParagraph"/>
              <w:spacing w:before="36"/>
              <w:ind w:left="128"/>
              <w:rPr>
                <w:sz w:val="21"/>
              </w:rPr>
            </w:pPr>
            <w:r>
              <w:rPr>
                <w:sz w:val="21"/>
              </w:rPr>
              <w:t>（5）腹水。</w:t>
            </w:r>
          </w:p>
        </w:tc>
      </w:tr>
      <w:tr>
        <w:trPr>
          <w:trHeight w:val="1164" w:hRule="atLeast"/>
        </w:trPr>
        <w:tc>
          <w:tcPr>
            <w:tcW w:w="863" w:type="dxa"/>
          </w:tcPr>
          <w:p>
            <w:pPr>
              <w:pStyle w:val="TableParagraph"/>
              <w:spacing w:before="38"/>
              <w:ind w:left="200"/>
              <w:rPr>
                <w:rFonts w:ascii="微软雅黑"/>
                <w:b/>
                <w:sz w:val="21"/>
              </w:rPr>
            </w:pPr>
            <w:r>
              <w:rPr>
                <w:rFonts w:ascii="微软雅黑"/>
                <w:b/>
                <w:sz w:val="21"/>
              </w:rPr>
              <w:t>9.9</w:t>
            </w:r>
          </w:p>
        </w:tc>
        <w:tc>
          <w:tcPr>
            <w:tcW w:w="2060" w:type="dxa"/>
          </w:tcPr>
          <w:p>
            <w:pPr>
              <w:pStyle w:val="TableParagraph"/>
              <w:spacing w:before="38"/>
              <w:ind w:left="239"/>
              <w:rPr>
                <w:rFonts w:ascii="微软雅黑" w:eastAsia="微软雅黑" w:hint="eastAsia"/>
                <w:b/>
                <w:sz w:val="21"/>
              </w:rPr>
            </w:pPr>
            <w:r>
              <w:rPr>
                <w:rFonts w:ascii="微软雅黑" w:eastAsia="微软雅黑" w:hint="eastAsia"/>
                <w:b/>
                <w:sz w:val="21"/>
              </w:rPr>
              <w:t>毒品</w:t>
            </w:r>
          </w:p>
        </w:tc>
        <w:tc>
          <w:tcPr>
            <w:tcW w:w="7793" w:type="dxa"/>
          </w:tcPr>
          <w:p>
            <w:pPr>
              <w:pStyle w:val="TableParagraph"/>
              <w:spacing w:line="273" w:lineRule="auto" w:before="100"/>
              <w:ind w:left="128" w:right="199"/>
              <w:jc w:val="both"/>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w:t>
            </w:r>
            <w:r>
              <w:rPr>
                <w:spacing w:val="-7"/>
                <w:sz w:val="21"/>
              </w:rPr>
              <w:t>可卡因以及国家规定管制的其他能够使人形成瘾癖的麻醉药品和精神药品，但不包</w:t>
            </w:r>
            <w:r>
              <w:rPr>
                <w:spacing w:val="-5"/>
                <w:sz w:val="21"/>
              </w:rPr>
              <w:t>括由医生开具并遵医嘱使用的用于治疗疾病但含有毒品成分的处方药品。</w:t>
            </w:r>
          </w:p>
        </w:tc>
      </w:tr>
      <w:tr>
        <w:trPr>
          <w:trHeight w:val="1162" w:hRule="atLeast"/>
        </w:trPr>
        <w:tc>
          <w:tcPr>
            <w:tcW w:w="863" w:type="dxa"/>
          </w:tcPr>
          <w:p>
            <w:pPr>
              <w:pStyle w:val="TableParagraph"/>
              <w:spacing w:before="38"/>
              <w:ind w:left="200"/>
              <w:rPr>
                <w:rFonts w:ascii="微软雅黑"/>
                <w:b/>
                <w:sz w:val="21"/>
              </w:rPr>
            </w:pPr>
            <w:r>
              <w:rPr>
                <w:rFonts w:ascii="微软雅黑"/>
                <w:b/>
                <w:sz w:val="21"/>
              </w:rPr>
              <w:t>9.10</w:t>
            </w:r>
          </w:p>
        </w:tc>
        <w:tc>
          <w:tcPr>
            <w:tcW w:w="2060" w:type="dxa"/>
          </w:tcPr>
          <w:p>
            <w:pPr>
              <w:pStyle w:val="TableParagraph"/>
              <w:spacing w:before="38"/>
              <w:ind w:left="239"/>
              <w:rPr>
                <w:rFonts w:ascii="微软雅黑" w:eastAsia="微软雅黑" w:hint="eastAsia"/>
                <w:b/>
                <w:sz w:val="21"/>
              </w:rPr>
            </w:pPr>
            <w:r>
              <w:rPr>
                <w:rFonts w:ascii="微软雅黑" w:eastAsia="微软雅黑" w:hint="eastAsia"/>
                <w:b/>
                <w:sz w:val="21"/>
              </w:rPr>
              <w:t>酒后驾驶</w:t>
            </w:r>
          </w:p>
        </w:tc>
        <w:tc>
          <w:tcPr>
            <w:tcW w:w="7793" w:type="dxa"/>
          </w:tcPr>
          <w:p>
            <w:pPr>
              <w:pStyle w:val="TableParagraph"/>
              <w:spacing w:line="273" w:lineRule="auto" w:before="100"/>
              <w:ind w:left="128" w:right="199"/>
              <w:jc w:val="both"/>
              <w:rPr>
                <w:sz w:val="21"/>
              </w:rPr>
            </w:pPr>
            <w:r>
              <w:rPr>
                <w:spacing w:val="-12"/>
                <w:sz w:val="21"/>
              </w:rPr>
              <w:t>指经检测或鉴定，发生事故时车辆驾驶人员每百毫升血液中的酒精含量达到或超过一定的标准，公安机关交通管理部门依据《道路交通安全法》的规定认定为饮酒后</w:t>
            </w:r>
            <w:r>
              <w:rPr>
                <w:spacing w:val="-6"/>
                <w:sz w:val="21"/>
              </w:rPr>
              <w:t>驾驶或醉酒后驾驶。</w:t>
            </w:r>
          </w:p>
        </w:tc>
      </w:tr>
      <w:tr>
        <w:trPr>
          <w:trHeight w:val="374" w:hRule="atLeast"/>
        </w:trPr>
        <w:tc>
          <w:tcPr>
            <w:tcW w:w="863" w:type="dxa"/>
          </w:tcPr>
          <w:p>
            <w:pPr>
              <w:pStyle w:val="TableParagraph"/>
              <w:spacing w:line="317" w:lineRule="exact" w:before="37"/>
              <w:ind w:left="200"/>
              <w:rPr>
                <w:rFonts w:ascii="微软雅黑"/>
                <w:b/>
                <w:sz w:val="21"/>
              </w:rPr>
            </w:pPr>
            <w:r>
              <w:rPr>
                <w:rFonts w:ascii="微软雅黑"/>
                <w:b/>
                <w:sz w:val="21"/>
              </w:rPr>
              <w:t>9.11</w:t>
            </w:r>
          </w:p>
        </w:tc>
        <w:tc>
          <w:tcPr>
            <w:tcW w:w="2060" w:type="dxa"/>
          </w:tcPr>
          <w:p>
            <w:pPr>
              <w:pStyle w:val="TableParagraph"/>
              <w:spacing w:line="317" w:lineRule="exact" w:before="37"/>
              <w:ind w:left="239"/>
              <w:rPr>
                <w:rFonts w:ascii="微软雅黑" w:eastAsia="微软雅黑" w:hint="eastAsia"/>
                <w:b/>
                <w:sz w:val="21"/>
              </w:rPr>
            </w:pPr>
            <w:r>
              <w:rPr>
                <w:rFonts w:ascii="微软雅黑" w:eastAsia="微软雅黑" w:hint="eastAsia"/>
                <w:b/>
                <w:sz w:val="21"/>
              </w:rPr>
              <w:t>无有效驾驶证驾驶</w:t>
            </w:r>
          </w:p>
        </w:tc>
        <w:tc>
          <w:tcPr>
            <w:tcW w:w="7793" w:type="dxa"/>
          </w:tcPr>
          <w:p>
            <w:pPr>
              <w:pStyle w:val="TableParagraph"/>
              <w:spacing w:line="255" w:lineRule="exact" w:before="99"/>
              <w:ind w:left="128"/>
              <w:rPr>
                <w:sz w:val="21"/>
              </w:rPr>
            </w:pPr>
            <w:r>
              <w:rPr>
                <w:sz w:val="21"/>
              </w:rPr>
              <w:t>指下列情形之一：</w:t>
            </w:r>
          </w:p>
        </w:tc>
      </w:tr>
    </w:tbl>
    <w:p>
      <w:pPr>
        <w:spacing w:after="0" w:line="255" w:lineRule="exact"/>
        <w:rPr>
          <w:sz w:val="21"/>
        </w:rPr>
        <w:sectPr>
          <w:pgSz w:w="11910" w:h="16840"/>
          <w:pgMar w:top="1380" w:bottom="280" w:left="480" w:right="50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3"/>
        <w:gridCol w:w="2060"/>
        <w:gridCol w:w="7917"/>
      </w:tblGrid>
      <w:tr>
        <w:trPr>
          <w:trHeight w:val="2248" w:hRule="atLeast"/>
        </w:trPr>
        <w:tc>
          <w:tcPr>
            <w:tcW w:w="863" w:type="dxa"/>
          </w:tcPr>
          <w:p>
            <w:pPr>
              <w:pStyle w:val="TableParagraph"/>
              <w:ind w:left="0"/>
              <w:rPr>
                <w:rFonts w:ascii="Times New Roman"/>
                <w:sz w:val="20"/>
              </w:rPr>
            </w:pPr>
          </w:p>
        </w:tc>
        <w:tc>
          <w:tcPr>
            <w:tcW w:w="2060" w:type="dxa"/>
          </w:tcPr>
          <w:p>
            <w:pPr>
              <w:pStyle w:val="TableParagraph"/>
              <w:ind w:left="0"/>
              <w:rPr>
                <w:rFonts w:ascii="Times New Roman"/>
                <w:sz w:val="20"/>
              </w:rPr>
            </w:pPr>
          </w:p>
        </w:tc>
        <w:tc>
          <w:tcPr>
            <w:tcW w:w="7917" w:type="dxa"/>
          </w:tcPr>
          <w:p>
            <w:pPr>
              <w:pStyle w:val="TableParagraph"/>
              <w:spacing w:line="205" w:lineRule="exact"/>
              <w:ind w:left="128"/>
              <w:rPr>
                <w:sz w:val="21"/>
              </w:rPr>
            </w:pPr>
            <w:r>
              <w:rPr>
                <w:sz w:val="21"/>
              </w:rPr>
              <w:t>(一)没有驾驶证驾驶；</w:t>
            </w:r>
          </w:p>
          <w:p>
            <w:pPr>
              <w:pStyle w:val="TableParagraph"/>
              <w:spacing w:before="37"/>
              <w:ind w:left="128"/>
              <w:rPr>
                <w:sz w:val="21"/>
              </w:rPr>
            </w:pPr>
            <w:r>
              <w:rPr>
                <w:sz w:val="21"/>
              </w:rPr>
              <w:t>(二)驾驶与驾驶证准驾车型不相符合的车辆；</w:t>
            </w:r>
          </w:p>
          <w:p>
            <w:pPr>
              <w:pStyle w:val="TableParagraph"/>
              <w:spacing w:before="36"/>
              <w:ind w:left="128"/>
              <w:rPr>
                <w:sz w:val="21"/>
              </w:rPr>
            </w:pPr>
            <w:r>
              <w:rPr>
                <w:sz w:val="21"/>
              </w:rPr>
              <w:t>(三)驾驶员持审验不合格的驾驶证驾驶；</w:t>
            </w:r>
          </w:p>
          <w:p>
            <w:pPr>
              <w:pStyle w:val="TableParagraph"/>
              <w:spacing w:before="36"/>
              <w:ind w:left="128"/>
              <w:rPr>
                <w:sz w:val="21"/>
              </w:rPr>
            </w:pPr>
            <w:r>
              <w:rPr>
                <w:sz w:val="21"/>
              </w:rPr>
              <w:t>(四)未经公安交通管理部门同意，持未审验的驾驶证驾驶；</w:t>
            </w:r>
          </w:p>
          <w:p>
            <w:pPr>
              <w:pStyle w:val="TableParagraph"/>
              <w:spacing w:line="273" w:lineRule="auto" w:before="36"/>
              <w:ind w:left="549" w:right="325" w:hanging="421"/>
              <w:rPr>
                <w:sz w:val="21"/>
              </w:rPr>
            </w:pPr>
            <w:r>
              <w:rPr>
                <w:spacing w:val="-9"/>
                <w:sz w:val="21"/>
              </w:rPr>
              <w:t>(五)持学习驾驶证学习驾车时，无教练员随车指导，或不按指定时间、路线学习驾车；</w:t>
            </w:r>
          </w:p>
          <w:p>
            <w:pPr>
              <w:pStyle w:val="TableParagraph"/>
              <w:spacing w:before="7"/>
              <w:ind w:left="128"/>
              <w:rPr>
                <w:sz w:val="21"/>
              </w:rPr>
            </w:pPr>
            <w:r>
              <w:rPr>
                <w:sz w:val="21"/>
              </w:rPr>
              <w:t>(六)公安交通管理部门规定的其他无有效驾驶证驾驶的情况。</w:t>
            </w:r>
          </w:p>
        </w:tc>
      </w:tr>
      <w:tr>
        <w:trPr>
          <w:trHeight w:val="1162" w:hRule="atLeast"/>
        </w:trPr>
        <w:tc>
          <w:tcPr>
            <w:tcW w:w="863" w:type="dxa"/>
          </w:tcPr>
          <w:p>
            <w:pPr>
              <w:pStyle w:val="TableParagraph"/>
              <w:spacing w:before="32"/>
              <w:ind w:left="168" w:right="206"/>
              <w:jc w:val="center"/>
              <w:rPr>
                <w:rFonts w:ascii="微软雅黑"/>
                <w:b/>
                <w:sz w:val="21"/>
              </w:rPr>
            </w:pPr>
            <w:r>
              <w:rPr>
                <w:rFonts w:ascii="微软雅黑"/>
                <w:b/>
                <w:sz w:val="21"/>
              </w:rPr>
              <w:t>9.12</w:t>
            </w:r>
          </w:p>
        </w:tc>
        <w:tc>
          <w:tcPr>
            <w:tcW w:w="2060" w:type="dxa"/>
          </w:tcPr>
          <w:p>
            <w:pPr>
              <w:pStyle w:val="TableParagraph"/>
              <w:spacing w:before="32"/>
              <w:ind w:left="239"/>
              <w:rPr>
                <w:rFonts w:ascii="微软雅黑" w:eastAsia="微软雅黑" w:hint="eastAsia"/>
                <w:b/>
                <w:sz w:val="21"/>
              </w:rPr>
            </w:pPr>
            <w:r>
              <w:rPr>
                <w:rFonts w:ascii="微软雅黑" w:eastAsia="微软雅黑" w:hint="eastAsia"/>
                <w:b/>
                <w:sz w:val="21"/>
              </w:rPr>
              <w:t>无有效行驶证</w:t>
            </w:r>
          </w:p>
        </w:tc>
        <w:tc>
          <w:tcPr>
            <w:tcW w:w="7917" w:type="dxa"/>
          </w:tcPr>
          <w:p>
            <w:pPr>
              <w:pStyle w:val="TableParagraph"/>
              <w:spacing w:before="94"/>
              <w:ind w:left="128"/>
              <w:rPr>
                <w:sz w:val="21"/>
              </w:rPr>
            </w:pPr>
            <w:r>
              <w:rPr>
                <w:sz w:val="21"/>
              </w:rPr>
              <w:t>指下列情形之一：</w:t>
            </w:r>
          </w:p>
          <w:p>
            <w:pPr>
              <w:pStyle w:val="TableParagraph"/>
              <w:spacing w:before="37"/>
              <w:ind w:left="128"/>
              <w:rPr>
                <w:sz w:val="21"/>
              </w:rPr>
            </w:pPr>
            <w:r>
              <w:rPr>
                <w:sz w:val="21"/>
              </w:rPr>
              <w:t>(一)没有机动车行驶证；</w:t>
            </w:r>
          </w:p>
          <w:p>
            <w:pPr>
              <w:pStyle w:val="TableParagraph"/>
              <w:spacing w:before="37"/>
              <w:ind w:left="128"/>
              <w:rPr>
                <w:sz w:val="21"/>
              </w:rPr>
            </w:pPr>
            <w:r>
              <w:rPr>
                <w:sz w:val="21"/>
              </w:rPr>
              <w:t>(二)未在法律规定期限内按时进行或通过安全技术检验。</w:t>
            </w:r>
          </w:p>
        </w:tc>
      </w:tr>
      <w:tr>
        <w:trPr>
          <w:trHeight w:val="851" w:hRule="atLeast"/>
        </w:trPr>
        <w:tc>
          <w:tcPr>
            <w:tcW w:w="863" w:type="dxa"/>
          </w:tcPr>
          <w:p>
            <w:pPr>
              <w:pStyle w:val="TableParagraph"/>
              <w:spacing w:before="30"/>
              <w:ind w:left="168" w:right="206"/>
              <w:jc w:val="center"/>
              <w:rPr>
                <w:rFonts w:ascii="微软雅黑"/>
                <w:b/>
                <w:sz w:val="21"/>
              </w:rPr>
            </w:pPr>
            <w:r>
              <w:rPr>
                <w:rFonts w:ascii="微软雅黑"/>
                <w:b/>
                <w:sz w:val="21"/>
              </w:rPr>
              <w:t>9.13</w:t>
            </w:r>
          </w:p>
        </w:tc>
        <w:tc>
          <w:tcPr>
            <w:tcW w:w="2060" w:type="dxa"/>
          </w:tcPr>
          <w:p>
            <w:pPr>
              <w:pStyle w:val="TableParagraph"/>
              <w:spacing w:before="30"/>
              <w:ind w:left="239"/>
              <w:rPr>
                <w:rFonts w:ascii="微软雅黑" w:eastAsia="微软雅黑" w:hint="eastAsia"/>
                <w:b/>
                <w:sz w:val="21"/>
              </w:rPr>
            </w:pPr>
            <w:r>
              <w:rPr>
                <w:rFonts w:ascii="微软雅黑" w:eastAsia="微软雅黑" w:hint="eastAsia"/>
                <w:b/>
                <w:sz w:val="21"/>
              </w:rPr>
              <w:t>机动车</w:t>
            </w:r>
          </w:p>
        </w:tc>
        <w:tc>
          <w:tcPr>
            <w:tcW w:w="7917" w:type="dxa"/>
          </w:tcPr>
          <w:p>
            <w:pPr>
              <w:pStyle w:val="TableParagraph"/>
              <w:spacing w:line="273" w:lineRule="auto" w:before="93"/>
              <w:ind w:left="128" w:right="323"/>
              <w:rPr>
                <w:sz w:val="21"/>
              </w:rPr>
            </w:pPr>
            <w:r>
              <w:rPr>
                <w:spacing w:val="-11"/>
                <w:sz w:val="21"/>
              </w:rPr>
              <w:t>指以动力装置驱动或者牵引，能合法上道路行驶的供人员乘用的四轮及四轮以上轮</w:t>
            </w:r>
            <w:r>
              <w:rPr>
                <w:spacing w:val="-7"/>
                <w:sz w:val="21"/>
              </w:rPr>
              <w:t>式车辆。</w:t>
            </w:r>
          </w:p>
        </w:tc>
      </w:tr>
      <w:tr>
        <w:trPr>
          <w:trHeight w:val="851" w:hRule="atLeast"/>
        </w:trPr>
        <w:tc>
          <w:tcPr>
            <w:tcW w:w="863" w:type="dxa"/>
          </w:tcPr>
          <w:p>
            <w:pPr>
              <w:pStyle w:val="TableParagraph"/>
              <w:spacing w:before="32"/>
              <w:ind w:left="168" w:right="206"/>
              <w:jc w:val="center"/>
              <w:rPr>
                <w:rFonts w:ascii="微软雅黑"/>
                <w:b/>
                <w:sz w:val="21"/>
              </w:rPr>
            </w:pPr>
            <w:r>
              <w:rPr>
                <w:rFonts w:ascii="微软雅黑"/>
                <w:b/>
                <w:sz w:val="21"/>
              </w:rPr>
              <w:t>9.14</w:t>
            </w:r>
          </w:p>
        </w:tc>
        <w:tc>
          <w:tcPr>
            <w:tcW w:w="2060" w:type="dxa"/>
          </w:tcPr>
          <w:p>
            <w:pPr>
              <w:pStyle w:val="TableParagraph"/>
              <w:spacing w:before="32"/>
              <w:ind w:left="239"/>
              <w:rPr>
                <w:rFonts w:ascii="微软雅黑" w:eastAsia="微软雅黑" w:hint="eastAsia"/>
                <w:b/>
                <w:sz w:val="21"/>
              </w:rPr>
            </w:pPr>
            <w:r>
              <w:rPr>
                <w:rFonts w:ascii="微软雅黑" w:eastAsia="微软雅黑" w:hint="eastAsia"/>
                <w:b/>
                <w:sz w:val="21"/>
              </w:rPr>
              <w:t>遗传性疾病</w:t>
            </w:r>
          </w:p>
        </w:tc>
        <w:tc>
          <w:tcPr>
            <w:tcW w:w="7917" w:type="dxa"/>
          </w:tcPr>
          <w:p>
            <w:pPr>
              <w:pStyle w:val="TableParagraph"/>
              <w:spacing w:line="273" w:lineRule="auto" w:before="94"/>
              <w:ind w:left="128" w:right="220"/>
              <w:rPr>
                <w:sz w:val="21"/>
              </w:rPr>
            </w:pPr>
            <w:r>
              <w:rPr>
                <w:sz w:val="21"/>
              </w:rPr>
              <w:t>指生殖细胞或受精卵的遗传物质（染色体和基因）发生突变或畸变所引起的疾病， 通常具有亲代传至后代的垂直传递的特征。</w:t>
            </w:r>
          </w:p>
        </w:tc>
      </w:tr>
      <w:tr>
        <w:trPr>
          <w:trHeight w:val="840" w:hRule="atLeast"/>
        </w:trPr>
        <w:tc>
          <w:tcPr>
            <w:tcW w:w="863" w:type="dxa"/>
          </w:tcPr>
          <w:p>
            <w:pPr>
              <w:pStyle w:val="TableParagraph"/>
              <w:spacing w:before="30"/>
              <w:ind w:left="168" w:right="206"/>
              <w:jc w:val="center"/>
              <w:rPr>
                <w:rFonts w:ascii="微软雅黑"/>
                <w:b/>
                <w:sz w:val="21"/>
              </w:rPr>
            </w:pPr>
            <w:r>
              <w:rPr>
                <w:rFonts w:ascii="微软雅黑"/>
                <w:b/>
                <w:sz w:val="21"/>
              </w:rPr>
              <w:t>9.15</w:t>
            </w:r>
          </w:p>
        </w:tc>
        <w:tc>
          <w:tcPr>
            <w:tcW w:w="2060" w:type="dxa"/>
          </w:tcPr>
          <w:p>
            <w:pPr>
              <w:pStyle w:val="TableParagraph"/>
              <w:spacing w:line="206" w:lineRule="auto" w:before="81"/>
              <w:ind w:left="239" w:right="128"/>
              <w:rPr>
                <w:rFonts w:ascii="微软雅黑" w:eastAsia="微软雅黑" w:hint="eastAsia"/>
                <w:b/>
                <w:sz w:val="21"/>
              </w:rPr>
            </w:pPr>
            <w:r>
              <w:rPr>
                <w:rFonts w:ascii="微软雅黑" w:eastAsia="微软雅黑" w:hint="eastAsia"/>
                <w:b/>
                <w:sz w:val="21"/>
              </w:rPr>
              <w:t>先天性畸形、变形或染色体异常</w:t>
            </w:r>
          </w:p>
        </w:tc>
        <w:tc>
          <w:tcPr>
            <w:tcW w:w="7917" w:type="dxa"/>
          </w:tcPr>
          <w:p>
            <w:pPr>
              <w:pStyle w:val="TableParagraph"/>
              <w:spacing w:line="273" w:lineRule="auto" w:before="93"/>
              <w:ind w:left="128" w:right="325"/>
              <w:rPr>
                <w:sz w:val="21"/>
              </w:rPr>
            </w:pPr>
            <w:r>
              <w:rPr>
                <w:spacing w:val="-9"/>
                <w:sz w:val="21"/>
              </w:rPr>
              <w:t>指被保险人出生时就具有的畸形、变形或染色体异常。先天性畸形、变形或染色体</w:t>
            </w:r>
            <w:r>
              <w:rPr>
                <w:spacing w:val="-7"/>
                <w:sz w:val="21"/>
              </w:rPr>
              <w:t>异常按照世界卫生组织《疾病和有关健康问题的国际统计分类》</w:t>
            </w:r>
            <w:r>
              <w:rPr>
                <w:sz w:val="21"/>
              </w:rPr>
              <w:t>（ICD-10）</w:t>
            </w:r>
            <w:r>
              <w:rPr>
                <w:spacing w:val="-2"/>
                <w:sz w:val="21"/>
              </w:rPr>
              <w:t>确定。</w:t>
            </w:r>
          </w:p>
        </w:tc>
      </w:tr>
      <w:tr>
        <w:trPr>
          <w:trHeight w:val="832" w:hRule="atLeast"/>
        </w:trPr>
        <w:tc>
          <w:tcPr>
            <w:tcW w:w="863" w:type="dxa"/>
          </w:tcPr>
          <w:p>
            <w:pPr>
              <w:pStyle w:val="TableParagraph"/>
              <w:spacing w:before="42"/>
              <w:ind w:left="168" w:right="206"/>
              <w:jc w:val="center"/>
              <w:rPr>
                <w:rFonts w:ascii="微软雅黑"/>
                <w:b/>
                <w:sz w:val="21"/>
              </w:rPr>
            </w:pPr>
            <w:r>
              <w:rPr>
                <w:rFonts w:ascii="微软雅黑"/>
                <w:b/>
                <w:sz w:val="21"/>
              </w:rPr>
              <w:t>9.16</w:t>
            </w:r>
          </w:p>
        </w:tc>
        <w:tc>
          <w:tcPr>
            <w:tcW w:w="2060" w:type="dxa"/>
          </w:tcPr>
          <w:p>
            <w:pPr>
              <w:pStyle w:val="TableParagraph"/>
              <w:spacing w:before="21"/>
              <w:ind w:left="239"/>
              <w:rPr>
                <w:rFonts w:ascii="微软雅黑" w:eastAsia="微软雅黑" w:hint="eastAsia"/>
                <w:b/>
                <w:sz w:val="21"/>
              </w:rPr>
            </w:pPr>
            <w:r>
              <w:rPr>
                <w:rFonts w:ascii="微软雅黑" w:eastAsia="微软雅黑" w:hint="eastAsia"/>
                <w:b/>
                <w:sz w:val="21"/>
              </w:rPr>
              <w:t>现金价值</w:t>
            </w:r>
          </w:p>
        </w:tc>
        <w:tc>
          <w:tcPr>
            <w:tcW w:w="7917" w:type="dxa"/>
          </w:tcPr>
          <w:p>
            <w:pPr>
              <w:pStyle w:val="TableParagraph"/>
              <w:spacing w:line="261" w:lineRule="auto" w:before="83"/>
              <w:ind w:left="128" w:right="304"/>
              <w:rPr>
                <w:sz w:val="21"/>
              </w:rPr>
            </w:pPr>
            <w:r>
              <w:rPr>
                <w:spacing w:val="-9"/>
                <w:sz w:val="21"/>
              </w:rPr>
              <w:t>一般指保单所具有的价值，通常体现为解除合同时，由本公司向您退还的那部分金额。</w:t>
            </w:r>
          </w:p>
        </w:tc>
      </w:tr>
      <w:tr>
        <w:trPr>
          <w:trHeight w:val="1167" w:hRule="atLeast"/>
        </w:trPr>
        <w:tc>
          <w:tcPr>
            <w:tcW w:w="863" w:type="dxa"/>
          </w:tcPr>
          <w:p>
            <w:pPr>
              <w:pStyle w:val="TableParagraph"/>
              <w:spacing w:before="35"/>
              <w:ind w:left="168" w:right="206"/>
              <w:jc w:val="center"/>
              <w:rPr>
                <w:rFonts w:ascii="微软雅黑"/>
                <w:b/>
                <w:sz w:val="21"/>
              </w:rPr>
            </w:pPr>
            <w:r>
              <w:rPr>
                <w:rFonts w:ascii="微软雅黑"/>
                <w:b/>
                <w:sz w:val="21"/>
              </w:rPr>
              <w:t>9.17</w:t>
            </w:r>
          </w:p>
        </w:tc>
        <w:tc>
          <w:tcPr>
            <w:tcW w:w="2060" w:type="dxa"/>
          </w:tcPr>
          <w:p>
            <w:pPr>
              <w:pStyle w:val="TableParagraph"/>
              <w:spacing w:before="35"/>
              <w:ind w:left="239"/>
              <w:rPr>
                <w:rFonts w:ascii="微软雅黑" w:eastAsia="微软雅黑" w:hint="eastAsia"/>
                <w:b/>
                <w:sz w:val="21"/>
              </w:rPr>
            </w:pPr>
            <w:r>
              <w:rPr>
                <w:rFonts w:ascii="微软雅黑" w:eastAsia="微软雅黑" w:hint="eastAsia"/>
                <w:b/>
                <w:sz w:val="21"/>
              </w:rPr>
              <w:t>医疗机构</w:t>
            </w:r>
          </w:p>
        </w:tc>
        <w:tc>
          <w:tcPr>
            <w:tcW w:w="7917" w:type="dxa"/>
          </w:tcPr>
          <w:p>
            <w:pPr>
              <w:pStyle w:val="TableParagraph"/>
              <w:spacing w:line="273" w:lineRule="auto" w:before="98"/>
              <w:ind w:left="128" w:right="220"/>
              <w:rPr>
                <w:sz w:val="21"/>
              </w:rPr>
            </w:pPr>
            <w:r>
              <w:rPr>
                <w:spacing w:val="-7"/>
                <w:sz w:val="21"/>
              </w:rPr>
              <w:t>指经中华人民共和国卫生部门正式评定的二级或以上之公立医院，但不包括上述医</w:t>
            </w:r>
            <w:r>
              <w:rPr>
                <w:spacing w:val="-16"/>
                <w:sz w:val="21"/>
              </w:rPr>
              <w:t>院的分院、联合病房或联合病床，精神病院，专供康复、休养、戒毒、戒酒、护理、</w:t>
            </w:r>
            <w:r>
              <w:rPr>
                <w:spacing w:val="-7"/>
                <w:sz w:val="21"/>
              </w:rPr>
              <w:t>养老等非以直接诊治病人为目的之医疗机构。</w:t>
            </w:r>
          </w:p>
        </w:tc>
      </w:tr>
      <w:tr>
        <w:trPr>
          <w:trHeight w:val="1787" w:hRule="atLeast"/>
        </w:trPr>
        <w:tc>
          <w:tcPr>
            <w:tcW w:w="863" w:type="dxa"/>
          </w:tcPr>
          <w:p>
            <w:pPr>
              <w:pStyle w:val="TableParagraph"/>
              <w:spacing w:before="32"/>
              <w:ind w:left="168" w:right="206"/>
              <w:jc w:val="center"/>
              <w:rPr>
                <w:rFonts w:ascii="微软雅黑"/>
                <w:b/>
                <w:sz w:val="21"/>
              </w:rPr>
            </w:pPr>
            <w:r>
              <w:rPr>
                <w:rFonts w:ascii="微软雅黑"/>
                <w:b/>
                <w:sz w:val="21"/>
              </w:rPr>
              <w:t>9.18</w:t>
            </w:r>
          </w:p>
        </w:tc>
        <w:tc>
          <w:tcPr>
            <w:tcW w:w="2060" w:type="dxa"/>
          </w:tcPr>
          <w:p>
            <w:pPr>
              <w:pStyle w:val="TableParagraph"/>
              <w:spacing w:before="32"/>
              <w:ind w:left="239"/>
              <w:rPr>
                <w:rFonts w:ascii="微软雅黑" w:eastAsia="微软雅黑" w:hint="eastAsia"/>
                <w:b/>
                <w:sz w:val="21"/>
              </w:rPr>
            </w:pPr>
            <w:r>
              <w:rPr>
                <w:rFonts w:ascii="微软雅黑" w:eastAsia="微软雅黑" w:hint="eastAsia"/>
                <w:b/>
                <w:sz w:val="21"/>
              </w:rPr>
              <w:t>专科医生</w:t>
            </w:r>
          </w:p>
        </w:tc>
        <w:tc>
          <w:tcPr>
            <w:tcW w:w="7917" w:type="dxa"/>
          </w:tcPr>
          <w:p>
            <w:pPr>
              <w:pStyle w:val="TableParagraph"/>
              <w:spacing w:before="94"/>
              <w:ind w:left="128"/>
              <w:rPr>
                <w:sz w:val="21"/>
              </w:rPr>
            </w:pPr>
            <w:r>
              <w:rPr>
                <w:sz w:val="21"/>
              </w:rPr>
              <w:t>专科医生应当满足以下四项资格条件：</w:t>
            </w:r>
          </w:p>
          <w:p>
            <w:pPr>
              <w:pStyle w:val="TableParagraph"/>
              <w:spacing w:before="36"/>
              <w:ind w:left="128"/>
              <w:rPr>
                <w:sz w:val="21"/>
              </w:rPr>
            </w:pPr>
            <w:r>
              <w:rPr>
                <w:sz w:val="21"/>
              </w:rPr>
              <w:t>(一)中华人民共和国《医师资格证书》；</w:t>
            </w:r>
          </w:p>
          <w:p>
            <w:pPr>
              <w:pStyle w:val="TableParagraph"/>
              <w:spacing w:before="36"/>
              <w:ind w:left="128"/>
              <w:rPr>
                <w:sz w:val="21"/>
              </w:rPr>
            </w:pPr>
            <w:r>
              <w:rPr>
                <w:sz w:val="21"/>
              </w:rPr>
              <w:t>(二)具有有效的中华人民共和国《医师执业证书》，并按期到相关部门登记注册；</w:t>
            </w:r>
          </w:p>
          <w:p>
            <w:pPr>
              <w:pStyle w:val="TableParagraph"/>
              <w:spacing w:before="36"/>
              <w:ind w:left="128"/>
              <w:rPr>
                <w:sz w:val="21"/>
              </w:rPr>
            </w:pPr>
            <w:r>
              <w:rPr>
                <w:sz w:val="21"/>
              </w:rPr>
              <w:t>(三)具有有效的中华人民共和国主治医师或主治医师以上职称的《医师职称证书》；</w:t>
            </w:r>
          </w:p>
          <w:p>
            <w:pPr>
              <w:pStyle w:val="TableParagraph"/>
              <w:spacing w:before="36"/>
              <w:ind w:left="128"/>
              <w:rPr>
                <w:sz w:val="21"/>
              </w:rPr>
            </w:pPr>
            <w:r>
              <w:rPr>
                <w:sz w:val="21"/>
              </w:rPr>
              <w:t>(四)在二级或二级以上医院的相应科室从事临床工作三年以上。</w:t>
            </w:r>
          </w:p>
        </w:tc>
      </w:tr>
      <w:tr>
        <w:trPr>
          <w:trHeight w:val="850" w:hRule="atLeast"/>
        </w:trPr>
        <w:tc>
          <w:tcPr>
            <w:tcW w:w="863" w:type="dxa"/>
          </w:tcPr>
          <w:p>
            <w:pPr>
              <w:pStyle w:val="TableParagraph"/>
              <w:spacing w:before="30"/>
              <w:ind w:left="168" w:right="206"/>
              <w:jc w:val="center"/>
              <w:rPr>
                <w:rFonts w:ascii="微软雅黑"/>
                <w:b/>
                <w:sz w:val="21"/>
              </w:rPr>
            </w:pPr>
            <w:r>
              <w:rPr>
                <w:rFonts w:ascii="微软雅黑"/>
                <w:b/>
                <w:sz w:val="21"/>
              </w:rPr>
              <w:t>9.19</w:t>
            </w:r>
          </w:p>
        </w:tc>
        <w:tc>
          <w:tcPr>
            <w:tcW w:w="2060" w:type="dxa"/>
          </w:tcPr>
          <w:p>
            <w:pPr>
              <w:pStyle w:val="TableParagraph"/>
              <w:spacing w:before="30"/>
              <w:ind w:left="239"/>
              <w:rPr>
                <w:rFonts w:ascii="微软雅黑" w:eastAsia="微软雅黑" w:hint="eastAsia"/>
                <w:b/>
                <w:sz w:val="21"/>
              </w:rPr>
            </w:pPr>
            <w:r>
              <w:rPr>
                <w:rFonts w:ascii="微软雅黑" w:eastAsia="微软雅黑" w:hint="eastAsia"/>
                <w:b/>
                <w:sz w:val="21"/>
              </w:rPr>
              <w:t>肢体机能完全丧失</w:t>
            </w:r>
          </w:p>
        </w:tc>
        <w:tc>
          <w:tcPr>
            <w:tcW w:w="7917" w:type="dxa"/>
          </w:tcPr>
          <w:p>
            <w:pPr>
              <w:pStyle w:val="TableParagraph"/>
              <w:spacing w:line="273" w:lineRule="auto" w:before="93"/>
              <w:ind w:left="128" w:right="304"/>
              <w:rPr>
                <w:sz w:val="21"/>
              </w:rPr>
            </w:pPr>
            <w:r>
              <w:rPr>
                <w:spacing w:val="-8"/>
                <w:sz w:val="21"/>
              </w:rPr>
              <w:t>指肢体的三大关节中的两大关节僵硬，或不能随意识活动。肢体是指包括肩关节的</w:t>
            </w:r>
            <w:r>
              <w:rPr>
                <w:spacing w:val="-5"/>
                <w:sz w:val="21"/>
              </w:rPr>
              <w:t>整个上肢或者包括髋关节的整个下肢。</w:t>
            </w:r>
          </w:p>
        </w:tc>
      </w:tr>
      <w:tr>
        <w:trPr>
          <w:trHeight w:val="1476" w:hRule="atLeast"/>
        </w:trPr>
        <w:tc>
          <w:tcPr>
            <w:tcW w:w="863" w:type="dxa"/>
          </w:tcPr>
          <w:p>
            <w:pPr>
              <w:pStyle w:val="TableParagraph"/>
              <w:spacing w:before="32"/>
              <w:ind w:left="168" w:right="206"/>
              <w:jc w:val="center"/>
              <w:rPr>
                <w:rFonts w:ascii="微软雅黑"/>
                <w:b/>
                <w:sz w:val="21"/>
              </w:rPr>
            </w:pPr>
            <w:r>
              <w:rPr>
                <w:rFonts w:ascii="微软雅黑"/>
                <w:b/>
                <w:sz w:val="21"/>
              </w:rPr>
              <w:t>9.20</w:t>
            </w:r>
          </w:p>
        </w:tc>
        <w:tc>
          <w:tcPr>
            <w:tcW w:w="2060" w:type="dxa"/>
          </w:tcPr>
          <w:p>
            <w:pPr>
              <w:pStyle w:val="TableParagraph"/>
              <w:spacing w:line="206" w:lineRule="auto" w:before="82"/>
              <w:ind w:left="239" w:right="128"/>
              <w:rPr>
                <w:rFonts w:ascii="微软雅黑" w:eastAsia="微软雅黑" w:hint="eastAsia"/>
                <w:b/>
                <w:sz w:val="21"/>
              </w:rPr>
            </w:pPr>
            <w:r>
              <w:rPr>
                <w:rFonts w:ascii="微软雅黑" w:eastAsia="微软雅黑" w:hint="eastAsia"/>
                <w:b/>
                <w:sz w:val="21"/>
              </w:rPr>
              <w:t>语言能力或咀嚼吞咽能力完全丧失</w:t>
            </w:r>
          </w:p>
        </w:tc>
        <w:tc>
          <w:tcPr>
            <w:tcW w:w="7917" w:type="dxa"/>
          </w:tcPr>
          <w:p>
            <w:pPr>
              <w:pStyle w:val="TableParagraph"/>
              <w:spacing w:line="273" w:lineRule="auto" w:before="94"/>
              <w:ind w:left="128" w:right="199"/>
              <w:rPr>
                <w:sz w:val="21"/>
              </w:rPr>
            </w:pPr>
            <w:r>
              <w:rPr>
                <w:spacing w:val="-12"/>
                <w:sz w:val="21"/>
              </w:rPr>
              <w:t>语言能力完全丧失，指无法发出四种声音</w:t>
            </w:r>
            <w:r>
              <w:rPr>
                <w:sz w:val="21"/>
              </w:rPr>
              <w:t>（</w:t>
            </w:r>
            <w:r>
              <w:rPr>
                <w:spacing w:val="-12"/>
                <w:sz w:val="21"/>
              </w:rPr>
              <w:t>包括口唇音、齿舌音、口盖音和喉头音</w:t>
            </w:r>
            <w:r>
              <w:rPr>
                <w:sz w:val="21"/>
              </w:rPr>
              <w:t>） </w:t>
            </w:r>
            <w:r>
              <w:rPr>
                <w:spacing w:val="-3"/>
                <w:sz w:val="21"/>
              </w:rPr>
              <w:t>中的任何三音、或声带全部切除、或因大脑语言中枢受伤害而患失语症。</w:t>
            </w:r>
          </w:p>
          <w:p>
            <w:pPr>
              <w:pStyle w:val="TableParagraph"/>
              <w:spacing w:line="273" w:lineRule="auto" w:before="7"/>
              <w:ind w:left="128" w:right="304"/>
              <w:rPr>
                <w:sz w:val="21"/>
              </w:rPr>
            </w:pPr>
            <w:r>
              <w:rPr>
                <w:spacing w:val="-9"/>
                <w:sz w:val="21"/>
              </w:rPr>
              <w:t>咀嚼吞咽能力完全丧失，指因牙齿以外的原因导致器质障碍或机能障碍，以致不能</w:t>
            </w:r>
            <w:r>
              <w:rPr>
                <w:spacing w:val="-5"/>
                <w:sz w:val="21"/>
              </w:rPr>
              <w:t>作咀嚼吞咽运动，除流质食物外不能摄取或吞咽的状态。</w:t>
            </w:r>
          </w:p>
        </w:tc>
      </w:tr>
      <w:tr>
        <w:trPr>
          <w:trHeight w:val="1935" w:hRule="atLeast"/>
        </w:trPr>
        <w:tc>
          <w:tcPr>
            <w:tcW w:w="863" w:type="dxa"/>
          </w:tcPr>
          <w:p>
            <w:pPr>
              <w:pStyle w:val="TableParagraph"/>
              <w:spacing w:before="32"/>
              <w:ind w:left="168" w:right="206"/>
              <w:jc w:val="center"/>
              <w:rPr>
                <w:rFonts w:ascii="微软雅黑"/>
                <w:b/>
                <w:sz w:val="21"/>
              </w:rPr>
            </w:pPr>
            <w:r>
              <w:rPr>
                <w:rFonts w:ascii="微软雅黑"/>
                <w:b/>
                <w:sz w:val="21"/>
              </w:rPr>
              <w:t>9.21</w:t>
            </w:r>
          </w:p>
        </w:tc>
        <w:tc>
          <w:tcPr>
            <w:tcW w:w="2060" w:type="dxa"/>
          </w:tcPr>
          <w:p>
            <w:pPr>
              <w:pStyle w:val="TableParagraph"/>
              <w:spacing w:line="206" w:lineRule="auto" w:before="82"/>
              <w:ind w:left="239" w:right="128"/>
              <w:rPr>
                <w:rFonts w:ascii="微软雅黑" w:eastAsia="微软雅黑" w:hint="eastAsia"/>
                <w:b/>
                <w:sz w:val="21"/>
              </w:rPr>
            </w:pPr>
            <w:r>
              <w:rPr>
                <w:rFonts w:ascii="微软雅黑" w:eastAsia="微软雅黑" w:hint="eastAsia"/>
                <w:b/>
                <w:sz w:val="21"/>
              </w:rPr>
              <w:t>六项基本日常生活活动</w:t>
            </w:r>
          </w:p>
        </w:tc>
        <w:tc>
          <w:tcPr>
            <w:tcW w:w="7917" w:type="dxa"/>
          </w:tcPr>
          <w:p>
            <w:pPr>
              <w:pStyle w:val="TableParagraph"/>
              <w:spacing w:before="94"/>
              <w:ind w:left="128"/>
              <w:rPr>
                <w:sz w:val="21"/>
              </w:rPr>
            </w:pPr>
            <w:r>
              <w:rPr>
                <w:sz w:val="21"/>
              </w:rPr>
              <w:t>一、穿衣：自己能够穿衣及脱衣；</w:t>
            </w:r>
          </w:p>
          <w:p>
            <w:pPr>
              <w:pStyle w:val="TableParagraph"/>
              <w:spacing w:line="273" w:lineRule="auto" w:before="37"/>
              <w:ind w:left="128" w:right="3791"/>
              <w:rPr>
                <w:sz w:val="21"/>
              </w:rPr>
            </w:pPr>
            <w:r>
              <w:rPr>
                <w:sz w:val="21"/>
              </w:rPr>
              <w:t>二、移动：自己从一个房间到另一个房间； 三、行动：自己上下床或上下轮椅；</w:t>
            </w:r>
          </w:p>
          <w:p>
            <w:pPr>
              <w:pStyle w:val="TableParagraph"/>
              <w:spacing w:before="8"/>
              <w:ind w:left="128"/>
              <w:rPr>
                <w:sz w:val="21"/>
              </w:rPr>
            </w:pPr>
            <w:r>
              <w:rPr>
                <w:sz w:val="21"/>
              </w:rPr>
              <w:t>四、如厕：自己控制进行大小便；</w:t>
            </w:r>
          </w:p>
          <w:p>
            <w:pPr>
              <w:pStyle w:val="TableParagraph"/>
              <w:spacing w:line="310" w:lineRule="atLeast" w:before="2"/>
              <w:ind w:left="128" w:right="2531"/>
              <w:rPr>
                <w:sz w:val="21"/>
              </w:rPr>
            </w:pPr>
            <w:r>
              <w:rPr>
                <w:sz w:val="21"/>
              </w:rPr>
              <w:t>五、进食：自己从已准备好的碗或碟中取食物放入口中； 六、洗澡：自己进行淋浴或盆浴。</w:t>
            </w:r>
          </w:p>
        </w:tc>
      </w:tr>
    </w:tbl>
    <w:p>
      <w:pPr>
        <w:spacing w:after="0" w:line="310" w:lineRule="atLeast"/>
        <w:rPr>
          <w:sz w:val="21"/>
        </w:rPr>
        <w:sectPr>
          <w:pgSz w:w="11910" w:h="16840"/>
          <w:pgMar w:top="1400" w:bottom="280" w:left="480" w:right="3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3"/>
        <w:gridCol w:w="1743"/>
        <w:gridCol w:w="8129"/>
      </w:tblGrid>
      <w:tr>
        <w:trPr>
          <w:trHeight w:val="1000" w:hRule="atLeast"/>
        </w:trPr>
        <w:tc>
          <w:tcPr>
            <w:tcW w:w="863" w:type="dxa"/>
          </w:tcPr>
          <w:p>
            <w:pPr>
              <w:pStyle w:val="TableParagraph"/>
              <w:spacing w:line="230" w:lineRule="exact"/>
              <w:ind w:left="168" w:right="206"/>
              <w:jc w:val="center"/>
              <w:rPr>
                <w:rFonts w:ascii="微软雅黑"/>
                <w:b/>
                <w:sz w:val="21"/>
              </w:rPr>
            </w:pPr>
            <w:r>
              <w:rPr>
                <w:rFonts w:ascii="微软雅黑"/>
                <w:b/>
                <w:sz w:val="21"/>
              </w:rPr>
              <w:t>9.22</w:t>
            </w:r>
          </w:p>
        </w:tc>
        <w:tc>
          <w:tcPr>
            <w:tcW w:w="1743" w:type="dxa"/>
          </w:tcPr>
          <w:p>
            <w:pPr>
              <w:pStyle w:val="TableParagraph"/>
              <w:spacing w:line="230" w:lineRule="exact"/>
              <w:ind w:left="239"/>
              <w:rPr>
                <w:rFonts w:ascii="微软雅黑" w:eastAsia="微软雅黑" w:hint="eastAsia"/>
                <w:b/>
                <w:sz w:val="21"/>
              </w:rPr>
            </w:pPr>
            <w:r>
              <w:rPr>
                <w:rFonts w:ascii="微软雅黑" w:eastAsia="微软雅黑" w:hint="eastAsia"/>
                <w:b/>
                <w:sz w:val="21"/>
              </w:rPr>
              <w:t>酗酒</w:t>
            </w:r>
          </w:p>
        </w:tc>
        <w:tc>
          <w:tcPr>
            <w:tcW w:w="8129" w:type="dxa"/>
          </w:tcPr>
          <w:p>
            <w:pPr>
              <w:pStyle w:val="TableParagraph"/>
              <w:spacing w:line="205" w:lineRule="exact"/>
              <w:ind w:left="445"/>
              <w:rPr>
                <w:sz w:val="21"/>
              </w:rPr>
            </w:pPr>
            <w:r>
              <w:rPr>
                <w:sz w:val="21"/>
              </w:rPr>
              <w:t>是指酒精摄入过量。长期过量饮酒导致身体脏器严重损害，或一次大量饮酒导致急</w:t>
            </w:r>
          </w:p>
          <w:p>
            <w:pPr>
              <w:pStyle w:val="TableParagraph"/>
              <w:spacing w:line="273" w:lineRule="auto" w:before="37"/>
              <w:ind w:left="445" w:right="199"/>
              <w:rPr>
                <w:sz w:val="21"/>
              </w:rPr>
            </w:pPr>
            <w:r>
              <w:rPr>
                <w:spacing w:val="-8"/>
                <w:sz w:val="21"/>
              </w:rPr>
              <w:t>性酒精中毒或自制力丧失造成自身伤害、斗殴肇事或交通肇事。酒精过量由医疗机</w:t>
            </w:r>
            <w:r>
              <w:rPr>
                <w:spacing w:val="-3"/>
                <w:sz w:val="21"/>
              </w:rPr>
              <w:t>构或公安部门判定。</w:t>
            </w:r>
          </w:p>
        </w:tc>
      </w:tr>
      <w:tr>
        <w:trPr>
          <w:trHeight w:val="687" w:hRule="atLeast"/>
        </w:trPr>
        <w:tc>
          <w:tcPr>
            <w:tcW w:w="863" w:type="dxa"/>
          </w:tcPr>
          <w:p>
            <w:pPr>
              <w:pStyle w:val="TableParagraph"/>
              <w:spacing w:before="32"/>
              <w:ind w:left="168" w:right="206"/>
              <w:jc w:val="center"/>
              <w:rPr>
                <w:rFonts w:ascii="微软雅黑"/>
                <w:b/>
                <w:sz w:val="21"/>
              </w:rPr>
            </w:pPr>
            <w:r>
              <w:rPr>
                <w:rFonts w:ascii="微软雅黑"/>
                <w:b/>
                <w:sz w:val="21"/>
              </w:rPr>
              <w:t>9.23</w:t>
            </w:r>
          </w:p>
        </w:tc>
        <w:tc>
          <w:tcPr>
            <w:tcW w:w="1743" w:type="dxa"/>
          </w:tcPr>
          <w:p>
            <w:pPr>
              <w:pStyle w:val="TableParagraph"/>
              <w:spacing w:before="32"/>
              <w:ind w:left="239"/>
              <w:rPr>
                <w:rFonts w:ascii="微软雅黑" w:eastAsia="微软雅黑" w:hint="eastAsia"/>
                <w:b/>
                <w:sz w:val="21"/>
              </w:rPr>
            </w:pPr>
            <w:r>
              <w:rPr>
                <w:rFonts w:ascii="微软雅黑" w:eastAsia="微软雅黑" w:hint="eastAsia"/>
                <w:b/>
                <w:sz w:val="21"/>
              </w:rPr>
              <w:t>永久不可逆</w:t>
            </w:r>
          </w:p>
        </w:tc>
        <w:tc>
          <w:tcPr>
            <w:tcW w:w="8129" w:type="dxa"/>
          </w:tcPr>
          <w:p>
            <w:pPr>
              <w:pStyle w:val="TableParagraph"/>
              <w:spacing w:line="310" w:lineRule="atLeast" w:before="59"/>
              <w:ind w:left="445" w:right="199"/>
              <w:rPr>
                <w:sz w:val="21"/>
              </w:rPr>
            </w:pPr>
            <w:r>
              <w:rPr>
                <w:spacing w:val="-8"/>
                <w:sz w:val="21"/>
              </w:rPr>
              <w:t>指因疾病确诊或意外发生之日起，经过积极治疗 </w:t>
            </w:r>
            <w:r>
              <w:rPr>
                <w:sz w:val="21"/>
              </w:rPr>
              <w:t>180</w:t>
            </w:r>
            <w:r>
              <w:rPr>
                <w:spacing w:val="-10"/>
                <w:sz w:val="21"/>
              </w:rPr>
              <w:t> 天后，仍无法通过现有医疗手</w:t>
            </w:r>
            <w:r>
              <w:rPr>
                <w:spacing w:val="-6"/>
                <w:sz w:val="21"/>
              </w:rPr>
              <w:t>段恢复。</w:t>
            </w:r>
          </w:p>
        </w:tc>
      </w:tr>
    </w:tbl>
    <w:sectPr>
      <w:pgSz w:w="11910" w:h="16840"/>
      <w:pgMar w:top="1400" w:bottom="280" w:left="48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8"/>
      <w:numFmt w:val="decimal"/>
      <w:lvlText w:val="%1"/>
      <w:lvlJc w:val="left"/>
      <w:pPr>
        <w:ind w:left="1987" w:hanging="423"/>
        <w:jc w:val="left"/>
      </w:pPr>
      <w:rPr>
        <w:rFonts w:hint="default"/>
      </w:rPr>
    </w:lvl>
    <w:lvl w:ilvl="1">
      <w:start w:val="1"/>
      <w:numFmt w:val="decimal"/>
      <w:lvlText w:val="%1.%2"/>
      <w:lvlJc w:val="left"/>
      <w:pPr>
        <w:ind w:left="1987" w:hanging="423"/>
        <w:jc w:val="left"/>
      </w:pPr>
      <w:rPr>
        <w:rFonts w:hint="default" w:ascii="宋体" w:hAnsi="宋体" w:eastAsia="宋体" w:cs="宋体"/>
        <w:w w:val="100"/>
        <w:sz w:val="21"/>
        <w:szCs w:val="21"/>
      </w:rPr>
    </w:lvl>
    <w:lvl w:ilvl="2">
      <w:start w:val="0"/>
      <w:numFmt w:val="bullet"/>
      <w:lvlText w:val="•"/>
      <w:lvlJc w:val="left"/>
      <w:pPr>
        <w:ind w:left="2803" w:hanging="423"/>
      </w:pPr>
      <w:rPr>
        <w:rFonts w:hint="default"/>
      </w:rPr>
    </w:lvl>
    <w:lvl w:ilvl="3">
      <w:start w:val="0"/>
      <w:numFmt w:val="bullet"/>
      <w:lvlText w:val="•"/>
      <w:lvlJc w:val="left"/>
      <w:pPr>
        <w:ind w:left="3214" w:hanging="423"/>
      </w:pPr>
      <w:rPr>
        <w:rFonts w:hint="default"/>
      </w:rPr>
    </w:lvl>
    <w:lvl w:ilvl="4">
      <w:start w:val="0"/>
      <w:numFmt w:val="bullet"/>
      <w:lvlText w:val="•"/>
      <w:lvlJc w:val="left"/>
      <w:pPr>
        <w:ind w:left="3626" w:hanging="423"/>
      </w:pPr>
      <w:rPr>
        <w:rFonts w:hint="default"/>
      </w:rPr>
    </w:lvl>
    <w:lvl w:ilvl="5">
      <w:start w:val="0"/>
      <w:numFmt w:val="bullet"/>
      <w:lvlText w:val="•"/>
      <w:lvlJc w:val="left"/>
      <w:pPr>
        <w:ind w:left="4038" w:hanging="423"/>
      </w:pPr>
      <w:rPr>
        <w:rFonts w:hint="default"/>
      </w:rPr>
    </w:lvl>
    <w:lvl w:ilvl="6">
      <w:start w:val="0"/>
      <w:numFmt w:val="bullet"/>
      <w:lvlText w:val="•"/>
      <w:lvlJc w:val="left"/>
      <w:pPr>
        <w:ind w:left="4449" w:hanging="423"/>
      </w:pPr>
      <w:rPr>
        <w:rFonts w:hint="default"/>
      </w:rPr>
    </w:lvl>
    <w:lvl w:ilvl="7">
      <w:start w:val="0"/>
      <w:numFmt w:val="bullet"/>
      <w:lvlText w:val="•"/>
      <w:lvlJc w:val="left"/>
      <w:pPr>
        <w:ind w:left="4861" w:hanging="423"/>
      </w:pPr>
      <w:rPr>
        <w:rFonts w:hint="default"/>
      </w:rPr>
    </w:lvl>
    <w:lvl w:ilvl="8">
      <w:start w:val="0"/>
      <w:numFmt w:val="bullet"/>
      <w:lvlText w:val="•"/>
      <w:lvlJc w:val="left"/>
      <w:pPr>
        <w:ind w:left="5273" w:hanging="423"/>
      </w:pPr>
      <w:rPr>
        <w:rFonts w:hint="default"/>
      </w:rPr>
    </w:lvl>
  </w:abstractNum>
  <w:abstractNum w:abstractNumId="7">
    <w:multiLevelType w:val="hybridMultilevel"/>
    <w:lvl w:ilvl="0">
      <w:start w:val="7"/>
      <w:numFmt w:val="decimal"/>
      <w:lvlText w:val="%1"/>
      <w:lvlJc w:val="left"/>
      <w:pPr>
        <w:ind w:left="1987" w:hanging="423"/>
        <w:jc w:val="left"/>
      </w:pPr>
      <w:rPr>
        <w:rFonts w:hint="default"/>
      </w:rPr>
    </w:lvl>
    <w:lvl w:ilvl="1">
      <w:start w:val="1"/>
      <w:numFmt w:val="decimal"/>
      <w:lvlText w:val="%1.%2"/>
      <w:lvlJc w:val="left"/>
      <w:pPr>
        <w:ind w:left="1987" w:hanging="423"/>
        <w:jc w:val="left"/>
      </w:pPr>
      <w:rPr>
        <w:rFonts w:hint="default" w:ascii="宋体" w:hAnsi="宋体" w:eastAsia="宋体" w:cs="宋体"/>
        <w:w w:val="100"/>
        <w:sz w:val="21"/>
        <w:szCs w:val="21"/>
      </w:rPr>
    </w:lvl>
    <w:lvl w:ilvl="2">
      <w:start w:val="0"/>
      <w:numFmt w:val="bullet"/>
      <w:lvlText w:val="•"/>
      <w:lvlJc w:val="left"/>
      <w:pPr>
        <w:ind w:left="2803" w:hanging="423"/>
      </w:pPr>
      <w:rPr>
        <w:rFonts w:hint="default"/>
      </w:rPr>
    </w:lvl>
    <w:lvl w:ilvl="3">
      <w:start w:val="0"/>
      <w:numFmt w:val="bullet"/>
      <w:lvlText w:val="•"/>
      <w:lvlJc w:val="left"/>
      <w:pPr>
        <w:ind w:left="3214" w:hanging="423"/>
      </w:pPr>
      <w:rPr>
        <w:rFonts w:hint="default"/>
      </w:rPr>
    </w:lvl>
    <w:lvl w:ilvl="4">
      <w:start w:val="0"/>
      <w:numFmt w:val="bullet"/>
      <w:lvlText w:val="•"/>
      <w:lvlJc w:val="left"/>
      <w:pPr>
        <w:ind w:left="3626" w:hanging="423"/>
      </w:pPr>
      <w:rPr>
        <w:rFonts w:hint="default"/>
      </w:rPr>
    </w:lvl>
    <w:lvl w:ilvl="5">
      <w:start w:val="0"/>
      <w:numFmt w:val="bullet"/>
      <w:lvlText w:val="•"/>
      <w:lvlJc w:val="left"/>
      <w:pPr>
        <w:ind w:left="4038" w:hanging="423"/>
      </w:pPr>
      <w:rPr>
        <w:rFonts w:hint="default"/>
      </w:rPr>
    </w:lvl>
    <w:lvl w:ilvl="6">
      <w:start w:val="0"/>
      <w:numFmt w:val="bullet"/>
      <w:lvlText w:val="•"/>
      <w:lvlJc w:val="left"/>
      <w:pPr>
        <w:ind w:left="4449" w:hanging="423"/>
      </w:pPr>
      <w:rPr>
        <w:rFonts w:hint="default"/>
      </w:rPr>
    </w:lvl>
    <w:lvl w:ilvl="7">
      <w:start w:val="0"/>
      <w:numFmt w:val="bullet"/>
      <w:lvlText w:val="•"/>
      <w:lvlJc w:val="left"/>
      <w:pPr>
        <w:ind w:left="4861" w:hanging="423"/>
      </w:pPr>
      <w:rPr>
        <w:rFonts w:hint="default"/>
      </w:rPr>
    </w:lvl>
    <w:lvl w:ilvl="8">
      <w:start w:val="0"/>
      <w:numFmt w:val="bullet"/>
      <w:lvlText w:val="•"/>
      <w:lvlJc w:val="left"/>
      <w:pPr>
        <w:ind w:left="5273" w:hanging="423"/>
      </w:pPr>
      <w:rPr>
        <w:rFonts w:hint="default"/>
      </w:rPr>
    </w:lvl>
  </w:abstractNum>
  <w:abstractNum w:abstractNumId="6">
    <w:multiLevelType w:val="hybridMultilevel"/>
    <w:lvl w:ilvl="0">
      <w:start w:val="6"/>
      <w:numFmt w:val="decimal"/>
      <w:lvlText w:val="%1"/>
      <w:lvlJc w:val="left"/>
      <w:pPr>
        <w:ind w:left="1987" w:hanging="423"/>
        <w:jc w:val="left"/>
      </w:pPr>
      <w:rPr>
        <w:rFonts w:hint="default"/>
      </w:rPr>
    </w:lvl>
    <w:lvl w:ilvl="1">
      <w:start w:val="1"/>
      <w:numFmt w:val="decimal"/>
      <w:lvlText w:val="%1.%2"/>
      <w:lvlJc w:val="left"/>
      <w:pPr>
        <w:ind w:left="1987" w:hanging="423"/>
        <w:jc w:val="left"/>
      </w:pPr>
      <w:rPr>
        <w:rFonts w:hint="default" w:ascii="宋体" w:hAnsi="宋体" w:eastAsia="宋体" w:cs="宋体"/>
        <w:w w:val="100"/>
        <w:sz w:val="21"/>
        <w:szCs w:val="21"/>
      </w:rPr>
    </w:lvl>
    <w:lvl w:ilvl="2">
      <w:start w:val="0"/>
      <w:numFmt w:val="bullet"/>
      <w:lvlText w:val="•"/>
      <w:lvlJc w:val="left"/>
      <w:pPr>
        <w:ind w:left="2803" w:hanging="423"/>
      </w:pPr>
      <w:rPr>
        <w:rFonts w:hint="default"/>
      </w:rPr>
    </w:lvl>
    <w:lvl w:ilvl="3">
      <w:start w:val="0"/>
      <w:numFmt w:val="bullet"/>
      <w:lvlText w:val="•"/>
      <w:lvlJc w:val="left"/>
      <w:pPr>
        <w:ind w:left="3214" w:hanging="423"/>
      </w:pPr>
      <w:rPr>
        <w:rFonts w:hint="default"/>
      </w:rPr>
    </w:lvl>
    <w:lvl w:ilvl="4">
      <w:start w:val="0"/>
      <w:numFmt w:val="bullet"/>
      <w:lvlText w:val="•"/>
      <w:lvlJc w:val="left"/>
      <w:pPr>
        <w:ind w:left="3626" w:hanging="423"/>
      </w:pPr>
      <w:rPr>
        <w:rFonts w:hint="default"/>
      </w:rPr>
    </w:lvl>
    <w:lvl w:ilvl="5">
      <w:start w:val="0"/>
      <w:numFmt w:val="bullet"/>
      <w:lvlText w:val="•"/>
      <w:lvlJc w:val="left"/>
      <w:pPr>
        <w:ind w:left="4038" w:hanging="423"/>
      </w:pPr>
      <w:rPr>
        <w:rFonts w:hint="default"/>
      </w:rPr>
    </w:lvl>
    <w:lvl w:ilvl="6">
      <w:start w:val="0"/>
      <w:numFmt w:val="bullet"/>
      <w:lvlText w:val="•"/>
      <w:lvlJc w:val="left"/>
      <w:pPr>
        <w:ind w:left="4449" w:hanging="423"/>
      </w:pPr>
      <w:rPr>
        <w:rFonts w:hint="default"/>
      </w:rPr>
    </w:lvl>
    <w:lvl w:ilvl="7">
      <w:start w:val="0"/>
      <w:numFmt w:val="bullet"/>
      <w:lvlText w:val="•"/>
      <w:lvlJc w:val="left"/>
      <w:pPr>
        <w:ind w:left="4861" w:hanging="423"/>
      </w:pPr>
      <w:rPr>
        <w:rFonts w:hint="default"/>
      </w:rPr>
    </w:lvl>
    <w:lvl w:ilvl="8">
      <w:start w:val="0"/>
      <w:numFmt w:val="bullet"/>
      <w:lvlText w:val="•"/>
      <w:lvlJc w:val="left"/>
      <w:pPr>
        <w:ind w:left="5273" w:hanging="423"/>
      </w:pPr>
      <w:rPr>
        <w:rFonts w:hint="default"/>
      </w:rPr>
    </w:lvl>
  </w:abstractNum>
  <w:abstractNum w:abstractNumId="5">
    <w:multiLevelType w:val="hybridMultilevel"/>
    <w:lvl w:ilvl="0">
      <w:start w:val="5"/>
      <w:numFmt w:val="decimal"/>
      <w:lvlText w:val="%1."/>
      <w:lvlJc w:val="left"/>
      <w:pPr>
        <w:ind w:left="1685" w:hanging="332"/>
        <w:jc w:val="left"/>
      </w:pPr>
      <w:rPr>
        <w:rFonts w:hint="default" w:ascii="微软雅黑" w:hAnsi="微软雅黑" w:eastAsia="微软雅黑" w:cs="微软雅黑"/>
        <w:b/>
        <w:bCs/>
        <w:w w:val="111"/>
        <w:sz w:val="21"/>
        <w:szCs w:val="21"/>
      </w:rPr>
    </w:lvl>
    <w:lvl w:ilvl="1">
      <w:start w:val="1"/>
      <w:numFmt w:val="decimal"/>
      <w:lvlText w:val="%1.%2"/>
      <w:lvlJc w:val="left"/>
      <w:pPr>
        <w:ind w:left="1987" w:hanging="423"/>
        <w:jc w:val="left"/>
      </w:pPr>
      <w:rPr>
        <w:rFonts w:hint="default" w:ascii="宋体" w:hAnsi="宋体" w:eastAsia="宋体" w:cs="宋体"/>
        <w:w w:val="100"/>
        <w:sz w:val="21"/>
        <w:szCs w:val="21"/>
      </w:rPr>
    </w:lvl>
    <w:lvl w:ilvl="2">
      <w:start w:val="0"/>
      <w:numFmt w:val="bullet"/>
      <w:lvlText w:val="•"/>
      <w:lvlJc w:val="left"/>
      <w:pPr>
        <w:ind w:left="2437" w:hanging="423"/>
      </w:pPr>
      <w:rPr>
        <w:rFonts w:hint="default"/>
      </w:rPr>
    </w:lvl>
    <w:lvl w:ilvl="3">
      <w:start w:val="0"/>
      <w:numFmt w:val="bullet"/>
      <w:lvlText w:val="•"/>
      <w:lvlJc w:val="left"/>
      <w:pPr>
        <w:ind w:left="2894" w:hanging="423"/>
      </w:pPr>
      <w:rPr>
        <w:rFonts w:hint="default"/>
      </w:rPr>
    </w:lvl>
    <w:lvl w:ilvl="4">
      <w:start w:val="0"/>
      <w:numFmt w:val="bullet"/>
      <w:lvlText w:val="•"/>
      <w:lvlJc w:val="left"/>
      <w:pPr>
        <w:ind w:left="3352" w:hanging="423"/>
      </w:pPr>
      <w:rPr>
        <w:rFonts w:hint="default"/>
      </w:rPr>
    </w:lvl>
    <w:lvl w:ilvl="5">
      <w:start w:val="0"/>
      <w:numFmt w:val="bullet"/>
      <w:lvlText w:val="•"/>
      <w:lvlJc w:val="left"/>
      <w:pPr>
        <w:ind w:left="3809" w:hanging="423"/>
      </w:pPr>
      <w:rPr>
        <w:rFonts w:hint="default"/>
      </w:rPr>
    </w:lvl>
    <w:lvl w:ilvl="6">
      <w:start w:val="0"/>
      <w:numFmt w:val="bullet"/>
      <w:lvlText w:val="•"/>
      <w:lvlJc w:val="left"/>
      <w:pPr>
        <w:ind w:left="4267" w:hanging="423"/>
      </w:pPr>
      <w:rPr>
        <w:rFonts w:hint="default"/>
      </w:rPr>
    </w:lvl>
    <w:lvl w:ilvl="7">
      <w:start w:val="0"/>
      <w:numFmt w:val="bullet"/>
      <w:lvlText w:val="•"/>
      <w:lvlJc w:val="left"/>
      <w:pPr>
        <w:ind w:left="4724" w:hanging="423"/>
      </w:pPr>
      <w:rPr>
        <w:rFonts w:hint="default"/>
      </w:rPr>
    </w:lvl>
    <w:lvl w:ilvl="8">
      <w:start w:val="0"/>
      <w:numFmt w:val="bullet"/>
      <w:lvlText w:val="•"/>
      <w:lvlJc w:val="left"/>
      <w:pPr>
        <w:ind w:left="5181" w:hanging="423"/>
      </w:pPr>
      <w:rPr>
        <w:rFonts w:hint="default"/>
      </w:rPr>
    </w:lvl>
  </w:abstractNum>
  <w:abstractNum w:abstractNumId="4">
    <w:multiLevelType w:val="hybridMultilevel"/>
    <w:lvl w:ilvl="0">
      <w:start w:val="4"/>
      <w:numFmt w:val="decimal"/>
      <w:lvlText w:val="%1"/>
      <w:lvlJc w:val="left"/>
      <w:pPr>
        <w:ind w:left="1987" w:hanging="423"/>
        <w:jc w:val="left"/>
      </w:pPr>
      <w:rPr>
        <w:rFonts w:hint="default"/>
      </w:rPr>
    </w:lvl>
    <w:lvl w:ilvl="1">
      <w:start w:val="1"/>
      <w:numFmt w:val="decimal"/>
      <w:lvlText w:val="%1.%2"/>
      <w:lvlJc w:val="left"/>
      <w:pPr>
        <w:ind w:left="1987" w:hanging="423"/>
        <w:jc w:val="left"/>
      </w:pPr>
      <w:rPr>
        <w:rFonts w:hint="default" w:ascii="宋体" w:hAnsi="宋体" w:eastAsia="宋体" w:cs="宋体"/>
        <w:w w:val="100"/>
        <w:sz w:val="21"/>
        <w:szCs w:val="21"/>
      </w:rPr>
    </w:lvl>
    <w:lvl w:ilvl="2">
      <w:start w:val="0"/>
      <w:numFmt w:val="bullet"/>
      <w:lvlText w:val="•"/>
      <w:lvlJc w:val="left"/>
      <w:pPr>
        <w:ind w:left="2277" w:hanging="423"/>
      </w:pPr>
      <w:rPr>
        <w:rFonts w:hint="default"/>
      </w:rPr>
    </w:lvl>
    <w:lvl w:ilvl="3">
      <w:start w:val="0"/>
      <w:numFmt w:val="bullet"/>
      <w:lvlText w:val="•"/>
      <w:lvlJc w:val="left"/>
      <w:pPr>
        <w:ind w:left="2425" w:hanging="423"/>
      </w:pPr>
      <w:rPr>
        <w:rFonts w:hint="default"/>
      </w:rPr>
    </w:lvl>
    <w:lvl w:ilvl="4">
      <w:start w:val="0"/>
      <w:numFmt w:val="bullet"/>
      <w:lvlText w:val="•"/>
      <w:lvlJc w:val="left"/>
      <w:pPr>
        <w:ind w:left="2574" w:hanging="423"/>
      </w:pPr>
      <w:rPr>
        <w:rFonts w:hint="default"/>
      </w:rPr>
    </w:lvl>
    <w:lvl w:ilvl="5">
      <w:start w:val="0"/>
      <w:numFmt w:val="bullet"/>
      <w:lvlText w:val="•"/>
      <w:lvlJc w:val="left"/>
      <w:pPr>
        <w:ind w:left="2723" w:hanging="423"/>
      </w:pPr>
      <w:rPr>
        <w:rFonts w:hint="default"/>
      </w:rPr>
    </w:lvl>
    <w:lvl w:ilvl="6">
      <w:start w:val="0"/>
      <w:numFmt w:val="bullet"/>
      <w:lvlText w:val="•"/>
      <w:lvlJc w:val="left"/>
      <w:pPr>
        <w:ind w:left="2871" w:hanging="423"/>
      </w:pPr>
      <w:rPr>
        <w:rFonts w:hint="default"/>
      </w:rPr>
    </w:lvl>
    <w:lvl w:ilvl="7">
      <w:start w:val="0"/>
      <w:numFmt w:val="bullet"/>
      <w:lvlText w:val="•"/>
      <w:lvlJc w:val="left"/>
      <w:pPr>
        <w:ind w:left="3020" w:hanging="423"/>
      </w:pPr>
      <w:rPr>
        <w:rFonts w:hint="default"/>
      </w:rPr>
    </w:lvl>
    <w:lvl w:ilvl="8">
      <w:start w:val="0"/>
      <w:numFmt w:val="bullet"/>
      <w:lvlText w:val="•"/>
      <w:lvlJc w:val="left"/>
      <w:pPr>
        <w:ind w:left="3168" w:hanging="423"/>
      </w:pPr>
      <w:rPr>
        <w:rFonts w:hint="default"/>
      </w:rPr>
    </w:lvl>
  </w:abstractNum>
  <w:abstractNum w:abstractNumId="3">
    <w:multiLevelType w:val="hybridMultilevel"/>
    <w:lvl w:ilvl="0">
      <w:start w:val="3"/>
      <w:numFmt w:val="decimal"/>
      <w:lvlText w:val="%1"/>
      <w:lvlJc w:val="left"/>
      <w:pPr>
        <w:ind w:left="1987" w:hanging="423"/>
        <w:jc w:val="left"/>
      </w:pPr>
      <w:rPr>
        <w:rFonts w:hint="default"/>
      </w:rPr>
    </w:lvl>
    <w:lvl w:ilvl="1">
      <w:start w:val="1"/>
      <w:numFmt w:val="decimal"/>
      <w:lvlText w:val="%1.%2"/>
      <w:lvlJc w:val="left"/>
      <w:pPr>
        <w:ind w:left="1987" w:hanging="423"/>
        <w:jc w:val="left"/>
      </w:pPr>
      <w:rPr>
        <w:rFonts w:hint="default" w:ascii="宋体" w:hAnsi="宋体" w:eastAsia="宋体" w:cs="宋体"/>
        <w:w w:val="100"/>
        <w:sz w:val="21"/>
        <w:szCs w:val="21"/>
      </w:rPr>
    </w:lvl>
    <w:lvl w:ilvl="2">
      <w:start w:val="0"/>
      <w:numFmt w:val="bullet"/>
      <w:lvlText w:val="•"/>
      <w:lvlJc w:val="left"/>
      <w:pPr>
        <w:ind w:left="2277" w:hanging="423"/>
      </w:pPr>
      <w:rPr>
        <w:rFonts w:hint="default"/>
      </w:rPr>
    </w:lvl>
    <w:lvl w:ilvl="3">
      <w:start w:val="0"/>
      <w:numFmt w:val="bullet"/>
      <w:lvlText w:val="•"/>
      <w:lvlJc w:val="left"/>
      <w:pPr>
        <w:ind w:left="2425" w:hanging="423"/>
      </w:pPr>
      <w:rPr>
        <w:rFonts w:hint="default"/>
      </w:rPr>
    </w:lvl>
    <w:lvl w:ilvl="4">
      <w:start w:val="0"/>
      <w:numFmt w:val="bullet"/>
      <w:lvlText w:val="•"/>
      <w:lvlJc w:val="left"/>
      <w:pPr>
        <w:ind w:left="2574" w:hanging="423"/>
      </w:pPr>
      <w:rPr>
        <w:rFonts w:hint="default"/>
      </w:rPr>
    </w:lvl>
    <w:lvl w:ilvl="5">
      <w:start w:val="0"/>
      <w:numFmt w:val="bullet"/>
      <w:lvlText w:val="•"/>
      <w:lvlJc w:val="left"/>
      <w:pPr>
        <w:ind w:left="2723" w:hanging="423"/>
      </w:pPr>
      <w:rPr>
        <w:rFonts w:hint="default"/>
      </w:rPr>
    </w:lvl>
    <w:lvl w:ilvl="6">
      <w:start w:val="0"/>
      <w:numFmt w:val="bullet"/>
      <w:lvlText w:val="•"/>
      <w:lvlJc w:val="left"/>
      <w:pPr>
        <w:ind w:left="2871" w:hanging="423"/>
      </w:pPr>
      <w:rPr>
        <w:rFonts w:hint="default"/>
      </w:rPr>
    </w:lvl>
    <w:lvl w:ilvl="7">
      <w:start w:val="0"/>
      <w:numFmt w:val="bullet"/>
      <w:lvlText w:val="•"/>
      <w:lvlJc w:val="left"/>
      <w:pPr>
        <w:ind w:left="3020" w:hanging="423"/>
      </w:pPr>
      <w:rPr>
        <w:rFonts w:hint="default"/>
      </w:rPr>
    </w:lvl>
    <w:lvl w:ilvl="8">
      <w:start w:val="0"/>
      <w:numFmt w:val="bullet"/>
      <w:lvlText w:val="•"/>
      <w:lvlJc w:val="left"/>
      <w:pPr>
        <w:ind w:left="3168" w:hanging="423"/>
      </w:pPr>
      <w:rPr>
        <w:rFonts w:hint="default"/>
      </w:rPr>
    </w:lvl>
  </w:abstractNum>
  <w:abstractNum w:abstractNumId="2">
    <w:multiLevelType w:val="hybridMultilevel"/>
    <w:lvl w:ilvl="0">
      <w:start w:val="2"/>
      <w:numFmt w:val="decimal"/>
      <w:lvlText w:val="%1"/>
      <w:lvlJc w:val="left"/>
      <w:pPr>
        <w:ind w:left="1987" w:hanging="423"/>
        <w:jc w:val="left"/>
      </w:pPr>
      <w:rPr>
        <w:rFonts w:hint="default"/>
      </w:rPr>
    </w:lvl>
    <w:lvl w:ilvl="1">
      <w:start w:val="1"/>
      <w:numFmt w:val="decimal"/>
      <w:lvlText w:val="%1.%2"/>
      <w:lvlJc w:val="left"/>
      <w:pPr>
        <w:ind w:left="1987" w:hanging="423"/>
        <w:jc w:val="left"/>
      </w:pPr>
      <w:rPr>
        <w:rFonts w:hint="default" w:ascii="宋体" w:hAnsi="宋体" w:eastAsia="宋体" w:cs="宋体"/>
        <w:w w:val="100"/>
        <w:sz w:val="21"/>
        <w:szCs w:val="21"/>
      </w:rPr>
    </w:lvl>
    <w:lvl w:ilvl="2">
      <w:start w:val="0"/>
      <w:numFmt w:val="bullet"/>
      <w:lvlText w:val="•"/>
      <w:lvlJc w:val="left"/>
      <w:pPr>
        <w:ind w:left="2277" w:hanging="423"/>
      </w:pPr>
      <w:rPr>
        <w:rFonts w:hint="default"/>
      </w:rPr>
    </w:lvl>
    <w:lvl w:ilvl="3">
      <w:start w:val="0"/>
      <w:numFmt w:val="bullet"/>
      <w:lvlText w:val="•"/>
      <w:lvlJc w:val="left"/>
      <w:pPr>
        <w:ind w:left="2425" w:hanging="423"/>
      </w:pPr>
      <w:rPr>
        <w:rFonts w:hint="default"/>
      </w:rPr>
    </w:lvl>
    <w:lvl w:ilvl="4">
      <w:start w:val="0"/>
      <w:numFmt w:val="bullet"/>
      <w:lvlText w:val="•"/>
      <w:lvlJc w:val="left"/>
      <w:pPr>
        <w:ind w:left="2574" w:hanging="423"/>
      </w:pPr>
      <w:rPr>
        <w:rFonts w:hint="default"/>
      </w:rPr>
    </w:lvl>
    <w:lvl w:ilvl="5">
      <w:start w:val="0"/>
      <w:numFmt w:val="bullet"/>
      <w:lvlText w:val="•"/>
      <w:lvlJc w:val="left"/>
      <w:pPr>
        <w:ind w:left="2723" w:hanging="423"/>
      </w:pPr>
      <w:rPr>
        <w:rFonts w:hint="default"/>
      </w:rPr>
    </w:lvl>
    <w:lvl w:ilvl="6">
      <w:start w:val="0"/>
      <w:numFmt w:val="bullet"/>
      <w:lvlText w:val="•"/>
      <w:lvlJc w:val="left"/>
      <w:pPr>
        <w:ind w:left="2871" w:hanging="423"/>
      </w:pPr>
      <w:rPr>
        <w:rFonts w:hint="default"/>
      </w:rPr>
    </w:lvl>
    <w:lvl w:ilvl="7">
      <w:start w:val="0"/>
      <w:numFmt w:val="bullet"/>
      <w:lvlText w:val="•"/>
      <w:lvlJc w:val="left"/>
      <w:pPr>
        <w:ind w:left="3020" w:hanging="423"/>
      </w:pPr>
      <w:rPr>
        <w:rFonts w:hint="default"/>
      </w:rPr>
    </w:lvl>
    <w:lvl w:ilvl="8">
      <w:start w:val="0"/>
      <w:numFmt w:val="bullet"/>
      <w:lvlText w:val="•"/>
      <w:lvlJc w:val="left"/>
      <w:pPr>
        <w:ind w:left="3168" w:hanging="423"/>
      </w:pPr>
      <w:rPr>
        <w:rFonts w:hint="default"/>
      </w:rPr>
    </w:lvl>
  </w:abstractNum>
  <w:abstractNum w:abstractNumId="1">
    <w:multiLevelType w:val="hybridMultilevel"/>
    <w:lvl w:ilvl="0">
      <w:start w:val="1"/>
      <w:numFmt w:val="decimal"/>
      <w:lvlText w:val="%1"/>
      <w:lvlJc w:val="left"/>
      <w:pPr>
        <w:ind w:left="1987" w:hanging="423"/>
        <w:jc w:val="left"/>
      </w:pPr>
      <w:rPr>
        <w:rFonts w:hint="default"/>
      </w:rPr>
    </w:lvl>
    <w:lvl w:ilvl="1">
      <w:start w:val="1"/>
      <w:numFmt w:val="decimal"/>
      <w:lvlText w:val="%1.%2"/>
      <w:lvlJc w:val="left"/>
      <w:pPr>
        <w:ind w:left="1987" w:hanging="423"/>
        <w:jc w:val="left"/>
      </w:pPr>
      <w:rPr>
        <w:rFonts w:hint="default" w:ascii="宋体" w:hAnsi="宋体" w:eastAsia="宋体" w:cs="宋体"/>
        <w:w w:val="100"/>
        <w:sz w:val="21"/>
        <w:szCs w:val="21"/>
      </w:rPr>
    </w:lvl>
    <w:lvl w:ilvl="2">
      <w:start w:val="0"/>
      <w:numFmt w:val="bullet"/>
      <w:lvlText w:val="•"/>
      <w:lvlJc w:val="left"/>
      <w:pPr>
        <w:ind w:left="2277" w:hanging="423"/>
      </w:pPr>
      <w:rPr>
        <w:rFonts w:hint="default"/>
      </w:rPr>
    </w:lvl>
    <w:lvl w:ilvl="3">
      <w:start w:val="0"/>
      <w:numFmt w:val="bullet"/>
      <w:lvlText w:val="•"/>
      <w:lvlJc w:val="left"/>
      <w:pPr>
        <w:ind w:left="2425" w:hanging="423"/>
      </w:pPr>
      <w:rPr>
        <w:rFonts w:hint="default"/>
      </w:rPr>
    </w:lvl>
    <w:lvl w:ilvl="4">
      <w:start w:val="0"/>
      <w:numFmt w:val="bullet"/>
      <w:lvlText w:val="•"/>
      <w:lvlJc w:val="left"/>
      <w:pPr>
        <w:ind w:left="2574" w:hanging="423"/>
      </w:pPr>
      <w:rPr>
        <w:rFonts w:hint="default"/>
      </w:rPr>
    </w:lvl>
    <w:lvl w:ilvl="5">
      <w:start w:val="0"/>
      <w:numFmt w:val="bullet"/>
      <w:lvlText w:val="•"/>
      <w:lvlJc w:val="left"/>
      <w:pPr>
        <w:ind w:left="2723" w:hanging="423"/>
      </w:pPr>
      <w:rPr>
        <w:rFonts w:hint="default"/>
      </w:rPr>
    </w:lvl>
    <w:lvl w:ilvl="6">
      <w:start w:val="0"/>
      <w:numFmt w:val="bullet"/>
      <w:lvlText w:val="•"/>
      <w:lvlJc w:val="left"/>
      <w:pPr>
        <w:ind w:left="2871" w:hanging="423"/>
      </w:pPr>
      <w:rPr>
        <w:rFonts w:hint="default"/>
      </w:rPr>
    </w:lvl>
    <w:lvl w:ilvl="7">
      <w:start w:val="0"/>
      <w:numFmt w:val="bullet"/>
      <w:lvlText w:val="•"/>
      <w:lvlJc w:val="left"/>
      <w:pPr>
        <w:ind w:left="3020" w:hanging="423"/>
      </w:pPr>
      <w:rPr>
        <w:rFonts w:hint="default"/>
      </w:rPr>
    </w:lvl>
    <w:lvl w:ilvl="8">
      <w:start w:val="0"/>
      <w:numFmt w:val="bullet"/>
      <w:lvlText w:val="•"/>
      <w:lvlJc w:val="left"/>
      <w:pPr>
        <w:ind w:left="3168" w:hanging="423"/>
      </w:pPr>
      <w:rPr>
        <w:rFonts w:hint="default"/>
      </w:rPr>
    </w:lvl>
  </w:abstractNum>
  <w:abstractNum w:abstractNumId="0">
    <w:multiLevelType w:val="hybridMultilevel"/>
    <w:lvl w:ilvl="0">
      <w:start w:val="0"/>
      <w:numFmt w:val="bullet"/>
      <w:lvlText w:val=""/>
      <w:lvlJc w:val="left"/>
      <w:pPr>
        <w:ind w:left="1620" w:hanging="420"/>
      </w:pPr>
      <w:rPr>
        <w:rFonts w:hint="default" w:ascii="Wingdings" w:hAnsi="Wingdings" w:eastAsia="Wingdings" w:cs="Wingdings"/>
        <w:w w:val="100"/>
        <w:sz w:val="21"/>
        <w:szCs w:val="21"/>
      </w:rPr>
    </w:lvl>
    <w:lvl w:ilvl="1">
      <w:start w:val="0"/>
      <w:numFmt w:val="bullet"/>
      <w:lvlText w:val="•"/>
      <w:lvlJc w:val="left"/>
      <w:pPr>
        <w:ind w:left="2520" w:hanging="420"/>
      </w:pPr>
      <w:rPr>
        <w:rFonts w:hint="default"/>
      </w:rPr>
    </w:lvl>
    <w:lvl w:ilvl="2">
      <w:start w:val="0"/>
      <w:numFmt w:val="bullet"/>
      <w:lvlText w:val="•"/>
      <w:lvlJc w:val="left"/>
      <w:pPr>
        <w:ind w:left="3421" w:hanging="420"/>
      </w:pPr>
      <w:rPr>
        <w:rFonts w:hint="default"/>
      </w:rPr>
    </w:lvl>
    <w:lvl w:ilvl="3">
      <w:start w:val="0"/>
      <w:numFmt w:val="bullet"/>
      <w:lvlText w:val="•"/>
      <w:lvlJc w:val="left"/>
      <w:pPr>
        <w:ind w:left="4321" w:hanging="420"/>
      </w:pPr>
      <w:rPr>
        <w:rFonts w:hint="default"/>
      </w:rPr>
    </w:lvl>
    <w:lvl w:ilvl="4">
      <w:start w:val="0"/>
      <w:numFmt w:val="bullet"/>
      <w:lvlText w:val="•"/>
      <w:lvlJc w:val="left"/>
      <w:pPr>
        <w:ind w:left="5222" w:hanging="420"/>
      </w:pPr>
      <w:rPr>
        <w:rFonts w:hint="default"/>
      </w:rPr>
    </w:lvl>
    <w:lvl w:ilvl="5">
      <w:start w:val="0"/>
      <w:numFmt w:val="bullet"/>
      <w:lvlText w:val="•"/>
      <w:lvlJc w:val="left"/>
      <w:pPr>
        <w:ind w:left="6123" w:hanging="420"/>
      </w:pPr>
      <w:rPr>
        <w:rFonts w:hint="default"/>
      </w:rPr>
    </w:lvl>
    <w:lvl w:ilvl="6">
      <w:start w:val="0"/>
      <w:numFmt w:val="bullet"/>
      <w:lvlText w:val="•"/>
      <w:lvlJc w:val="left"/>
      <w:pPr>
        <w:ind w:left="7023" w:hanging="420"/>
      </w:pPr>
      <w:rPr>
        <w:rFonts w:hint="default"/>
      </w:rPr>
    </w:lvl>
    <w:lvl w:ilvl="7">
      <w:start w:val="0"/>
      <w:numFmt w:val="bullet"/>
      <w:lvlText w:val="•"/>
      <w:lvlJc w:val="left"/>
      <w:pPr>
        <w:ind w:left="7924" w:hanging="420"/>
      </w:pPr>
      <w:rPr>
        <w:rFonts w:hint="default"/>
      </w:rPr>
    </w:lvl>
    <w:lvl w:ilvl="8">
      <w:start w:val="0"/>
      <w:numFmt w:val="bullet"/>
      <w:lvlText w:val="•"/>
      <w:lvlJc w:val="left"/>
      <w:pPr>
        <w:ind w:left="8825" w:hanging="42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1987"/>
    </w:pPr>
    <w:rPr>
      <w:rFonts w:ascii="宋体" w:hAnsi="宋体" w:eastAsia="宋体" w:cs="宋体"/>
      <w:sz w:val="21"/>
      <w:szCs w:val="21"/>
    </w:rPr>
  </w:style>
  <w:style w:styleId="Heading1" w:type="paragraph">
    <w:name w:val="Heading 1"/>
    <w:basedOn w:val="Normal"/>
    <w:uiPriority w:val="1"/>
    <w:qFormat/>
    <w:pPr>
      <w:ind w:left="1635"/>
      <w:outlineLvl w:val="1"/>
    </w:pPr>
    <w:rPr>
      <w:rFonts w:ascii="微软雅黑" w:hAnsi="微软雅黑" w:eastAsia="微软雅黑" w:cs="微软雅黑"/>
      <w:b/>
      <w:bCs/>
      <w:sz w:val="44"/>
      <w:szCs w:val="44"/>
    </w:rPr>
  </w:style>
  <w:style w:styleId="Heading2" w:type="paragraph">
    <w:name w:val="Heading 2"/>
    <w:basedOn w:val="Normal"/>
    <w:uiPriority w:val="1"/>
    <w:qFormat/>
    <w:pPr>
      <w:spacing w:line="350" w:lineRule="exact"/>
      <w:ind w:left="1353"/>
      <w:outlineLvl w:val="2"/>
    </w:pPr>
    <w:rPr>
      <w:rFonts w:ascii="微软雅黑" w:hAnsi="微软雅黑" w:eastAsia="微软雅黑" w:cs="微软雅黑"/>
      <w:b/>
      <w:bCs/>
      <w:sz w:val="21"/>
      <w:szCs w:val="21"/>
    </w:rPr>
  </w:style>
  <w:style w:styleId="ListParagraph" w:type="paragraph">
    <w:name w:val="List Paragraph"/>
    <w:basedOn w:val="Normal"/>
    <w:uiPriority w:val="1"/>
    <w:qFormat/>
    <w:pPr>
      <w:spacing w:before="37"/>
      <w:ind w:left="1987" w:hanging="422"/>
    </w:pPr>
    <w:rPr>
      <w:rFonts w:ascii="宋体" w:hAnsi="宋体" w:eastAsia="宋体" w:cs="宋体"/>
    </w:rPr>
  </w:style>
  <w:style w:styleId="TableParagraph" w:type="paragraph">
    <w:name w:val="Table Paragraph"/>
    <w:basedOn w:val="Normal"/>
    <w:uiPriority w:val="1"/>
    <w:qFormat/>
    <w:pPr>
      <w:ind w:left="13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zangjinfeng</dc:creator>
  <dc:title>团体重大疾病</dc:title>
  <dcterms:created xsi:type="dcterms:W3CDTF">2018-10-19T23:28:57Z</dcterms:created>
  <dcterms:modified xsi:type="dcterms:W3CDTF">2018-10-19T23:28:57Z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2017-04-26T00:00:00Z</vt:filetime>
  </property>
  <property fmtid="{D5CDD505-2E9C-101B-9397-08002B2CF9AE}" pid="3" name="Creator">
    <vt:lpwstr>Microsoft® Word 2013</vt:lpwstr>
  </property>
  <property fmtid="{D5CDD505-2E9C-101B-9397-08002B2CF9AE}" pid="4" name="LastSaved">
    <vt:filetime>2018-10-19T00:00:00Z</vt:filetime>
  </property>
</Properties>
</file>