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8"/>
        <w:ind w:left="0" w:right="117" w:firstLine="0"/>
        <w:jc w:val="right"/>
        <w:rPr>
          <w:sz w:val="18"/>
        </w:rPr>
      </w:pPr>
      <w:r>
        <w:rPr/>
        <w:drawing>
          <wp:anchor distT="0" distB="0" distL="0" distR="0" allowOverlap="1" layoutInCell="1" locked="0" behindDoc="0" simplePos="0" relativeHeight="1048">
            <wp:simplePos x="0" y="0"/>
            <wp:positionH relativeFrom="page">
              <wp:posOffset>5996940</wp:posOffset>
            </wp:positionH>
            <wp:positionV relativeFrom="paragraph">
              <wp:posOffset>244116</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合众人寿〔2015〕疾病保险 009 号</w:t>
      </w:r>
    </w:p>
    <w:p>
      <w:pPr>
        <w:pStyle w:val="BodyText"/>
        <w:spacing w:before="12"/>
        <w:rPr>
          <w:sz w:val="14"/>
        </w:rPr>
      </w:pPr>
    </w:p>
    <w:p>
      <w:pPr>
        <w:spacing w:after="0"/>
        <w:rPr>
          <w:sz w:val="14"/>
        </w:rPr>
        <w:sectPr>
          <w:footerReference w:type="default" r:id="rId5"/>
          <w:type w:val="continuous"/>
          <w:pgSz w:w="11910" w:h="16840"/>
          <w:pgMar w:footer="984" w:top="300" w:bottom="1180" w:left="860" w:right="440"/>
          <w:pgNumType w:start="1"/>
        </w:sectPr>
      </w:pPr>
    </w:p>
    <w:p>
      <w:pPr>
        <w:spacing w:before="34"/>
        <w:ind w:left="217" w:right="0" w:firstLine="0"/>
        <w:jc w:val="left"/>
        <w:rPr>
          <w:rFonts w:ascii="Times New Roman" w:eastAsia="Times New Roman"/>
          <w:b/>
          <w:sz w:val="24"/>
        </w:rPr>
      </w:pPr>
      <w:r>
        <w:rPr>
          <w:b/>
          <w:spacing w:val="-20"/>
          <w:sz w:val="24"/>
        </w:rPr>
        <w:t>附件 </w:t>
      </w:r>
      <w:r>
        <w:rPr>
          <w:rFonts w:ascii="Times New Roman" w:eastAsia="Times New Roman"/>
          <w:b/>
          <w:sz w:val="24"/>
        </w:rPr>
        <w:t>1-2</w:t>
      </w:r>
    </w:p>
    <w:p>
      <w:pPr>
        <w:pStyle w:val="BodyText"/>
        <w:spacing w:before="10"/>
        <w:rPr>
          <w:rFonts w:ascii="Times New Roman"/>
          <w:b/>
          <w:sz w:val="49"/>
        </w:rPr>
      </w:pPr>
      <w:r>
        <w:rPr/>
        <w:br w:type="column"/>
      </w:r>
      <w:r>
        <w:rPr>
          <w:rFonts w:ascii="Times New Roman"/>
          <w:b/>
          <w:sz w:val="49"/>
        </w:rPr>
      </w:r>
    </w:p>
    <w:p>
      <w:pPr>
        <w:pStyle w:val="Heading1"/>
        <w:spacing w:line="220" w:lineRule="auto"/>
        <w:ind w:right="706"/>
        <w:jc w:val="center"/>
      </w:pPr>
      <w:r>
        <w:rPr/>
        <w:t>合众福利宝少儿重大疾病保险条款阅  读  指 引</w:t>
      </w:r>
    </w:p>
    <w:p>
      <w:pPr>
        <w:pStyle w:val="BodyText"/>
        <w:spacing w:before="227"/>
        <w:ind w:left="217"/>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1"/>
          <w:w w:val="100"/>
        </w:rPr>
        <w:t>本</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51"/>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4"/>
          <w:w w:val="100"/>
          <w:position w:val="-7"/>
        </w:rPr>
        <w:t>．</w:t>
      </w:r>
      <w:r>
        <w:rPr>
          <w:spacing w:val="-151"/>
          <w:w w:val="100"/>
        </w:rPr>
        <w:t>。</w:t>
      </w:r>
      <w:r>
        <w:rPr>
          <w:w w:val="100"/>
          <w:position w:val="-7"/>
        </w:rPr>
        <w:t>．</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spacing w:before="4"/>
        <w:rPr>
          <w:sz w:val="14"/>
        </w:rPr>
      </w:pPr>
    </w:p>
    <w:p>
      <w:pPr>
        <w:spacing w:before="0"/>
        <w:ind w:left="12" w:right="0" w:firstLine="0"/>
        <w:jc w:val="left"/>
        <w:rPr>
          <w:sz w:val="18"/>
        </w:rPr>
      </w:pPr>
      <w:r>
        <w:rPr>
          <w:sz w:val="18"/>
        </w:rPr>
        <w:t>请扫描以查询验证条款</w:t>
      </w:r>
    </w:p>
    <w:p>
      <w:pPr>
        <w:spacing w:after="0"/>
        <w:jc w:val="left"/>
        <w:rPr>
          <w:sz w:val="18"/>
        </w:rPr>
        <w:sectPr>
          <w:type w:val="continuous"/>
          <w:pgSz w:w="11910" w:h="16840"/>
          <w:pgMar w:top="300" w:bottom="1180" w:left="860" w:right="440"/>
          <w:cols w:num="3" w:equalWidth="0">
            <w:col w:w="1083" w:space="747"/>
            <w:col w:w="6376" w:space="39"/>
            <w:col w:w="2365"/>
          </w:cols>
        </w:sectPr>
      </w:pPr>
    </w:p>
    <w:p>
      <w:pPr>
        <w:pStyle w:val="Heading2"/>
        <w:tabs>
          <w:tab w:pos="1249" w:val="left" w:leader="none"/>
        </w:tabs>
        <w:spacing w:before="82"/>
      </w:pPr>
      <w:r>
        <w:rPr/>
        <w:drawing>
          <wp:anchor distT="0" distB="0" distL="0" distR="0" allowOverlap="1" layoutInCell="1" locked="0" behindDoc="1" simplePos="0" relativeHeight="268406591">
            <wp:simplePos x="0" y="0"/>
            <wp:positionH relativeFrom="page">
              <wp:posOffset>609600</wp:posOffset>
            </wp:positionH>
            <wp:positionV relativeFrom="paragraph">
              <wp:posOffset>21941</wp:posOffset>
            </wp:positionV>
            <wp:extent cx="6341364" cy="800227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341364" cy="8002270"/>
                    </a:xfrm>
                    <a:prstGeom prst="rect">
                      <a:avLst/>
                    </a:prstGeom>
                  </pic:spPr>
                </pic:pic>
              </a:graphicData>
            </a:graphic>
          </wp:anchor>
        </w:drawing>
      </w:r>
      <w:r>
        <w:rPr>
          <w:rFonts w:ascii="Arial" w:hAnsi="Arial" w:eastAsia="Arial"/>
          <w:w w:val="105"/>
          <w:position w:val="-11"/>
          <w:sz w:val="52"/>
        </w:rPr>
        <w:t></w:t>
        <w:tab/>
      </w:r>
      <w:r>
        <w:rPr>
          <w:spacing w:val="-1"/>
        </w:rPr>
        <w:t>您拥有的重要权益</w:t>
      </w:r>
    </w:p>
    <w:p>
      <w:pPr>
        <w:pStyle w:val="ListParagraph"/>
        <w:numPr>
          <w:ilvl w:val="0"/>
          <w:numId w:val="1"/>
        </w:numPr>
        <w:tabs>
          <w:tab w:pos="1269" w:val="left" w:leader="none"/>
          <w:tab w:pos="1270" w:val="left" w:leader="none"/>
          <w:tab w:pos="9565" w:val="right" w:leader="dot"/>
        </w:tabs>
        <w:spacing w:line="240" w:lineRule="auto" w:before="26" w:after="0"/>
        <w:ind w:left="1269" w:right="0" w:hanging="399"/>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1.6</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本</w:t>
      </w:r>
      <w:r>
        <w:rPr>
          <w:sz w:val="21"/>
        </w:rPr>
        <w:t>合同</w:t>
      </w:r>
      <w:r>
        <w:rPr>
          <w:spacing w:val="-3"/>
          <w:sz w:val="21"/>
        </w:rPr>
        <w:t>提</w:t>
      </w:r>
      <w:r>
        <w:rPr>
          <w:sz w:val="21"/>
        </w:rPr>
        <w:t>供</w:t>
      </w:r>
      <w:r>
        <w:rPr>
          <w:spacing w:val="-3"/>
          <w:sz w:val="21"/>
        </w:rPr>
        <w:t>的</w:t>
      </w:r>
      <w:r>
        <w:rPr>
          <w:sz w:val="21"/>
        </w:rPr>
        <w:t>保</w:t>
      </w:r>
      <w:r>
        <w:rPr>
          <w:spacing w:val="-3"/>
          <w:sz w:val="21"/>
        </w:rPr>
        <w:t>障在</w:t>
      </w:r>
      <w:r>
        <w:rPr>
          <w:sz w:val="21"/>
        </w:rPr>
        <w:t>保险</w:t>
      </w:r>
      <w:r>
        <w:rPr>
          <w:spacing w:val="-3"/>
          <w:sz w:val="21"/>
        </w:rPr>
        <w:t>责</w:t>
      </w:r>
      <w:r>
        <w:rPr>
          <w:sz w:val="21"/>
        </w:rPr>
        <w:t>任</w:t>
      </w:r>
      <w:r>
        <w:rPr>
          <w:spacing w:val="-3"/>
          <w:sz w:val="21"/>
        </w:rPr>
        <w:t>条</w:t>
      </w:r>
      <w:r>
        <w:rPr>
          <w:sz w:val="21"/>
        </w:rPr>
        <w:t>款</w:t>
      </w:r>
      <w:r>
        <w:rPr>
          <w:spacing w:val="-3"/>
          <w:sz w:val="21"/>
        </w:rPr>
        <w:t>中</w:t>
      </w:r>
      <w:r>
        <w:rPr>
          <w:sz w:val="21"/>
        </w:rPr>
        <w:t>列明</w:t>
        <w:tab/>
        <w:t>2.3</w:t>
      </w:r>
    </w:p>
    <w:p>
      <w:pPr>
        <w:pStyle w:val="Heading2"/>
        <w:tabs>
          <w:tab w:pos="1249" w:val="left" w:leader="none"/>
        </w:tabs>
      </w:pPr>
      <w:r>
        <w:rPr>
          <w:rFonts w:ascii="Arial" w:hAnsi="Arial" w:eastAsia="Arial"/>
          <w:w w:val="105"/>
          <w:position w:val="-11"/>
          <w:sz w:val="52"/>
        </w:rPr>
        <w:t></w:t>
        <w:tab/>
      </w:r>
      <w:r>
        <w:rPr>
          <w:spacing w:val="-1"/>
        </w:rPr>
        <w:t>您应当特别注意的事项</w:t>
      </w:r>
    </w:p>
    <w:p>
      <w:pPr>
        <w:pStyle w:val="ListParagraph"/>
        <w:numPr>
          <w:ilvl w:val="0"/>
          <w:numId w:val="1"/>
        </w:numPr>
        <w:tabs>
          <w:tab w:pos="1259" w:val="left" w:leader="none"/>
          <w:tab w:pos="1260" w:val="left" w:leader="none"/>
          <w:tab w:pos="9557" w:val="right" w:leader="dot"/>
        </w:tabs>
        <w:spacing w:line="240" w:lineRule="auto" w:before="26" w:after="0"/>
        <w:ind w:left="1259" w:right="0" w:hanging="389"/>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1.6</w:t>
      </w:r>
    </w:p>
    <w:p>
      <w:pPr>
        <w:pStyle w:val="ListParagraph"/>
        <w:numPr>
          <w:ilvl w:val="0"/>
          <w:numId w:val="1"/>
        </w:numPr>
        <w:tabs>
          <w:tab w:pos="1259" w:val="left" w:leader="none"/>
          <w:tab w:pos="1260" w:val="left" w:leader="none"/>
          <w:tab w:pos="9557" w:val="right" w:leader="dot"/>
        </w:tabs>
        <w:spacing w:line="240" w:lineRule="auto" w:before="23" w:after="0"/>
        <w:ind w:left="1259" w:right="0" w:hanging="389"/>
        <w:jc w:val="left"/>
        <w:rPr>
          <w:sz w:val="21"/>
        </w:rPr>
      </w:pPr>
      <w:r>
        <w:rPr>
          <w:sz w:val="21"/>
        </w:rPr>
        <w:t>本合</w:t>
      </w:r>
      <w:r>
        <w:rPr>
          <w:spacing w:val="-3"/>
          <w:sz w:val="21"/>
        </w:rPr>
        <w:t>同</w:t>
      </w:r>
      <w:r>
        <w:rPr>
          <w:sz w:val="21"/>
        </w:rPr>
        <w:t>有</w:t>
      </w:r>
      <w:r>
        <w:rPr>
          <w:spacing w:val="-53"/>
          <w:sz w:val="21"/>
        </w:rPr>
        <w:t> </w:t>
      </w:r>
      <w:r>
        <w:rPr>
          <w:sz w:val="21"/>
        </w:rPr>
        <w:t>90</w:t>
      </w:r>
      <w:r>
        <w:rPr>
          <w:spacing w:val="-53"/>
          <w:sz w:val="21"/>
        </w:rPr>
        <w:t> </w:t>
      </w:r>
      <w:r>
        <w:rPr>
          <w:spacing w:val="-3"/>
          <w:sz w:val="21"/>
        </w:rPr>
        <w:t>天</w:t>
      </w:r>
      <w:r>
        <w:rPr>
          <w:sz w:val="21"/>
        </w:rPr>
        <w:t>的</w:t>
      </w:r>
      <w:r>
        <w:rPr>
          <w:spacing w:val="-3"/>
          <w:sz w:val="21"/>
        </w:rPr>
        <w:t>等</w:t>
      </w:r>
      <w:r>
        <w:rPr>
          <w:sz w:val="21"/>
        </w:rPr>
        <w:t>待期</w:t>
        <w:tab/>
        <w:t>2.3</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在</w:t>
      </w:r>
      <w:r>
        <w:rPr>
          <w:sz w:val="21"/>
        </w:rPr>
        <w:t>某些</w:t>
      </w:r>
      <w:r>
        <w:rPr>
          <w:spacing w:val="-3"/>
          <w:sz w:val="21"/>
        </w:rPr>
        <w:t>情</w:t>
      </w:r>
      <w:r>
        <w:rPr>
          <w:sz w:val="21"/>
        </w:rPr>
        <w:t>况</w:t>
      </w:r>
      <w:r>
        <w:rPr>
          <w:spacing w:val="-3"/>
          <w:sz w:val="21"/>
        </w:rPr>
        <w:t>下</w:t>
      </w:r>
      <w:r>
        <w:rPr>
          <w:sz w:val="21"/>
        </w:rPr>
        <w:t>，</w:t>
      </w:r>
      <w:r>
        <w:rPr>
          <w:spacing w:val="-3"/>
          <w:sz w:val="21"/>
        </w:rPr>
        <w:t>我们</w:t>
      </w:r>
      <w:r>
        <w:rPr>
          <w:sz w:val="21"/>
        </w:rPr>
        <w:t>不承</w:t>
      </w:r>
      <w:r>
        <w:rPr>
          <w:spacing w:val="-3"/>
          <w:sz w:val="21"/>
        </w:rPr>
        <w:t>担</w:t>
      </w:r>
      <w:r>
        <w:rPr>
          <w:sz w:val="21"/>
        </w:rPr>
        <w:t>保</w:t>
      </w:r>
      <w:r>
        <w:rPr>
          <w:spacing w:val="-3"/>
          <w:sz w:val="21"/>
        </w:rPr>
        <w:t>险</w:t>
      </w:r>
      <w:r>
        <w:rPr>
          <w:sz w:val="21"/>
        </w:rPr>
        <w:t>责任</w:t>
        <w:tab/>
        <w:t>2.4</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您</w:t>
      </w:r>
      <w:r>
        <w:rPr>
          <w:sz w:val="21"/>
        </w:rPr>
        <w:t>及</w:t>
      </w:r>
      <w:r>
        <w:rPr>
          <w:spacing w:val="-3"/>
          <w:sz w:val="21"/>
        </w:rPr>
        <w:t>时</w:t>
      </w:r>
      <w:r>
        <w:rPr>
          <w:sz w:val="21"/>
        </w:rPr>
        <w:t>通</w:t>
      </w:r>
      <w:r>
        <w:rPr>
          <w:spacing w:val="-3"/>
          <w:sz w:val="21"/>
        </w:rPr>
        <w:t>知</w:t>
      </w:r>
      <w:r>
        <w:rPr>
          <w:sz w:val="21"/>
        </w:rPr>
        <w:t>我们</w:t>
        <w:tab/>
        <w:t>3.2</w:t>
      </w:r>
    </w:p>
    <w:p>
      <w:pPr>
        <w:pStyle w:val="ListParagraph"/>
        <w:numPr>
          <w:ilvl w:val="0"/>
          <w:numId w:val="1"/>
        </w:numPr>
        <w:tabs>
          <w:tab w:pos="1269" w:val="left" w:leader="none"/>
          <w:tab w:pos="1270" w:val="left" w:leader="none"/>
          <w:tab w:pos="9567" w:val="right" w:leader="dot"/>
        </w:tabs>
        <w:spacing w:line="240" w:lineRule="auto" w:before="22" w:after="0"/>
        <w:ind w:left="1269" w:right="0" w:hanging="399"/>
        <w:jc w:val="left"/>
        <w:rPr>
          <w:sz w:val="21"/>
        </w:rPr>
      </w:pPr>
      <w:r>
        <w:rPr>
          <w:spacing w:val="-3"/>
          <w:sz w:val="21"/>
        </w:rPr>
        <w:t>我</w:t>
      </w:r>
      <w:r>
        <w:rPr>
          <w:sz w:val="21"/>
        </w:rPr>
        <w:t>们保</w:t>
      </w:r>
      <w:r>
        <w:rPr>
          <w:spacing w:val="-3"/>
          <w:sz w:val="21"/>
        </w:rPr>
        <w:t>留</w:t>
      </w:r>
      <w:r>
        <w:rPr>
          <w:sz w:val="21"/>
        </w:rPr>
        <w:t>提</w:t>
      </w:r>
      <w:r>
        <w:rPr>
          <w:spacing w:val="-3"/>
          <w:sz w:val="21"/>
        </w:rPr>
        <w:t>高</w:t>
      </w:r>
      <w:r>
        <w:rPr>
          <w:sz w:val="21"/>
        </w:rPr>
        <w:t>或</w:t>
      </w:r>
      <w:r>
        <w:rPr>
          <w:spacing w:val="-3"/>
          <w:sz w:val="21"/>
        </w:rPr>
        <w:t>降低</w:t>
      </w:r>
      <w:r>
        <w:rPr>
          <w:sz w:val="21"/>
        </w:rPr>
        <w:t>保险</w:t>
      </w:r>
      <w:r>
        <w:rPr>
          <w:spacing w:val="-3"/>
          <w:sz w:val="21"/>
        </w:rPr>
        <w:t>费</w:t>
      </w:r>
      <w:r>
        <w:rPr>
          <w:sz w:val="21"/>
        </w:rPr>
        <w:t>率</w:t>
      </w:r>
      <w:r>
        <w:rPr>
          <w:spacing w:val="-3"/>
          <w:sz w:val="21"/>
        </w:rPr>
        <w:t>的</w:t>
      </w:r>
      <w:r>
        <w:rPr>
          <w:sz w:val="21"/>
        </w:rPr>
        <w:t>权</w:t>
      </w:r>
      <w:r>
        <w:rPr>
          <w:spacing w:val="-3"/>
          <w:sz w:val="21"/>
        </w:rPr>
        <w:t>利</w:t>
      </w:r>
      <w:r>
        <w:rPr>
          <w:sz w:val="21"/>
        </w:rPr>
        <w:t>，</w:t>
      </w:r>
      <w:r>
        <w:rPr>
          <w:spacing w:val="-3"/>
          <w:sz w:val="21"/>
        </w:rPr>
        <w:t>请</w:t>
      </w:r>
      <w:r>
        <w:rPr>
          <w:sz w:val="21"/>
        </w:rPr>
        <w:t>您</w:t>
      </w:r>
      <w:r>
        <w:rPr>
          <w:spacing w:val="-3"/>
          <w:sz w:val="21"/>
        </w:rPr>
        <w:t>注</w:t>
      </w:r>
      <w:r>
        <w:rPr>
          <w:sz w:val="21"/>
        </w:rPr>
        <w:t>意</w:t>
        <w:tab/>
        <w:t>4.2</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您</w:t>
      </w:r>
      <w:r>
        <w:rPr>
          <w:sz w:val="21"/>
        </w:rPr>
        <w:t>有</w:t>
      </w:r>
      <w:r>
        <w:rPr>
          <w:spacing w:val="-3"/>
          <w:sz w:val="21"/>
        </w:rPr>
        <w:t>如</w:t>
      </w:r>
      <w:r>
        <w:rPr>
          <w:sz w:val="21"/>
        </w:rPr>
        <w:t>实</w:t>
      </w:r>
      <w:r>
        <w:rPr>
          <w:spacing w:val="-3"/>
          <w:sz w:val="21"/>
        </w:rPr>
        <w:t>告知</w:t>
      </w:r>
      <w:r>
        <w:rPr>
          <w:sz w:val="21"/>
        </w:rPr>
        <w:t>的义务</w:t>
        <w:tab/>
        <w:t>5.1</w:t>
      </w:r>
    </w:p>
    <w:p>
      <w:pPr>
        <w:pStyle w:val="ListParagraph"/>
        <w:numPr>
          <w:ilvl w:val="0"/>
          <w:numId w:val="1"/>
        </w:numPr>
        <w:tabs>
          <w:tab w:pos="1269" w:val="left" w:leader="none"/>
          <w:tab w:pos="1270" w:val="left" w:leader="none"/>
          <w:tab w:pos="9356" w:val="right" w:leader="dot"/>
        </w:tabs>
        <w:spacing w:line="240" w:lineRule="auto" w:before="22" w:after="0"/>
        <w:ind w:left="1269" w:right="0" w:hanging="399"/>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6</w:t>
      </w:r>
    </w:p>
    <w:p>
      <w:pPr>
        <w:tabs>
          <w:tab w:pos="1249" w:val="left" w:leader="none"/>
        </w:tabs>
        <w:spacing w:before="22"/>
        <w:ind w:left="239"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49" w:val="left" w:leader="none"/>
        </w:tabs>
        <w:spacing w:before="26"/>
        <w:ind w:left="239" w:right="0" w:firstLine="0"/>
        <w:jc w:val="left"/>
        <w:rPr>
          <w:b/>
          <w:sz w:val="21"/>
        </w:rPr>
      </w:pPr>
      <w:r>
        <w:rPr>
          <w:rFonts w:ascii="Arial" w:hAnsi="Arial" w:eastAsia="Arial"/>
          <w:b/>
          <w:w w:val="110"/>
          <w:position w:val="-11"/>
          <w:sz w:val="52"/>
        </w:rPr>
        <w:t></w:t>
        <w:tab/>
      </w:r>
      <w:r>
        <w:rPr>
          <w:b/>
          <w:sz w:val="21"/>
        </w:rPr>
        <w:t>条款目录</w:t>
      </w:r>
    </w:p>
    <w:p>
      <w:pPr>
        <w:pStyle w:val="BodyText"/>
        <w:spacing w:before="11"/>
        <w:rPr>
          <w:b/>
          <w:sz w:val="6"/>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68"/>
        <w:gridCol w:w="3275"/>
        <w:gridCol w:w="3498"/>
      </w:tblGrid>
      <w:tr>
        <w:trPr>
          <w:trHeight w:val="6140" w:hRule="atLeast"/>
        </w:trPr>
        <w:tc>
          <w:tcPr>
            <w:tcW w:w="3168" w:type="dxa"/>
          </w:tcPr>
          <w:p>
            <w:pPr>
              <w:pStyle w:val="TableParagraph"/>
              <w:numPr>
                <w:ilvl w:val="0"/>
                <w:numId w:val="2"/>
              </w:numPr>
              <w:tabs>
                <w:tab w:pos="517" w:val="left" w:leader="none"/>
              </w:tabs>
              <w:spacing w:line="211" w:lineRule="exact" w:before="0" w:after="0"/>
              <w:ind w:left="516" w:right="0" w:hanging="316"/>
              <w:jc w:val="left"/>
              <w:rPr>
                <w:b/>
                <w:sz w:val="21"/>
              </w:rPr>
            </w:pPr>
            <w:r>
              <w:rPr>
                <w:b/>
                <w:spacing w:val="-1"/>
                <w:sz w:val="21"/>
              </w:rPr>
              <w:t>您与我们的合同</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投保范围</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合同构成</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合同成立与生效</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合同内容变更</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投保信息变更</w:t>
            </w:r>
          </w:p>
          <w:p>
            <w:pPr>
              <w:pStyle w:val="TableParagraph"/>
              <w:numPr>
                <w:ilvl w:val="1"/>
                <w:numId w:val="2"/>
              </w:numPr>
              <w:tabs>
                <w:tab w:pos="676" w:val="left" w:leader="none"/>
              </w:tabs>
              <w:spacing w:line="240" w:lineRule="auto" w:before="36" w:after="0"/>
              <w:ind w:left="675" w:right="0" w:hanging="370"/>
              <w:jc w:val="left"/>
              <w:rPr>
                <w:sz w:val="21"/>
              </w:rPr>
            </w:pPr>
            <w:r>
              <w:rPr>
                <w:spacing w:val="-3"/>
                <w:sz w:val="21"/>
              </w:rPr>
              <w:t>您解除合同的手续及风险</w:t>
            </w:r>
          </w:p>
          <w:p>
            <w:pPr>
              <w:pStyle w:val="TableParagraph"/>
              <w:numPr>
                <w:ilvl w:val="0"/>
                <w:numId w:val="2"/>
              </w:numPr>
              <w:tabs>
                <w:tab w:pos="517" w:val="left" w:leader="none"/>
              </w:tabs>
              <w:spacing w:line="240" w:lineRule="auto" w:before="36" w:after="0"/>
              <w:ind w:left="516" w:right="0" w:hanging="316"/>
              <w:jc w:val="left"/>
              <w:rPr>
                <w:b/>
                <w:sz w:val="21"/>
              </w:rPr>
            </w:pPr>
            <w:r>
              <w:rPr>
                <w:b/>
                <w:sz w:val="21"/>
              </w:rPr>
              <w:t>我们提供的保障</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基本保险金额</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保险期间</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保险责任</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保险责任的免除</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保险责任的终止</w:t>
            </w:r>
          </w:p>
          <w:p>
            <w:pPr>
              <w:pStyle w:val="TableParagraph"/>
              <w:spacing w:before="37"/>
              <w:ind w:left="200"/>
              <w:rPr>
                <w:b/>
                <w:sz w:val="21"/>
              </w:rPr>
            </w:pPr>
            <w:r>
              <w:rPr>
                <w:b/>
                <w:sz w:val="21"/>
              </w:rPr>
              <w:t>3.如何申请领取保险金</w:t>
            </w:r>
          </w:p>
          <w:p>
            <w:pPr>
              <w:pStyle w:val="TableParagraph"/>
              <w:numPr>
                <w:ilvl w:val="1"/>
                <w:numId w:val="3"/>
              </w:numPr>
              <w:tabs>
                <w:tab w:pos="728" w:val="left" w:leader="none"/>
              </w:tabs>
              <w:spacing w:line="240" w:lineRule="auto" w:before="37" w:after="0"/>
              <w:ind w:left="728" w:right="0" w:hanging="423"/>
              <w:jc w:val="left"/>
              <w:rPr>
                <w:sz w:val="21"/>
              </w:rPr>
            </w:pPr>
            <w:r>
              <w:rPr>
                <w:spacing w:val="-3"/>
                <w:sz w:val="21"/>
              </w:rPr>
              <w:t>保险金受益人</w:t>
            </w:r>
          </w:p>
          <w:p>
            <w:pPr>
              <w:pStyle w:val="TableParagraph"/>
              <w:numPr>
                <w:ilvl w:val="1"/>
                <w:numId w:val="3"/>
              </w:numPr>
              <w:tabs>
                <w:tab w:pos="728" w:val="left" w:leader="none"/>
              </w:tabs>
              <w:spacing w:line="240" w:lineRule="auto" w:before="37" w:after="0"/>
              <w:ind w:left="728" w:right="0" w:hanging="423"/>
              <w:jc w:val="left"/>
              <w:rPr>
                <w:sz w:val="21"/>
              </w:rPr>
            </w:pPr>
            <w:r>
              <w:rPr>
                <w:spacing w:val="-3"/>
                <w:sz w:val="21"/>
              </w:rPr>
              <w:t>保险事故通知</w:t>
            </w:r>
          </w:p>
          <w:p>
            <w:pPr>
              <w:pStyle w:val="TableParagraph"/>
              <w:numPr>
                <w:ilvl w:val="1"/>
                <w:numId w:val="3"/>
              </w:numPr>
              <w:tabs>
                <w:tab w:pos="728" w:val="left" w:leader="none"/>
              </w:tabs>
              <w:spacing w:line="240" w:lineRule="auto" w:before="37" w:after="0"/>
              <w:ind w:left="728" w:right="0" w:hanging="423"/>
              <w:jc w:val="left"/>
              <w:rPr>
                <w:sz w:val="21"/>
              </w:rPr>
            </w:pPr>
            <w:r>
              <w:rPr>
                <w:spacing w:val="-3"/>
                <w:sz w:val="21"/>
              </w:rPr>
              <w:t>保险金申请</w:t>
            </w:r>
          </w:p>
          <w:p>
            <w:pPr>
              <w:pStyle w:val="TableParagraph"/>
              <w:numPr>
                <w:ilvl w:val="1"/>
                <w:numId w:val="3"/>
              </w:numPr>
              <w:tabs>
                <w:tab w:pos="728" w:val="left" w:leader="none"/>
              </w:tabs>
              <w:spacing w:line="240" w:lineRule="auto" w:before="37" w:after="0"/>
              <w:ind w:left="728" w:right="0" w:hanging="423"/>
              <w:jc w:val="left"/>
              <w:rPr>
                <w:sz w:val="21"/>
              </w:rPr>
            </w:pPr>
            <w:r>
              <w:rPr>
                <w:spacing w:val="-3"/>
                <w:sz w:val="21"/>
              </w:rPr>
              <w:t>保险金的给付</w:t>
            </w:r>
          </w:p>
          <w:p>
            <w:pPr>
              <w:pStyle w:val="TableParagraph"/>
              <w:numPr>
                <w:ilvl w:val="1"/>
                <w:numId w:val="3"/>
              </w:numPr>
              <w:tabs>
                <w:tab w:pos="728" w:val="left" w:leader="none"/>
              </w:tabs>
              <w:spacing w:line="240" w:lineRule="auto" w:before="37" w:after="0"/>
              <w:ind w:left="728" w:right="0" w:hanging="423"/>
              <w:jc w:val="left"/>
              <w:rPr>
                <w:sz w:val="21"/>
              </w:rPr>
            </w:pPr>
            <w:r>
              <w:rPr>
                <w:spacing w:val="-3"/>
                <w:sz w:val="21"/>
              </w:rPr>
              <w:t>诉讼时效</w:t>
            </w:r>
          </w:p>
        </w:tc>
        <w:tc>
          <w:tcPr>
            <w:tcW w:w="3275" w:type="dxa"/>
          </w:tcPr>
          <w:p>
            <w:pPr>
              <w:pStyle w:val="TableParagraph"/>
              <w:numPr>
                <w:ilvl w:val="0"/>
                <w:numId w:val="4"/>
              </w:numPr>
              <w:tabs>
                <w:tab w:pos="499" w:val="left" w:leader="none"/>
              </w:tabs>
              <w:spacing w:line="211" w:lineRule="exact" w:before="0" w:after="0"/>
              <w:ind w:left="498" w:right="0" w:hanging="317"/>
              <w:jc w:val="left"/>
              <w:rPr>
                <w:b/>
                <w:sz w:val="21"/>
              </w:rPr>
            </w:pPr>
            <w:r>
              <w:rPr>
                <w:b/>
                <w:sz w:val="21"/>
              </w:rPr>
              <w:t>保险费的支付</w:t>
            </w:r>
          </w:p>
          <w:p>
            <w:pPr>
              <w:pStyle w:val="TableParagraph"/>
              <w:numPr>
                <w:ilvl w:val="1"/>
                <w:numId w:val="4"/>
              </w:numPr>
              <w:tabs>
                <w:tab w:pos="710" w:val="left" w:leader="none"/>
              </w:tabs>
              <w:spacing w:line="240" w:lineRule="auto" w:before="37" w:after="0"/>
              <w:ind w:left="709" w:right="0" w:hanging="423"/>
              <w:jc w:val="left"/>
              <w:rPr>
                <w:sz w:val="21"/>
              </w:rPr>
            </w:pPr>
            <w:r>
              <w:rPr>
                <w:spacing w:val="-3"/>
                <w:sz w:val="21"/>
              </w:rPr>
              <w:t>保险费的支付</w:t>
            </w:r>
          </w:p>
          <w:p>
            <w:pPr>
              <w:pStyle w:val="TableParagraph"/>
              <w:numPr>
                <w:ilvl w:val="1"/>
                <w:numId w:val="4"/>
              </w:numPr>
              <w:tabs>
                <w:tab w:pos="710" w:val="left" w:leader="none"/>
              </w:tabs>
              <w:spacing w:line="240" w:lineRule="auto" w:before="36" w:after="0"/>
              <w:ind w:left="709" w:right="0" w:hanging="423"/>
              <w:jc w:val="left"/>
              <w:rPr>
                <w:sz w:val="21"/>
              </w:rPr>
            </w:pPr>
            <w:r>
              <w:rPr>
                <w:spacing w:val="-3"/>
                <w:sz w:val="21"/>
              </w:rPr>
              <w:t>保险费率调整</w:t>
            </w:r>
          </w:p>
          <w:p>
            <w:pPr>
              <w:pStyle w:val="TableParagraph"/>
              <w:numPr>
                <w:ilvl w:val="0"/>
                <w:numId w:val="4"/>
              </w:numPr>
              <w:tabs>
                <w:tab w:pos="499" w:val="left" w:leader="none"/>
              </w:tabs>
              <w:spacing w:line="240" w:lineRule="auto" w:before="36" w:after="0"/>
              <w:ind w:left="498" w:right="0" w:hanging="317"/>
              <w:jc w:val="left"/>
              <w:rPr>
                <w:b/>
                <w:sz w:val="21"/>
              </w:rPr>
            </w:pPr>
            <w:r>
              <w:rPr>
                <w:b/>
                <w:sz w:val="21"/>
              </w:rPr>
              <w:t>其他事项</w:t>
            </w:r>
          </w:p>
          <w:p>
            <w:pPr>
              <w:pStyle w:val="TableParagraph"/>
              <w:numPr>
                <w:ilvl w:val="1"/>
                <w:numId w:val="4"/>
              </w:numPr>
              <w:tabs>
                <w:tab w:pos="710" w:val="left" w:leader="none"/>
              </w:tabs>
              <w:spacing w:line="240" w:lineRule="auto" w:before="36" w:after="0"/>
              <w:ind w:left="709" w:right="0" w:hanging="423"/>
              <w:jc w:val="left"/>
              <w:rPr>
                <w:sz w:val="21"/>
              </w:rPr>
            </w:pPr>
            <w:r>
              <w:rPr>
                <w:spacing w:val="-3"/>
                <w:sz w:val="21"/>
              </w:rPr>
              <w:t>明确说明与如实告知</w:t>
            </w:r>
          </w:p>
          <w:p>
            <w:pPr>
              <w:pStyle w:val="TableParagraph"/>
              <w:numPr>
                <w:ilvl w:val="1"/>
                <w:numId w:val="4"/>
              </w:numPr>
              <w:tabs>
                <w:tab w:pos="710" w:val="left" w:leader="none"/>
              </w:tabs>
              <w:spacing w:line="240" w:lineRule="auto" w:before="36" w:after="0"/>
              <w:ind w:left="709" w:right="0" w:hanging="423"/>
              <w:jc w:val="left"/>
              <w:rPr>
                <w:sz w:val="21"/>
              </w:rPr>
            </w:pPr>
            <w:r>
              <w:rPr>
                <w:spacing w:val="-3"/>
                <w:sz w:val="21"/>
              </w:rPr>
              <w:t>本公司合同解除权的限制</w:t>
            </w:r>
          </w:p>
          <w:p>
            <w:pPr>
              <w:pStyle w:val="TableParagraph"/>
              <w:numPr>
                <w:ilvl w:val="1"/>
                <w:numId w:val="4"/>
              </w:numPr>
              <w:tabs>
                <w:tab w:pos="710" w:val="left" w:leader="none"/>
              </w:tabs>
              <w:spacing w:line="240" w:lineRule="auto" w:before="36" w:after="0"/>
              <w:ind w:left="709" w:right="0" w:hanging="423"/>
              <w:jc w:val="left"/>
              <w:rPr>
                <w:sz w:val="21"/>
              </w:rPr>
            </w:pPr>
            <w:r>
              <w:rPr>
                <w:spacing w:val="-3"/>
                <w:sz w:val="21"/>
              </w:rPr>
              <w:t>年龄性别错误</w:t>
            </w:r>
          </w:p>
          <w:p>
            <w:pPr>
              <w:pStyle w:val="TableParagraph"/>
              <w:numPr>
                <w:ilvl w:val="1"/>
                <w:numId w:val="4"/>
              </w:numPr>
              <w:tabs>
                <w:tab w:pos="710" w:val="left" w:leader="none"/>
              </w:tabs>
              <w:spacing w:line="240" w:lineRule="auto" w:before="36" w:after="0"/>
              <w:ind w:left="709" w:right="0" w:hanging="423"/>
              <w:jc w:val="left"/>
              <w:rPr>
                <w:sz w:val="21"/>
              </w:rPr>
            </w:pPr>
            <w:r>
              <w:rPr>
                <w:spacing w:val="-3"/>
                <w:sz w:val="21"/>
              </w:rPr>
              <w:t>未还款项</w:t>
            </w:r>
          </w:p>
          <w:p>
            <w:pPr>
              <w:pStyle w:val="TableParagraph"/>
              <w:numPr>
                <w:ilvl w:val="1"/>
                <w:numId w:val="4"/>
              </w:numPr>
              <w:tabs>
                <w:tab w:pos="710" w:val="left" w:leader="none"/>
              </w:tabs>
              <w:spacing w:line="240" w:lineRule="auto" w:before="36" w:after="0"/>
              <w:ind w:left="709" w:right="0" w:hanging="423"/>
              <w:jc w:val="left"/>
              <w:rPr>
                <w:sz w:val="21"/>
              </w:rPr>
            </w:pPr>
            <w:r>
              <w:rPr>
                <w:spacing w:val="-3"/>
                <w:sz w:val="21"/>
              </w:rPr>
              <w:t>争议处理</w:t>
            </w:r>
          </w:p>
          <w:p>
            <w:pPr>
              <w:pStyle w:val="TableParagraph"/>
              <w:numPr>
                <w:ilvl w:val="0"/>
                <w:numId w:val="4"/>
              </w:numPr>
              <w:tabs>
                <w:tab w:pos="499" w:val="left" w:leader="none"/>
              </w:tabs>
              <w:spacing w:line="240" w:lineRule="auto" w:before="36" w:after="0"/>
              <w:ind w:left="498" w:right="0" w:hanging="317"/>
              <w:jc w:val="left"/>
              <w:rPr>
                <w:b/>
                <w:sz w:val="21"/>
              </w:rPr>
            </w:pPr>
            <w:r>
              <w:rPr>
                <w:b/>
                <w:sz w:val="21"/>
              </w:rPr>
              <w:t>释义</w:t>
            </w:r>
          </w:p>
          <w:p>
            <w:pPr>
              <w:pStyle w:val="TableParagraph"/>
              <w:numPr>
                <w:ilvl w:val="1"/>
                <w:numId w:val="4"/>
              </w:numPr>
              <w:tabs>
                <w:tab w:pos="657" w:val="left" w:leader="none"/>
              </w:tabs>
              <w:spacing w:line="240" w:lineRule="auto" w:before="36" w:after="0"/>
              <w:ind w:left="656" w:right="0" w:hanging="370"/>
              <w:jc w:val="left"/>
              <w:rPr>
                <w:sz w:val="21"/>
              </w:rPr>
            </w:pPr>
            <w:r>
              <w:rPr>
                <w:spacing w:val="-3"/>
                <w:sz w:val="21"/>
              </w:rPr>
              <w:t>周岁</w:t>
            </w:r>
          </w:p>
          <w:p>
            <w:pPr>
              <w:pStyle w:val="TableParagraph"/>
              <w:numPr>
                <w:ilvl w:val="1"/>
                <w:numId w:val="4"/>
              </w:numPr>
              <w:tabs>
                <w:tab w:pos="657" w:val="left" w:leader="none"/>
              </w:tabs>
              <w:spacing w:line="240" w:lineRule="auto" w:before="36" w:after="0"/>
              <w:ind w:left="656" w:right="0" w:hanging="370"/>
              <w:jc w:val="left"/>
              <w:rPr>
                <w:sz w:val="21"/>
              </w:rPr>
            </w:pPr>
            <w:r>
              <w:rPr>
                <w:spacing w:val="-3"/>
                <w:sz w:val="21"/>
              </w:rPr>
              <w:t>有效身份证件</w:t>
            </w:r>
          </w:p>
          <w:p>
            <w:pPr>
              <w:pStyle w:val="TableParagraph"/>
              <w:numPr>
                <w:ilvl w:val="1"/>
                <w:numId w:val="4"/>
              </w:numPr>
              <w:tabs>
                <w:tab w:pos="710" w:val="left" w:leader="none"/>
              </w:tabs>
              <w:spacing w:line="240" w:lineRule="auto" w:before="37" w:after="0"/>
              <w:ind w:left="709" w:right="0" w:hanging="423"/>
              <w:jc w:val="left"/>
              <w:rPr>
                <w:sz w:val="21"/>
              </w:rPr>
            </w:pPr>
            <w:r>
              <w:rPr>
                <w:spacing w:val="-3"/>
                <w:sz w:val="21"/>
              </w:rPr>
              <w:t>现金价值</w:t>
            </w:r>
          </w:p>
          <w:p>
            <w:pPr>
              <w:pStyle w:val="TableParagraph"/>
              <w:numPr>
                <w:ilvl w:val="1"/>
                <w:numId w:val="4"/>
              </w:numPr>
              <w:tabs>
                <w:tab w:pos="657" w:val="left" w:leader="none"/>
              </w:tabs>
              <w:spacing w:line="240" w:lineRule="auto" w:before="37" w:after="0"/>
              <w:ind w:left="656" w:right="0" w:hanging="370"/>
              <w:jc w:val="left"/>
              <w:rPr>
                <w:sz w:val="21"/>
              </w:rPr>
            </w:pPr>
            <w:r>
              <w:rPr>
                <w:spacing w:val="-3"/>
                <w:sz w:val="21"/>
              </w:rPr>
              <w:t>少儿重大疾病</w:t>
            </w:r>
          </w:p>
          <w:p>
            <w:pPr>
              <w:pStyle w:val="TableParagraph"/>
              <w:numPr>
                <w:ilvl w:val="1"/>
                <w:numId w:val="4"/>
              </w:numPr>
              <w:tabs>
                <w:tab w:pos="710" w:val="left" w:leader="none"/>
              </w:tabs>
              <w:spacing w:line="240" w:lineRule="auto" w:before="37" w:after="0"/>
              <w:ind w:left="709" w:right="0" w:hanging="423"/>
              <w:jc w:val="left"/>
              <w:rPr>
                <w:sz w:val="21"/>
              </w:rPr>
            </w:pPr>
            <w:r>
              <w:rPr>
                <w:spacing w:val="-3"/>
                <w:sz w:val="21"/>
              </w:rPr>
              <w:t>少儿特定重大疾病</w:t>
            </w:r>
          </w:p>
          <w:p>
            <w:pPr>
              <w:pStyle w:val="TableParagraph"/>
              <w:numPr>
                <w:ilvl w:val="1"/>
                <w:numId w:val="4"/>
              </w:numPr>
              <w:tabs>
                <w:tab w:pos="710" w:val="left" w:leader="none"/>
              </w:tabs>
              <w:spacing w:line="240" w:lineRule="auto" w:before="37" w:after="0"/>
              <w:ind w:left="709" w:right="0" w:hanging="423"/>
              <w:jc w:val="left"/>
              <w:rPr>
                <w:sz w:val="21"/>
              </w:rPr>
            </w:pPr>
            <w:r>
              <w:rPr>
                <w:spacing w:val="-3"/>
                <w:sz w:val="21"/>
              </w:rPr>
              <w:t>意外伤害</w:t>
            </w:r>
          </w:p>
          <w:p>
            <w:pPr>
              <w:pStyle w:val="TableParagraph"/>
              <w:numPr>
                <w:ilvl w:val="1"/>
                <w:numId w:val="4"/>
              </w:numPr>
              <w:tabs>
                <w:tab w:pos="710" w:val="left" w:leader="none"/>
              </w:tabs>
              <w:spacing w:line="240" w:lineRule="auto" w:before="37" w:after="0"/>
              <w:ind w:left="709" w:right="0" w:hanging="423"/>
              <w:jc w:val="left"/>
              <w:rPr>
                <w:sz w:val="21"/>
              </w:rPr>
            </w:pPr>
            <w:r>
              <w:rPr>
                <w:spacing w:val="-3"/>
                <w:sz w:val="21"/>
              </w:rPr>
              <w:t>专科医生</w:t>
            </w:r>
          </w:p>
          <w:p>
            <w:pPr>
              <w:pStyle w:val="TableParagraph"/>
              <w:numPr>
                <w:ilvl w:val="1"/>
                <w:numId w:val="4"/>
              </w:numPr>
              <w:tabs>
                <w:tab w:pos="710" w:val="left" w:leader="none"/>
              </w:tabs>
              <w:spacing w:line="240" w:lineRule="auto" w:before="37" w:after="0"/>
              <w:ind w:left="709" w:right="0" w:hanging="423"/>
              <w:jc w:val="left"/>
              <w:rPr>
                <w:sz w:val="21"/>
              </w:rPr>
            </w:pPr>
            <w:r>
              <w:rPr>
                <w:spacing w:val="-3"/>
                <w:sz w:val="21"/>
              </w:rPr>
              <w:t>毒品</w:t>
            </w:r>
          </w:p>
          <w:p>
            <w:pPr>
              <w:pStyle w:val="TableParagraph"/>
              <w:numPr>
                <w:ilvl w:val="1"/>
                <w:numId w:val="4"/>
              </w:numPr>
              <w:tabs>
                <w:tab w:pos="710" w:val="left" w:leader="none"/>
              </w:tabs>
              <w:spacing w:line="240" w:lineRule="auto" w:before="37" w:after="0"/>
              <w:ind w:left="709" w:right="0" w:hanging="423"/>
              <w:jc w:val="left"/>
              <w:rPr>
                <w:sz w:val="21"/>
              </w:rPr>
            </w:pPr>
            <w:r>
              <w:rPr>
                <w:spacing w:val="-3"/>
                <w:sz w:val="21"/>
              </w:rPr>
              <w:t>酒后驾驶</w:t>
            </w:r>
          </w:p>
          <w:p>
            <w:pPr>
              <w:pStyle w:val="TableParagraph"/>
              <w:numPr>
                <w:ilvl w:val="1"/>
                <w:numId w:val="4"/>
              </w:numPr>
              <w:tabs>
                <w:tab w:pos="813" w:val="left" w:leader="none"/>
              </w:tabs>
              <w:spacing w:line="255" w:lineRule="exact" w:before="37" w:after="0"/>
              <w:ind w:left="812" w:right="0" w:hanging="526"/>
              <w:jc w:val="left"/>
              <w:rPr>
                <w:sz w:val="21"/>
              </w:rPr>
            </w:pPr>
            <w:r>
              <w:rPr>
                <w:spacing w:val="-3"/>
                <w:sz w:val="21"/>
              </w:rPr>
              <w:t>无合法有效驾驶证驾驶</w:t>
            </w:r>
          </w:p>
        </w:tc>
        <w:tc>
          <w:tcPr>
            <w:tcW w:w="3498" w:type="dxa"/>
          </w:tcPr>
          <w:p>
            <w:pPr>
              <w:pStyle w:val="TableParagraph"/>
              <w:numPr>
                <w:ilvl w:val="1"/>
                <w:numId w:val="5"/>
              </w:numPr>
              <w:tabs>
                <w:tab w:pos="781" w:val="left" w:leader="none"/>
              </w:tabs>
              <w:spacing w:line="211" w:lineRule="exact" w:before="0" w:after="0"/>
              <w:ind w:left="780" w:right="0" w:hanging="526"/>
              <w:jc w:val="left"/>
              <w:rPr>
                <w:sz w:val="21"/>
              </w:rPr>
            </w:pPr>
            <w:r>
              <w:rPr>
                <w:spacing w:val="-3"/>
                <w:sz w:val="21"/>
              </w:rPr>
              <w:t>无有效行驶证</w:t>
            </w:r>
          </w:p>
          <w:p>
            <w:pPr>
              <w:pStyle w:val="TableParagraph"/>
              <w:numPr>
                <w:ilvl w:val="1"/>
                <w:numId w:val="5"/>
              </w:numPr>
              <w:tabs>
                <w:tab w:pos="781" w:val="left" w:leader="none"/>
              </w:tabs>
              <w:spacing w:line="240" w:lineRule="auto" w:before="37" w:after="0"/>
              <w:ind w:left="780" w:right="0" w:hanging="526"/>
              <w:jc w:val="left"/>
              <w:rPr>
                <w:sz w:val="21"/>
              </w:rPr>
            </w:pPr>
            <w:r>
              <w:rPr>
                <w:spacing w:val="-3"/>
                <w:sz w:val="21"/>
              </w:rPr>
              <w:t>遗传性疾病</w:t>
            </w:r>
          </w:p>
          <w:p>
            <w:pPr>
              <w:pStyle w:val="TableParagraph"/>
              <w:numPr>
                <w:ilvl w:val="1"/>
                <w:numId w:val="5"/>
              </w:numPr>
              <w:tabs>
                <w:tab w:pos="781" w:val="left" w:leader="none"/>
              </w:tabs>
              <w:spacing w:line="273" w:lineRule="auto" w:before="36" w:after="0"/>
              <w:ind w:left="780" w:right="197" w:hanging="526"/>
              <w:jc w:val="left"/>
              <w:rPr>
                <w:sz w:val="21"/>
              </w:rPr>
            </w:pPr>
            <w:r>
              <w:rPr>
                <w:spacing w:val="-4"/>
                <w:sz w:val="21"/>
              </w:rPr>
              <w:t>先天性畸形、变形或染色体异常</w:t>
            </w:r>
          </w:p>
          <w:p>
            <w:pPr>
              <w:pStyle w:val="TableParagraph"/>
              <w:numPr>
                <w:ilvl w:val="1"/>
                <w:numId w:val="5"/>
              </w:numPr>
              <w:tabs>
                <w:tab w:pos="781" w:val="left" w:leader="none"/>
              </w:tabs>
              <w:spacing w:line="240" w:lineRule="auto" w:before="7" w:after="0"/>
              <w:ind w:left="780" w:right="0" w:hanging="526"/>
              <w:jc w:val="left"/>
              <w:rPr>
                <w:sz w:val="21"/>
              </w:rPr>
            </w:pPr>
            <w:r>
              <w:rPr>
                <w:sz w:val="21"/>
              </w:rPr>
              <w:t>潜水</w:t>
            </w:r>
          </w:p>
          <w:p>
            <w:pPr>
              <w:pStyle w:val="TableParagraph"/>
              <w:numPr>
                <w:ilvl w:val="1"/>
                <w:numId w:val="5"/>
              </w:numPr>
              <w:tabs>
                <w:tab w:pos="781" w:val="left" w:leader="none"/>
              </w:tabs>
              <w:spacing w:line="240" w:lineRule="auto" w:before="37" w:after="0"/>
              <w:ind w:left="780" w:right="0" w:hanging="526"/>
              <w:jc w:val="left"/>
              <w:rPr>
                <w:sz w:val="21"/>
              </w:rPr>
            </w:pPr>
            <w:r>
              <w:rPr>
                <w:sz w:val="21"/>
              </w:rPr>
              <w:t>攀岩</w:t>
            </w:r>
          </w:p>
          <w:p>
            <w:pPr>
              <w:pStyle w:val="TableParagraph"/>
              <w:numPr>
                <w:ilvl w:val="1"/>
                <w:numId w:val="5"/>
              </w:numPr>
              <w:tabs>
                <w:tab w:pos="781" w:val="left" w:leader="none"/>
              </w:tabs>
              <w:spacing w:line="240" w:lineRule="auto" w:before="37" w:after="0"/>
              <w:ind w:left="780" w:right="0" w:hanging="526"/>
              <w:jc w:val="left"/>
              <w:rPr>
                <w:sz w:val="21"/>
              </w:rPr>
            </w:pPr>
            <w:r>
              <w:rPr>
                <w:spacing w:val="-2"/>
                <w:sz w:val="21"/>
              </w:rPr>
              <w:t>探险活动</w:t>
            </w:r>
          </w:p>
          <w:p>
            <w:pPr>
              <w:pStyle w:val="TableParagraph"/>
              <w:numPr>
                <w:ilvl w:val="1"/>
                <w:numId w:val="5"/>
              </w:numPr>
              <w:tabs>
                <w:tab w:pos="781" w:val="left" w:leader="none"/>
              </w:tabs>
              <w:spacing w:line="240" w:lineRule="auto" w:before="37" w:after="0"/>
              <w:ind w:left="780" w:right="0" w:hanging="526"/>
              <w:jc w:val="left"/>
              <w:rPr>
                <w:sz w:val="21"/>
              </w:rPr>
            </w:pPr>
            <w:r>
              <w:rPr>
                <w:spacing w:val="-2"/>
                <w:sz w:val="21"/>
              </w:rPr>
              <w:t>武术比赛</w:t>
            </w:r>
          </w:p>
          <w:p>
            <w:pPr>
              <w:pStyle w:val="TableParagraph"/>
              <w:numPr>
                <w:ilvl w:val="1"/>
                <w:numId w:val="5"/>
              </w:numPr>
              <w:tabs>
                <w:tab w:pos="781" w:val="left" w:leader="none"/>
              </w:tabs>
              <w:spacing w:line="240" w:lineRule="auto" w:before="37" w:after="0"/>
              <w:ind w:left="780" w:right="0" w:hanging="526"/>
              <w:jc w:val="left"/>
              <w:rPr>
                <w:sz w:val="21"/>
              </w:rPr>
            </w:pPr>
            <w:r>
              <w:rPr>
                <w:spacing w:val="-3"/>
                <w:sz w:val="21"/>
              </w:rPr>
              <w:t>本合同约定利率</w:t>
            </w:r>
          </w:p>
          <w:p>
            <w:pPr>
              <w:pStyle w:val="TableParagraph"/>
              <w:numPr>
                <w:ilvl w:val="1"/>
                <w:numId w:val="5"/>
              </w:numPr>
              <w:tabs>
                <w:tab w:pos="781" w:val="left" w:leader="none"/>
              </w:tabs>
              <w:spacing w:line="240" w:lineRule="auto" w:before="37" w:after="0"/>
              <w:ind w:left="780" w:right="0" w:hanging="526"/>
              <w:jc w:val="left"/>
              <w:rPr>
                <w:sz w:val="21"/>
              </w:rPr>
            </w:pPr>
            <w:r>
              <w:rPr>
                <w:spacing w:val="-3"/>
                <w:sz w:val="21"/>
              </w:rPr>
              <w:t>肢体机能完全丧失</w:t>
            </w:r>
          </w:p>
          <w:p>
            <w:pPr>
              <w:pStyle w:val="TableParagraph"/>
              <w:numPr>
                <w:ilvl w:val="1"/>
                <w:numId w:val="5"/>
              </w:numPr>
              <w:tabs>
                <w:tab w:pos="800" w:val="left" w:leader="none"/>
              </w:tabs>
              <w:spacing w:line="273" w:lineRule="auto" w:before="37" w:after="0"/>
              <w:ind w:left="780" w:right="199" w:hanging="526"/>
              <w:jc w:val="left"/>
              <w:rPr>
                <w:sz w:val="21"/>
              </w:rPr>
            </w:pPr>
            <w:r>
              <w:rPr>
                <w:spacing w:val="12"/>
                <w:sz w:val="21"/>
              </w:rPr>
              <w:t>语言能力或咀嚼吞咽能力</w:t>
            </w:r>
            <w:r>
              <w:rPr>
                <w:spacing w:val="5"/>
                <w:sz w:val="21"/>
              </w:rPr>
              <w:t>完全丧失</w:t>
            </w:r>
          </w:p>
          <w:p>
            <w:pPr>
              <w:pStyle w:val="TableParagraph"/>
              <w:numPr>
                <w:ilvl w:val="1"/>
                <w:numId w:val="5"/>
              </w:numPr>
              <w:tabs>
                <w:tab w:pos="781" w:val="left" w:leader="none"/>
              </w:tabs>
              <w:spacing w:line="240" w:lineRule="auto" w:before="8" w:after="0"/>
              <w:ind w:left="780" w:right="0" w:hanging="526"/>
              <w:jc w:val="left"/>
              <w:rPr>
                <w:sz w:val="21"/>
              </w:rPr>
            </w:pPr>
            <w:r>
              <w:rPr>
                <w:spacing w:val="-3"/>
                <w:sz w:val="21"/>
              </w:rPr>
              <w:t>六项基本日常生活活动</w:t>
            </w:r>
          </w:p>
          <w:p>
            <w:pPr>
              <w:pStyle w:val="TableParagraph"/>
              <w:numPr>
                <w:ilvl w:val="1"/>
                <w:numId w:val="5"/>
              </w:numPr>
              <w:tabs>
                <w:tab w:pos="781" w:val="left" w:leader="none"/>
              </w:tabs>
              <w:spacing w:line="240" w:lineRule="auto" w:before="37" w:after="0"/>
              <w:ind w:left="780" w:right="0" w:hanging="526"/>
              <w:jc w:val="left"/>
              <w:rPr>
                <w:sz w:val="21"/>
              </w:rPr>
            </w:pPr>
            <w:r>
              <w:rPr>
                <w:spacing w:val="-3"/>
                <w:sz w:val="21"/>
              </w:rPr>
              <w:t>永久不可逆</w:t>
            </w:r>
          </w:p>
        </w:tc>
      </w:tr>
    </w:tbl>
    <w:p>
      <w:pPr>
        <w:spacing w:after="0" w:line="240" w:lineRule="auto"/>
        <w:jc w:val="left"/>
        <w:rPr>
          <w:sz w:val="21"/>
        </w:rPr>
        <w:sectPr>
          <w:type w:val="continuous"/>
          <w:pgSz w:w="11910" w:h="16840"/>
          <w:pgMar w:top="300" w:bottom="1180" w:left="860" w:right="440"/>
        </w:sectPr>
      </w:pPr>
    </w:p>
    <w:p>
      <w:pPr>
        <w:pStyle w:val="BodyText"/>
        <w:spacing w:before="1"/>
        <w:rPr>
          <w:b/>
          <w:sz w:val="16"/>
        </w:rPr>
      </w:pPr>
    </w:p>
    <w:p>
      <w:pPr>
        <w:pStyle w:val="Heading1"/>
        <w:spacing w:line="506" w:lineRule="exact"/>
        <w:ind w:left="2692"/>
      </w:pPr>
      <w:r>
        <w:rPr>
          <w:w w:val="95"/>
        </w:rPr>
        <w:t>合众福利宝少儿重大疾病保险条款</w:t>
      </w:r>
    </w:p>
    <w:p>
      <w:pPr>
        <w:pStyle w:val="BodyText"/>
        <w:spacing w:before="5"/>
        <w:rPr>
          <w:rFonts w:ascii="微软雅黑"/>
          <w:b/>
          <w:sz w:val="24"/>
        </w:rPr>
      </w:pPr>
    </w:p>
    <w:p>
      <w:pPr>
        <w:pStyle w:val="BodyText"/>
        <w:ind w:left="217"/>
      </w:pPr>
      <w:r>
        <w:rPr/>
        <w:t>在本条款中，“您”指投保人，“我们”、“本公司”均指合众人寿保险股份有限公司。</w:t>
      </w:r>
    </w:p>
    <w:p>
      <w:pPr>
        <w:pStyle w:val="BodyText"/>
        <w:rPr>
          <w:sz w:val="20"/>
        </w:rPr>
      </w:pPr>
    </w:p>
    <w:p>
      <w:pPr>
        <w:pStyle w:val="BodyText"/>
        <w:spacing w:after="1"/>
        <w:rPr>
          <w:sz w:val="14"/>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
        <w:gridCol w:w="1573"/>
        <w:gridCol w:w="7410"/>
      </w:tblGrid>
      <w:tr>
        <w:trPr>
          <w:trHeight w:val="522" w:hRule="atLeast"/>
        </w:trPr>
        <w:tc>
          <w:tcPr>
            <w:tcW w:w="628" w:type="dxa"/>
            <w:tcBorders>
              <w:bottom w:val="single" w:sz="8" w:space="0" w:color="000000"/>
            </w:tcBorders>
          </w:tcPr>
          <w:p>
            <w:pPr>
              <w:pStyle w:val="TableParagraph"/>
              <w:spacing w:line="423" w:lineRule="exact" w:before="0"/>
              <w:ind w:left="108"/>
              <w:rPr>
                <w:rFonts w:ascii="Arial" w:hAnsi="Arial"/>
                <w:b/>
                <w:sz w:val="40"/>
              </w:rPr>
            </w:pPr>
            <w:r>
              <w:rPr>
                <w:rFonts w:ascii="Arial" w:hAnsi="Arial"/>
                <w:b/>
                <w:w w:val="119"/>
                <w:sz w:val="40"/>
              </w:rPr>
              <w:t></w:t>
            </w:r>
          </w:p>
        </w:tc>
        <w:tc>
          <w:tcPr>
            <w:tcW w:w="8983" w:type="dxa"/>
            <w:gridSpan w:val="2"/>
            <w:tcBorders>
              <w:bottom w:val="single" w:sz="8" w:space="0" w:color="000000"/>
            </w:tcBorders>
          </w:tcPr>
          <w:p>
            <w:pPr>
              <w:pStyle w:val="TableParagraph"/>
              <w:spacing w:before="14"/>
              <w:ind w:left="162"/>
              <w:rPr>
                <w:b/>
                <w:sz w:val="24"/>
              </w:rPr>
            </w:pPr>
            <w:r>
              <w:rPr>
                <w:b/>
                <w:w w:val="95"/>
                <w:sz w:val="24"/>
              </w:rPr>
              <w:t>您与我们的合同</w:t>
            </w:r>
          </w:p>
        </w:tc>
      </w:tr>
      <w:tr>
        <w:trPr>
          <w:trHeight w:val="1301" w:hRule="atLeast"/>
        </w:trPr>
        <w:tc>
          <w:tcPr>
            <w:tcW w:w="628" w:type="dxa"/>
            <w:tcBorders>
              <w:top w:val="single" w:sz="8" w:space="0" w:color="000000"/>
            </w:tcBorders>
          </w:tcPr>
          <w:p>
            <w:pPr>
              <w:pStyle w:val="TableParagraph"/>
              <w:spacing w:before="12"/>
              <w:ind w:left="0"/>
              <w:rPr>
                <w:sz w:val="14"/>
              </w:rPr>
            </w:pPr>
          </w:p>
          <w:p>
            <w:pPr>
              <w:pStyle w:val="TableParagraph"/>
              <w:spacing w:before="0"/>
              <w:ind w:left="108"/>
              <w:rPr>
                <w:b/>
                <w:sz w:val="21"/>
              </w:rPr>
            </w:pPr>
            <w:r>
              <w:rPr>
                <w:b/>
                <w:sz w:val="21"/>
              </w:rPr>
              <w:t>1.1</w:t>
            </w:r>
          </w:p>
        </w:tc>
        <w:tc>
          <w:tcPr>
            <w:tcW w:w="1573" w:type="dxa"/>
            <w:tcBorders>
              <w:top w:val="single" w:sz="8" w:space="0" w:color="000000"/>
            </w:tcBorders>
          </w:tcPr>
          <w:p>
            <w:pPr>
              <w:pStyle w:val="TableParagraph"/>
              <w:spacing w:before="12"/>
              <w:ind w:left="0"/>
              <w:rPr>
                <w:sz w:val="14"/>
              </w:rPr>
            </w:pPr>
          </w:p>
          <w:p>
            <w:pPr>
              <w:pStyle w:val="TableParagraph"/>
              <w:spacing w:before="0"/>
              <w:ind w:left="162"/>
              <w:rPr>
                <w:b/>
                <w:sz w:val="21"/>
              </w:rPr>
            </w:pPr>
            <w:r>
              <w:rPr>
                <w:b/>
                <w:sz w:val="21"/>
              </w:rPr>
              <w:t>投保范围</w:t>
            </w:r>
          </w:p>
        </w:tc>
        <w:tc>
          <w:tcPr>
            <w:tcW w:w="7410" w:type="dxa"/>
            <w:tcBorders>
              <w:top w:val="single" w:sz="8" w:space="0" w:color="000000"/>
            </w:tcBorders>
          </w:tcPr>
          <w:p>
            <w:pPr>
              <w:pStyle w:val="TableParagraph"/>
              <w:spacing w:before="12"/>
              <w:ind w:left="0"/>
              <w:rPr>
                <w:sz w:val="14"/>
              </w:rPr>
            </w:pPr>
          </w:p>
          <w:p>
            <w:pPr>
              <w:pStyle w:val="TableParagraph"/>
              <w:spacing w:line="273" w:lineRule="auto" w:before="0"/>
              <w:ind w:right="172"/>
              <w:rPr>
                <w:sz w:val="21"/>
              </w:rPr>
            </w:pPr>
            <w:r>
              <w:rPr>
                <w:spacing w:val="-2"/>
                <w:w w:val="100"/>
                <w:sz w:val="21"/>
              </w:rPr>
              <w:t>凡年满</w:t>
            </w:r>
            <w:r>
              <w:rPr>
                <w:spacing w:val="-2"/>
                <w:sz w:val="21"/>
              </w:rPr>
              <w:t> </w:t>
            </w:r>
            <w:r>
              <w:rPr>
                <w:w w:val="100"/>
                <w:sz w:val="21"/>
              </w:rPr>
              <w:t>18</w:t>
            </w:r>
            <w:r>
              <w:rPr>
                <w:spacing w:val="-55"/>
                <w:sz w:val="21"/>
              </w:rPr>
              <w:t> </w:t>
            </w:r>
            <w:r>
              <w:rPr>
                <w:b/>
                <w:w w:val="100"/>
                <w:sz w:val="21"/>
              </w:rPr>
              <w:t>周岁</w:t>
            </w:r>
            <w:r>
              <w:rPr>
                <w:spacing w:val="-3"/>
                <w:w w:val="100"/>
                <w:sz w:val="21"/>
              </w:rPr>
              <w:t>（</w:t>
            </w:r>
            <w:r>
              <w:rPr>
                <w:spacing w:val="-2"/>
                <w:w w:val="100"/>
                <w:sz w:val="21"/>
              </w:rPr>
              <w:t>见释义</w:t>
            </w:r>
            <w:r>
              <w:rPr>
                <w:spacing w:val="-53"/>
                <w:sz w:val="21"/>
              </w:rPr>
              <w:t> </w:t>
            </w:r>
            <w:r>
              <w:rPr>
                <w:spacing w:val="-3"/>
                <w:w w:val="100"/>
                <w:sz w:val="21"/>
              </w:rPr>
              <w:t>6</w:t>
            </w:r>
            <w:r>
              <w:rPr>
                <w:w w:val="100"/>
                <w:sz w:val="21"/>
              </w:rPr>
              <w:t>.1</w:t>
            </w:r>
            <w:r>
              <w:rPr>
                <w:spacing w:val="-106"/>
                <w:w w:val="100"/>
                <w:sz w:val="21"/>
              </w:rPr>
              <w:t>）</w:t>
            </w:r>
            <w:r>
              <w:rPr>
                <w:spacing w:val="-3"/>
                <w:w w:val="100"/>
                <w:sz w:val="21"/>
              </w:rPr>
              <w:t>，具有完全民事行为能力且在本保险合同订立时</w:t>
            </w:r>
            <w:r>
              <w:rPr>
                <w:spacing w:val="-3"/>
                <w:sz w:val="21"/>
              </w:rPr>
              <w:t>对被保险人具有保险利益的人，均可以作为投保人。</w:t>
            </w:r>
          </w:p>
          <w:p>
            <w:pPr>
              <w:pStyle w:val="TableParagraph"/>
              <w:spacing w:before="7"/>
              <w:rPr>
                <w:sz w:val="21"/>
              </w:rPr>
            </w:pPr>
            <w:r>
              <w:rPr>
                <w:sz w:val="21"/>
              </w:rPr>
              <w:t>凡出生满 28 天至 17 周岁，符合本公司承保条件的人，均可作为被保险人。</w:t>
            </w:r>
          </w:p>
        </w:tc>
      </w:tr>
      <w:tr>
        <w:trPr>
          <w:trHeight w:val="1872" w:hRule="atLeast"/>
        </w:trPr>
        <w:tc>
          <w:tcPr>
            <w:tcW w:w="628" w:type="dxa"/>
          </w:tcPr>
          <w:p>
            <w:pPr>
              <w:pStyle w:val="TableParagraph"/>
              <w:spacing w:before="143"/>
              <w:ind w:left="108"/>
              <w:rPr>
                <w:b/>
                <w:sz w:val="21"/>
              </w:rPr>
            </w:pPr>
            <w:r>
              <w:rPr>
                <w:b/>
                <w:sz w:val="21"/>
              </w:rPr>
              <w:t>1.2</w:t>
            </w:r>
          </w:p>
        </w:tc>
        <w:tc>
          <w:tcPr>
            <w:tcW w:w="1573" w:type="dxa"/>
          </w:tcPr>
          <w:p>
            <w:pPr>
              <w:pStyle w:val="TableParagraph"/>
              <w:spacing w:before="143"/>
              <w:ind w:left="162"/>
              <w:rPr>
                <w:b/>
                <w:sz w:val="21"/>
              </w:rPr>
            </w:pPr>
            <w:r>
              <w:rPr>
                <w:b/>
                <w:sz w:val="21"/>
              </w:rPr>
              <w:t>合同构成</w:t>
            </w:r>
          </w:p>
        </w:tc>
        <w:tc>
          <w:tcPr>
            <w:tcW w:w="7410" w:type="dxa"/>
          </w:tcPr>
          <w:p>
            <w:pPr>
              <w:pStyle w:val="TableParagraph"/>
              <w:spacing w:line="273" w:lineRule="auto" w:before="143"/>
              <w:ind w:right="120"/>
              <w:jc w:val="both"/>
              <w:rPr>
                <w:sz w:val="21"/>
              </w:rPr>
            </w:pPr>
            <w:r>
              <w:rPr>
                <w:sz w:val="21"/>
              </w:rPr>
              <w:t>本保险条款、保险单或其他保险凭证、投保书、与保险合同有关的投保文件、合法有效的声明、批注、附贴批单、其他书面协议共同构成您与我们之间订立的保险合同。</w:t>
            </w:r>
          </w:p>
          <w:p>
            <w:pPr>
              <w:pStyle w:val="TableParagraph"/>
              <w:spacing w:line="273" w:lineRule="auto" w:before="8"/>
              <w:ind w:right="225"/>
              <w:rPr>
                <w:sz w:val="21"/>
              </w:rPr>
            </w:pPr>
            <w:r>
              <w:rPr>
                <w:spacing w:val="-9"/>
                <w:w w:val="100"/>
                <w:sz w:val="21"/>
              </w:rPr>
              <w:t>保险合同可以包括主险合同和附加险合同，“合众福利宝少儿重大疾病保险合</w:t>
            </w:r>
            <w:r>
              <w:rPr>
                <w:spacing w:val="-3"/>
                <w:sz w:val="21"/>
              </w:rPr>
              <w:t>同”是主合同，以下简称为“本主合同”。</w:t>
            </w:r>
          </w:p>
        </w:tc>
      </w:tr>
      <w:tr>
        <w:trPr>
          <w:trHeight w:val="2490" w:hRule="atLeast"/>
        </w:trPr>
        <w:tc>
          <w:tcPr>
            <w:tcW w:w="628" w:type="dxa"/>
          </w:tcPr>
          <w:p>
            <w:pPr>
              <w:pStyle w:val="TableParagraph"/>
              <w:ind w:left="108"/>
              <w:rPr>
                <w:b/>
                <w:sz w:val="21"/>
              </w:rPr>
            </w:pPr>
            <w:r>
              <w:rPr>
                <w:b/>
                <w:sz w:val="21"/>
              </w:rPr>
              <w:t>1.3</w:t>
            </w:r>
          </w:p>
        </w:tc>
        <w:tc>
          <w:tcPr>
            <w:tcW w:w="1573" w:type="dxa"/>
          </w:tcPr>
          <w:p>
            <w:pPr>
              <w:pStyle w:val="TableParagraph"/>
              <w:spacing w:line="273" w:lineRule="auto"/>
              <w:ind w:left="162" w:right="141"/>
              <w:rPr>
                <w:b/>
                <w:sz w:val="21"/>
              </w:rPr>
            </w:pPr>
            <w:r>
              <w:rPr>
                <w:b/>
                <w:sz w:val="21"/>
              </w:rPr>
              <w:t>合同成立与生效</w:t>
            </w:r>
          </w:p>
        </w:tc>
        <w:tc>
          <w:tcPr>
            <w:tcW w:w="7410" w:type="dxa"/>
          </w:tcPr>
          <w:p>
            <w:pPr>
              <w:pStyle w:val="TableParagraph"/>
              <w:spacing w:line="273" w:lineRule="auto"/>
              <w:ind w:right="119"/>
              <w:jc w:val="both"/>
              <w:rPr>
                <w:sz w:val="21"/>
              </w:rPr>
            </w:pPr>
            <w:r>
              <w:rPr>
                <w:sz w:val="21"/>
              </w:rPr>
              <w:t>您提出保险申请、我们同意承保，本主合同成立，合同成立日期在保险单上载明。</w:t>
            </w:r>
          </w:p>
          <w:p>
            <w:pPr>
              <w:pStyle w:val="TableParagraph"/>
              <w:spacing w:line="273" w:lineRule="auto" w:before="7"/>
              <w:ind w:right="119"/>
              <w:jc w:val="both"/>
              <w:rPr>
                <w:sz w:val="21"/>
              </w:rPr>
            </w:pPr>
            <w:r>
              <w:rPr>
                <w:sz w:val="21"/>
              </w:rPr>
              <w:t>自本主合同成立、我们收取保险费并签发保险单的次日零时起本主合同生效， 合同生效日期在保险单上载明。本主合同生效的日期为本公司开始承担保险责任的日期，保险合同生效日以后每年的对应日是保单周年日。保单年度、保险费约定支付日均以该日期计算。如果当月无对应的同一日，则以该月最后一日作为对应日。</w:t>
            </w:r>
          </w:p>
        </w:tc>
      </w:tr>
      <w:tr>
        <w:trPr>
          <w:trHeight w:val="1317" w:hRule="atLeast"/>
        </w:trPr>
        <w:tc>
          <w:tcPr>
            <w:tcW w:w="628" w:type="dxa"/>
          </w:tcPr>
          <w:p>
            <w:pPr>
              <w:pStyle w:val="TableParagraph"/>
              <w:spacing w:before="136"/>
              <w:ind w:left="108"/>
              <w:rPr>
                <w:b/>
                <w:sz w:val="21"/>
              </w:rPr>
            </w:pPr>
            <w:r>
              <w:rPr>
                <w:b/>
                <w:sz w:val="21"/>
              </w:rPr>
              <w:t>1.4</w:t>
            </w:r>
          </w:p>
        </w:tc>
        <w:tc>
          <w:tcPr>
            <w:tcW w:w="1573" w:type="dxa"/>
          </w:tcPr>
          <w:p>
            <w:pPr>
              <w:pStyle w:val="TableParagraph"/>
              <w:spacing w:before="136"/>
              <w:ind w:left="162"/>
              <w:rPr>
                <w:b/>
                <w:sz w:val="21"/>
              </w:rPr>
            </w:pPr>
            <w:r>
              <w:rPr>
                <w:b/>
                <w:sz w:val="21"/>
              </w:rPr>
              <w:t>合同内容变更</w:t>
            </w:r>
          </w:p>
        </w:tc>
        <w:tc>
          <w:tcPr>
            <w:tcW w:w="7410" w:type="dxa"/>
          </w:tcPr>
          <w:p>
            <w:pPr>
              <w:pStyle w:val="TableParagraph"/>
              <w:spacing w:line="273" w:lineRule="auto" w:before="136"/>
              <w:ind w:right="2"/>
              <w:rPr>
                <w:sz w:val="21"/>
              </w:rPr>
            </w:pPr>
            <w:r>
              <w:rPr>
                <w:spacing w:val="-3"/>
                <w:sz w:val="21"/>
              </w:rPr>
              <w:t>在本主合同有效期内，经您与我们协商一致，可以变更本主合同的有关内容。</w:t>
            </w:r>
            <w:r>
              <w:rPr>
                <w:spacing w:val="-12"/>
                <w:sz w:val="21"/>
              </w:rPr>
              <w:t>变更本主合同的，应当由我们在保险单或者其他保险凭证上批注或者附贴批单， </w:t>
            </w:r>
            <w:r>
              <w:rPr>
                <w:spacing w:val="-6"/>
                <w:sz w:val="21"/>
              </w:rPr>
              <w:t>或者由您与我们订立书面的变更协议。</w:t>
            </w:r>
          </w:p>
        </w:tc>
      </w:tr>
      <w:tr>
        <w:trPr>
          <w:trHeight w:val="1948" w:hRule="atLeast"/>
        </w:trPr>
        <w:tc>
          <w:tcPr>
            <w:tcW w:w="628" w:type="dxa"/>
          </w:tcPr>
          <w:p>
            <w:pPr>
              <w:pStyle w:val="TableParagraph"/>
              <w:spacing w:before="8"/>
              <w:ind w:left="0"/>
              <w:rPr>
                <w:sz w:val="16"/>
              </w:rPr>
            </w:pPr>
          </w:p>
          <w:p>
            <w:pPr>
              <w:pStyle w:val="TableParagraph"/>
              <w:spacing w:before="1"/>
              <w:ind w:left="108"/>
              <w:rPr>
                <w:b/>
                <w:sz w:val="21"/>
              </w:rPr>
            </w:pPr>
            <w:r>
              <w:rPr>
                <w:b/>
                <w:sz w:val="21"/>
              </w:rPr>
              <w:t>1.5</w:t>
            </w:r>
          </w:p>
        </w:tc>
        <w:tc>
          <w:tcPr>
            <w:tcW w:w="1573" w:type="dxa"/>
          </w:tcPr>
          <w:p>
            <w:pPr>
              <w:pStyle w:val="TableParagraph"/>
              <w:spacing w:before="8"/>
              <w:ind w:left="0"/>
              <w:rPr>
                <w:sz w:val="16"/>
              </w:rPr>
            </w:pPr>
          </w:p>
          <w:p>
            <w:pPr>
              <w:pStyle w:val="TableParagraph"/>
              <w:spacing w:before="1"/>
              <w:ind w:left="162"/>
              <w:rPr>
                <w:b/>
                <w:sz w:val="21"/>
              </w:rPr>
            </w:pPr>
            <w:r>
              <w:rPr>
                <w:b/>
                <w:sz w:val="21"/>
              </w:rPr>
              <w:t>投保信息变更</w:t>
            </w:r>
          </w:p>
        </w:tc>
        <w:tc>
          <w:tcPr>
            <w:tcW w:w="7410" w:type="dxa"/>
          </w:tcPr>
          <w:p>
            <w:pPr>
              <w:pStyle w:val="TableParagraph"/>
              <w:spacing w:before="8"/>
              <w:ind w:left="0"/>
              <w:rPr>
                <w:sz w:val="16"/>
              </w:rPr>
            </w:pPr>
          </w:p>
          <w:p>
            <w:pPr>
              <w:pStyle w:val="TableParagraph"/>
              <w:spacing w:line="273" w:lineRule="auto" w:before="1"/>
              <w:ind w:right="119"/>
              <w:jc w:val="both"/>
              <w:rPr>
                <w:sz w:val="21"/>
              </w:rPr>
            </w:pPr>
            <w:r>
              <w:rPr>
                <w:sz w:val="21"/>
              </w:rPr>
              <w:t>为了保障您的合法权益，在本主合同有效期间内，如果您提供给我们的住址或其他投保信息发生了变更，请及时以书面或双方认可的其他形式通知我们，以便于我们及时为您改变保险合同上的相关信息。</w:t>
            </w:r>
          </w:p>
          <w:p>
            <w:pPr>
              <w:pStyle w:val="TableParagraph"/>
              <w:spacing w:line="273" w:lineRule="auto" w:before="8"/>
              <w:ind w:right="119"/>
              <w:jc w:val="both"/>
              <w:rPr>
                <w:sz w:val="21"/>
              </w:rPr>
            </w:pPr>
            <w:r>
              <w:rPr>
                <w:sz w:val="21"/>
              </w:rPr>
              <w:t>若您的住所或通讯地址变更而未通知我们，我们按本主合同载明的最新住所或通讯地址发送的有关通知，均视为已送达给您。</w:t>
            </w:r>
          </w:p>
        </w:tc>
      </w:tr>
      <w:tr>
        <w:trPr>
          <w:trHeight w:val="2289" w:hRule="atLeast"/>
        </w:trPr>
        <w:tc>
          <w:tcPr>
            <w:tcW w:w="628" w:type="dxa"/>
          </w:tcPr>
          <w:p>
            <w:pPr>
              <w:pStyle w:val="TableParagraph"/>
              <w:ind w:left="108"/>
              <w:rPr>
                <w:b/>
                <w:sz w:val="21"/>
              </w:rPr>
            </w:pPr>
            <w:r>
              <w:rPr>
                <w:b/>
                <w:sz w:val="21"/>
              </w:rPr>
              <w:t>1.6</w:t>
            </w:r>
          </w:p>
        </w:tc>
        <w:tc>
          <w:tcPr>
            <w:tcW w:w="1573" w:type="dxa"/>
          </w:tcPr>
          <w:p>
            <w:pPr>
              <w:pStyle w:val="TableParagraph"/>
              <w:spacing w:line="273" w:lineRule="auto"/>
              <w:ind w:left="162" w:right="141"/>
              <w:rPr>
                <w:b/>
                <w:sz w:val="21"/>
              </w:rPr>
            </w:pPr>
            <w:r>
              <w:rPr>
                <w:b/>
                <w:sz w:val="21"/>
              </w:rPr>
              <w:t>您解除合同的手续及风险</w:t>
            </w:r>
          </w:p>
        </w:tc>
        <w:tc>
          <w:tcPr>
            <w:tcW w:w="7410" w:type="dxa"/>
          </w:tcPr>
          <w:p>
            <w:pPr>
              <w:pStyle w:val="TableParagraph"/>
              <w:spacing w:line="273" w:lineRule="auto"/>
              <w:ind w:right="119"/>
              <w:rPr>
                <w:sz w:val="21"/>
              </w:rPr>
            </w:pPr>
            <w:r>
              <w:rPr>
                <w:sz w:val="21"/>
              </w:rPr>
              <w:t>如果</w:t>
            </w:r>
            <w:r>
              <w:rPr>
                <w:rFonts w:ascii="黑体" w:eastAsia="黑体" w:hint="eastAsia"/>
                <w:sz w:val="21"/>
              </w:rPr>
              <w:t>被保险人未发Th保险事故</w:t>
            </w:r>
            <w:r>
              <w:rPr>
                <w:sz w:val="21"/>
              </w:rPr>
              <w:t>，您可申请解除本合同。申请解除本合同时，请您填写解除合同申请书并向我们提供下列资料：</w:t>
            </w:r>
          </w:p>
          <w:p>
            <w:pPr>
              <w:pStyle w:val="TableParagraph"/>
              <w:spacing w:before="7"/>
              <w:rPr>
                <w:sz w:val="21"/>
              </w:rPr>
            </w:pPr>
            <w:r>
              <w:rPr>
                <w:sz w:val="21"/>
              </w:rPr>
              <w:t>（1）保险合同；</w:t>
            </w:r>
          </w:p>
          <w:p>
            <w:pPr>
              <w:pStyle w:val="TableParagraph"/>
              <w:spacing w:before="37"/>
              <w:rPr>
                <w:sz w:val="21"/>
              </w:rPr>
            </w:pPr>
            <w:r>
              <w:rPr>
                <w:w w:val="100"/>
                <w:sz w:val="21"/>
              </w:rPr>
              <w:t>（2</w:t>
            </w:r>
            <w:r>
              <w:rPr>
                <w:spacing w:val="-3"/>
                <w:w w:val="100"/>
                <w:sz w:val="21"/>
              </w:rPr>
              <w:t>）</w:t>
            </w:r>
            <w:r>
              <w:rPr>
                <w:spacing w:val="-2"/>
                <w:w w:val="100"/>
                <w:sz w:val="21"/>
              </w:rPr>
              <w:t>您的</w:t>
            </w:r>
            <w:r>
              <w:rPr>
                <w:b/>
                <w:w w:val="100"/>
                <w:sz w:val="21"/>
              </w:rPr>
              <w:t>有效身份证件</w:t>
            </w:r>
            <w:r>
              <w:rPr>
                <w:spacing w:val="-5"/>
                <w:w w:val="100"/>
                <w:sz w:val="21"/>
              </w:rPr>
              <w:t>（</w:t>
            </w:r>
            <w:r>
              <w:rPr>
                <w:spacing w:val="-2"/>
                <w:w w:val="100"/>
                <w:sz w:val="21"/>
              </w:rPr>
              <w:t>见释义</w:t>
            </w:r>
            <w:r>
              <w:rPr>
                <w:spacing w:val="-52"/>
                <w:sz w:val="21"/>
              </w:rPr>
              <w:t> </w:t>
            </w:r>
            <w:r>
              <w:rPr>
                <w:w w:val="100"/>
                <w:sz w:val="21"/>
              </w:rPr>
              <w:t>6.</w:t>
            </w:r>
            <w:r>
              <w:rPr>
                <w:spacing w:val="-3"/>
                <w:w w:val="100"/>
                <w:sz w:val="21"/>
              </w:rPr>
              <w:t>2</w:t>
            </w:r>
            <w:r>
              <w:rPr>
                <w:spacing w:val="-106"/>
                <w:w w:val="100"/>
                <w:sz w:val="21"/>
              </w:rPr>
              <w:t>）</w:t>
            </w:r>
            <w:r>
              <w:rPr>
                <w:w w:val="100"/>
                <w:sz w:val="21"/>
              </w:rPr>
              <w:t>。</w:t>
            </w:r>
          </w:p>
          <w:p>
            <w:pPr>
              <w:pStyle w:val="TableParagraph"/>
              <w:spacing w:line="273" w:lineRule="auto" w:before="37"/>
              <w:ind w:right="119"/>
              <w:rPr>
                <w:sz w:val="21"/>
              </w:rPr>
            </w:pPr>
            <w:r>
              <w:rPr>
                <w:spacing w:val="-3"/>
                <w:sz w:val="21"/>
              </w:rPr>
              <w:t>自我们收到解除合同申请书时起，本主合同终止。我们自收到解除合同申请书</w:t>
            </w:r>
            <w:r>
              <w:rPr>
                <w:spacing w:val="-2"/>
                <w:w w:val="100"/>
                <w:sz w:val="21"/>
              </w:rPr>
              <w:t>之日起</w:t>
            </w:r>
            <w:r>
              <w:rPr>
                <w:spacing w:val="-2"/>
                <w:sz w:val="21"/>
              </w:rPr>
              <w:t> </w:t>
            </w:r>
            <w:r>
              <w:rPr>
                <w:w w:val="100"/>
                <w:sz w:val="21"/>
              </w:rPr>
              <w:t>30</w:t>
            </w:r>
            <w:r>
              <w:rPr>
                <w:spacing w:val="-55"/>
                <w:sz w:val="21"/>
              </w:rPr>
              <w:t> </w:t>
            </w:r>
            <w:r>
              <w:rPr>
                <w:spacing w:val="-3"/>
                <w:w w:val="100"/>
                <w:sz w:val="21"/>
              </w:rPr>
              <w:t>日内向您退还保险单的</w:t>
            </w:r>
            <w:r>
              <w:rPr>
                <w:b/>
                <w:w w:val="100"/>
                <w:sz w:val="21"/>
              </w:rPr>
              <w:t>现金价值</w:t>
            </w:r>
            <w:r>
              <w:rPr>
                <w:spacing w:val="-3"/>
                <w:w w:val="100"/>
                <w:sz w:val="21"/>
              </w:rPr>
              <w:t>（</w:t>
            </w:r>
            <w:r>
              <w:rPr>
                <w:spacing w:val="-2"/>
                <w:w w:val="100"/>
                <w:sz w:val="21"/>
              </w:rPr>
              <w:t>见释义</w:t>
            </w:r>
            <w:r>
              <w:rPr>
                <w:spacing w:val="-55"/>
                <w:sz w:val="21"/>
              </w:rPr>
              <w:t> </w:t>
            </w:r>
            <w:r>
              <w:rPr>
                <w:w w:val="100"/>
                <w:sz w:val="21"/>
              </w:rPr>
              <w:t>6.3</w:t>
            </w:r>
            <w:r>
              <w:rPr>
                <w:spacing w:val="-106"/>
                <w:w w:val="100"/>
                <w:sz w:val="21"/>
              </w:rPr>
              <w:t>）。</w:t>
            </w:r>
          </w:p>
          <w:p>
            <w:pPr>
              <w:pStyle w:val="TableParagraph"/>
              <w:spacing w:line="255" w:lineRule="exact" w:before="7"/>
              <w:rPr>
                <w:sz w:val="21"/>
              </w:rPr>
            </w:pPr>
            <w:r>
              <w:rPr>
                <w:sz w:val="21"/>
              </w:rPr>
              <w:t>您解除合同会遭受一定损失。</w:t>
            </w:r>
          </w:p>
        </w:tc>
      </w:tr>
    </w:tbl>
    <w:p>
      <w:pPr>
        <w:spacing w:after="0" w:line="255" w:lineRule="exact"/>
        <w:rPr>
          <w:sz w:val="21"/>
        </w:rPr>
        <w:sectPr>
          <w:headerReference w:type="default" r:id="rId8"/>
          <w:pgSz w:w="11910" w:h="16840"/>
          <w:pgMar w:header="878" w:footer="984" w:top="1140" w:bottom="1180" w:left="860" w:right="1220"/>
        </w:sectPr>
      </w:pPr>
    </w:p>
    <w:p>
      <w:pPr>
        <w:pStyle w:val="BodyText"/>
        <w:spacing w:before="3"/>
        <w:rPr>
          <w:rFonts w:ascii="Times New Roman"/>
          <w:sz w:val="27"/>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
        <w:gridCol w:w="1573"/>
        <w:gridCol w:w="7410"/>
      </w:tblGrid>
      <w:tr>
        <w:trPr>
          <w:trHeight w:val="522" w:hRule="atLeast"/>
        </w:trPr>
        <w:tc>
          <w:tcPr>
            <w:tcW w:w="628" w:type="dxa"/>
            <w:tcBorders>
              <w:bottom w:val="single" w:sz="8" w:space="0" w:color="000000"/>
            </w:tcBorders>
          </w:tcPr>
          <w:p>
            <w:pPr>
              <w:pStyle w:val="TableParagraph"/>
              <w:spacing w:line="423" w:lineRule="exact" w:before="0"/>
              <w:ind w:left="108"/>
              <w:rPr>
                <w:rFonts w:ascii="Arial" w:hAnsi="Arial"/>
                <w:b/>
                <w:sz w:val="40"/>
              </w:rPr>
            </w:pPr>
            <w:r>
              <w:rPr>
                <w:rFonts w:ascii="Arial" w:hAnsi="Arial"/>
                <w:b/>
                <w:w w:val="119"/>
                <w:sz w:val="40"/>
              </w:rPr>
              <w:t></w:t>
            </w:r>
          </w:p>
        </w:tc>
        <w:tc>
          <w:tcPr>
            <w:tcW w:w="8983" w:type="dxa"/>
            <w:gridSpan w:val="2"/>
            <w:tcBorders>
              <w:bottom w:val="single" w:sz="8" w:space="0" w:color="000000"/>
            </w:tcBorders>
          </w:tcPr>
          <w:p>
            <w:pPr>
              <w:pStyle w:val="TableParagraph"/>
              <w:spacing w:before="14"/>
              <w:ind w:left="162"/>
              <w:rPr>
                <w:b/>
                <w:sz w:val="24"/>
              </w:rPr>
            </w:pPr>
            <w:r>
              <w:rPr>
                <w:b/>
                <w:w w:val="95"/>
                <w:sz w:val="24"/>
              </w:rPr>
              <w:t>我们提供的保障</w:t>
            </w:r>
          </w:p>
        </w:tc>
      </w:tr>
      <w:tr>
        <w:trPr>
          <w:trHeight w:val="782" w:hRule="atLeast"/>
        </w:trPr>
        <w:tc>
          <w:tcPr>
            <w:tcW w:w="628" w:type="dxa"/>
            <w:tcBorders>
              <w:top w:val="single" w:sz="8" w:space="0" w:color="000000"/>
            </w:tcBorders>
          </w:tcPr>
          <w:p>
            <w:pPr>
              <w:pStyle w:val="TableParagraph"/>
              <w:spacing w:before="2"/>
              <w:ind w:left="0"/>
              <w:rPr>
                <w:rFonts w:ascii="Times New Roman"/>
                <w:sz w:val="26"/>
              </w:rPr>
            </w:pPr>
          </w:p>
          <w:p>
            <w:pPr>
              <w:pStyle w:val="TableParagraph"/>
              <w:spacing w:before="0"/>
              <w:ind w:left="108"/>
              <w:rPr>
                <w:b/>
                <w:sz w:val="21"/>
              </w:rPr>
            </w:pPr>
            <w:r>
              <w:rPr>
                <w:b/>
                <w:sz w:val="21"/>
              </w:rPr>
              <w:t>2.1</w:t>
            </w:r>
          </w:p>
        </w:tc>
        <w:tc>
          <w:tcPr>
            <w:tcW w:w="1573" w:type="dxa"/>
            <w:tcBorders>
              <w:top w:val="single" w:sz="8" w:space="0" w:color="000000"/>
            </w:tcBorders>
          </w:tcPr>
          <w:p>
            <w:pPr>
              <w:pStyle w:val="TableParagraph"/>
              <w:spacing w:before="2"/>
              <w:ind w:left="0"/>
              <w:rPr>
                <w:rFonts w:ascii="Times New Roman"/>
                <w:sz w:val="26"/>
              </w:rPr>
            </w:pPr>
          </w:p>
          <w:p>
            <w:pPr>
              <w:pStyle w:val="TableParagraph"/>
              <w:spacing w:before="0"/>
              <w:ind w:left="162"/>
              <w:rPr>
                <w:b/>
                <w:sz w:val="21"/>
              </w:rPr>
            </w:pPr>
            <w:r>
              <w:rPr>
                <w:b/>
                <w:sz w:val="21"/>
              </w:rPr>
              <w:t>基本保险金额</w:t>
            </w:r>
          </w:p>
        </w:tc>
        <w:tc>
          <w:tcPr>
            <w:tcW w:w="7410" w:type="dxa"/>
            <w:tcBorders>
              <w:top w:val="single" w:sz="8" w:space="0" w:color="000000"/>
            </w:tcBorders>
          </w:tcPr>
          <w:p>
            <w:pPr>
              <w:pStyle w:val="TableParagraph"/>
              <w:spacing w:before="2"/>
              <w:ind w:left="0"/>
              <w:rPr>
                <w:rFonts w:ascii="Times New Roman"/>
                <w:sz w:val="26"/>
              </w:rPr>
            </w:pPr>
          </w:p>
          <w:p>
            <w:pPr>
              <w:pStyle w:val="TableParagraph"/>
              <w:spacing w:before="0"/>
              <w:rPr>
                <w:sz w:val="21"/>
              </w:rPr>
            </w:pPr>
            <w:r>
              <w:rPr>
                <w:sz w:val="21"/>
              </w:rPr>
              <w:t>本主合同的基本保险金额由您在投保时与我们约定并在保险单上载明。</w:t>
            </w:r>
          </w:p>
        </w:tc>
      </w:tr>
      <w:tr>
        <w:trPr>
          <w:trHeight w:val="936" w:hRule="atLeast"/>
        </w:trPr>
        <w:tc>
          <w:tcPr>
            <w:tcW w:w="628" w:type="dxa"/>
          </w:tcPr>
          <w:p>
            <w:pPr>
              <w:pStyle w:val="TableParagraph"/>
              <w:ind w:left="108"/>
              <w:rPr>
                <w:b/>
                <w:sz w:val="21"/>
              </w:rPr>
            </w:pPr>
            <w:r>
              <w:rPr>
                <w:b/>
                <w:sz w:val="21"/>
              </w:rPr>
              <w:t>2.2</w:t>
            </w:r>
          </w:p>
        </w:tc>
        <w:tc>
          <w:tcPr>
            <w:tcW w:w="1573" w:type="dxa"/>
          </w:tcPr>
          <w:p>
            <w:pPr>
              <w:pStyle w:val="TableParagraph"/>
              <w:ind w:left="162"/>
              <w:rPr>
                <w:b/>
                <w:sz w:val="21"/>
              </w:rPr>
            </w:pPr>
            <w:r>
              <w:rPr>
                <w:b/>
                <w:sz w:val="21"/>
              </w:rPr>
              <w:t>保险期间</w:t>
            </w:r>
          </w:p>
        </w:tc>
        <w:tc>
          <w:tcPr>
            <w:tcW w:w="7410" w:type="dxa"/>
          </w:tcPr>
          <w:p>
            <w:pPr>
              <w:pStyle w:val="TableParagraph"/>
              <w:spacing w:line="273" w:lineRule="auto"/>
              <w:ind w:right="119"/>
              <w:rPr>
                <w:sz w:val="21"/>
              </w:rPr>
            </w:pPr>
            <w:r>
              <w:rPr>
                <w:sz w:val="21"/>
              </w:rPr>
              <w:t>本主合同的保险期间为一年，自保险单上记载的保险合同生效日零时起至约定的终止日二十四时止。</w:t>
            </w:r>
          </w:p>
        </w:tc>
      </w:tr>
      <w:tr>
        <w:trPr>
          <w:trHeight w:val="623" w:hRule="atLeast"/>
        </w:trPr>
        <w:tc>
          <w:tcPr>
            <w:tcW w:w="628" w:type="dxa"/>
          </w:tcPr>
          <w:p>
            <w:pPr>
              <w:pStyle w:val="TableParagraph"/>
              <w:ind w:left="108"/>
              <w:rPr>
                <w:b/>
                <w:sz w:val="21"/>
              </w:rPr>
            </w:pPr>
            <w:r>
              <w:rPr>
                <w:b/>
                <w:sz w:val="21"/>
              </w:rPr>
              <w:t>2.3</w:t>
            </w:r>
          </w:p>
        </w:tc>
        <w:tc>
          <w:tcPr>
            <w:tcW w:w="1573" w:type="dxa"/>
          </w:tcPr>
          <w:p>
            <w:pPr>
              <w:pStyle w:val="TableParagraph"/>
              <w:ind w:left="162"/>
              <w:rPr>
                <w:b/>
                <w:sz w:val="21"/>
              </w:rPr>
            </w:pPr>
            <w:r>
              <w:rPr>
                <w:b/>
                <w:sz w:val="21"/>
              </w:rPr>
              <w:t>保险责任</w:t>
            </w:r>
          </w:p>
        </w:tc>
        <w:tc>
          <w:tcPr>
            <w:tcW w:w="7410" w:type="dxa"/>
          </w:tcPr>
          <w:p>
            <w:pPr>
              <w:pStyle w:val="TableParagraph"/>
              <w:rPr>
                <w:sz w:val="21"/>
              </w:rPr>
            </w:pPr>
            <w:r>
              <w:rPr>
                <w:sz w:val="21"/>
              </w:rPr>
              <w:t>在本主合同保险期间内，我们承担如下保险责任：</w:t>
            </w:r>
          </w:p>
        </w:tc>
      </w:tr>
      <w:tr>
        <w:trPr>
          <w:trHeight w:val="2496" w:hRule="atLeast"/>
        </w:trPr>
        <w:tc>
          <w:tcPr>
            <w:tcW w:w="628" w:type="dxa"/>
          </w:tcPr>
          <w:p>
            <w:pPr>
              <w:pStyle w:val="TableParagraph"/>
              <w:spacing w:before="0"/>
              <w:ind w:left="0"/>
              <w:rPr>
                <w:rFonts w:ascii="Times New Roman"/>
                <w:sz w:val="20"/>
              </w:rPr>
            </w:pPr>
          </w:p>
        </w:tc>
        <w:tc>
          <w:tcPr>
            <w:tcW w:w="1573" w:type="dxa"/>
          </w:tcPr>
          <w:p>
            <w:pPr>
              <w:pStyle w:val="TableParagraph"/>
              <w:ind w:left="162"/>
              <w:rPr>
                <w:rFonts w:ascii="黑体" w:eastAsia="黑体" w:hint="eastAsia"/>
                <w:b/>
                <w:sz w:val="21"/>
              </w:rPr>
            </w:pPr>
            <w:r>
              <w:rPr>
                <w:rFonts w:ascii="黑体" w:eastAsia="黑体" w:hint="eastAsia"/>
                <w:b/>
                <w:sz w:val="21"/>
              </w:rPr>
              <w:t>等待期</w:t>
            </w:r>
          </w:p>
        </w:tc>
        <w:tc>
          <w:tcPr>
            <w:tcW w:w="7410" w:type="dxa"/>
          </w:tcPr>
          <w:p>
            <w:pPr>
              <w:pStyle w:val="TableParagraph"/>
              <w:spacing w:line="273" w:lineRule="auto"/>
              <w:ind w:right="105"/>
              <w:rPr>
                <w:rFonts w:ascii="黑体" w:eastAsia="黑体" w:hint="eastAsia"/>
                <w:b/>
                <w:sz w:val="21"/>
              </w:rPr>
            </w:pPr>
            <w:r>
              <w:rPr>
                <w:rFonts w:ascii="黑体" w:eastAsia="黑体" w:hint="eastAsia"/>
                <w:sz w:val="21"/>
              </w:rPr>
              <w:t>首次投保本保险或非连续投保本保险时，被保险人在本主合同Th效之日起 90 天内发Th本主合同所定义的</w:t>
            </w:r>
            <w:r>
              <w:rPr>
                <w:rFonts w:ascii="黑体" w:eastAsia="黑体" w:hint="eastAsia"/>
                <w:b/>
                <w:sz w:val="21"/>
              </w:rPr>
              <w:t>少儿重大疾病</w:t>
            </w:r>
            <w:r>
              <w:rPr>
                <w:rFonts w:ascii="黑体" w:eastAsia="黑体" w:hint="eastAsia"/>
                <w:sz w:val="21"/>
              </w:rPr>
              <w:t>（见释义 6.4）或</w:t>
            </w:r>
            <w:r>
              <w:rPr>
                <w:rFonts w:ascii="黑体" w:eastAsia="黑体" w:hint="eastAsia"/>
                <w:b/>
                <w:sz w:val="21"/>
              </w:rPr>
              <w:t>少儿特定重大疾病</w:t>
            </w:r>
          </w:p>
          <w:p>
            <w:pPr>
              <w:pStyle w:val="TableParagraph"/>
              <w:spacing w:line="273" w:lineRule="auto" w:before="7"/>
              <w:ind w:right="1"/>
              <w:rPr>
                <w:rFonts w:ascii="黑体" w:eastAsia="黑体" w:hint="eastAsia"/>
                <w:sz w:val="21"/>
              </w:rPr>
            </w:pPr>
            <w:r>
              <w:rPr>
                <w:rFonts w:ascii="黑体" w:eastAsia="黑体" w:hint="eastAsia"/>
                <w:sz w:val="21"/>
              </w:rPr>
              <w:t>（</w:t>
            </w:r>
            <w:r>
              <w:rPr>
                <w:rFonts w:ascii="黑体" w:eastAsia="黑体" w:hint="eastAsia"/>
                <w:spacing w:val="-6"/>
                <w:sz w:val="21"/>
              </w:rPr>
              <w:t>见释义 </w:t>
            </w:r>
            <w:r>
              <w:rPr>
                <w:rFonts w:ascii="黑体" w:eastAsia="黑体" w:hint="eastAsia"/>
                <w:spacing w:val="-7"/>
                <w:sz w:val="21"/>
              </w:rPr>
              <w:t>6.5）</w:t>
            </w:r>
            <w:r>
              <w:rPr>
                <w:rFonts w:ascii="黑体" w:eastAsia="黑体" w:hint="eastAsia"/>
                <w:spacing w:val="-4"/>
                <w:sz w:val="21"/>
              </w:rPr>
              <w:t>，我们将无息返还您所交的本主合同的保险费，本主合同终止。</w:t>
            </w:r>
            <w:r>
              <w:rPr>
                <w:rFonts w:ascii="黑体" w:eastAsia="黑体" w:hint="eastAsia"/>
                <w:spacing w:val="-26"/>
                <w:sz w:val="21"/>
              </w:rPr>
              <w:t>这 </w:t>
            </w:r>
            <w:r>
              <w:rPr>
                <w:rFonts w:ascii="黑体" w:eastAsia="黑体" w:hint="eastAsia"/>
                <w:sz w:val="21"/>
              </w:rPr>
              <w:t>90</w:t>
            </w:r>
            <w:r>
              <w:rPr>
                <w:rFonts w:ascii="黑体" w:eastAsia="黑体" w:hint="eastAsia"/>
                <w:spacing w:val="-9"/>
                <w:sz w:val="21"/>
              </w:rPr>
              <w:t> 天的时间称为等待期。被保险人因</w:t>
            </w:r>
            <w:r>
              <w:rPr>
                <w:rFonts w:ascii="黑体" w:eastAsia="黑体" w:hint="eastAsia"/>
                <w:b/>
                <w:spacing w:val="-4"/>
                <w:sz w:val="21"/>
              </w:rPr>
              <w:t>意外伤害</w:t>
            </w:r>
            <w:r>
              <w:rPr>
                <w:rFonts w:ascii="黑体" w:eastAsia="黑体" w:hint="eastAsia"/>
                <w:spacing w:val="-3"/>
                <w:sz w:val="21"/>
              </w:rPr>
              <w:t>（</w:t>
            </w:r>
            <w:r>
              <w:rPr>
                <w:rFonts w:ascii="黑体" w:eastAsia="黑体" w:hint="eastAsia"/>
                <w:spacing w:val="-13"/>
                <w:sz w:val="21"/>
              </w:rPr>
              <w:t>见释义 </w:t>
            </w:r>
            <w:r>
              <w:rPr>
                <w:rFonts w:ascii="黑体" w:eastAsia="黑体" w:hint="eastAsia"/>
                <w:spacing w:val="-5"/>
                <w:sz w:val="21"/>
              </w:rPr>
              <w:t>6.6）</w:t>
            </w:r>
            <w:r>
              <w:rPr>
                <w:rFonts w:ascii="黑体" w:eastAsia="黑体" w:hint="eastAsia"/>
                <w:spacing w:val="-3"/>
                <w:sz w:val="21"/>
              </w:rPr>
              <w:t>导致发</w:t>
            </w:r>
            <w:r>
              <w:rPr>
                <w:rFonts w:ascii="黑体" w:eastAsia="黑体" w:hint="eastAsia"/>
                <w:sz w:val="21"/>
              </w:rPr>
              <w:t>Th</w:t>
            </w:r>
            <w:r>
              <w:rPr>
                <w:rFonts w:ascii="黑体" w:eastAsia="黑体" w:hint="eastAsia"/>
                <w:spacing w:val="-3"/>
                <w:sz w:val="21"/>
              </w:rPr>
              <w:t>本主合同所定义的少儿重大疾病，无等待期。</w:t>
            </w:r>
          </w:p>
          <w:p>
            <w:pPr>
              <w:pStyle w:val="TableParagraph"/>
              <w:spacing w:before="7"/>
              <w:rPr>
                <w:rFonts w:ascii="黑体" w:eastAsia="黑体" w:hint="eastAsia"/>
                <w:sz w:val="21"/>
              </w:rPr>
            </w:pPr>
            <w:r>
              <w:rPr>
                <w:rFonts w:ascii="黑体" w:eastAsia="黑体" w:hint="eastAsia"/>
                <w:sz w:val="21"/>
              </w:rPr>
              <w:t>续保无等待期。</w:t>
            </w:r>
          </w:p>
          <w:p>
            <w:pPr>
              <w:pStyle w:val="TableParagraph"/>
              <w:spacing w:before="37"/>
              <w:rPr>
                <w:b/>
                <w:sz w:val="21"/>
              </w:rPr>
            </w:pPr>
            <w:r>
              <w:rPr>
                <w:rFonts w:ascii="黑体" w:eastAsia="黑体" w:hint="eastAsia"/>
                <w:b/>
                <w:sz w:val="21"/>
              </w:rPr>
              <w:t>等待期后发Th保险事故，我们按照下列方式给付保险金</w:t>
            </w:r>
            <w:r>
              <w:rPr>
                <w:b/>
                <w:sz w:val="21"/>
              </w:rPr>
              <w:t>：</w:t>
            </w:r>
          </w:p>
        </w:tc>
      </w:tr>
      <w:tr>
        <w:trPr>
          <w:trHeight w:val="3792" w:hRule="atLeast"/>
        </w:trPr>
        <w:tc>
          <w:tcPr>
            <w:tcW w:w="628" w:type="dxa"/>
          </w:tcPr>
          <w:p>
            <w:pPr>
              <w:pStyle w:val="TableParagraph"/>
              <w:spacing w:before="0"/>
              <w:ind w:left="0"/>
              <w:rPr>
                <w:rFonts w:ascii="Times New Roman"/>
                <w:sz w:val="20"/>
              </w:rPr>
            </w:pPr>
          </w:p>
        </w:tc>
        <w:tc>
          <w:tcPr>
            <w:tcW w:w="1573" w:type="dxa"/>
          </w:tcPr>
          <w:p>
            <w:pPr>
              <w:pStyle w:val="TableParagraph"/>
              <w:spacing w:line="273" w:lineRule="auto"/>
              <w:ind w:left="162" w:right="141"/>
              <w:rPr>
                <w:rFonts w:ascii="黑体" w:eastAsia="黑体" w:hint="eastAsia"/>
                <w:b/>
                <w:sz w:val="21"/>
              </w:rPr>
            </w:pPr>
            <w:r>
              <w:rPr>
                <w:rFonts w:ascii="黑体" w:eastAsia="黑体" w:hint="eastAsia"/>
                <w:b/>
                <w:sz w:val="21"/>
              </w:rPr>
              <w:t>少儿重大疾病保险金</w:t>
            </w:r>
          </w:p>
        </w:tc>
        <w:tc>
          <w:tcPr>
            <w:tcW w:w="7410" w:type="dxa"/>
          </w:tcPr>
          <w:p>
            <w:pPr>
              <w:pStyle w:val="TableParagraph"/>
              <w:spacing w:line="278" w:lineRule="auto" w:before="166"/>
              <w:ind w:right="16"/>
              <w:rPr>
                <w:b/>
                <w:sz w:val="21"/>
              </w:rPr>
            </w:pPr>
            <w:r>
              <w:rPr>
                <w:spacing w:val="-7"/>
                <w:sz w:val="21"/>
              </w:rPr>
              <w:t>被保险人在年满一周岁的保单周年日</w:t>
            </w:r>
            <w:r>
              <w:rPr>
                <w:sz w:val="21"/>
              </w:rPr>
              <w:t>（</w:t>
            </w:r>
            <w:r>
              <w:rPr>
                <w:spacing w:val="-2"/>
                <w:sz w:val="21"/>
              </w:rPr>
              <w:t>不含</w:t>
            </w:r>
            <w:r>
              <w:rPr>
                <w:spacing w:val="-51"/>
                <w:sz w:val="21"/>
              </w:rPr>
              <w:t>）</w:t>
            </w:r>
            <w:r>
              <w:rPr>
                <w:spacing w:val="-9"/>
                <w:sz w:val="21"/>
              </w:rPr>
              <w:t>之前，初次发生且经</w:t>
            </w:r>
            <w:r>
              <w:rPr>
                <w:rFonts w:ascii="黑体" w:hAnsi="黑体" w:eastAsia="黑体" w:hint="eastAsia"/>
                <w:b/>
                <w:sz w:val="21"/>
              </w:rPr>
              <w:t>专科医</w:t>
            </w:r>
            <w:r>
              <w:rPr>
                <w:rFonts w:ascii="黑体" w:hAnsi="黑体" w:eastAsia="黑体" w:hint="eastAsia"/>
                <w:b/>
                <w:spacing w:val="-35"/>
                <w:sz w:val="21"/>
              </w:rPr>
              <w:t>Th</w:t>
            </w:r>
            <w:r>
              <w:rPr>
                <w:spacing w:val="-35"/>
                <w:sz w:val="21"/>
              </w:rPr>
              <w:t>（</w:t>
            </w:r>
            <w:r>
              <w:rPr>
                <w:spacing w:val="-3"/>
                <w:sz w:val="21"/>
              </w:rPr>
              <w:t>见</w:t>
            </w:r>
            <w:r>
              <w:rPr>
                <w:spacing w:val="-13"/>
                <w:sz w:val="21"/>
              </w:rPr>
              <w:t>释义 </w:t>
            </w:r>
            <w:r>
              <w:rPr>
                <w:sz w:val="21"/>
              </w:rPr>
              <w:t>6.7）</w:t>
            </w:r>
            <w:r>
              <w:rPr>
                <w:spacing w:val="-5"/>
                <w:sz w:val="21"/>
              </w:rPr>
              <w:t>明确诊断患本主合同所定义的少儿重大疾病，并且自确诊之日起 </w:t>
            </w:r>
            <w:r>
              <w:rPr>
                <w:sz w:val="21"/>
              </w:rPr>
              <w:t>30 </w:t>
            </w:r>
            <w:r>
              <w:rPr>
                <w:spacing w:val="-3"/>
                <w:sz w:val="21"/>
              </w:rPr>
              <w:t>天后仍生存，我们按本主合同的基本保险金额×</w:t>
            </w:r>
            <w:r>
              <w:rPr>
                <w:sz w:val="21"/>
              </w:rPr>
              <w:t>50%</w:t>
            </w:r>
            <w:r>
              <w:rPr>
                <w:spacing w:val="-3"/>
                <w:sz w:val="21"/>
              </w:rPr>
              <w:t>给付少儿重大疾病保险金， 本主合同终止。</w:t>
            </w:r>
            <w:r>
              <w:rPr>
                <w:b/>
                <w:spacing w:val="-1"/>
                <w:sz w:val="21"/>
              </w:rPr>
              <w:t>自确诊之日起 </w:t>
            </w:r>
            <w:r>
              <w:rPr>
                <w:b/>
                <w:sz w:val="21"/>
              </w:rPr>
              <w:t>30</w:t>
            </w:r>
            <w:r>
              <w:rPr>
                <w:b/>
                <w:spacing w:val="-3"/>
                <w:sz w:val="21"/>
              </w:rPr>
              <w:t> 天内身故的，我们无息返还您所交的本主合同的保险费，本主合同终止。</w:t>
            </w:r>
          </w:p>
          <w:p>
            <w:pPr>
              <w:pStyle w:val="TableParagraph"/>
              <w:spacing w:before="9"/>
              <w:ind w:left="0"/>
              <w:rPr>
                <w:rFonts w:ascii="Times New Roman"/>
                <w:sz w:val="26"/>
              </w:rPr>
            </w:pPr>
          </w:p>
          <w:p>
            <w:pPr>
              <w:pStyle w:val="TableParagraph"/>
              <w:spacing w:line="273" w:lineRule="auto" w:before="0"/>
              <w:ind w:right="110"/>
              <w:jc w:val="both"/>
              <w:rPr>
                <w:b/>
                <w:sz w:val="21"/>
              </w:rPr>
            </w:pPr>
            <w:r>
              <w:rPr>
                <w:sz w:val="21"/>
              </w:rPr>
              <w:t>被保险人在年满一周岁保单周年日（含）后至十八周岁的保单周年日（不含） 之前，初次发生且经专科医生明确诊断患本主合同所定义的少儿重大疾病，并且自确诊之日起30天后仍生存，我们按本主合同的基本保险金额给付少儿重大疾病保险金，本主合同终止。</w:t>
            </w:r>
            <w:r>
              <w:rPr>
                <w:b/>
                <w:sz w:val="21"/>
              </w:rPr>
              <w:t>自确诊之日起30天内身故的，我们无息返还您所交的本主合同的保险费，本主合同终止。</w:t>
            </w:r>
          </w:p>
        </w:tc>
      </w:tr>
      <w:tr>
        <w:trPr>
          <w:trHeight w:val="3432" w:hRule="atLeast"/>
        </w:trPr>
        <w:tc>
          <w:tcPr>
            <w:tcW w:w="628" w:type="dxa"/>
          </w:tcPr>
          <w:p>
            <w:pPr>
              <w:pStyle w:val="TableParagraph"/>
              <w:spacing w:before="0"/>
              <w:ind w:left="0"/>
              <w:rPr>
                <w:rFonts w:ascii="Times New Roman"/>
                <w:sz w:val="20"/>
              </w:rPr>
            </w:pPr>
          </w:p>
        </w:tc>
        <w:tc>
          <w:tcPr>
            <w:tcW w:w="1573" w:type="dxa"/>
          </w:tcPr>
          <w:p>
            <w:pPr>
              <w:pStyle w:val="TableParagraph"/>
              <w:spacing w:line="273" w:lineRule="auto"/>
              <w:ind w:left="162" w:right="141"/>
              <w:rPr>
                <w:rFonts w:ascii="黑体" w:eastAsia="黑体" w:hint="eastAsia"/>
                <w:b/>
                <w:sz w:val="21"/>
              </w:rPr>
            </w:pPr>
            <w:r>
              <w:rPr>
                <w:rFonts w:ascii="黑体" w:eastAsia="黑体" w:hint="eastAsia"/>
                <w:b/>
                <w:sz w:val="21"/>
              </w:rPr>
              <w:t>少儿特定重大疾病保险金</w:t>
            </w:r>
          </w:p>
        </w:tc>
        <w:tc>
          <w:tcPr>
            <w:tcW w:w="7410" w:type="dxa"/>
          </w:tcPr>
          <w:p>
            <w:pPr>
              <w:pStyle w:val="TableParagraph"/>
              <w:spacing w:line="273" w:lineRule="auto"/>
              <w:ind w:right="107"/>
              <w:jc w:val="both"/>
              <w:rPr>
                <w:sz w:val="21"/>
              </w:rPr>
            </w:pPr>
            <w:r>
              <w:rPr>
                <w:spacing w:val="-3"/>
                <w:sz w:val="21"/>
              </w:rPr>
              <w:t>被保险人在年满一周岁的保单周年日</w:t>
            </w:r>
            <w:r>
              <w:rPr>
                <w:sz w:val="21"/>
              </w:rPr>
              <w:t>（</w:t>
            </w:r>
            <w:r>
              <w:rPr>
                <w:spacing w:val="-2"/>
                <w:sz w:val="21"/>
              </w:rPr>
              <w:t>不含</w:t>
            </w:r>
            <w:r>
              <w:rPr>
                <w:sz w:val="21"/>
              </w:rPr>
              <w:t>）</w:t>
            </w:r>
            <w:r>
              <w:rPr>
                <w:spacing w:val="-3"/>
                <w:sz w:val="21"/>
              </w:rPr>
              <w:t>之前，初次发生且经专科医生明</w:t>
            </w:r>
            <w:r>
              <w:rPr>
                <w:spacing w:val="-8"/>
                <w:sz w:val="21"/>
              </w:rPr>
              <w:t>确诊断确诊患本主合同所定义的少儿特定重大疾病，并且自确诊之日起 </w:t>
            </w:r>
            <w:r>
              <w:rPr>
                <w:sz w:val="21"/>
              </w:rPr>
              <w:t>30</w:t>
            </w:r>
            <w:r>
              <w:rPr>
                <w:spacing w:val="-15"/>
                <w:sz w:val="21"/>
              </w:rPr>
              <w:t> 天后</w:t>
            </w:r>
            <w:r>
              <w:rPr>
                <w:spacing w:val="-3"/>
                <w:sz w:val="21"/>
              </w:rPr>
              <w:t>仍生存，我们将在给付少儿重大疾病保险金基础上，额外按本主合同基本保险</w:t>
            </w:r>
            <w:r>
              <w:rPr>
                <w:spacing w:val="-1"/>
                <w:sz w:val="21"/>
              </w:rPr>
              <w:t>金额×50</w:t>
            </w:r>
            <w:r>
              <w:rPr>
                <w:spacing w:val="-3"/>
                <w:sz w:val="21"/>
              </w:rPr>
              <w:t>%给付少儿特定重大疾病保险金，本主合同终止。</w:t>
            </w:r>
          </w:p>
          <w:p>
            <w:pPr>
              <w:pStyle w:val="TableParagraph"/>
              <w:spacing w:before="9"/>
              <w:ind w:left="0"/>
              <w:rPr>
                <w:rFonts w:ascii="Times New Roman"/>
                <w:sz w:val="27"/>
              </w:rPr>
            </w:pPr>
          </w:p>
          <w:p>
            <w:pPr>
              <w:pStyle w:val="TableParagraph"/>
              <w:spacing w:line="273" w:lineRule="auto" w:before="0"/>
              <w:ind w:right="119"/>
              <w:jc w:val="both"/>
              <w:rPr>
                <w:sz w:val="21"/>
              </w:rPr>
            </w:pPr>
            <w:r>
              <w:rPr>
                <w:sz w:val="21"/>
              </w:rPr>
              <w:t>被保险人在年满一周岁保单周年日（含）后至十八周岁的保单周年日（不含） 之前，初次发生且经专科医生明确诊断确诊患本主合同所定义的少儿特定重大疾病，并且自确诊之日起30天后仍生存，我们将在给付少儿重大疾病保险金基础上，额外按本主合同基本保险金额给付少儿特定重大疾病保险金，本主合同终止。</w:t>
            </w:r>
          </w:p>
        </w:tc>
      </w:tr>
      <w:tr>
        <w:trPr>
          <w:trHeight w:val="1509" w:hRule="atLeast"/>
        </w:trPr>
        <w:tc>
          <w:tcPr>
            <w:tcW w:w="628" w:type="dxa"/>
          </w:tcPr>
          <w:p>
            <w:pPr>
              <w:pStyle w:val="TableParagraph"/>
              <w:ind w:left="108"/>
              <w:rPr>
                <w:b/>
                <w:sz w:val="21"/>
              </w:rPr>
            </w:pPr>
            <w:r>
              <w:rPr>
                <w:b/>
                <w:sz w:val="21"/>
              </w:rPr>
              <w:t>2.4</w:t>
            </w:r>
          </w:p>
        </w:tc>
        <w:tc>
          <w:tcPr>
            <w:tcW w:w="1573" w:type="dxa"/>
          </w:tcPr>
          <w:p>
            <w:pPr>
              <w:pStyle w:val="TableParagraph"/>
              <w:spacing w:line="273" w:lineRule="auto"/>
              <w:ind w:left="162" w:right="141"/>
              <w:rPr>
                <w:rFonts w:ascii="黑体" w:eastAsia="黑体" w:hint="eastAsia"/>
                <w:b/>
                <w:sz w:val="21"/>
              </w:rPr>
            </w:pPr>
            <w:r>
              <w:rPr>
                <w:rFonts w:ascii="黑体" w:eastAsia="黑体" w:hint="eastAsia"/>
                <w:b/>
                <w:sz w:val="21"/>
              </w:rPr>
              <w:t>保险责任的免除</w:t>
            </w:r>
          </w:p>
        </w:tc>
        <w:tc>
          <w:tcPr>
            <w:tcW w:w="7410" w:type="dxa"/>
          </w:tcPr>
          <w:p>
            <w:pPr>
              <w:pStyle w:val="TableParagraph"/>
              <w:rPr>
                <w:rFonts w:ascii="黑体" w:eastAsia="黑体" w:hint="eastAsia"/>
                <w:sz w:val="21"/>
              </w:rPr>
            </w:pPr>
            <w:r>
              <w:rPr>
                <w:rFonts w:ascii="黑体" w:eastAsia="黑体" w:hint="eastAsia"/>
                <w:sz w:val="21"/>
              </w:rPr>
              <w:t>被保险人因下列情形之一造成保险事故的， 我们不承担保险责任：</w:t>
            </w:r>
          </w:p>
          <w:p>
            <w:pPr>
              <w:pStyle w:val="TableParagraph"/>
              <w:spacing w:before="8"/>
              <w:ind w:left="0"/>
              <w:rPr>
                <w:rFonts w:ascii="Times New Roman"/>
                <w:sz w:val="16"/>
              </w:rPr>
            </w:pPr>
          </w:p>
          <w:p>
            <w:pPr>
              <w:pStyle w:val="TableParagraph"/>
              <w:numPr>
                <w:ilvl w:val="0"/>
                <w:numId w:val="6"/>
              </w:numPr>
              <w:tabs>
                <w:tab w:pos="863" w:val="left" w:leader="none"/>
              </w:tabs>
              <w:spacing w:line="240" w:lineRule="auto" w:before="0" w:after="0"/>
              <w:ind w:left="862" w:right="0" w:hanging="721"/>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6"/>
              </w:numPr>
              <w:tabs>
                <w:tab w:pos="863" w:val="left" w:leader="none"/>
              </w:tabs>
              <w:spacing w:line="240" w:lineRule="auto" w:before="36" w:after="0"/>
              <w:ind w:left="862" w:right="0" w:hanging="721"/>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TableParagraph"/>
              <w:numPr>
                <w:ilvl w:val="0"/>
                <w:numId w:val="6"/>
              </w:numPr>
              <w:tabs>
                <w:tab w:pos="863" w:val="left" w:leader="none"/>
              </w:tabs>
              <w:spacing w:line="255" w:lineRule="exact" w:before="37" w:after="0"/>
              <w:ind w:left="862" w:right="0" w:hanging="721"/>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z w:val="21"/>
              </w:rPr>
              <w:t>（</w:t>
            </w:r>
            <w:r>
              <w:rPr>
                <w:rFonts w:ascii="黑体" w:eastAsia="黑体" w:hint="eastAsia"/>
                <w:spacing w:val="-11"/>
                <w:sz w:val="21"/>
              </w:rPr>
              <w:t>见释义 </w:t>
            </w:r>
            <w:r>
              <w:rPr>
                <w:rFonts w:ascii="黑体" w:eastAsia="黑体" w:hint="eastAsia"/>
                <w:sz w:val="21"/>
              </w:rPr>
              <w:t>6.8）；</w:t>
            </w:r>
          </w:p>
        </w:tc>
      </w:tr>
    </w:tbl>
    <w:p>
      <w:pPr>
        <w:spacing w:after="0" w:line="255" w:lineRule="exact"/>
        <w:jc w:val="left"/>
        <w:rPr>
          <w:rFonts w:ascii="黑体" w:eastAsia="黑体" w:hint="eastAsia"/>
          <w:sz w:val="21"/>
        </w:rPr>
        <w:sectPr>
          <w:pgSz w:w="11910" w:h="16840"/>
          <w:pgMar w:header="878" w:footer="984" w:top="1140" w:bottom="1180" w:left="860" w:right="1220"/>
        </w:sectPr>
      </w:pPr>
    </w:p>
    <w:p>
      <w:pPr>
        <w:pStyle w:val="BodyText"/>
        <w:spacing w:before="10"/>
        <w:rPr>
          <w:rFonts w:ascii="Times New Roman"/>
          <w:sz w:val="22"/>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
        <w:gridCol w:w="1573"/>
        <w:gridCol w:w="7410"/>
      </w:tblGrid>
      <w:tr>
        <w:trPr>
          <w:trHeight w:val="4942" w:hRule="atLeast"/>
        </w:trPr>
        <w:tc>
          <w:tcPr>
            <w:tcW w:w="628" w:type="dxa"/>
          </w:tcPr>
          <w:p>
            <w:pPr>
              <w:pStyle w:val="TableParagraph"/>
              <w:spacing w:before="0"/>
              <w:ind w:left="0"/>
              <w:rPr>
                <w:rFonts w:ascii="Times New Roman"/>
                <w:sz w:val="20"/>
              </w:rPr>
            </w:pPr>
          </w:p>
        </w:tc>
        <w:tc>
          <w:tcPr>
            <w:tcW w:w="1573" w:type="dxa"/>
          </w:tcPr>
          <w:p>
            <w:pPr>
              <w:pStyle w:val="TableParagraph"/>
              <w:spacing w:before="0"/>
              <w:ind w:left="0"/>
              <w:rPr>
                <w:rFonts w:ascii="Times New Roman"/>
                <w:sz w:val="20"/>
              </w:rPr>
            </w:pPr>
          </w:p>
        </w:tc>
        <w:tc>
          <w:tcPr>
            <w:tcW w:w="7410" w:type="dxa"/>
          </w:tcPr>
          <w:p>
            <w:pPr>
              <w:pStyle w:val="TableParagraph"/>
              <w:numPr>
                <w:ilvl w:val="0"/>
                <w:numId w:val="7"/>
              </w:numPr>
              <w:tabs>
                <w:tab w:pos="863" w:val="left" w:leader="none"/>
              </w:tabs>
              <w:spacing w:line="211" w:lineRule="exact" w:before="0" w:after="0"/>
              <w:ind w:left="862" w:right="0" w:hanging="721"/>
              <w:jc w:val="left"/>
              <w:rPr>
                <w:rFonts w:ascii="黑体" w:eastAsia="黑体" w:hint="eastAsia"/>
                <w:sz w:val="21"/>
              </w:rPr>
            </w:pPr>
            <w:r>
              <w:rPr>
                <w:rFonts w:ascii="黑体" w:eastAsia="黑体" w:hint="eastAsia"/>
                <w:spacing w:val="-2"/>
                <w:w w:val="100"/>
                <w:sz w:val="21"/>
              </w:rPr>
              <w:t>被保险人</w:t>
            </w:r>
            <w:r>
              <w:rPr>
                <w:rFonts w:ascii="黑体" w:eastAsia="黑体" w:hint="eastAsia"/>
                <w:b/>
                <w:spacing w:val="-26"/>
                <w:w w:val="100"/>
                <w:sz w:val="21"/>
              </w:rPr>
              <w:t>酒后驾驶</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2"/>
                <w:sz w:val="21"/>
              </w:rPr>
              <w:t> </w:t>
            </w:r>
            <w:r>
              <w:rPr>
                <w:rFonts w:ascii="黑体" w:eastAsia="黑体" w:hint="eastAsia"/>
                <w:w w:val="100"/>
                <w:sz w:val="21"/>
              </w:rPr>
              <w:t>6.</w:t>
            </w:r>
            <w:r>
              <w:rPr>
                <w:rFonts w:ascii="黑体" w:eastAsia="黑体" w:hint="eastAsia"/>
                <w:spacing w:val="-3"/>
                <w:w w:val="100"/>
                <w:sz w:val="21"/>
              </w:rPr>
              <w:t>9</w:t>
            </w:r>
            <w:r>
              <w:rPr>
                <w:rFonts w:ascii="黑体" w:eastAsia="黑体" w:hint="eastAsia"/>
                <w:spacing w:val="-101"/>
                <w:w w:val="100"/>
                <w:sz w:val="21"/>
              </w:rPr>
              <w:t>）</w:t>
            </w:r>
            <w:r>
              <w:rPr>
                <w:rFonts w:ascii="黑体" w:eastAsia="黑体" w:hint="eastAsia"/>
                <w:spacing w:val="-104"/>
                <w:w w:val="100"/>
                <w:sz w:val="21"/>
              </w:rPr>
              <w:t>、</w:t>
            </w:r>
            <w:r>
              <w:rPr>
                <w:rFonts w:ascii="黑体" w:eastAsia="黑体" w:hint="eastAsia"/>
                <w:b/>
                <w:spacing w:val="-11"/>
                <w:w w:val="100"/>
                <w:sz w:val="21"/>
              </w:rPr>
              <w:t>无合法有效驾驶证驾驶</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5"/>
                <w:sz w:val="21"/>
              </w:rPr>
              <w:t> </w:t>
            </w:r>
            <w:r>
              <w:rPr>
                <w:rFonts w:ascii="黑体" w:eastAsia="黑体" w:hint="eastAsia"/>
                <w:w w:val="100"/>
                <w:sz w:val="21"/>
              </w:rPr>
              <w:t>6.1</w:t>
            </w:r>
            <w:r>
              <w:rPr>
                <w:rFonts w:ascii="黑体" w:eastAsia="黑体" w:hint="eastAsia"/>
                <w:spacing w:val="-3"/>
                <w:w w:val="100"/>
                <w:sz w:val="21"/>
              </w:rPr>
              <w:t>0</w:t>
            </w:r>
            <w:r>
              <w:rPr>
                <w:rFonts w:ascii="黑体" w:eastAsia="黑体" w:hint="eastAsia"/>
                <w:w w:val="100"/>
                <w:sz w:val="21"/>
              </w:rPr>
              <w:t>）</w:t>
            </w:r>
          </w:p>
          <w:p>
            <w:pPr>
              <w:pStyle w:val="TableParagraph"/>
              <w:spacing w:before="37"/>
              <w:ind w:left="862"/>
              <w:rPr>
                <w:rFonts w:ascii="黑体" w:eastAsia="黑体" w:hint="eastAsia"/>
                <w:sz w:val="21"/>
              </w:rPr>
            </w:pPr>
            <w:r>
              <w:rPr>
                <w:rFonts w:ascii="黑体" w:eastAsia="黑体" w:hint="eastAsia"/>
                <w:sz w:val="21"/>
              </w:rPr>
              <w:t>或驾驶</w:t>
            </w:r>
            <w:r>
              <w:rPr>
                <w:rFonts w:ascii="黑体" w:eastAsia="黑体" w:hint="eastAsia"/>
                <w:b/>
                <w:sz w:val="21"/>
              </w:rPr>
              <w:t>无有效行驶证</w:t>
            </w:r>
            <w:r>
              <w:rPr>
                <w:rFonts w:ascii="黑体" w:eastAsia="黑体" w:hint="eastAsia"/>
                <w:sz w:val="21"/>
              </w:rPr>
              <w:t>（见释义 6.11）的机动车；</w:t>
            </w:r>
          </w:p>
          <w:p>
            <w:pPr>
              <w:pStyle w:val="TableParagraph"/>
              <w:numPr>
                <w:ilvl w:val="0"/>
                <w:numId w:val="7"/>
              </w:numPr>
              <w:tabs>
                <w:tab w:pos="863" w:val="left" w:leader="none"/>
              </w:tabs>
              <w:spacing w:line="240" w:lineRule="auto" w:before="36" w:after="0"/>
              <w:ind w:left="862" w:right="0" w:hanging="721"/>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7"/>
              </w:numPr>
              <w:tabs>
                <w:tab w:pos="863" w:val="left" w:leader="none"/>
              </w:tabs>
              <w:spacing w:line="240" w:lineRule="auto" w:before="36" w:after="0"/>
              <w:ind w:left="862" w:right="0" w:hanging="721"/>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7"/>
              </w:numPr>
              <w:tabs>
                <w:tab w:pos="863" w:val="left" w:leader="none"/>
              </w:tabs>
              <w:spacing w:line="273" w:lineRule="auto" w:before="36" w:after="0"/>
              <w:ind w:left="862" w:right="107" w:hanging="721"/>
              <w:jc w:val="left"/>
              <w:rPr>
                <w:rFonts w:ascii="黑体" w:eastAsia="黑体" w:hint="eastAsia"/>
                <w:sz w:val="21"/>
              </w:rPr>
            </w:pPr>
            <w:r>
              <w:rPr>
                <w:rFonts w:ascii="黑体" w:eastAsia="黑体" w:hint="eastAsia"/>
                <w:b/>
                <w:sz w:val="21"/>
              </w:rPr>
              <w:t>遗传性疾病</w:t>
            </w:r>
            <w:r>
              <w:rPr>
                <w:rFonts w:ascii="黑体" w:eastAsia="黑体" w:hint="eastAsia"/>
                <w:sz w:val="21"/>
              </w:rPr>
              <w:t>（</w:t>
            </w:r>
            <w:r>
              <w:rPr>
                <w:rFonts w:ascii="黑体" w:eastAsia="黑体" w:hint="eastAsia"/>
                <w:spacing w:val="1"/>
                <w:sz w:val="21"/>
              </w:rPr>
              <w:t>见释义 </w:t>
            </w:r>
            <w:r>
              <w:rPr>
                <w:rFonts w:ascii="黑体" w:eastAsia="黑体" w:hint="eastAsia"/>
                <w:sz w:val="21"/>
              </w:rPr>
              <w:t>6.12），</w:t>
            </w:r>
            <w:r>
              <w:rPr>
                <w:rFonts w:ascii="黑体" w:eastAsia="黑体" w:hint="eastAsia"/>
                <w:b/>
                <w:sz w:val="21"/>
              </w:rPr>
              <w:t>先天性畸形、变形或染色体异常</w:t>
            </w:r>
            <w:r>
              <w:rPr>
                <w:rFonts w:ascii="黑体" w:eastAsia="黑体" w:hint="eastAsia"/>
                <w:sz w:val="21"/>
              </w:rPr>
              <w:t>（</w:t>
            </w:r>
            <w:r>
              <w:rPr>
                <w:rFonts w:ascii="黑体" w:eastAsia="黑体" w:hint="eastAsia"/>
                <w:spacing w:val="-2"/>
                <w:sz w:val="21"/>
              </w:rPr>
              <w:t>见释</w:t>
            </w:r>
            <w:r>
              <w:rPr>
                <w:rFonts w:ascii="黑体" w:eastAsia="黑体" w:hint="eastAsia"/>
                <w:spacing w:val="-29"/>
                <w:sz w:val="21"/>
              </w:rPr>
              <w:t>义 </w:t>
            </w:r>
            <w:r>
              <w:rPr>
                <w:rFonts w:ascii="黑体" w:eastAsia="黑体" w:hint="eastAsia"/>
                <w:sz w:val="21"/>
              </w:rPr>
              <w:t>6.13）；</w:t>
            </w:r>
          </w:p>
          <w:p>
            <w:pPr>
              <w:pStyle w:val="TableParagraph"/>
              <w:numPr>
                <w:ilvl w:val="0"/>
                <w:numId w:val="7"/>
              </w:numPr>
              <w:tabs>
                <w:tab w:pos="863" w:val="left" w:leader="none"/>
              </w:tabs>
              <w:spacing w:line="240" w:lineRule="auto" w:before="7" w:after="0"/>
              <w:ind w:left="862" w:right="0" w:hanging="721"/>
              <w:jc w:val="left"/>
              <w:rPr>
                <w:rFonts w:ascii="黑体" w:eastAsia="黑体" w:hint="eastAsia"/>
                <w:sz w:val="21"/>
              </w:rPr>
            </w:pPr>
            <w:r>
              <w:rPr>
                <w:rFonts w:ascii="黑体" w:eastAsia="黑体" w:hint="eastAsia"/>
                <w:spacing w:val="-3"/>
                <w:sz w:val="21"/>
              </w:rPr>
              <w:t>被保险人故意自伤，但被保险人自伤时为无民事行为能力人的除外；</w:t>
            </w:r>
          </w:p>
          <w:p>
            <w:pPr>
              <w:pStyle w:val="TableParagraph"/>
              <w:numPr>
                <w:ilvl w:val="0"/>
                <w:numId w:val="7"/>
              </w:numPr>
              <w:tabs>
                <w:tab w:pos="863" w:val="left" w:leader="none"/>
              </w:tabs>
              <w:spacing w:line="273" w:lineRule="auto" w:before="37" w:after="0"/>
              <w:ind w:left="862" w:right="2" w:hanging="721"/>
              <w:jc w:val="left"/>
              <w:rPr>
                <w:rFonts w:ascii="黑体" w:eastAsia="黑体" w:hint="eastAsia"/>
                <w:sz w:val="21"/>
              </w:rPr>
            </w:pPr>
            <w:r>
              <w:rPr>
                <w:rFonts w:ascii="黑体" w:eastAsia="黑体" w:hint="eastAsia"/>
                <w:spacing w:val="-3"/>
                <w:sz w:val="21"/>
              </w:rPr>
              <w:t>被保险人从事</w:t>
            </w:r>
            <w:r>
              <w:rPr>
                <w:rFonts w:ascii="黑体" w:eastAsia="黑体" w:hint="eastAsia"/>
                <w:b/>
                <w:spacing w:val="-21"/>
                <w:sz w:val="21"/>
              </w:rPr>
              <w:t>潜水</w:t>
            </w:r>
            <w:r>
              <w:rPr>
                <w:rFonts w:ascii="黑体" w:eastAsia="黑体" w:hint="eastAsia"/>
                <w:sz w:val="21"/>
              </w:rPr>
              <w:t>（</w:t>
            </w:r>
            <w:r>
              <w:rPr>
                <w:rFonts w:ascii="黑体" w:eastAsia="黑体" w:hint="eastAsia"/>
                <w:spacing w:val="-11"/>
                <w:sz w:val="21"/>
              </w:rPr>
              <w:t>见释义 </w:t>
            </w:r>
            <w:r>
              <w:rPr>
                <w:rFonts w:ascii="黑体" w:eastAsia="黑体" w:hint="eastAsia"/>
                <w:spacing w:val="-10"/>
                <w:sz w:val="21"/>
              </w:rPr>
              <w:t>6.14）</w:t>
            </w:r>
            <w:r>
              <w:rPr>
                <w:rFonts w:ascii="黑体" w:eastAsia="黑体" w:hint="eastAsia"/>
                <w:spacing w:val="-20"/>
                <w:sz w:val="21"/>
              </w:rPr>
              <w:t>、跳伞、滑雪、</w:t>
            </w:r>
            <w:r>
              <w:rPr>
                <w:rFonts w:ascii="黑体" w:eastAsia="黑体" w:hint="eastAsia"/>
                <w:b/>
                <w:spacing w:val="-22"/>
                <w:sz w:val="21"/>
              </w:rPr>
              <w:t>攀岩</w:t>
            </w:r>
            <w:r>
              <w:rPr>
                <w:rFonts w:ascii="黑体" w:eastAsia="黑体" w:hint="eastAsia"/>
                <w:sz w:val="21"/>
              </w:rPr>
              <w:t>（</w:t>
            </w:r>
            <w:r>
              <w:rPr>
                <w:rFonts w:ascii="黑体" w:eastAsia="黑体" w:hint="eastAsia"/>
                <w:spacing w:val="-12"/>
                <w:sz w:val="21"/>
              </w:rPr>
              <w:t>见释义 </w:t>
            </w:r>
            <w:r>
              <w:rPr>
                <w:rFonts w:ascii="黑体" w:eastAsia="黑体" w:hint="eastAsia"/>
                <w:spacing w:val="-9"/>
                <w:sz w:val="21"/>
              </w:rPr>
              <w:t>6.15）</w:t>
            </w:r>
            <w:r>
              <w:rPr>
                <w:rFonts w:ascii="黑体" w:eastAsia="黑体" w:hint="eastAsia"/>
                <w:sz w:val="21"/>
              </w:rPr>
              <w:t>、</w:t>
            </w:r>
            <w:r>
              <w:rPr>
                <w:rFonts w:ascii="黑体" w:eastAsia="黑体" w:hint="eastAsia"/>
                <w:spacing w:val="-1"/>
                <w:sz w:val="21"/>
              </w:rPr>
              <w:t>蹦极、驾驶滑翔机或滑翔伞、</w:t>
            </w:r>
            <w:r>
              <w:rPr>
                <w:rFonts w:ascii="黑体" w:eastAsia="黑体" w:hint="eastAsia"/>
                <w:b/>
                <w:sz w:val="21"/>
              </w:rPr>
              <w:t>探险活动</w:t>
            </w:r>
            <w:r>
              <w:rPr>
                <w:rFonts w:ascii="黑体" w:eastAsia="黑体" w:hint="eastAsia"/>
                <w:sz w:val="21"/>
              </w:rPr>
              <w:t>（</w:t>
            </w:r>
            <w:r>
              <w:rPr>
                <w:rFonts w:ascii="黑体" w:eastAsia="黑体" w:hint="eastAsia"/>
                <w:spacing w:val="2"/>
                <w:sz w:val="21"/>
              </w:rPr>
              <w:t>见释义 </w:t>
            </w:r>
            <w:r>
              <w:rPr>
                <w:rFonts w:ascii="黑体" w:eastAsia="黑体" w:hint="eastAsia"/>
                <w:sz w:val="21"/>
              </w:rPr>
              <w:t>6.16）</w:t>
            </w:r>
            <w:r>
              <w:rPr>
                <w:rFonts w:ascii="黑体" w:eastAsia="黑体" w:hint="eastAsia"/>
                <w:spacing w:val="-1"/>
                <w:sz w:val="21"/>
              </w:rPr>
              <w:t>、摔跤、</w:t>
            </w:r>
            <w:r>
              <w:rPr>
                <w:rFonts w:ascii="黑体" w:eastAsia="黑体" w:hint="eastAsia"/>
                <w:b/>
                <w:sz w:val="21"/>
              </w:rPr>
              <w:t>武术比赛</w:t>
            </w:r>
            <w:r>
              <w:rPr>
                <w:rFonts w:ascii="黑体" w:eastAsia="黑体" w:hint="eastAsia"/>
                <w:sz w:val="21"/>
              </w:rPr>
              <w:t>（</w:t>
            </w:r>
            <w:r>
              <w:rPr>
                <w:rFonts w:ascii="黑体" w:eastAsia="黑体" w:hint="eastAsia"/>
                <w:spacing w:val="-9"/>
                <w:sz w:val="21"/>
              </w:rPr>
              <w:t>见释义 </w:t>
            </w:r>
            <w:r>
              <w:rPr>
                <w:rFonts w:ascii="黑体" w:eastAsia="黑体" w:hint="eastAsia"/>
                <w:sz w:val="21"/>
              </w:rPr>
              <w:t>6.17）</w:t>
            </w:r>
            <w:r>
              <w:rPr>
                <w:rFonts w:ascii="黑体" w:eastAsia="黑体" w:hint="eastAsia"/>
                <w:spacing w:val="-3"/>
                <w:sz w:val="21"/>
              </w:rPr>
              <w:t>、特技表演、赛马、赛车等高风险运动。</w:t>
            </w:r>
          </w:p>
          <w:p>
            <w:pPr>
              <w:pStyle w:val="TableParagraph"/>
              <w:spacing w:line="273" w:lineRule="auto" w:before="163"/>
              <w:ind w:right="107"/>
              <w:jc w:val="both"/>
              <w:rPr>
                <w:sz w:val="21"/>
              </w:rPr>
            </w:pPr>
            <w:r>
              <w:rPr>
                <w:spacing w:val="-8"/>
                <w:sz w:val="21"/>
              </w:rPr>
              <w:t>发生上述第</w:t>
            </w:r>
            <w:r>
              <w:rPr>
                <w:spacing w:val="-11"/>
                <w:sz w:val="21"/>
              </w:rPr>
              <w:t>（1）</w:t>
            </w:r>
            <w:r>
              <w:rPr>
                <w:spacing w:val="-7"/>
                <w:sz w:val="21"/>
              </w:rPr>
              <w:t>项情形，造成被保险人发生本主合同所定义的少儿重大疾病或少儿特定重大疾病，本主合同终止，您已交足 </w:t>
            </w:r>
            <w:r>
              <w:rPr>
                <w:sz w:val="21"/>
              </w:rPr>
              <w:t>2</w:t>
            </w:r>
            <w:r>
              <w:rPr>
                <w:spacing w:val="-7"/>
                <w:sz w:val="21"/>
              </w:rPr>
              <w:t> 年以上保险费的，我们向其他</w:t>
            </w:r>
            <w:r>
              <w:rPr>
                <w:spacing w:val="-3"/>
                <w:sz w:val="21"/>
              </w:rPr>
              <w:t>权利人退还保险单的现金价值。</w:t>
            </w:r>
          </w:p>
          <w:p>
            <w:pPr>
              <w:pStyle w:val="TableParagraph"/>
              <w:spacing w:line="273" w:lineRule="auto" w:before="7"/>
              <w:ind w:right="119"/>
              <w:rPr>
                <w:sz w:val="21"/>
              </w:rPr>
            </w:pPr>
            <w:r>
              <w:rPr>
                <w:sz w:val="21"/>
              </w:rPr>
              <w:t>发生上述第（2）—（9）项情形造成被保险人发生本主合同所定义的少儿重大疾病或少儿特定重大疾病，本主合同终止，我们向您退还保险单的现金价值。</w:t>
            </w:r>
          </w:p>
        </w:tc>
      </w:tr>
      <w:tr>
        <w:trPr>
          <w:trHeight w:val="1494" w:hRule="atLeast"/>
        </w:trPr>
        <w:tc>
          <w:tcPr>
            <w:tcW w:w="628" w:type="dxa"/>
          </w:tcPr>
          <w:p>
            <w:pPr>
              <w:pStyle w:val="TableParagraph"/>
              <w:ind w:left="108"/>
              <w:rPr>
                <w:b/>
                <w:sz w:val="21"/>
              </w:rPr>
            </w:pPr>
            <w:r>
              <w:rPr>
                <w:b/>
                <w:sz w:val="21"/>
              </w:rPr>
              <w:t>2.5</w:t>
            </w:r>
          </w:p>
        </w:tc>
        <w:tc>
          <w:tcPr>
            <w:tcW w:w="1573" w:type="dxa"/>
          </w:tcPr>
          <w:p>
            <w:pPr>
              <w:pStyle w:val="TableParagraph"/>
              <w:spacing w:line="273" w:lineRule="auto"/>
              <w:ind w:left="162" w:right="141"/>
              <w:rPr>
                <w:b/>
                <w:sz w:val="21"/>
              </w:rPr>
            </w:pPr>
            <w:r>
              <w:rPr>
                <w:b/>
                <w:sz w:val="21"/>
              </w:rPr>
              <w:t>保险责任的终止</w:t>
            </w:r>
          </w:p>
        </w:tc>
        <w:tc>
          <w:tcPr>
            <w:tcW w:w="7410" w:type="dxa"/>
          </w:tcPr>
          <w:p>
            <w:pPr>
              <w:pStyle w:val="TableParagraph"/>
              <w:rPr>
                <w:sz w:val="21"/>
              </w:rPr>
            </w:pPr>
            <w:r>
              <w:rPr>
                <w:sz w:val="21"/>
              </w:rPr>
              <w:t>以下任何一种情况发生时，本主合同及其保险责任自动终止：</w:t>
            </w:r>
          </w:p>
          <w:p>
            <w:pPr>
              <w:pStyle w:val="TableParagraph"/>
              <w:numPr>
                <w:ilvl w:val="0"/>
                <w:numId w:val="8"/>
              </w:numPr>
              <w:tabs>
                <w:tab w:pos="863" w:val="left" w:leader="none"/>
              </w:tabs>
              <w:spacing w:line="240" w:lineRule="auto" w:before="36" w:after="0"/>
              <w:ind w:left="862" w:right="0" w:hanging="721"/>
              <w:jc w:val="left"/>
              <w:rPr>
                <w:sz w:val="21"/>
              </w:rPr>
            </w:pPr>
            <w:r>
              <w:rPr>
                <w:spacing w:val="-3"/>
                <w:sz w:val="21"/>
              </w:rPr>
              <w:t>在本主合同有效期内您向我们申请解除合同；</w:t>
            </w:r>
          </w:p>
          <w:p>
            <w:pPr>
              <w:pStyle w:val="TableParagraph"/>
              <w:numPr>
                <w:ilvl w:val="0"/>
                <w:numId w:val="8"/>
              </w:numPr>
              <w:tabs>
                <w:tab w:pos="863" w:val="left" w:leader="none"/>
              </w:tabs>
              <w:spacing w:line="240" w:lineRule="auto" w:before="36" w:after="0"/>
              <w:ind w:left="862" w:right="0" w:hanging="721"/>
              <w:jc w:val="left"/>
              <w:rPr>
                <w:sz w:val="21"/>
              </w:rPr>
            </w:pPr>
            <w:r>
              <w:rPr>
                <w:spacing w:val="-2"/>
                <w:sz w:val="21"/>
              </w:rPr>
              <w:t>被保险人身故；</w:t>
            </w:r>
          </w:p>
          <w:p>
            <w:pPr>
              <w:pStyle w:val="TableParagraph"/>
              <w:numPr>
                <w:ilvl w:val="0"/>
                <w:numId w:val="8"/>
              </w:numPr>
              <w:tabs>
                <w:tab w:pos="863" w:val="left" w:leader="none"/>
              </w:tabs>
              <w:spacing w:line="240" w:lineRule="auto" w:before="36" w:after="0"/>
              <w:ind w:left="862" w:right="0" w:hanging="721"/>
              <w:jc w:val="left"/>
              <w:rPr>
                <w:sz w:val="21"/>
              </w:rPr>
            </w:pPr>
            <w:r>
              <w:rPr>
                <w:spacing w:val="-3"/>
                <w:sz w:val="21"/>
              </w:rPr>
              <w:t>本主合同其他条款所列保险责任终止或本主合同终止的情形。</w:t>
            </w:r>
          </w:p>
        </w:tc>
      </w:tr>
      <w:tr>
        <w:trPr>
          <w:trHeight w:val="675" w:hRule="atLeast"/>
        </w:trPr>
        <w:tc>
          <w:tcPr>
            <w:tcW w:w="628" w:type="dxa"/>
            <w:tcBorders>
              <w:bottom w:val="single" w:sz="4" w:space="0" w:color="000000"/>
            </w:tcBorders>
          </w:tcPr>
          <w:p>
            <w:pPr>
              <w:pStyle w:val="TableParagraph"/>
              <w:spacing w:before="104"/>
              <w:ind w:left="108"/>
              <w:rPr>
                <w:rFonts w:ascii="Arial" w:hAnsi="Arial"/>
                <w:b/>
                <w:sz w:val="40"/>
              </w:rPr>
            </w:pPr>
            <w:r>
              <w:rPr>
                <w:rFonts w:ascii="Arial" w:hAnsi="Arial"/>
                <w:b/>
                <w:w w:val="119"/>
                <w:sz w:val="40"/>
              </w:rPr>
              <w:t></w:t>
            </w:r>
          </w:p>
        </w:tc>
        <w:tc>
          <w:tcPr>
            <w:tcW w:w="8983" w:type="dxa"/>
            <w:gridSpan w:val="2"/>
            <w:tcBorders>
              <w:bottom w:val="single" w:sz="4" w:space="0" w:color="000000"/>
            </w:tcBorders>
          </w:tcPr>
          <w:p>
            <w:pPr>
              <w:pStyle w:val="TableParagraph"/>
              <w:spacing w:before="156"/>
              <w:ind w:left="162"/>
              <w:rPr>
                <w:b/>
                <w:sz w:val="24"/>
              </w:rPr>
            </w:pPr>
            <w:r>
              <w:rPr>
                <w:b/>
                <w:w w:val="95"/>
                <w:sz w:val="24"/>
              </w:rPr>
              <w:t>如何申请领取保险金</w:t>
            </w:r>
          </w:p>
        </w:tc>
      </w:tr>
      <w:tr>
        <w:trPr>
          <w:trHeight w:val="584" w:hRule="atLeast"/>
        </w:trPr>
        <w:tc>
          <w:tcPr>
            <w:tcW w:w="628" w:type="dxa"/>
            <w:tcBorders>
              <w:top w:val="single" w:sz="4" w:space="0" w:color="000000"/>
            </w:tcBorders>
          </w:tcPr>
          <w:p>
            <w:pPr>
              <w:pStyle w:val="TableParagraph"/>
              <w:spacing w:line="263" w:lineRule="exact" w:before="0"/>
              <w:ind w:left="108"/>
              <w:rPr>
                <w:b/>
                <w:sz w:val="21"/>
              </w:rPr>
            </w:pPr>
            <w:r>
              <w:rPr>
                <w:b/>
                <w:sz w:val="21"/>
              </w:rPr>
              <w:t>3.1</w:t>
            </w:r>
          </w:p>
        </w:tc>
        <w:tc>
          <w:tcPr>
            <w:tcW w:w="1573" w:type="dxa"/>
            <w:tcBorders>
              <w:top w:val="single" w:sz="4" w:space="0" w:color="000000"/>
            </w:tcBorders>
          </w:tcPr>
          <w:p>
            <w:pPr>
              <w:pStyle w:val="TableParagraph"/>
              <w:spacing w:line="263" w:lineRule="exact" w:before="0"/>
              <w:ind w:left="162"/>
              <w:rPr>
                <w:b/>
                <w:sz w:val="21"/>
              </w:rPr>
            </w:pPr>
            <w:r>
              <w:rPr>
                <w:b/>
                <w:sz w:val="21"/>
              </w:rPr>
              <w:t>保险金受益人</w:t>
            </w:r>
          </w:p>
        </w:tc>
        <w:tc>
          <w:tcPr>
            <w:tcW w:w="7410" w:type="dxa"/>
            <w:tcBorders>
              <w:top w:val="single" w:sz="4" w:space="0" w:color="000000"/>
            </w:tcBorders>
          </w:tcPr>
          <w:p>
            <w:pPr>
              <w:pStyle w:val="TableParagraph"/>
              <w:spacing w:before="0"/>
              <w:ind w:left="0"/>
              <w:rPr>
                <w:rFonts w:ascii="Times New Roman"/>
                <w:sz w:val="20"/>
              </w:rPr>
            </w:pPr>
          </w:p>
        </w:tc>
      </w:tr>
      <w:tr>
        <w:trPr>
          <w:trHeight w:val="1651" w:hRule="atLeast"/>
        </w:trPr>
        <w:tc>
          <w:tcPr>
            <w:tcW w:w="628" w:type="dxa"/>
          </w:tcPr>
          <w:p>
            <w:pPr>
              <w:pStyle w:val="TableParagraph"/>
              <w:spacing w:before="0"/>
              <w:ind w:left="0"/>
              <w:rPr>
                <w:rFonts w:ascii="Times New Roman"/>
                <w:sz w:val="20"/>
              </w:rPr>
            </w:pPr>
          </w:p>
        </w:tc>
        <w:tc>
          <w:tcPr>
            <w:tcW w:w="1573" w:type="dxa"/>
          </w:tcPr>
          <w:p>
            <w:pPr>
              <w:pStyle w:val="TableParagraph"/>
              <w:spacing w:before="4"/>
              <w:ind w:left="0"/>
              <w:rPr>
                <w:rFonts w:ascii="Times New Roman"/>
                <w:sz w:val="22"/>
              </w:rPr>
            </w:pPr>
          </w:p>
          <w:p>
            <w:pPr>
              <w:pStyle w:val="TableParagraph"/>
              <w:spacing w:line="273" w:lineRule="auto" w:before="1"/>
              <w:ind w:left="162" w:right="141"/>
              <w:jc w:val="both"/>
              <w:rPr>
                <w:b/>
                <w:sz w:val="21"/>
              </w:rPr>
            </w:pPr>
            <w:r>
              <w:rPr>
                <w:b/>
                <w:sz w:val="21"/>
              </w:rPr>
              <w:t>少儿重大疾病保险金和少儿特定重大疾病保险金受益人</w:t>
            </w:r>
          </w:p>
        </w:tc>
        <w:tc>
          <w:tcPr>
            <w:tcW w:w="7410" w:type="dxa"/>
          </w:tcPr>
          <w:p>
            <w:pPr>
              <w:pStyle w:val="TableParagraph"/>
              <w:spacing w:before="4"/>
              <w:ind w:left="0"/>
              <w:rPr>
                <w:rFonts w:ascii="Times New Roman"/>
                <w:sz w:val="22"/>
              </w:rPr>
            </w:pPr>
          </w:p>
          <w:p>
            <w:pPr>
              <w:pStyle w:val="TableParagraph"/>
              <w:spacing w:line="273" w:lineRule="auto" w:before="1"/>
              <w:ind w:right="119"/>
              <w:rPr>
                <w:sz w:val="21"/>
              </w:rPr>
            </w:pPr>
            <w:r>
              <w:rPr>
                <w:sz w:val="21"/>
              </w:rPr>
              <w:t>除另有约定，本主合同少儿重大疾病保险金和少儿特定重大疾病保险金的受益人为被保险人本人。</w:t>
            </w:r>
          </w:p>
        </w:tc>
      </w:tr>
      <w:tr>
        <w:trPr>
          <w:trHeight w:val="1858" w:hRule="atLeast"/>
        </w:trPr>
        <w:tc>
          <w:tcPr>
            <w:tcW w:w="628" w:type="dxa"/>
          </w:tcPr>
          <w:p>
            <w:pPr>
              <w:pStyle w:val="TableParagraph"/>
              <w:spacing w:before="128"/>
              <w:ind w:left="108"/>
              <w:rPr>
                <w:b/>
                <w:sz w:val="21"/>
              </w:rPr>
            </w:pPr>
            <w:r>
              <w:rPr>
                <w:b/>
                <w:sz w:val="21"/>
              </w:rPr>
              <w:t>3.2</w:t>
            </w:r>
          </w:p>
        </w:tc>
        <w:tc>
          <w:tcPr>
            <w:tcW w:w="1573" w:type="dxa"/>
          </w:tcPr>
          <w:p>
            <w:pPr>
              <w:pStyle w:val="TableParagraph"/>
              <w:spacing w:before="128"/>
              <w:ind w:left="162"/>
              <w:rPr>
                <w:b/>
                <w:sz w:val="21"/>
              </w:rPr>
            </w:pPr>
            <w:r>
              <w:rPr>
                <w:b/>
                <w:sz w:val="21"/>
              </w:rPr>
              <w:t>保险事故通知</w:t>
            </w:r>
          </w:p>
        </w:tc>
        <w:tc>
          <w:tcPr>
            <w:tcW w:w="7410" w:type="dxa"/>
          </w:tcPr>
          <w:p>
            <w:pPr>
              <w:pStyle w:val="TableParagraph"/>
              <w:spacing w:before="116"/>
              <w:rPr>
                <w:i/>
                <w:sz w:val="22"/>
              </w:rPr>
            </w:pPr>
            <w:r>
              <w:rPr>
                <w:sz w:val="21"/>
              </w:rPr>
              <w:t>您或受益人知道保险事故后应当在 10 日内通知本公司</w:t>
            </w:r>
            <w:r>
              <w:rPr>
                <w:i/>
                <w:sz w:val="22"/>
              </w:rPr>
              <w:t>。</w:t>
            </w:r>
          </w:p>
          <w:p>
            <w:pPr>
              <w:pStyle w:val="TableParagraph"/>
              <w:spacing w:line="273" w:lineRule="auto" w:before="35"/>
              <w:ind w:right="1"/>
              <w:rPr>
                <w:sz w:val="21"/>
              </w:rPr>
            </w:pPr>
            <w:r>
              <w:rPr>
                <w:spacing w:val="-8"/>
                <w:sz w:val="21"/>
              </w:rPr>
              <w:t>如果您或受益人故意或者因重大过失未及时通知，致使保险事故的性质、原因、</w:t>
            </w:r>
            <w:r>
              <w:rPr>
                <w:spacing w:val="-11"/>
                <w:sz w:val="21"/>
              </w:rPr>
              <w:t>损失程度等难以确定的，本公司对无法确定的部分，不承担给付保险金的责任， </w:t>
            </w:r>
            <w:r>
              <w:rPr>
                <w:spacing w:val="-6"/>
                <w:sz w:val="21"/>
              </w:rPr>
              <w:t>但本公司通过其他途径已经及时知道或者应当及时知道保险事故发生或者虽未</w:t>
            </w:r>
            <w:r>
              <w:rPr>
                <w:spacing w:val="-4"/>
                <w:sz w:val="21"/>
              </w:rPr>
              <w:t>及时通知但不影响本公司确定保险事故的性质、原因、损失程度的除外。</w:t>
            </w:r>
          </w:p>
        </w:tc>
      </w:tr>
      <w:tr>
        <w:trPr>
          <w:trHeight w:val="669" w:hRule="atLeast"/>
        </w:trPr>
        <w:tc>
          <w:tcPr>
            <w:tcW w:w="628" w:type="dxa"/>
          </w:tcPr>
          <w:p>
            <w:pPr>
              <w:pStyle w:val="TableParagraph"/>
              <w:ind w:left="108"/>
              <w:rPr>
                <w:b/>
                <w:sz w:val="21"/>
              </w:rPr>
            </w:pPr>
            <w:r>
              <w:rPr>
                <w:b/>
                <w:sz w:val="21"/>
              </w:rPr>
              <w:t>3.3</w:t>
            </w:r>
          </w:p>
        </w:tc>
        <w:tc>
          <w:tcPr>
            <w:tcW w:w="1573" w:type="dxa"/>
          </w:tcPr>
          <w:p>
            <w:pPr>
              <w:pStyle w:val="TableParagraph"/>
              <w:ind w:left="162"/>
              <w:rPr>
                <w:b/>
                <w:sz w:val="21"/>
              </w:rPr>
            </w:pPr>
            <w:r>
              <w:rPr>
                <w:b/>
                <w:sz w:val="21"/>
              </w:rPr>
              <w:t>保险金申请</w:t>
            </w:r>
          </w:p>
        </w:tc>
        <w:tc>
          <w:tcPr>
            <w:tcW w:w="7410" w:type="dxa"/>
          </w:tcPr>
          <w:p>
            <w:pPr>
              <w:pStyle w:val="TableParagraph"/>
              <w:rPr>
                <w:sz w:val="21"/>
              </w:rPr>
            </w:pPr>
            <w:r>
              <w:rPr>
                <w:sz w:val="21"/>
              </w:rPr>
              <w:t>在申请保险金时，请按照下列方式办理：</w:t>
            </w:r>
          </w:p>
        </w:tc>
      </w:tr>
      <w:tr>
        <w:trPr>
          <w:trHeight w:val="2023" w:hRule="atLeast"/>
        </w:trPr>
        <w:tc>
          <w:tcPr>
            <w:tcW w:w="628" w:type="dxa"/>
          </w:tcPr>
          <w:p>
            <w:pPr>
              <w:pStyle w:val="TableParagraph"/>
              <w:spacing w:before="0"/>
              <w:ind w:left="0"/>
              <w:rPr>
                <w:rFonts w:ascii="Times New Roman"/>
                <w:sz w:val="20"/>
              </w:rPr>
            </w:pPr>
          </w:p>
        </w:tc>
        <w:tc>
          <w:tcPr>
            <w:tcW w:w="1573" w:type="dxa"/>
          </w:tcPr>
          <w:p>
            <w:pPr>
              <w:pStyle w:val="TableParagraph"/>
              <w:spacing w:before="4"/>
              <w:ind w:left="0"/>
              <w:rPr>
                <w:rFonts w:ascii="Times New Roman"/>
                <w:sz w:val="16"/>
              </w:rPr>
            </w:pPr>
          </w:p>
          <w:p>
            <w:pPr>
              <w:pStyle w:val="TableParagraph"/>
              <w:spacing w:line="273" w:lineRule="auto" w:before="0"/>
              <w:ind w:left="162" w:right="141"/>
              <w:jc w:val="both"/>
              <w:rPr>
                <w:rFonts w:ascii="黑体" w:eastAsia="黑体" w:hint="eastAsia"/>
                <w:b/>
                <w:sz w:val="21"/>
              </w:rPr>
            </w:pPr>
            <w:r>
              <w:rPr>
                <w:rFonts w:ascii="黑体" w:eastAsia="黑体" w:hint="eastAsia"/>
                <w:b/>
                <w:sz w:val="21"/>
              </w:rPr>
              <w:t>少儿重大疾病保险金和少儿特定重大疾病保险金的申请</w:t>
            </w:r>
          </w:p>
        </w:tc>
        <w:tc>
          <w:tcPr>
            <w:tcW w:w="7410" w:type="dxa"/>
          </w:tcPr>
          <w:p>
            <w:pPr>
              <w:pStyle w:val="TableParagraph"/>
              <w:spacing w:before="4"/>
              <w:ind w:left="0"/>
              <w:rPr>
                <w:rFonts w:ascii="Times New Roman"/>
                <w:sz w:val="16"/>
              </w:rPr>
            </w:pPr>
          </w:p>
          <w:p>
            <w:pPr>
              <w:pStyle w:val="TableParagraph"/>
              <w:spacing w:before="0"/>
              <w:rPr>
                <w:sz w:val="21"/>
              </w:rPr>
            </w:pPr>
            <w:r>
              <w:rPr>
                <w:sz w:val="21"/>
              </w:rPr>
              <w:t>申请人须填写保险金给付申请书，并须提供下列证明和资料：</w:t>
            </w:r>
          </w:p>
          <w:p>
            <w:pPr>
              <w:pStyle w:val="TableParagraph"/>
              <w:spacing w:before="37"/>
              <w:ind w:left="144"/>
              <w:rPr>
                <w:sz w:val="21"/>
              </w:rPr>
            </w:pPr>
            <w:r>
              <w:rPr>
                <w:sz w:val="21"/>
              </w:rPr>
              <w:t>（1）保险合同；</w:t>
            </w:r>
          </w:p>
          <w:p>
            <w:pPr>
              <w:pStyle w:val="TableParagraph"/>
              <w:spacing w:before="37"/>
              <w:rPr>
                <w:sz w:val="21"/>
              </w:rPr>
            </w:pPr>
            <w:r>
              <w:rPr>
                <w:sz w:val="21"/>
              </w:rPr>
              <w:t>（2）申请人的有效身份证件；</w:t>
            </w:r>
          </w:p>
          <w:p>
            <w:pPr>
              <w:pStyle w:val="TableParagraph"/>
              <w:spacing w:line="273" w:lineRule="auto" w:before="37"/>
              <w:ind w:left="634" w:right="2" w:hanging="491"/>
              <w:rPr>
                <w:sz w:val="21"/>
              </w:rPr>
            </w:pPr>
            <w:r>
              <w:rPr>
                <w:sz w:val="21"/>
              </w:rPr>
              <w:t>（3）</w:t>
            </w:r>
            <w:r>
              <w:rPr>
                <w:spacing w:val="-3"/>
                <w:sz w:val="21"/>
              </w:rPr>
              <w:t>专科医生出具的诊断证明书(包括：完整病历、出院小结、病理组织检查</w:t>
            </w:r>
            <w:r>
              <w:rPr>
                <w:spacing w:val="-10"/>
                <w:sz w:val="21"/>
              </w:rPr>
              <w:t>报告、血液检查、其他科学方法检验报告的病史资料及疾病诊断报告书)；</w:t>
            </w:r>
          </w:p>
          <w:p>
            <w:pPr>
              <w:pStyle w:val="TableParagraph"/>
              <w:spacing w:line="255" w:lineRule="exact" w:before="8"/>
              <w:ind w:left="144"/>
              <w:rPr>
                <w:sz w:val="21"/>
              </w:rPr>
            </w:pPr>
            <w:r>
              <w:rPr>
                <w:sz w:val="21"/>
              </w:rPr>
              <w:t>（4）所能提供的与确认保险事故的性质、原因等有关的其他证明和资料。</w:t>
            </w:r>
          </w:p>
        </w:tc>
      </w:tr>
    </w:tbl>
    <w:p>
      <w:pPr>
        <w:spacing w:after="0" w:line="255" w:lineRule="exact"/>
        <w:rPr>
          <w:sz w:val="21"/>
        </w:rPr>
        <w:sectPr>
          <w:pgSz w:w="11910" w:h="16840"/>
          <w:pgMar w:header="878" w:footer="984" w:top="1140" w:bottom="1180" w:left="860" w:right="1220"/>
        </w:sectPr>
      </w:pPr>
    </w:p>
    <w:p>
      <w:pPr>
        <w:pStyle w:val="BodyText"/>
        <w:spacing w:before="10"/>
        <w:rPr>
          <w:rFonts w:ascii="Times New Roman"/>
          <w:sz w:val="22"/>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
        <w:gridCol w:w="1573"/>
        <w:gridCol w:w="7410"/>
      </w:tblGrid>
      <w:tr>
        <w:trPr>
          <w:trHeight w:val="730" w:hRule="atLeast"/>
        </w:trPr>
        <w:tc>
          <w:tcPr>
            <w:tcW w:w="628" w:type="dxa"/>
          </w:tcPr>
          <w:p>
            <w:pPr>
              <w:pStyle w:val="TableParagraph"/>
              <w:spacing w:before="0"/>
              <w:ind w:left="0"/>
              <w:rPr>
                <w:rFonts w:ascii="Times New Roman"/>
                <w:sz w:val="20"/>
              </w:rPr>
            </w:pPr>
          </w:p>
        </w:tc>
        <w:tc>
          <w:tcPr>
            <w:tcW w:w="1573" w:type="dxa"/>
          </w:tcPr>
          <w:p>
            <w:pPr>
              <w:pStyle w:val="TableParagraph"/>
              <w:spacing w:before="0"/>
              <w:ind w:left="0"/>
              <w:rPr>
                <w:rFonts w:ascii="Times New Roman"/>
                <w:sz w:val="20"/>
              </w:rPr>
            </w:pPr>
          </w:p>
        </w:tc>
        <w:tc>
          <w:tcPr>
            <w:tcW w:w="7410" w:type="dxa"/>
          </w:tcPr>
          <w:p>
            <w:pPr>
              <w:pStyle w:val="TableParagraph"/>
              <w:spacing w:line="211" w:lineRule="exact" w:before="0"/>
              <w:rPr>
                <w:sz w:val="21"/>
              </w:rPr>
            </w:pPr>
            <w:r>
              <w:rPr>
                <w:sz w:val="21"/>
              </w:rPr>
              <w:t>以上证明和资料不完整的，我们将及时一次性通知申请人补充提供有关证明和</w:t>
            </w:r>
          </w:p>
          <w:p>
            <w:pPr>
              <w:pStyle w:val="TableParagraph"/>
              <w:spacing w:before="37"/>
              <w:rPr>
                <w:sz w:val="21"/>
              </w:rPr>
            </w:pPr>
            <w:r>
              <w:rPr>
                <w:sz w:val="21"/>
              </w:rPr>
              <w:t>资料。</w:t>
            </w:r>
          </w:p>
        </w:tc>
      </w:tr>
      <w:tr>
        <w:trPr>
          <w:trHeight w:val="3744" w:hRule="atLeast"/>
        </w:trPr>
        <w:tc>
          <w:tcPr>
            <w:tcW w:w="628" w:type="dxa"/>
          </w:tcPr>
          <w:p>
            <w:pPr>
              <w:pStyle w:val="TableParagraph"/>
              <w:ind w:left="108"/>
              <w:rPr>
                <w:b/>
                <w:sz w:val="21"/>
              </w:rPr>
            </w:pPr>
            <w:r>
              <w:rPr>
                <w:b/>
                <w:sz w:val="21"/>
              </w:rPr>
              <w:t>3.4</w:t>
            </w:r>
          </w:p>
        </w:tc>
        <w:tc>
          <w:tcPr>
            <w:tcW w:w="1573" w:type="dxa"/>
          </w:tcPr>
          <w:p>
            <w:pPr>
              <w:pStyle w:val="TableParagraph"/>
              <w:ind w:left="162"/>
              <w:rPr>
                <w:b/>
                <w:sz w:val="21"/>
              </w:rPr>
            </w:pPr>
            <w:r>
              <w:rPr>
                <w:b/>
                <w:sz w:val="21"/>
              </w:rPr>
              <w:t>保险金的给付</w:t>
            </w:r>
          </w:p>
        </w:tc>
        <w:tc>
          <w:tcPr>
            <w:tcW w:w="7410" w:type="dxa"/>
          </w:tcPr>
          <w:p>
            <w:pPr>
              <w:pStyle w:val="TableParagraph"/>
              <w:rPr>
                <w:sz w:val="21"/>
              </w:rPr>
            </w:pPr>
            <w:r>
              <w:rPr>
                <w:sz w:val="21"/>
              </w:rPr>
              <w:t>本公司在收到保险金给付申请书及合同约定的证明和资料后，将在 5 日内作出</w:t>
            </w:r>
          </w:p>
          <w:p>
            <w:pPr>
              <w:pStyle w:val="TableParagraph"/>
              <w:spacing w:before="36"/>
              <w:rPr>
                <w:sz w:val="21"/>
              </w:rPr>
            </w:pPr>
            <w:r>
              <w:rPr>
                <w:sz w:val="21"/>
              </w:rPr>
              <w:t>核定；情形复杂的，在 30 日内作出核定。</w:t>
            </w:r>
          </w:p>
          <w:p>
            <w:pPr>
              <w:pStyle w:val="TableParagraph"/>
              <w:spacing w:line="273" w:lineRule="auto" w:before="36"/>
              <w:ind w:right="107"/>
              <w:jc w:val="both"/>
              <w:rPr>
                <w:sz w:val="21"/>
              </w:rPr>
            </w:pPr>
            <w:r>
              <w:rPr>
                <w:spacing w:val="-9"/>
                <w:sz w:val="21"/>
              </w:rPr>
              <w:t>对属于保险责任的，本公司在与受益人达成给付保险金的协议后 </w:t>
            </w:r>
            <w:r>
              <w:rPr>
                <w:sz w:val="21"/>
              </w:rPr>
              <w:t>10</w:t>
            </w:r>
            <w:r>
              <w:rPr>
                <w:spacing w:val="-16"/>
                <w:sz w:val="21"/>
              </w:rPr>
              <w:t> 日内，履行</w:t>
            </w:r>
            <w:r>
              <w:rPr>
                <w:spacing w:val="-7"/>
                <w:sz w:val="21"/>
              </w:rPr>
              <w:t>给付保险金义务。</w:t>
            </w:r>
          </w:p>
          <w:p>
            <w:pPr>
              <w:pStyle w:val="TableParagraph"/>
              <w:spacing w:line="273" w:lineRule="auto" w:before="7"/>
              <w:ind w:right="108"/>
              <w:jc w:val="both"/>
              <w:rPr>
                <w:sz w:val="21"/>
              </w:rPr>
            </w:pPr>
            <w:r>
              <w:rPr>
                <w:sz w:val="21"/>
              </w:rPr>
              <w:t>本公司未及时履行前款规定义务的，除支付保险金外，应当赔偿受益人因此受到的损失。</w:t>
            </w:r>
          </w:p>
          <w:p>
            <w:pPr>
              <w:pStyle w:val="TableParagraph"/>
              <w:spacing w:line="273" w:lineRule="auto" w:before="7"/>
              <w:ind w:right="119"/>
              <w:jc w:val="both"/>
              <w:rPr>
                <w:sz w:val="21"/>
              </w:rPr>
            </w:pPr>
            <w:r>
              <w:rPr>
                <w:spacing w:val="-5"/>
                <w:sz w:val="21"/>
              </w:rPr>
              <w:t>对不属于保险责任的，本公司自作出核定之日起 </w:t>
            </w:r>
            <w:r>
              <w:rPr>
                <w:sz w:val="21"/>
              </w:rPr>
              <w:t>3</w:t>
            </w:r>
            <w:r>
              <w:rPr>
                <w:spacing w:val="-7"/>
                <w:sz w:val="21"/>
              </w:rPr>
              <w:t> 日内向受益人发出拒绝给付</w:t>
            </w:r>
            <w:r>
              <w:rPr>
                <w:spacing w:val="-3"/>
                <w:sz w:val="21"/>
              </w:rPr>
              <w:t>保险金通知书并说明理由。</w:t>
            </w:r>
          </w:p>
          <w:p>
            <w:pPr>
              <w:pStyle w:val="TableParagraph"/>
              <w:spacing w:line="273" w:lineRule="auto" w:before="7"/>
              <w:ind w:right="107"/>
              <w:jc w:val="both"/>
              <w:rPr>
                <w:sz w:val="21"/>
              </w:rPr>
            </w:pPr>
            <w:r>
              <w:rPr>
                <w:spacing w:val="-5"/>
                <w:sz w:val="21"/>
              </w:rPr>
              <w:t>本公司在收到保险金给付申请书及有关证明和资料之日起 </w:t>
            </w:r>
            <w:r>
              <w:rPr>
                <w:sz w:val="21"/>
              </w:rPr>
              <w:t>60</w:t>
            </w:r>
            <w:r>
              <w:rPr>
                <w:spacing w:val="-18"/>
                <w:sz w:val="21"/>
              </w:rPr>
              <w:t> 日内，对给付保险</w:t>
            </w:r>
            <w:r>
              <w:rPr>
                <w:spacing w:val="-7"/>
                <w:sz w:val="21"/>
              </w:rPr>
              <w:t>金的数额不能确定的，根据已有证明和资料可以确定的数额先予支付；本公司</w:t>
            </w:r>
            <w:r>
              <w:rPr>
                <w:spacing w:val="-5"/>
                <w:sz w:val="21"/>
              </w:rPr>
              <w:t>最终确定给付保险金的数额后，将支付相应的差额。</w:t>
            </w:r>
          </w:p>
        </w:tc>
      </w:tr>
      <w:tr>
        <w:trPr>
          <w:trHeight w:val="886" w:hRule="atLeast"/>
        </w:trPr>
        <w:tc>
          <w:tcPr>
            <w:tcW w:w="628" w:type="dxa"/>
          </w:tcPr>
          <w:p>
            <w:pPr>
              <w:pStyle w:val="TableParagraph"/>
              <w:ind w:left="108"/>
              <w:rPr>
                <w:b/>
                <w:sz w:val="21"/>
              </w:rPr>
            </w:pPr>
            <w:r>
              <w:rPr>
                <w:b/>
                <w:sz w:val="21"/>
              </w:rPr>
              <w:t>3.5</w:t>
            </w:r>
          </w:p>
        </w:tc>
        <w:tc>
          <w:tcPr>
            <w:tcW w:w="1573" w:type="dxa"/>
          </w:tcPr>
          <w:p>
            <w:pPr>
              <w:pStyle w:val="TableParagraph"/>
              <w:ind w:left="162"/>
              <w:rPr>
                <w:b/>
                <w:sz w:val="21"/>
              </w:rPr>
            </w:pPr>
            <w:r>
              <w:rPr>
                <w:b/>
                <w:sz w:val="21"/>
              </w:rPr>
              <w:t>诉讼时效</w:t>
            </w:r>
          </w:p>
        </w:tc>
        <w:tc>
          <w:tcPr>
            <w:tcW w:w="7410" w:type="dxa"/>
          </w:tcPr>
          <w:p>
            <w:pPr>
              <w:pStyle w:val="TableParagraph"/>
              <w:spacing w:line="273" w:lineRule="auto"/>
              <w:ind w:right="122"/>
              <w:rPr>
                <w:sz w:val="21"/>
              </w:rPr>
            </w:pPr>
            <w:r>
              <w:rPr>
                <w:sz w:val="21"/>
              </w:rPr>
              <w:t>受益人向本公司请求给付少儿重大疾病保险金和少儿特定重大疾病保险金的诉讼时效期间为 2 年，自其知道或应当知道保险事故发生之日起计算。</w:t>
            </w:r>
          </w:p>
        </w:tc>
      </w:tr>
      <w:tr>
        <w:trPr>
          <w:trHeight w:val="845" w:hRule="atLeast"/>
        </w:trPr>
        <w:tc>
          <w:tcPr>
            <w:tcW w:w="628" w:type="dxa"/>
            <w:tcBorders>
              <w:bottom w:val="single" w:sz="4" w:space="0" w:color="000000"/>
            </w:tcBorders>
          </w:tcPr>
          <w:p>
            <w:pPr>
              <w:pStyle w:val="TableParagraph"/>
              <w:spacing w:before="119"/>
              <w:ind w:left="108"/>
              <w:rPr>
                <w:rFonts w:ascii="Arial" w:hAnsi="Arial"/>
                <w:b/>
                <w:sz w:val="40"/>
              </w:rPr>
            </w:pPr>
            <w:r>
              <w:rPr>
                <w:rFonts w:ascii="Arial" w:hAnsi="Arial"/>
                <w:b/>
                <w:w w:val="119"/>
                <w:sz w:val="40"/>
              </w:rPr>
              <w:t></w:t>
            </w:r>
          </w:p>
        </w:tc>
        <w:tc>
          <w:tcPr>
            <w:tcW w:w="1573" w:type="dxa"/>
            <w:tcBorders>
              <w:bottom w:val="single" w:sz="4" w:space="0" w:color="000000"/>
            </w:tcBorders>
          </w:tcPr>
          <w:p>
            <w:pPr>
              <w:pStyle w:val="TableParagraph"/>
              <w:spacing w:before="171"/>
              <w:ind w:left="162" w:right="-44"/>
              <w:rPr>
                <w:b/>
                <w:sz w:val="24"/>
              </w:rPr>
            </w:pPr>
            <w:r>
              <w:rPr>
                <w:b/>
                <w:w w:val="95"/>
                <w:sz w:val="24"/>
              </w:rPr>
              <w:t>保险费的支付</w:t>
            </w:r>
          </w:p>
        </w:tc>
        <w:tc>
          <w:tcPr>
            <w:tcW w:w="7410" w:type="dxa"/>
            <w:tcBorders>
              <w:bottom w:val="single" w:sz="4" w:space="0" w:color="000000"/>
            </w:tcBorders>
          </w:tcPr>
          <w:p>
            <w:pPr>
              <w:pStyle w:val="TableParagraph"/>
              <w:spacing w:before="0"/>
              <w:ind w:left="0"/>
              <w:rPr>
                <w:rFonts w:ascii="Times New Roman"/>
                <w:sz w:val="20"/>
              </w:rPr>
            </w:pPr>
          </w:p>
        </w:tc>
      </w:tr>
      <w:tr>
        <w:trPr>
          <w:trHeight w:val="797" w:hRule="atLeast"/>
        </w:trPr>
        <w:tc>
          <w:tcPr>
            <w:tcW w:w="628" w:type="dxa"/>
            <w:tcBorders>
              <w:top w:val="single" w:sz="4" w:space="0" w:color="000000"/>
            </w:tcBorders>
          </w:tcPr>
          <w:p>
            <w:pPr>
              <w:pStyle w:val="TableParagraph"/>
              <w:spacing w:line="262" w:lineRule="exact" w:before="0"/>
              <w:ind w:left="108"/>
              <w:rPr>
                <w:b/>
                <w:sz w:val="21"/>
              </w:rPr>
            </w:pPr>
            <w:r>
              <w:rPr>
                <w:b/>
                <w:sz w:val="21"/>
              </w:rPr>
              <w:t>4.1</w:t>
            </w:r>
          </w:p>
        </w:tc>
        <w:tc>
          <w:tcPr>
            <w:tcW w:w="1573" w:type="dxa"/>
            <w:tcBorders>
              <w:top w:val="single" w:sz="4" w:space="0" w:color="000000"/>
            </w:tcBorders>
          </w:tcPr>
          <w:p>
            <w:pPr>
              <w:pStyle w:val="TableParagraph"/>
              <w:spacing w:line="262" w:lineRule="exact" w:before="0"/>
              <w:ind w:left="162"/>
              <w:rPr>
                <w:b/>
                <w:sz w:val="21"/>
              </w:rPr>
            </w:pPr>
            <w:r>
              <w:rPr>
                <w:b/>
                <w:sz w:val="21"/>
              </w:rPr>
              <w:t>保险费的支付</w:t>
            </w:r>
          </w:p>
        </w:tc>
        <w:tc>
          <w:tcPr>
            <w:tcW w:w="7410" w:type="dxa"/>
            <w:tcBorders>
              <w:top w:val="single" w:sz="4" w:space="0" w:color="000000"/>
            </w:tcBorders>
          </w:tcPr>
          <w:p>
            <w:pPr>
              <w:pStyle w:val="TableParagraph"/>
              <w:spacing w:line="273" w:lineRule="auto" w:before="0"/>
              <w:ind w:right="119"/>
              <w:rPr>
                <w:sz w:val="21"/>
              </w:rPr>
            </w:pPr>
            <w:r>
              <w:rPr>
                <w:sz w:val="21"/>
              </w:rPr>
              <w:t>本主合同的保险费的计算以被保险人的年龄和性别为基础。本主合同的保险费需要在投保时一次性交清。</w:t>
            </w:r>
          </w:p>
        </w:tc>
      </w:tr>
      <w:tr>
        <w:trPr>
          <w:trHeight w:val="1601" w:hRule="atLeast"/>
        </w:trPr>
        <w:tc>
          <w:tcPr>
            <w:tcW w:w="628" w:type="dxa"/>
          </w:tcPr>
          <w:p>
            <w:pPr>
              <w:pStyle w:val="TableParagraph"/>
              <w:spacing w:before="159"/>
              <w:ind w:left="108"/>
              <w:rPr>
                <w:b/>
                <w:sz w:val="21"/>
              </w:rPr>
            </w:pPr>
            <w:r>
              <w:rPr>
                <w:b/>
                <w:sz w:val="21"/>
              </w:rPr>
              <w:t>4.2</w:t>
            </w:r>
          </w:p>
        </w:tc>
        <w:tc>
          <w:tcPr>
            <w:tcW w:w="1573" w:type="dxa"/>
          </w:tcPr>
          <w:p>
            <w:pPr>
              <w:pStyle w:val="TableParagraph"/>
              <w:spacing w:before="159"/>
              <w:ind w:left="162"/>
              <w:rPr>
                <w:b/>
                <w:sz w:val="21"/>
              </w:rPr>
            </w:pPr>
            <w:r>
              <w:rPr>
                <w:b/>
                <w:sz w:val="21"/>
              </w:rPr>
              <w:t>保险费率调整</w:t>
            </w:r>
          </w:p>
        </w:tc>
        <w:tc>
          <w:tcPr>
            <w:tcW w:w="7410" w:type="dxa"/>
          </w:tcPr>
          <w:p>
            <w:pPr>
              <w:pStyle w:val="TableParagraph"/>
              <w:spacing w:line="273" w:lineRule="auto" w:before="159"/>
              <w:ind w:right="83"/>
              <w:rPr>
                <w:b/>
                <w:sz w:val="21"/>
              </w:rPr>
            </w:pPr>
            <w:r>
              <w:rPr>
                <w:b/>
                <w:sz w:val="21"/>
              </w:rPr>
              <w:t>我们有权调整本主合同的保险费率。如有调整，本公司将及时告知您，下次续保时您须按调整后的保险费率支付保险费。</w:t>
            </w:r>
          </w:p>
          <w:p>
            <w:pPr>
              <w:pStyle w:val="TableParagraph"/>
              <w:spacing w:before="8"/>
              <w:ind w:left="0"/>
              <w:rPr>
                <w:rFonts w:ascii="Times New Roman"/>
                <w:sz w:val="27"/>
              </w:rPr>
            </w:pPr>
          </w:p>
          <w:p>
            <w:pPr>
              <w:pStyle w:val="TableParagraph"/>
              <w:spacing w:before="0"/>
              <w:rPr>
                <w:b/>
                <w:sz w:val="21"/>
              </w:rPr>
            </w:pPr>
            <w:r>
              <w:rPr>
                <w:b/>
                <w:sz w:val="21"/>
              </w:rPr>
              <w:t>如您因费率调整而选择不续保，请您及时告知我们。</w:t>
            </w:r>
          </w:p>
        </w:tc>
      </w:tr>
      <w:tr>
        <w:trPr>
          <w:trHeight w:val="753" w:hRule="atLeast"/>
        </w:trPr>
        <w:tc>
          <w:tcPr>
            <w:tcW w:w="628" w:type="dxa"/>
            <w:tcBorders>
              <w:bottom w:val="single" w:sz="4" w:space="0" w:color="000000"/>
            </w:tcBorders>
          </w:tcPr>
          <w:p>
            <w:pPr>
              <w:pStyle w:val="TableParagraph"/>
              <w:spacing w:before="194"/>
              <w:ind w:left="108"/>
              <w:rPr>
                <w:rFonts w:ascii="Arial" w:hAnsi="Arial"/>
                <w:b/>
                <w:sz w:val="40"/>
              </w:rPr>
            </w:pPr>
            <w:r>
              <w:rPr>
                <w:rFonts w:ascii="Arial" w:hAnsi="Arial"/>
                <w:b/>
                <w:w w:val="119"/>
                <w:sz w:val="40"/>
              </w:rPr>
              <w:t></w:t>
            </w:r>
          </w:p>
        </w:tc>
        <w:tc>
          <w:tcPr>
            <w:tcW w:w="1573" w:type="dxa"/>
            <w:tcBorders>
              <w:bottom w:val="single" w:sz="4" w:space="0" w:color="000000"/>
            </w:tcBorders>
          </w:tcPr>
          <w:p>
            <w:pPr>
              <w:pStyle w:val="TableParagraph"/>
              <w:spacing w:before="4"/>
              <w:ind w:left="0"/>
              <w:rPr>
                <w:rFonts w:ascii="Times New Roman"/>
                <w:sz w:val="21"/>
              </w:rPr>
            </w:pPr>
          </w:p>
          <w:p>
            <w:pPr>
              <w:pStyle w:val="TableParagraph"/>
              <w:spacing w:before="0"/>
              <w:ind w:left="162"/>
              <w:rPr>
                <w:b/>
                <w:sz w:val="24"/>
              </w:rPr>
            </w:pPr>
            <w:r>
              <w:rPr>
                <w:b/>
                <w:sz w:val="24"/>
              </w:rPr>
              <w:t>其他事项</w:t>
            </w:r>
          </w:p>
        </w:tc>
        <w:tc>
          <w:tcPr>
            <w:tcW w:w="7410" w:type="dxa"/>
            <w:tcBorders>
              <w:bottom w:val="single" w:sz="4" w:space="0" w:color="000000"/>
            </w:tcBorders>
          </w:tcPr>
          <w:p>
            <w:pPr>
              <w:pStyle w:val="TableParagraph"/>
              <w:spacing w:before="0"/>
              <w:ind w:left="0"/>
              <w:rPr>
                <w:rFonts w:ascii="Times New Roman"/>
                <w:sz w:val="20"/>
              </w:rPr>
            </w:pPr>
          </w:p>
        </w:tc>
      </w:tr>
      <w:tr>
        <w:trPr>
          <w:trHeight w:val="4630" w:hRule="atLeast"/>
        </w:trPr>
        <w:tc>
          <w:tcPr>
            <w:tcW w:w="628" w:type="dxa"/>
            <w:tcBorders>
              <w:top w:val="single" w:sz="4" w:space="0" w:color="000000"/>
            </w:tcBorders>
          </w:tcPr>
          <w:p>
            <w:pPr>
              <w:pStyle w:val="TableParagraph"/>
              <w:spacing w:line="262" w:lineRule="exact" w:before="0"/>
              <w:ind w:left="108"/>
              <w:rPr>
                <w:b/>
                <w:sz w:val="21"/>
              </w:rPr>
            </w:pPr>
            <w:r>
              <w:rPr>
                <w:b/>
                <w:sz w:val="21"/>
              </w:rPr>
              <w:t>5.1</w:t>
            </w:r>
          </w:p>
        </w:tc>
        <w:tc>
          <w:tcPr>
            <w:tcW w:w="1573" w:type="dxa"/>
            <w:tcBorders>
              <w:top w:val="single" w:sz="4" w:space="0" w:color="000000"/>
            </w:tcBorders>
          </w:tcPr>
          <w:p>
            <w:pPr>
              <w:pStyle w:val="TableParagraph"/>
              <w:spacing w:line="273" w:lineRule="auto" w:before="0"/>
              <w:ind w:left="162" w:right="141"/>
              <w:rPr>
                <w:b/>
                <w:sz w:val="21"/>
              </w:rPr>
            </w:pPr>
            <w:r>
              <w:rPr>
                <w:b/>
                <w:sz w:val="21"/>
              </w:rPr>
              <w:t>明确说明与如实告知</w:t>
            </w:r>
          </w:p>
        </w:tc>
        <w:tc>
          <w:tcPr>
            <w:tcW w:w="7410" w:type="dxa"/>
            <w:tcBorders>
              <w:top w:val="single" w:sz="4" w:space="0" w:color="000000"/>
            </w:tcBorders>
          </w:tcPr>
          <w:p>
            <w:pPr>
              <w:pStyle w:val="TableParagraph"/>
              <w:spacing w:line="262" w:lineRule="exact" w:before="0"/>
              <w:rPr>
                <w:sz w:val="21"/>
              </w:rPr>
            </w:pPr>
            <w:r>
              <w:rPr>
                <w:sz w:val="21"/>
              </w:rPr>
              <w:t>订立本合同时，本公司应向投保人说明本合同的内容。</w:t>
            </w:r>
          </w:p>
          <w:p>
            <w:pPr>
              <w:pStyle w:val="TableParagraph"/>
              <w:spacing w:line="273" w:lineRule="auto" w:before="37"/>
              <w:ind w:right="119"/>
              <w:jc w:val="both"/>
              <w:rPr>
                <w:sz w:val="21"/>
              </w:rPr>
            </w:pPr>
            <w:r>
              <w:rPr>
                <w:sz w:val="21"/>
              </w:rPr>
              <w:t>对保险条款中免除本公司责任的条款，本公司在订立合同时应当在投保单、电子保险单或者其他保险凭证上作出足以引起投保人注意的提示，并对该条款的内容以书面或者口头形式向投保人作出明确说明，未作提示或者明确说明的， 该条款不产生效力。</w:t>
            </w:r>
          </w:p>
          <w:p>
            <w:pPr>
              <w:pStyle w:val="TableParagraph"/>
              <w:spacing w:before="7"/>
              <w:rPr>
                <w:sz w:val="21"/>
              </w:rPr>
            </w:pPr>
            <w:r>
              <w:rPr>
                <w:sz w:val="21"/>
              </w:rPr>
              <w:t>本公司就投保人和被保险人的有关情况提出询问，投保人应当如实告知。</w:t>
            </w:r>
          </w:p>
          <w:p>
            <w:pPr>
              <w:pStyle w:val="TableParagraph"/>
              <w:spacing w:line="273" w:lineRule="auto" w:before="36"/>
              <w:ind w:right="120"/>
              <w:rPr>
                <w:sz w:val="21"/>
              </w:rPr>
            </w:pPr>
            <w:r>
              <w:rPr>
                <w:sz w:val="21"/>
              </w:rPr>
              <w:t>如果投保人故意或者因重大过失未履行前款规定的如实告知义务，足以影响本公司决定是否同意承保或者提高保险费率的，本公司有权解除本合同。</w:t>
            </w:r>
          </w:p>
          <w:p>
            <w:pPr>
              <w:pStyle w:val="TableParagraph"/>
              <w:spacing w:line="273" w:lineRule="auto" w:before="7"/>
              <w:ind w:right="120"/>
              <w:rPr>
                <w:sz w:val="21"/>
              </w:rPr>
            </w:pPr>
            <w:r>
              <w:rPr>
                <w:sz w:val="21"/>
              </w:rPr>
              <w:t>如果投保人故意不履行如实告知义务，对于本合同解除前发生的保险事故，本公司不承担给付保险金的责任，并不退还保险费。</w:t>
            </w:r>
          </w:p>
          <w:p>
            <w:pPr>
              <w:pStyle w:val="TableParagraph"/>
              <w:spacing w:line="273" w:lineRule="auto" w:before="7"/>
              <w:ind w:right="2"/>
              <w:rPr>
                <w:sz w:val="21"/>
              </w:rPr>
            </w:pPr>
            <w:r>
              <w:rPr>
                <w:spacing w:val="-8"/>
                <w:sz w:val="21"/>
              </w:rPr>
              <w:t>如果投保人因重大过失未履行如实告知义务，对保险事故的发生有严重影响的， </w:t>
            </w:r>
            <w:r>
              <w:rPr>
                <w:spacing w:val="-5"/>
                <w:sz w:val="21"/>
              </w:rPr>
              <w:t>对于本合同解除前发生的保险事故，本公司不承担给付保险金的责任，但应当</w:t>
            </w:r>
            <w:r>
              <w:rPr>
                <w:spacing w:val="-4"/>
                <w:sz w:val="21"/>
              </w:rPr>
              <w:t>退还保险费。</w:t>
            </w:r>
          </w:p>
          <w:p>
            <w:pPr>
              <w:pStyle w:val="TableParagraph"/>
              <w:spacing w:line="312" w:lineRule="exact" w:before="2"/>
              <w:ind w:right="120"/>
              <w:rPr>
                <w:sz w:val="21"/>
              </w:rPr>
            </w:pPr>
            <w:r>
              <w:rPr>
                <w:sz w:val="21"/>
              </w:rPr>
              <w:t>本公司在合同订立时已经知道投保人未如实告知的情况的，本公司不得解除合同；发生保险事故的，本公司承担给付保险金的责任。</w:t>
            </w:r>
          </w:p>
        </w:tc>
      </w:tr>
    </w:tbl>
    <w:p>
      <w:pPr>
        <w:spacing w:after="0" w:line="312" w:lineRule="exact"/>
        <w:rPr>
          <w:sz w:val="21"/>
        </w:rPr>
        <w:sectPr>
          <w:pgSz w:w="11910" w:h="16840"/>
          <w:pgMar w:header="878" w:footer="984" w:top="1140" w:bottom="1180" w:left="860" w:right="1220"/>
        </w:sectPr>
      </w:pPr>
    </w:p>
    <w:p>
      <w:pPr>
        <w:pStyle w:val="BodyText"/>
        <w:rPr>
          <w:rFonts w:ascii="Times New Roman"/>
          <w:sz w:val="20"/>
        </w:rPr>
      </w:pPr>
    </w:p>
    <w:p>
      <w:pPr>
        <w:pStyle w:val="BodyText"/>
        <w:rPr>
          <w:rFonts w:ascii="Times New Roman"/>
          <w:sz w:val="20"/>
        </w:rPr>
      </w:pPr>
    </w:p>
    <w:p>
      <w:pPr>
        <w:pStyle w:val="BodyText"/>
        <w:spacing w:after="1"/>
        <w:rPr>
          <w:rFonts w:ascii="Times New Roman"/>
          <w:sz w:val="10"/>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4"/>
        <w:gridCol w:w="1601"/>
        <w:gridCol w:w="7354"/>
      </w:tblGrid>
      <w:tr>
        <w:trPr>
          <w:trHeight w:val="1041" w:hRule="atLeast"/>
        </w:trPr>
        <w:tc>
          <w:tcPr>
            <w:tcW w:w="654" w:type="dxa"/>
          </w:tcPr>
          <w:p>
            <w:pPr>
              <w:pStyle w:val="TableParagraph"/>
              <w:spacing w:line="211" w:lineRule="exact" w:before="0"/>
              <w:ind w:left="108"/>
              <w:rPr>
                <w:b/>
                <w:sz w:val="21"/>
              </w:rPr>
            </w:pPr>
            <w:r>
              <w:rPr>
                <w:b/>
                <w:sz w:val="21"/>
              </w:rPr>
              <w:t>5.2</w:t>
            </w:r>
          </w:p>
        </w:tc>
        <w:tc>
          <w:tcPr>
            <w:tcW w:w="1601" w:type="dxa"/>
          </w:tcPr>
          <w:p>
            <w:pPr>
              <w:pStyle w:val="TableParagraph"/>
              <w:spacing w:line="211" w:lineRule="exact" w:before="0"/>
              <w:ind w:left="136"/>
              <w:rPr>
                <w:b/>
                <w:sz w:val="21"/>
              </w:rPr>
            </w:pPr>
            <w:r>
              <w:rPr>
                <w:b/>
                <w:sz w:val="21"/>
              </w:rPr>
              <w:t>本公司合同解</w:t>
            </w:r>
          </w:p>
          <w:p>
            <w:pPr>
              <w:pStyle w:val="TableParagraph"/>
              <w:spacing w:before="37"/>
              <w:ind w:left="136"/>
              <w:rPr>
                <w:b/>
                <w:sz w:val="21"/>
              </w:rPr>
            </w:pPr>
            <w:r>
              <w:rPr>
                <w:b/>
                <w:sz w:val="21"/>
              </w:rPr>
              <w:t>除权的限制</w:t>
            </w:r>
          </w:p>
        </w:tc>
        <w:tc>
          <w:tcPr>
            <w:tcW w:w="7354" w:type="dxa"/>
          </w:tcPr>
          <w:p>
            <w:pPr>
              <w:pStyle w:val="TableParagraph"/>
              <w:spacing w:line="211" w:lineRule="exact" w:before="0"/>
              <w:ind w:left="87"/>
              <w:rPr>
                <w:sz w:val="21"/>
              </w:rPr>
            </w:pPr>
            <w:r>
              <w:rPr>
                <w:spacing w:val="-11"/>
                <w:sz w:val="21"/>
              </w:rPr>
              <w:t>前款规定的合同解除权，自我们知道有解除事由之日起，超过 </w:t>
            </w:r>
            <w:r>
              <w:rPr>
                <w:sz w:val="21"/>
              </w:rPr>
              <w:t>30</w:t>
            </w:r>
            <w:r>
              <w:rPr>
                <w:spacing w:val="-7"/>
                <w:sz w:val="21"/>
              </w:rPr>
              <w:t> 日不行使而消</w:t>
            </w:r>
          </w:p>
          <w:p>
            <w:pPr>
              <w:pStyle w:val="TableParagraph"/>
              <w:spacing w:line="273" w:lineRule="auto" w:before="37"/>
              <w:ind w:left="87"/>
              <w:rPr>
                <w:sz w:val="21"/>
              </w:rPr>
            </w:pPr>
            <w:r>
              <w:rPr>
                <w:spacing w:val="-9"/>
                <w:sz w:val="21"/>
              </w:rPr>
              <w:t>灭。自本主合同成立之日起超过 </w:t>
            </w:r>
            <w:r>
              <w:rPr>
                <w:sz w:val="21"/>
              </w:rPr>
              <w:t>2</w:t>
            </w:r>
            <w:r>
              <w:rPr>
                <w:spacing w:val="-11"/>
                <w:sz w:val="21"/>
              </w:rPr>
              <w:t> 年的，我们不得解除合同；发生保险事故的， </w:t>
            </w:r>
            <w:r>
              <w:rPr>
                <w:spacing w:val="-6"/>
                <w:sz w:val="21"/>
              </w:rPr>
              <w:t>我们承担给付保险金的责任。</w:t>
            </w:r>
          </w:p>
        </w:tc>
      </w:tr>
      <w:tr>
        <w:trPr>
          <w:trHeight w:val="3744" w:hRule="atLeast"/>
        </w:trPr>
        <w:tc>
          <w:tcPr>
            <w:tcW w:w="654" w:type="dxa"/>
          </w:tcPr>
          <w:p>
            <w:pPr>
              <w:pStyle w:val="TableParagraph"/>
              <w:ind w:left="108"/>
              <w:rPr>
                <w:b/>
                <w:sz w:val="21"/>
              </w:rPr>
            </w:pPr>
            <w:r>
              <w:rPr>
                <w:b/>
                <w:sz w:val="21"/>
              </w:rPr>
              <w:t>5.3</w:t>
            </w:r>
          </w:p>
        </w:tc>
        <w:tc>
          <w:tcPr>
            <w:tcW w:w="1601" w:type="dxa"/>
          </w:tcPr>
          <w:p>
            <w:pPr>
              <w:pStyle w:val="TableParagraph"/>
              <w:ind w:left="136"/>
              <w:rPr>
                <w:b/>
                <w:sz w:val="21"/>
              </w:rPr>
            </w:pPr>
            <w:r>
              <w:rPr>
                <w:b/>
                <w:sz w:val="21"/>
              </w:rPr>
              <w:t>年龄性别错误</w:t>
            </w:r>
          </w:p>
        </w:tc>
        <w:tc>
          <w:tcPr>
            <w:tcW w:w="7354" w:type="dxa"/>
          </w:tcPr>
          <w:p>
            <w:pPr>
              <w:pStyle w:val="TableParagraph"/>
              <w:spacing w:line="273" w:lineRule="auto"/>
              <w:ind w:left="87" w:right="120"/>
              <w:rPr>
                <w:sz w:val="21"/>
              </w:rPr>
            </w:pPr>
            <w:r>
              <w:rPr>
                <w:sz w:val="21"/>
              </w:rPr>
              <w:t>您在申请投保时，应将与有效身份证件相符的被保险人出生日期和性别在电子投保单上填明，如果发生错误按照下列方式办理：</w:t>
            </w:r>
          </w:p>
          <w:p>
            <w:pPr>
              <w:pStyle w:val="TableParagraph"/>
              <w:spacing w:line="273" w:lineRule="auto" w:before="7"/>
              <w:ind w:left="592" w:right="105" w:hanging="505"/>
              <w:jc w:val="both"/>
              <w:rPr>
                <w:sz w:val="21"/>
              </w:rPr>
            </w:pPr>
            <w:r>
              <w:rPr>
                <w:spacing w:val="-16"/>
                <w:sz w:val="21"/>
              </w:rPr>
              <w:t>（1）</w:t>
            </w:r>
            <w:r>
              <w:rPr>
                <w:spacing w:val="-7"/>
                <w:sz w:val="21"/>
              </w:rPr>
              <w:t>您申报的被保险人年龄不真实，并且其真实年龄不符合本主合同约定投保</w:t>
            </w:r>
            <w:r>
              <w:rPr>
                <w:spacing w:val="-11"/>
                <w:sz w:val="21"/>
              </w:rPr>
              <w:t>年龄限制的，在保险事故发生之前我们有权解除合同，并向您退还保险单</w:t>
            </w:r>
            <w:r>
              <w:rPr>
                <w:spacing w:val="-10"/>
                <w:sz w:val="21"/>
              </w:rPr>
              <w:t>的现金价值。我们行使合同解除权适用“本公司合同解除权的限制”的规定。</w:t>
            </w:r>
          </w:p>
          <w:p>
            <w:pPr>
              <w:pStyle w:val="TableParagraph"/>
              <w:spacing w:line="273" w:lineRule="auto" w:before="7"/>
              <w:ind w:left="580" w:right="103" w:hanging="491"/>
              <w:jc w:val="both"/>
              <w:rPr>
                <w:sz w:val="21"/>
              </w:rPr>
            </w:pPr>
            <w:r>
              <w:rPr>
                <w:spacing w:val="-16"/>
                <w:sz w:val="21"/>
              </w:rPr>
              <w:t>（2）</w:t>
            </w:r>
            <w:r>
              <w:rPr>
                <w:spacing w:val="-6"/>
                <w:sz w:val="21"/>
              </w:rPr>
              <w:t>您申报的被保险人年龄或性别不真实，致使您实付保险费少于应付保险费</w:t>
            </w:r>
            <w:r>
              <w:rPr>
                <w:spacing w:val="-8"/>
                <w:sz w:val="21"/>
              </w:rPr>
              <w:t>的，本公司有权更正并要求您补交保险费。若已经发生保险事故，在给付</w:t>
            </w:r>
            <w:r>
              <w:rPr>
                <w:spacing w:val="-5"/>
                <w:sz w:val="21"/>
              </w:rPr>
              <w:t>保险金时按实付保险费和应付保险费的比例给付。</w:t>
            </w:r>
          </w:p>
          <w:p>
            <w:pPr>
              <w:pStyle w:val="TableParagraph"/>
              <w:spacing w:line="273" w:lineRule="auto" w:before="7"/>
              <w:ind w:left="613" w:right="105" w:hanging="527"/>
              <w:jc w:val="both"/>
              <w:rPr>
                <w:sz w:val="21"/>
              </w:rPr>
            </w:pPr>
            <w:r>
              <w:rPr>
                <w:spacing w:val="-16"/>
                <w:sz w:val="21"/>
              </w:rPr>
              <w:t>（3）</w:t>
            </w:r>
            <w:r>
              <w:rPr>
                <w:spacing w:val="-6"/>
                <w:sz w:val="21"/>
              </w:rPr>
              <w:t>您申报的被保险人年龄或性别不真实，致使您实付保险费多于应付保险费</w:t>
            </w:r>
            <w:r>
              <w:rPr>
                <w:spacing w:val="-4"/>
                <w:sz w:val="21"/>
              </w:rPr>
              <w:t>的，本公司会将多收的保险费退还给您。</w:t>
            </w:r>
          </w:p>
        </w:tc>
      </w:tr>
      <w:tr>
        <w:trPr>
          <w:trHeight w:val="1248" w:hRule="atLeast"/>
        </w:trPr>
        <w:tc>
          <w:tcPr>
            <w:tcW w:w="654" w:type="dxa"/>
          </w:tcPr>
          <w:p>
            <w:pPr>
              <w:pStyle w:val="TableParagraph"/>
              <w:ind w:left="108"/>
              <w:rPr>
                <w:b/>
                <w:sz w:val="21"/>
              </w:rPr>
            </w:pPr>
            <w:r>
              <w:rPr>
                <w:b/>
                <w:sz w:val="21"/>
              </w:rPr>
              <w:t>5.4</w:t>
            </w:r>
          </w:p>
        </w:tc>
        <w:tc>
          <w:tcPr>
            <w:tcW w:w="1601" w:type="dxa"/>
          </w:tcPr>
          <w:p>
            <w:pPr>
              <w:pStyle w:val="TableParagraph"/>
              <w:ind w:left="136"/>
              <w:rPr>
                <w:b/>
                <w:sz w:val="21"/>
              </w:rPr>
            </w:pPr>
            <w:r>
              <w:rPr>
                <w:b/>
                <w:sz w:val="21"/>
              </w:rPr>
              <w:t>未还款项</w:t>
            </w:r>
          </w:p>
        </w:tc>
        <w:tc>
          <w:tcPr>
            <w:tcW w:w="7354" w:type="dxa"/>
          </w:tcPr>
          <w:p>
            <w:pPr>
              <w:pStyle w:val="TableParagraph"/>
              <w:spacing w:line="273" w:lineRule="auto"/>
              <w:ind w:left="87" w:right="62"/>
              <w:jc w:val="both"/>
              <w:rPr>
                <w:sz w:val="21"/>
              </w:rPr>
            </w:pPr>
            <w:r>
              <w:rPr>
                <w:spacing w:val="-3"/>
                <w:sz w:val="21"/>
              </w:rPr>
              <w:t>我们在给付各项保险金、退还现金价值或返还保险费时，如果您有欠交的保险费或其他未还清款项，我们会在扣除上述欠款及应付利息后给付。应付利息按</w:t>
            </w:r>
            <w:r>
              <w:rPr>
                <w:b/>
                <w:spacing w:val="-3"/>
                <w:sz w:val="21"/>
              </w:rPr>
              <w:t>本合同约定利率</w:t>
            </w:r>
            <w:r>
              <w:rPr>
                <w:spacing w:val="-3"/>
                <w:sz w:val="21"/>
              </w:rPr>
              <w:t>（</w:t>
            </w:r>
            <w:r>
              <w:rPr>
                <w:spacing w:val="-8"/>
                <w:sz w:val="21"/>
              </w:rPr>
              <w:t>见释义 </w:t>
            </w:r>
            <w:r>
              <w:rPr>
                <w:sz w:val="21"/>
              </w:rPr>
              <w:t>6.18）</w:t>
            </w:r>
            <w:r>
              <w:rPr>
                <w:spacing w:val="-3"/>
                <w:sz w:val="21"/>
              </w:rPr>
              <w:t>按日复利计算，但本主合同另有约定的除外。</w:t>
            </w:r>
          </w:p>
        </w:tc>
      </w:tr>
      <w:tr>
        <w:trPr>
          <w:trHeight w:val="2247" w:hRule="atLeast"/>
        </w:trPr>
        <w:tc>
          <w:tcPr>
            <w:tcW w:w="654" w:type="dxa"/>
          </w:tcPr>
          <w:p>
            <w:pPr>
              <w:pStyle w:val="TableParagraph"/>
              <w:ind w:left="108"/>
              <w:rPr>
                <w:b/>
                <w:sz w:val="21"/>
              </w:rPr>
            </w:pPr>
            <w:r>
              <w:rPr>
                <w:b/>
                <w:sz w:val="21"/>
              </w:rPr>
              <w:t>5.5</w:t>
            </w:r>
          </w:p>
        </w:tc>
        <w:tc>
          <w:tcPr>
            <w:tcW w:w="1601" w:type="dxa"/>
          </w:tcPr>
          <w:p>
            <w:pPr>
              <w:pStyle w:val="TableParagraph"/>
              <w:ind w:left="136"/>
              <w:rPr>
                <w:b/>
                <w:sz w:val="21"/>
              </w:rPr>
            </w:pPr>
            <w:r>
              <w:rPr>
                <w:b/>
                <w:sz w:val="21"/>
              </w:rPr>
              <w:t>争议处理</w:t>
            </w:r>
          </w:p>
        </w:tc>
        <w:tc>
          <w:tcPr>
            <w:tcW w:w="7354" w:type="dxa"/>
          </w:tcPr>
          <w:p>
            <w:pPr>
              <w:pStyle w:val="TableParagraph"/>
              <w:ind w:left="87"/>
              <w:rPr>
                <w:sz w:val="21"/>
              </w:rPr>
            </w:pPr>
            <w:r>
              <w:rPr>
                <w:sz w:val="21"/>
              </w:rPr>
              <w:t>您和我们发生争议时，您可以从以下两种争议处理方式中选择一种：</w:t>
            </w:r>
          </w:p>
          <w:p>
            <w:pPr>
              <w:pStyle w:val="TableParagraph"/>
              <w:spacing w:before="36"/>
              <w:ind w:left="87"/>
              <w:rPr>
                <w:sz w:val="21"/>
              </w:rPr>
            </w:pPr>
            <w:r>
              <w:rPr>
                <w:sz w:val="21"/>
              </w:rPr>
              <w:t>（1）提交仲裁委员会按提交仲裁时该仲裁委员会现行有效的仲裁规则仲裁；</w:t>
            </w:r>
          </w:p>
          <w:p>
            <w:pPr>
              <w:pStyle w:val="TableParagraph"/>
              <w:spacing w:before="37"/>
              <w:ind w:left="87"/>
              <w:rPr>
                <w:sz w:val="21"/>
              </w:rPr>
            </w:pPr>
            <w:r>
              <w:rPr>
                <w:sz w:val="21"/>
              </w:rPr>
              <w:t>（2）向有管辖权的人民法院提起诉讼。</w:t>
            </w:r>
          </w:p>
          <w:p>
            <w:pPr>
              <w:pStyle w:val="TableParagraph"/>
              <w:spacing w:line="273" w:lineRule="auto" w:before="37"/>
              <w:ind w:left="87" w:right="1"/>
              <w:jc w:val="both"/>
              <w:rPr>
                <w:sz w:val="21"/>
              </w:rPr>
            </w:pPr>
            <w:r>
              <w:rPr>
                <w:spacing w:val="-3"/>
                <w:sz w:val="21"/>
              </w:rPr>
              <w:t>如果您选择以仲裁方式作为合同签署或履行过程中争议处理的方式，需与我们协议选定仲裁委员会。如果没有选择争议处理的方式、选择仲裁但仲裁委员会</w:t>
            </w:r>
            <w:r>
              <w:rPr>
                <w:spacing w:val="-10"/>
                <w:sz w:val="21"/>
              </w:rPr>
              <w:t>约定不明或者约定的仲裁委员会不存在，则以本条上述第</w:t>
            </w:r>
            <w:r>
              <w:rPr>
                <w:spacing w:val="-23"/>
                <w:sz w:val="21"/>
              </w:rPr>
              <w:t>（2）</w:t>
            </w:r>
            <w:r>
              <w:rPr>
                <w:spacing w:val="-3"/>
                <w:sz w:val="21"/>
              </w:rPr>
              <w:t>种方式处理争议。</w:t>
            </w:r>
          </w:p>
        </w:tc>
      </w:tr>
      <w:tr>
        <w:trPr>
          <w:trHeight w:val="770" w:hRule="atLeast"/>
        </w:trPr>
        <w:tc>
          <w:tcPr>
            <w:tcW w:w="654" w:type="dxa"/>
            <w:tcBorders>
              <w:bottom w:val="single" w:sz="4" w:space="0" w:color="000000"/>
            </w:tcBorders>
          </w:tcPr>
          <w:p>
            <w:pPr>
              <w:pStyle w:val="TableParagraph"/>
              <w:spacing w:before="232"/>
              <w:ind w:left="160"/>
              <w:rPr>
                <w:rFonts w:ascii="Arial" w:hAnsi="Arial"/>
                <w:b/>
                <w:sz w:val="40"/>
              </w:rPr>
            </w:pPr>
            <w:r>
              <w:rPr>
                <w:rFonts w:ascii="Arial" w:hAnsi="Arial"/>
                <w:b/>
                <w:w w:val="119"/>
                <w:sz w:val="40"/>
              </w:rPr>
              <w:t></w:t>
            </w:r>
          </w:p>
        </w:tc>
        <w:tc>
          <w:tcPr>
            <w:tcW w:w="1601" w:type="dxa"/>
            <w:tcBorders>
              <w:bottom w:val="single" w:sz="4" w:space="0" w:color="000000"/>
            </w:tcBorders>
          </w:tcPr>
          <w:p>
            <w:pPr>
              <w:pStyle w:val="TableParagraph"/>
              <w:spacing w:before="7"/>
              <w:ind w:left="0"/>
              <w:rPr>
                <w:rFonts w:ascii="Times New Roman"/>
                <w:sz w:val="23"/>
              </w:rPr>
            </w:pPr>
          </w:p>
          <w:p>
            <w:pPr>
              <w:pStyle w:val="TableParagraph"/>
              <w:spacing w:before="0"/>
              <w:ind w:left="136"/>
              <w:rPr>
                <w:b/>
                <w:sz w:val="24"/>
              </w:rPr>
            </w:pPr>
            <w:r>
              <w:rPr>
                <w:b/>
                <w:sz w:val="24"/>
              </w:rPr>
              <w:t>释义</w:t>
            </w:r>
          </w:p>
        </w:tc>
        <w:tc>
          <w:tcPr>
            <w:tcW w:w="7354" w:type="dxa"/>
            <w:tcBorders>
              <w:bottom w:val="single" w:sz="4" w:space="0" w:color="000000"/>
            </w:tcBorders>
          </w:tcPr>
          <w:p>
            <w:pPr>
              <w:pStyle w:val="TableParagraph"/>
              <w:spacing w:before="0"/>
              <w:ind w:left="0"/>
              <w:rPr>
                <w:rFonts w:ascii="Times New Roman"/>
                <w:sz w:val="20"/>
              </w:rPr>
            </w:pPr>
          </w:p>
        </w:tc>
      </w:tr>
      <w:tr>
        <w:trPr>
          <w:trHeight w:val="826" w:hRule="atLeast"/>
        </w:trPr>
        <w:tc>
          <w:tcPr>
            <w:tcW w:w="654" w:type="dxa"/>
            <w:tcBorders>
              <w:top w:val="single" w:sz="4" w:space="0" w:color="000000"/>
            </w:tcBorders>
          </w:tcPr>
          <w:p>
            <w:pPr>
              <w:pStyle w:val="TableParagraph"/>
              <w:spacing w:line="262" w:lineRule="exact" w:before="0"/>
              <w:ind w:left="108"/>
              <w:rPr>
                <w:b/>
                <w:sz w:val="21"/>
              </w:rPr>
            </w:pPr>
            <w:r>
              <w:rPr>
                <w:b/>
                <w:sz w:val="21"/>
              </w:rPr>
              <w:t>6.1</w:t>
            </w:r>
          </w:p>
        </w:tc>
        <w:tc>
          <w:tcPr>
            <w:tcW w:w="1601" w:type="dxa"/>
            <w:tcBorders>
              <w:top w:val="single" w:sz="4" w:space="0" w:color="000000"/>
            </w:tcBorders>
          </w:tcPr>
          <w:p>
            <w:pPr>
              <w:pStyle w:val="TableParagraph"/>
              <w:spacing w:line="262" w:lineRule="exact" w:before="0"/>
              <w:ind w:left="136"/>
              <w:rPr>
                <w:b/>
                <w:sz w:val="21"/>
              </w:rPr>
            </w:pPr>
            <w:r>
              <w:rPr>
                <w:b/>
                <w:sz w:val="21"/>
              </w:rPr>
              <w:t>周岁</w:t>
            </w:r>
          </w:p>
        </w:tc>
        <w:tc>
          <w:tcPr>
            <w:tcW w:w="7354" w:type="dxa"/>
            <w:tcBorders>
              <w:top w:val="single" w:sz="4" w:space="0" w:color="000000"/>
            </w:tcBorders>
          </w:tcPr>
          <w:p>
            <w:pPr>
              <w:pStyle w:val="TableParagraph"/>
              <w:spacing w:line="273" w:lineRule="auto" w:before="0"/>
              <w:ind w:left="87" w:right="117"/>
              <w:rPr>
                <w:sz w:val="21"/>
              </w:rPr>
            </w:pPr>
            <w:r>
              <w:rPr>
                <w:sz w:val="21"/>
              </w:rPr>
              <w:t>周岁年龄是指按法定有效身份证件文件中记载的出生日期计算的年龄，自出生之日起为零周岁，每经过一年增加一岁，不足一年的不计。</w:t>
            </w:r>
          </w:p>
        </w:tc>
      </w:tr>
      <w:tr>
        <w:trPr>
          <w:trHeight w:val="982" w:hRule="atLeast"/>
        </w:trPr>
        <w:tc>
          <w:tcPr>
            <w:tcW w:w="654" w:type="dxa"/>
          </w:tcPr>
          <w:p>
            <w:pPr>
              <w:pStyle w:val="TableParagraph"/>
              <w:spacing w:before="4"/>
              <w:ind w:left="0"/>
              <w:rPr>
                <w:rFonts w:ascii="Times New Roman"/>
                <w:sz w:val="16"/>
              </w:rPr>
            </w:pPr>
          </w:p>
          <w:p>
            <w:pPr>
              <w:pStyle w:val="TableParagraph"/>
              <w:spacing w:before="0"/>
              <w:ind w:left="108"/>
              <w:rPr>
                <w:b/>
                <w:sz w:val="21"/>
              </w:rPr>
            </w:pPr>
            <w:r>
              <w:rPr>
                <w:b/>
                <w:sz w:val="21"/>
              </w:rPr>
              <w:t>6.2</w:t>
            </w:r>
          </w:p>
        </w:tc>
        <w:tc>
          <w:tcPr>
            <w:tcW w:w="1601" w:type="dxa"/>
          </w:tcPr>
          <w:p>
            <w:pPr>
              <w:pStyle w:val="TableParagraph"/>
              <w:spacing w:before="4"/>
              <w:ind w:left="0"/>
              <w:rPr>
                <w:rFonts w:ascii="Times New Roman"/>
                <w:sz w:val="16"/>
              </w:rPr>
            </w:pPr>
          </w:p>
          <w:p>
            <w:pPr>
              <w:pStyle w:val="TableParagraph"/>
              <w:spacing w:before="0"/>
              <w:ind w:left="136"/>
              <w:rPr>
                <w:b/>
                <w:sz w:val="21"/>
              </w:rPr>
            </w:pPr>
            <w:r>
              <w:rPr>
                <w:b/>
                <w:sz w:val="21"/>
              </w:rPr>
              <w:t>有效身份证件</w:t>
            </w:r>
          </w:p>
        </w:tc>
        <w:tc>
          <w:tcPr>
            <w:tcW w:w="7354" w:type="dxa"/>
          </w:tcPr>
          <w:p>
            <w:pPr>
              <w:pStyle w:val="TableParagraph"/>
              <w:spacing w:before="4"/>
              <w:ind w:left="0"/>
              <w:rPr>
                <w:rFonts w:ascii="Times New Roman"/>
                <w:sz w:val="16"/>
              </w:rPr>
            </w:pPr>
          </w:p>
          <w:p>
            <w:pPr>
              <w:pStyle w:val="TableParagraph"/>
              <w:spacing w:line="273" w:lineRule="auto" w:before="0"/>
              <w:ind w:left="87" w:right="118"/>
              <w:rPr>
                <w:sz w:val="21"/>
              </w:rPr>
            </w:pPr>
            <w:r>
              <w:rPr>
                <w:sz w:val="21"/>
              </w:rPr>
              <w:t>指由政府主管部门规定的证明其身份的证件，如：居民身份证、按规定可使用的有效护照、军官证、警官证、士兵证等证件。</w:t>
            </w:r>
          </w:p>
        </w:tc>
      </w:tr>
      <w:tr>
        <w:trPr>
          <w:trHeight w:val="1248" w:hRule="atLeast"/>
        </w:trPr>
        <w:tc>
          <w:tcPr>
            <w:tcW w:w="654" w:type="dxa"/>
          </w:tcPr>
          <w:p>
            <w:pPr>
              <w:pStyle w:val="TableParagraph"/>
              <w:ind w:left="108"/>
              <w:rPr>
                <w:b/>
                <w:sz w:val="21"/>
              </w:rPr>
            </w:pPr>
            <w:r>
              <w:rPr>
                <w:b/>
                <w:sz w:val="21"/>
              </w:rPr>
              <w:t>6.3</w:t>
            </w:r>
          </w:p>
        </w:tc>
        <w:tc>
          <w:tcPr>
            <w:tcW w:w="1601" w:type="dxa"/>
          </w:tcPr>
          <w:p>
            <w:pPr>
              <w:pStyle w:val="TableParagraph"/>
              <w:ind w:left="136"/>
              <w:rPr>
                <w:b/>
                <w:sz w:val="21"/>
              </w:rPr>
            </w:pPr>
            <w:r>
              <w:rPr>
                <w:b/>
                <w:sz w:val="21"/>
              </w:rPr>
              <w:t>现金价值</w:t>
            </w:r>
          </w:p>
        </w:tc>
        <w:tc>
          <w:tcPr>
            <w:tcW w:w="7354" w:type="dxa"/>
          </w:tcPr>
          <w:p>
            <w:pPr>
              <w:pStyle w:val="TableParagraph"/>
              <w:spacing w:line="273" w:lineRule="auto"/>
              <w:ind w:left="87" w:right="118"/>
              <w:jc w:val="both"/>
              <w:rPr>
                <w:sz w:val="21"/>
              </w:rPr>
            </w:pPr>
            <w:r>
              <w:rPr>
                <w:sz w:val="21"/>
              </w:rPr>
              <w:t>指保险单所具有的价值，通常体现为解除合同时，根据精算原理计算的，由本公司退还的那部分金额。具体等于本主合同所附“现金价值比例表”所列现金价值比例与当年度本主合同保险费的乘积。</w:t>
            </w:r>
          </w:p>
        </w:tc>
      </w:tr>
      <w:tr>
        <w:trPr>
          <w:trHeight w:val="935" w:hRule="atLeast"/>
        </w:trPr>
        <w:tc>
          <w:tcPr>
            <w:tcW w:w="654" w:type="dxa"/>
          </w:tcPr>
          <w:p>
            <w:pPr>
              <w:pStyle w:val="TableParagraph"/>
              <w:ind w:left="108"/>
              <w:rPr>
                <w:b/>
                <w:sz w:val="21"/>
              </w:rPr>
            </w:pPr>
            <w:r>
              <w:rPr>
                <w:b/>
                <w:sz w:val="21"/>
              </w:rPr>
              <w:t>6.4</w:t>
            </w:r>
          </w:p>
        </w:tc>
        <w:tc>
          <w:tcPr>
            <w:tcW w:w="1601" w:type="dxa"/>
          </w:tcPr>
          <w:p>
            <w:pPr>
              <w:pStyle w:val="TableParagraph"/>
              <w:ind w:left="136"/>
              <w:rPr>
                <w:b/>
                <w:sz w:val="21"/>
              </w:rPr>
            </w:pPr>
            <w:r>
              <w:rPr>
                <w:b/>
                <w:sz w:val="21"/>
              </w:rPr>
              <w:t>少儿重大疾病</w:t>
            </w:r>
          </w:p>
        </w:tc>
        <w:tc>
          <w:tcPr>
            <w:tcW w:w="7354" w:type="dxa"/>
          </w:tcPr>
          <w:p>
            <w:pPr>
              <w:pStyle w:val="TableParagraph"/>
              <w:spacing w:line="273" w:lineRule="auto"/>
              <w:ind w:left="87" w:right="105"/>
              <w:rPr>
                <w:sz w:val="21"/>
              </w:rPr>
            </w:pPr>
            <w:r>
              <w:rPr>
                <w:sz w:val="21"/>
              </w:rPr>
              <w:t>指保险责任生效后，经专科医生明确诊断，被保险人初次发生符合以下疾病定义所述条件的疾病：</w:t>
            </w:r>
          </w:p>
        </w:tc>
      </w:tr>
      <w:tr>
        <w:trPr>
          <w:trHeight w:val="729" w:hRule="atLeast"/>
        </w:trPr>
        <w:tc>
          <w:tcPr>
            <w:tcW w:w="654" w:type="dxa"/>
          </w:tcPr>
          <w:p>
            <w:pPr>
              <w:pStyle w:val="TableParagraph"/>
              <w:spacing w:before="0"/>
              <w:ind w:left="0"/>
              <w:rPr>
                <w:rFonts w:ascii="Times New Roman"/>
                <w:sz w:val="20"/>
              </w:rPr>
            </w:pPr>
          </w:p>
        </w:tc>
        <w:tc>
          <w:tcPr>
            <w:tcW w:w="1601" w:type="dxa"/>
          </w:tcPr>
          <w:p>
            <w:pPr>
              <w:pStyle w:val="TableParagraph"/>
              <w:spacing w:line="310" w:lineRule="atLeast" w:before="107"/>
              <w:ind w:left="136" w:right="85"/>
              <w:rPr>
                <w:sz w:val="21"/>
              </w:rPr>
            </w:pPr>
            <w:r>
              <w:rPr>
                <w:sz w:val="21"/>
              </w:rPr>
              <w:t>( 一) 恶性肿瘤－“中国保</w:t>
            </w:r>
          </w:p>
        </w:tc>
        <w:tc>
          <w:tcPr>
            <w:tcW w:w="7354" w:type="dxa"/>
          </w:tcPr>
          <w:p>
            <w:pPr>
              <w:pStyle w:val="TableParagraph"/>
              <w:spacing w:line="310" w:lineRule="atLeast" w:before="107"/>
              <w:ind w:left="87" w:right="117"/>
              <w:rPr>
                <w:sz w:val="21"/>
              </w:rPr>
            </w:pPr>
            <w:r>
              <w:rPr>
                <w:sz w:val="21"/>
              </w:rPr>
              <w:t>指恶性细胞不受控制的进行性增长和扩散，浸润和破坏周围正常组织，可以经血管、淋巴管和体腔扩散转移到身体其他部位的疾病。经病理学检查结果明确</w:t>
            </w:r>
          </w:p>
        </w:tc>
      </w:tr>
    </w:tbl>
    <w:p>
      <w:pPr>
        <w:spacing w:after="0" w:line="310" w:lineRule="atLeast"/>
        <w:rPr>
          <w:sz w:val="21"/>
        </w:rPr>
        <w:sectPr>
          <w:pgSz w:w="11910" w:h="16840"/>
          <w:pgMar w:header="878" w:footer="984" w:top="1140" w:bottom="1180" w:left="860" w:right="1220"/>
        </w:sectPr>
      </w:pPr>
    </w:p>
    <w:p>
      <w:pPr>
        <w:pStyle w:val="BodyText"/>
        <w:spacing w:before="10"/>
        <w:rPr>
          <w:rFonts w:ascii="Times New Roman"/>
          <w:sz w:val="22"/>
        </w:rPr>
      </w:pPr>
    </w:p>
    <w:tbl>
      <w:tblPr>
        <w:tblW w:w="0" w:type="auto"/>
        <w:jc w:val="left"/>
        <w:tblInd w:w="5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5"/>
        <w:gridCol w:w="7448"/>
      </w:tblGrid>
      <w:tr>
        <w:trPr>
          <w:trHeight w:val="2863" w:hRule="atLeast"/>
        </w:trPr>
        <w:tc>
          <w:tcPr>
            <w:tcW w:w="1665" w:type="dxa"/>
          </w:tcPr>
          <w:p>
            <w:pPr>
              <w:pStyle w:val="TableParagraph"/>
              <w:spacing w:line="211" w:lineRule="exact" w:before="0"/>
              <w:ind w:left="200"/>
              <w:rPr>
                <w:sz w:val="21"/>
              </w:rPr>
            </w:pPr>
            <w:r>
              <w:rPr>
                <w:sz w:val="21"/>
              </w:rPr>
              <w:t>险行业协会推</w:t>
            </w:r>
          </w:p>
          <w:p>
            <w:pPr>
              <w:pStyle w:val="TableParagraph"/>
              <w:spacing w:before="37"/>
              <w:ind w:left="200"/>
              <w:rPr>
                <w:sz w:val="21"/>
              </w:rPr>
            </w:pPr>
            <w:r>
              <w:rPr>
                <w:sz w:val="21"/>
              </w:rPr>
              <w:t>荐”</w:t>
            </w:r>
          </w:p>
        </w:tc>
        <w:tc>
          <w:tcPr>
            <w:tcW w:w="7448" w:type="dxa"/>
          </w:tcPr>
          <w:p>
            <w:pPr>
              <w:pStyle w:val="TableParagraph"/>
              <w:spacing w:line="211" w:lineRule="exact" w:before="0"/>
              <w:ind w:left="87"/>
              <w:rPr>
                <w:sz w:val="21"/>
              </w:rPr>
            </w:pPr>
            <w:r>
              <w:rPr>
                <w:sz w:val="21"/>
              </w:rPr>
              <w:t>诊断，临床诊断属于世界卫生组织《疾病和有关健康问题的国际统计分类》</w:t>
            </w:r>
          </w:p>
          <w:p>
            <w:pPr>
              <w:pStyle w:val="TableParagraph"/>
              <w:spacing w:line="273" w:lineRule="auto" w:before="37"/>
              <w:ind w:left="87" w:right="4623"/>
              <w:rPr>
                <w:sz w:val="21"/>
              </w:rPr>
            </w:pPr>
            <w:r>
              <w:rPr>
                <w:sz w:val="21"/>
              </w:rPr>
              <w:t>（ICD-10）的恶性肿瘤范畴。下列疾病不在保障范围内：</w:t>
            </w:r>
          </w:p>
          <w:p>
            <w:pPr>
              <w:pStyle w:val="TableParagraph"/>
              <w:spacing w:before="7"/>
              <w:ind w:left="87"/>
              <w:rPr>
                <w:sz w:val="21"/>
              </w:rPr>
            </w:pPr>
            <w:r>
              <w:rPr>
                <w:sz w:val="21"/>
              </w:rPr>
              <w:t>（1）原位癌；</w:t>
            </w:r>
          </w:p>
          <w:p>
            <w:pPr>
              <w:pStyle w:val="TableParagraph"/>
              <w:spacing w:before="37"/>
              <w:ind w:left="87"/>
              <w:rPr>
                <w:sz w:val="21"/>
              </w:rPr>
            </w:pPr>
            <w:r>
              <w:rPr>
                <w:sz w:val="21"/>
              </w:rPr>
              <w:t>（2）相当于Binet分期方案A期程度的慢性淋巴细胞白血病；</w:t>
            </w:r>
          </w:p>
          <w:p>
            <w:pPr>
              <w:pStyle w:val="TableParagraph"/>
              <w:spacing w:before="37"/>
              <w:ind w:left="87"/>
              <w:rPr>
                <w:sz w:val="21"/>
              </w:rPr>
            </w:pPr>
            <w:r>
              <w:rPr>
                <w:sz w:val="21"/>
              </w:rPr>
              <w:t>（3）相当于Ann Arbor分期方案I期程度的何杰金氏病；</w:t>
            </w:r>
          </w:p>
          <w:p>
            <w:pPr>
              <w:pStyle w:val="TableParagraph"/>
              <w:spacing w:line="273" w:lineRule="exact" w:before="15"/>
              <w:ind w:left="87"/>
              <w:rPr>
                <w:sz w:val="21"/>
              </w:rPr>
            </w:pPr>
            <w:r>
              <w:rPr>
                <w:sz w:val="21"/>
              </w:rPr>
              <w:t>（4）皮肤癌（不包括恶性黑色素瘤及已发生转移的皮肤癌）；</w:t>
            </w:r>
          </w:p>
          <w:p>
            <w:pPr>
              <w:pStyle w:val="TableParagraph"/>
              <w:spacing w:line="229" w:lineRule="exact" w:before="0"/>
              <w:ind w:left="87"/>
              <w:rPr>
                <w:sz w:val="21"/>
              </w:rPr>
            </w:pPr>
            <w:r>
              <w:rPr>
                <w:sz w:val="21"/>
              </w:rPr>
              <w:t>（5）TNM分期为T N M 期或更轻分期的前列腺癌；</w:t>
            </w:r>
          </w:p>
          <w:p>
            <w:pPr>
              <w:pStyle w:val="TableParagraph"/>
              <w:spacing w:line="100" w:lineRule="exact" w:before="0"/>
              <w:ind w:left="1665"/>
              <w:rPr>
                <w:sz w:val="11"/>
              </w:rPr>
            </w:pPr>
            <w:r>
              <w:rPr>
                <w:sz w:val="11"/>
              </w:rPr>
              <w:t>1  0 0</w:t>
            </w:r>
          </w:p>
          <w:p>
            <w:pPr>
              <w:pStyle w:val="TableParagraph"/>
              <w:spacing w:before="3"/>
              <w:ind w:left="87"/>
              <w:rPr>
                <w:sz w:val="21"/>
              </w:rPr>
            </w:pPr>
            <w:r>
              <w:rPr>
                <w:sz w:val="21"/>
              </w:rPr>
              <w:t>（6）感染艾滋病病毒或患艾滋病期间所患恶性肿瘤。</w:t>
            </w:r>
          </w:p>
        </w:tc>
      </w:tr>
      <w:tr>
        <w:trPr>
          <w:trHeight w:val="2171" w:hRule="atLeast"/>
        </w:trPr>
        <w:tc>
          <w:tcPr>
            <w:tcW w:w="1665" w:type="dxa"/>
          </w:tcPr>
          <w:p>
            <w:pPr>
              <w:pStyle w:val="TableParagraph"/>
              <w:spacing w:line="273" w:lineRule="auto" w:before="133"/>
              <w:ind w:left="200" w:right="85"/>
              <w:jc w:val="both"/>
              <w:rPr>
                <w:sz w:val="21"/>
              </w:rPr>
            </w:pPr>
            <w:r>
              <w:rPr>
                <w:sz w:val="21"/>
              </w:rPr>
              <w:t>( 二) 重大器官移植术或造血干细胞移植术－“中国保险行业协会推荐”</w:t>
            </w:r>
          </w:p>
        </w:tc>
        <w:tc>
          <w:tcPr>
            <w:tcW w:w="7448" w:type="dxa"/>
          </w:tcPr>
          <w:p>
            <w:pPr>
              <w:pStyle w:val="TableParagraph"/>
              <w:spacing w:line="273" w:lineRule="auto" w:before="133"/>
              <w:ind w:left="87" w:right="212"/>
              <w:jc w:val="both"/>
              <w:rPr>
                <w:sz w:val="21"/>
              </w:rPr>
            </w:pPr>
            <w:r>
              <w:rPr>
                <w:sz w:val="21"/>
              </w:rPr>
              <w:t>重大器官移植术，指因相应器官功能衰竭，已经实施了肾脏、肝脏、心脏或肺脏的异体移植手术。</w:t>
            </w:r>
          </w:p>
          <w:p>
            <w:pPr>
              <w:pStyle w:val="TableParagraph"/>
              <w:spacing w:line="273" w:lineRule="auto" w:before="8"/>
              <w:ind w:left="87" w:right="200"/>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2187" w:hRule="atLeast"/>
        </w:trPr>
        <w:tc>
          <w:tcPr>
            <w:tcW w:w="1665" w:type="dxa"/>
          </w:tcPr>
          <w:p>
            <w:pPr>
              <w:pStyle w:val="TableParagraph"/>
              <w:spacing w:line="273" w:lineRule="auto" w:before="146"/>
              <w:ind w:left="200" w:right="85"/>
              <w:jc w:val="both"/>
              <w:rPr>
                <w:sz w:val="21"/>
              </w:rPr>
            </w:pPr>
            <w:r>
              <w:rPr>
                <w:sz w:val="21"/>
              </w:rPr>
              <w:t>( 三) 终末期肾病（或称慢性肾功能衰竭尿毒症期）－</w:t>
            </w:r>
          </w:p>
          <w:p>
            <w:pPr>
              <w:pStyle w:val="TableParagraph"/>
              <w:spacing w:line="273" w:lineRule="auto" w:before="8"/>
              <w:ind w:left="200" w:right="122"/>
              <w:jc w:val="both"/>
              <w:rPr>
                <w:sz w:val="21"/>
              </w:rPr>
            </w:pPr>
            <w:r>
              <w:rPr>
                <w:sz w:val="21"/>
              </w:rPr>
              <w:t>“中国保险行业协会推荐”</w:t>
            </w:r>
          </w:p>
        </w:tc>
        <w:tc>
          <w:tcPr>
            <w:tcW w:w="7448" w:type="dxa"/>
          </w:tcPr>
          <w:p>
            <w:pPr>
              <w:pStyle w:val="TableParagraph"/>
              <w:spacing w:before="146"/>
              <w:ind w:left="87"/>
              <w:rPr>
                <w:rFonts w:ascii="Times New Roman" w:eastAsia="Times New Roman"/>
                <w:sz w:val="21"/>
              </w:rPr>
            </w:pPr>
            <w:r>
              <w:rPr>
                <w:sz w:val="21"/>
              </w:rPr>
              <w:t>指双肾功能慢性不可逆性衰竭，达到尿毒症期，经诊断后已经进行了至少 </w:t>
            </w:r>
            <w:r>
              <w:rPr>
                <w:rFonts w:ascii="Times New Roman" w:eastAsia="Times New Roman"/>
                <w:sz w:val="21"/>
              </w:rPr>
              <w:t>90</w:t>
            </w:r>
          </w:p>
          <w:p>
            <w:pPr>
              <w:pStyle w:val="TableParagraph"/>
              <w:spacing w:before="21"/>
              <w:ind w:left="87"/>
              <w:rPr>
                <w:sz w:val="21"/>
              </w:rPr>
            </w:pPr>
            <w:r>
              <w:rPr>
                <w:sz w:val="21"/>
              </w:rPr>
              <w:t>天的规律性透析治疗或实施了肾脏移植手术。</w:t>
            </w:r>
          </w:p>
        </w:tc>
      </w:tr>
      <w:tr>
        <w:trPr>
          <w:trHeight w:val="2192" w:hRule="atLeast"/>
        </w:trPr>
        <w:tc>
          <w:tcPr>
            <w:tcW w:w="1665" w:type="dxa"/>
          </w:tcPr>
          <w:p>
            <w:pPr>
              <w:pStyle w:val="TableParagraph"/>
              <w:spacing w:line="273" w:lineRule="auto" w:before="143"/>
              <w:ind w:left="200" w:right="85"/>
              <w:jc w:val="both"/>
              <w:rPr>
                <w:sz w:val="21"/>
              </w:rPr>
            </w:pPr>
            <w:r>
              <w:rPr>
                <w:sz w:val="21"/>
              </w:rPr>
              <w:t>( 四) 急性或亚急性重症肝炎－“中国保险行业协会推荐”</w:t>
            </w:r>
          </w:p>
        </w:tc>
        <w:tc>
          <w:tcPr>
            <w:tcW w:w="7448" w:type="dxa"/>
          </w:tcPr>
          <w:p>
            <w:pPr>
              <w:pStyle w:val="TableParagraph"/>
              <w:spacing w:line="273" w:lineRule="auto" w:before="143"/>
              <w:ind w:left="87" w:right="200"/>
              <w:rPr>
                <w:sz w:val="21"/>
              </w:rPr>
            </w:pPr>
            <w:r>
              <w:rPr>
                <w:sz w:val="21"/>
              </w:rPr>
              <w:t>指因肝炎病毒感染引起肝脏组织弥漫性坏死，导致急性肝功能衰竭，且经血清学或病毒学检查证实，并须满足下列全部条件：</w:t>
            </w:r>
          </w:p>
          <w:p>
            <w:pPr>
              <w:pStyle w:val="TableParagraph"/>
              <w:spacing w:before="8"/>
              <w:ind w:left="87"/>
              <w:rPr>
                <w:sz w:val="21"/>
              </w:rPr>
            </w:pPr>
            <w:r>
              <w:rPr>
                <w:sz w:val="21"/>
              </w:rPr>
              <w:t>（1）重度黄疸或黄疸迅速加重；</w:t>
            </w:r>
          </w:p>
          <w:p>
            <w:pPr>
              <w:pStyle w:val="TableParagraph"/>
              <w:spacing w:before="37"/>
              <w:ind w:left="87"/>
              <w:rPr>
                <w:sz w:val="21"/>
              </w:rPr>
            </w:pPr>
            <w:r>
              <w:rPr>
                <w:sz w:val="21"/>
              </w:rPr>
              <w:t>（2）肝性脑病；</w:t>
            </w:r>
          </w:p>
          <w:p>
            <w:pPr>
              <w:pStyle w:val="TableParagraph"/>
              <w:spacing w:before="37"/>
              <w:ind w:left="87"/>
              <w:rPr>
                <w:sz w:val="21"/>
              </w:rPr>
            </w:pPr>
            <w:r>
              <w:rPr>
                <w:sz w:val="21"/>
              </w:rPr>
              <w:t>（3）B超或其他影像学检查显示肝脏体积急速萎缩；</w:t>
            </w:r>
          </w:p>
          <w:p>
            <w:pPr>
              <w:pStyle w:val="TableParagraph"/>
              <w:spacing w:before="37"/>
              <w:ind w:left="87"/>
              <w:rPr>
                <w:sz w:val="21"/>
              </w:rPr>
            </w:pPr>
            <w:r>
              <w:rPr>
                <w:sz w:val="21"/>
              </w:rPr>
              <w:t>（</w:t>
            </w:r>
            <w:r>
              <w:rPr>
                <w:rFonts w:ascii="Times New Roman" w:eastAsia="Times New Roman"/>
                <w:sz w:val="21"/>
              </w:rPr>
              <w:t>4</w:t>
            </w:r>
            <w:r>
              <w:rPr>
                <w:sz w:val="21"/>
              </w:rPr>
              <w:t>）肝功能指标进行性恶化。</w:t>
            </w:r>
          </w:p>
        </w:tc>
      </w:tr>
      <w:tr>
        <w:trPr>
          <w:trHeight w:val="2488" w:hRule="atLeast"/>
        </w:trPr>
        <w:tc>
          <w:tcPr>
            <w:tcW w:w="1665" w:type="dxa"/>
          </w:tcPr>
          <w:p>
            <w:pPr>
              <w:pStyle w:val="TableParagraph"/>
              <w:spacing w:line="273" w:lineRule="auto" w:before="134"/>
              <w:ind w:left="200" w:right="85"/>
              <w:jc w:val="both"/>
              <w:rPr>
                <w:sz w:val="21"/>
              </w:rPr>
            </w:pPr>
            <w:r>
              <w:rPr>
                <w:sz w:val="21"/>
              </w:rPr>
              <w:t>( 五) 良性脑肿瘤－“中国保险行业协会推荐”</w:t>
            </w:r>
          </w:p>
        </w:tc>
        <w:tc>
          <w:tcPr>
            <w:tcW w:w="7448" w:type="dxa"/>
          </w:tcPr>
          <w:p>
            <w:pPr>
              <w:pStyle w:val="TableParagraph"/>
              <w:spacing w:line="273" w:lineRule="auto" w:before="134"/>
              <w:ind w:left="87" w:right="199"/>
              <w:jc w:val="both"/>
              <w:rPr>
                <w:sz w:val="21"/>
              </w:rPr>
            </w:pPr>
            <w:r>
              <w:rPr>
                <w:sz w:val="21"/>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TableParagraph"/>
              <w:spacing w:before="7"/>
              <w:ind w:left="87"/>
              <w:jc w:val="both"/>
              <w:rPr>
                <w:sz w:val="21"/>
              </w:rPr>
            </w:pPr>
            <w:r>
              <w:rPr>
                <w:sz w:val="21"/>
              </w:rPr>
              <w:t>（1）实际实施了开颅进行的脑肿瘤完全切除或部分切除的手术；</w:t>
            </w:r>
          </w:p>
          <w:p>
            <w:pPr>
              <w:pStyle w:val="TableParagraph"/>
              <w:spacing w:before="37"/>
              <w:ind w:left="87"/>
              <w:jc w:val="both"/>
              <w:rPr>
                <w:sz w:val="21"/>
              </w:rPr>
            </w:pPr>
            <w:r>
              <w:rPr>
                <w:sz w:val="21"/>
              </w:rPr>
              <w:t>（2）实际实施了对脑肿瘤进行的放射治疗。</w:t>
            </w:r>
          </w:p>
          <w:p>
            <w:pPr>
              <w:pStyle w:val="TableParagraph"/>
              <w:spacing w:before="37"/>
              <w:ind w:left="87"/>
              <w:jc w:val="both"/>
              <w:rPr>
                <w:sz w:val="21"/>
              </w:rPr>
            </w:pPr>
            <w:r>
              <w:rPr>
                <w:sz w:val="21"/>
              </w:rPr>
              <w:t>脑垂体瘤、脑囊肿、脑血管性疾病不在保障范围内。</w:t>
            </w:r>
          </w:p>
        </w:tc>
      </w:tr>
      <w:tr>
        <w:trPr>
          <w:trHeight w:val="1977" w:hRule="atLeast"/>
        </w:trPr>
        <w:tc>
          <w:tcPr>
            <w:tcW w:w="1665" w:type="dxa"/>
          </w:tcPr>
          <w:p>
            <w:pPr>
              <w:pStyle w:val="TableParagraph"/>
              <w:spacing w:line="273" w:lineRule="auto"/>
              <w:ind w:left="200" w:right="85"/>
              <w:jc w:val="both"/>
              <w:rPr>
                <w:sz w:val="21"/>
              </w:rPr>
            </w:pPr>
            <w:r>
              <w:rPr>
                <w:sz w:val="21"/>
              </w:rPr>
              <w:t>( 六) 慢性肝功能衰竭失代偿期－“中国保险行业协会推荐”</w:t>
            </w:r>
          </w:p>
        </w:tc>
        <w:tc>
          <w:tcPr>
            <w:tcW w:w="7448" w:type="dxa"/>
          </w:tcPr>
          <w:p>
            <w:pPr>
              <w:pStyle w:val="TableParagraph"/>
              <w:ind w:left="87"/>
              <w:rPr>
                <w:sz w:val="21"/>
              </w:rPr>
            </w:pPr>
            <w:r>
              <w:rPr>
                <w:sz w:val="21"/>
              </w:rPr>
              <w:t>指因慢性肝脏疾病导致肝功能衰竭。须满足下列全部条件：</w:t>
            </w:r>
          </w:p>
          <w:p>
            <w:pPr>
              <w:pStyle w:val="TableParagraph"/>
              <w:spacing w:before="36"/>
              <w:ind w:left="87"/>
              <w:rPr>
                <w:sz w:val="21"/>
              </w:rPr>
            </w:pPr>
            <w:r>
              <w:rPr>
                <w:sz w:val="21"/>
              </w:rPr>
              <w:t>（1）持续性黄疸；</w:t>
            </w:r>
          </w:p>
          <w:p>
            <w:pPr>
              <w:pStyle w:val="TableParagraph"/>
              <w:spacing w:before="36"/>
              <w:ind w:left="87"/>
              <w:rPr>
                <w:sz w:val="21"/>
              </w:rPr>
            </w:pPr>
            <w:r>
              <w:rPr>
                <w:sz w:val="21"/>
              </w:rPr>
              <w:t>（2）腹水；</w:t>
            </w:r>
          </w:p>
          <w:p>
            <w:pPr>
              <w:pStyle w:val="TableParagraph"/>
              <w:spacing w:before="36"/>
              <w:ind w:left="87"/>
              <w:rPr>
                <w:sz w:val="21"/>
              </w:rPr>
            </w:pPr>
            <w:r>
              <w:rPr>
                <w:sz w:val="21"/>
              </w:rPr>
              <w:t>（3）肝性脑病；</w:t>
            </w:r>
          </w:p>
          <w:p>
            <w:pPr>
              <w:pStyle w:val="TableParagraph"/>
              <w:spacing w:line="310" w:lineRule="atLeast" w:before="1"/>
              <w:ind w:left="87" w:right="2208"/>
              <w:rPr>
                <w:sz w:val="21"/>
              </w:rPr>
            </w:pPr>
            <w:r>
              <w:rPr>
                <w:sz w:val="21"/>
              </w:rPr>
              <w:t>（4）充血性脾肿大伴脾功能亢进或食管胃底静脉曲张。因酗酒或药物滥用导致的肝功能衰竭不在保障范围内。</w:t>
            </w:r>
          </w:p>
        </w:tc>
      </w:tr>
    </w:tbl>
    <w:p>
      <w:pPr>
        <w:spacing w:after="0" w:line="310" w:lineRule="atLeast"/>
        <w:rPr>
          <w:sz w:val="21"/>
        </w:rPr>
        <w:sectPr>
          <w:pgSz w:w="11910" w:h="16840"/>
          <w:pgMar w:header="878" w:footer="984" w:top="1140" w:bottom="1180" w:left="960" w:right="1120"/>
        </w:sectPr>
      </w:pPr>
    </w:p>
    <w:p>
      <w:pPr>
        <w:pStyle w:val="BodyText"/>
        <w:rPr>
          <w:rFonts w:ascii="Times New Roman"/>
          <w:sz w:val="20"/>
        </w:rPr>
      </w:pPr>
    </w:p>
    <w:p>
      <w:pPr>
        <w:pStyle w:val="BodyText"/>
        <w:rPr>
          <w:rFonts w:ascii="Times New Roman"/>
          <w:sz w:val="20"/>
        </w:rPr>
      </w:pPr>
    </w:p>
    <w:p>
      <w:pPr>
        <w:pStyle w:val="BodyText"/>
        <w:spacing w:after="1"/>
        <w:rPr>
          <w:rFonts w:ascii="Times New Roman"/>
          <w:sz w:val="10"/>
        </w:rPr>
      </w:pPr>
    </w:p>
    <w:tbl>
      <w:tblPr>
        <w:tblW w:w="0" w:type="auto"/>
        <w:jc w:val="left"/>
        <w:tblInd w:w="5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5"/>
        <w:gridCol w:w="7465"/>
      </w:tblGrid>
      <w:tr>
        <w:trPr>
          <w:trHeight w:val="1977" w:hRule="atLeast"/>
        </w:trPr>
        <w:tc>
          <w:tcPr>
            <w:tcW w:w="1665" w:type="dxa"/>
          </w:tcPr>
          <w:p>
            <w:pPr>
              <w:pStyle w:val="TableParagraph"/>
              <w:spacing w:line="211" w:lineRule="exact" w:before="0"/>
              <w:ind w:left="200"/>
              <w:rPr>
                <w:sz w:val="21"/>
              </w:rPr>
            </w:pPr>
            <w:r>
              <w:rPr>
                <w:sz w:val="21"/>
              </w:rPr>
              <w:t>( 七) 脑炎后</w:t>
            </w:r>
          </w:p>
          <w:p>
            <w:pPr>
              <w:pStyle w:val="TableParagraph"/>
              <w:spacing w:line="273" w:lineRule="auto" w:before="37"/>
              <w:ind w:left="200" w:right="107"/>
              <w:jc w:val="both"/>
              <w:rPr>
                <w:sz w:val="21"/>
              </w:rPr>
            </w:pPr>
            <w:r>
              <w:rPr>
                <w:sz w:val="21"/>
              </w:rPr>
              <w:t>遗症或脑膜炎后遗症－“中国保险行业协会推荐”</w:t>
            </w:r>
          </w:p>
        </w:tc>
        <w:tc>
          <w:tcPr>
            <w:tcW w:w="7465" w:type="dxa"/>
          </w:tcPr>
          <w:p>
            <w:pPr>
              <w:pStyle w:val="TableParagraph"/>
              <w:spacing w:line="211" w:lineRule="exact" w:before="0"/>
              <w:ind w:left="87"/>
              <w:rPr>
                <w:sz w:val="21"/>
              </w:rPr>
            </w:pPr>
            <w:r>
              <w:rPr>
                <w:sz w:val="21"/>
              </w:rPr>
              <w:t>指因患脑炎或脑膜炎导致的神经系统永久性的功能障碍。神经系统永久性的功</w:t>
            </w:r>
          </w:p>
          <w:p>
            <w:pPr>
              <w:pStyle w:val="TableParagraph"/>
              <w:spacing w:before="37"/>
              <w:ind w:left="87"/>
              <w:rPr>
                <w:sz w:val="21"/>
              </w:rPr>
            </w:pPr>
            <w:r>
              <w:rPr>
                <w:sz w:val="21"/>
              </w:rPr>
              <w:t>能障碍，指疾病确诊180天后，仍遗留下列一种或一种以上障碍：</w:t>
            </w:r>
          </w:p>
          <w:p>
            <w:pPr>
              <w:pStyle w:val="TableParagraph"/>
              <w:spacing w:before="37"/>
              <w:ind w:left="87"/>
              <w:rPr>
                <w:sz w:val="21"/>
              </w:rPr>
            </w:pPr>
            <w:r>
              <w:rPr>
                <w:sz w:val="21"/>
              </w:rPr>
              <w:t>（1）一肢或一肢以上</w:t>
            </w:r>
            <w:r>
              <w:rPr>
                <w:b/>
                <w:sz w:val="21"/>
              </w:rPr>
              <w:t>肢体机能完全丧失</w:t>
            </w:r>
            <w:r>
              <w:rPr>
                <w:sz w:val="21"/>
              </w:rPr>
              <w:t>（见释义6.19）；</w:t>
            </w:r>
          </w:p>
          <w:p>
            <w:pPr>
              <w:pStyle w:val="TableParagraph"/>
              <w:spacing w:before="37"/>
              <w:ind w:left="87"/>
              <w:rPr>
                <w:sz w:val="21"/>
              </w:rPr>
            </w:pPr>
            <w:r>
              <w:rPr>
                <w:sz w:val="21"/>
              </w:rPr>
              <w:t>（2）</w:t>
            </w:r>
            <w:r>
              <w:rPr>
                <w:b/>
                <w:sz w:val="21"/>
              </w:rPr>
              <w:t>语言能力或咀嚼吞咽能力完全丧失</w:t>
            </w:r>
            <w:r>
              <w:rPr>
                <w:sz w:val="21"/>
              </w:rPr>
              <w:t>（见释义6.20）；</w:t>
            </w:r>
          </w:p>
          <w:p>
            <w:pPr>
              <w:pStyle w:val="TableParagraph"/>
              <w:spacing w:before="37"/>
              <w:ind w:left="87"/>
              <w:rPr>
                <w:sz w:val="21"/>
              </w:rPr>
            </w:pPr>
            <w:r>
              <w:rPr>
                <w:sz w:val="21"/>
              </w:rPr>
              <w:t>（3）自主生活能力完全丧失，无法独立完成</w:t>
            </w:r>
            <w:r>
              <w:rPr>
                <w:b/>
                <w:sz w:val="21"/>
              </w:rPr>
              <w:t>六项基本日常生活活动</w:t>
            </w:r>
            <w:r>
              <w:rPr>
                <w:sz w:val="21"/>
              </w:rPr>
              <w:t>（见释义</w:t>
            </w:r>
          </w:p>
          <w:p>
            <w:pPr>
              <w:pStyle w:val="TableParagraph"/>
              <w:spacing w:before="37"/>
              <w:ind w:left="613"/>
              <w:rPr>
                <w:sz w:val="21"/>
              </w:rPr>
            </w:pPr>
            <w:r>
              <w:rPr>
                <w:sz w:val="21"/>
              </w:rPr>
              <w:t>6.21）中的三项或三项以上。</w:t>
            </w:r>
          </w:p>
        </w:tc>
      </w:tr>
      <w:tr>
        <w:trPr>
          <w:trHeight w:val="1560" w:hRule="atLeast"/>
        </w:trPr>
        <w:tc>
          <w:tcPr>
            <w:tcW w:w="1665" w:type="dxa"/>
          </w:tcPr>
          <w:p>
            <w:pPr>
              <w:pStyle w:val="TableParagraph"/>
              <w:spacing w:line="273" w:lineRule="auto"/>
              <w:ind w:left="200" w:right="85"/>
              <w:jc w:val="both"/>
              <w:rPr>
                <w:sz w:val="21"/>
              </w:rPr>
            </w:pPr>
            <w:r>
              <w:rPr>
                <w:sz w:val="21"/>
              </w:rPr>
              <w:t>( 八) 深度昏迷－“中国保险行业协会推荐”</w:t>
            </w:r>
          </w:p>
        </w:tc>
        <w:tc>
          <w:tcPr>
            <w:tcW w:w="7465" w:type="dxa"/>
          </w:tcPr>
          <w:p>
            <w:pPr>
              <w:pStyle w:val="TableParagraph"/>
              <w:spacing w:line="273" w:lineRule="auto"/>
              <w:ind w:left="87" w:right="231"/>
              <w:jc w:val="both"/>
              <w:rPr>
                <w:sz w:val="21"/>
              </w:rPr>
            </w:pPr>
            <w:r>
              <w:rPr>
                <w:sz w:val="21"/>
              </w:rPr>
              <w:t>指因疾病或意外伤害导致意识丧失,对外界刺激和体内需求均无反应,昏迷程度按照格拉斯哥昏迷分级（Glasgow coma scale）结果为5分或5分以下，且已经持续使用呼吸机及其他生命维持系统96小时以上。</w:t>
            </w:r>
          </w:p>
          <w:p>
            <w:pPr>
              <w:pStyle w:val="TableParagraph"/>
              <w:spacing w:before="7"/>
              <w:ind w:left="87"/>
              <w:jc w:val="both"/>
              <w:rPr>
                <w:sz w:val="21"/>
              </w:rPr>
            </w:pPr>
            <w:r>
              <w:rPr>
                <w:sz w:val="21"/>
              </w:rPr>
              <w:t>因酗酒或药物滥用导致的深度昏迷不在保障范围内。</w:t>
            </w:r>
          </w:p>
        </w:tc>
      </w:tr>
      <w:tr>
        <w:trPr>
          <w:trHeight w:val="1560" w:hRule="atLeast"/>
        </w:trPr>
        <w:tc>
          <w:tcPr>
            <w:tcW w:w="1665" w:type="dxa"/>
          </w:tcPr>
          <w:p>
            <w:pPr>
              <w:pStyle w:val="TableParagraph"/>
              <w:spacing w:line="273" w:lineRule="auto" w:before="143"/>
              <w:ind w:left="200" w:right="85"/>
              <w:jc w:val="both"/>
              <w:rPr>
                <w:sz w:val="21"/>
              </w:rPr>
            </w:pPr>
            <w:r>
              <w:rPr>
                <w:sz w:val="21"/>
              </w:rPr>
              <w:t>( 九) 双耳失聪－“中国保险行业协会推荐”</w:t>
            </w:r>
          </w:p>
        </w:tc>
        <w:tc>
          <w:tcPr>
            <w:tcW w:w="7465" w:type="dxa"/>
          </w:tcPr>
          <w:p>
            <w:pPr>
              <w:pStyle w:val="TableParagraph"/>
              <w:spacing w:before="143"/>
              <w:ind w:left="87"/>
              <w:rPr>
                <w:sz w:val="21"/>
              </w:rPr>
            </w:pPr>
            <w:r>
              <w:rPr>
                <w:sz w:val="21"/>
              </w:rPr>
              <w:t>指因疾病或意外伤害导致双耳听力</w:t>
            </w:r>
            <w:r>
              <w:rPr>
                <w:b/>
                <w:sz w:val="21"/>
              </w:rPr>
              <w:t>永久不可逆</w:t>
            </w:r>
            <w:r>
              <w:rPr>
                <w:sz w:val="21"/>
              </w:rPr>
              <w:t>（见释义 6.22）性丧失，在 500</w:t>
            </w:r>
          </w:p>
          <w:p>
            <w:pPr>
              <w:pStyle w:val="TableParagraph"/>
              <w:spacing w:line="273" w:lineRule="auto" w:before="37"/>
              <w:ind w:left="87" w:right="216"/>
              <w:rPr>
                <w:sz w:val="21"/>
              </w:rPr>
            </w:pPr>
            <w:r>
              <w:rPr>
                <w:spacing w:val="-6"/>
                <w:sz w:val="21"/>
              </w:rPr>
              <w:t>赫兹、</w:t>
            </w:r>
            <w:r>
              <w:rPr>
                <w:sz w:val="21"/>
              </w:rPr>
              <w:t>1000</w:t>
            </w:r>
            <w:r>
              <w:rPr>
                <w:spacing w:val="-22"/>
                <w:sz w:val="21"/>
              </w:rPr>
              <w:t> 赫兹和 </w:t>
            </w:r>
            <w:r>
              <w:rPr>
                <w:sz w:val="21"/>
              </w:rPr>
              <w:t>2000</w:t>
            </w:r>
            <w:r>
              <w:rPr>
                <w:spacing w:val="-13"/>
                <w:sz w:val="21"/>
              </w:rPr>
              <w:t> 赫兹语音频率下，平均听阈大于 </w:t>
            </w:r>
            <w:r>
              <w:rPr>
                <w:sz w:val="21"/>
              </w:rPr>
              <w:t>90</w:t>
            </w:r>
            <w:r>
              <w:rPr>
                <w:spacing w:val="-10"/>
                <w:sz w:val="21"/>
              </w:rPr>
              <w:t> 分贝，且经纯音听</w:t>
            </w:r>
            <w:r>
              <w:rPr>
                <w:spacing w:val="-5"/>
                <w:sz w:val="21"/>
              </w:rPr>
              <w:t>力测试、声导抗检测或听觉诱发电位检测等证实。</w:t>
            </w:r>
          </w:p>
        </w:tc>
      </w:tr>
      <w:tr>
        <w:trPr>
          <w:trHeight w:val="2184" w:hRule="atLeast"/>
        </w:trPr>
        <w:tc>
          <w:tcPr>
            <w:tcW w:w="1665" w:type="dxa"/>
          </w:tcPr>
          <w:p>
            <w:pPr>
              <w:pStyle w:val="TableParagraph"/>
              <w:spacing w:line="273" w:lineRule="auto"/>
              <w:ind w:left="200" w:right="85"/>
              <w:jc w:val="both"/>
              <w:rPr>
                <w:sz w:val="21"/>
              </w:rPr>
            </w:pPr>
            <w:r>
              <w:rPr>
                <w:sz w:val="21"/>
              </w:rPr>
              <w:t>( 十) 双目失明－“中国保险行业协会推荐”</w:t>
            </w:r>
          </w:p>
        </w:tc>
        <w:tc>
          <w:tcPr>
            <w:tcW w:w="7465" w:type="dxa"/>
          </w:tcPr>
          <w:p>
            <w:pPr>
              <w:pStyle w:val="TableParagraph"/>
              <w:spacing w:line="273" w:lineRule="auto"/>
              <w:ind w:left="87" w:right="217"/>
              <w:rPr>
                <w:sz w:val="21"/>
              </w:rPr>
            </w:pPr>
            <w:r>
              <w:rPr>
                <w:sz w:val="21"/>
              </w:rPr>
              <w:t>指因疾病或意外伤害导致双眼视力永久不可逆性丧失，双眼中较好眼须满足下列至少一项条件：</w:t>
            </w:r>
          </w:p>
          <w:p>
            <w:pPr>
              <w:pStyle w:val="TableParagraph"/>
              <w:spacing w:before="7"/>
              <w:ind w:left="87"/>
              <w:rPr>
                <w:sz w:val="21"/>
              </w:rPr>
            </w:pPr>
            <w:r>
              <w:rPr>
                <w:sz w:val="21"/>
              </w:rPr>
              <w:t>（1）眼球缺失或摘除；</w:t>
            </w:r>
          </w:p>
          <w:p>
            <w:pPr>
              <w:pStyle w:val="TableParagraph"/>
              <w:spacing w:line="273" w:lineRule="auto" w:before="37"/>
              <w:ind w:left="613" w:right="216" w:hanging="527"/>
              <w:rPr>
                <w:sz w:val="21"/>
              </w:rPr>
            </w:pPr>
            <w:r>
              <w:rPr>
                <w:spacing w:val="-11"/>
                <w:sz w:val="21"/>
              </w:rPr>
              <w:t>（2）</w:t>
            </w:r>
            <w:r>
              <w:rPr>
                <w:spacing w:val="-3"/>
                <w:sz w:val="21"/>
              </w:rPr>
              <w:t>矫正视力低于</w:t>
            </w:r>
            <w:r>
              <w:rPr>
                <w:spacing w:val="-8"/>
                <w:sz w:val="21"/>
              </w:rPr>
              <w:t>0.02（</w:t>
            </w:r>
            <w:r>
              <w:rPr>
                <w:spacing w:val="-6"/>
                <w:sz w:val="21"/>
              </w:rPr>
              <w:t>采用国际标准视力表，如果使用其他视力表应进行换算）；</w:t>
            </w:r>
          </w:p>
          <w:p>
            <w:pPr>
              <w:pStyle w:val="TableParagraph"/>
              <w:spacing w:before="8"/>
              <w:ind w:left="87"/>
              <w:rPr>
                <w:sz w:val="21"/>
              </w:rPr>
            </w:pPr>
            <w:r>
              <w:rPr>
                <w:sz w:val="21"/>
              </w:rPr>
              <w:t>（3）视野半径小于 5 度。</w:t>
            </w:r>
          </w:p>
        </w:tc>
      </w:tr>
      <w:tr>
        <w:trPr>
          <w:trHeight w:val="1560" w:hRule="atLeast"/>
        </w:trPr>
        <w:tc>
          <w:tcPr>
            <w:tcW w:w="1665" w:type="dxa"/>
          </w:tcPr>
          <w:p>
            <w:pPr>
              <w:pStyle w:val="TableParagraph"/>
              <w:ind w:left="200"/>
              <w:rPr>
                <w:sz w:val="21"/>
              </w:rPr>
            </w:pPr>
            <w:r>
              <w:rPr>
                <w:sz w:val="21"/>
              </w:rPr>
              <w:t>( 十一) 瘫痪</w:t>
            </w:r>
          </w:p>
          <w:p>
            <w:pPr>
              <w:pStyle w:val="TableParagraph"/>
              <w:spacing w:line="273" w:lineRule="auto" w:before="36"/>
              <w:ind w:left="200" w:right="122"/>
              <w:jc w:val="both"/>
              <w:rPr>
                <w:sz w:val="21"/>
              </w:rPr>
            </w:pPr>
            <w:r>
              <w:rPr>
                <w:spacing w:val="10"/>
                <w:sz w:val="21"/>
              </w:rPr>
              <w:t>－“中国保险</w:t>
            </w:r>
            <w:r>
              <w:rPr>
                <w:spacing w:val="-16"/>
                <w:sz w:val="21"/>
              </w:rPr>
              <w:t>行 业 协 会 推荐”</w:t>
            </w:r>
          </w:p>
        </w:tc>
        <w:tc>
          <w:tcPr>
            <w:tcW w:w="7465" w:type="dxa"/>
          </w:tcPr>
          <w:p>
            <w:pPr>
              <w:pStyle w:val="TableParagraph"/>
              <w:spacing w:line="264" w:lineRule="auto"/>
              <w:ind w:left="87" w:right="217"/>
              <w:jc w:val="both"/>
              <w:rPr>
                <w:sz w:val="21"/>
              </w:rPr>
            </w:pPr>
            <w:r>
              <w:rPr>
                <w:spacing w:val="-3"/>
                <w:sz w:val="21"/>
              </w:rPr>
              <w:t>指因疾病或意外伤害导致两肢或两肢以上肢体机能永久完全丧失。肢体机能永</w:t>
            </w:r>
            <w:r>
              <w:rPr>
                <w:spacing w:val="-7"/>
                <w:sz w:val="21"/>
              </w:rPr>
              <w:t>久完全丧失，指疾病确诊 </w:t>
            </w:r>
            <w:r>
              <w:rPr>
                <w:rFonts w:ascii="Times New Roman" w:eastAsia="Times New Roman"/>
                <w:sz w:val="21"/>
              </w:rPr>
              <w:t>180 </w:t>
            </w:r>
            <w:r>
              <w:rPr>
                <w:spacing w:val="-7"/>
                <w:sz w:val="21"/>
              </w:rPr>
              <w:t>天后或意外伤害发生 </w:t>
            </w:r>
            <w:r>
              <w:rPr>
                <w:rFonts w:ascii="Times New Roman" w:eastAsia="Times New Roman"/>
                <w:sz w:val="21"/>
              </w:rPr>
              <w:t>180 </w:t>
            </w:r>
            <w:r>
              <w:rPr>
                <w:spacing w:val="-3"/>
                <w:sz w:val="21"/>
              </w:rPr>
              <w:t>天后，每肢三大关节中的两大关节仍然完全僵硬，或不能随意识活动。</w:t>
            </w:r>
          </w:p>
        </w:tc>
      </w:tr>
      <w:tr>
        <w:trPr>
          <w:trHeight w:val="1560" w:hRule="atLeast"/>
        </w:trPr>
        <w:tc>
          <w:tcPr>
            <w:tcW w:w="1665" w:type="dxa"/>
          </w:tcPr>
          <w:p>
            <w:pPr>
              <w:pStyle w:val="TableParagraph"/>
              <w:spacing w:line="273" w:lineRule="auto"/>
              <w:ind w:left="200" w:right="85"/>
              <w:rPr>
                <w:sz w:val="21"/>
              </w:rPr>
            </w:pPr>
            <w:r>
              <w:rPr>
                <w:spacing w:val="12"/>
                <w:sz w:val="21"/>
              </w:rPr>
              <w:t>( 十二) 心脏</w:t>
            </w:r>
            <w:r>
              <w:rPr>
                <w:spacing w:val="-17"/>
                <w:sz w:val="21"/>
              </w:rPr>
              <w:t>瓣 膜 手 术 －</w:t>
            </w:r>
          </w:p>
          <w:p>
            <w:pPr>
              <w:pStyle w:val="TableParagraph"/>
              <w:spacing w:line="273" w:lineRule="auto" w:before="7"/>
              <w:ind w:left="200" w:right="122"/>
              <w:rPr>
                <w:sz w:val="21"/>
              </w:rPr>
            </w:pPr>
            <w:r>
              <w:rPr>
                <w:sz w:val="21"/>
              </w:rPr>
              <w:t>“中国保险行业协会推荐”</w:t>
            </w:r>
          </w:p>
        </w:tc>
        <w:tc>
          <w:tcPr>
            <w:tcW w:w="7465" w:type="dxa"/>
          </w:tcPr>
          <w:p>
            <w:pPr>
              <w:pStyle w:val="TableParagraph"/>
              <w:ind w:left="87"/>
              <w:rPr>
                <w:sz w:val="21"/>
              </w:rPr>
            </w:pPr>
            <w:r>
              <w:rPr>
                <w:sz w:val="21"/>
              </w:rPr>
              <w:t>指为治疗心脏瓣膜疾病，实际实施了开胸进行的心脏瓣膜置换或修复的手术。</w:t>
            </w:r>
          </w:p>
        </w:tc>
      </w:tr>
      <w:tr>
        <w:trPr>
          <w:trHeight w:val="2804" w:hRule="atLeast"/>
        </w:trPr>
        <w:tc>
          <w:tcPr>
            <w:tcW w:w="1665" w:type="dxa"/>
          </w:tcPr>
          <w:p>
            <w:pPr>
              <w:pStyle w:val="TableParagraph"/>
              <w:spacing w:line="273" w:lineRule="auto" w:before="143"/>
              <w:ind w:left="200" w:right="85"/>
              <w:jc w:val="both"/>
              <w:rPr>
                <w:sz w:val="21"/>
              </w:rPr>
            </w:pPr>
            <w:r>
              <w:rPr>
                <w:sz w:val="21"/>
              </w:rPr>
              <w:t>( 十三) 严重脑损伤－“中国保险行业协会推荐”</w:t>
            </w:r>
          </w:p>
        </w:tc>
        <w:tc>
          <w:tcPr>
            <w:tcW w:w="7465" w:type="dxa"/>
          </w:tcPr>
          <w:p>
            <w:pPr>
              <w:pStyle w:val="TableParagraph"/>
              <w:spacing w:line="273" w:lineRule="auto" w:before="143"/>
              <w:ind w:left="87" w:right="219"/>
              <w:rPr>
                <w:sz w:val="21"/>
              </w:rPr>
            </w:pPr>
            <w:r>
              <w:rPr>
                <w:spacing w:val="-3"/>
                <w:sz w:val="21"/>
              </w:rPr>
              <w:t>指因头部遭受机械性外力，引起脑重要部位损伤，导致神经系统永久性的功能</w:t>
            </w:r>
            <w:r>
              <w:rPr>
                <w:spacing w:val="-7"/>
                <w:sz w:val="21"/>
              </w:rPr>
              <w:t>障碍。须由头颅断层扫描</w:t>
            </w:r>
            <w:r>
              <w:rPr>
                <w:spacing w:val="-5"/>
                <w:sz w:val="21"/>
              </w:rPr>
              <w:t>（CT）</w:t>
            </w:r>
            <w:r>
              <w:rPr>
                <w:spacing w:val="-7"/>
                <w:sz w:val="21"/>
              </w:rPr>
              <w:t>、核磁共振检查</w:t>
            </w:r>
            <w:r>
              <w:rPr>
                <w:spacing w:val="-5"/>
                <w:sz w:val="21"/>
              </w:rPr>
              <w:t>（MRI）</w:t>
            </w:r>
            <w:r>
              <w:rPr>
                <w:spacing w:val="-3"/>
                <w:sz w:val="21"/>
              </w:rPr>
              <w:t>或正电子发射断层扫描</w:t>
            </w:r>
          </w:p>
          <w:p>
            <w:pPr>
              <w:pStyle w:val="TableParagraph"/>
              <w:spacing w:line="273" w:lineRule="auto" w:before="8"/>
              <w:ind w:left="87" w:right="231"/>
              <w:rPr>
                <w:sz w:val="21"/>
              </w:rPr>
            </w:pPr>
            <w:r>
              <w:rPr>
                <w:sz w:val="21"/>
              </w:rPr>
              <w:t>（PET）等影像学检查证实。神经系统永久性的功能障碍，指脑损伤180天后， 仍遗留下列一种或一种以上障碍：</w:t>
            </w:r>
          </w:p>
          <w:p>
            <w:pPr>
              <w:pStyle w:val="TableParagraph"/>
              <w:spacing w:before="8"/>
              <w:ind w:left="87"/>
              <w:rPr>
                <w:sz w:val="21"/>
              </w:rPr>
            </w:pPr>
            <w:r>
              <w:rPr>
                <w:sz w:val="21"/>
              </w:rPr>
              <w:t>（1）一肢或一肢以上肢体机能完全丧失；</w:t>
            </w:r>
          </w:p>
          <w:p>
            <w:pPr>
              <w:pStyle w:val="TableParagraph"/>
              <w:spacing w:before="37"/>
              <w:ind w:left="87"/>
              <w:rPr>
                <w:sz w:val="21"/>
              </w:rPr>
            </w:pPr>
            <w:r>
              <w:rPr>
                <w:sz w:val="21"/>
              </w:rPr>
              <w:t>（2）语言能力或咀嚼吞咽能力完全丧失；</w:t>
            </w:r>
          </w:p>
          <w:p>
            <w:pPr>
              <w:pStyle w:val="TableParagraph"/>
              <w:spacing w:line="273" w:lineRule="auto" w:before="37"/>
              <w:ind w:left="613" w:right="216" w:hanging="527"/>
              <w:rPr>
                <w:sz w:val="21"/>
              </w:rPr>
            </w:pPr>
            <w:r>
              <w:rPr>
                <w:spacing w:val="-16"/>
                <w:sz w:val="21"/>
              </w:rPr>
              <w:t>（3）</w:t>
            </w:r>
            <w:r>
              <w:rPr>
                <w:spacing w:val="-7"/>
                <w:sz w:val="21"/>
              </w:rPr>
              <w:t>自主生活能力完全丧失，无法独立完成六项基本日常生活活动中的三项或</w:t>
            </w:r>
            <w:r>
              <w:rPr>
                <w:spacing w:val="-4"/>
                <w:sz w:val="21"/>
              </w:rPr>
              <w:t>三项以上。</w:t>
            </w:r>
          </w:p>
        </w:tc>
      </w:tr>
      <w:tr>
        <w:trPr>
          <w:trHeight w:val="436" w:hRule="atLeast"/>
        </w:trPr>
        <w:tc>
          <w:tcPr>
            <w:tcW w:w="1665" w:type="dxa"/>
          </w:tcPr>
          <w:p>
            <w:pPr>
              <w:pStyle w:val="TableParagraph"/>
              <w:spacing w:line="271" w:lineRule="exact" w:before="146"/>
              <w:ind w:left="200"/>
              <w:rPr>
                <w:sz w:val="21"/>
              </w:rPr>
            </w:pPr>
            <w:r>
              <w:rPr>
                <w:rFonts w:ascii="Times New Roman" w:hAnsi="Times New Roman" w:eastAsia="Times New Roman"/>
                <w:sz w:val="21"/>
              </w:rPr>
              <w:t>(</w:t>
            </w:r>
            <w:r>
              <w:rPr>
                <w:sz w:val="21"/>
              </w:rPr>
              <w:t>十四</w:t>
            </w:r>
            <w:r>
              <w:rPr>
                <w:rFonts w:ascii="Times New Roman" w:hAnsi="Times New Roman" w:eastAsia="Times New Roman"/>
                <w:sz w:val="21"/>
              </w:rPr>
              <w:t>)  </w:t>
            </w:r>
            <w:r>
              <w:rPr>
                <w:sz w:val="21"/>
              </w:rPr>
              <w:t>严重Ⅲ</w:t>
            </w:r>
          </w:p>
        </w:tc>
        <w:tc>
          <w:tcPr>
            <w:tcW w:w="7465" w:type="dxa"/>
          </w:tcPr>
          <w:p>
            <w:pPr>
              <w:pStyle w:val="TableParagraph"/>
              <w:spacing w:line="271" w:lineRule="exact" w:before="146"/>
              <w:ind w:left="87"/>
              <w:rPr>
                <w:sz w:val="21"/>
              </w:rPr>
            </w:pPr>
            <w:r>
              <w:rPr>
                <w:sz w:val="21"/>
              </w:rPr>
              <w:t>指烧伤程度为Ⅲ度，且Ⅲ度烧伤的面积达到全身体表面积的 </w:t>
            </w:r>
            <w:r>
              <w:rPr>
                <w:rFonts w:ascii="Times New Roman" w:hAnsi="Times New Roman" w:eastAsia="Times New Roman"/>
                <w:sz w:val="21"/>
              </w:rPr>
              <w:t>20%</w:t>
            </w:r>
            <w:r>
              <w:rPr>
                <w:sz w:val="21"/>
              </w:rPr>
              <w:t>或 </w:t>
            </w:r>
            <w:r>
              <w:rPr>
                <w:rFonts w:ascii="Times New Roman" w:hAnsi="Times New Roman" w:eastAsia="Times New Roman"/>
                <w:sz w:val="21"/>
              </w:rPr>
              <w:t>20%</w:t>
            </w:r>
            <w:r>
              <w:rPr>
                <w:sz w:val="21"/>
              </w:rPr>
              <w:t>以上。</w:t>
            </w:r>
          </w:p>
        </w:tc>
      </w:tr>
    </w:tbl>
    <w:p>
      <w:pPr>
        <w:spacing w:after="0" w:line="271" w:lineRule="exact"/>
        <w:rPr>
          <w:sz w:val="21"/>
        </w:rPr>
        <w:sectPr>
          <w:pgSz w:w="11910" w:h="16840"/>
          <w:pgMar w:header="878" w:footer="984" w:top="1140" w:bottom="1180" w:left="960" w:right="1100"/>
        </w:sectPr>
      </w:pPr>
    </w:p>
    <w:p>
      <w:pPr>
        <w:pStyle w:val="BodyText"/>
        <w:spacing w:before="10"/>
        <w:rPr>
          <w:rFonts w:ascii="Times New Roman"/>
          <w:sz w:val="22"/>
        </w:rPr>
      </w:pPr>
    </w:p>
    <w:tbl>
      <w:tblPr>
        <w:tblW w:w="0" w:type="auto"/>
        <w:jc w:val="left"/>
        <w:tblInd w:w="5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4"/>
        <w:gridCol w:w="7562"/>
      </w:tblGrid>
      <w:tr>
        <w:trPr>
          <w:trHeight w:val="1037" w:hRule="atLeast"/>
        </w:trPr>
        <w:tc>
          <w:tcPr>
            <w:tcW w:w="1654" w:type="dxa"/>
          </w:tcPr>
          <w:p>
            <w:pPr>
              <w:pStyle w:val="TableParagraph"/>
              <w:spacing w:line="211" w:lineRule="exact" w:before="0"/>
              <w:ind w:left="200"/>
              <w:rPr>
                <w:sz w:val="21"/>
              </w:rPr>
            </w:pPr>
            <w:r>
              <w:rPr>
                <w:sz w:val="21"/>
              </w:rPr>
              <w:t>度烧伤－“中</w:t>
            </w:r>
          </w:p>
          <w:p>
            <w:pPr>
              <w:pStyle w:val="TableParagraph"/>
              <w:spacing w:line="273" w:lineRule="auto" w:before="37"/>
              <w:ind w:left="200" w:right="111"/>
              <w:rPr>
                <w:sz w:val="21"/>
              </w:rPr>
            </w:pPr>
            <w:r>
              <w:rPr>
                <w:sz w:val="21"/>
              </w:rPr>
              <w:t>国保险行业协会推荐”</w:t>
            </w:r>
          </w:p>
        </w:tc>
        <w:tc>
          <w:tcPr>
            <w:tcW w:w="7562" w:type="dxa"/>
          </w:tcPr>
          <w:p>
            <w:pPr>
              <w:pStyle w:val="TableParagraph"/>
              <w:spacing w:line="211" w:lineRule="exact" w:before="0"/>
              <w:ind w:left="98"/>
              <w:rPr>
                <w:sz w:val="21"/>
              </w:rPr>
            </w:pPr>
            <w:r>
              <w:rPr>
                <w:sz w:val="21"/>
              </w:rPr>
              <w:t>体表面积根据《中国新九分法》计算。</w:t>
            </w:r>
          </w:p>
        </w:tc>
      </w:tr>
      <w:tr>
        <w:trPr>
          <w:trHeight w:val="1873" w:hRule="atLeast"/>
        </w:trPr>
        <w:tc>
          <w:tcPr>
            <w:tcW w:w="1654" w:type="dxa"/>
          </w:tcPr>
          <w:p>
            <w:pPr>
              <w:pStyle w:val="TableParagraph"/>
              <w:spacing w:line="268" w:lineRule="auto" w:before="147"/>
              <w:ind w:left="200" w:right="103"/>
              <w:jc w:val="both"/>
              <w:rPr>
                <w:sz w:val="21"/>
              </w:rPr>
            </w:pPr>
            <w:r>
              <w:rPr>
                <w:rFonts w:ascii="Arial" w:hAnsi="Arial" w:eastAsia="Arial"/>
                <w:sz w:val="21"/>
              </w:rPr>
              <w:t>(</w:t>
            </w:r>
            <w:r>
              <w:rPr>
                <w:sz w:val="21"/>
              </w:rPr>
              <w:t>十五</w:t>
            </w:r>
            <w:r>
              <w:rPr>
                <w:rFonts w:ascii="Arial" w:hAnsi="Arial" w:eastAsia="Arial"/>
                <w:sz w:val="21"/>
              </w:rPr>
              <w:t>) </w:t>
            </w:r>
            <w:r>
              <w:rPr>
                <w:sz w:val="21"/>
              </w:rPr>
              <w:t>严重原发性肺动脉高压－“中国保险行业协会推荐”</w:t>
            </w:r>
          </w:p>
        </w:tc>
        <w:tc>
          <w:tcPr>
            <w:tcW w:w="7562" w:type="dxa"/>
          </w:tcPr>
          <w:p>
            <w:pPr>
              <w:pStyle w:val="TableParagraph"/>
              <w:spacing w:line="273" w:lineRule="auto" w:before="147"/>
              <w:ind w:left="98" w:right="302"/>
              <w:jc w:val="both"/>
              <w:rPr>
                <w:sz w:val="21"/>
              </w:rPr>
            </w:pPr>
            <w:r>
              <w:rPr>
                <w:sz w:val="21"/>
              </w:rPr>
              <w:t>指不明原因的肺动脉压力持续性增高，进行性发展而导致的慢性疾病，已经造成永久不可逆性的体力活动能力受限，达到美国纽约心脏病学会心功能状态分级 </w:t>
            </w:r>
            <w:r>
              <w:rPr>
                <w:rFonts w:ascii="Times New Roman" w:eastAsia="Times New Roman"/>
                <w:sz w:val="21"/>
              </w:rPr>
              <w:t>IV </w:t>
            </w:r>
            <w:r>
              <w:rPr>
                <w:sz w:val="21"/>
              </w:rPr>
              <w:t>级，且静息状态下肺动脉平均压超过 </w:t>
            </w:r>
            <w:r>
              <w:rPr>
                <w:rFonts w:ascii="Times New Roman" w:eastAsia="Times New Roman"/>
                <w:sz w:val="21"/>
              </w:rPr>
              <w:t>30mmHg</w:t>
            </w:r>
            <w:r>
              <w:rPr>
                <w:sz w:val="21"/>
              </w:rPr>
              <w:t>。</w:t>
            </w:r>
          </w:p>
        </w:tc>
      </w:tr>
      <w:tr>
        <w:trPr>
          <w:trHeight w:val="1560" w:hRule="atLeast"/>
        </w:trPr>
        <w:tc>
          <w:tcPr>
            <w:tcW w:w="1654" w:type="dxa"/>
          </w:tcPr>
          <w:p>
            <w:pPr>
              <w:pStyle w:val="TableParagraph"/>
              <w:spacing w:line="266" w:lineRule="auto" w:before="146"/>
              <w:ind w:left="200" w:right="96"/>
              <w:jc w:val="both"/>
              <w:rPr>
                <w:sz w:val="21"/>
              </w:rPr>
            </w:pPr>
            <w:r>
              <w:rPr>
                <w:rFonts w:ascii="Times New Roman" w:hAnsi="Times New Roman" w:eastAsia="Times New Roman"/>
                <w:sz w:val="21"/>
              </w:rPr>
              <w:t>(</w:t>
            </w:r>
            <w:r>
              <w:rPr>
                <w:sz w:val="21"/>
              </w:rPr>
              <w:t>十六</w:t>
            </w:r>
            <w:r>
              <w:rPr>
                <w:rFonts w:ascii="Times New Roman" w:hAnsi="Times New Roman" w:eastAsia="Times New Roman"/>
                <w:sz w:val="21"/>
              </w:rPr>
              <w:t>) </w:t>
            </w:r>
            <w:r>
              <w:rPr>
                <w:sz w:val="21"/>
              </w:rPr>
              <w:t>语言能力丧失－“中国保险行业协会推荐”</w:t>
            </w:r>
          </w:p>
        </w:tc>
        <w:tc>
          <w:tcPr>
            <w:tcW w:w="7562" w:type="dxa"/>
          </w:tcPr>
          <w:p>
            <w:pPr>
              <w:pStyle w:val="TableParagraph"/>
              <w:spacing w:line="273" w:lineRule="auto" w:before="146"/>
              <w:ind w:left="98" w:right="314"/>
              <w:rPr>
                <w:sz w:val="21"/>
              </w:rPr>
            </w:pPr>
            <w:r>
              <w:rPr>
                <w:sz w:val="21"/>
              </w:rPr>
              <w:t>指因疾病或意外伤害导致完全丧失语言能力，经过积极治疗至少12个月（声带完全切除不受此时间限制），仍无法通过现有医疗手段恢复。</w:t>
            </w:r>
          </w:p>
          <w:p>
            <w:pPr>
              <w:pStyle w:val="TableParagraph"/>
              <w:spacing w:before="8"/>
              <w:ind w:left="98"/>
              <w:rPr>
                <w:sz w:val="21"/>
              </w:rPr>
            </w:pPr>
            <w:r>
              <w:rPr>
                <w:sz w:val="21"/>
              </w:rPr>
              <w:t>精神心理因素所致的语言能力丧失不在保障范围内。</w:t>
            </w:r>
          </w:p>
        </w:tc>
      </w:tr>
      <w:tr>
        <w:trPr>
          <w:trHeight w:val="2464" w:hRule="atLeast"/>
        </w:trPr>
        <w:tc>
          <w:tcPr>
            <w:tcW w:w="1654" w:type="dxa"/>
          </w:tcPr>
          <w:p>
            <w:pPr>
              <w:pStyle w:val="TableParagraph"/>
              <w:spacing w:line="256" w:lineRule="auto" w:before="146"/>
              <w:ind w:left="200" w:right="110"/>
              <w:jc w:val="both"/>
              <w:rPr>
                <w:sz w:val="21"/>
              </w:rPr>
            </w:pPr>
            <w:r>
              <w:rPr>
                <w:rFonts w:ascii="Times New Roman" w:eastAsia="Times New Roman"/>
                <w:sz w:val="21"/>
              </w:rPr>
              <w:t>(</w:t>
            </w:r>
            <w:r>
              <w:rPr>
                <w:sz w:val="21"/>
              </w:rPr>
              <w:t>十七</w:t>
            </w:r>
            <w:r>
              <w:rPr>
                <w:rFonts w:ascii="Times New Roman" w:eastAsia="Times New Roman"/>
                <w:sz w:val="21"/>
              </w:rPr>
              <w:t>) </w:t>
            </w:r>
            <w:r>
              <w:rPr>
                <w:sz w:val="21"/>
              </w:rPr>
              <w:t>重型再生障碍性贫血</w:t>
            </w:r>
          </w:p>
          <w:p>
            <w:pPr>
              <w:pStyle w:val="TableParagraph"/>
              <w:spacing w:line="273" w:lineRule="auto" w:before="22"/>
              <w:ind w:left="200" w:right="111"/>
              <w:jc w:val="both"/>
              <w:rPr>
                <w:sz w:val="21"/>
              </w:rPr>
            </w:pPr>
            <w:r>
              <w:rPr>
                <w:spacing w:val="10"/>
                <w:sz w:val="21"/>
              </w:rPr>
              <w:t>－“中国保险</w:t>
            </w:r>
            <w:r>
              <w:rPr>
                <w:spacing w:val="-16"/>
                <w:sz w:val="21"/>
              </w:rPr>
              <w:t>行 业 协 会 推荐”</w:t>
            </w:r>
          </w:p>
        </w:tc>
        <w:tc>
          <w:tcPr>
            <w:tcW w:w="7562" w:type="dxa"/>
          </w:tcPr>
          <w:p>
            <w:pPr>
              <w:pStyle w:val="TableParagraph"/>
              <w:spacing w:line="273" w:lineRule="auto" w:before="146"/>
              <w:ind w:left="98" w:right="197"/>
              <w:rPr>
                <w:sz w:val="21"/>
              </w:rPr>
            </w:pPr>
            <w:r>
              <w:rPr>
                <w:spacing w:val="-8"/>
                <w:sz w:val="21"/>
              </w:rPr>
              <w:t>指因骨髓造血功能慢性持续性衰竭导致的贫血、中性粒细胞减少及血小板减少。</w:t>
            </w:r>
            <w:r>
              <w:rPr>
                <w:spacing w:val="-5"/>
                <w:sz w:val="21"/>
              </w:rPr>
              <w:t>须满足下列全部条件：</w:t>
            </w:r>
          </w:p>
          <w:p>
            <w:pPr>
              <w:pStyle w:val="TableParagraph"/>
              <w:spacing w:before="8"/>
              <w:ind w:left="98"/>
              <w:rPr>
                <w:sz w:val="21"/>
              </w:rPr>
            </w:pPr>
            <w:r>
              <w:rPr>
                <w:sz w:val="21"/>
              </w:rPr>
              <w:t>（1）骨髓穿刺检查或骨髓活检结果支持诊断；</w:t>
            </w:r>
          </w:p>
          <w:p>
            <w:pPr>
              <w:pStyle w:val="TableParagraph"/>
              <w:spacing w:before="15"/>
              <w:ind w:left="98"/>
              <w:rPr>
                <w:sz w:val="21"/>
              </w:rPr>
            </w:pPr>
            <w:r>
              <w:rPr>
                <w:sz w:val="21"/>
              </w:rPr>
              <w:t>（2）外周血象须具备以下三项条件：</w:t>
            </w:r>
          </w:p>
          <w:p>
            <w:pPr>
              <w:pStyle w:val="TableParagraph"/>
              <w:spacing w:line="99" w:lineRule="exact" w:before="2"/>
              <w:ind w:left="0" w:right="302"/>
              <w:jc w:val="center"/>
              <w:rPr>
                <w:sz w:val="11"/>
              </w:rPr>
            </w:pPr>
            <w:r>
              <w:rPr>
                <w:w w:val="100"/>
                <w:sz w:val="11"/>
              </w:rPr>
              <w:t>9</w:t>
            </w:r>
          </w:p>
          <w:p>
            <w:pPr>
              <w:pStyle w:val="TableParagraph"/>
              <w:spacing w:line="229" w:lineRule="exact" w:before="0"/>
              <w:ind w:left="658"/>
              <w:rPr>
                <w:sz w:val="21"/>
              </w:rPr>
            </w:pPr>
            <w:r>
              <w:rPr>
                <w:spacing w:val="-3"/>
                <w:sz w:val="21"/>
              </w:rPr>
              <w:t>① 中性粒细胞绝对值≤</w:t>
            </w:r>
            <w:r>
              <w:rPr>
                <w:sz w:val="21"/>
              </w:rPr>
              <w:t>0.5×10</w:t>
            </w:r>
            <w:r>
              <w:rPr>
                <w:spacing w:val="-51"/>
                <w:sz w:val="21"/>
              </w:rPr>
              <w:t> </w:t>
            </w:r>
            <w:r>
              <w:rPr>
                <w:sz w:val="21"/>
              </w:rPr>
              <w:t>/L</w:t>
            </w:r>
            <w:r>
              <w:rPr>
                <w:spacing w:val="0"/>
                <w:sz w:val="21"/>
              </w:rPr>
              <w:t> ；</w:t>
            </w:r>
          </w:p>
          <w:p>
            <w:pPr>
              <w:pStyle w:val="TableParagraph"/>
              <w:spacing w:line="274" w:lineRule="exact" w:before="0"/>
              <w:ind w:left="658"/>
              <w:rPr>
                <w:sz w:val="21"/>
              </w:rPr>
            </w:pPr>
            <w:r>
              <w:rPr>
                <w:sz w:val="21"/>
              </w:rPr>
              <w:t>② 网织红细胞＜1%；</w:t>
            </w:r>
          </w:p>
          <w:p>
            <w:pPr>
              <w:pStyle w:val="TableParagraph"/>
              <w:spacing w:line="99" w:lineRule="exact" w:before="2"/>
              <w:ind w:left="0" w:right="1358"/>
              <w:jc w:val="center"/>
              <w:rPr>
                <w:sz w:val="11"/>
              </w:rPr>
            </w:pPr>
            <w:r>
              <w:rPr>
                <w:w w:val="100"/>
                <w:sz w:val="11"/>
              </w:rPr>
              <w:t>9</w:t>
            </w:r>
          </w:p>
          <w:p>
            <w:pPr>
              <w:pStyle w:val="TableParagraph"/>
              <w:spacing w:line="230" w:lineRule="exact" w:before="0"/>
              <w:ind w:left="658"/>
              <w:rPr>
                <w:sz w:val="21"/>
              </w:rPr>
            </w:pPr>
            <w:r>
              <w:rPr>
                <w:spacing w:val="-2"/>
                <w:sz w:val="21"/>
              </w:rPr>
              <w:t>③ 血小板绝对值≤</w:t>
            </w:r>
            <w:r>
              <w:rPr>
                <w:sz w:val="21"/>
              </w:rPr>
              <w:t>20×10</w:t>
            </w:r>
            <w:r>
              <w:rPr>
                <w:spacing w:val="-51"/>
                <w:sz w:val="21"/>
              </w:rPr>
              <w:t> </w:t>
            </w:r>
            <w:r>
              <w:rPr>
                <w:sz w:val="21"/>
              </w:rPr>
              <w:t>/L。</w:t>
            </w:r>
          </w:p>
        </w:tc>
      </w:tr>
      <w:tr>
        <w:trPr>
          <w:trHeight w:val="1553" w:hRule="atLeast"/>
        </w:trPr>
        <w:tc>
          <w:tcPr>
            <w:tcW w:w="1654" w:type="dxa"/>
          </w:tcPr>
          <w:p>
            <w:pPr>
              <w:pStyle w:val="TableParagraph"/>
              <w:spacing w:line="266" w:lineRule="auto" w:before="136"/>
              <w:ind w:left="200" w:right="110"/>
              <w:jc w:val="both"/>
              <w:rPr>
                <w:sz w:val="21"/>
              </w:rPr>
            </w:pPr>
            <w:r>
              <w:rPr>
                <w:rFonts w:ascii="Times New Roman" w:hAnsi="Times New Roman" w:eastAsia="Times New Roman"/>
                <w:sz w:val="21"/>
              </w:rPr>
              <w:t>(</w:t>
            </w:r>
            <w:r>
              <w:rPr>
                <w:sz w:val="21"/>
              </w:rPr>
              <w:t>十八</w:t>
            </w:r>
            <w:r>
              <w:rPr>
                <w:rFonts w:ascii="Times New Roman" w:hAnsi="Times New Roman" w:eastAsia="Times New Roman"/>
                <w:sz w:val="21"/>
              </w:rPr>
              <w:t>) </w:t>
            </w:r>
            <w:r>
              <w:rPr>
                <w:sz w:val="21"/>
              </w:rPr>
              <w:t>主动脉手术－“中国保险行业协会推荐”</w:t>
            </w:r>
          </w:p>
        </w:tc>
        <w:tc>
          <w:tcPr>
            <w:tcW w:w="7562" w:type="dxa"/>
          </w:tcPr>
          <w:p>
            <w:pPr>
              <w:pStyle w:val="TableParagraph"/>
              <w:spacing w:line="273" w:lineRule="auto" w:before="136"/>
              <w:ind w:left="98" w:right="303"/>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ind w:left="98"/>
              <w:jc w:val="both"/>
              <w:rPr>
                <w:sz w:val="21"/>
              </w:rPr>
            </w:pPr>
            <w:r>
              <w:rPr>
                <w:sz w:val="21"/>
              </w:rPr>
              <w:t>动脉内血管成形术不在保障范围内。</w:t>
            </w:r>
          </w:p>
        </w:tc>
      </w:tr>
      <w:tr>
        <w:trPr>
          <w:trHeight w:val="4056" w:hRule="atLeast"/>
        </w:trPr>
        <w:tc>
          <w:tcPr>
            <w:tcW w:w="1654" w:type="dxa"/>
          </w:tcPr>
          <w:p>
            <w:pPr>
              <w:pStyle w:val="TableParagraph"/>
              <w:spacing w:line="273" w:lineRule="auto"/>
              <w:ind w:left="200" w:right="96"/>
              <w:jc w:val="both"/>
              <w:rPr>
                <w:sz w:val="21"/>
              </w:rPr>
            </w:pPr>
            <w:r>
              <w:rPr>
                <w:sz w:val="21"/>
              </w:rPr>
              <w:t>（十九）经输血导致的人类免疫缺陷病毒感染</w:t>
            </w:r>
          </w:p>
        </w:tc>
        <w:tc>
          <w:tcPr>
            <w:tcW w:w="7562" w:type="dxa"/>
          </w:tcPr>
          <w:p>
            <w:pPr>
              <w:pStyle w:val="TableParagraph"/>
              <w:ind w:left="98"/>
              <w:rPr>
                <w:sz w:val="21"/>
              </w:rPr>
            </w:pPr>
            <w:r>
              <w:rPr>
                <w:sz w:val="21"/>
              </w:rPr>
              <w:t>被保险人感染上人类免疫缺陷病毒（HIV）并且符合下列所有条件：</w:t>
            </w:r>
          </w:p>
          <w:p>
            <w:pPr>
              <w:pStyle w:val="TableParagraph"/>
              <w:spacing w:before="36"/>
              <w:ind w:left="98"/>
              <w:rPr>
                <w:sz w:val="21"/>
              </w:rPr>
            </w:pPr>
            <w:r>
              <w:rPr>
                <w:sz w:val="21"/>
              </w:rPr>
              <w:t>（1）在保障起始日或复效日之后，被保险人因输血而感染 HIV；</w:t>
            </w:r>
          </w:p>
          <w:p>
            <w:pPr>
              <w:pStyle w:val="TableParagraph"/>
              <w:spacing w:line="273" w:lineRule="auto" w:before="36"/>
              <w:ind w:left="624" w:right="303" w:hanging="527"/>
              <w:rPr>
                <w:sz w:val="21"/>
              </w:rPr>
            </w:pPr>
            <w:r>
              <w:rPr>
                <w:sz w:val="21"/>
              </w:rPr>
              <w:t>（2）提供输血治疗的输血中心或医院出具该项输血感染属医疗责任事故的报告，或者法院终审裁定为医疗责任并且不准上诉；</w:t>
            </w:r>
          </w:p>
          <w:p>
            <w:pPr>
              <w:pStyle w:val="TableParagraph"/>
              <w:spacing w:before="7"/>
              <w:ind w:left="98"/>
              <w:rPr>
                <w:sz w:val="21"/>
              </w:rPr>
            </w:pPr>
            <w:r>
              <w:rPr>
                <w:sz w:val="21"/>
              </w:rPr>
              <w:t>（3）受感染的被保险人不是血友病患者；</w:t>
            </w:r>
          </w:p>
          <w:p>
            <w:pPr>
              <w:pStyle w:val="TableParagraph"/>
              <w:spacing w:before="0"/>
              <w:ind w:left="0"/>
              <w:rPr>
                <w:rFonts w:ascii="Times New Roman"/>
                <w:sz w:val="20"/>
              </w:rPr>
            </w:pPr>
          </w:p>
          <w:p>
            <w:pPr>
              <w:pStyle w:val="TableParagraph"/>
              <w:spacing w:before="119"/>
              <w:ind w:left="98"/>
              <w:rPr>
                <w:sz w:val="21"/>
              </w:rPr>
            </w:pPr>
            <w:r>
              <w:rPr>
                <w:sz w:val="21"/>
              </w:rPr>
              <w:t>在任何治愈艾滋病（AIDS）或阻止 HIV 病毒作用的疗法被发现以后，或能防止</w:t>
            </w:r>
          </w:p>
          <w:p>
            <w:pPr>
              <w:pStyle w:val="TableParagraph"/>
              <w:spacing w:before="36"/>
              <w:ind w:left="98"/>
              <w:rPr>
                <w:sz w:val="21"/>
              </w:rPr>
            </w:pPr>
            <w:r>
              <w:rPr>
                <w:sz w:val="21"/>
              </w:rPr>
              <w:t>AIDS 发生的医疗方法被研究出来以后，本保障将不再予以赔付。</w:t>
            </w:r>
          </w:p>
          <w:p>
            <w:pPr>
              <w:pStyle w:val="TableParagraph"/>
              <w:spacing w:before="0"/>
              <w:ind w:left="0"/>
              <w:rPr>
                <w:rFonts w:ascii="Times New Roman"/>
                <w:sz w:val="20"/>
              </w:rPr>
            </w:pPr>
          </w:p>
          <w:p>
            <w:pPr>
              <w:pStyle w:val="TableParagraph"/>
              <w:spacing w:line="273" w:lineRule="auto" w:before="118"/>
              <w:ind w:left="98" w:right="314"/>
              <w:jc w:val="both"/>
              <w:rPr>
                <w:sz w:val="21"/>
              </w:rPr>
            </w:pPr>
            <w:r>
              <w:rPr>
                <w:spacing w:val="-3"/>
                <w:sz w:val="21"/>
              </w:rPr>
              <w:t>任何因其他传播方式</w:t>
            </w:r>
            <w:r>
              <w:rPr>
                <w:sz w:val="21"/>
              </w:rPr>
              <w:t>（</w:t>
            </w:r>
            <w:r>
              <w:rPr>
                <w:spacing w:val="-3"/>
                <w:sz w:val="21"/>
              </w:rPr>
              <w:t>包括：性传播或静脉注射毒品</w:t>
            </w:r>
            <w:r>
              <w:rPr>
                <w:sz w:val="21"/>
              </w:rPr>
              <w:t>）</w:t>
            </w:r>
            <w:r>
              <w:rPr>
                <w:spacing w:val="-11"/>
                <w:sz w:val="21"/>
              </w:rPr>
              <w:t>导致的 </w:t>
            </w:r>
            <w:r>
              <w:rPr>
                <w:sz w:val="21"/>
              </w:rPr>
              <w:t>HIV</w:t>
            </w:r>
            <w:r>
              <w:rPr>
                <w:spacing w:val="-10"/>
                <w:sz w:val="21"/>
              </w:rPr>
              <w:t> 感染不在本</w:t>
            </w:r>
            <w:r>
              <w:rPr>
                <w:spacing w:val="-5"/>
                <w:sz w:val="21"/>
              </w:rPr>
              <w:t>保单保障范围内。保险公司必须拥有获得和使用被保险人的所有血液样本的权</w:t>
            </w:r>
            <w:r>
              <w:rPr>
                <w:spacing w:val="-4"/>
                <w:sz w:val="21"/>
              </w:rPr>
              <w:t>利和能够对这些样本进行独立检验的权利。</w:t>
            </w:r>
          </w:p>
        </w:tc>
      </w:tr>
      <w:tr>
        <w:trPr>
          <w:trHeight w:val="1041" w:hRule="atLeast"/>
        </w:trPr>
        <w:tc>
          <w:tcPr>
            <w:tcW w:w="1654" w:type="dxa"/>
          </w:tcPr>
          <w:p>
            <w:pPr>
              <w:pStyle w:val="TableParagraph"/>
              <w:spacing w:line="273" w:lineRule="auto"/>
              <w:ind w:left="200" w:right="96"/>
              <w:rPr>
                <w:sz w:val="21"/>
              </w:rPr>
            </w:pPr>
            <w:r>
              <w:rPr>
                <w:sz w:val="21"/>
              </w:rPr>
              <w:t>（二十）严重川崎病</w:t>
            </w:r>
          </w:p>
        </w:tc>
        <w:tc>
          <w:tcPr>
            <w:tcW w:w="7562" w:type="dxa"/>
          </w:tcPr>
          <w:p>
            <w:pPr>
              <w:pStyle w:val="TableParagraph"/>
              <w:spacing w:line="310" w:lineRule="atLeast" w:before="107"/>
              <w:ind w:left="98" w:right="303"/>
              <w:jc w:val="both"/>
              <w:rPr>
                <w:sz w:val="21"/>
              </w:rPr>
            </w:pPr>
            <w:r>
              <w:rPr>
                <w:sz w:val="21"/>
              </w:rPr>
              <w:t>川崎病为一种病因不明的系统性血管炎。本合同所指严重川崎病是指经心脏超声心动图或冠脉造影检查证实川崎病并发冠状动脉瘤，并且实际接受了手术治疗的情况。</w:t>
            </w:r>
          </w:p>
        </w:tc>
      </w:tr>
    </w:tbl>
    <w:p>
      <w:pPr>
        <w:spacing w:after="0" w:line="310" w:lineRule="atLeast"/>
        <w:jc w:val="both"/>
        <w:rPr>
          <w:sz w:val="21"/>
        </w:rPr>
        <w:sectPr>
          <w:pgSz w:w="11910" w:h="16840"/>
          <w:pgMar w:header="878" w:footer="984" w:top="1140" w:bottom="1180" w:left="960" w:right="1020"/>
        </w:sectPr>
      </w:pPr>
    </w:p>
    <w:p>
      <w:pPr>
        <w:pStyle w:val="BodyText"/>
        <w:spacing w:before="10"/>
        <w:rPr>
          <w:rFonts w:ascii="Times New Roman"/>
          <w:sz w:val="22"/>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0"/>
        <w:gridCol w:w="1593"/>
        <w:gridCol w:w="7502"/>
      </w:tblGrid>
      <w:tr>
        <w:trPr>
          <w:trHeight w:val="1350" w:hRule="atLeast"/>
        </w:trPr>
        <w:tc>
          <w:tcPr>
            <w:tcW w:w="700" w:type="dxa"/>
          </w:tcPr>
          <w:p>
            <w:pPr>
              <w:pStyle w:val="TableParagraph"/>
              <w:spacing w:before="0"/>
              <w:ind w:left="0"/>
              <w:rPr>
                <w:rFonts w:ascii="Times New Roman"/>
                <w:sz w:val="20"/>
              </w:rPr>
            </w:pPr>
          </w:p>
        </w:tc>
        <w:tc>
          <w:tcPr>
            <w:tcW w:w="1593" w:type="dxa"/>
          </w:tcPr>
          <w:p>
            <w:pPr>
              <w:pStyle w:val="TableParagraph"/>
              <w:spacing w:line="211" w:lineRule="exact" w:before="0"/>
              <w:ind w:left="182"/>
              <w:rPr>
                <w:sz w:val="21"/>
              </w:rPr>
            </w:pPr>
            <w:r>
              <w:rPr>
                <w:sz w:val="21"/>
              </w:rPr>
              <w:t>（二十一）严</w:t>
            </w:r>
          </w:p>
          <w:p>
            <w:pPr>
              <w:pStyle w:val="TableParagraph"/>
              <w:spacing w:line="273" w:lineRule="auto" w:before="37"/>
              <w:ind w:left="182" w:right="146"/>
              <w:rPr>
                <w:sz w:val="21"/>
              </w:rPr>
            </w:pPr>
            <w:r>
              <w:rPr>
                <w:sz w:val="21"/>
              </w:rPr>
              <w:t>重幼年型类风湿关节炎</w:t>
            </w:r>
          </w:p>
        </w:tc>
        <w:tc>
          <w:tcPr>
            <w:tcW w:w="7502" w:type="dxa"/>
          </w:tcPr>
          <w:p>
            <w:pPr>
              <w:pStyle w:val="TableParagraph"/>
              <w:spacing w:line="211" w:lineRule="exact" w:before="0"/>
              <w:rPr>
                <w:sz w:val="21"/>
              </w:rPr>
            </w:pPr>
            <w:r>
              <w:rPr>
                <w:sz w:val="21"/>
              </w:rPr>
              <w:t>幼年型类风湿关节炎是一种儿童期发病的慢性关节炎，其特点为在高热和系统</w:t>
            </w:r>
          </w:p>
          <w:p>
            <w:pPr>
              <w:pStyle w:val="TableParagraph"/>
              <w:spacing w:before="37"/>
              <w:rPr>
                <w:sz w:val="21"/>
              </w:rPr>
            </w:pPr>
            <w:r>
              <w:rPr>
                <w:sz w:val="21"/>
              </w:rPr>
              <w:t>性病征出现数月后发生关节炎。诊断必须由小儿风湿科专科医生确认。</w:t>
            </w:r>
          </w:p>
          <w:p>
            <w:pPr>
              <w:pStyle w:val="TableParagraph"/>
              <w:spacing w:line="273" w:lineRule="auto" w:before="36"/>
              <w:ind w:right="211"/>
              <w:rPr>
                <w:sz w:val="21"/>
              </w:rPr>
            </w:pPr>
            <w:r>
              <w:rPr>
                <w:sz w:val="21"/>
              </w:rPr>
              <w:t>本主合同仅对实际接受了膝关节或髋关节置换手术治疗的严重的幼年型类风湿关节炎予以理赔。</w:t>
            </w:r>
          </w:p>
        </w:tc>
      </w:tr>
      <w:tr>
        <w:trPr>
          <w:trHeight w:val="1875" w:hRule="atLeast"/>
        </w:trPr>
        <w:tc>
          <w:tcPr>
            <w:tcW w:w="700" w:type="dxa"/>
          </w:tcPr>
          <w:p>
            <w:pPr>
              <w:pStyle w:val="TableParagraph"/>
              <w:spacing w:before="0"/>
              <w:ind w:left="0"/>
              <w:rPr>
                <w:rFonts w:ascii="Times New Roman"/>
                <w:sz w:val="20"/>
              </w:rPr>
            </w:pPr>
          </w:p>
        </w:tc>
        <w:tc>
          <w:tcPr>
            <w:tcW w:w="1593" w:type="dxa"/>
          </w:tcPr>
          <w:p>
            <w:pPr>
              <w:pStyle w:val="TableParagraph"/>
              <w:spacing w:line="266" w:lineRule="auto" w:before="146"/>
              <w:ind w:left="182" w:right="146"/>
              <w:rPr>
                <w:sz w:val="21"/>
              </w:rPr>
            </w:pPr>
            <w:r>
              <w:rPr>
                <w:sz w:val="21"/>
              </w:rPr>
              <w:t>（二十二）</w:t>
            </w:r>
            <w:r>
              <w:rPr>
                <w:rFonts w:ascii="Times New Roman" w:eastAsia="Times New Roman"/>
                <w:sz w:val="21"/>
              </w:rPr>
              <w:t>1 </w:t>
            </w:r>
            <w:r>
              <w:rPr>
                <w:sz w:val="21"/>
              </w:rPr>
              <w:t>型糖尿病（胰岛素依赖型糖尿病）</w:t>
            </w:r>
          </w:p>
        </w:tc>
        <w:tc>
          <w:tcPr>
            <w:tcW w:w="7502" w:type="dxa"/>
          </w:tcPr>
          <w:p>
            <w:pPr>
              <w:pStyle w:val="TableParagraph"/>
              <w:spacing w:line="273" w:lineRule="auto" w:before="146"/>
              <w:ind w:right="211"/>
              <w:jc w:val="both"/>
              <w:rPr>
                <w:sz w:val="21"/>
              </w:rPr>
            </w:pPr>
            <w:r>
              <w:rPr>
                <w:sz w:val="21"/>
              </w:rPr>
              <w:t>1</w:t>
            </w:r>
            <w:r>
              <w:rPr>
                <w:spacing w:val="-7"/>
                <w:sz w:val="21"/>
              </w:rPr>
              <w:t> 型糖尿病的特征为由于胰岛素分泌绝对不足引起严重胰岛素缺乏导致慢性血</w:t>
            </w:r>
            <w:r>
              <w:rPr>
                <w:spacing w:val="-5"/>
                <w:sz w:val="21"/>
              </w:rPr>
              <w:t>糖升高，需要依赖外源性胰岛素进行机体的葡萄糖代谢和维持生命。被保险人</w:t>
            </w:r>
            <w:r>
              <w:rPr>
                <w:spacing w:val="-24"/>
                <w:sz w:val="21"/>
              </w:rPr>
              <w:t>的 </w:t>
            </w:r>
            <w:r>
              <w:rPr>
                <w:sz w:val="21"/>
              </w:rPr>
              <w:t>1</w:t>
            </w:r>
            <w:r>
              <w:rPr>
                <w:spacing w:val="-10"/>
                <w:sz w:val="21"/>
              </w:rPr>
              <w:t> 型糖尿病必须由内分泌专科医师确诊，而且有血胰岛素测定及血 </w:t>
            </w:r>
            <w:r>
              <w:rPr>
                <w:sz w:val="21"/>
              </w:rPr>
              <w:t>C</w:t>
            </w:r>
            <w:r>
              <w:rPr>
                <w:spacing w:val="-13"/>
                <w:sz w:val="21"/>
              </w:rPr>
              <w:t> 肽或尿</w:t>
            </w:r>
          </w:p>
          <w:p>
            <w:pPr>
              <w:pStyle w:val="TableParagraph"/>
              <w:spacing w:line="273" w:lineRule="auto" w:before="8"/>
              <w:ind w:right="204"/>
              <w:jc w:val="both"/>
              <w:rPr>
                <w:sz w:val="21"/>
              </w:rPr>
            </w:pPr>
            <w:r>
              <w:rPr>
                <w:sz w:val="21"/>
              </w:rPr>
              <w:t>C</w:t>
            </w:r>
            <w:r>
              <w:rPr>
                <w:spacing w:val="-14"/>
                <w:sz w:val="21"/>
              </w:rPr>
              <w:t> 肽测定结果支持诊断，并且已经持续性地接受外源性胰岛素注射治疗连续 </w:t>
            </w:r>
            <w:r>
              <w:rPr>
                <w:spacing w:val="-3"/>
                <w:sz w:val="21"/>
              </w:rPr>
              <w:t>180 </w:t>
            </w:r>
            <w:r>
              <w:rPr>
                <w:spacing w:val="-1"/>
                <w:sz w:val="21"/>
              </w:rPr>
              <w:t>天以上。</w:t>
            </w:r>
          </w:p>
        </w:tc>
      </w:tr>
      <w:tr>
        <w:trPr>
          <w:trHeight w:val="1872" w:hRule="atLeast"/>
        </w:trPr>
        <w:tc>
          <w:tcPr>
            <w:tcW w:w="700" w:type="dxa"/>
          </w:tcPr>
          <w:p>
            <w:pPr>
              <w:pStyle w:val="TableParagraph"/>
              <w:spacing w:before="0"/>
              <w:ind w:left="0"/>
              <w:rPr>
                <w:rFonts w:ascii="Times New Roman"/>
                <w:sz w:val="20"/>
              </w:rPr>
            </w:pPr>
          </w:p>
        </w:tc>
        <w:tc>
          <w:tcPr>
            <w:tcW w:w="1593" w:type="dxa"/>
          </w:tcPr>
          <w:p>
            <w:pPr>
              <w:pStyle w:val="TableParagraph"/>
              <w:spacing w:line="273" w:lineRule="auto"/>
              <w:ind w:left="182" w:right="146"/>
              <w:rPr>
                <w:sz w:val="21"/>
              </w:rPr>
            </w:pPr>
            <w:r>
              <w:rPr>
                <w:sz w:val="21"/>
              </w:rPr>
              <w:t>（二十三）脊髓灰质炎</w:t>
            </w:r>
          </w:p>
        </w:tc>
        <w:tc>
          <w:tcPr>
            <w:tcW w:w="7502" w:type="dxa"/>
          </w:tcPr>
          <w:p>
            <w:pPr>
              <w:pStyle w:val="TableParagraph"/>
              <w:spacing w:line="273" w:lineRule="auto"/>
              <w:ind w:right="200"/>
              <w:jc w:val="both"/>
              <w:rPr>
                <w:sz w:val="21"/>
              </w:rPr>
            </w:pPr>
            <w:r>
              <w:rPr>
                <w:spacing w:val="-3"/>
                <w:sz w:val="21"/>
              </w:rPr>
              <w:t>脊髓灰质炎是由于脊髓灰质炎病毒感染所致的瘫痪性疾病，临床表现为运动功能损害或呼吸无力。脊髓灰质炎必须明确诊断。本保单仅对脊髓灰质炎造成的神经系统功能损害导致被保险人一肢或一肢以上肢体机能永久完全丧失的情况</w:t>
            </w:r>
            <w:r>
              <w:rPr>
                <w:spacing w:val="-5"/>
                <w:sz w:val="21"/>
              </w:rPr>
              <w:t>予以理赔。肢体机能永久完全丧失，指疾病确诊 </w:t>
            </w:r>
            <w:r>
              <w:rPr>
                <w:sz w:val="21"/>
              </w:rPr>
              <w:t>180</w:t>
            </w:r>
            <w:r>
              <w:rPr>
                <w:spacing w:val="-7"/>
                <w:sz w:val="21"/>
              </w:rPr>
              <w:t> 天后，每肢三大关节中的</w:t>
            </w:r>
            <w:r>
              <w:rPr>
                <w:spacing w:val="-5"/>
                <w:sz w:val="21"/>
              </w:rPr>
              <w:t>两大关节仍然完全僵硬，或不能随意识活动。</w:t>
            </w:r>
          </w:p>
        </w:tc>
      </w:tr>
      <w:tr>
        <w:trPr>
          <w:trHeight w:val="936" w:hRule="atLeast"/>
        </w:trPr>
        <w:tc>
          <w:tcPr>
            <w:tcW w:w="700" w:type="dxa"/>
          </w:tcPr>
          <w:p>
            <w:pPr>
              <w:pStyle w:val="TableParagraph"/>
              <w:ind w:left="200"/>
              <w:rPr>
                <w:b/>
                <w:sz w:val="21"/>
              </w:rPr>
            </w:pPr>
            <w:r>
              <w:rPr>
                <w:b/>
                <w:sz w:val="21"/>
              </w:rPr>
              <w:t>6.5</w:t>
            </w:r>
          </w:p>
        </w:tc>
        <w:tc>
          <w:tcPr>
            <w:tcW w:w="1593" w:type="dxa"/>
          </w:tcPr>
          <w:p>
            <w:pPr>
              <w:pStyle w:val="TableParagraph"/>
              <w:spacing w:line="273" w:lineRule="auto"/>
              <w:ind w:left="182" w:right="141"/>
              <w:rPr>
                <w:b/>
                <w:sz w:val="21"/>
              </w:rPr>
            </w:pPr>
            <w:r>
              <w:rPr>
                <w:b/>
                <w:sz w:val="21"/>
              </w:rPr>
              <w:t>少儿特定重大疾病</w:t>
            </w:r>
          </w:p>
        </w:tc>
        <w:tc>
          <w:tcPr>
            <w:tcW w:w="7502" w:type="dxa"/>
          </w:tcPr>
          <w:p>
            <w:pPr>
              <w:pStyle w:val="TableParagraph"/>
              <w:spacing w:line="273" w:lineRule="auto"/>
              <w:ind w:right="212"/>
              <w:rPr>
                <w:sz w:val="21"/>
              </w:rPr>
            </w:pPr>
            <w:r>
              <w:rPr>
                <w:sz w:val="21"/>
              </w:rPr>
              <w:t>指保险责任生效后，经专科医生明确诊断，被保险人初次发生符合以下疾病定义所述条件的疾病：</w:t>
            </w:r>
          </w:p>
        </w:tc>
      </w:tr>
      <w:tr>
        <w:trPr>
          <w:trHeight w:val="3157" w:hRule="atLeast"/>
        </w:trPr>
        <w:tc>
          <w:tcPr>
            <w:tcW w:w="700" w:type="dxa"/>
          </w:tcPr>
          <w:p>
            <w:pPr>
              <w:pStyle w:val="TableParagraph"/>
              <w:spacing w:before="0"/>
              <w:ind w:left="0"/>
              <w:rPr>
                <w:rFonts w:ascii="Times New Roman"/>
                <w:sz w:val="20"/>
              </w:rPr>
            </w:pPr>
          </w:p>
        </w:tc>
        <w:tc>
          <w:tcPr>
            <w:tcW w:w="1593" w:type="dxa"/>
          </w:tcPr>
          <w:p>
            <w:pPr>
              <w:pStyle w:val="TableParagraph"/>
              <w:ind w:left="182"/>
              <w:rPr>
                <w:sz w:val="21"/>
              </w:rPr>
            </w:pPr>
            <w:r>
              <w:rPr>
                <w:sz w:val="21"/>
              </w:rPr>
              <w:t>(一) 白血病</w:t>
            </w:r>
          </w:p>
        </w:tc>
        <w:tc>
          <w:tcPr>
            <w:tcW w:w="7502" w:type="dxa"/>
          </w:tcPr>
          <w:p>
            <w:pPr>
              <w:pStyle w:val="TableParagraph"/>
              <w:spacing w:line="273" w:lineRule="auto"/>
              <w:ind w:right="211"/>
              <w:jc w:val="both"/>
              <w:rPr>
                <w:sz w:val="21"/>
              </w:rPr>
            </w:pPr>
            <w:r>
              <w:rPr>
                <w:sz w:val="21"/>
              </w:rPr>
              <w:t>是一种造血系统的恶性肿瘤，其主要表现为白血病细胞在骨髓或其他造血组织中进行性、失控制的异常增生，并浸润至其他组织与器官，使正常血细胞生成减少，周围白细胞有质和量的变化，产生相应临床表现。被保险人所患白血病必须根据骨髓的活组织检查和周围血象由专科（儿科、血液科或肿瘤科）医生确诊，并且至少已经接受了下列一项治疗：</w:t>
            </w:r>
          </w:p>
          <w:p>
            <w:pPr>
              <w:pStyle w:val="TableParagraph"/>
              <w:spacing w:before="105"/>
              <w:ind w:left="357"/>
              <w:rPr>
                <w:sz w:val="21"/>
              </w:rPr>
            </w:pPr>
            <w:r>
              <w:rPr>
                <w:sz w:val="21"/>
              </w:rPr>
              <w:t>1)化学治疗</w:t>
            </w:r>
          </w:p>
          <w:p>
            <w:pPr>
              <w:pStyle w:val="TableParagraph"/>
              <w:spacing w:before="137"/>
              <w:ind w:left="357"/>
              <w:rPr>
                <w:sz w:val="21"/>
              </w:rPr>
            </w:pPr>
            <w:r>
              <w:rPr>
                <w:sz w:val="21"/>
              </w:rPr>
              <w:t>2)骨髓移植</w:t>
            </w:r>
          </w:p>
          <w:p>
            <w:pPr>
              <w:pStyle w:val="TableParagraph"/>
              <w:spacing w:before="137"/>
              <w:jc w:val="both"/>
              <w:rPr>
                <w:sz w:val="21"/>
              </w:rPr>
            </w:pPr>
            <w:r>
              <w:rPr>
                <w:sz w:val="21"/>
              </w:rPr>
              <w:t>下列白血病除外：相当于 Binet 分期方案 A 期程度的慢性淋巴细胞白血病。</w:t>
            </w:r>
          </w:p>
        </w:tc>
      </w:tr>
      <w:tr>
        <w:trPr>
          <w:trHeight w:val="2634" w:hRule="atLeast"/>
        </w:trPr>
        <w:tc>
          <w:tcPr>
            <w:tcW w:w="700" w:type="dxa"/>
          </w:tcPr>
          <w:p>
            <w:pPr>
              <w:pStyle w:val="TableParagraph"/>
              <w:spacing w:before="0"/>
              <w:ind w:left="0"/>
              <w:rPr>
                <w:rFonts w:ascii="Times New Roman"/>
                <w:sz w:val="20"/>
              </w:rPr>
            </w:pPr>
          </w:p>
        </w:tc>
        <w:tc>
          <w:tcPr>
            <w:tcW w:w="1593" w:type="dxa"/>
          </w:tcPr>
          <w:p>
            <w:pPr>
              <w:pStyle w:val="TableParagraph"/>
              <w:spacing w:before="7"/>
              <w:ind w:left="0"/>
              <w:rPr>
                <w:rFonts w:ascii="Times New Roman"/>
                <w:sz w:val="16"/>
              </w:rPr>
            </w:pPr>
          </w:p>
          <w:p>
            <w:pPr>
              <w:pStyle w:val="TableParagraph"/>
              <w:spacing w:line="273" w:lineRule="auto" w:before="1"/>
              <w:ind w:left="182" w:right="146"/>
              <w:rPr>
                <w:sz w:val="21"/>
              </w:rPr>
            </w:pPr>
            <w:r>
              <w:rPr>
                <w:sz w:val="21"/>
              </w:rPr>
              <w:t>(二) 脑炎后遗症或脑膜炎后遗症</w:t>
            </w:r>
          </w:p>
        </w:tc>
        <w:tc>
          <w:tcPr>
            <w:tcW w:w="7502" w:type="dxa"/>
          </w:tcPr>
          <w:p>
            <w:pPr>
              <w:pStyle w:val="TableParagraph"/>
              <w:spacing w:before="7"/>
              <w:ind w:left="0"/>
              <w:rPr>
                <w:rFonts w:ascii="Times New Roman"/>
                <w:sz w:val="16"/>
              </w:rPr>
            </w:pPr>
          </w:p>
          <w:p>
            <w:pPr>
              <w:pStyle w:val="TableParagraph"/>
              <w:spacing w:line="273" w:lineRule="auto" w:before="1"/>
              <w:ind w:right="212"/>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108"/>
              <w:ind w:left="218"/>
              <w:rPr>
                <w:sz w:val="21"/>
              </w:rPr>
            </w:pPr>
            <w:r>
              <w:rPr>
                <w:sz w:val="21"/>
              </w:rPr>
              <w:t>（1）一肢或一肢以上肢体机能完全丧失；</w:t>
            </w:r>
          </w:p>
          <w:p>
            <w:pPr>
              <w:pStyle w:val="TableParagraph"/>
              <w:spacing w:before="138"/>
              <w:ind w:left="218"/>
              <w:rPr>
                <w:sz w:val="21"/>
              </w:rPr>
            </w:pPr>
            <w:r>
              <w:rPr>
                <w:sz w:val="21"/>
              </w:rPr>
              <w:t>（2）语言能力或咀嚼吞咽能力完全丧失；</w:t>
            </w:r>
          </w:p>
          <w:p>
            <w:pPr>
              <w:pStyle w:val="TableParagraph"/>
              <w:spacing w:line="273" w:lineRule="auto" w:before="135"/>
              <w:ind w:right="199"/>
              <w:rPr>
                <w:sz w:val="21"/>
              </w:rPr>
            </w:pPr>
            <w:r>
              <w:rPr>
                <w:spacing w:val="-16"/>
                <w:sz w:val="21"/>
              </w:rPr>
              <w:t>（3）</w:t>
            </w:r>
            <w:r>
              <w:rPr>
                <w:spacing w:val="-7"/>
                <w:sz w:val="21"/>
              </w:rPr>
              <w:t>自主生活能力完全丧失，无法独立完成六项基本日常生活活动中的三项或</w:t>
            </w:r>
            <w:r>
              <w:rPr>
                <w:spacing w:val="-4"/>
                <w:sz w:val="21"/>
              </w:rPr>
              <w:t>三项以上。</w:t>
            </w:r>
          </w:p>
        </w:tc>
      </w:tr>
      <w:tr>
        <w:trPr>
          <w:trHeight w:val="1397" w:hRule="atLeast"/>
        </w:trPr>
        <w:tc>
          <w:tcPr>
            <w:tcW w:w="700" w:type="dxa"/>
          </w:tcPr>
          <w:p>
            <w:pPr>
              <w:pStyle w:val="TableParagraph"/>
              <w:spacing w:before="0"/>
              <w:ind w:left="0"/>
              <w:rPr>
                <w:rFonts w:ascii="Times New Roman"/>
                <w:sz w:val="20"/>
              </w:rPr>
            </w:pPr>
          </w:p>
        </w:tc>
        <w:tc>
          <w:tcPr>
            <w:tcW w:w="1593" w:type="dxa"/>
          </w:tcPr>
          <w:p>
            <w:pPr>
              <w:pStyle w:val="TableParagraph"/>
              <w:spacing w:before="1"/>
              <w:ind w:left="0"/>
              <w:rPr>
                <w:rFonts w:ascii="Times New Roman"/>
                <w:sz w:val="21"/>
              </w:rPr>
            </w:pPr>
          </w:p>
          <w:p>
            <w:pPr>
              <w:pStyle w:val="TableParagraph"/>
              <w:spacing w:line="273" w:lineRule="auto" w:before="1"/>
              <w:ind w:left="182" w:right="252"/>
              <w:rPr>
                <w:sz w:val="21"/>
              </w:rPr>
            </w:pPr>
            <w:r>
              <w:rPr>
                <w:sz w:val="21"/>
              </w:rPr>
              <w:t>(三) 严重川崎病</w:t>
            </w:r>
          </w:p>
        </w:tc>
        <w:tc>
          <w:tcPr>
            <w:tcW w:w="7502" w:type="dxa"/>
          </w:tcPr>
          <w:p>
            <w:pPr>
              <w:pStyle w:val="TableParagraph"/>
              <w:spacing w:before="1"/>
              <w:ind w:left="0"/>
              <w:rPr>
                <w:rFonts w:ascii="Times New Roman"/>
                <w:sz w:val="21"/>
              </w:rPr>
            </w:pPr>
          </w:p>
          <w:p>
            <w:pPr>
              <w:pStyle w:val="TableParagraph"/>
              <w:spacing w:line="273" w:lineRule="auto" w:before="1"/>
              <w:ind w:right="212"/>
              <w:jc w:val="both"/>
              <w:rPr>
                <w:sz w:val="21"/>
              </w:rPr>
            </w:pPr>
            <w:r>
              <w:rPr>
                <w:sz w:val="21"/>
              </w:rPr>
              <w:t>川崎病为一种病因不明的系统性血管炎。本合同所指严重川崎病是指经心脏超声心动图或冠脉造影检查证实川崎病并发冠状动脉瘤，并且实际接受了手术治疗的情况。</w:t>
            </w:r>
          </w:p>
        </w:tc>
      </w:tr>
      <w:tr>
        <w:trPr>
          <w:trHeight w:val="466" w:hRule="atLeast"/>
        </w:trPr>
        <w:tc>
          <w:tcPr>
            <w:tcW w:w="700" w:type="dxa"/>
          </w:tcPr>
          <w:p>
            <w:pPr>
              <w:pStyle w:val="TableParagraph"/>
              <w:spacing w:before="7"/>
              <w:ind w:left="0"/>
              <w:rPr>
                <w:rFonts w:ascii="Times New Roman"/>
                <w:sz w:val="16"/>
              </w:rPr>
            </w:pPr>
          </w:p>
          <w:p>
            <w:pPr>
              <w:pStyle w:val="TableParagraph"/>
              <w:spacing w:line="255" w:lineRule="exact" w:before="1"/>
              <w:ind w:left="200"/>
              <w:rPr>
                <w:b/>
                <w:sz w:val="21"/>
              </w:rPr>
            </w:pPr>
            <w:r>
              <w:rPr>
                <w:b/>
                <w:sz w:val="21"/>
              </w:rPr>
              <w:t>6.6</w:t>
            </w:r>
          </w:p>
        </w:tc>
        <w:tc>
          <w:tcPr>
            <w:tcW w:w="1593" w:type="dxa"/>
          </w:tcPr>
          <w:p>
            <w:pPr>
              <w:pStyle w:val="TableParagraph"/>
              <w:spacing w:before="7"/>
              <w:ind w:left="0"/>
              <w:rPr>
                <w:rFonts w:ascii="Times New Roman"/>
                <w:sz w:val="16"/>
              </w:rPr>
            </w:pPr>
          </w:p>
          <w:p>
            <w:pPr>
              <w:pStyle w:val="TableParagraph"/>
              <w:spacing w:line="255" w:lineRule="exact" w:before="1"/>
              <w:ind w:left="182"/>
              <w:rPr>
                <w:b/>
                <w:sz w:val="21"/>
              </w:rPr>
            </w:pPr>
            <w:r>
              <w:rPr>
                <w:b/>
                <w:sz w:val="21"/>
              </w:rPr>
              <w:t>意外伤害</w:t>
            </w:r>
          </w:p>
        </w:tc>
        <w:tc>
          <w:tcPr>
            <w:tcW w:w="7502" w:type="dxa"/>
          </w:tcPr>
          <w:p>
            <w:pPr>
              <w:pStyle w:val="TableParagraph"/>
              <w:spacing w:before="7"/>
              <w:ind w:left="0"/>
              <w:rPr>
                <w:rFonts w:ascii="Times New Roman"/>
                <w:sz w:val="16"/>
              </w:rPr>
            </w:pPr>
          </w:p>
          <w:p>
            <w:pPr>
              <w:pStyle w:val="TableParagraph"/>
              <w:spacing w:line="255" w:lineRule="exact" w:before="1"/>
              <w:rPr>
                <w:sz w:val="21"/>
              </w:rPr>
            </w:pPr>
            <w:r>
              <w:rPr>
                <w:sz w:val="21"/>
              </w:rPr>
              <w:t>指遭受外来的、突发的、非本意的、非疾病的使身体受到伤害的客观事件。</w:t>
            </w:r>
          </w:p>
        </w:tc>
      </w:tr>
    </w:tbl>
    <w:p>
      <w:pPr>
        <w:spacing w:after="0" w:line="255" w:lineRule="exact"/>
        <w:rPr>
          <w:sz w:val="21"/>
        </w:rPr>
        <w:sectPr>
          <w:pgSz w:w="11910" w:h="16840"/>
          <w:pgMar w:header="878" w:footer="984" w:top="1140" w:bottom="1180" w:left="760" w:right="1120"/>
        </w:sectPr>
      </w:pPr>
    </w:p>
    <w:p>
      <w:pPr>
        <w:pStyle w:val="BodyText"/>
        <w:spacing w:before="10"/>
        <w:rPr>
          <w:rFonts w:ascii="Times New Roman"/>
          <w:sz w:val="22"/>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9"/>
        <w:gridCol w:w="1543"/>
        <w:gridCol w:w="7606"/>
      </w:tblGrid>
      <w:tr>
        <w:trPr>
          <w:trHeight w:val="2290" w:hRule="atLeast"/>
        </w:trPr>
        <w:tc>
          <w:tcPr>
            <w:tcW w:w="749" w:type="dxa"/>
          </w:tcPr>
          <w:p>
            <w:pPr>
              <w:pStyle w:val="TableParagraph"/>
              <w:spacing w:line="211" w:lineRule="exact" w:before="0"/>
              <w:ind w:left="200"/>
              <w:rPr>
                <w:b/>
                <w:sz w:val="21"/>
              </w:rPr>
            </w:pPr>
            <w:r>
              <w:rPr>
                <w:b/>
                <w:sz w:val="21"/>
              </w:rPr>
              <w:t>6.7</w:t>
            </w:r>
          </w:p>
        </w:tc>
        <w:tc>
          <w:tcPr>
            <w:tcW w:w="1543" w:type="dxa"/>
          </w:tcPr>
          <w:p>
            <w:pPr>
              <w:pStyle w:val="TableParagraph"/>
              <w:spacing w:line="211" w:lineRule="exact" w:before="0"/>
              <w:ind w:left="133"/>
              <w:rPr>
                <w:b/>
                <w:sz w:val="21"/>
              </w:rPr>
            </w:pPr>
            <w:r>
              <w:rPr>
                <w:b/>
                <w:sz w:val="21"/>
              </w:rPr>
              <w:t>专科医生</w:t>
            </w:r>
          </w:p>
        </w:tc>
        <w:tc>
          <w:tcPr>
            <w:tcW w:w="7606" w:type="dxa"/>
          </w:tcPr>
          <w:p>
            <w:pPr>
              <w:pStyle w:val="TableParagraph"/>
              <w:spacing w:line="211" w:lineRule="exact" w:before="0"/>
              <w:ind w:left="142"/>
              <w:rPr>
                <w:sz w:val="21"/>
              </w:rPr>
            </w:pPr>
            <w:r>
              <w:rPr>
                <w:sz w:val="21"/>
              </w:rPr>
              <w:t>专科医生应当同时满足以下四项资格条件：</w:t>
            </w:r>
          </w:p>
          <w:p>
            <w:pPr>
              <w:pStyle w:val="TableParagraph"/>
              <w:spacing w:before="37"/>
              <w:ind w:left="224"/>
              <w:rPr>
                <w:sz w:val="21"/>
              </w:rPr>
            </w:pPr>
            <w:r>
              <w:rPr>
                <w:sz w:val="21"/>
              </w:rPr>
              <w:t>（1）具有有效的中华人民共和国《医师资格证书》；</w:t>
            </w:r>
          </w:p>
          <w:p>
            <w:pPr>
              <w:pStyle w:val="TableParagraph"/>
              <w:spacing w:line="273" w:lineRule="auto" w:before="36"/>
              <w:ind w:left="764" w:right="303" w:hanging="541"/>
              <w:rPr>
                <w:sz w:val="21"/>
              </w:rPr>
            </w:pPr>
            <w:r>
              <w:rPr>
                <w:sz w:val="21"/>
              </w:rPr>
              <w:t>（2）具有有效的中华人民共和国《医师执业证书》，并按期到相关部门登记注册；</w:t>
            </w:r>
          </w:p>
          <w:p>
            <w:pPr>
              <w:pStyle w:val="TableParagraph"/>
              <w:spacing w:line="273" w:lineRule="auto" w:before="7"/>
              <w:ind w:left="764" w:right="303" w:hanging="541"/>
              <w:rPr>
                <w:sz w:val="21"/>
              </w:rPr>
            </w:pPr>
            <w:r>
              <w:rPr>
                <w:sz w:val="21"/>
              </w:rPr>
              <w:t>（3）具有有效的中华人民共和国主治医师或主治医师以上职称的《医师职称证书》；</w:t>
            </w:r>
          </w:p>
          <w:p>
            <w:pPr>
              <w:pStyle w:val="TableParagraph"/>
              <w:spacing w:before="7"/>
              <w:ind w:left="142"/>
              <w:rPr>
                <w:sz w:val="21"/>
              </w:rPr>
            </w:pPr>
            <w:r>
              <w:rPr>
                <w:sz w:val="21"/>
              </w:rPr>
              <w:t>（4）在二级或二级以上医院的相应科室从事临床工作三年以上。</w:t>
            </w:r>
          </w:p>
        </w:tc>
      </w:tr>
      <w:tr>
        <w:trPr>
          <w:trHeight w:val="1248" w:hRule="atLeast"/>
        </w:trPr>
        <w:tc>
          <w:tcPr>
            <w:tcW w:w="749" w:type="dxa"/>
          </w:tcPr>
          <w:p>
            <w:pPr>
              <w:pStyle w:val="TableParagraph"/>
              <w:ind w:left="200"/>
              <w:rPr>
                <w:b/>
                <w:sz w:val="21"/>
              </w:rPr>
            </w:pPr>
            <w:r>
              <w:rPr>
                <w:b/>
                <w:sz w:val="21"/>
              </w:rPr>
              <w:t>6.8</w:t>
            </w:r>
          </w:p>
        </w:tc>
        <w:tc>
          <w:tcPr>
            <w:tcW w:w="1543" w:type="dxa"/>
          </w:tcPr>
          <w:p>
            <w:pPr>
              <w:pStyle w:val="TableParagraph"/>
              <w:ind w:left="133"/>
              <w:rPr>
                <w:b/>
                <w:sz w:val="21"/>
              </w:rPr>
            </w:pPr>
            <w:r>
              <w:rPr>
                <w:b/>
                <w:sz w:val="21"/>
              </w:rPr>
              <w:t>毒品</w:t>
            </w:r>
          </w:p>
        </w:tc>
        <w:tc>
          <w:tcPr>
            <w:tcW w:w="7606" w:type="dxa"/>
          </w:tcPr>
          <w:p>
            <w:pPr>
              <w:pStyle w:val="TableParagraph"/>
              <w:spacing w:line="273" w:lineRule="auto"/>
              <w:ind w:left="142" w:right="197"/>
              <w:rPr>
                <w:sz w:val="21"/>
              </w:rPr>
            </w:pPr>
            <w:r>
              <w:rPr>
                <w:spacing w:val="-10"/>
                <w:sz w:val="21"/>
              </w:rPr>
              <w:t>指中华人民共和国刑法规定的鸦片、海洛因、甲基苯丙胺</w:t>
            </w:r>
            <w:r>
              <w:rPr>
                <w:sz w:val="21"/>
              </w:rPr>
              <w:t>（</w:t>
            </w:r>
            <w:r>
              <w:rPr>
                <w:spacing w:val="-2"/>
                <w:sz w:val="21"/>
              </w:rPr>
              <w:t>冰毒</w:t>
            </w:r>
            <w:r>
              <w:rPr>
                <w:spacing w:val="-108"/>
                <w:sz w:val="21"/>
              </w:rPr>
              <w:t>）</w:t>
            </w:r>
            <w:r>
              <w:rPr>
                <w:spacing w:val="-13"/>
                <w:sz w:val="21"/>
              </w:rPr>
              <w:t>、吗啡、大麻、</w:t>
            </w:r>
            <w:r>
              <w:rPr>
                <w:spacing w:val="-6"/>
                <w:sz w:val="21"/>
              </w:rPr>
              <w:t>可卡因以及国家规定管制的其他能够使人形成瘾癖的麻醉药品和精神药品，但</w:t>
            </w:r>
            <w:r>
              <w:rPr>
                <w:spacing w:val="-4"/>
                <w:sz w:val="21"/>
              </w:rPr>
              <w:t>不包括由医生开具并遵医嘱使用的用于治疗疾病但含有毒品成分的处方药品。</w:t>
            </w:r>
          </w:p>
        </w:tc>
      </w:tr>
      <w:tr>
        <w:trPr>
          <w:trHeight w:val="1248" w:hRule="atLeast"/>
        </w:trPr>
        <w:tc>
          <w:tcPr>
            <w:tcW w:w="749" w:type="dxa"/>
          </w:tcPr>
          <w:p>
            <w:pPr>
              <w:pStyle w:val="TableParagraph"/>
              <w:spacing w:before="143"/>
              <w:ind w:left="200"/>
              <w:rPr>
                <w:b/>
                <w:sz w:val="21"/>
              </w:rPr>
            </w:pPr>
            <w:r>
              <w:rPr>
                <w:b/>
                <w:sz w:val="21"/>
              </w:rPr>
              <w:t>6.9</w:t>
            </w:r>
          </w:p>
        </w:tc>
        <w:tc>
          <w:tcPr>
            <w:tcW w:w="1543" w:type="dxa"/>
          </w:tcPr>
          <w:p>
            <w:pPr>
              <w:pStyle w:val="TableParagraph"/>
              <w:spacing w:before="143"/>
              <w:ind w:left="133"/>
              <w:rPr>
                <w:b/>
                <w:sz w:val="21"/>
              </w:rPr>
            </w:pPr>
            <w:r>
              <w:rPr>
                <w:b/>
                <w:sz w:val="21"/>
              </w:rPr>
              <w:t>酒后驾驶</w:t>
            </w:r>
          </w:p>
        </w:tc>
        <w:tc>
          <w:tcPr>
            <w:tcW w:w="7606" w:type="dxa"/>
          </w:tcPr>
          <w:p>
            <w:pPr>
              <w:pStyle w:val="TableParagraph"/>
              <w:spacing w:line="273" w:lineRule="auto" w:before="143"/>
              <w:ind w:left="142" w:right="314"/>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184" w:hRule="atLeast"/>
        </w:trPr>
        <w:tc>
          <w:tcPr>
            <w:tcW w:w="749" w:type="dxa"/>
          </w:tcPr>
          <w:p>
            <w:pPr>
              <w:pStyle w:val="TableParagraph"/>
              <w:ind w:left="200"/>
              <w:rPr>
                <w:b/>
                <w:sz w:val="21"/>
              </w:rPr>
            </w:pPr>
            <w:r>
              <w:rPr>
                <w:b/>
                <w:sz w:val="21"/>
              </w:rPr>
              <w:t>6.10</w:t>
            </w:r>
          </w:p>
        </w:tc>
        <w:tc>
          <w:tcPr>
            <w:tcW w:w="1543" w:type="dxa"/>
          </w:tcPr>
          <w:p>
            <w:pPr>
              <w:pStyle w:val="TableParagraph"/>
              <w:spacing w:line="273" w:lineRule="auto"/>
              <w:ind w:left="133" w:right="140"/>
              <w:rPr>
                <w:b/>
                <w:sz w:val="21"/>
              </w:rPr>
            </w:pPr>
            <w:r>
              <w:rPr>
                <w:b/>
                <w:sz w:val="21"/>
              </w:rPr>
              <w:t>无合法有效驾驶证驾驶</w:t>
            </w:r>
          </w:p>
        </w:tc>
        <w:tc>
          <w:tcPr>
            <w:tcW w:w="7606" w:type="dxa"/>
          </w:tcPr>
          <w:p>
            <w:pPr>
              <w:pStyle w:val="TableParagraph"/>
              <w:ind w:left="142"/>
              <w:rPr>
                <w:sz w:val="21"/>
              </w:rPr>
            </w:pPr>
            <w:r>
              <w:rPr>
                <w:sz w:val="21"/>
              </w:rPr>
              <w:t>指下列情形之一：</w:t>
            </w:r>
          </w:p>
          <w:p>
            <w:pPr>
              <w:pStyle w:val="TableParagraph"/>
              <w:spacing w:before="36"/>
              <w:ind w:left="214"/>
              <w:rPr>
                <w:sz w:val="21"/>
              </w:rPr>
            </w:pPr>
            <w:r>
              <w:rPr>
                <w:sz w:val="21"/>
              </w:rPr>
              <w:t>（1）没有取得驾驶资格；</w:t>
            </w:r>
          </w:p>
          <w:p>
            <w:pPr>
              <w:pStyle w:val="TableParagraph"/>
              <w:spacing w:before="36"/>
              <w:ind w:left="214"/>
              <w:rPr>
                <w:sz w:val="21"/>
              </w:rPr>
            </w:pPr>
            <w:r>
              <w:rPr>
                <w:sz w:val="21"/>
              </w:rPr>
              <w:t>（2）驾驶与驾驶证准驾车型不相符合的车辆；</w:t>
            </w:r>
          </w:p>
          <w:p>
            <w:pPr>
              <w:pStyle w:val="TableParagraph"/>
              <w:spacing w:before="36"/>
              <w:ind w:left="214"/>
              <w:rPr>
                <w:sz w:val="21"/>
              </w:rPr>
            </w:pPr>
            <w:r>
              <w:rPr>
                <w:sz w:val="21"/>
              </w:rPr>
              <w:t>（3）持审验不合格的驾驶证驾驶；</w:t>
            </w:r>
          </w:p>
          <w:p>
            <w:pPr>
              <w:pStyle w:val="TableParagraph"/>
              <w:spacing w:line="273" w:lineRule="auto" w:before="36"/>
              <w:ind w:left="774" w:right="314" w:hanging="527"/>
              <w:rPr>
                <w:sz w:val="21"/>
              </w:rPr>
            </w:pPr>
            <w:r>
              <w:rPr>
                <w:sz w:val="21"/>
              </w:rPr>
              <w:t>（4）持学习驾驶证学习驾车时，无教练员随车指导，或不按指定时间、路线学习驾车。</w:t>
            </w:r>
          </w:p>
        </w:tc>
      </w:tr>
      <w:tr>
        <w:trPr>
          <w:trHeight w:val="1248" w:hRule="atLeast"/>
        </w:trPr>
        <w:tc>
          <w:tcPr>
            <w:tcW w:w="749" w:type="dxa"/>
          </w:tcPr>
          <w:p>
            <w:pPr>
              <w:pStyle w:val="TableParagraph"/>
              <w:spacing w:before="143"/>
              <w:ind w:left="200"/>
              <w:rPr>
                <w:b/>
                <w:sz w:val="21"/>
              </w:rPr>
            </w:pPr>
            <w:r>
              <w:rPr>
                <w:b/>
                <w:sz w:val="21"/>
              </w:rPr>
              <w:t>6.11</w:t>
            </w:r>
          </w:p>
        </w:tc>
        <w:tc>
          <w:tcPr>
            <w:tcW w:w="1543" w:type="dxa"/>
          </w:tcPr>
          <w:p>
            <w:pPr>
              <w:pStyle w:val="TableParagraph"/>
              <w:spacing w:before="143"/>
              <w:ind w:left="133"/>
              <w:rPr>
                <w:b/>
                <w:sz w:val="21"/>
              </w:rPr>
            </w:pPr>
            <w:r>
              <w:rPr>
                <w:b/>
                <w:sz w:val="21"/>
              </w:rPr>
              <w:t>无有效行驶证</w:t>
            </w:r>
          </w:p>
        </w:tc>
        <w:tc>
          <w:tcPr>
            <w:tcW w:w="7606" w:type="dxa"/>
          </w:tcPr>
          <w:p>
            <w:pPr>
              <w:pStyle w:val="TableParagraph"/>
              <w:spacing w:before="143"/>
              <w:ind w:left="142"/>
              <w:rPr>
                <w:sz w:val="21"/>
              </w:rPr>
            </w:pPr>
            <w:r>
              <w:rPr>
                <w:sz w:val="21"/>
              </w:rPr>
              <w:t>指下列情形之一：</w:t>
            </w:r>
          </w:p>
          <w:p>
            <w:pPr>
              <w:pStyle w:val="TableParagraph"/>
              <w:spacing w:before="37"/>
              <w:ind w:left="142"/>
              <w:rPr>
                <w:sz w:val="21"/>
              </w:rPr>
            </w:pPr>
            <w:r>
              <w:rPr>
                <w:sz w:val="21"/>
              </w:rPr>
              <w:t>（1）机动车被依法注销登记的；</w:t>
            </w:r>
          </w:p>
          <w:p>
            <w:pPr>
              <w:pStyle w:val="TableParagraph"/>
              <w:spacing w:before="37"/>
              <w:ind w:left="142"/>
              <w:rPr>
                <w:sz w:val="21"/>
              </w:rPr>
            </w:pPr>
            <w:r>
              <w:rPr>
                <w:sz w:val="21"/>
              </w:rPr>
              <w:t>（2）未依法按时进行或通过机动车安全技术检验。</w:t>
            </w:r>
          </w:p>
        </w:tc>
      </w:tr>
      <w:tr>
        <w:trPr>
          <w:trHeight w:val="936" w:hRule="atLeast"/>
        </w:trPr>
        <w:tc>
          <w:tcPr>
            <w:tcW w:w="749" w:type="dxa"/>
          </w:tcPr>
          <w:p>
            <w:pPr>
              <w:pStyle w:val="TableParagraph"/>
              <w:ind w:left="200"/>
              <w:rPr>
                <w:b/>
                <w:sz w:val="21"/>
              </w:rPr>
            </w:pPr>
            <w:r>
              <w:rPr>
                <w:b/>
                <w:sz w:val="21"/>
              </w:rPr>
              <w:t>6.12</w:t>
            </w:r>
          </w:p>
        </w:tc>
        <w:tc>
          <w:tcPr>
            <w:tcW w:w="1543" w:type="dxa"/>
          </w:tcPr>
          <w:p>
            <w:pPr>
              <w:pStyle w:val="TableParagraph"/>
              <w:ind w:left="133"/>
              <w:rPr>
                <w:b/>
                <w:sz w:val="21"/>
              </w:rPr>
            </w:pPr>
            <w:r>
              <w:rPr>
                <w:b/>
                <w:sz w:val="21"/>
              </w:rPr>
              <w:t>遗传性疾病</w:t>
            </w:r>
          </w:p>
        </w:tc>
        <w:tc>
          <w:tcPr>
            <w:tcW w:w="7606" w:type="dxa"/>
          </w:tcPr>
          <w:p>
            <w:pPr>
              <w:pStyle w:val="TableParagraph"/>
              <w:spacing w:line="273" w:lineRule="auto"/>
              <w:ind w:left="142" w:right="315"/>
              <w:rPr>
                <w:sz w:val="21"/>
              </w:rPr>
            </w:pPr>
            <w:r>
              <w:rPr>
                <w:sz w:val="21"/>
              </w:rPr>
              <w:t>指生殖细胞或受精卵的遗传物质（染色体和基因）发生突变或畸变所引起的疾病，通常具有由亲代传至后代的垂直传递的特征。</w:t>
            </w:r>
          </w:p>
        </w:tc>
      </w:tr>
      <w:tr>
        <w:trPr>
          <w:trHeight w:val="1248" w:hRule="atLeast"/>
        </w:trPr>
        <w:tc>
          <w:tcPr>
            <w:tcW w:w="749" w:type="dxa"/>
          </w:tcPr>
          <w:p>
            <w:pPr>
              <w:pStyle w:val="TableParagraph"/>
              <w:ind w:left="200"/>
              <w:rPr>
                <w:b/>
                <w:sz w:val="21"/>
              </w:rPr>
            </w:pPr>
            <w:r>
              <w:rPr>
                <w:b/>
                <w:sz w:val="21"/>
              </w:rPr>
              <w:t>6.13</w:t>
            </w:r>
          </w:p>
        </w:tc>
        <w:tc>
          <w:tcPr>
            <w:tcW w:w="1543" w:type="dxa"/>
          </w:tcPr>
          <w:p>
            <w:pPr>
              <w:pStyle w:val="TableParagraph"/>
              <w:spacing w:line="273" w:lineRule="auto"/>
              <w:ind w:left="133" w:right="140"/>
              <w:jc w:val="both"/>
              <w:rPr>
                <w:b/>
                <w:sz w:val="21"/>
              </w:rPr>
            </w:pPr>
            <w:r>
              <w:rPr>
                <w:b/>
                <w:sz w:val="21"/>
              </w:rPr>
              <w:t>先天性畸形、变形或染色体异常</w:t>
            </w:r>
          </w:p>
        </w:tc>
        <w:tc>
          <w:tcPr>
            <w:tcW w:w="7606" w:type="dxa"/>
          </w:tcPr>
          <w:p>
            <w:pPr>
              <w:pStyle w:val="TableParagraph"/>
              <w:spacing w:line="273" w:lineRule="auto"/>
              <w:ind w:left="142" w:right="211"/>
              <w:rPr>
                <w:sz w:val="21"/>
              </w:rPr>
            </w:pPr>
            <w:r>
              <w:rPr>
                <w:spacing w:val="-3"/>
                <w:sz w:val="21"/>
              </w:rPr>
              <w:t>指被保险人出生时就具有的畸形、变形或染色体异常。先天性畸形、变形和染</w:t>
            </w:r>
            <w:r>
              <w:rPr>
                <w:spacing w:val="-7"/>
                <w:sz w:val="21"/>
              </w:rPr>
              <w:t>色体异常依照世界卫生组织《疾病和有关健康问题的国际统计分类》</w:t>
            </w:r>
            <w:r>
              <w:rPr>
                <w:sz w:val="21"/>
              </w:rPr>
              <w:t>（ICD-10） 确定。</w:t>
            </w:r>
          </w:p>
        </w:tc>
      </w:tr>
      <w:tr>
        <w:trPr>
          <w:trHeight w:val="624" w:hRule="atLeast"/>
        </w:trPr>
        <w:tc>
          <w:tcPr>
            <w:tcW w:w="749" w:type="dxa"/>
          </w:tcPr>
          <w:p>
            <w:pPr>
              <w:pStyle w:val="TableParagraph"/>
              <w:spacing w:before="143"/>
              <w:ind w:left="200"/>
              <w:rPr>
                <w:b/>
                <w:sz w:val="21"/>
              </w:rPr>
            </w:pPr>
            <w:r>
              <w:rPr>
                <w:b/>
                <w:sz w:val="21"/>
              </w:rPr>
              <w:t>6.14</w:t>
            </w:r>
          </w:p>
        </w:tc>
        <w:tc>
          <w:tcPr>
            <w:tcW w:w="1543" w:type="dxa"/>
          </w:tcPr>
          <w:p>
            <w:pPr>
              <w:pStyle w:val="TableParagraph"/>
              <w:spacing w:before="143"/>
              <w:ind w:left="133"/>
              <w:rPr>
                <w:b/>
                <w:sz w:val="21"/>
              </w:rPr>
            </w:pPr>
            <w:r>
              <w:rPr>
                <w:b/>
                <w:sz w:val="21"/>
              </w:rPr>
              <w:t>潜水</w:t>
            </w:r>
          </w:p>
        </w:tc>
        <w:tc>
          <w:tcPr>
            <w:tcW w:w="7606" w:type="dxa"/>
          </w:tcPr>
          <w:p>
            <w:pPr>
              <w:pStyle w:val="TableParagraph"/>
              <w:spacing w:before="143"/>
              <w:ind w:left="142"/>
              <w:rPr>
                <w:sz w:val="21"/>
              </w:rPr>
            </w:pPr>
            <w:r>
              <w:rPr>
                <w:sz w:val="21"/>
              </w:rPr>
              <w:t>指以辅助呼吸器材在江、河、湖、海、水库、运河等水域进行的水下运动。</w:t>
            </w:r>
          </w:p>
        </w:tc>
      </w:tr>
      <w:tr>
        <w:trPr>
          <w:trHeight w:val="623" w:hRule="atLeast"/>
        </w:trPr>
        <w:tc>
          <w:tcPr>
            <w:tcW w:w="749" w:type="dxa"/>
          </w:tcPr>
          <w:p>
            <w:pPr>
              <w:pStyle w:val="TableParagraph"/>
              <w:ind w:left="200"/>
              <w:rPr>
                <w:b/>
                <w:sz w:val="21"/>
              </w:rPr>
            </w:pPr>
            <w:r>
              <w:rPr>
                <w:b/>
                <w:sz w:val="21"/>
              </w:rPr>
              <w:t>6.15</w:t>
            </w:r>
          </w:p>
        </w:tc>
        <w:tc>
          <w:tcPr>
            <w:tcW w:w="1543" w:type="dxa"/>
          </w:tcPr>
          <w:p>
            <w:pPr>
              <w:pStyle w:val="TableParagraph"/>
              <w:ind w:left="125"/>
              <w:rPr>
                <w:b/>
                <w:sz w:val="21"/>
              </w:rPr>
            </w:pPr>
            <w:r>
              <w:rPr>
                <w:b/>
                <w:sz w:val="21"/>
              </w:rPr>
              <w:t>攀岩</w:t>
            </w:r>
          </w:p>
        </w:tc>
        <w:tc>
          <w:tcPr>
            <w:tcW w:w="7606" w:type="dxa"/>
          </w:tcPr>
          <w:p>
            <w:pPr>
              <w:pStyle w:val="TableParagraph"/>
              <w:ind w:left="142"/>
              <w:rPr>
                <w:sz w:val="21"/>
              </w:rPr>
            </w:pPr>
            <w:r>
              <w:rPr>
                <w:sz w:val="21"/>
              </w:rPr>
              <w:t>指攀登悬崖、建筑物外墙、人造悬崖、冰崖、冰ft等运动。</w:t>
            </w:r>
          </w:p>
        </w:tc>
      </w:tr>
      <w:tr>
        <w:trPr>
          <w:trHeight w:val="1248" w:hRule="atLeast"/>
        </w:trPr>
        <w:tc>
          <w:tcPr>
            <w:tcW w:w="749" w:type="dxa"/>
          </w:tcPr>
          <w:p>
            <w:pPr>
              <w:pStyle w:val="TableParagraph"/>
              <w:ind w:left="200"/>
              <w:rPr>
                <w:b/>
                <w:sz w:val="21"/>
              </w:rPr>
            </w:pPr>
            <w:r>
              <w:rPr>
                <w:b/>
                <w:sz w:val="21"/>
              </w:rPr>
              <w:t>6.16</w:t>
            </w:r>
          </w:p>
        </w:tc>
        <w:tc>
          <w:tcPr>
            <w:tcW w:w="1543" w:type="dxa"/>
          </w:tcPr>
          <w:p>
            <w:pPr>
              <w:pStyle w:val="TableParagraph"/>
              <w:ind w:left="125"/>
              <w:rPr>
                <w:b/>
                <w:sz w:val="21"/>
              </w:rPr>
            </w:pPr>
            <w:r>
              <w:rPr>
                <w:b/>
                <w:sz w:val="21"/>
              </w:rPr>
              <w:t>探险活动</w:t>
            </w:r>
          </w:p>
        </w:tc>
        <w:tc>
          <w:tcPr>
            <w:tcW w:w="7606" w:type="dxa"/>
          </w:tcPr>
          <w:p>
            <w:pPr>
              <w:pStyle w:val="TableParagraph"/>
              <w:spacing w:line="273" w:lineRule="auto"/>
              <w:ind w:left="142" w:right="315"/>
              <w:jc w:val="both"/>
              <w:rPr>
                <w:sz w:val="21"/>
              </w:rPr>
            </w:pPr>
            <w:r>
              <w:rPr>
                <w:sz w:val="21"/>
              </w:rPr>
              <w:t>指明知在某种特定的自然条件下有失去生命或使身体受到伤害的危险，而故意使自己置身其中的行为。包括但不限于江河漂流、徒步穿越沙漠或人迹罕至的原始森林等活动。</w:t>
            </w:r>
          </w:p>
        </w:tc>
      </w:tr>
      <w:tr>
        <w:trPr>
          <w:trHeight w:val="729" w:hRule="atLeast"/>
        </w:trPr>
        <w:tc>
          <w:tcPr>
            <w:tcW w:w="749" w:type="dxa"/>
          </w:tcPr>
          <w:p>
            <w:pPr>
              <w:pStyle w:val="TableParagraph"/>
              <w:ind w:left="200"/>
              <w:rPr>
                <w:b/>
                <w:sz w:val="21"/>
              </w:rPr>
            </w:pPr>
            <w:r>
              <w:rPr>
                <w:b/>
                <w:sz w:val="21"/>
              </w:rPr>
              <w:t>6.17</w:t>
            </w:r>
          </w:p>
        </w:tc>
        <w:tc>
          <w:tcPr>
            <w:tcW w:w="1543" w:type="dxa"/>
          </w:tcPr>
          <w:p>
            <w:pPr>
              <w:pStyle w:val="TableParagraph"/>
              <w:ind w:left="125"/>
              <w:rPr>
                <w:b/>
                <w:sz w:val="21"/>
              </w:rPr>
            </w:pPr>
            <w:r>
              <w:rPr>
                <w:b/>
                <w:sz w:val="21"/>
              </w:rPr>
              <w:t>武术比赛</w:t>
            </w:r>
          </w:p>
        </w:tc>
        <w:tc>
          <w:tcPr>
            <w:tcW w:w="7606" w:type="dxa"/>
          </w:tcPr>
          <w:p>
            <w:pPr>
              <w:pStyle w:val="TableParagraph"/>
              <w:spacing w:line="310" w:lineRule="atLeast" w:before="107"/>
              <w:ind w:left="142" w:right="315"/>
              <w:rPr>
                <w:sz w:val="21"/>
              </w:rPr>
            </w:pPr>
            <w:r>
              <w:rPr>
                <w:sz w:val="21"/>
              </w:rPr>
              <w:t>指两人或两人以上对抗柔道、空手道、跆拳道、散打、拳击等各种拳术及各种使用器械的对抗性比赛。</w:t>
            </w:r>
          </w:p>
        </w:tc>
      </w:tr>
    </w:tbl>
    <w:p>
      <w:pPr>
        <w:spacing w:after="0" w:line="310" w:lineRule="atLeast"/>
        <w:rPr>
          <w:sz w:val="21"/>
        </w:rPr>
        <w:sectPr>
          <w:pgSz w:w="11910" w:h="16840"/>
          <w:pgMar w:header="878" w:footer="984" w:top="1140" w:bottom="1180" w:left="760" w:right="1020"/>
        </w:sectPr>
      </w:pPr>
    </w:p>
    <w:p>
      <w:pPr>
        <w:pStyle w:val="BodyText"/>
        <w:spacing w:before="10"/>
        <w:rPr>
          <w:rFonts w:ascii="Times New Roman"/>
          <w:sz w:val="22"/>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9"/>
        <w:gridCol w:w="1540"/>
        <w:gridCol w:w="7603"/>
      </w:tblGrid>
      <w:tr>
        <w:trPr>
          <w:trHeight w:val="1042" w:hRule="atLeast"/>
        </w:trPr>
        <w:tc>
          <w:tcPr>
            <w:tcW w:w="749" w:type="dxa"/>
          </w:tcPr>
          <w:p>
            <w:pPr>
              <w:pStyle w:val="TableParagraph"/>
              <w:spacing w:line="211" w:lineRule="exact" w:before="0"/>
              <w:ind w:left="0" w:right="124"/>
              <w:jc w:val="right"/>
              <w:rPr>
                <w:b/>
                <w:sz w:val="21"/>
              </w:rPr>
            </w:pPr>
            <w:r>
              <w:rPr>
                <w:b/>
                <w:w w:val="95"/>
                <w:sz w:val="21"/>
              </w:rPr>
              <w:t>6.18</w:t>
            </w:r>
          </w:p>
        </w:tc>
        <w:tc>
          <w:tcPr>
            <w:tcW w:w="1540" w:type="dxa"/>
          </w:tcPr>
          <w:p>
            <w:pPr>
              <w:pStyle w:val="TableParagraph"/>
              <w:spacing w:line="211" w:lineRule="exact" w:before="0"/>
              <w:ind w:left="125"/>
              <w:rPr>
                <w:b/>
                <w:sz w:val="21"/>
              </w:rPr>
            </w:pPr>
            <w:r>
              <w:rPr>
                <w:b/>
                <w:sz w:val="21"/>
              </w:rPr>
              <w:t>本合同约定利</w:t>
            </w:r>
          </w:p>
          <w:p>
            <w:pPr>
              <w:pStyle w:val="TableParagraph"/>
              <w:spacing w:before="37"/>
              <w:ind w:left="125"/>
              <w:rPr>
                <w:b/>
                <w:sz w:val="21"/>
              </w:rPr>
            </w:pPr>
            <w:r>
              <w:rPr>
                <w:b/>
                <w:w w:val="100"/>
                <w:sz w:val="21"/>
              </w:rPr>
              <w:t>率</w:t>
            </w:r>
          </w:p>
        </w:tc>
        <w:tc>
          <w:tcPr>
            <w:tcW w:w="7603" w:type="dxa"/>
          </w:tcPr>
          <w:p>
            <w:pPr>
              <w:pStyle w:val="TableParagraph"/>
              <w:spacing w:line="211" w:lineRule="exact" w:before="0"/>
              <w:ind w:left="145"/>
              <w:rPr>
                <w:sz w:val="21"/>
              </w:rPr>
            </w:pPr>
            <w:r>
              <w:rPr>
                <w:sz w:val="21"/>
              </w:rPr>
              <w:t>由本公司参照同期中国人民银行六个月期贷款利率确定并宣布，宣布时间分别</w:t>
            </w:r>
          </w:p>
          <w:p>
            <w:pPr>
              <w:pStyle w:val="TableParagraph"/>
              <w:spacing w:before="37"/>
              <w:ind w:left="145"/>
              <w:rPr>
                <w:sz w:val="21"/>
              </w:rPr>
            </w:pPr>
            <w:r>
              <w:rPr>
                <w:sz w:val="21"/>
              </w:rPr>
              <w:t>为每年的一月一日和七月一日。该利率以同期中国人民银行六个月期贷款利率</w:t>
            </w:r>
          </w:p>
          <w:p>
            <w:pPr>
              <w:pStyle w:val="TableParagraph"/>
              <w:spacing w:before="36"/>
              <w:ind w:left="145"/>
              <w:rPr>
                <w:sz w:val="21"/>
              </w:rPr>
            </w:pPr>
            <w:r>
              <w:rPr>
                <w:sz w:val="21"/>
              </w:rPr>
              <w:t>＋0.5%为上限。</w:t>
            </w:r>
          </w:p>
        </w:tc>
      </w:tr>
      <w:tr>
        <w:trPr>
          <w:trHeight w:val="935" w:hRule="atLeast"/>
        </w:trPr>
        <w:tc>
          <w:tcPr>
            <w:tcW w:w="749" w:type="dxa"/>
          </w:tcPr>
          <w:p>
            <w:pPr>
              <w:pStyle w:val="TableParagraph"/>
              <w:ind w:left="0" w:right="124"/>
              <w:jc w:val="right"/>
              <w:rPr>
                <w:b/>
                <w:sz w:val="21"/>
              </w:rPr>
            </w:pPr>
            <w:r>
              <w:rPr>
                <w:b/>
                <w:w w:val="95"/>
                <w:sz w:val="21"/>
              </w:rPr>
              <w:t>6.19</w:t>
            </w:r>
          </w:p>
        </w:tc>
        <w:tc>
          <w:tcPr>
            <w:tcW w:w="1540" w:type="dxa"/>
          </w:tcPr>
          <w:p>
            <w:pPr>
              <w:pStyle w:val="TableParagraph"/>
              <w:spacing w:line="273" w:lineRule="auto"/>
              <w:ind w:left="125" w:right="144"/>
              <w:rPr>
                <w:b/>
                <w:sz w:val="21"/>
              </w:rPr>
            </w:pPr>
            <w:r>
              <w:rPr>
                <w:b/>
                <w:sz w:val="21"/>
              </w:rPr>
              <w:t>肢体机能完全丧失</w:t>
            </w:r>
          </w:p>
        </w:tc>
        <w:tc>
          <w:tcPr>
            <w:tcW w:w="7603" w:type="dxa"/>
          </w:tcPr>
          <w:p>
            <w:pPr>
              <w:pStyle w:val="TableParagraph"/>
              <w:spacing w:line="273" w:lineRule="auto"/>
              <w:ind w:left="145" w:right="309"/>
              <w:rPr>
                <w:sz w:val="21"/>
              </w:rPr>
            </w:pPr>
            <w:r>
              <w:rPr>
                <w:sz w:val="21"/>
              </w:rPr>
              <w:t>指肢体的三大关节中的两大关节僵硬，或不能随意识活动。肢体是指包括肩关节的整个上肢或包括髋关节的整个下肢。</w:t>
            </w:r>
          </w:p>
        </w:tc>
      </w:tr>
      <w:tr>
        <w:trPr>
          <w:trHeight w:val="1560" w:hRule="atLeast"/>
        </w:trPr>
        <w:tc>
          <w:tcPr>
            <w:tcW w:w="749" w:type="dxa"/>
          </w:tcPr>
          <w:p>
            <w:pPr>
              <w:pStyle w:val="TableParagraph"/>
              <w:ind w:left="0" w:right="124"/>
              <w:jc w:val="right"/>
              <w:rPr>
                <w:b/>
                <w:sz w:val="21"/>
              </w:rPr>
            </w:pPr>
            <w:r>
              <w:rPr>
                <w:b/>
                <w:w w:val="95"/>
                <w:sz w:val="21"/>
              </w:rPr>
              <w:t>6.20</w:t>
            </w:r>
          </w:p>
        </w:tc>
        <w:tc>
          <w:tcPr>
            <w:tcW w:w="1540" w:type="dxa"/>
          </w:tcPr>
          <w:p>
            <w:pPr>
              <w:pStyle w:val="TableParagraph"/>
              <w:spacing w:line="273" w:lineRule="auto"/>
              <w:ind w:left="125" w:right="144"/>
              <w:jc w:val="both"/>
              <w:rPr>
                <w:b/>
                <w:sz w:val="21"/>
              </w:rPr>
            </w:pPr>
            <w:r>
              <w:rPr>
                <w:b/>
                <w:sz w:val="21"/>
              </w:rPr>
              <w:t>语言能力或咀嚼吞咽能力完全丧失</w:t>
            </w:r>
          </w:p>
        </w:tc>
        <w:tc>
          <w:tcPr>
            <w:tcW w:w="7603" w:type="dxa"/>
          </w:tcPr>
          <w:p>
            <w:pPr>
              <w:pStyle w:val="TableParagraph"/>
              <w:spacing w:line="273" w:lineRule="auto"/>
              <w:ind w:left="145" w:right="198"/>
              <w:rPr>
                <w:sz w:val="21"/>
              </w:rPr>
            </w:pPr>
            <w:r>
              <w:rPr>
                <w:spacing w:val="-3"/>
                <w:sz w:val="21"/>
              </w:rPr>
              <w:t>语言能力完全丧失，指无法发出四种语音（包括口唇音、齿舌音、口盖音和喉头音</w:t>
            </w:r>
            <w:r>
              <w:rPr>
                <w:spacing w:val="-36"/>
                <w:sz w:val="21"/>
              </w:rPr>
              <w:t>）</w:t>
            </w:r>
            <w:r>
              <w:rPr>
                <w:spacing w:val="-9"/>
                <w:sz w:val="21"/>
              </w:rPr>
              <w:t>中的任何三种、或声带全部切除，或因大脑语言中枢受伤害而患失语症。</w:t>
            </w:r>
            <w:r>
              <w:rPr>
                <w:spacing w:val="-5"/>
                <w:sz w:val="21"/>
              </w:rPr>
              <w:t>咀嚼吞咽能力完全丧失，指因牙齿以外的原因导致器质障碍或机能障碍，以致</w:t>
            </w:r>
            <w:r>
              <w:rPr>
                <w:spacing w:val="-4"/>
                <w:sz w:val="21"/>
              </w:rPr>
              <w:t>不能作咀嚼吞咽运动，除流质食物外不能摄取或吞咽的状态。</w:t>
            </w:r>
          </w:p>
        </w:tc>
      </w:tr>
      <w:tr>
        <w:trPr>
          <w:trHeight w:val="2500" w:hRule="atLeast"/>
        </w:trPr>
        <w:tc>
          <w:tcPr>
            <w:tcW w:w="749" w:type="dxa"/>
          </w:tcPr>
          <w:p>
            <w:pPr>
              <w:pStyle w:val="TableParagraph"/>
              <w:spacing w:before="143"/>
              <w:ind w:left="0" w:right="124"/>
              <w:jc w:val="right"/>
              <w:rPr>
                <w:b/>
                <w:sz w:val="21"/>
              </w:rPr>
            </w:pPr>
            <w:r>
              <w:rPr>
                <w:b/>
                <w:w w:val="95"/>
                <w:sz w:val="21"/>
              </w:rPr>
              <w:t>6.21</w:t>
            </w:r>
          </w:p>
        </w:tc>
        <w:tc>
          <w:tcPr>
            <w:tcW w:w="1540" w:type="dxa"/>
          </w:tcPr>
          <w:p>
            <w:pPr>
              <w:pStyle w:val="TableParagraph"/>
              <w:spacing w:line="273" w:lineRule="auto" w:before="143"/>
              <w:ind w:left="125" w:right="144"/>
              <w:rPr>
                <w:b/>
                <w:sz w:val="21"/>
              </w:rPr>
            </w:pPr>
            <w:r>
              <w:rPr>
                <w:b/>
                <w:sz w:val="21"/>
              </w:rPr>
              <w:t>六项基本日常生活活动</w:t>
            </w:r>
          </w:p>
        </w:tc>
        <w:tc>
          <w:tcPr>
            <w:tcW w:w="7603" w:type="dxa"/>
          </w:tcPr>
          <w:p>
            <w:pPr>
              <w:pStyle w:val="TableParagraph"/>
              <w:spacing w:before="143"/>
              <w:ind w:left="145"/>
              <w:rPr>
                <w:sz w:val="21"/>
              </w:rPr>
            </w:pPr>
            <w:r>
              <w:rPr>
                <w:sz w:val="21"/>
              </w:rPr>
              <w:t>六项基本日常生活活动是指：</w:t>
            </w:r>
          </w:p>
          <w:p>
            <w:pPr>
              <w:pStyle w:val="TableParagraph"/>
              <w:spacing w:before="37"/>
              <w:ind w:left="145"/>
              <w:rPr>
                <w:sz w:val="21"/>
              </w:rPr>
            </w:pPr>
            <w:r>
              <w:rPr>
                <w:sz w:val="21"/>
              </w:rPr>
              <w:t>（1）穿衣：自己能够穿衣及脱衣；</w:t>
            </w:r>
          </w:p>
          <w:p>
            <w:pPr>
              <w:pStyle w:val="TableParagraph"/>
              <w:spacing w:before="37"/>
              <w:ind w:left="145"/>
              <w:rPr>
                <w:sz w:val="21"/>
              </w:rPr>
            </w:pPr>
            <w:r>
              <w:rPr>
                <w:sz w:val="21"/>
              </w:rPr>
              <w:t>（2）移动：自己从一个房间到另一个房间；</w:t>
            </w:r>
          </w:p>
          <w:p>
            <w:pPr>
              <w:pStyle w:val="TableParagraph"/>
              <w:spacing w:before="37"/>
              <w:ind w:left="145"/>
              <w:rPr>
                <w:sz w:val="21"/>
              </w:rPr>
            </w:pPr>
            <w:r>
              <w:rPr>
                <w:sz w:val="21"/>
              </w:rPr>
              <w:t>（3）行动：自己上下床或上下轮椅；</w:t>
            </w:r>
          </w:p>
          <w:p>
            <w:pPr>
              <w:pStyle w:val="TableParagraph"/>
              <w:spacing w:before="37"/>
              <w:ind w:left="145"/>
              <w:rPr>
                <w:sz w:val="21"/>
              </w:rPr>
            </w:pPr>
            <w:r>
              <w:rPr>
                <w:sz w:val="21"/>
              </w:rPr>
              <w:t>（4）如厕：自己控制进行大小便；</w:t>
            </w:r>
          </w:p>
          <w:p>
            <w:pPr>
              <w:pStyle w:val="TableParagraph"/>
              <w:spacing w:before="37"/>
              <w:ind w:left="145"/>
              <w:rPr>
                <w:sz w:val="21"/>
              </w:rPr>
            </w:pPr>
            <w:r>
              <w:rPr>
                <w:sz w:val="21"/>
              </w:rPr>
              <w:t>（5）进食：自己从已准备好的碗或碟中取食物放入口中；</w:t>
            </w:r>
          </w:p>
          <w:p>
            <w:pPr>
              <w:pStyle w:val="TableParagraph"/>
              <w:spacing w:before="37"/>
              <w:ind w:left="145"/>
              <w:rPr>
                <w:sz w:val="21"/>
              </w:rPr>
            </w:pPr>
            <w:r>
              <w:rPr>
                <w:sz w:val="21"/>
              </w:rPr>
              <w:t>（</w:t>
            </w:r>
            <w:r>
              <w:rPr>
                <w:rFonts w:ascii="Times New Roman" w:eastAsia="Times New Roman"/>
                <w:sz w:val="21"/>
              </w:rPr>
              <w:t>6</w:t>
            </w:r>
            <w:r>
              <w:rPr>
                <w:sz w:val="21"/>
              </w:rPr>
              <w:t>）洗澡：自己进行淋浴或盆浴。</w:t>
            </w:r>
          </w:p>
        </w:tc>
      </w:tr>
      <w:tr>
        <w:trPr>
          <w:trHeight w:val="724" w:hRule="atLeast"/>
        </w:trPr>
        <w:tc>
          <w:tcPr>
            <w:tcW w:w="749" w:type="dxa"/>
          </w:tcPr>
          <w:p>
            <w:pPr>
              <w:pStyle w:val="TableParagraph"/>
              <w:spacing w:before="138"/>
              <w:ind w:left="0" w:right="124"/>
              <w:jc w:val="right"/>
              <w:rPr>
                <w:b/>
                <w:sz w:val="21"/>
              </w:rPr>
            </w:pPr>
            <w:r>
              <w:rPr>
                <w:b/>
                <w:w w:val="95"/>
                <w:sz w:val="21"/>
              </w:rPr>
              <w:t>6.22</w:t>
            </w:r>
          </w:p>
        </w:tc>
        <w:tc>
          <w:tcPr>
            <w:tcW w:w="1540" w:type="dxa"/>
          </w:tcPr>
          <w:p>
            <w:pPr>
              <w:pStyle w:val="TableParagraph"/>
              <w:spacing w:before="138"/>
              <w:ind w:left="125"/>
              <w:rPr>
                <w:b/>
                <w:sz w:val="21"/>
              </w:rPr>
            </w:pPr>
            <w:r>
              <w:rPr>
                <w:b/>
                <w:sz w:val="21"/>
              </w:rPr>
              <w:t>永久不可逆</w:t>
            </w:r>
          </w:p>
        </w:tc>
        <w:tc>
          <w:tcPr>
            <w:tcW w:w="7603" w:type="dxa"/>
          </w:tcPr>
          <w:p>
            <w:pPr>
              <w:pStyle w:val="TableParagraph"/>
              <w:spacing w:line="290" w:lineRule="atLeast" w:before="138"/>
              <w:ind w:left="145" w:right="246"/>
              <w:rPr>
                <w:sz w:val="21"/>
              </w:rPr>
            </w:pPr>
            <w:r>
              <w:rPr>
                <w:sz w:val="21"/>
              </w:rPr>
              <w:t>指自疾病确诊或意外伤害发生之日起，经过积极治疗 </w:t>
            </w:r>
            <w:r>
              <w:rPr>
                <w:rFonts w:ascii="Times New Roman" w:eastAsia="Times New Roman"/>
                <w:sz w:val="21"/>
              </w:rPr>
              <w:t>180 </w:t>
            </w:r>
            <w:r>
              <w:rPr>
                <w:sz w:val="21"/>
              </w:rPr>
              <w:t>天后，仍无法通过现有医疗手段恢复。</w:t>
            </w:r>
          </w:p>
        </w:tc>
      </w:tr>
    </w:tbl>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16"/>
        </w:rPr>
      </w:pPr>
    </w:p>
    <w:p>
      <w:pPr>
        <w:pStyle w:val="Heading2"/>
        <w:spacing w:before="37"/>
        <w:ind w:left="4518" w:right="4096"/>
        <w:jc w:val="center"/>
      </w:pPr>
      <w:r>
        <w:rPr/>
        <w:t>现金价值比例表</w:t>
      </w:r>
    </w:p>
    <w:p>
      <w:pPr>
        <w:pStyle w:val="BodyText"/>
        <w:spacing w:before="11"/>
        <w:rPr>
          <w:b/>
          <w:sz w:val="20"/>
        </w:rPr>
      </w:pPr>
    </w:p>
    <w:tbl>
      <w:tblPr>
        <w:tblW w:w="0" w:type="auto"/>
        <w:jc w:val="left"/>
        <w:tblInd w:w="1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3"/>
        <w:gridCol w:w="2996"/>
      </w:tblGrid>
      <w:tr>
        <w:trPr>
          <w:trHeight w:val="359" w:hRule="atLeast"/>
        </w:trPr>
        <w:tc>
          <w:tcPr>
            <w:tcW w:w="2993" w:type="dxa"/>
          </w:tcPr>
          <w:p>
            <w:pPr>
              <w:pStyle w:val="TableParagraph"/>
              <w:spacing w:before="11"/>
              <w:ind w:left="320" w:right="311"/>
              <w:jc w:val="center"/>
              <w:rPr>
                <w:sz w:val="21"/>
              </w:rPr>
            </w:pPr>
            <w:r>
              <w:rPr>
                <w:sz w:val="21"/>
              </w:rPr>
              <w:t>本合同未满期月数</w:t>
            </w:r>
          </w:p>
        </w:tc>
        <w:tc>
          <w:tcPr>
            <w:tcW w:w="2996" w:type="dxa"/>
          </w:tcPr>
          <w:p>
            <w:pPr>
              <w:pStyle w:val="TableParagraph"/>
              <w:spacing w:before="11"/>
              <w:ind w:left="848" w:right="838"/>
              <w:jc w:val="center"/>
              <w:rPr>
                <w:sz w:val="21"/>
              </w:rPr>
            </w:pPr>
            <w:r>
              <w:rPr>
                <w:sz w:val="21"/>
              </w:rPr>
              <w:t>现金价值比例</w:t>
            </w:r>
          </w:p>
        </w:tc>
      </w:tr>
      <w:tr>
        <w:trPr>
          <w:trHeight w:val="359" w:hRule="atLeast"/>
        </w:trPr>
        <w:tc>
          <w:tcPr>
            <w:tcW w:w="2993" w:type="dxa"/>
          </w:tcPr>
          <w:p>
            <w:pPr>
              <w:pStyle w:val="TableParagraph"/>
              <w:spacing w:before="11"/>
              <w:ind w:left="321" w:right="311"/>
              <w:jc w:val="center"/>
              <w:rPr>
                <w:sz w:val="21"/>
              </w:rPr>
            </w:pPr>
            <w:r>
              <w:rPr>
                <w:sz w:val="21"/>
              </w:rPr>
              <w:t>足 11 个月</w:t>
            </w:r>
          </w:p>
        </w:tc>
        <w:tc>
          <w:tcPr>
            <w:tcW w:w="2996" w:type="dxa"/>
          </w:tcPr>
          <w:p>
            <w:pPr>
              <w:pStyle w:val="TableParagraph"/>
              <w:spacing w:before="11"/>
              <w:ind w:left="848" w:right="838"/>
              <w:jc w:val="center"/>
              <w:rPr>
                <w:sz w:val="21"/>
              </w:rPr>
            </w:pPr>
            <w:r>
              <w:rPr>
                <w:sz w:val="21"/>
              </w:rPr>
              <w:t>60%</w:t>
            </w:r>
          </w:p>
        </w:tc>
      </w:tr>
      <w:tr>
        <w:trPr>
          <w:trHeight w:val="361" w:hRule="atLeast"/>
        </w:trPr>
        <w:tc>
          <w:tcPr>
            <w:tcW w:w="2993" w:type="dxa"/>
          </w:tcPr>
          <w:p>
            <w:pPr>
              <w:pStyle w:val="TableParagraph"/>
              <w:spacing w:before="13"/>
              <w:ind w:left="321" w:right="311"/>
              <w:jc w:val="center"/>
              <w:rPr>
                <w:sz w:val="21"/>
              </w:rPr>
            </w:pPr>
            <w:r>
              <w:rPr>
                <w:sz w:val="21"/>
              </w:rPr>
              <w:t>足 10 个月少于 11 个月</w:t>
            </w:r>
          </w:p>
        </w:tc>
        <w:tc>
          <w:tcPr>
            <w:tcW w:w="2996" w:type="dxa"/>
          </w:tcPr>
          <w:p>
            <w:pPr>
              <w:pStyle w:val="TableParagraph"/>
              <w:spacing w:before="13"/>
              <w:ind w:left="848" w:right="838"/>
              <w:jc w:val="center"/>
              <w:rPr>
                <w:sz w:val="21"/>
              </w:rPr>
            </w:pPr>
            <w:r>
              <w:rPr>
                <w:sz w:val="21"/>
              </w:rPr>
              <w:t>55%</w:t>
            </w:r>
          </w:p>
        </w:tc>
      </w:tr>
      <w:tr>
        <w:trPr>
          <w:trHeight w:val="359" w:hRule="atLeast"/>
        </w:trPr>
        <w:tc>
          <w:tcPr>
            <w:tcW w:w="2993" w:type="dxa"/>
          </w:tcPr>
          <w:p>
            <w:pPr>
              <w:pStyle w:val="TableParagraph"/>
              <w:spacing w:before="11"/>
              <w:ind w:left="321" w:right="311"/>
              <w:jc w:val="center"/>
              <w:rPr>
                <w:sz w:val="21"/>
              </w:rPr>
            </w:pPr>
            <w:r>
              <w:rPr>
                <w:sz w:val="21"/>
              </w:rPr>
              <w:t>足 9 个月少于 10 个月</w:t>
            </w:r>
          </w:p>
        </w:tc>
        <w:tc>
          <w:tcPr>
            <w:tcW w:w="2996" w:type="dxa"/>
          </w:tcPr>
          <w:p>
            <w:pPr>
              <w:pStyle w:val="TableParagraph"/>
              <w:spacing w:before="11"/>
              <w:ind w:left="848" w:right="838"/>
              <w:jc w:val="center"/>
              <w:rPr>
                <w:sz w:val="21"/>
              </w:rPr>
            </w:pPr>
            <w:r>
              <w:rPr>
                <w:sz w:val="21"/>
              </w:rPr>
              <w:t>50%</w:t>
            </w:r>
          </w:p>
        </w:tc>
      </w:tr>
      <w:tr>
        <w:trPr>
          <w:trHeight w:val="359" w:hRule="atLeast"/>
        </w:trPr>
        <w:tc>
          <w:tcPr>
            <w:tcW w:w="2993" w:type="dxa"/>
          </w:tcPr>
          <w:p>
            <w:pPr>
              <w:pStyle w:val="TableParagraph"/>
              <w:spacing w:before="11"/>
              <w:ind w:left="321" w:right="311"/>
              <w:jc w:val="center"/>
              <w:rPr>
                <w:sz w:val="21"/>
              </w:rPr>
            </w:pPr>
            <w:r>
              <w:rPr>
                <w:sz w:val="21"/>
              </w:rPr>
              <w:t>足 8 个月少于 9 个月</w:t>
            </w:r>
          </w:p>
        </w:tc>
        <w:tc>
          <w:tcPr>
            <w:tcW w:w="2996" w:type="dxa"/>
          </w:tcPr>
          <w:p>
            <w:pPr>
              <w:pStyle w:val="TableParagraph"/>
              <w:spacing w:before="11"/>
              <w:ind w:left="848" w:right="838"/>
              <w:jc w:val="center"/>
              <w:rPr>
                <w:sz w:val="21"/>
              </w:rPr>
            </w:pPr>
            <w:r>
              <w:rPr>
                <w:sz w:val="21"/>
              </w:rPr>
              <w:t>45%</w:t>
            </w:r>
          </w:p>
        </w:tc>
      </w:tr>
      <w:tr>
        <w:trPr>
          <w:trHeight w:val="357" w:hRule="atLeast"/>
        </w:trPr>
        <w:tc>
          <w:tcPr>
            <w:tcW w:w="2993" w:type="dxa"/>
            <w:tcBorders>
              <w:bottom w:val="single" w:sz="6" w:space="0" w:color="000000"/>
            </w:tcBorders>
          </w:tcPr>
          <w:p>
            <w:pPr>
              <w:pStyle w:val="TableParagraph"/>
              <w:spacing w:before="11"/>
              <w:ind w:left="321" w:right="311"/>
              <w:jc w:val="center"/>
              <w:rPr>
                <w:sz w:val="21"/>
              </w:rPr>
            </w:pPr>
            <w:r>
              <w:rPr>
                <w:sz w:val="21"/>
              </w:rPr>
              <w:t>足 7 个月少于 8 个月</w:t>
            </w:r>
          </w:p>
        </w:tc>
        <w:tc>
          <w:tcPr>
            <w:tcW w:w="2996" w:type="dxa"/>
            <w:tcBorders>
              <w:bottom w:val="single" w:sz="6" w:space="0" w:color="000000"/>
            </w:tcBorders>
          </w:tcPr>
          <w:p>
            <w:pPr>
              <w:pStyle w:val="TableParagraph"/>
              <w:spacing w:before="11"/>
              <w:ind w:left="848" w:right="838"/>
              <w:jc w:val="center"/>
              <w:rPr>
                <w:sz w:val="21"/>
              </w:rPr>
            </w:pPr>
            <w:r>
              <w:rPr>
                <w:sz w:val="21"/>
              </w:rPr>
              <w:t>40%</w:t>
            </w:r>
          </w:p>
        </w:tc>
      </w:tr>
      <w:tr>
        <w:trPr>
          <w:trHeight w:val="357" w:hRule="atLeast"/>
        </w:trPr>
        <w:tc>
          <w:tcPr>
            <w:tcW w:w="2993" w:type="dxa"/>
            <w:tcBorders>
              <w:top w:val="single" w:sz="6" w:space="0" w:color="000000"/>
            </w:tcBorders>
          </w:tcPr>
          <w:p>
            <w:pPr>
              <w:pStyle w:val="TableParagraph"/>
              <w:spacing w:before="9"/>
              <w:ind w:left="321" w:right="311"/>
              <w:jc w:val="center"/>
              <w:rPr>
                <w:sz w:val="21"/>
              </w:rPr>
            </w:pPr>
            <w:r>
              <w:rPr>
                <w:sz w:val="21"/>
              </w:rPr>
              <w:t>足 6 个月少于 7 个月</w:t>
            </w:r>
          </w:p>
        </w:tc>
        <w:tc>
          <w:tcPr>
            <w:tcW w:w="2996" w:type="dxa"/>
            <w:tcBorders>
              <w:top w:val="single" w:sz="6" w:space="0" w:color="000000"/>
            </w:tcBorders>
          </w:tcPr>
          <w:p>
            <w:pPr>
              <w:pStyle w:val="TableParagraph"/>
              <w:spacing w:before="9"/>
              <w:ind w:left="848" w:right="838"/>
              <w:jc w:val="center"/>
              <w:rPr>
                <w:sz w:val="21"/>
              </w:rPr>
            </w:pPr>
            <w:r>
              <w:rPr>
                <w:sz w:val="21"/>
              </w:rPr>
              <w:t>35%</w:t>
            </w:r>
          </w:p>
        </w:tc>
      </w:tr>
      <w:tr>
        <w:trPr>
          <w:trHeight w:val="359" w:hRule="atLeast"/>
        </w:trPr>
        <w:tc>
          <w:tcPr>
            <w:tcW w:w="2993" w:type="dxa"/>
          </w:tcPr>
          <w:p>
            <w:pPr>
              <w:pStyle w:val="TableParagraph"/>
              <w:spacing w:before="11"/>
              <w:ind w:left="321" w:right="311"/>
              <w:jc w:val="center"/>
              <w:rPr>
                <w:sz w:val="21"/>
              </w:rPr>
            </w:pPr>
            <w:r>
              <w:rPr>
                <w:sz w:val="21"/>
              </w:rPr>
              <w:t>足 5 个月少于 6 个月</w:t>
            </w:r>
          </w:p>
        </w:tc>
        <w:tc>
          <w:tcPr>
            <w:tcW w:w="2996" w:type="dxa"/>
          </w:tcPr>
          <w:p>
            <w:pPr>
              <w:pStyle w:val="TableParagraph"/>
              <w:spacing w:before="11"/>
              <w:ind w:left="848" w:right="838"/>
              <w:jc w:val="center"/>
              <w:rPr>
                <w:sz w:val="21"/>
              </w:rPr>
            </w:pPr>
            <w:r>
              <w:rPr>
                <w:sz w:val="21"/>
              </w:rPr>
              <w:t>30%</w:t>
            </w:r>
          </w:p>
        </w:tc>
      </w:tr>
      <w:tr>
        <w:trPr>
          <w:trHeight w:val="362" w:hRule="atLeast"/>
        </w:trPr>
        <w:tc>
          <w:tcPr>
            <w:tcW w:w="2993" w:type="dxa"/>
          </w:tcPr>
          <w:p>
            <w:pPr>
              <w:pStyle w:val="TableParagraph"/>
              <w:spacing w:before="13"/>
              <w:ind w:left="321" w:right="311"/>
              <w:jc w:val="center"/>
              <w:rPr>
                <w:sz w:val="21"/>
              </w:rPr>
            </w:pPr>
            <w:r>
              <w:rPr>
                <w:sz w:val="21"/>
              </w:rPr>
              <w:t>足 4 个月少于 5 个月</w:t>
            </w:r>
          </w:p>
        </w:tc>
        <w:tc>
          <w:tcPr>
            <w:tcW w:w="2996" w:type="dxa"/>
          </w:tcPr>
          <w:p>
            <w:pPr>
              <w:pStyle w:val="TableParagraph"/>
              <w:spacing w:before="13"/>
              <w:ind w:left="848" w:right="838"/>
              <w:jc w:val="center"/>
              <w:rPr>
                <w:sz w:val="21"/>
              </w:rPr>
            </w:pPr>
            <w:r>
              <w:rPr>
                <w:sz w:val="21"/>
              </w:rPr>
              <w:t>25%</w:t>
            </w:r>
          </w:p>
        </w:tc>
      </w:tr>
      <w:tr>
        <w:trPr>
          <w:trHeight w:val="359" w:hRule="atLeast"/>
        </w:trPr>
        <w:tc>
          <w:tcPr>
            <w:tcW w:w="2993" w:type="dxa"/>
          </w:tcPr>
          <w:p>
            <w:pPr>
              <w:pStyle w:val="TableParagraph"/>
              <w:spacing w:before="11"/>
              <w:ind w:left="321" w:right="311"/>
              <w:jc w:val="center"/>
              <w:rPr>
                <w:sz w:val="21"/>
              </w:rPr>
            </w:pPr>
            <w:r>
              <w:rPr>
                <w:sz w:val="21"/>
              </w:rPr>
              <w:t>足 3 个月少于 4 个月</w:t>
            </w:r>
          </w:p>
        </w:tc>
        <w:tc>
          <w:tcPr>
            <w:tcW w:w="2996" w:type="dxa"/>
          </w:tcPr>
          <w:p>
            <w:pPr>
              <w:pStyle w:val="TableParagraph"/>
              <w:spacing w:before="11"/>
              <w:ind w:left="848" w:right="838"/>
              <w:jc w:val="center"/>
              <w:rPr>
                <w:sz w:val="21"/>
              </w:rPr>
            </w:pPr>
            <w:r>
              <w:rPr>
                <w:sz w:val="21"/>
              </w:rPr>
              <w:t>20%</w:t>
            </w:r>
          </w:p>
        </w:tc>
      </w:tr>
      <w:tr>
        <w:trPr>
          <w:trHeight w:val="359" w:hRule="atLeast"/>
        </w:trPr>
        <w:tc>
          <w:tcPr>
            <w:tcW w:w="2993" w:type="dxa"/>
          </w:tcPr>
          <w:p>
            <w:pPr>
              <w:pStyle w:val="TableParagraph"/>
              <w:spacing w:before="11"/>
              <w:ind w:left="321" w:right="311"/>
              <w:jc w:val="center"/>
              <w:rPr>
                <w:sz w:val="21"/>
              </w:rPr>
            </w:pPr>
            <w:r>
              <w:rPr>
                <w:sz w:val="21"/>
              </w:rPr>
              <w:t>少于 3 个月</w:t>
            </w:r>
          </w:p>
        </w:tc>
        <w:tc>
          <w:tcPr>
            <w:tcW w:w="2996" w:type="dxa"/>
          </w:tcPr>
          <w:p>
            <w:pPr>
              <w:pStyle w:val="TableParagraph"/>
              <w:spacing w:before="11"/>
              <w:ind w:left="5"/>
              <w:jc w:val="center"/>
              <w:rPr>
                <w:sz w:val="21"/>
              </w:rPr>
            </w:pPr>
            <w:r>
              <w:rPr>
                <w:w w:val="100"/>
                <w:sz w:val="21"/>
              </w:rPr>
              <w:t>0</w:t>
            </w:r>
          </w:p>
        </w:tc>
      </w:tr>
    </w:tbl>
    <w:sectPr>
      <w:pgSz w:w="11910" w:h="16840"/>
      <w:pgMar w:header="878" w:footer="984" w:top="1140" w:bottom="1180" w:left="76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type id="_x0000_t202" o:spt="202" coordsize="21600,21600" path="m,l,21600r21600,l21600,xe">
          <v:stroke joinstyle="miter"/>
          <v:path gradientshapeok="t" o:connecttype="rect"/>
        </v:shapetype>
        <v:shape style="position:absolute;margin-left:291.209991pt;margin-top:781.299988pt;width:13.15pt;height:12pt;mso-position-horizontal-relative:page;mso-position-vertical-relative:page;z-index:-288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880001pt;margin-top:42.906624pt;width:45.25pt;height:15.3pt;mso-position-horizontal-relative:page;mso-position-vertical-relative:page;z-index:-28840" type="#_x0000_t202" filled="false" stroked="false">
          <v:textbox inset="0,0,0,0">
            <w:txbxContent>
              <w:p>
                <w:pPr>
                  <w:spacing w:line="286" w:lineRule="exact" w:before="0"/>
                  <w:ind w:left="20" w:right="0" w:firstLine="0"/>
                  <w:jc w:val="left"/>
                  <w:rPr>
                    <w:rFonts w:ascii="Times New Roman" w:eastAsia="Times New Roman"/>
                    <w:b/>
                    <w:sz w:val="24"/>
                  </w:rPr>
                </w:pPr>
                <w:r>
                  <w:rPr>
                    <w:b/>
                    <w:spacing w:val="-20"/>
                    <w:sz w:val="24"/>
                  </w:rPr>
                  <w:t>附件 </w:t>
                </w:r>
                <w:r>
                  <w:rPr>
                    <w:rFonts w:ascii="Times New Roman" w:eastAsia="Times New Roman"/>
                    <w:b/>
                    <w:sz w:val="24"/>
                  </w:rPr>
                  <w:t>1-2</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862" w:hanging="721"/>
        <w:jc w:val="left"/>
      </w:pPr>
      <w:rPr>
        <w:rFonts w:hint="default" w:ascii="宋体" w:hAnsi="宋体" w:eastAsia="宋体" w:cs="宋体"/>
        <w:w w:val="100"/>
        <w:sz w:val="21"/>
        <w:szCs w:val="21"/>
      </w:rPr>
    </w:lvl>
    <w:lvl w:ilvl="1">
      <w:start w:val="0"/>
      <w:numFmt w:val="bullet"/>
      <w:lvlText w:val="•"/>
      <w:lvlJc w:val="left"/>
      <w:pPr>
        <w:ind w:left="1515" w:hanging="721"/>
      </w:pPr>
      <w:rPr>
        <w:rFonts w:hint="default"/>
      </w:rPr>
    </w:lvl>
    <w:lvl w:ilvl="2">
      <w:start w:val="0"/>
      <w:numFmt w:val="bullet"/>
      <w:lvlText w:val="•"/>
      <w:lvlJc w:val="left"/>
      <w:pPr>
        <w:ind w:left="2170" w:hanging="721"/>
      </w:pPr>
      <w:rPr>
        <w:rFonts w:hint="default"/>
      </w:rPr>
    </w:lvl>
    <w:lvl w:ilvl="3">
      <w:start w:val="0"/>
      <w:numFmt w:val="bullet"/>
      <w:lvlText w:val="•"/>
      <w:lvlJc w:val="left"/>
      <w:pPr>
        <w:ind w:left="2825" w:hanging="721"/>
      </w:pPr>
      <w:rPr>
        <w:rFonts w:hint="default"/>
      </w:rPr>
    </w:lvl>
    <w:lvl w:ilvl="4">
      <w:start w:val="0"/>
      <w:numFmt w:val="bullet"/>
      <w:lvlText w:val="•"/>
      <w:lvlJc w:val="left"/>
      <w:pPr>
        <w:ind w:left="3480" w:hanging="721"/>
      </w:pPr>
      <w:rPr>
        <w:rFonts w:hint="default"/>
      </w:rPr>
    </w:lvl>
    <w:lvl w:ilvl="5">
      <w:start w:val="0"/>
      <w:numFmt w:val="bullet"/>
      <w:lvlText w:val="•"/>
      <w:lvlJc w:val="left"/>
      <w:pPr>
        <w:ind w:left="4135" w:hanging="721"/>
      </w:pPr>
      <w:rPr>
        <w:rFonts w:hint="default"/>
      </w:rPr>
    </w:lvl>
    <w:lvl w:ilvl="6">
      <w:start w:val="0"/>
      <w:numFmt w:val="bullet"/>
      <w:lvlText w:val="•"/>
      <w:lvlJc w:val="left"/>
      <w:pPr>
        <w:ind w:left="4790" w:hanging="721"/>
      </w:pPr>
      <w:rPr>
        <w:rFonts w:hint="default"/>
      </w:rPr>
    </w:lvl>
    <w:lvl w:ilvl="7">
      <w:start w:val="0"/>
      <w:numFmt w:val="bullet"/>
      <w:lvlText w:val="•"/>
      <w:lvlJc w:val="left"/>
      <w:pPr>
        <w:ind w:left="5445" w:hanging="721"/>
      </w:pPr>
      <w:rPr>
        <w:rFonts w:hint="default"/>
      </w:rPr>
    </w:lvl>
    <w:lvl w:ilvl="8">
      <w:start w:val="0"/>
      <w:numFmt w:val="bullet"/>
      <w:lvlText w:val="•"/>
      <w:lvlJc w:val="left"/>
      <w:pPr>
        <w:ind w:left="6100" w:hanging="721"/>
      </w:pPr>
      <w:rPr>
        <w:rFonts w:hint="default"/>
      </w:rPr>
    </w:lvl>
  </w:abstractNum>
  <w:abstractNum w:abstractNumId="6">
    <w:multiLevelType w:val="hybridMultilevel"/>
    <w:lvl w:ilvl="0">
      <w:start w:val="4"/>
      <w:numFmt w:val="decimal"/>
      <w:lvlText w:val="（%1）"/>
      <w:lvlJc w:val="left"/>
      <w:pPr>
        <w:ind w:left="862" w:hanging="721"/>
        <w:jc w:val="left"/>
      </w:pPr>
      <w:rPr>
        <w:rFonts w:hint="default" w:ascii="黑体" w:hAnsi="黑体" w:eastAsia="黑体" w:cs="黑体"/>
        <w:w w:val="100"/>
        <w:sz w:val="21"/>
        <w:szCs w:val="21"/>
      </w:rPr>
    </w:lvl>
    <w:lvl w:ilvl="1">
      <w:start w:val="0"/>
      <w:numFmt w:val="bullet"/>
      <w:lvlText w:val="•"/>
      <w:lvlJc w:val="left"/>
      <w:pPr>
        <w:ind w:left="1515" w:hanging="721"/>
      </w:pPr>
      <w:rPr>
        <w:rFonts w:hint="default"/>
      </w:rPr>
    </w:lvl>
    <w:lvl w:ilvl="2">
      <w:start w:val="0"/>
      <w:numFmt w:val="bullet"/>
      <w:lvlText w:val="•"/>
      <w:lvlJc w:val="left"/>
      <w:pPr>
        <w:ind w:left="2170" w:hanging="721"/>
      </w:pPr>
      <w:rPr>
        <w:rFonts w:hint="default"/>
      </w:rPr>
    </w:lvl>
    <w:lvl w:ilvl="3">
      <w:start w:val="0"/>
      <w:numFmt w:val="bullet"/>
      <w:lvlText w:val="•"/>
      <w:lvlJc w:val="left"/>
      <w:pPr>
        <w:ind w:left="2825" w:hanging="721"/>
      </w:pPr>
      <w:rPr>
        <w:rFonts w:hint="default"/>
      </w:rPr>
    </w:lvl>
    <w:lvl w:ilvl="4">
      <w:start w:val="0"/>
      <w:numFmt w:val="bullet"/>
      <w:lvlText w:val="•"/>
      <w:lvlJc w:val="left"/>
      <w:pPr>
        <w:ind w:left="3480" w:hanging="721"/>
      </w:pPr>
      <w:rPr>
        <w:rFonts w:hint="default"/>
      </w:rPr>
    </w:lvl>
    <w:lvl w:ilvl="5">
      <w:start w:val="0"/>
      <w:numFmt w:val="bullet"/>
      <w:lvlText w:val="•"/>
      <w:lvlJc w:val="left"/>
      <w:pPr>
        <w:ind w:left="4135" w:hanging="721"/>
      </w:pPr>
      <w:rPr>
        <w:rFonts w:hint="default"/>
      </w:rPr>
    </w:lvl>
    <w:lvl w:ilvl="6">
      <w:start w:val="0"/>
      <w:numFmt w:val="bullet"/>
      <w:lvlText w:val="•"/>
      <w:lvlJc w:val="left"/>
      <w:pPr>
        <w:ind w:left="4790" w:hanging="721"/>
      </w:pPr>
      <w:rPr>
        <w:rFonts w:hint="default"/>
      </w:rPr>
    </w:lvl>
    <w:lvl w:ilvl="7">
      <w:start w:val="0"/>
      <w:numFmt w:val="bullet"/>
      <w:lvlText w:val="•"/>
      <w:lvlJc w:val="left"/>
      <w:pPr>
        <w:ind w:left="5445" w:hanging="721"/>
      </w:pPr>
      <w:rPr>
        <w:rFonts w:hint="default"/>
      </w:rPr>
    </w:lvl>
    <w:lvl w:ilvl="8">
      <w:start w:val="0"/>
      <w:numFmt w:val="bullet"/>
      <w:lvlText w:val="•"/>
      <w:lvlJc w:val="left"/>
      <w:pPr>
        <w:ind w:left="6100" w:hanging="721"/>
      </w:pPr>
      <w:rPr>
        <w:rFonts w:hint="default"/>
      </w:rPr>
    </w:lvl>
  </w:abstractNum>
  <w:abstractNum w:abstractNumId="5">
    <w:multiLevelType w:val="hybridMultilevel"/>
    <w:lvl w:ilvl="0">
      <w:start w:val="1"/>
      <w:numFmt w:val="decimal"/>
      <w:lvlText w:val="（%1）"/>
      <w:lvlJc w:val="left"/>
      <w:pPr>
        <w:ind w:left="862" w:hanging="721"/>
        <w:jc w:val="left"/>
      </w:pPr>
      <w:rPr>
        <w:rFonts w:hint="default" w:ascii="黑体" w:hAnsi="黑体" w:eastAsia="黑体" w:cs="黑体"/>
        <w:w w:val="100"/>
        <w:sz w:val="21"/>
        <w:szCs w:val="21"/>
      </w:rPr>
    </w:lvl>
    <w:lvl w:ilvl="1">
      <w:start w:val="0"/>
      <w:numFmt w:val="bullet"/>
      <w:lvlText w:val="•"/>
      <w:lvlJc w:val="left"/>
      <w:pPr>
        <w:ind w:left="1515" w:hanging="721"/>
      </w:pPr>
      <w:rPr>
        <w:rFonts w:hint="default"/>
      </w:rPr>
    </w:lvl>
    <w:lvl w:ilvl="2">
      <w:start w:val="0"/>
      <w:numFmt w:val="bullet"/>
      <w:lvlText w:val="•"/>
      <w:lvlJc w:val="left"/>
      <w:pPr>
        <w:ind w:left="2170" w:hanging="721"/>
      </w:pPr>
      <w:rPr>
        <w:rFonts w:hint="default"/>
      </w:rPr>
    </w:lvl>
    <w:lvl w:ilvl="3">
      <w:start w:val="0"/>
      <w:numFmt w:val="bullet"/>
      <w:lvlText w:val="•"/>
      <w:lvlJc w:val="left"/>
      <w:pPr>
        <w:ind w:left="2825" w:hanging="721"/>
      </w:pPr>
      <w:rPr>
        <w:rFonts w:hint="default"/>
      </w:rPr>
    </w:lvl>
    <w:lvl w:ilvl="4">
      <w:start w:val="0"/>
      <w:numFmt w:val="bullet"/>
      <w:lvlText w:val="•"/>
      <w:lvlJc w:val="left"/>
      <w:pPr>
        <w:ind w:left="3480" w:hanging="721"/>
      </w:pPr>
      <w:rPr>
        <w:rFonts w:hint="default"/>
      </w:rPr>
    </w:lvl>
    <w:lvl w:ilvl="5">
      <w:start w:val="0"/>
      <w:numFmt w:val="bullet"/>
      <w:lvlText w:val="•"/>
      <w:lvlJc w:val="left"/>
      <w:pPr>
        <w:ind w:left="4135" w:hanging="721"/>
      </w:pPr>
      <w:rPr>
        <w:rFonts w:hint="default"/>
      </w:rPr>
    </w:lvl>
    <w:lvl w:ilvl="6">
      <w:start w:val="0"/>
      <w:numFmt w:val="bullet"/>
      <w:lvlText w:val="•"/>
      <w:lvlJc w:val="left"/>
      <w:pPr>
        <w:ind w:left="4790" w:hanging="721"/>
      </w:pPr>
      <w:rPr>
        <w:rFonts w:hint="default"/>
      </w:rPr>
    </w:lvl>
    <w:lvl w:ilvl="7">
      <w:start w:val="0"/>
      <w:numFmt w:val="bullet"/>
      <w:lvlText w:val="•"/>
      <w:lvlJc w:val="left"/>
      <w:pPr>
        <w:ind w:left="5445" w:hanging="721"/>
      </w:pPr>
      <w:rPr>
        <w:rFonts w:hint="default"/>
      </w:rPr>
    </w:lvl>
    <w:lvl w:ilvl="8">
      <w:start w:val="0"/>
      <w:numFmt w:val="bullet"/>
      <w:lvlText w:val="•"/>
      <w:lvlJc w:val="left"/>
      <w:pPr>
        <w:ind w:left="6100" w:hanging="721"/>
      </w:pPr>
      <w:rPr>
        <w:rFonts w:hint="default"/>
      </w:rPr>
    </w:lvl>
  </w:abstractNum>
  <w:abstractNum w:abstractNumId="4">
    <w:multiLevelType w:val="hybridMultilevel"/>
    <w:lvl w:ilvl="0">
      <w:start w:val="6"/>
      <w:numFmt w:val="decimal"/>
      <w:lvlText w:val="%1"/>
      <w:lvlJc w:val="left"/>
      <w:pPr>
        <w:ind w:left="780" w:hanging="526"/>
        <w:jc w:val="left"/>
      </w:pPr>
      <w:rPr>
        <w:rFonts w:hint="default"/>
      </w:rPr>
    </w:lvl>
    <w:lvl w:ilvl="1">
      <w:start w:val="11"/>
      <w:numFmt w:val="decimal"/>
      <w:lvlText w:val="%1.%2"/>
      <w:lvlJc w:val="left"/>
      <w:pPr>
        <w:ind w:left="780" w:hanging="526"/>
        <w:jc w:val="left"/>
      </w:pPr>
      <w:rPr>
        <w:rFonts w:hint="default" w:ascii="宋体" w:hAnsi="宋体" w:eastAsia="宋体" w:cs="宋体"/>
        <w:w w:val="100"/>
        <w:sz w:val="21"/>
        <w:szCs w:val="21"/>
      </w:rPr>
    </w:lvl>
    <w:lvl w:ilvl="2">
      <w:start w:val="0"/>
      <w:numFmt w:val="bullet"/>
      <w:lvlText w:val="•"/>
      <w:lvlJc w:val="left"/>
      <w:pPr>
        <w:ind w:left="1323" w:hanging="526"/>
      </w:pPr>
      <w:rPr>
        <w:rFonts w:hint="default"/>
      </w:rPr>
    </w:lvl>
    <w:lvl w:ilvl="3">
      <w:start w:val="0"/>
      <w:numFmt w:val="bullet"/>
      <w:lvlText w:val="•"/>
      <w:lvlJc w:val="left"/>
      <w:pPr>
        <w:ind w:left="1595" w:hanging="526"/>
      </w:pPr>
      <w:rPr>
        <w:rFonts w:hint="default"/>
      </w:rPr>
    </w:lvl>
    <w:lvl w:ilvl="4">
      <w:start w:val="0"/>
      <w:numFmt w:val="bullet"/>
      <w:lvlText w:val="•"/>
      <w:lvlJc w:val="left"/>
      <w:pPr>
        <w:ind w:left="1867" w:hanging="526"/>
      </w:pPr>
      <w:rPr>
        <w:rFonts w:hint="default"/>
      </w:rPr>
    </w:lvl>
    <w:lvl w:ilvl="5">
      <w:start w:val="0"/>
      <w:numFmt w:val="bullet"/>
      <w:lvlText w:val="•"/>
      <w:lvlJc w:val="left"/>
      <w:pPr>
        <w:ind w:left="2139" w:hanging="526"/>
      </w:pPr>
      <w:rPr>
        <w:rFonts w:hint="default"/>
      </w:rPr>
    </w:lvl>
    <w:lvl w:ilvl="6">
      <w:start w:val="0"/>
      <w:numFmt w:val="bullet"/>
      <w:lvlText w:val="•"/>
      <w:lvlJc w:val="left"/>
      <w:pPr>
        <w:ind w:left="2410" w:hanging="526"/>
      </w:pPr>
      <w:rPr>
        <w:rFonts w:hint="default"/>
      </w:rPr>
    </w:lvl>
    <w:lvl w:ilvl="7">
      <w:start w:val="0"/>
      <w:numFmt w:val="bullet"/>
      <w:lvlText w:val="•"/>
      <w:lvlJc w:val="left"/>
      <w:pPr>
        <w:ind w:left="2682" w:hanging="526"/>
      </w:pPr>
      <w:rPr>
        <w:rFonts w:hint="default"/>
      </w:rPr>
    </w:lvl>
    <w:lvl w:ilvl="8">
      <w:start w:val="0"/>
      <w:numFmt w:val="bullet"/>
      <w:lvlText w:val="•"/>
      <w:lvlJc w:val="left"/>
      <w:pPr>
        <w:ind w:left="2954" w:hanging="526"/>
      </w:pPr>
      <w:rPr>
        <w:rFonts w:hint="default"/>
      </w:rPr>
    </w:lvl>
  </w:abstractNum>
  <w:abstractNum w:abstractNumId="3">
    <w:multiLevelType w:val="hybridMultilevel"/>
    <w:lvl w:ilvl="0">
      <w:start w:val="4"/>
      <w:numFmt w:val="decimal"/>
      <w:lvlText w:val="%1."/>
      <w:lvlJc w:val="left"/>
      <w:pPr>
        <w:ind w:left="498" w:hanging="317"/>
        <w:jc w:val="left"/>
      </w:pPr>
      <w:rPr>
        <w:rFonts w:hint="default" w:ascii="宋体" w:hAnsi="宋体" w:eastAsia="宋体" w:cs="宋体"/>
        <w:b/>
        <w:bCs/>
        <w:w w:val="99"/>
        <w:sz w:val="21"/>
        <w:szCs w:val="21"/>
      </w:rPr>
    </w:lvl>
    <w:lvl w:ilvl="1">
      <w:start w:val="1"/>
      <w:numFmt w:val="decimal"/>
      <w:lvlText w:val="%1.%2"/>
      <w:lvlJc w:val="left"/>
      <w:pPr>
        <w:ind w:left="709" w:hanging="423"/>
        <w:jc w:val="left"/>
      </w:pPr>
      <w:rPr>
        <w:rFonts w:hint="default" w:ascii="宋体" w:hAnsi="宋体" w:eastAsia="宋体" w:cs="宋体"/>
        <w:w w:val="100"/>
        <w:sz w:val="21"/>
        <w:szCs w:val="21"/>
      </w:rPr>
    </w:lvl>
    <w:lvl w:ilvl="2">
      <w:start w:val="0"/>
      <w:numFmt w:val="bullet"/>
      <w:lvlText w:val="•"/>
      <w:lvlJc w:val="left"/>
      <w:pPr>
        <w:ind w:left="700" w:hanging="423"/>
      </w:pPr>
      <w:rPr>
        <w:rFonts w:hint="default"/>
      </w:rPr>
    </w:lvl>
    <w:lvl w:ilvl="3">
      <w:start w:val="0"/>
      <w:numFmt w:val="bullet"/>
      <w:lvlText w:val="•"/>
      <w:lvlJc w:val="left"/>
      <w:pPr>
        <w:ind w:left="1021" w:hanging="423"/>
      </w:pPr>
      <w:rPr>
        <w:rFonts w:hint="default"/>
      </w:rPr>
    </w:lvl>
    <w:lvl w:ilvl="4">
      <w:start w:val="0"/>
      <w:numFmt w:val="bullet"/>
      <w:lvlText w:val="•"/>
      <w:lvlJc w:val="left"/>
      <w:pPr>
        <w:ind w:left="1343" w:hanging="423"/>
      </w:pPr>
      <w:rPr>
        <w:rFonts w:hint="default"/>
      </w:rPr>
    </w:lvl>
    <w:lvl w:ilvl="5">
      <w:start w:val="0"/>
      <w:numFmt w:val="bullet"/>
      <w:lvlText w:val="•"/>
      <w:lvlJc w:val="left"/>
      <w:pPr>
        <w:ind w:left="1665" w:hanging="423"/>
      </w:pPr>
      <w:rPr>
        <w:rFonts w:hint="default"/>
      </w:rPr>
    </w:lvl>
    <w:lvl w:ilvl="6">
      <w:start w:val="0"/>
      <w:numFmt w:val="bullet"/>
      <w:lvlText w:val="•"/>
      <w:lvlJc w:val="left"/>
      <w:pPr>
        <w:ind w:left="1987" w:hanging="423"/>
      </w:pPr>
      <w:rPr>
        <w:rFonts w:hint="default"/>
      </w:rPr>
    </w:lvl>
    <w:lvl w:ilvl="7">
      <w:start w:val="0"/>
      <w:numFmt w:val="bullet"/>
      <w:lvlText w:val="•"/>
      <w:lvlJc w:val="left"/>
      <w:pPr>
        <w:ind w:left="2309" w:hanging="423"/>
      </w:pPr>
      <w:rPr>
        <w:rFonts w:hint="default"/>
      </w:rPr>
    </w:lvl>
    <w:lvl w:ilvl="8">
      <w:start w:val="0"/>
      <w:numFmt w:val="bullet"/>
      <w:lvlText w:val="•"/>
      <w:lvlJc w:val="left"/>
      <w:pPr>
        <w:ind w:left="2631" w:hanging="423"/>
      </w:pPr>
      <w:rPr>
        <w:rFonts w:hint="default"/>
      </w:rPr>
    </w:lvl>
  </w:abstractNum>
  <w:abstractNum w:abstractNumId="2">
    <w:multiLevelType w:val="hybridMultilevel"/>
    <w:lvl w:ilvl="0">
      <w:start w:val="3"/>
      <w:numFmt w:val="decimal"/>
      <w:lvlText w:val="%1"/>
      <w:lvlJc w:val="left"/>
      <w:pPr>
        <w:ind w:left="728" w:hanging="423"/>
        <w:jc w:val="left"/>
      </w:pPr>
      <w:rPr>
        <w:rFonts w:hint="default"/>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1209" w:hanging="423"/>
      </w:pPr>
      <w:rPr>
        <w:rFonts w:hint="default"/>
      </w:rPr>
    </w:lvl>
    <w:lvl w:ilvl="3">
      <w:start w:val="0"/>
      <w:numFmt w:val="bullet"/>
      <w:lvlText w:val="•"/>
      <w:lvlJc w:val="left"/>
      <w:pPr>
        <w:ind w:left="1454" w:hanging="423"/>
      </w:pPr>
      <w:rPr>
        <w:rFonts w:hint="default"/>
      </w:rPr>
    </w:lvl>
    <w:lvl w:ilvl="4">
      <w:start w:val="0"/>
      <w:numFmt w:val="bullet"/>
      <w:lvlText w:val="•"/>
      <w:lvlJc w:val="left"/>
      <w:pPr>
        <w:ind w:left="1699" w:hanging="423"/>
      </w:pPr>
      <w:rPr>
        <w:rFonts w:hint="default"/>
      </w:rPr>
    </w:lvl>
    <w:lvl w:ilvl="5">
      <w:start w:val="0"/>
      <w:numFmt w:val="bullet"/>
      <w:lvlText w:val="•"/>
      <w:lvlJc w:val="left"/>
      <w:pPr>
        <w:ind w:left="1944" w:hanging="423"/>
      </w:pPr>
      <w:rPr>
        <w:rFonts w:hint="default"/>
      </w:rPr>
    </w:lvl>
    <w:lvl w:ilvl="6">
      <w:start w:val="0"/>
      <w:numFmt w:val="bullet"/>
      <w:lvlText w:val="•"/>
      <w:lvlJc w:val="left"/>
      <w:pPr>
        <w:ind w:left="2188" w:hanging="423"/>
      </w:pPr>
      <w:rPr>
        <w:rFonts w:hint="default"/>
      </w:rPr>
    </w:lvl>
    <w:lvl w:ilvl="7">
      <w:start w:val="0"/>
      <w:numFmt w:val="bullet"/>
      <w:lvlText w:val="•"/>
      <w:lvlJc w:val="left"/>
      <w:pPr>
        <w:ind w:left="2433" w:hanging="423"/>
      </w:pPr>
      <w:rPr>
        <w:rFonts w:hint="default"/>
      </w:rPr>
    </w:lvl>
    <w:lvl w:ilvl="8">
      <w:start w:val="0"/>
      <w:numFmt w:val="bullet"/>
      <w:lvlText w:val="•"/>
      <w:lvlJc w:val="left"/>
      <w:pPr>
        <w:ind w:left="2678" w:hanging="423"/>
      </w:pPr>
      <w:rPr>
        <w:rFonts w:hint="default"/>
      </w:rPr>
    </w:lvl>
  </w:abstractNum>
  <w:abstractNum w:abstractNumId="1">
    <w:multiLevelType w:val="hybridMultilevel"/>
    <w:lvl w:ilvl="0">
      <w:start w:val="1"/>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992" w:hanging="423"/>
      </w:pPr>
      <w:rPr>
        <w:rFonts w:hint="default"/>
      </w:rPr>
    </w:lvl>
    <w:lvl w:ilvl="3">
      <w:start w:val="0"/>
      <w:numFmt w:val="bullet"/>
      <w:lvlText w:val="•"/>
      <w:lvlJc w:val="left"/>
      <w:pPr>
        <w:ind w:left="1264" w:hanging="423"/>
      </w:pPr>
      <w:rPr>
        <w:rFonts w:hint="default"/>
      </w:rPr>
    </w:lvl>
    <w:lvl w:ilvl="4">
      <w:start w:val="0"/>
      <w:numFmt w:val="bullet"/>
      <w:lvlText w:val="•"/>
      <w:lvlJc w:val="left"/>
      <w:pPr>
        <w:ind w:left="1536" w:hanging="423"/>
      </w:pPr>
      <w:rPr>
        <w:rFonts w:hint="default"/>
      </w:rPr>
    </w:lvl>
    <w:lvl w:ilvl="5">
      <w:start w:val="0"/>
      <w:numFmt w:val="bullet"/>
      <w:lvlText w:val="•"/>
      <w:lvlJc w:val="left"/>
      <w:pPr>
        <w:ind w:left="1808" w:hanging="423"/>
      </w:pPr>
      <w:rPr>
        <w:rFonts w:hint="default"/>
      </w:rPr>
    </w:lvl>
    <w:lvl w:ilvl="6">
      <w:start w:val="0"/>
      <w:numFmt w:val="bullet"/>
      <w:lvlText w:val="•"/>
      <w:lvlJc w:val="left"/>
      <w:pPr>
        <w:ind w:left="2080" w:hanging="423"/>
      </w:pPr>
      <w:rPr>
        <w:rFonts w:hint="default"/>
      </w:rPr>
    </w:lvl>
    <w:lvl w:ilvl="7">
      <w:start w:val="0"/>
      <w:numFmt w:val="bullet"/>
      <w:lvlText w:val="•"/>
      <w:lvlJc w:val="left"/>
      <w:pPr>
        <w:ind w:left="2352" w:hanging="423"/>
      </w:pPr>
      <w:rPr>
        <w:rFonts w:hint="default"/>
      </w:rPr>
    </w:lvl>
    <w:lvl w:ilvl="8">
      <w:start w:val="0"/>
      <w:numFmt w:val="bullet"/>
      <w:lvlText w:val="•"/>
      <w:lvlJc w:val="left"/>
      <w:pPr>
        <w:ind w:left="2624" w:hanging="423"/>
      </w:pPr>
      <w:rPr>
        <w:rFonts w:hint="default"/>
      </w:rPr>
    </w:lvl>
  </w:abstractNum>
  <w:abstractNum w:abstractNumId="0">
    <w:multiLevelType w:val="hybridMultilevel"/>
    <w:lvl w:ilvl="0">
      <w:start w:val="0"/>
      <w:numFmt w:val="bullet"/>
      <w:lvlText w:val=""/>
      <w:lvlJc w:val="left"/>
      <w:pPr>
        <w:ind w:left="1269" w:hanging="399"/>
      </w:pPr>
      <w:rPr>
        <w:rFonts w:hint="default" w:ascii="Wingdings" w:hAnsi="Wingdings" w:eastAsia="Wingdings" w:cs="Wingdings"/>
        <w:w w:val="100"/>
        <w:sz w:val="21"/>
        <w:szCs w:val="21"/>
      </w:rPr>
    </w:lvl>
    <w:lvl w:ilvl="1">
      <w:start w:val="0"/>
      <w:numFmt w:val="bullet"/>
      <w:lvlText w:val="•"/>
      <w:lvlJc w:val="left"/>
      <w:pPr>
        <w:ind w:left="2194" w:hanging="399"/>
      </w:pPr>
      <w:rPr>
        <w:rFonts w:hint="default"/>
      </w:rPr>
    </w:lvl>
    <w:lvl w:ilvl="2">
      <w:start w:val="0"/>
      <w:numFmt w:val="bullet"/>
      <w:lvlText w:val="•"/>
      <w:lvlJc w:val="left"/>
      <w:pPr>
        <w:ind w:left="3129" w:hanging="399"/>
      </w:pPr>
      <w:rPr>
        <w:rFonts w:hint="default"/>
      </w:rPr>
    </w:lvl>
    <w:lvl w:ilvl="3">
      <w:start w:val="0"/>
      <w:numFmt w:val="bullet"/>
      <w:lvlText w:val="•"/>
      <w:lvlJc w:val="left"/>
      <w:pPr>
        <w:ind w:left="4063" w:hanging="399"/>
      </w:pPr>
      <w:rPr>
        <w:rFonts w:hint="default"/>
      </w:rPr>
    </w:lvl>
    <w:lvl w:ilvl="4">
      <w:start w:val="0"/>
      <w:numFmt w:val="bullet"/>
      <w:lvlText w:val="•"/>
      <w:lvlJc w:val="left"/>
      <w:pPr>
        <w:ind w:left="4998" w:hanging="399"/>
      </w:pPr>
      <w:rPr>
        <w:rFonts w:hint="default"/>
      </w:rPr>
    </w:lvl>
    <w:lvl w:ilvl="5">
      <w:start w:val="0"/>
      <w:numFmt w:val="bullet"/>
      <w:lvlText w:val="•"/>
      <w:lvlJc w:val="left"/>
      <w:pPr>
        <w:ind w:left="5933" w:hanging="399"/>
      </w:pPr>
      <w:rPr>
        <w:rFonts w:hint="default"/>
      </w:rPr>
    </w:lvl>
    <w:lvl w:ilvl="6">
      <w:start w:val="0"/>
      <w:numFmt w:val="bullet"/>
      <w:lvlText w:val="•"/>
      <w:lvlJc w:val="left"/>
      <w:pPr>
        <w:ind w:left="6867" w:hanging="399"/>
      </w:pPr>
      <w:rPr>
        <w:rFonts w:hint="default"/>
      </w:rPr>
    </w:lvl>
    <w:lvl w:ilvl="7">
      <w:start w:val="0"/>
      <w:numFmt w:val="bullet"/>
      <w:lvlText w:val="•"/>
      <w:lvlJc w:val="left"/>
      <w:pPr>
        <w:ind w:left="7802" w:hanging="399"/>
      </w:pPr>
      <w:rPr>
        <w:rFonts w:hint="default"/>
      </w:rPr>
    </w:lvl>
    <w:lvl w:ilvl="8">
      <w:start w:val="0"/>
      <w:numFmt w:val="bullet"/>
      <w:lvlText w:val="•"/>
      <w:lvlJc w:val="left"/>
      <w:pPr>
        <w:ind w:left="8737" w:hanging="399"/>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863"/>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22"/>
      <w:ind w:left="239"/>
      <w:outlineLvl w:val="2"/>
    </w:pPr>
    <w:rPr>
      <w:rFonts w:ascii="宋体" w:hAnsi="宋体" w:eastAsia="宋体" w:cs="宋体"/>
      <w:b/>
      <w:bCs/>
      <w:sz w:val="21"/>
      <w:szCs w:val="21"/>
    </w:rPr>
  </w:style>
  <w:style w:styleId="ListParagraph" w:type="paragraph">
    <w:name w:val="List Paragraph"/>
    <w:basedOn w:val="Normal"/>
    <w:uiPriority w:val="1"/>
    <w:qFormat/>
    <w:pPr>
      <w:spacing w:before="22"/>
      <w:ind w:left="1269" w:hanging="399"/>
    </w:pPr>
    <w:rPr>
      <w:rFonts w:ascii="宋体" w:hAnsi="宋体" w:eastAsia="宋体" w:cs="宋体"/>
    </w:rPr>
  </w:style>
  <w:style w:styleId="TableParagraph" w:type="paragraph">
    <w:name w:val="Table Paragraph"/>
    <w:basedOn w:val="Normal"/>
    <w:uiPriority w:val="1"/>
    <w:qFormat/>
    <w:pPr>
      <w:spacing w:before="142"/>
      <w:ind w:left="14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ULIC</dc:creator>
  <dc:title>合众至尊安康终身寿险（分红型）条款</dc:title>
  <dcterms:created xsi:type="dcterms:W3CDTF">2018-10-20T02:48:24Z</dcterms:created>
  <dcterms:modified xsi:type="dcterms:W3CDTF">2018-10-20T02:48:24Z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2015-05-15T00:00:00Z</vt:filetime>
  </property>
  <property fmtid="{D5CDD505-2E9C-101B-9397-08002B2CF9AE}" pid="3" name="Creator">
    <vt:lpwstr>Microsoft® Office Word 2007</vt:lpwstr>
  </property>
  <property fmtid="{D5CDD505-2E9C-101B-9397-08002B2CF9AE}" pid="4" name="LastSaved">
    <vt:filetime>2018-10-19T00:00:00Z</vt:filetime>
  </property>
</Properties>
</file>