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footer2.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35"/>
        </w:rPr>
      </w:pPr>
    </w:p>
    <w:p>
      <w:pPr>
        <w:spacing w:before="1"/>
        <w:ind w:left="243" w:right="0" w:firstLine="0"/>
        <w:jc w:val="left"/>
        <w:rPr>
          <w:rFonts w:ascii="黑体" w:eastAsia="黑体" w:hint="eastAsia"/>
          <w:sz w:val="24"/>
        </w:rPr>
      </w:pPr>
      <w:r>
        <w:rPr>
          <w:rFonts w:ascii="黑体" w:eastAsia="黑体" w:hint="eastAsia"/>
          <w:spacing w:val="-21"/>
          <w:sz w:val="24"/>
        </w:rPr>
        <w:t>附件 </w:t>
      </w:r>
      <w:r>
        <w:rPr>
          <w:rFonts w:ascii="黑体" w:eastAsia="黑体" w:hint="eastAsia"/>
          <w:sz w:val="24"/>
        </w:rPr>
        <w:t>4-4</w:t>
      </w:r>
    </w:p>
    <w:p>
      <w:pPr>
        <w:pStyle w:val="BodyText"/>
        <w:spacing w:before="21"/>
        <w:ind w:left="5059"/>
        <w:rPr>
          <w:rFonts w:ascii="楷体" w:eastAsia="楷体" w:hint="eastAsia"/>
        </w:rPr>
      </w:pPr>
      <w:r>
        <w:rPr/>
        <w:br w:type="column"/>
      </w:r>
      <w:r>
        <w:rPr>
          <w:rFonts w:ascii="楷体" w:eastAsia="楷体" w:hint="eastAsia"/>
        </w:rPr>
        <w:t>长城人寿[2014]疾病保险 016 号</w:t>
      </w:r>
    </w:p>
    <w:p>
      <w:pPr>
        <w:tabs>
          <w:tab w:pos="5957" w:val="left" w:leader="none"/>
        </w:tabs>
        <w:spacing w:before="102"/>
        <w:ind w:left="243" w:right="0" w:firstLine="0"/>
        <w:jc w:val="left"/>
        <w:rPr>
          <w:rFonts w:ascii="微软雅黑" w:eastAsia="微软雅黑" w:hint="eastAsia"/>
          <w:b/>
          <w:sz w:val="32"/>
        </w:rPr>
      </w:pPr>
      <w:r>
        <w:rPr>
          <w:rFonts w:ascii="微软雅黑" w:eastAsia="微软雅黑" w:hint="eastAsia"/>
          <w:b/>
          <w:position w:val="2"/>
          <w:sz w:val="32"/>
        </w:rPr>
        <w:t>长城附加保险费豁免重大疾病保险条款</w:t>
        <w:tab/>
      </w:r>
      <w:r>
        <w:rPr>
          <w:rFonts w:ascii="微软雅黑" w:eastAsia="微软雅黑" w:hint="eastAsia"/>
          <w:b/>
          <w:sz w:val="32"/>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微软雅黑" w:eastAsia="微软雅黑" w:hint="eastAsia"/>
          <w:b/>
          <w:sz w:val="32"/>
        </w:rPr>
      </w:r>
    </w:p>
    <w:p>
      <w:pPr>
        <w:spacing w:after="0"/>
        <w:jc w:val="left"/>
        <w:rPr>
          <w:rFonts w:ascii="微软雅黑" w:eastAsia="微软雅黑" w:hint="eastAsia"/>
          <w:sz w:val="32"/>
        </w:rPr>
        <w:sectPr>
          <w:footerReference w:type="default" r:id="rId5"/>
          <w:type w:val="continuous"/>
          <w:pgSz w:w="11910" w:h="16840"/>
          <w:pgMar w:footer="992" w:top="380" w:bottom="1180" w:left="1060" w:right="700"/>
          <w:pgNumType w:start="1"/>
          <w:cols w:num="2" w:equalWidth="0">
            <w:col w:w="1144" w:space="896"/>
            <w:col w:w="8110"/>
          </w:cols>
        </w:sectPr>
      </w:pPr>
    </w:p>
    <w:p>
      <w:pPr>
        <w:spacing w:line="507" w:lineRule="exact" w:before="0"/>
        <w:ind w:left="0" w:right="0" w:firstLine="0"/>
        <w:jc w:val="right"/>
        <w:rPr>
          <w:rFonts w:ascii="微软雅黑" w:eastAsia="微软雅黑" w:hint="eastAsia"/>
          <w:b/>
          <w:sz w:val="32"/>
        </w:rPr>
      </w:pPr>
      <w:r>
        <w:rPr>
          <w:rFonts w:ascii="微软雅黑" w:eastAsia="微软雅黑" w:hint="eastAsia"/>
          <w:b/>
          <w:sz w:val="32"/>
        </w:rPr>
        <w:t>阅  读  指 引</w:t>
      </w:r>
    </w:p>
    <w:p>
      <w:pPr>
        <w:pStyle w:val="BodyText"/>
        <w:spacing w:line="253" w:lineRule="exact"/>
        <w:ind w:left="1591"/>
        <w:rPr>
          <w:rFonts w:ascii="楷体" w:eastAsia="楷体" w:hint="eastAsia"/>
        </w:rPr>
      </w:pPr>
      <w:r>
        <w:rPr/>
        <w:br w:type="column"/>
      </w:r>
      <w:r>
        <w:rPr>
          <w:rFonts w:ascii="楷体" w:eastAsia="楷体" w:hint="eastAsia"/>
        </w:rPr>
        <w:t>请扫描以查询验证条款</w:t>
      </w:r>
    </w:p>
    <w:p>
      <w:pPr>
        <w:spacing w:after="0" w:line="253" w:lineRule="exact"/>
        <w:rPr>
          <w:rFonts w:ascii="楷体" w:eastAsia="楷体" w:hint="eastAsia"/>
        </w:rPr>
        <w:sectPr>
          <w:type w:val="continuous"/>
          <w:pgSz w:w="11910" w:h="16840"/>
          <w:pgMar w:top="380" w:bottom="1180" w:left="1060" w:right="700"/>
          <w:cols w:num="2" w:equalWidth="0">
            <w:col w:w="5888" w:space="40"/>
            <w:col w:w="4222"/>
          </w:cols>
        </w:sectPr>
      </w:pPr>
    </w:p>
    <w:p>
      <w:pPr>
        <w:pStyle w:val="BodyText"/>
        <w:spacing w:before="8"/>
        <w:rPr>
          <w:rFonts w:ascii="楷体"/>
          <w:sz w:val="14"/>
        </w:rPr>
      </w:pPr>
    </w:p>
    <w:p>
      <w:pPr>
        <w:pStyle w:val="BodyText"/>
        <w:spacing w:before="36"/>
        <w:ind w:left="1643" w:right="1770"/>
        <w:jc w:val="center"/>
      </w:pP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2"/>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附</w:t>
      </w:r>
      <w:r>
        <w:rPr>
          <w:spacing w:val="-63"/>
          <w:w w:val="100"/>
          <w:position w:val="-7"/>
        </w:rPr>
        <w:t>．</w:t>
      </w:r>
      <w:r>
        <w:rPr>
          <w:spacing w:val="-152"/>
          <w:w w:val="100"/>
        </w:rPr>
        <w:t>加</w:t>
      </w:r>
      <w:r>
        <w:rPr>
          <w:spacing w:val="-62"/>
          <w:w w:val="100"/>
          <w:position w:val="-7"/>
        </w:rPr>
        <w:t>．</w:t>
      </w:r>
      <w:r>
        <w:rPr>
          <w:spacing w:val="-149"/>
          <w:w w:val="100"/>
        </w:rPr>
        <w:t>险</w:t>
      </w:r>
      <w:r>
        <w:rPr>
          <w:spacing w:val="-63"/>
          <w:w w:val="100"/>
          <w:position w:val="-7"/>
        </w:rPr>
        <w:t>．</w:t>
      </w:r>
      <w:r>
        <w:rPr>
          <w:spacing w:val="-152"/>
          <w:w w:val="100"/>
        </w:rPr>
        <w:t>合</w:t>
      </w:r>
      <w:r>
        <w:rPr>
          <w:spacing w:val="-63"/>
          <w:w w:val="100"/>
          <w:position w:val="-7"/>
        </w:rPr>
        <w:t>．</w:t>
      </w:r>
      <w:r>
        <w:rPr>
          <w:spacing w:val="-149"/>
          <w:w w:val="100"/>
        </w:rPr>
        <w:t>同</w:t>
      </w:r>
      <w:r>
        <w:rPr>
          <w:spacing w:val="-63"/>
          <w:w w:val="100"/>
          <w:position w:val="-7"/>
        </w:rPr>
        <w:t>．</w:t>
      </w:r>
      <w:r>
        <w:rPr>
          <w:spacing w:val="-152"/>
          <w:w w:val="100"/>
        </w:rPr>
        <w:t>内</w:t>
      </w:r>
      <w:r>
        <w:rPr>
          <w:spacing w:val="-63"/>
          <w:w w:val="100"/>
          <w:position w:val="-7"/>
        </w:rPr>
        <w:t>．</w:t>
      </w:r>
      <w:r>
        <w:rPr>
          <w:spacing w:val="-149"/>
          <w:w w:val="100"/>
        </w:rPr>
        <w:t>容</w:t>
      </w:r>
      <w:r>
        <w:rPr>
          <w:spacing w:val="-63"/>
          <w:w w:val="100"/>
          <w:position w:val="-7"/>
        </w:rPr>
        <w:t>．</w:t>
      </w:r>
      <w:r>
        <w:rPr>
          <w:spacing w:val="-149"/>
          <w:w w:val="100"/>
        </w:rPr>
        <w:t>的</w:t>
      </w:r>
      <w:r>
        <w:rPr>
          <w:spacing w:val="-63"/>
          <w:w w:val="100"/>
          <w:position w:val="-7"/>
        </w:rPr>
        <w:t>．</w:t>
      </w:r>
      <w:r>
        <w:rPr>
          <w:spacing w:val="-152"/>
          <w:w w:val="100"/>
        </w:rPr>
        <w:t>解</w:t>
      </w:r>
      <w:r>
        <w:rPr>
          <w:spacing w:val="-63"/>
          <w:w w:val="100"/>
          <w:position w:val="-7"/>
        </w:rPr>
        <w:t>．</w:t>
      </w:r>
      <w:r>
        <w:rPr>
          <w:spacing w:val="-150"/>
          <w:w w:val="100"/>
        </w:rPr>
        <w:t>释</w:t>
      </w:r>
      <w:r>
        <w:rPr>
          <w:spacing w:val="-63"/>
          <w:w w:val="100"/>
          <w:position w:val="-7"/>
        </w:rPr>
        <w:t>．</w:t>
      </w:r>
      <w:r>
        <w:rPr>
          <w:spacing w:val="-152"/>
          <w:w w:val="100"/>
        </w:rPr>
        <w:t>以</w:t>
      </w:r>
      <w:r>
        <w:rPr>
          <w:spacing w:val="-63"/>
          <w:w w:val="100"/>
          <w:position w:val="-7"/>
        </w:rPr>
        <w:t>．</w:t>
      </w:r>
      <w:r>
        <w:rPr>
          <w:spacing w:val="-150"/>
          <w:w w:val="100"/>
        </w:rPr>
        <w:t>条</w:t>
      </w:r>
      <w:r>
        <w:rPr>
          <w:spacing w:val="-63"/>
          <w:w w:val="100"/>
          <w:position w:val="-7"/>
        </w:rPr>
        <w:t>．</w:t>
      </w:r>
      <w:r>
        <w:rPr>
          <w:spacing w:val="-152"/>
          <w:w w:val="100"/>
        </w:rPr>
        <w:t>款</w:t>
      </w:r>
      <w:r>
        <w:rPr>
          <w:spacing w:val="-63"/>
          <w:w w:val="100"/>
          <w:position w:val="-7"/>
        </w:rPr>
        <w:t>．</w:t>
      </w:r>
      <w:r>
        <w:rPr>
          <w:spacing w:val="-150"/>
          <w:w w:val="100"/>
        </w:rPr>
        <w:t>为</w:t>
      </w:r>
      <w:r>
        <w:rPr>
          <w:spacing w:val="-63"/>
          <w:w w:val="100"/>
          <w:position w:val="-7"/>
        </w:rPr>
        <w:t>．</w:t>
      </w:r>
      <w:r>
        <w:rPr>
          <w:spacing w:val="-151"/>
          <w:w w:val="100"/>
        </w:rPr>
        <w:t>准</w:t>
      </w:r>
      <w:r>
        <w:rPr>
          <w:spacing w:val="-63"/>
          <w:w w:val="100"/>
          <w:position w:val="-7"/>
        </w:rPr>
        <w:t>．</w:t>
      </w:r>
      <w:r>
        <w:rPr>
          <w:w w:val="100"/>
        </w:rPr>
        <w:t>。</w:t>
      </w:r>
    </w:p>
    <w:p>
      <w:pPr>
        <w:pStyle w:val="BodyText"/>
        <w:rPr>
          <w:sz w:val="30"/>
        </w:rPr>
      </w:pPr>
    </w:p>
    <w:p>
      <w:pPr>
        <w:spacing w:before="1"/>
        <w:ind w:left="243" w:right="0" w:firstLine="0"/>
        <w:jc w:val="left"/>
        <w:rPr>
          <w:b/>
          <w:sz w:val="21"/>
        </w:rPr>
      </w:pPr>
      <w:r>
        <w:rPr/>
        <w:pict>
          <v:group style="position:absolute;margin-left:58.200001pt;margin-top:-2.326345pt;width:490.2pt;height:575.5pt;mso-position-horizontal-relative:page;mso-position-vertical-relative:paragraph;z-index:-48688" coordorigin="1164,-47" coordsize="9804,11510">
            <v:shape style="position:absolute;left:1457;top:5560;width:10;height:10" type="#_x0000_t75" stroked="false">
              <v:imagedata r:id="rId7" o:title=""/>
            </v:shape>
            <v:shape style="position:absolute;left:1457;top:5560;width:10;height:10" type="#_x0000_t75" stroked="false">
              <v:imagedata r:id="rId7" o:title=""/>
            </v:shape>
            <v:shape style="position:absolute;left:1466;top:5560;width:39;height:10" type="#_x0000_t75" stroked="false">
              <v:imagedata r:id="rId8" o:title=""/>
            </v:shape>
            <v:shape style="position:absolute;left:1505;top:5560;width:39;height:10" type="#_x0000_t75" stroked="false">
              <v:imagedata r:id="rId8" o:title=""/>
            </v:shape>
            <v:shape style="position:absolute;left:1543;top:5560;width:39;height:10" type="#_x0000_t75" stroked="false">
              <v:imagedata r:id="rId8" o:title=""/>
            </v:shape>
            <v:shape style="position:absolute;left:1582;top:5560;width:20;height:10" type="#_x0000_t75" stroked="false">
              <v:imagedata r:id="rId9" o:title=""/>
            </v:shape>
            <v:shape style="position:absolute;left:1601;top:5560;width:39;height:10" type="#_x0000_t75" stroked="false">
              <v:imagedata r:id="rId8" o:title=""/>
            </v:shape>
            <v:shape style="position:absolute;left:1639;top:5560;width:39;height:10" type="#_x0000_t75" stroked="false">
              <v:imagedata r:id="rId8" o:title=""/>
            </v:shape>
            <v:shape style="position:absolute;left:1678;top:5560;width:39;height:10" type="#_x0000_t75" stroked="false">
              <v:imagedata r:id="rId8" o:title=""/>
            </v:shape>
            <v:shape style="position:absolute;left:1716;top:5560;width:39;height:10" type="#_x0000_t75" stroked="false">
              <v:imagedata r:id="rId8" o:title=""/>
            </v:shape>
            <v:shape style="position:absolute;left:1754;top:5560;width:20;height:10" type="#_x0000_t75" stroked="false">
              <v:imagedata r:id="rId9" o:title=""/>
            </v:shape>
            <v:shape style="position:absolute;left:1774;top:5560;width:39;height:10" type="#_x0000_t75" stroked="false">
              <v:imagedata r:id="rId8" o:title=""/>
            </v:shape>
            <v:shape style="position:absolute;left:1812;top:5560;width:39;height:10" type="#_x0000_t75" stroked="false">
              <v:imagedata r:id="rId8" o:title=""/>
            </v:shape>
            <v:shape style="position:absolute;left:1850;top:5560;width:39;height:10" type="#_x0000_t75" stroked="false">
              <v:imagedata r:id="rId8" o:title=""/>
            </v:shape>
            <v:shape style="position:absolute;left:1889;top:5560;width:20;height:10" type="#_x0000_t75" stroked="false">
              <v:imagedata r:id="rId7" o:title=""/>
            </v:shape>
            <v:shape style="position:absolute;left:1908;top:5560;width:20;height:10" type="#_x0000_t75" stroked="false">
              <v:imagedata r:id="rId9" o:title=""/>
            </v:shape>
            <v:shape style="position:absolute;left:1927;top:5560;width:20;height:10" type="#_x0000_t75" stroked="false">
              <v:imagedata r:id="rId9" o:title=""/>
            </v:shape>
            <v:shape style="position:absolute;left:1946;top:5560;width:39;height:10" type="#_x0000_t75" stroked="false">
              <v:imagedata r:id="rId8" o:title=""/>
            </v:shape>
            <v:shape style="position:absolute;left:1985;top:5560;width:20;height:10" type="#_x0000_t75" stroked="false">
              <v:imagedata r:id="rId7" o:title=""/>
            </v:shape>
            <v:shape style="position:absolute;left:2004;top:5560;width:39;height:10" type="#_x0000_t75" stroked="false">
              <v:imagedata r:id="rId8" o:title=""/>
            </v:shape>
            <v:shape style="position:absolute;left:2042;top:5560;width:20;height:10" type="#_x0000_t75" stroked="false">
              <v:imagedata r:id="rId9" o:title=""/>
            </v:shape>
            <v:shape style="position:absolute;left:2062;top:5560;width:20;height:10" type="#_x0000_t75" stroked="false">
              <v:imagedata r:id="rId7" o:title=""/>
            </v:shape>
            <v:shape style="position:absolute;left:2081;top:5560;width:20;height:10" type="#_x0000_t75" stroked="false">
              <v:imagedata r:id="rId9" o:title=""/>
            </v:shape>
            <v:shape style="position:absolute;left:2100;top:5560;width:39;height:10" type="#_x0000_t75" stroked="false">
              <v:imagedata r:id="rId8" o:title=""/>
            </v:shape>
            <v:shape style="position:absolute;left:2138;top:5560;width:39;height:10" type="#_x0000_t75" stroked="false">
              <v:imagedata r:id="rId8" o:title=""/>
            </v:shape>
            <v:shape style="position:absolute;left:2177;top:5560;width:20;height:10" type="#_x0000_t75" stroked="false">
              <v:imagedata r:id="rId9" o:title=""/>
            </v:shape>
            <v:shape style="position:absolute;left:2196;top:5560;width:39;height:10" type="#_x0000_t75" stroked="false">
              <v:imagedata r:id="rId8" o:title=""/>
            </v:shape>
            <v:shape style="position:absolute;left:2234;top:5560;width:39;height:10" type="#_x0000_t75" stroked="false">
              <v:imagedata r:id="rId8" o:title=""/>
            </v:shape>
            <v:shape style="position:absolute;left:2273;top:5560;width:39;height:10" type="#_x0000_t75" stroked="false">
              <v:imagedata r:id="rId8" o:title=""/>
            </v:shape>
            <v:shape style="position:absolute;left:2311;top:5560;width:39;height:10" type="#_x0000_t75" stroked="false">
              <v:imagedata r:id="rId8" o:title=""/>
            </v:shape>
            <v:shape style="position:absolute;left:2350;top:5560;width:20;height:10" type="#_x0000_t75" stroked="false">
              <v:imagedata r:id="rId9" o:title=""/>
            </v:shape>
            <v:shape style="position:absolute;left:2369;top:5560;width:20;height:10" type="#_x0000_t75" stroked="false">
              <v:imagedata r:id="rId7" o:title=""/>
            </v:shape>
            <v:shape style="position:absolute;left:2388;top:5560;width:20;height:10" type="#_x0000_t75" stroked="false">
              <v:imagedata r:id="rId9" o:title=""/>
            </v:shape>
            <v:shape style="position:absolute;left:2407;top:5560;width:39;height:10" type="#_x0000_t75" stroked="false">
              <v:imagedata r:id="rId8" o:title=""/>
            </v:shape>
            <v:shape style="position:absolute;left:2446;top:5560;width:39;height:10" type="#_x0000_t75" stroked="false">
              <v:imagedata r:id="rId8" o:title=""/>
            </v:shape>
            <v:shape style="position:absolute;left:2484;top:5560;width:39;height:10" type="#_x0000_t75" stroked="false">
              <v:imagedata r:id="rId8" o:title=""/>
            </v:shape>
            <v:shape style="position:absolute;left:2522;top:5560;width:20;height:10" type="#_x0000_t75" stroked="false">
              <v:imagedata r:id="rId9" o:title=""/>
            </v:shape>
            <v:shape style="position:absolute;left:2542;top:5560;width:20;height:10" type="#_x0000_t75" stroked="false">
              <v:imagedata r:id="rId7" o:title=""/>
            </v:shape>
            <v:shape style="position:absolute;left:2561;top:5560;width:20;height:10" type="#_x0000_t75" stroked="false">
              <v:imagedata r:id="rId9" o:title=""/>
            </v:shape>
            <v:shape style="position:absolute;left:2580;top:5560;width:39;height:10" type="#_x0000_t75" stroked="false">
              <v:imagedata r:id="rId8" o:title=""/>
            </v:shape>
            <v:shape style="position:absolute;left:2618;top:5560;width:20;height:10" type="#_x0000_t75" stroked="false">
              <v:imagedata r:id="rId9" o:title=""/>
            </v:shape>
            <v:shape style="position:absolute;left:2638;top:5560;width:39;height:10" type="#_x0000_t75" stroked="false">
              <v:imagedata r:id="rId8" o:title=""/>
            </v:shape>
            <v:shape style="position:absolute;left:2676;top:5560;width:39;height:10" type="#_x0000_t75" stroked="false">
              <v:imagedata r:id="rId8" o:title=""/>
            </v:shape>
            <v:shape style="position:absolute;left:2714;top:5560;width:39;height:10" type="#_x0000_t75" stroked="false">
              <v:imagedata r:id="rId8" o:title=""/>
            </v:shape>
            <v:shape style="position:absolute;left:2753;top:5560;width:39;height:10" type="#_x0000_t75" stroked="false">
              <v:imagedata r:id="rId8" o:title=""/>
            </v:shape>
            <v:shape style="position:absolute;left:2791;top:5560;width:20;height:10" type="#_x0000_t75" stroked="false">
              <v:imagedata r:id="rId9" o:title=""/>
            </v:shape>
            <v:shape style="position:absolute;left:2810;top:5560;width:39;height:10" type="#_x0000_t75" stroked="false">
              <v:imagedata r:id="rId8" o:title=""/>
            </v:shape>
            <v:shape style="position:absolute;left:2849;top:5560;width:39;height:10" type="#_x0000_t75" stroked="false">
              <v:imagedata r:id="rId8" o:title=""/>
            </v:shape>
            <v:shape style="position:absolute;left:2887;top:5560;width:39;height:10" type="#_x0000_t75" stroked="false">
              <v:imagedata r:id="rId8" o:title=""/>
            </v:shape>
            <v:shape style="position:absolute;left:2926;top:5560;width:20;height:10" type="#_x0000_t75" stroked="false">
              <v:imagedata r:id="rId9" o:title=""/>
            </v:shape>
            <v:shape style="position:absolute;left:2945;top:5560;width:39;height:10" type="#_x0000_t75" stroked="false">
              <v:imagedata r:id="rId8" o:title=""/>
            </v:shape>
            <v:shape style="position:absolute;left:2983;top:5560;width:39;height:10" type="#_x0000_t75" stroked="false">
              <v:imagedata r:id="rId8" o:title=""/>
            </v:shape>
            <v:shape style="position:absolute;left:3022;top:5560;width:39;height:10" type="#_x0000_t75" stroked="false">
              <v:imagedata r:id="rId8" o:title=""/>
            </v:shape>
            <v:shape style="position:absolute;left:3060;top:5560;width:39;height:10" type="#_x0000_t75" stroked="false">
              <v:imagedata r:id="rId8" o:title=""/>
            </v:shape>
            <v:shape style="position:absolute;left:3098;top:5560;width:20;height:10" type="#_x0000_t75" stroked="false">
              <v:imagedata r:id="rId9" o:title=""/>
            </v:shape>
            <v:shape style="position:absolute;left:3118;top:5560;width:39;height:10" type="#_x0000_t75" stroked="false">
              <v:imagedata r:id="rId8" o:title=""/>
            </v:shape>
            <v:shape style="position:absolute;left:3156;top:5560;width:39;height:10" type="#_x0000_t75" stroked="false">
              <v:imagedata r:id="rId8" o:title=""/>
            </v:shape>
            <v:shape style="position:absolute;left:3194;top:5560;width:39;height:10" type="#_x0000_t75" stroked="false">
              <v:imagedata r:id="rId8" o:title=""/>
            </v:shape>
            <v:shape style="position:absolute;left:3233;top:5560;width:39;height:10" type="#_x0000_t75" stroked="false">
              <v:imagedata r:id="rId8" o:title=""/>
            </v:shape>
            <v:shape style="position:absolute;left:3271;top:5560;width:20;height:10" type="#_x0000_t75" stroked="false">
              <v:imagedata r:id="rId9" o:title=""/>
            </v:shape>
            <v:shape style="position:absolute;left:3290;top:5560;width:39;height:10" type="#_x0000_t75" stroked="false">
              <v:imagedata r:id="rId8" o:title=""/>
            </v:shape>
            <v:shape style="position:absolute;left:3329;top:5560;width:39;height:10" type="#_x0000_t75" stroked="false">
              <v:imagedata r:id="rId8" o:title=""/>
            </v:shape>
            <v:shape style="position:absolute;left:3367;top:5560;width:39;height:10" type="#_x0000_t75" stroked="false">
              <v:imagedata r:id="rId8" o:title=""/>
            </v:shape>
            <v:shape style="position:absolute;left:3406;top:5560;width:20;height:10" type="#_x0000_t75" stroked="false">
              <v:imagedata r:id="rId9" o:title=""/>
            </v:shape>
            <v:shape style="position:absolute;left:3425;top:5560;width:39;height:10" type="#_x0000_t75" stroked="false">
              <v:imagedata r:id="rId8" o:title=""/>
            </v:shape>
            <v:shape style="position:absolute;left:3463;top:5560;width:39;height:10" type="#_x0000_t75" stroked="false">
              <v:imagedata r:id="rId8" o:title=""/>
            </v:shape>
            <v:shape style="position:absolute;left:3502;top:5560;width:39;height:10" type="#_x0000_t75" stroked="false">
              <v:imagedata r:id="rId8" o:title=""/>
            </v:shape>
            <v:shape style="position:absolute;left:3540;top:5560;width:39;height:10" type="#_x0000_t75" stroked="false">
              <v:imagedata r:id="rId8" o:title=""/>
            </v:shape>
            <v:shape style="position:absolute;left:3578;top:5560;width:20;height:10" type="#_x0000_t75" stroked="false">
              <v:imagedata r:id="rId9" o:title=""/>
            </v:shape>
            <v:shape style="position:absolute;left:3598;top:5560;width:39;height:10" type="#_x0000_t75" stroked="false">
              <v:imagedata r:id="rId8" o:title=""/>
            </v:shape>
            <v:shape style="position:absolute;left:3636;top:5560;width:39;height:10" type="#_x0000_t75" stroked="false">
              <v:imagedata r:id="rId8" o:title=""/>
            </v:shape>
            <v:shape style="position:absolute;left:3674;top:5560;width:39;height:10" type="#_x0000_t75" stroked="false">
              <v:imagedata r:id="rId8" o:title=""/>
            </v:shape>
            <v:shape style="position:absolute;left:3713;top:5560;width:39;height:10" type="#_x0000_t75" stroked="false">
              <v:imagedata r:id="rId8" o:title=""/>
            </v:shape>
            <v:shape style="position:absolute;left:3751;top:5560;width:20;height:10" type="#_x0000_t75" stroked="false">
              <v:imagedata r:id="rId9" o:title=""/>
            </v:shape>
            <v:shape style="position:absolute;left:3770;top:5560;width:78;height:10" type="#_x0000_t75" stroked="false">
              <v:imagedata r:id="rId10" o:title=""/>
            </v:shape>
            <v:shape style="position:absolute;left:3848;top:5560;width:39;height:10" type="#_x0000_t75" stroked="false">
              <v:imagedata r:id="rId8" o:title=""/>
            </v:shape>
            <v:shape style="position:absolute;left:3886;top:5560;width:39;height:10" type="#_x0000_t75" stroked="false">
              <v:imagedata r:id="rId8" o:title=""/>
            </v:shape>
            <v:shape style="position:absolute;left:3925;top:5560;width:39;height:10" type="#_x0000_t75" stroked="false">
              <v:imagedata r:id="rId8" o:title=""/>
            </v:shape>
            <v:shape style="position:absolute;left:3963;top:5560;width:20;height:10" type="#_x0000_t75" stroked="false">
              <v:imagedata r:id="rId9" o:title=""/>
            </v:shape>
            <v:shape style="position:absolute;left:3982;top:5560;width:39;height:10" type="#_x0000_t75" stroked="false">
              <v:imagedata r:id="rId8" o:title=""/>
            </v:shape>
            <v:shape style="position:absolute;left:4021;top:5560;width:39;height:10" type="#_x0000_t75" stroked="false">
              <v:imagedata r:id="rId8" o:title=""/>
            </v:shape>
            <v:shape style="position:absolute;left:4059;top:5560;width:39;height:10" type="#_x0000_t75" stroked="false">
              <v:imagedata r:id="rId8" o:title=""/>
            </v:shape>
            <v:shape style="position:absolute;left:4097;top:5560;width:20;height:10" type="#_x0000_t75" stroked="false">
              <v:imagedata r:id="rId9" o:title=""/>
            </v:shape>
            <v:shape style="position:absolute;left:4117;top:5560;width:36;height:10" type="#_x0000_t75" stroked="false">
              <v:imagedata r:id="rId11" o:title=""/>
            </v:shape>
            <v:shape style="position:absolute;left:4153;top:5560;width:10;height:10" type="#_x0000_t75" stroked="false">
              <v:imagedata r:id="rId12" o:title=""/>
            </v:shape>
            <v:shape style="position:absolute;left:4162;top:5560;width:39;height:10" type="#_x0000_t75" stroked="false">
              <v:imagedata r:id="rId13" o:title=""/>
            </v:shape>
            <v:shape style="position:absolute;left:4201;top:5560;width:39;height:10" type="#_x0000_t75" stroked="false">
              <v:imagedata r:id="rId13" o:title=""/>
            </v:shape>
            <v:shape style="position:absolute;left:4239;top:5560;width:39;height:10" type="#_x0000_t75" stroked="false">
              <v:imagedata r:id="rId13" o:title=""/>
            </v:shape>
            <v:shape style="position:absolute;left:4277;top:5560;width:20;height:10" type="#_x0000_t75" stroked="false">
              <v:imagedata r:id="rId9" o:title=""/>
            </v:shape>
            <v:shape style="position:absolute;left:4297;top:5560;width:39;height:10" type="#_x0000_t75" stroked="false">
              <v:imagedata r:id="rId13" o:title=""/>
            </v:shape>
            <v:shape style="position:absolute;left:4335;top:5560;width:39;height:10" type="#_x0000_t75" stroked="false">
              <v:imagedata r:id="rId13" o:title=""/>
            </v:shape>
            <v:shape style="position:absolute;left:4373;top:5560;width:39;height:10" type="#_x0000_t75" stroked="false">
              <v:imagedata r:id="rId13" o:title=""/>
            </v:shape>
            <v:shape style="position:absolute;left:4412;top:5560;width:39;height:10" type="#_x0000_t75" stroked="false">
              <v:imagedata r:id="rId13" o:title=""/>
            </v:shape>
            <v:shape style="position:absolute;left:4450;top:5560;width:20;height:10" type="#_x0000_t75" stroked="false">
              <v:imagedata r:id="rId9" o:title=""/>
            </v:shape>
            <v:shape style="position:absolute;left:4469;top:5560;width:39;height:10" type="#_x0000_t75" stroked="false">
              <v:imagedata r:id="rId13" o:title=""/>
            </v:shape>
            <v:shape style="position:absolute;left:4508;top:5560;width:39;height:10" type="#_x0000_t75" stroked="false">
              <v:imagedata r:id="rId13" o:title=""/>
            </v:shape>
            <v:shape style="position:absolute;left:4546;top:5560;width:39;height:10" type="#_x0000_t75" stroked="false">
              <v:imagedata r:id="rId13" o:title=""/>
            </v:shape>
            <v:shape style="position:absolute;left:4585;top:5560;width:39;height:10" type="#_x0000_t75" stroked="false">
              <v:imagedata r:id="rId13" o:title=""/>
            </v:shape>
            <v:shape style="position:absolute;left:4623;top:5560;width:20;height:10" type="#_x0000_t75" stroked="false">
              <v:imagedata r:id="rId9" o:title=""/>
            </v:shape>
            <v:shape style="position:absolute;left:4642;top:5560;width:39;height:10" type="#_x0000_t75" stroked="false">
              <v:imagedata r:id="rId13" o:title=""/>
            </v:shape>
            <v:shape style="position:absolute;left:4681;top:5560;width:39;height:10" type="#_x0000_t75" stroked="false">
              <v:imagedata r:id="rId13" o:title=""/>
            </v:shape>
            <v:shape style="position:absolute;left:4719;top:5560;width:39;height:10" type="#_x0000_t75" stroked="false">
              <v:imagedata r:id="rId13" o:title=""/>
            </v:shape>
            <v:shape style="position:absolute;left:4757;top:5560;width:20;height:10" type="#_x0000_t75" stroked="false">
              <v:imagedata r:id="rId9" o:title=""/>
            </v:shape>
            <v:shape style="position:absolute;left:4777;top:5560;width:39;height:10" type="#_x0000_t75" stroked="false">
              <v:imagedata r:id="rId13" o:title=""/>
            </v:shape>
            <v:shape style="position:absolute;left:4815;top:5560;width:39;height:10" type="#_x0000_t75" stroked="false">
              <v:imagedata r:id="rId13" o:title=""/>
            </v:shape>
            <v:shape style="position:absolute;left:4853;top:5560;width:39;height:10" type="#_x0000_t75" stroked="false">
              <v:imagedata r:id="rId13" o:title=""/>
            </v:shape>
            <v:shape style="position:absolute;left:4892;top:5560;width:39;height:10" type="#_x0000_t75" stroked="false">
              <v:imagedata r:id="rId13" o:title=""/>
            </v:shape>
            <v:shape style="position:absolute;left:4930;top:5560;width:20;height:10" type="#_x0000_t75" stroked="false">
              <v:imagedata r:id="rId9" o:title=""/>
            </v:shape>
            <v:shape style="position:absolute;left:4949;top:5560;width:39;height:10" type="#_x0000_t75" stroked="false">
              <v:imagedata r:id="rId13" o:title=""/>
            </v:shape>
            <v:shape style="position:absolute;left:4988;top:5560;width:39;height:10" type="#_x0000_t75" stroked="false">
              <v:imagedata r:id="rId13" o:title=""/>
            </v:shape>
            <v:shape style="position:absolute;left:5026;top:5560;width:39;height:10" type="#_x0000_t75" stroked="false">
              <v:imagedata r:id="rId13" o:title=""/>
            </v:shape>
            <v:shape style="position:absolute;left:5065;top:5560;width:39;height:10" type="#_x0000_t75" stroked="false">
              <v:imagedata r:id="rId13" o:title=""/>
            </v:shape>
            <v:shape style="position:absolute;left:5103;top:5560;width:39;height:10" type="#_x0000_t75" stroked="false">
              <v:imagedata r:id="rId14" o:title=""/>
            </v:shape>
            <v:shape style="position:absolute;left:5141;top:5560;width:77;height:10" type="#_x0000_t75" stroked="false">
              <v:imagedata r:id="rId15" o:title=""/>
            </v:shape>
            <v:shape style="position:absolute;left:5218;top:5560;width:58;height:10" type="#_x0000_t75" stroked="false">
              <v:imagedata r:id="rId16" o:title=""/>
            </v:shape>
            <v:shape style="position:absolute;left:5276;top:5560;width:77;height:10" type="#_x0000_t75" stroked="false">
              <v:imagedata r:id="rId17" o:title=""/>
            </v:shape>
            <v:shape style="position:absolute;left:5353;top:5560;width:58;height:10" type="#_x0000_t75" stroked="false">
              <v:imagedata r:id="rId16" o:title=""/>
            </v:shape>
            <v:shape style="position:absolute;left:5410;top:5560;width:77;height:10" type="#_x0000_t75" stroked="false">
              <v:imagedata r:id="rId17" o:title=""/>
            </v:shape>
            <v:shape style="position:absolute;left:5487;top:5560;width:77;height:10" type="#_x0000_t75" stroked="false">
              <v:imagedata r:id="rId15" o:title=""/>
            </v:shape>
            <v:shape style="position:absolute;left:5564;top:5560;width:58;height:10" type="#_x0000_t75" stroked="false">
              <v:imagedata r:id="rId18" o:title=""/>
            </v:shape>
            <v:shape style="position:absolute;left:5621;top:5560;width:77;height:10" type="#_x0000_t75" stroked="false">
              <v:imagedata r:id="rId15" o:title=""/>
            </v:shape>
            <v:shape style="position:absolute;left:5698;top:5560;width:58;height:10" type="#_x0000_t75" stroked="false">
              <v:imagedata r:id="rId16" o:title=""/>
            </v:shape>
            <v:shape style="position:absolute;left:5756;top:5560;width:77;height:10" type="#_x0000_t75" stroked="false">
              <v:imagedata r:id="rId17" o:title=""/>
            </v:shape>
            <v:shape style="position:absolute;left:5833;top:5560;width:58;height:10" type="#_x0000_t75" stroked="false">
              <v:imagedata r:id="rId16" o:title=""/>
            </v:shape>
            <v:shape style="position:absolute;left:5890;top:5560;width:77;height:10" type="#_x0000_t75" stroked="false">
              <v:imagedata r:id="rId17" o:title=""/>
            </v:shape>
            <v:shape style="position:absolute;left:5967;top:5560;width:77;height:10" type="#_x0000_t75" stroked="false">
              <v:imagedata r:id="rId15" o:title=""/>
            </v:shape>
            <v:shape style="position:absolute;left:6044;top:5560;width:58;height:10" type="#_x0000_t75" stroked="false">
              <v:imagedata r:id="rId18" o:title=""/>
            </v:shape>
            <v:shape style="position:absolute;left:6101;top:5560;width:77;height:10" type="#_x0000_t75" stroked="false">
              <v:imagedata r:id="rId15" o:title=""/>
            </v:shape>
            <v:shape style="position:absolute;left:6178;top:5560;width:58;height:10" type="#_x0000_t75" stroked="false">
              <v:imagedata r:id="rId16" o:title=""/>
            </v:shape>
            <v:shape style="position:absolute;left:6236;top:5560;width:77;height:10" type="#_x0000_t75" stroked="false">
              <v:imagedata r:id="rId17" o:title=""/>
            </v:shape>
            <v:shape style="position:absolute;left:6313;top:5560;width:39;height:10" type="#_x0000_t75" stroked="false">
              <v:imagedata r:id="rId13" o:title=""/>
            </v:shape>
            <v:shape style="position:absolute;left:6351;top:5560;width:77;height:10" type="#_x0000_t75" stroked="false">
              <v:imagedata r:id="rId15" o:title=""/>
            </v:shape>
            <v:shape style="position:absolute;left:6428;top:5560;width:58;height:10" type="#_x0000_t75" stroked="false">
              <v:imagedata r:id="rId18" o:title=""/>
            </v:shape>
            <v:shape style="position:absolute;left:6486;top:5560;width:77;height:10" type="#_x0000_t75" stroked="false">
              <v:imagedata r:id="rId15" o:title=""/>
            </v:shape>
            <v:shape style="position:absolute;left:6563;top:5560;width:58;height:10" type="#_x0000_t75" stroked="false">
              <v:imagedata r:id="rId18" o:title=""/>
            </v:shape>
            <v:shape style="position:absolute;left:6620;top:5560;width:77;height:10" type="#_x0000_t75" stroked="false">
              <v:imagedata r:id="rId15" o:title=""/>
            </v:shape>
            <v:shape style="position:absolute;left:6697;top:5560;width:58;height:10" type="#_x0000_t75" stroked="false">
              <v:imagedata r:id="rId18" o:title=""/>
            </v:shape>
            <v:shape style="position:absolute;left:6755;top:5560;width:77;height:10" type="#_x0000_t75" stroked="false">
              <v:imagedata r:id="rId15" o:title=""/>
            </v:shape>
            <v:shape style="position:absolute;left:6831;top:5560;width:77;height:10" type="#_x0000_t75" stroked="false">
              <v:imagedata r:id="rId15" o:title=""/>
            </v:shape>
            <v:shape style="position:absolute;left:6908;top:5560;width:58;height:10" type="#_x0000_t75" stroked="false">
              <v:imagedata r:id="rId18" o:title=""/>
            </v:shape>
            <v:shape style="position:absolute;left:6966;top:5560;width:77;height:10" type="#_x0000_t75" stroked="false">
              <v:imagedata r:id="rId15" o:title=""/>
            </v:shape>
            <v:shape style="position:absolute;left:7043;top:5560;width:58;height:10" type="#_x0000_t75" stroked="false">
              <v:imagedata r:id="rId18" o:title=""/>
            </v:shape>
            <v:shape style="position:absolute;left:7100;top:5560;width:77;height:10" type="#_x0000_t75" stroked="false">
              <v:imagedata r:id="rId15" o:title=""/>
            </v:shape>
            <v:shape style="position:absolute;left:7177;top:5560;width:58;height:10" type="#_x0000_t75" stroked="false">
              <v:imagedata r:id="rId18" o:title=""/>
            </v:shape>
            <v:shape style="position:absolute;left:7235;top:5560;width:77;height:10" type="#_x0000_t75" stroked="false">
              <v:imagedata r:id="rId15" o:title=""/>
            </v:shape>
            <v:shape style="position:absolute;left:7311;top:5560;width:77;height:10" type="#_x0000_t75" stroked="false">
              <v:imagedata r:id="rId15" o:title=""/>
            </v:shape>
            <v:shape style="position:absolute;left:7388;top:5560;width:34;height:10" type="#_x0000_t75" stroked="false">
              <v:imagedata r:id="rId19" o:title=""/>
            </v:shape>
            <v:shape style="position:absolute;left:7422;top:5560;width:39;height:10" type="#_x0000_t75" stroked="false">
              <v:imagedata r:id="rId8" o:title=""/>
            </v:shape>
            <v:shape style="position:absolute;left:7460;top:5560;width:77;height:10" type="#_x0000_t75" stroked="false">
              <v:imagedata r:id="rId20" o:title=""/>
            </v:shape>
            <v:shape style="position:absolute;left:7537;top:5560;width:58;height:10" type="#_x0000_t75" stroked="false">
              <v:imagedata r:id="rId21" o:title=""/>
            </v:shape>
            <v:shape style="position:absolute;left:7595;top:5560;width:77;height:10" type="#_x0000_t75" stroked="false">
              <v:imagedata r:id="rId20" o:title=""/>
            </v:shape>
            <v:shape style="position:absolute;left:7671;top:5560;width:77;height:10" type="#_x0000_t75" stroked="false">
              <v:imagedata r:id="rId20" o:title=""/>
            </v:shape>
            <v:shape style="position:absolute;left:7748;top:5560;width:58;height:10" type="#_x0000_t75" stroked="false">
              <v:imagedata r:id="rId21" o:title=""/>
            </v:shape>
            <v:shape style="position:absolute;left:7806;top:5560;width:77;height:10" type="#_x0000_t75" stroked="false">
              <v:imagedata r:id="rId20" o:title=""/>
            </v:shape>
            <v:shape style="position:absolute;left:7883;top:5560;width:58;height:10" type="#_x0000_t75" stroked="false">
              <v:imagedata r:id="rId21" o:title=""/>
            </v:shape>
            <v:shape style="position:absolute;left:7940;top:5560;width:77;height:10" type="#_x0000_t75" stroked="false">
              <v:imagedata r:id="rId20" o:title=""/>
            </v:shape>
            <v:shape style="position:absolute;left:8017;top:5560;width:58;height:10" type="#_x0000_t75" stroked="false">
              <v:imagedata r:id="rId21" o:title=""/>
            </v:shape>
            <v:shape style="position:absolute;left:8075;top:5560;width:77;height:10" type="#_x0000_t75" stroked="false">
              <v:imagedata r:id="rId20" o:title=""/>
            </v:shape>
            <v:shape style="position:absolute;left:8151;top:5560;width:77;height:10" type="#_x0000_t75" stroked="false">
              <v:imagedata r:id="rId20" o:title=""/>
            </v:shape>
            <v:shape style="position:absolute;left:8228;top:5560;width:58;height:10" type="#_x0000_t75" stroked="false">
              <v:imagedata r:id="rId21" o:title=""/>
            </v:shape>
            <v:shape style="position:absolute;left:8286;top:5560;width:77;height:10" type="#_x0000_t75" stroked="false">
              <v:imagedata r:id="rId20" o:title=""/>
            </v:shape>
            <v:shape style="position:absolute;left:8363;top:5560;width:58;height:10" type="#_x0000_t75" stroked="false">
              <v:imagedata r:id="rId21" o:title=""/>
            </v:shape>
            <v:shape style="position:absolute;left:8420;top:5560;width:77;height:10" type="#_x0000_t75" stroked="false">
              <v:imagedata r:id="rId20" o:title=""/>
            </v:shape>
            <v:shape style="position:absolute;left:8497;top:5560;width:58;height:10" type="#_x0000_t75" stroked="false">
              <v:imagedata r:id="rId21" o:title=""/>
            </v:shape>
            <v:shape style="position:absolute;left:8555;top:5560;width:77;height:10" type="#_x0000_t75" stroked="false">
              <v:imagedata r:id="rId20" o:title=""/>
            </v:shape>
            <v:shape style="position:absolute;left:8631;top:5560;width:77;height:10" type="#_x0000_t75" stroked="false">
              <v:imagedata r:id="rId20" o:title=""/>
            </v:shape>
            <v:shape style="position:absolute;left:8708;top:5560;width:58;height:10" type="#_x0000_t75" stroked="false">
              <v:imagedata r:id="rId21" o:title=""/>
            </v:shape>
            <v:shape style="position:absolute;left:8766;top:5560;width:77;height:10" type="#_x0000_t75" stroked="false">
              <v:imagedata r:id="rId20" o:title=""/>
            </v:shape>
            <v:shape style="position:absolute;left:8843;top:5560;width:97;height:10" type="#_x0000_t75" stroked="false">
              <v:imagedata r:id="rId22" o:title=""/>
            </v:shape>
            <v:shape style="position:absolute;left:8939;top:5560;width:77;height:10" type="#_x0000_t75" stroked="false">
              <v:imagedata r:id="rId20" o:title=""/>
            </v:shape>
            <v:shape style="position:absolute;left:9016;top:5560;width:58;height:10" type="#_x0000_t75" stroked="false">
              <v:imagedata r:id="rId21" o:title=""/>
            </v:shape>
            <v:shape style="position:absolute;left:9074;top:5560;width:77;height:10" type="#_x0000_t75" stroked="false">
              <v:imagedata r:id="rId20" o:title=""/>
            </v:shape>
            <v:shape style="position:absolute;left:9150;top:5560;width:77;height:10" type="#_x0000_t75" stroked="false">
              <v:imagedata r:id="rId20" o:title=""/>
            </v:shape>
            <v:shape style="position:absolute;left:9227;top:5560;width:58;height:10" type="#_x0000_t75" stroked="false">
              <v:imagedata r:id="rId21" o:title=""/>
            </v:shape>
            <v:shape style="position:absolute;left:9285;top:5560;width:77;height:10" type="#_x0000_t75" stroked="false">
              <v:imagedata r:id="rId20" o:title=""/>
            </v:shape>
            <v:shape style="position:absolute;left:9362;top:5560;width:58;height:10" type="#_x0000_t75" stroked="false">
              <v:imagedata r:id="rId21" o:title=""/>
            </v:shape>
            <v:shape style="position:absolute;left:9419;top:5560;width:77;height:10" type="#_x0000_t75" stroked="false">
              <v:imagedata r:id="rId20" o:title=""/>
            </v:shape>
            <v:shape style="position:absolute;left:9496;top:5560;width:58;height:10" type="#_x0000_t75" stroked="false">
              <v:imagedata r:id="rId21" o:title=""/>
            </v:shape>
            <v:shape style="position:absolute;left:9554;top:5560;width:77;height:10" type="#_x0000_t75" stroked="false">
              <v:imagedata r:id="rId20" o:title=""/>
            </v:shape>
            <v:shape style="position:absolute;left:9630;top:5560;width:77;height:10" type="#_x0000_t75" stroked="false">
              <v:imagedata r:id="rId20" o:title=""/>
            </v:shape>
            <v:shape style="position:absolute;left:9707;top:5560;width:58;height:10" type="#_x0000_t75" stroked="false">
              <v:imagedata r:id="rId21" o:title=""/>
            </v:shape>
            <v:shape style="position:absolute;left:9765;top:5560;width:77;height:10" type="#_x0000_t75" stroked="false">
              <v:imagedata r:id="rId20" o:title=""/>
            </v:shape>
            <v:shape style="position:absolute;left:9842;top:5560;width:58;height:10" type="#_x0000_t75" stroked="false">
              <v:imagedata r:id="rId21" o:title=""/>
            </v:shape>
            <v:shape style="position:absolute;left:9899;top:5560;width:77;height:10" type="#_x0000_t75" stroked="false">
              <v:imagedata r:id="rId20" o:title=""/>
            </v:shape>
            <v:shape style="position:absolute;left:9976;top:5560;width:58;height:10" type="#_x0000_t75" stroked="false">
              <v:imagedata r:id="rId21" o:title=""/>
            </v:shape>
            <v:shape style="position:absolute;left:10034;top:5560;width:77;height:10" type="#_x0000_t75" stroked="false">
              <v:imagedata r:id="rId20" o:title=""/>
            </v:shape>
            <v:shape style="position:absolute;left:10110;top:5560;width:77;height:10" type="#_x0000_t75" stroked="false">
              <v:imagedata r:id="rId20" o:title=""/>
            </v:shape>
            <v:shape style="position:absolute;left:10187;top:5560;width:77;height:10" type="#_x0000_t75" stroked="false">
              <v:imagedata r:id="rId23" o:title=""/>
            </v:shape>
            <v:shape style="position:absolute;left:10264;top:5560;width:20;height:10" type="#_x0000_t75" stroked="false">
              <v:imagedata r:id="rId7" o:title=""/>
            </v:shape>
            <v:shape style="position:absolute;left:10283;top:5560;width:39;height:10" type="#_x0000_t75" stroked="false">
              <v:imagedata r:id="rId8" o:title=""/>
            </v:shape>
            <v:shape style="position:absolute;left:10322;top:5560;width:20;height:10" type="#_x0000_t75" stroked="false">
              <v:imagedata r:id="rId9" o:title=""/>
            </v:shape>
            <v:shape style="position:absolute;left:10341;top:5560;width:39;height:10" type="#_x0000_t75" stroked="false">
              <v:imagedata r:id="rId8" o:title=""/>
            </v:shape>
            <v:shape style="position:absolute;left:10379;top:5560;width:39;height:10" type="#_x0000_t75" stroked="false">
              <v:imagedata r:id="rId8" o:title=""/>
            </v:shape>
            <v:shape style="position:absolute;left:10418;top:5560;width:20;height:10" type="#_x0000_t75" stroked="false">
              <v:imagedata r:id="rId9" o:title=""/>
            </v:shape>
            <v:shape style="position:absolute;left:10437;top:5560;width:39;height:10" type="#_x0000_t75" stroked="false">
              <v:imagedata r:id="rId8" o:title=""/>
            </v:shape>
            <v:shape style="position:absolute;left:10475;top:5560;width:20;height:10" type="#_x0000_t75" stroked="false">
              <v:imagedata r:id="rId7" o:title=""/>
            </v:shape>
            <v:shape style="position:absolute;left:10494;top:5560;width:39;height:10" type="#_x0000_t75" stroked="false">
              <v:imagedata r:id="rId8" o:title=""/>
            </v:shape>
            <v:shape style="position:absolute;left:10533;top:5560;width:20;height:10" type="#_x0000_t75" stroked="false">
              <v:imagedata r:id="rId9" o:title=""/>
            </v:shape>
            <v:shape style="position:absolute;left:10552;top:5560;width:39;height:10" type="#_x0000_t75" stroked="false">
              <v:imagedata r:id="rId8" o:title=""/>
            </v:shape>
            <v:shape style="position:absolute;left:10590;top:5560;width:39;height:10" type="#_x0000_t75" stroked="false">
              <v:imagedata r:id="rId8" o:title=""/>
            </v:shape>
            <v:shape style="position:absolute;left:10629;top:5560;width:20;height:10" type="#_x0000_t75" stroked="false">
              <v:imagedata r:id="rId9" o:title=""/>
            </v:shape>
            <v:shape style="position:absolute;left:10648;top:5560;width:29;height:10" type="#_x0000_t75" stroked="false">
              <v:imagedata r:id="rId24" o:title=""/>
            </v:shape>
            <v:shape style="position:absolute;left:10667;top:5560;width:10;height:10" type="#_x0000_t75" stroked="false">
              <v:imagedata r:id="rId7" o:title=""/>
            </v:shape>
            <v:shape style="position:absolute;left:10667;top:5570;width:10;height:620" coordorigin="10668,5570" coordsize="10,620" path="m10677,6170l10668,6170,10668,6190,10677,6190,10677,6170m10677,6151l10668,6151,10668,6170,10677,6170,10677,6151m10677,6113l10668,6113,10668,6132,10668,6151,10677,6151,10677,6132,10677,6113m10677,6094l10668,6094,10668,6113,10677,6113,10677,6094m10677,6055l10668,6055,10668,6074,10668,6094,10677,6094,10677,6074,10677,6055m10677,6036l10668,6036,10668,6055,10677,6055,10677,6036m10677,6017l10668,6017,10668,6036,10677,6036,10677,6017m10677,5978l10668,5978,10668,5998,10668,6017,10677,6017,10677,5998,10677,5978m10677,5959l10668,5959,10668,5978,10677,5978,10677,5959m10677,5921l10668,5921,10668,5940,10668,5959,10677,5959,10677,5940,10677,5921m10677,5902l10668,5902,10668,5921,10677,5921,10677,5902m10677,5882l10668,5882,10668,5902,10677,5902,10677,5882m10677,5858l10668,5858,10668,5878,10668,5882,10677,5882,10677,5878,10677,5858m10677,5839l10668,5839,10668,5858,10677,5858,10677,5839m10677,5801l10668,5801,10668,5820,10668,5839,10677,5839,10677,5820,10677,5801m10677,5782l10668,5782,10668,5801,10677,5801,10677,5782m10677,5762l10668,5762,10668,5782,10677,5782,10677,5762m10677,5724l10668,5724,10668,5743,10668,5762,10677,5762,10677,5743,10677,5724m10677,5705l10668,5705,10668,5724,10677,5724,10677,5705m10677,5666l10668,5666,10668,5686,10668,5705,10677,5705,10677,5686,10677,5666m10677,5647l10668,5647,10668,5666,10677,5666,10677,5647m10677,5628l10668,5628,10668,5647,10677,5647,10677,5628m10677,5590l10668,5590,10668,5609,10668,5628,10677,5628,10677,5609,10677,5590m10677,5570l10668,5570,10668,5590,10677,5590,10677,5570e" filled="true" fillcolor="#000000" stroked="false">
              <v:path arrowok="t"/>
              <v:fill type="solid"/>
            </v:shape>
            <v:shape style="position:absolute;left:10667;top:6194;width:10;height:308" coordorigin="10668,6194" coordsize="10,308" path="m10677,6482l10668,6482,10668,6502,10677,6502,10677,6482m10677,6444l10668,6444,10668,6463,10668,6482,10677,6482,10677,6463,10677,6444m10677,6425l10668,6425,10668,6444,10677,6444,10677,6425m10677,6386l10668,6386,10668,6406,10668,6425,10677,6425,10677,6406,10677,6386m10677,6367l10668,6367,10668,6386,10677,6386,10677,6367m10677,6348l10668,6348,10668,6367,10677,6367,10677,6348m10677,6310l10668,6310,10668,6329,10668,6348,10677,6348,10677,6329,10677,6310m10677,6290l10668,6290,10668,6310,10677,6310,10677,6290m10677,6271l10668,6271,10668,6290,10677,6290,10677,6271m10677,6233l10668,6233,10668,6252,10668,6271,10677,6271,10677,6252,10677,6233m10677,6214l10668,6214,10668,6233,10677,6233,10677,6214m10677,6194l10668,6194,10668,6214,10677,6214,10677,6194e" filled="true" fillcolor="#000000" stroked="false">
              <v:path arrowok="t"/>
              <v:fill type="solid"/>
            </v:shape>
            <v:shape style="position:absolute;left:10667;top:6506;width:10;height:308" coordorigin="10668,6506" coordsize="10,308" path="m10677,6775l10668,6775,10668,6794,10668,6814,10677,6814,10677,6794,10677,6775m10677,6737l10668,6737,10668,6756,10668,6775,10677,6775,10677,6756,10677,6737m10677,6698l10668,6698,10668,6718,10668,6737,10677,6737,10677,6718,10677,6698m10677,6679l10668,6679,10668,6698,10677,6698,10677,6679m10677,6641l10668,6641,10668,6660,10668,6679,10677,6679,10677,6660,10677,6641m10677,6622l10668,6622,10668,6641,10677,6641,10677,6622m10677,6602l10668,6602,10668,6622,10677,6622,10677,6602m10677,6564l10668,6564,10668,6583,10668,6602,10677,6602,10677,6583,10677,6564m10677,6545l10668,6545,10668,6564,10677,6564,10677,6545m10677,6506l10668,6506,10668,6526,10668,6545,10677,6545,10677,6526,10677,6506e" filled="true" fillcolor="#000000" stroked="false">
              <v:path arrowok="t"/>
              <v:fill type="solid"/>
            </v:shape>
            <v:shape style="position:absolute;left:10667;top:6818;width:10;height:308" coordorigin="10668,6818" coordsize="10,308" path="m10677,7106l10668,7106,10668,7126,10677,7126,10677,7106m10677,7049l10668,7049,10668,7068,10668,7087,10668,7106,10677,7106,10677,7087,10677,7068,10677,7049m10677,6991l10668,6991,10668,7010,10668,7030,10668,7049,10677,7049,10677,7030,10677,7010,10677,6991m10677,6934l10668,6934,10668,6953,10668,6972,10668,6991,10677,6991,10677,6972,10677,6953,10677,6934m10677,6895l10668,6895,10668,6914,10668,6934,10677,6934,10677,6914,10677,6895m10677,6838l10668,6838,10668,6857,10668,6876,10668,6895,10677,6895,10677,6876,10677,6857,10677,6838m10677,6818l10668,6818,10668,6838,10677,6838,10677,6818e" filled="true" fillcolor="#000000" stroked="false">
              <v:path arrowok="t"/>
              <v:fill type="solid"/>
            </v:shape>
            <v:shape style="position:absolute;left:10667;top:7130;width:10;height:308" coordorigin="10668,7130" coordsize="10,308" path="m10677,7380l10668,7380,10668,7399,10668,7418,10668,7438,10677,7438,10677,7418,10677,7399,10677,7380m10677,7322l10668,7322,10668,7342,10668,7361,10668,7380,10677,7380,10677,7361,10677,7342,10677,7322m10677,7284l10668,7284,10668,7303,10668,7322,10677,7322,10677,7303,10677,7284m10677,7226l10668,7226,10668,7246,10668,7265,10668,7284,10677,7284,10677,7265,10677,7246,10677,7226m10677,7169l10668,7169,10668,7188,10668,7207,10668,7226,10677,7226,10677,7207,10677,7188,10677,7169m10677,7130l10668,7130,10668,7150,10668,7169,10677,7169,10677,7150,10677,7130e" filled="true" fillcolor="#000000" stroked="false">
              <v:path arrowok="t"/>
              <v:fill type="solid"/>
            </v:shape>
            <v:shape style="position:absolute;left:10667;top:7442;width:10;height:308" coordorigin="10668,7442" coordsize="10,308" path="m10677,7711l10668,7711,10668,7730,10668,7750,10677,7750,10677,7730,10677,7711m10677,7654l10668,7654,10668,7673,10668,7692,10668,7711,10677,7711,10677,7692,10677,7673,10677,7654m10677,7615l10668,7615,10668,7634,10668,7654,10677,7654,10677,7634,10677,7615m10677,7558l10668,7558,10668,7577,10668,7596,10668,7615,10677,7615,10677,7596,10677,7577,10677,7558m10677,7500l10668,7500,10668,7519,10668,7538,10668,7558,10677,7558,10677,7538,10677,7519,10677,7500m10677,7442l10668,7442,10668,7462,10668,7481,10668,7500,10677,7500,10677,7481,10677,7462,10677,7442e" filled="true" fillcolor="#000000" stroked="false">
              <v:path arrowok="t"/>
              <v:fill type="solid"/>
            </v:shape>
            <v:shape style="position:absolute;left:10667;top:7754;width:10;height:308" coordorigin="10668,7754" coordsize="10,308" path="m10677,8005l10668,8005,10668,8024,10668,8043,10668,8062,10677,8062,10677,8043,10677,8024,10677,8005m10677,7947l10668,7947,10668,7966,10668,7985,10668,8005,10677,8005,10677,7985,10677,7966,10677,7947m10677,7889l10668,7889,10668,7908,10668,7927,10668,7946,10677,7946,10677,7927,10677,7908,10677,7889m10677,7831l10668,7831,10668,7850,10668,7870,10668,7889,10677,7889,10677,7870,10677,7850,10677,7831m10677,7774l10668,7774,10668,7793,10668,7812,10668,7831,10677,7831,10677,7812,10677,7793,10677,7774m10677,7754l10668,7754,10668,7774,10677,7774,10677,7754e" filled="true" fillcolor="#000000" stroked="false">
              <v:path arrowok="t"/>
              <v:fill type="solid"/>
            </v:shape>
            <v:shape style="position:absolute;left:10667;top:8067;width:10;height:308" coordorigin="10668,8067" coordsize="10,308" path="m10677,8336l10668,8336,10668,8355,10668,8374,10677,8374,10677,8355,10677,8336m10677,8297l10668,8297,10668,8317,10668,8336,10677,8336,10677,8317,10677,8297m10677,8240l10668,8240,10668,8259,10668,8278,10668,8297,10677,8297,10677,8278,10677,8259,10677,8240m10677,8182l10668,8182,10668,8201,10668,8221,10668,8240,10677,8240,10677,8221,10677,8201,10677,8182m10677,8125l10668,8125,10668,8144,10668,8163,10668,8163,10668,8182,10677,8182,10677,8163,10677,8163,10677,8144,10677,8125m10677,8067l10668,8067,10668,8086,10668,8105,10668,8125,10677,8125,10677,8105,10677,8086,10677,8067e" filled="true" fillcolor="#000000" stroked="false">
              <v:path arrowok="t"/>
              <v:fill type="solid"/>
            </v:shape>
            <v:shape style="position:absolute;left:10667;top:8379;width:10;height:620" coordorigin="10668,8379" coordsize="10,620" path="m10677,8960l10668,8960,10668,8979,10668,8998,10677,8998,10677,8979,10677,8960m10677,8902l10668,8902,10668,8921,10668,8941,10668,8960,10677,8960,10677,8941,10677,8921,10677,8902m10677,8845l10668,8845,10668,8864,10668,8883,10668,8902,10677,8902,10677,8883,10677,8864,10677,8845m10677,8787l10668,8787,10668,8806,10668,8825,10668,8845,10677,8845,10677,8825,10677,8806,10677,8787m10677,8749l10668,8749,10668,8768,10668,8787,10677,8787,10677,8768,10677,8749m10677,8691l10668,8691,10668,8710,10668,8729,10668,8749,10677,8749,10677,8729,10677,8710,10677,8691m10677,8667l10668,8667,10668,8686,10668,8691,10677,8691,10677,8686,10677,8667m10677,8629l10668,8629,10668,8648,10668,8667,10677,8667,10677,8648,10677,8629m10677,8571l10668,8571,10668,8590,10668,8609,10668,8629,10677,8629,10677,8609,10677,8590,10677,8571m10677,8513l10668,8513,10668,8533,10668,8552,10668,8571,10677,8571,10677,8552,10677,8533,10677,8513m10677,8456l10668,8456,10668,8475,10668,8494,10668,8513,10677,8513,10677,8494,10677,8475,10677,8456m10677,8417l10668,8417,10668,8437,10668,8456,10677,8456,10677,8437,10677,8417m10677,8379l10668,8379,10668,8398,10668,8417,10677,8417,10677,8398,10677,8379e" filled="true" fillcolor="#000000" stroked="false">
              <v:path arrowok="t"/>
              <v:fill type="solid"/>
            </v:shape>
            <v:shape style="position:absolute;left:10667;top:9003;width:10;height:308" coordorigin="10668,9003" coordsize="10,308" path="m10677,9291l10668,9291,10668,9310,10677,9310,10677,9291m10677,9233l10668,9233,10668,9253,10668,9272,10668,9291,10677,9291,10677,9272,10677,9253,10677,9233m10677,9176l10668,9176,10668,9195,10668,9214,10668,9233,10677,9233,10677,9214,10677,9195,10677,9176m10677,9137l10668,9137,10668,9157,10668,9176,10677,9176,10677,9157,10677,9137m10677,9080l10668,9080,10668,9099,10668,9118,10668,9137,10677,9137,10677,9118,10677,9099,10677,9080m10677,9022l10668,9022,10668,9041,10668,9061,10668,9080,10677,9080,10677,9061,10677,9041,10677,9022m10677,9003l10668,9003,10668,9022,10677,9022,10677,9003e" filled="true" fillcolor="#000000" stroked="false">
              <v:path arrowok="t"/>
              <v:fill type="solid"/>
            </v:shape>
            <v:shape style="position:absolute;left:10667;top:9315;width:10;height:308" coordorigin="10668,9315" coordsize="10,308" path="m10677,9565l10668,9565,10668,9584,10668,9603,10668,9622,10677,9622,10677,9603,10677,9584,10677,9565m10677,9507l10668,9507,10668,9526,10668,9545,10668,9565,10677,9565,10677,9545,10677,9526,10677,9507m10677,9469l10668,9469,10668,9488,10668,9507,10677,9507,10677,9488,10677,9469m10677,9411l10668,9411,10668,9430,10668,9449,10668,9469,10677,9469,10677,9449,10677,9430,10677,9411m10677,9353l10668,9353,10668,9373,10668,9392,10668,9411,10677,9411,10677,9392,10677,9373,10677,9353m10677,9315l10668,9315,10668,9334,10668,9353,10677,9353,10677,9334,10677,9315e" filled="true" fillcolor="#000000" stroked="false">
              <v:path arrowok="t"/>
              <v:fill type="solid"/>
            </v:shape>
            <v:shape style="position:absolute;left:10667;top:9627;width:10;height:308" coordorigin="10668,9627" coordsize="10,308" path="m10677,9896l10668,9896,10668,9915,10668,9934,10677,9934,10677,9915,10677,9896m10677,9857l10668,9857,10668,9877,10668,9896,10677,9896,10677,9877,10677,9857m10677,9800l10668,9800,10668,9819,10668,9838,10668,9857,10677,9857,10677,9838,10677,9819,10677,9800m10677,9742l10668,9742,10668,9761,10668,9781,10668,9800,10677,9800,10677,9781,10677,9761,10677,9742m10677,9685l10668,9685,10668,9704,10668,9723,10668,9742,10677,9742,10677,9723,10677,9704,10677,9685m10677,9627l10668,9627,10668,9646,10668,9665,10668,9685,10677,9685,10677,9665,10677,9646,10677,9627e" filled="true" fillcolor="#000000" stroked="false">
              <v:path arrowok="t"/>
              <v:fill type="solid"/>
            </v:shape>
            <v:shape style="position:absolute;left:10667;top:9939;width:10;height:620" coordorigin="10668,9939" coordsize="10,620" path="m10677,10520l10668,10520,10668,10539,10668,10558,10677,10558,10677,10539,10677,10520m10677,10462l10668,10462,10668,10481,10668,10501,10668,10520,10677,10520,10677,10501,10677,10481,10677,10462m10677,10405l10668,10405,10668,10424,10668,10443,10668,10462,10677,10462,10677,10443,10677,10424,10677,10405m10677,10347l10668,10347,10668,10366,10668,10385,10668,10405,10677,10405,10677,10385,10677,10366,10677,10347m10677,10309l10668,10309,10668,10328,10668,10347,10677,10347,10677,10328,10677,10309m10677,10251l10668,10251,10668,10270,10668,10289,10668,10309,10677,10309,10677,10289,10677,10270,10677,10251m10677,10227l10668,10227,10668,10246,10668,10251,10677,10251,10677,10246,10677,10227m10677,10189l10668,10189,10668,10208,10668,10227,10677,10227,10677,10208,10677,10189m10677,10131l10668,10131,10668,10150,10668,10169,10668,10189,10677,10189,10677,10169,10677,10150,10677,10131m10677,10073l10668,10073,10668,10093,10668,10112,10668,10131,10677,10131,10677,10112,10677,10093,10677,10073m10677,10016l10668,10016,10668,10035,10668,10054,10668,10073,10677,10073,10677,10054,10677,10035,10677,10016m10677,9977l10668,9977,10668,9997,10668,10016,10677,10016,10677,9997,10677,9977m10677,9939l10668,9939,10668,9958,10668,9977,10677,9977,10677,9958,10677,9939e" filled="true" fillcolor="#000000" stroked="false">
              <v:path arrowok="t"/>
              <v:fill type="solid"/>
            </v:shape>
            <v:shape style="position:absolute;left:10667;top:10563;width:10;height:308" coordorigin="10668,10563" coordsize="10,308" path="m10677,10851l10668,10851,10668,10870,10677,10870,10677,10851m10677,10793l10668,10793,10668,10813,10668,10832,10668,10851,10677,10851,10677,10832,10677,10813,10677,10793m10677,10736l10668,10736,10668,10755,10668,10755,10668,10774,10668,10793,10677,10793,10677,10774,10677,10755,10677,10755,10677,10736m10677,10697l10668,10697,10668,10717,10668,10736,10677,10736,10677,10717,10677,10697m10677,10640l10668,10640,10668,10659,10668,10678,10668,10697,10677,10697,10677,10678,10677,10659,10677,10640m10677,10582l10668,10582,10668,10601,10668,10621,10668,10640,10677,10640,10677,10621,10677,10601,10677,10582m10677,10563l10668,10563,10668,10582,10677,10582,10677,10563e" filled="true" fillcolor="#000000" stroked="false">
              <v:path arrowok="t"/>
              <v:fill type="solid"/>
            </v:shape>
            <v:shape style="position:absolute;left:10667;top:10875;width:10;height:308" coordorigin="10668,10875" coordsize="10,308" path="m10677,11125l10668,11125,10668,11144,10668,11163,10668,11182,10677,11182,10677,11163,10677,11144,10677,11125m10677,11067l10668,11067,10668,11086,10668,11105,10668,11125,10677,11125,10677,11105,10677,11086,10677,11067m10677,11029l10668,11029,10668,11048,10668,11067,10677,11067,10677,11048,10677,11029m10677,10971l10668,10971,10668,10990,10668,11009,10668,11029,10677,11029,10677,11009,10677,10990,10677,10971m10677,10913l10668,10913,10668,10933,10668,10952,10668,10971,10677,10971,10677,10952,10677,10933,10677,10913m10677,10875l10668,10875,10668,10894,10668,10913,10677,10913,10677,10894,10677,10875e" filled="true" fillcolor="#000000" stroked="false">
              <v:path arrowok="t"/>
              <v:fill type="solid"/>
            </v:shape>
            <v:shape style="position:absolute;left:1457;top:11182;width:10;height:15" type="#_x0000_t75" stroked="false">
              <v:imagedata r:id="rId25" o:title=""/>
            </v:shape>
            <v:shape style="position:absolute;left:1466;top:11182;width:9211;height:15" type="#_x0000_t75" stroked="false">
              <v:imagedata r:id="rId26" o:title=""/>
            </v:shape>
            <v:rect style="position:absolute;left:10667;top:11187;width:10;height:10" filled="true" fillcolor="#000000" stroked="false">
              <v:fill type="solid"/>
            </v:rect>
            <v:shape style="position:absolute;left:1164;top:-47;width:9804;height:11510" type="#_x0000_t75" stroked="false">
              <v:imagedata r:id="rId27" o:title=""/>
            </v:shape>
            <w10:wrap type="none"/>
          </v:group>
        </w:pict>
      </w:r>
      <w:r>
        <w:rPr>
          <w:rFonts w:ascii="Wingdings" w:hAnsi="Wingdings" w:eastAsia="Wingdings"/>
          <w:b/>
          <w:sz w:val="21"/>
        </w:rPr>
        <w:t></w:t>
      </w:r>
      <w:r>
        <w:rPr>
          <w:rFonts w:ascii="Times New Roman" w:hAnsi="Times New Roman" w:eastAsia="Times New Roman"/>
          <w:b/>
          <w:sz w:val="21"/>
        </w:rPr>
        <w:t>  </w:t>
      </w:r>
      <w:r>
        <w:rPr>
          <w:b/>
          <w:sz w:val="21"/>
        </w:rPr>
        <w:t>您拥有的重要权益</w:t>
      </w:r>
    </w:p>
    <w:p>
      <w:pPr>
        <w:pStyle w:val="ListParagraph"/>
        <w:numPr>
          <w:ilvl w:val="0"/>
          <w:numId w:val="1"/>
        </w:numPr>
        <w:tabs>
          <w:tab w:pos="1085" w:val="left" w:leader="none"/>
          <w:tab w:pos="1086" w:val="left" w:leader="none"/>
          <w:tab w:pos="9487" w:val="right" w:leader="dot"/>
        </w:tabs>
        <w:spacing w:line="240" w:lineRule="auto" w:before="85" w:after="0"/>
        <w:ind w:left="1086" w:right="0" w:hanging="420"/>
        <w:jc w:val="left"/>
        <w:rPr>
          <w:sz w:val="21"/>
        </w:rPr>
      </w:pPr>
      <w:r>
        <w:rPr>
          <w:sz w:val="21"/>
        </w:rPr>
        <w:t>收到</w:t>
      </w:r>
      <w:r>
        <w:rPr>
          <w:spacing w:val="-3"/>
          <w:sz w:val="21"/>
        </w:rPr>
        <w:t>保</w:t>
      </w:r>
      <w:r>
        <w:rPr>
          <w:sz w:val="21"/>
        </w:rPr>
        <w:t>险</w:t>
      </w:r>
      <w:r>
        <w:rPr>
          <w:spacing w:val="-3"/>
          <w:sz w:val="21"/>
        </w:rPr>
        <w:t>单</w:t>
      </w:r>
      <w:r>
        <w:rPr>
          <w:sz w:val="21"/>
        </w:rPr>
        <w:t>后</w:t>
      </w:r>
      <w:r>
        <w:rPr>
          <w:spacing w:val="-53"/>
          <w:sz w:val="21"/>
        </w:rPr>
        <w:t> </w:t>
      </w:r>
      <w:r>
        <w:rPr>
          <w:sz w:val="21"/>
        </w:rPr>
        <w:t>10</w:t>
      </w:r>
      <w:r>
        <w:rPr>
          <w:spacing w:val="-53"/>
          <w:sz w:val="21"/>
        </w:rPr>
        <w:t> </w:t>
      </w:r>
      <w:r>
        <w:rPr>
          <w:sz w:val="21"/>
        </w:rPr>
        <w:t>日内</w:t>
      </w:r>
      <w:r>
        <w:rPr>
          <w:spacing w:val="-3"/>
          <w:sz w:val="21"/>
        </w:rPr>
        <w:t>您可</w:t>
      </w:r>
      <w:r>
        <w:rPr>
          <w:sz w:val="21"/>
        </w:rPr>
        <w:t>以要</w:t>
      </w:r>
      <w:r>
        <w:rPr>
          <w:spacing w:val="-3"/>
          <w:sz w:val="21"/>
        </w:rPr>
        <w:t>求</w:t>
      </w:r>
      <w:r>
        <w:rPr>
          <w:sz w:val="21"/>
        </w:rPr>
        <w:t>退</w:t>
      </w:r>
      <w:r>
        <w:rPr>
          <w:spacing w:val="-3"/>
          <w:sz w:val="21"/>
        </w:rPr>
        <w:t>还</w:t>
      </w:r>
      <w:r>
        <w:rPr>
          <w:sz w:val="21"/>
        </w:rPr>
        <w:t>保</w:t>
      </w:r>
      <w:r>
        <w:rPr>
          <w:spacing w:val="-3"/>
          <w:sz w:val="21"/>
        </w:rPr>
        <w:t>险</w:t>
      </w:r>
      <w:r>
        <w:rPr>
          <w:sz w:val="21"/>
        </w:rPr>
        <w:t>费</w:t>
        <w:tab/>
        <w:t>1.5</w:t>
      </w:r>
    </w:p>
    <w:p>
      <w:pPr>
        <w:pStyle w:val="ListParagraph"/>
        <w:numPr>
          <w:ilvl w:val="0"/>
          <w:numId w:val="1"/>
        </w:numPr>
        <w:tabs>
          <w:tab w:pos="1085" w:val="left" w:leader="none"/>
          <w:tab w:pos="1086" w:val="left" w:leader="none"/>
          <w:tab w:pos="9489" w:val="right" w:leader="dot"/>
        </w:tabs>
        <w:spacing w:line="240" w:lineRule="auto" w:before="85" w:after="0"/>
        <w:ind w:left="1086" w:right="0" w:hanging="420"/>
        <w:jc w:val="left"/>
        <w:rPr>
          <w:sz w:val="21"/>
        </w:rPr>
      </w:pPr>
      <w:r>
        <w:rPr>
          <w:sz w:val="21"/>
        </w:rPr>
        <w:t>被保</w:t>
      </w:r>
      <w:r>
        <w:rPr>
          <w:spacing w:val="-3"/>
          <w:sz w:val="21"/>
        </w:rPr>
        <w:t>险</w:t>
      </w:r>
      <w:r>
        <w:rPr>
          <w:sz w:val="21"/>
        </w:rPr>
        <w:t>人</w:t>
      </w:r>
      <w:r>
        <w:rPr>
          <w:spacing w:val="-3"/>
          <w:sz w:val="21"/>
        </w:rPr>
        <w:t>可</w:t>
      </w:r>
      <w:r>
        <w:rPr>
          <w:sz w:val="21"/>
        </w:rPr>
        <w:t>以</w:t>
      </w:r>
      <w:r>
        <w:rPr>
          <w:spacing w:val="-3"/>
          <w:sz w:val="21"/>
        </w:rPr>
        <w:t>享</w:t>
      </w:r>
      <w:r>
        <w:rPr>
          <w:sz w:val="21"/>
        </w:rPr>
        <w:t>受</w:t>
      </w:r>
      <w:r>
        <w:rPr>
          <w:spacing w:val="-3"/>
          <w:sz w:val="21"/>
        </w:rPr>
        <w:t>本</w:t>
      </w:r>
      <w:r>
        <w:rPr>
          <w:sz w:val="21"/>
        </w:rPr>
        <w:t>附</w:t>
      </w:r>
      <w:r>
        <w:rPr>
          <w:spacing w:val="-3"/>
          <w:sz w:val="21"/>
        </w:rPr>
        <w:t>加</w:t>
      </w:r>
      <w:r>
        <w:rPr>
          <w:sz w:val="21"/>
        </w:rPr>
        <w:t>险合</w:t>
      </w:r>
      <w:r>
        <w:rPr>
          <w:spacing w:val="-3"/>
          <w:sz w:val="21"/>
        </w:rPr>
        <w:t>同</w:t>
      </w:r>
      <w:r>
        <w:rPr>
          <w:sz w:val="21"/>
        </w:rPr>
        <w:t>提</w:t>
      </w:r>
      <w:r>
        <w:rPr>
          <w:spacing w:val="-3"/>
          <w:sz w:val="21"/>
        </w:rPr>
        <w:t>供</w:t>
      </w:r>
      <w:r>
        <w:rPr>
          <w:sz w:val="21"/>
        </w:rPr>
        <w:t>的</w:t>
      </w:r>
      <w:r>
        <w:rPr>
          <w:spacing w:val="-3"/>
          <w:sz w:val="21"/>
        </w:rPr>
        <w:t>保</w:t>
      </w:r>
      <w:r>
        <w:rPr>
          <w:sz w:val="21"/>
        </w:rPr>
        <w:t>障</w:t>
        <w:tab/>
        <w:t>2.1</w:t>
      </w:r>
    </w:p>
    <w:p>
      <w:pPr>
        <w:pStyle w:val="ListParagraph"/>
        <w:numPr>
          <w:ilvl w:val="0"/>
          <w:numId w:val="1"/>
        </w:numPr>
        <w:tabs>
          <w:tab w:pos="1085" w:val="left" w:leader="none"/>
          <w:tab w:pos="1086" w:val="left" w:leader="none"/>
          <w:tab w:pos="9485" w:val="right" w:leader="dot"/>
        </w:tabs>
        <w:spacing w:line="240" w:lineRule="auto" w:before="85" w:after="0"/>
        <w:ind w:left="1086" w:right="0" w:hanging="420"/>
        <w:jc w:val="left"/>
        <w:rPr>
          <w:sz w:val="21"/>
        </w:rPr>
      </w:pPr>
      <w:r>
        <w:rPr>
          <w:sz w:val="21"/>
        </w:rPr>
        <w:t>您有</w:t>
      </w:r>
      <w:r>
        <w:rPr>
          <w:spacing w:val="-3"/>
          <w:sz w:val="21"/>
        </w:rPr>
        <w:t>退</w:t>
      </w:r>
      <w:r>
        <w:rPr>
          <w:sz w:val="21"/>
        </w:rPr>
        <w:t>保</w:t>
      </w:r>
      <w:r>
        <w:rPr>
          <w:spacing w:val="-3"/>
          <w:sz w:val="21"/>
        </w:rPr>
        <w:t>的</w:t>
      </w:r>
      <w:r>
        <w:rPr>
          <w:sz w:val="21"/>
        </w:rPr>
        <w:t>权利</w:t>
        <w:tab/>
        <w:t>6.1</w:t>
      </w:r>
    </w:p>
    <w:p>
      <w:pPr>
        <w:spacing w:before="83"/>
        <w:ind w:left="243"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您应当特别注意的事项</w:t>
      </w:r>
    </w:p>
    <w:p>
      <w:pPr>
        <w:pStyle w:val="ListParagraph"/>
        <w:numPr>
          <w:ilvl w:val="0"/>
          <w:numId w:val="1"/>
        </w:numPr>
        <w:tabs>
          <w:tab w:pos="1064" w:val="left" w:leader="none"/>
          <w:tab w:pos="1065" w:val="left" w:leader="none"/>
          <w:tab w:pos="9465" w:val="right" w:leader="dot"/>
        </w:tabs>
        <w:spacing w:line="240" w:lineRule="auto" w:before="84" w:after="0"/>
        <w:ind w:left="1064" w:right="0" w:hanging="398"/>
        <w:jc w:val="left"/>
        <w:rPr>
          <w:sz w:val="21"/>
        </w:rPr>
      </w:pPr>
      <w:r>
        <w:rPr>
          <w:sz w:val="21"/>
        </w:rPr>
        <w:t>在</w:t>
      </w:r>
      <w:r>
        <w:rPr>
          <w:spacing w:val="-3"/>
          <w:sz w:val="21"/>
        </w:rPr>
        <w:t>某</w:t>
      </w:r>
      <w:r>
        <w:rPr>
          <w:sz w:val="21"/>
        </w:rPr>
        <w:t>些</w:t>
      </w:r>
      <w:r>
        <w:rPr>
          <w:spacing w:val="-3"/>
          <w:sz w:val="21"/>
        </w:rPr>
        <w:t>情</w:t>
      </w:r>
      <w:r>
        <w:rPr>
          <w:sz w:val="21"/>
        </w:rPr>
        <w:t>况</w:t>
      </w:r>
      <w:r>
        <w:rPr>
          <w:spacing w:val="-3"/>
          <w:sz w:val="21"/>
        </w:rPr>
        <w:t>下</w:t>
      </w:r>
      <w:r>
        <w:rPr>
          <w:sz w:val="21"/>
        </w:rPr>
        <w:t>，</w:t>
      </w:r>
      <w:r>
        <w:rPr>
          <w:spacing w:val="-3"/>
          <w:sz w:val="21"/>
        </w:rPr>
        <w:t>我们</w:t>
      </w:r>
      <w:r>
        <w:rPr>
          <w:sz w:val="21"/>
        </w:rPr>
        <w:t>不承</w:t>
      </w:r>
      <w:r>
        <w:rPr>
          <w:spacing w:val="-3"/>
          <w:sz w:val="21"/>
        </w:rPr>
        <w:t>担</w:t>
      </w:r>
      <w:r>
        <w:rPr>
          <w:sz w:val="21"/>
        </w:rPr>
        <w:t>保</w:t>
      </w:r>
      <w:r>
        <w:rPr>
          <w:spacing w:val="-3"/>
          <w:sz w:val="21"/>
        </w:rPr>
        <w:t>险</w:t>
      </w:r>
      <w:r>
        <w:rPr>
          <w:sz w:val="21"/>
        </w:rPr>
        <w:t>责任</w:t>
        <w:tab/>
        <w:t>2.2</w:t>
      </w:r>
    </w:p>
    <w:p>
      <w:pPr>
        <w:pStyle w:val="ListParagraph"/>
        <w:numPr>
          <w:ilvl w:val="0"/>
          <w:numId w:val="1"/>
        </w:numPr>
        <w:tabs>
          <w:tab w:pos="1064" w:val="left" w:leader="none"/>
          <w:tab w:pos="1065" w:val="left" w:leader="none"/>
          <w:tab w:pos="9465" w:val="right" w:leader="dot"/>
        </w:tabs>
        <w:spacing w:line="240" w:lineRule="auto" w:before="84" w:after="0"/>
        <w:ind w:left="1064" w:right="0" w:hanging="398"/>
        <w:jc w:val="left"/>
        <w:rPr>
          <w:sz w:val="21"/>
        </w:rPr>
      </w:pPr>
      <w:r>
        <w:rPr>
          <w:sz w:val="21"/>
        </w:rPr>
        <w:t>您</w:t>
      </w:r>
      <w:r>
        <w:rPr>
          <w:spacing w:val="-3"/>
          <w:sz w:val="21"/>
        </w:rPr>
        <w:t>有</w:t>
      </w:r>
      <w:r>
        <w:rPr>
          <w:sz w:val="21"/>
        </w:rPr>
        <w:t>及</w:t>
      </w:r>
      <w:r>
        <w:rPr>
          <w:spacing w:val="-3"/>
          <w:sz w:val="21"/>
        </w:rPr>
        <w:t>时</w:t>
      </w:r>
      <w:r>
        <w:rPr>
          <w:sz w:val="21"/>
        </w:rPr>
        <w:t>向</w:t>
      </w:r>
      <w:r>
        <w:rPr>
          <w:spacing w:val="-3"/>
          <w:sz w:val="21"/>
        </w:rPr>
        <w:t>我</w:t>
      </w:r>
      <w:r>
        <w:rPr>
          <w:sz w:val="21"/>
        </w:rPr>
        <w:t>们</w:t>
      </w:r>
      <w:r>
        <w:rPr>
          <w:spacing w:val="-3"/>
          <w:sz w:val="21"/>
        </w:rPr>
        <w:t>通知</w:t>
      </w:r>
      <w:r>
        <w:rPr>
          <w:sz w:val="21"/>
        </w:rPr>
        <w:t>保险</w:t>
      </w:r>
      <w:r>
        <w:rPr>
          <w:spacing w:val="-3"/>
          <w:sz w:val="21"/>
        </w:rPr>
        <w:t>事</w:t>
      </w:r>
      <w:r>
        <w:rPr>
          <w:sz w:val="21"/>
        </w:rPr>
        <w:t>故</w:t>
      </w:r>
      <w:r>
        <w:rPr>
          <w:spacing w:val="-3"/>
          <w:sz w:val="21"/>
        </w:rPr>
        <w:t>的</w:t>
      </w:r>
      <w:r>
        <w:rPr>
          <w:sz w:val="21"/>
        </w:rPr>
        <w:t>责任</w:t>
        <w:tab/>
        <w:t>3.1</w:t>
      </w:r>
    </w:p>
    <w:p>
      <w:pPr>
        <w:pStyle w:val="ListParagraph"/>
        <w:numPr>
          <w:ilvl w:val="0"/>
          <w:numId w:val="1"/>
        </w:numPr>
        <w:tabs>
          <w:tab w:pos="1085" w:val="left" w:leader="none"/>
          <w:tab w:pos="1086" w:val="left" w:leader="none"/>
          <w:tab w:pos="9485" w:val="right" w:leader="dot"/>
        </w:tabs>
        <w:spacing w:line="240" w:lineRule="auto" w:before="84" w:after="0"/>
        <w:ind w:left="1086" w:right="0" w:hanging="420"/>
        <w:jc w:val="left"/>
        <w:rPr>
          <w:sz w:val="21"/>
        </w:rPr>
      </w:pPr>
      <w:r>
        <w:rPr>
          <w:sz w:val="21"/>
        </w:rPr>
        <w:t>您应</w:t>
      </w:r>
      <w:r>
        <w:rPr>
          <w:spacing w:val="-3"/>
          <w:sz w:val="21"/>
        </w:rPr>
        <w:t>当</w:t>
      </w:r>
      <w:r>
        <w:rPr>
          <w:sz w:val="21"/>
        </w:rPr>
        <w:t>按</w:t>
      </w:r>
      <w:r>
        <w:rPr>
          <w:spacing w:val="-3"/>
          <w:sz w:val="21"/>
        </w:rPr>
        <w:t>时</w:t>
      </w:r>
      <w:r>
        <w:rPr>
          <w:sz w:val="21"/>
        </w:rPr>
        <w:t>交</w:t>
      </w:r>
      <w:r>
        <w:rPr>
          <w:spacing w:val="-3"/>
          <w:sz w:val="21"/>
        </w:rPr>
        <w:t>纳</w:t>
      </w:r>
      <w:r>
        <w:rPr>
          <w:sz w:val="21"/>
        </w:rPr>
        <w:t>保</w:t>
      </w:r>
      <w:r>
        <w:rPr>
          <w:spacing w:val="-3"/>
          <w:sz w:val="21"/>
        </w:rPr>
        <w:t>险</w:t>
      </w:r>
      <w:r>
        <w:rPr>
          <w:sz w:val="21"/>
        </w:rPr>
        <w:t>费</w:t>
        <w:tab/>
        <w:t>4.1</w:t>
      </w:r>
    </w:p>
    <w:p>
      <w:pPr>
        <w:pStyle w:val="ListParagraph"/>
        <w:numPr>
          <w:ilvl w:val="0"/>
          <w:numId w:val="1"/>
        </w:numPr>
        <w:tabs>
          <w:tab w:pos="1085" w:val="left" w:leader="none"/>
          <w:tab w:pos="1086" w:val="left" w:leader="none"/>
          <w:tab w:pos="9485" w:val="right" w:leader="dot"/>
        </w:tabs>
        <w:spacing w:line="240" w:lineRule="auto" w:before="84" w:after="0"/>
        <w:ind w:left="1086" w:right="0" w:hanging="420"/>
        <w:jc w:val="left"/>
        <w:rPr>
          <w:sz w:val="21"/>
        </w:rPr>
      </w:pPr>
      <w:r>
        <w:rPr>
          <w:sz w:val="21"/>
        </w:rPr>
        <w:t>您有</w:t>
      </w:r>
      <w:r>
        <w:rPr>
          <w:spacing w:val="-3"/>
          <w:sz w:val="21"/>
        </w:rPr>
        <w:t>如</w:t>
      </w:r>
      <w:r>
        <w:rPr>
          <w:sz w:val="21"/>
        </w:rPr>
        <w:t>实</w:t>
      </w:r>
      <w:r>
        <w:rPr>
          <w:spacing w:val="-3"/>
          <w:sz w:val="21"/>
        </w:rPr>
        <w:t>告</w:t>
      </w:r>
      <w:r>
        <w:rPr>
          <w:sz w:val="21"/>
        </w:rPr>
        <w:t>知</w:t>
      </w:r>
      <w:r>
        <w:rPr>
          <w:spacing w:val="-3"/>
          <w:sz w:val="21"/>
        </w:rPr>
        <w:t>的</w:t>
      </w:r>
      <w:r>
        <w:rPr>
          <w:sz w:val="21"/>
        </w:rPr>
        <w:t>义务</w:t>
        <w:tab/>
        <w:t>7.1</w:t>
      </w:r>
    </w:p>
    <w:p>
      <w:pPr>
        <w:pStyle w:val="ListParagraph"/>
        <w:numPr>
          <w:ilvl w:val="0"/>
          <w:numId w:val="1"/>
        </w:numPr>
        <w:tabs>
          <w:tab w:pos="1085" w:val="left" w:leader="none"/>
          <w:tab w:pos="1086" w:val="left" w:leader="none"/>
          <w:tab w:pos="9489" w:val="right" w:leader="dot"/>
        </w:tabs>
        <w:spacing w:line="240" w:lineRule="auto" w:before="84" w:after="0"/>
        <w:ind w:left="1086" w:right="0" w:hanging="420"/>
        <w:jc w:val="left"/>
        <w:rPr>
          <w:sz w:val="21"/>
        </w:rPr>
      </w:pPr>
      <w:r>
        <w:rPr>
          <w:sz w:val="21"/>
        </w:rPr>
        <w:t>主险</w:t>
      </w:r>
      <w:r>
        <w:rPr>
          <w:spacing w:val="-3"/>
          <w:sz w:val="21"/>
        </w:rPr>
        <w:t>合</w:t>
      </w:r>
      <w:r>
        <w:rPr>
          <w:sz w:val="21"/>
        </w:rPr>
        <w:t>同</w:t>
      </w:r>
      <w:r>
        <w:rPr>
          <w:spacing w:val="-3"/>
          <w:sz w:val="21"/>
        </w:rPr>
        <w:t>的</w:t>
      </w:r>
      <w:r>
        <w:rPr>
          <w:sz w:val="21"/>
        </w:rPr>
        <w:t>某</w:t>
      </w:r>
      <w:r>
        <w:rPr>
          <w:spacing w:val="-3"/>
          <w:sz w:val="21"/>
        </w:rPr>
        <w:t>些</w:t>
      </w:r>
      <w:r>
        <w:rPr>
          <w:sz w:val="21"/>
        </w:rPr>
        <w:t>变</w:t>
      </w:r>
      <w:r>
        <w:rPr>
          <w:spacing w:val="-3"/>
          <w:sz w:val="21"/>
        </w:rPr>
        <w:t>动</w:t>
      </w:r>
      <w:r>
        <w:rPr>
          <w:sz w:val="21"/>
        </w:rPr>
        <w:t>会</w:t>
      </w:r>
      <w:r>
        <w:rPr>
          <w:spacing w:val="-3"/>
          <w:sz w:val="21"/>
        </w:rPr>
        <w:t>导</w:t>
      </w:r>
      <w:r>
        <w:rPr>
          <w:sz w:val="21"/>
        </w:rPr>
        <w:t>致本</w:t>
      </w:r>
      <w:r>
        <w:rPr>
          <w:spacing w:val="-3"/>
          <w:sz w:val="21"/>
        </w:rPr>
        <w:t>附</w:t>
      </w:r>
      <w:r>
        <w:rPr>
          <w:sz w:val="21"/>
        </w:rPr>
        <w:t>加</w:t>
      </w:r>
      <w:r>
        <w:rPr>
          <w:spacing w:val="-3"/>
          <w:sz w:val="21"/>
        </w:rPr>
        <w:t>险</w:t>
      </w:r>
      <w:r>
        <w:rPr>
          <w:sz w:val="21"/>
        </w:rPr>
        <w:t>合</w:t>
      </w:r>
      <w:r>
        <w:rPr>
          <w:spacing w:val="-3"/>
          <w:sz w:val="21"/>
        </w:rPr>
        <w:t>同</w:t>
      </w:r>
      <w:r>
        <w:rPr>
          <w:sz w:val="21"/>
        </w:rPr>
        <w:t>效</w:t>
      </w:r>
      <w:r>
        <w:rPr>
          <w:spacing w:val="-3"/>
          <w:sz w:val="21"/>
        </w:rPr>
        <w:t>力</w:t>
      </w:r>
      <w:r>
        <w:rPr>
          <w:sz w:val="21"/>
        </w:rPr>
        <w:t>终止</w:t>
        <w:tab/>
        <w:t>7.6</w:t>
      </w:r>
    </w:p>
    <w:p>
      <w:pPr>
        <w:pStyle w:val="ListParagraph"/>
        <w:numPr>
          <w:ilvl w:val="0"/>
          <w:numId w:val="1"/>
        </w:numPr>
        <w:tabs>
          <w:tab w:pos="1085" w:val="left" w:leader="none"/>
          <w:tab w:pos="1086" w:val="left" w:leader="none"/>
          <w:tab w:pos="9492" w:val="right" w:leader="dot"/>
        </w:tabs>
        <w:spacing w:line="240" w:lineRule="auto" w:before="81" w:after="0"/>
        <w:ind w:left="1086" w:right="0" w:hanging="420"/>
        <w:jc w:val="left"/>
        <w:rPr>
          <w:sz w:val="21"/>
        </w:rPr>
      </w:pPr>
      <w:r>
        <w:rPr>
          <w:sz w:val="21"/>
        </w:rPr>
        <w:t>我们</w:t>
      </w:r>
      <w:r>
        <w:rPr>
          <w:spacing w:val="-3"/>
          <w:sz w:val="21"/>
        </w:rPr>
        <w:t>对</w:t>
      </w:r>
      <w:r>
        <w:rPr>
          <w:sz w:val="21"/>
        </w:rPr>
        <w:t>一</w:t>
      </w:r>
      <w:r>
        <w:rPr>
          <w:spacing w:val="-3"/>
          <w:sz w:val="21"/>
        </w:rPr>
        <w:t>些</w:t>
      </w:r>
      <w:r>
        <w:rPr>
          <w:sz w:val="21"/>
        </w:rPr>
        <w:t>重</w:t>
      </w:r>
      <w:r>
        <w:rPr>
          <w:spacing w:val="-3"/>
          <w:sz w:val="21"/>
        </w:rPr>
        <w:t>要</w:t>
      </w:r>
      <w:r>
        <w:rPr>
          <w:sz w:val="21"/>
        </w:rPr>
        <w:t>术</w:t>
      </w:r>
      <w:r>
        <w:rPr>
          <w:spacing w:val="-3"/>
          <w:sz w:val="21"/>
        </w:rPr>
        <w:t>语</w:t>
      </w:r>
      <w:r>
        <w:rPr>
          <w:sz w:val="21"/>
        </w:rPr>
        <w:t>进</w:t>
      </w:r>
      <w:r>
        <w:rPr>
          <w:spacing w:val="-3"/>
          <w:sz w:val="21"/>
        </w:rPr>
        <w:t>行</w:t>
      </w:r>
      <w:r>
        <w:rPr>
          <w:sz w:val="21"/>
        </w:rPr>
        <w:t>了解</w:t>
      </w:r>
      <w:r>
        <w:rPr>
          <w:spacing w:val="-3"/>
          <w:sz w:val="21"/>
        </w:rPr>
        <w:t>释</w:t>
      </w:r>
      <w:r>
        <w:rPr>
          <w:sz w:val="21"/>
        </w:rPr>
        <w:t>，</w:t>
      </w:r>
      <w:r>
        <w:rPr>
          <w:spacing w:val="-3"/>
          <w:sz w:val="21"/>
        </w:rPr>
        <w:t>并</w:t>
      </w:r>
      <w:r>
        <w:rPr>
          <w:sz w:val="21"/>
        </w:rPr>
        <w:t>作</w:t>
      </w:r>
      <w:r>
        <w:rPr>
          <w:spacing w:val="-3"/>
          <w:sz w:val="21"/>
        </w:rPr>
        <w:t>了</w:t>
      </w:r>
      <w:r>
        <w:rPr>
          <w:sz w:val="21"/>
        </w:rPr>
        <w:t>显</w:t>
      </w:r>
      <w:r>
        <w:rPr>
          <w:spacing w:val="-3"/>
          <w:sz w:val="21"/>
        </w:rPr>
        <w:t>著</w:t>
      </w:r>
      <w:r>
        <w:rPr>
          <w:sz w:val="21"/>
        </w:rPr>
        <w:t>标</w:t>
      </w:r>
      <w:r>
        <w:rPr>
          <w:spacing w:val="-3"/>
          <w:sz w:val="21"/>
        </w:rPr>
        <w:t>识</w:t>
      </w:r>
      <w:r>
        <w:rPr>
          <w:sz w:val="21"/>
        </w:rPr>
        <w:t>，请</w:t>
      </w:r>
      <w:r>
        <w:rPr>
          <w:spacing w:val="-3"/>
          <w:sz w:val="21"/>
        </w:rPr>
        <w:t>您</w:t>
      </w:r>
      <w:r>
        <w:rPr>
          <w:sz w:val="21"/>
        </w:rPr>
        <w:t>注意</w:t>
        <w:tab/>
        <w:t>8</w:t>
      </w:r>
    </w:p>
    <w:p>
      <w:pPr>
        <w:pStyle w:val="ListParagraph"/>
        <w:numPr>
          <w:ilvl w:val="0"/>
          <w:numId w:val="1"/>
        </w:numPr>
        <w:tabs>
          <w:tab w:pos="1085" w:val="left" w:leader="none"/>
          <w:tab w:pos="1086" w:val="left" w:leader="none"/>
          <w:tab w:pos="9489" w:val="right" w:leader="dot"/>
        </w:tabs>
        <w:spacing w:line="240" w:lineRule="auto" w:before="62" w:after="0"/>
        <w:ind w:left="1086" w:right="0" w:hanging="420"/>
        <w:jc w:val="left"/>
        <w:rPr>
          <w:sz w:val="21"/>
        </w:rPr>
      </w:pPr>
      <w:r>
        <w:rPr>
          <w:sz w:val="21"/>
        </w:rPr>
        <w:t>保险</w:t>
      </w:r>
      <w:r>
        <w:rPr>
          <w:spacing w:val="-3"/>
          <w:sz w:val="21"/>
        </w:rPr>
        <w:t>条</w:t>
      </w:r>
      <w:r>
        <w:rPr>
          <w:sz w:val="21"/>
        </w:rPr>
        <w:t>款</w:t>
      </w:r>
      <w:r>
        <w:rPr>
          <w:spacing w:val="-3"/>
          <w:sz w:val="21"/>
        </w:rPr>
        <w:t>有</w:t>
      </w:r>
      <w:r>
        <w:rPr>
          <w:sz w:val="21"/>
        </w:rPr>
        <w:t>关</w:t>
      </w:r>
      <w:r>
        <w:rPr>
          <w:spacing w:val="-3"/>
          <w:sz w:val="21"/>
        </w:rPr>
        <w:t>于</w:t>
      </w:r>
      <w:r>
        <w:rPr>
          <w:sz w:val="21"/>
        </w:rPr>
        <w:t>重</w:t>
      </w:r>
      <w:r>
        <w:rPr>
          <w:spacing w:val="-3"/>
          <w:sz w:val="21"/>
        </w:rPr>
        <w:t>大</w:t>
      </w:r>
      <w:r>
        <w:rPr>
          <w:sz w:val="21"/>
        </w:rPr>
        <w:t>疾</w:t>
      </w:r>
      <w:r>
        <w:rPr>
          <w:spacing w:val="-3"/>
          <w:sz w:val="21"/>
        </w:rPr>
        <w:t>病</w:t>
      </w:r>
      <w:r>
        <w:rPr>
          <w:sz w:val="21"/>
        </w:rPr>
        <w:t>的释</w:t>
      </w:r>
      <w:r>
        <w:rPr>
          <w:spacing w:val="-3"/>
          <w:sz w:val="21"/>
        </w:rPr>
        <w:t>义</w:t>
      </w:r>
      <w:r>
        <w:rPr>
          <w:sz w:val="21"/>
        </w:rPr>
        <w:t>，</w:t>
      </w:r>
      <w:r>
        <w:rPr>
          <w:spacing w:val="-3"/>
          <w:sz w:val="21"/>
        </w:rPr>
        <w:t>请</w:t>
      </w:r>
      <w:r>
        <w:rPr>
          <w:sz w:val="21"/>
        </w:rPr>
        <w:t>您</w:t>
      </w:r>
      <w:r>
        <w:rPr>
          <w:spacing w:val="-3"/>
          <w:sz w:val="21"/>
        </w:rPr>
        <w:t>留</w:t>
      </w:r>
      <w:r>
        <w:rPr>
          <w:sz w:val="21"/>
        </w:rPr>
        <w:t>意</w:t>
        <w:tab/>
        <w:t>8.3</w:t>
      </w:r>
    </w:p>
    <w:p>
      <w:pPr>
        <w:spacing w:before="99"/>
        <w:ind w:left="243"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条款是保险合同的重要内容，为充分保障您的权益，请您仔细阅读本条款。</w:t>
      </w:r>
    </w:p>
    <w:p>
      <w:pPr>
        <w:spacing w:before="113"/>
        <w:ind w:left="243" w:right="0" w:firstLine="0"/>
        <w:jc w:val="left"/>
        <w:rPr>
          <w:b/>
          <w:sz w:val="21"/>
        </w:rPr>
      </w:pPr>
      <w:r>
        <w:rPr>
          <w:rFonts w:ascii="Wingdings" w:hAnsi="Wingdings" w:eastAsia="Wingdings"/>
          <w:b/>
          <w:sz w:val="21"/>
        </w:rPr>
        <w:t></w:t>
      </w:r>
      <w:r>
        <w:rPr>
          <w:rFonts w:ascii="Times New Roman" w:hAnsi="Times New Roman" w:eastAsia="Times New Roman"/>
          <w:b/>
          <w:sz w:val="21"/>
        </w:rPr>
        <w:t>  </w:t>
      </w:r>
      <w:r>
        <w:rPr>
          <w:b/>
          <w:sz w:val="21"/>
        </w:rPr>
        <w:t>条款目录</w:t>
      </w:r>
    </w:p>
    <w:p>
      <w:pPr>
        <w:pStyle w:val="BodyText"/>
        <w:rPr>
          <w:b/>
          <w:sz w:val="20"/>
        </w:rPr>
      </w:pPr>
    </w:p>
    <w:p>
      <w:pPr>
        <w:pStyle w:val="BodyText"/>
        <w:spacing w:before="1"/>
        <w:rPr>
          <w:b/>
          <w:sz w:val="10"/>
        </w:rPr>
      </w:pPr>
    </w:p>
    <w:tbl>
      <w:tblPr>
        <w:tblW w:w="0" w:type="auto"/>
        <w:jc w:val="left"/>
        <w:tblInd w:w="4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562"/>
        <w:gridCol w:w="3442"/>
        <w:gridCol w:w="3091"/>
      </w:tblGrid>
      <w:tr>
        <w:trPr>
          <w:trHeight w:val="312" w:hRule="atLeast"/>
        </w:trPr>
        <w:tc>
          <w:tcPr>
            <w:tcW w:w="2562" w:type="dxa"/>
            <w:tcBorders>
              <w:left w:val="single" w:sz="4" w:space="0" w:color="000000"/>
            </w:tcBorders>
          </w:tcPr>
          <w:p>
            <w:pPr>
              <w:pStyle w:val="TableParagraph"/>
              <w:spacing w:line="262" w:lineRule="exact"/>
              <w:ind w:left="107"/>
              <w:rPr>
                <w:b/>
                <w:sz w:val="21"/>
              </w:rPr>
            </w:pPr>
            <w:r>
              <w:rPr>
                <w:b/>
                <w:sz w:val="21"/>
              </w:rPr>
              <w:t>1．您与我们的合同</w:t>
            </w:r>
          </w:p>
        </w:tc>
        <w:tc>
          <w:tcPr>
            <w:tcW w:w="3442" w:type="dxa"/>
          </w:tcPr>
          <w:p>
            <w:pPr>
              <w:pStyle w:val="TableParagraph"/>
              <w:spacing w:line="262" w:lineRule="exact"/>
              <w:ind w:left="241"/>
              <w:rPr>
                <w:b/>
                <w:sz w:val="21"/>
              </w:rPr>
            </w:pPr>
            <w:r>
              <w:rPr>
                <w:b/>
                <w:sz w:val="21"/>
              </w:rPr>
              <w:t>5．现金价值权益</w:t>
            </w:r>
          </w:p>
        </w:tc>
        <w:tc>
          <w:tcPr>
            <w:tcW w:w="3091" w:type="dxa"/>
          </w:tcPr>
          <w:p>
            <w:pPr>
              <w:pStyle w:val="TableParagraph"/>
              <w:spacing w:line="262" w:lineRule="exact"/>
              <w:ind w:left="270"/>
              <w:rPr>
                <w:sz w:val="21"/>
              </w:rPr>
            </w:pPr>
            <w:r>
              <w:rPr>
                <w:sz w:val="21"/>
              </w:rPr>
              <w:t>8.5 专科医生</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1.1 合同订立</w:t>
            </w:r>
          </w:p>
        </w:tc>
        <w:tc>
          <w:tcPr>
            <w:tcW w:w="3442" w:type="dxa"/>
          </w:tcPr>
          <w:p>
            <w:pPr>
              <w:pStyle w:val="TableParagraph"/>
              <w:spacing w:line="261" w:lineRule="exact"/>
              <w:ind w:left="452"/>
              <w:rPr>
                <w:sz w:val="21"/>
              </w:rPr>
            </w:pPr>
            <w:r>
              <w:rPr>
                <w:sz w:val="21"/>
              </w:rPr>
              <w:t>5.1 现金价值</w:t>
            </w:r>
          </w:p>
        </w:tc>
        <w:tc>
          <w:tcPr>
            <w:tcW w:w="3091" w:type="dxa"/>
          </w:tcPr>
          <w:p>
            <w:pPr>
              <w:pStyle w:val="TableParagraph"/>
              <w:spacing w:line="261" w:lineRule="exact"/>
              <w:ind w:left="270"/>
              <w:rPr>
                <w:sz w:val="21"/>
              </w:rPr>
            </w:pPr>
            <w:r>
              <w:rPr>
                <w:sz w:val="21"/>
              </w:rPr>
              <w:t>8.6 毒品</w:t>
            </w:r>
          </w:p>
        </w:tc>
      </w:tr>
      <w:tr>
        <w:trPr>
          <w:trHeight w:val="312" w:hRule="atLeast"/>
        </w:trPr>
        <w:tc>
          <w:tcPr>
            <w:tcW w:w="2562" w:type="dxa"/>
            <w:tcBorders>
              <w:left w:val="single" w:sz="4" w:space="0" w:color="000000"/>
            </w:tcBorders>
          </w:tcPr>
          <w:p>
            <w:pPr>
              <w:pStyle w:val="TableParagraph"/>
              <w:spacing w:line="261" w:lineRule="exact"/>
              <w:ind w:left="318"/>
              <w:rPr>
                <w:sz w:val="21"/>
              </w:rPr>
            </w:pPr>
            <w:r>
              <w:rPr>
                <w:sz w:val="21"/>
              </w:rPr>
              <w:t>1.2 合同成立与生效</w:t>
            </w:r>
          </w:p>
        </w:tc>
        <w:tc>
          <w:tcPr>
            <w:tcW w:w="3442" w:type="dxa"/>
          </w:tcPr>
          <w:p>
            <w:pPr>
              <w:pStyle w:val="TableParagraph"/>
              <w:spacing w:line="261" w:lineRule="exact"/>
              <w:ind w:left="452"/>
              <w:rPr>
                <w:sz w:val="21"/>
              </w:rPr>
            </w:pPr>
            <w:r>
              <w:rPr>
                <w:sz w:val="21"/>
              </w:rPr>
              <w:t>5.2 保险单借款</w:t>
            </w:r>
          </w:p>
        </w:tc>
        <w:tc>
          <w:tcPr>
            <w:tcW w:w="3091" w:type="dxa"/>
          </w:tcPr>
          <w:p>
            <w:pPr>
              <w:pStyle w:val="TableParagraph"/>
              <w:spacing w:line="261" w:lineRule="exact"/>
              <w:ind w:left="270"/>
              <w:rPr>
                <w:sz w:val="21"/>
              </w:rPr>
            </w:pPr>
            <w:r>
              <w:rPr>
                <w:sz w:val="21"/>
              </w:rPr>
              <w:t>8.7 酒后驾驶</w:t>
            </w:r>
          </w:p>
        </w:tc>
      </w:tr>
      <w:tr>
        <w:trPr>
          <w:trHeight w:val="312" w:hRule="atLeast"/>
        </w:trPr>
        <w:tc>
          <w:tcPr>
            <w:tcW w:w="2562" w:type="dxa"/>
            <w:tcBorders>
              <w:left w:val="single" w:sz="4" w:space="0" w:color="000000"/>
            </w:tcBorders>
          </w:tcPr>
          <w:p>
            <w:pPr>
              <w:pStyle w:val="TableParagraph"/>
              <w:spacing w:line="261" w:lineRule="exact"/>
              <w:ind w:left="318"/>
              <w:rPr>
                <w:sz w:val="21"/>
              </w:rPr>
            </w:pPr>
            <w:r>
              <w:rPr>
                <w:sz w:val="21"/>
              </w:rPr>
              <w:t>1.3 投保年龄</w:t>
            </w:r>
          </w:p>
        </w:tc>
        <w:tc>
          <w:tcPr>
            <w:tcW w:w="3442" w:type="dxa"/>
          </w:tcPr>
          <w:p>
            <w:pPr>
              <w:pStyle w:val="TableParagraph"/>
              <w:spacing w:line="261" w:lineRule="exact"/>
              <w:ind w:left="241"/>
              <w:rPr>
                <w:b/>
                <w:sz w:val="21"/>
              </w:rPr>
            </w:pPr>
            <w:r>
              <w:rPr>
                <w:b/>
                <w:sz w:val="21"/>
              </w:rPr>
              <w:t>6．如何解除保险合同</w:t>
            </w:r>
          </w:p>
        </w:tc>
        <w:tc>
          <w:tcPr>
            <w:tcW w:w="3091" w:type="dxa"/>
          </w:tcPr>
          <w:p>
            <w:pPr>
              <w:pStyle w:val="TableParagraph"/>
              <w:spacing w:line="261" w:lineRule="exact"/>
              <w:ind w:left="270"/>
              <w:rPr>
                <w:sz w:val="21"/>
              </w:rPr>
            </w:pPr>
            <w:r>
              <w:rPr>
                <w:sz w:val="21"/>
              </w:rPr>
              <w:t>8.8 无合法驾驶证驾驶</w:t>
            </w:r>
          </w:p>
        </w:tc>
      </w:tr>
      <w:tr>
        <w:trPr>
          <w:trHeight w:val="312" w:hRule="atLeast"/>
        </w:trPr>
        <w:tc>
          <w:tcPr>
            <w:tcW w:w="2562" w:type="dxa"/>
            <w:tcBorders>
              <w:left w:val="single" w:sz="4" w:space="0" w:color="000000"/>
            </w:tcBorders>
          </w:tcPr>
          <w:p>
            <w:pPr>
              <w:pStyle w:val="TableParagraph"/>
              <w:spacing w:line="261" w:lineRule="exact"/>
              <w:ind w:left="318"/>
              <w:rPr>
                <w:sz w:val="21"/>
              </w:rPr>
            </w:pPr>
            <w:r>
              <w:rPr>
                <w:sz w:val="21"/>
              </w:rPr>
              <w:t>1.4 投保对象</w:t>
            </w:r>
          </w:p>
        </w:tc>
        <w:tc>
          <w:tcPr>
            <w:tcW w:w="3442" w:type="dxa"/>
          </w:tcPr>
          <w:p>
            <w:pPr>
              <w:pStyle w:val="TableParagraph"/>
              <w:spacing w:line="261" w:lineRule="exact"/>
              <w:ind w:left="448"/>
              <w:rPr>
                <w:sz w:val="21"/>
              </w:rPr>
            </w:pPr>
            <w:r>
              <w:rPr>
                <w:sz w:val="21"/>
              </w:rPr>
              <w:t>6.1 您解除合同的手续及风险</w:t>
            </w:r>
          </w:p>
        </w:tc>
        <w:tc>
          <w:tcPr>
            <w:tcW w:w="3091" w:type="dxa"/>
          </w:tcPr>
          <w:p>
            <w:pPr>
              <w:pStyle w:val="TableParagraph"/>
              <w:spacing w:line="261" w:lineRule="exact"/>
              <w:ind w:left="270"/>
              <w:rPr>
                <w:sz w:val="21"/>
              </w:rPr>
            </w:pPr>
            <w:r>
              <w:rPr>
                <w:sz w:val="21"/>
              </w:rPr>
              <w:t>8.9 机动车</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1.5 犹豫期</w:t>
            </w:r>
          </w:p>
        </w:tc>
        <w:tc>
          <w:tcPr>
            <w:tcW w:w="3442" w:type="dxa"/>
          </w:tcPr>
          <w:p>
            <w:pPr>
              <w:pStyle w:val="TableParagraph"/>
              <w:spacing w:line="261" w:lineRule="exact"/>
              <w:ind w:left="241"/>
              <w:rPr>
                <w:b/>
                <w:sz w:val="21"/>
              </w:rPr>
            </w:pPr>
            <w:r>
              <w:rPr>
                <w:b/>
                <w:sz w:val="21"/>
              </w:rPr>
              <w:t>7. 其他需要关注的事项</w:t>
            </w:r>
          </w:p>
        </w:tc>
        <w:tc>
          <w:tcPr>
            <w:tcW w:w="3091" w:type="dxa"/>
          </w:tcPr>
          <w:p>
            <w:pPr>
              <w:pStyle w:val="TableParagraph"/>
              <w:spacing w:line="261" w:lineRule="exact"/>
              <w:ind w:left="270"/>
              <w:rPr>
                <w:sz w:val="21"/>
              </w:rPr>
            </w:pPr>
            <w:r>
              <w:rPr>
                <w:sz w:val="21"/>
              </w:rPr>
              <w:t>8.10 无有效行驶证</w:t>
            </w:r>
          </w:p>
        </w:tc>
      </w:tr>
      <w:tr>
        <w:trPr>
          <w:trHeight w:val="312" w:hRule="atLeast"/>
        </w:trPr>
        <w:tc>
          <w:tcPr>
            <w:tcW w:w="2562" w:type="dxa"/>
            <w:tcBorders>
              <w:left w:val="single" w:sz="4" w:space="0" w:color="000000"/>
            </w:tcBorders>
          </w:tcPr>
          <w:p>
            <w:pPr>
              <w:pStyle w:val="TableParagraph"/>
              <w:spacing w:line="261" w:lineRule="exact"/>
              <w:ind w:left="318"/>
              <w:rPr>
                <w:sz w:val="21"/>
              </w:rPr>
            </w:pPr>
            <w:r>
              <w:rPr>
                <w:sz w:val="21"/>
              </w:rPr>
              <w:t>1.6 保险期间</w:t>
            </w:r>
          </w:p>
        </w:tc>
        <w:tc>
          <w:tcPr>
            <w:tcW w:w="3442" w:type="dxa"/>
          </w:tcPr>
          <w:p>
            <w:pPr>
              <w:pStyle w:val="TableParagraph"/>
              <w:spacing w:line="261" w:lineRule="exact"/>
              <w:ind w:left="452"/>
              <w:rPr>
                <w:sz w:val="21"/>
              </w:rPr>
            </w:pPr>
            <w:r>
              <w:rPr>
                <w:sz w:val="21"/>
              </w:rPr>
              <w:t>7.1 明确说明与如实告知</w:t>
            </w:r>
          </w:p>
        </w:tc>
        <w:tc>
          <w:tcPr>
            <w:tcW w:w="3091" w:type="dxa"/>
          </w:tcPr>
          <w:p>
            <w:pPr>
              <w:pStyle w:val="TableParagraph"/>
              <w:spacing w:line="261" w:lineRule="exact"/>
              <w:ind w:left="270"/>
              <w:rPr>
                <w:sz w:val="21"/>
              </w:rPr>
            </w:pPr>
            <w:r>
              <w:rPr>
                <w:sz w:val="21"/>
              </w:rPr>
              <w:t>8.11 感染艾滋病病毒或患艾</w:t>
            </w:r>
          </w:p>
        </w:tc>
      </w:tr>
      <w:tr>
        <w:trPr>
          <w:trHeight w:val="312" w:hRule="atLeast"/>
        </w:trPr>
        <w:tc>
          <w:tcPr>
            <w:tcW w:w="2562" w:type="dxa"/>
            <w:tcBorders>
              <w:left w:val="single" w:sz="4" w:space="0" w:color="000000"/>
            </w:tcBorders>
          </w:tcPr>
          <w:p>
            <w:pPr>
              <w:pStyle w:val="TableParagraph"/>
              <w:spacing w:line="262" w:lineRule="exact"/>
              <w:ind w:left="107"/>
              <w:rPr>
                <w:b/>
                <w:sz w:val="21"/>
              </w:rPr>
            </w:pPr>
            <w:r>
              <w:rPr>
                <w:b/>
                <w:sz w:val="21"/>
              </w:rPr>
              <w:t>2．我们提供的保障</w:t>
            </w:r>
          </w:p>
        </w:tc>
        <w:tc>
          <w:tcPr>
            <w:tcW w:w="3442" w:type="dxa"/>
          </w:tcPr>
          <w:p>
            <w:pPr>
              <w:pStyle w:val="TableParagraph"/>
              <w:spacing w:line="262" w:lineRule="exact"/>
              <w:ind w:left="452"/>
              <w:rPr>
                <w:sz w:val="21"/>
              </w:rPr>
            </w:pPr>
            <w:r>
              <w:rPr>
                <w:sz w:val="21"/>
              </w:rPr>
              <w:t>7.2 我们合同解除权的限制</w:t>
            </w:r>
          </w:p>
        </w:tc>
        <w:tc>
          <w:tcPr>
            <w:tcW w:w="3091" w:type="dxa"/>
          </w:tcPr>
          <w:p>
            <w:pPr>
              <w:pStyle w:val="TableParagraph"/>
              <w:spacing w:line="262" w:lineRule="exact"/>
              <w:ind w:left="796"/>
              <w:rPr>
                <w:sz w:val="21"/>
              </w:rPr>
            </w:pPr>
            <w:r>
              <w:rPr>
                <w:sz w:val="21"/>
              </w:rPr>
              <w:t>滋病</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2.1 保险责任</w:t>
            </w:r>
          </w:p>
        </w:tc>
        <w:tc>
          <w:tcPr>
            <w:tcW w:w="3442" w:type="dxa"/>
          </w:tcPr>
          <w:p>
            <w:pPr>
              <w:pStyle w:val="TableParagraph"/>
              <w:spacing w:line="261" w:lineRule="exact"/>
              <w:ind w:left="452"/>
              <w:rPr>
                <w:sz w:val="21"/>
              </w:rPr>
            </w:pPr>
            <w:r>
              <w:rPr>
                <w:sz w:val="21"/>
              </w:rPr>
              <w:t>7.3 年龄错误</w:t>
            </w:r>
          </w:p>
        </w:tc>
        <w:tc>
          <w:tcPr>
            <w:tcW w:w="3091" w:type="dxa"/>
          </w:tcPr>
          <w:p>
            <w:pPr>
              <w:pStyle w:val="TableParagraph"/>
              <w:spacing w:line="261" w:lineRule="exact"/>
              <w:ind w:left="270"/>
              <w:rPr>
                <w:sz w:val="21"/>
              </w:rPr>
            </w:pPr>
            <w:r>
              <w:rPr>
                <w:sz w:val="21"/>
              </w:rPr>
              <w:t>8.12 遗传性疾病</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2.2 责任免除</w:t>
            </w:r>
          </w:p>
        </w:tc>
        <w:tc>
          <w:tcPr>
            <w:tcW w:w="3442" w:type="dxa"/>
          </w:tcPr>
          <w:p>
            <w:pPr>
              <w:pStyle w:val="TableParagraph"/>
              <w:spacing w:line="261" w:lineRule="exact"/>
              <w:ind w:left="452"/>
              <w:rPr>
                <w:sz w:val="21"/>
              </w:rPr>
            </w:pPr>
            <w:r>
              <w:rPr>
                <w:sz w:val="21"/>
              </w:rPr>
              <w:t>7.4 未还款项</w:t>
            </w:r>
          </w:p>
        </w:tc>
        <w:tc>
          <w:tcPr>
            <w:tcW w:w="3091" w:type="dxa"/>
          </w:tcPr>
          <w:p>
            <w:pPr>
              <w:pStyle w:val="TableParagraph"/>
              <w:spacing w:line="261" w:lineRule="exact"/>
              <w:ind w:left="270"/>
              <w:rPr>
                <w:sz w:val="21"/>
              </w:rPr>
            </w:pPr>
            <w:r>
              <w:rPr>
                <w:sz w:val="21"/>
              </w:rPr>
              <w:t>8.13 先天性畸形、变形或染</w:t>
            </w:r>
          </w:p>
        </w:tc>
      </w:tr>
      <w:tr>
        <w:trPr>
          <w:trHeight w:val="312" w:hRule="atLeast"/>
        </w:trPr>
        <w:tc>
          <w:tcPr>
            <w:tcW w:w="2562" w:type="dxa"/>
            <w:tcBorders>
              <w:left w:val="single" w:sz="4" w:space="0" w:color="000000"/>
            </w:tcBorders>
          </w:tcPr>
          <w:p>
            <w:pPr>
              <w:pStyle w:val="TableParagraph"/>
              <w:spacing w:line="261" w:lineRule="exact"/>
              <w:ind w:left="107"/>
              <w:rPr>
                <w:b/>
                <w:sz w:val="21"/>
              </w:rPr>
            </w:pPr>
            <w:r>
              <w:rPr>
                <w:b/>
                <w:sz w:val="21"/>
              </w:rPr>
              <w:t>3．如何申请保险费豁免</w:t>
            </w:r>
          </w:p>
        </w:tc>
        <w:tc>
          <w:tcPr>
            <w:tcW w:w="3442" w:type="dxa"/>
          </w:tcPr>
          <w:p>
            <w:pPr>
              <w:pStyle w:val="TableParagraph"/>
              <w:spacing w:line="261" w:lineRule="exact"/>
              <w:ind w:left="452"/>
              <w:rPr>
                <w:sz w:val="21"/>
              </w:rPr>
            </w:pPr>
            <w:r>
              <w:rPr>
                <w:sz w:val="21"/>
              </w:rPr>
              <w:t>7.5 合同内容变更</w:t>
            </w:r>
          </w:p>
        </w:tc>
        <w:tc>
          <w:tcPr>
            <w:tcW w:w="3091" w:type="dxa"/>
          </w:tcPr>
          <w:p>
            <w:pPr>
              <w:pStyle w:val="TableParagraph"/>
              <w:spacing w:line="261" w:lineRule="exact"/>
              <w:ind w:left="796"/>
              <w:rPr>
                <w:sz w:val="21"/>
              </w:rPr>
            </w:pPr>
            <w:r>
              <w:rPr>
                <w:sz w:val="21"/>
              </w:rPr>
              <w:t>色体异常</w:t>
            </w:r>
          </w:p>
        </w:tc>
      </w:tr>
      <w:tr>
        <w:trPr>
          <w:trHeight w:val="311" w:hRule="atLeast"/>
        </w:trPr>
        <w:tc>
          <w:tcPr>
            <w:tcW w:w="2562" w:type="dxa"/>
            <w:tcBorders>
              <w:left w:val="single" w:sz="4" w:space="0" w:color="000000"/>
            </w:tcBorders>
          </w:tcPr>
          <w:p>
            <w:pPr>
              <w:pStyle w:val="TableParagraph"/>
              <w:spacing w:line="261" w:lineRule="exact"/>
              <w:ind w:left="316"/>
              <w:rPr>
                <w:sz w:val="21"/>
              </w:rPr>
            </w:pPr>
            <w:r>
              <w:rPr>
                <w:sz w:val="21"/>
              </w:rPr>
              <w:t>3.1 保险事故通知</w:t>
            </w:r>
          </w:p>
        </w:tc>
        <w:tc>
          <w:tcPr>
            <w:tcW w:w="3442" w:type="dxa"/>
          </w:tcPr>
          <w:p>
            <w:pPr>
              <w:pStyle w:val="TableParagraph"/>
              <w:spacing w:line="261" w:lineRule="exact"/>
              <w:ind w:left="452"/>
              <w:rPr>
                <w:sz w:val="21"/>
              </w:rPr>
            </w:pPr>
            <w:r>
              <w:rPr>
                <w:sz w:val="21"/>
              </w:rPr>
              <w:t>7.6 效力终止</w:t>
            </w:r>
          </w:p>
        </w:tc>
        <w:tc>
          <w:tcPr>
            <w:tcW w:w="3091" w:type="dxa"/>
          </w:tcPr>
          <w:p>
            <w:pPr>
              <w:pStyle w:val="TableParagraph"/>
              <w:spacing w:line="261" w:lineRule="exact"/>
              <w:ind w:left="270"/>
              <w:rPr>
                <w:sz w:val="21"/>
              </w:rPr>
            </w:pPr>
            <w:r>
              <w:rPr>
                <w:sz w:val="21"/>
              </w:rPr>
              <w:t>8.14 现金价值</w:t>
            </w:r>
          </w:p>
        </w:tc>
      </w:tr>
      <w:tr>
        <w:trPr>
          <w:trHeight w:val="312" w:hRule="atLeast"/>
        </w:trPr>
        <w:tc>
          <w:tcPr>
            <w:tcW w:w="2562" w:type="dxa"/>
            <w:tcBorders>
              <w:left w:val="single" w:sz="4" w:space="0" w:color="000000"/>
            </w:tcBorders>
          </w:tcPr>
          <w:p>
            <w:pPr>
              <w:pStyle w:val="TableParagraph"/>
              <w:spacing w:line="261" w:lineRule="exact"/>
              <w:ind w:left="316"/>
              <w:rPr>
                <w:sz w:val="21"/>
              </w:rPr>
            </w:pPr>
            <w:r>
              <w:rPr>
                <w:sz w:val="21"/>
              </w:rPr>
              <w:t>3.2 保险费豁免申请</w:t>
            </w:r>
          </w:p>
        </w:tc>
        <w:tc>
          <w:tcPr>
            <w:tcW w:w="3442" w:type="dxa"/>
          </w:tcPr>
          <w:p>
            <w:pPr>
              <w:pStyle w:val="TableParagraph"/>
              <w:spacing w:line="261" w:lineRule="exact"/>
              <w:ind w:left="452"/>
              <w:rPr>
                <w:sz w:val="21"/>
              </w:rPr>
            </w:pPr>
            <w:r>
              <w:rPr>
                <w:sz w:val="21"/>
              </w:rPr>
              <w:t>7.7 适用主险合同条款</w:t>
            </w:r>
          </w:p>
        </w:tc>
        <w:tc>
          <w:tcPr>
            <w:tcW w:w="3091" w:type="dxa"/>
          </w:tcPr>
          <w:p>
            <w:pPr>
              <w:pStyle w:val="TableParagraph"/>
              <w:spacing w:line="261" w:lineRule="exact"/>
              <w:ind w:left="270"/>
              <w:rPr>
                <w:sz w:val="21"/>
              </w:rPr>
            </w:pPr>
            <w:r>
              <w:rPr>
                <w:sz w:val="21"/>
              </w:rPr>
              <w:t>8.15 医院</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3.3 保险费的豁免</w:t>
            </w:r>
          </w:p>
        </w:tc>
        <w:tc>
          <w:tcPr>
            <w:tcW w:w="3442" w:type="dxa"/>
          </w:tcPr>
          <w:p>
            <w:pPr>
              <w:pStyle w:val="TableParagraph"/>
              <w:spacing w:line="261" w:lineRule="exact"/>
              <w:ind w:left="241"/>
              <w:rPr>
                <w:b/>
                <w:sz w:val="21"/>
              </w:rPr>
            </w:pPr>
            <w:r>
              <w:rPr>
                <w:b/>
                <w:sz w:val="21"/>
              </w:rPr>
              <w:t>8．释义</w:t>
            </w:r>
          </w:p>
        </w:tc>
        <w:tc>
          <w:tcPr>
            <w:tcW w:w="3091" w:type="dxa"/>
          </w:tcPr>
          <w:p>
            <w:pPr>
              <w:pStyle w:val="TableParagraph"/>
              <w:spacing w:line="261" w:lineRule="exact"/>
              <w:ind w:left="270"/>
              <w:rPr>
                <w:sz w:val="21"/>
              </w:rPr>
            </w:pPr>
            <w:r>
              <w:rPr>
                <w:sz w:val="21"/>
              </w:rPr>
              <w:t>8.16 肢体机能完全丧失</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3.4 诉讼时效</w:t>
            </w:r>
          </w:p>
        </w:tc>
        <w:tc>
          <w:tcPr>
            <w:tcW w:w="3442" w:type="dxa"/>
          </w:tcPr>
          <w:p>
            <w:pPr>
              <w:pStyle w:val="TableParagraph"/>
              <w:spacing w:line="261" w:lineRule="exact"/>
              <w:ind w:left="448"/>
              <w:rPr>
                <w:sz w:val="21"/>
              </w:rPr>
            </w:pPr>
            <w:r>
              <w:rPr>
                <w:sz w:val="21"/>
              </w:rPr>
              <w:t>8.1 周岁</w:t>
            </w:r>
          </w:p>
        </w:tc>
        <w:tc>
          <w:tcPr>
            <w:tcW w:w="3091" w:type="dxa"/>
          </w:tcPr>
          <w:p>
            <w:pPr>
              <w:pStyle w:val="TableParagraph"/>
              <w:spacing w:line="261" w:lineRule="exact"/>
              <w:ind w:left="270"/>
              <w:rPr>
                <w:sz w:val="21"/>
              </w:rPr>
            </w:pPr>
            <w:r>
              <w:rPr>
                <w:sz w:val="21"/>
              </w:rPr>
              <w:t>8.17 语言能力或咀嚼吞咽能</w:t>
            </w:r>
          </w:p>
        </w:tc>
      </w:tr>
      <w:tr>
        <w:trPr>
          <w:trHeight w:val="312" w:hRule="atLeast"/>
        </w:trPr>
        <w:tc>
          <w:tcPr>
            <w:tcW w:w="2562" w:type="dxa"/>
            <w:tcBorders>
              <w:left w:val="single" w:sz="4" w:space="0" w:color="000000"/>
            </w:tcBorders>
          </w:tcPr>
          <w:p>
            <w:pPr>
              <w:pStyle w:val="TableParagraph"/>
              <w:spacing w:line="261" w:lineRule="exact"/>
              <w:ind w:left="107"/>
              <w:rPr>
                <w:b/>
                <w:sz w:val="21"/>
              </w:rPr>
            </w:pPr>
            <w:r>
              <w:rPr>
                <w:b/>
                <w:sz w:val="21"/>
              </w:rPr>
              <w:t>4．如何交纳保险费</w:t>
            </w:r>
          </w:p>
        </w:tc>
        <w:tc>
          <w:tcPr>
            <w:tcW w:w="3442" w:type="dxa"/>
          </w:tcPr>
          <w:p>
            <w:pPr>
              <w:pStyle w:val="TableParagraph"/>
              <w:spacing w:line="261" w:lineRule="exact"/>
              <w:ind w:left="452"/>
              <w:rPr>
                <w:sz w:val="21"/>
              </w:rPr>
            </w:pPr>
            <w:r>
              <w:rPr>
                <w:sz w:val="21"/>
              </w:rPr>
              <w:t>8.2 有效身份证件</w:t>
            </w:r>
          </w:p>
        </w:tc>
        <w:tc>
          <w:tcPr>
            <w:tcW w:w="3091" w:type="dxa"/>
          </w:tcPr>
          <w:p>
            <w:pPr>
              <w:pStyle w:val="TableParagraph"/>
              <w:spacing w:line="261" w:lineRule="exact"/>
              <w:ind w:left="793"/>
              <w:rPr>
                <w:sz w:val="21"/>
              </w:rPr>
            </w:pPr>
            <w:r>
              <w:rPr>
                <w:sz w:val="21"/>
              </w:rPr>
              <w:t>力完全丧失</w:t>
            </w:r>
          </w:p>
        </w:tc>
      </w:tr>
      <w:tr>
        <w:trPr>
          <w:trHeight w:val="311" w:hRule="atLeast"/>
        </w:trPr>
        <w:tc>
          <w:tcPr>
            <w:tcW w:w="2562" w:type="dxa"/>
            <w:tcBorders>
              <w:left w:val="single" w:sz="4" w:space="0" w:color="000000"/>
            </w:tcBorders>
          </w:tcPr>
          <w:p>
            <w:pPr>
              <w:pStyle w:val="TableParagraph"/>
              <w:spacing w:line="261" w:lineRule="exact"/>
              <w:ind w:left="318"/>
              <w:rPr>
                <w:sz w:val="21"/>
              </w:rPr>
            </w:pPr>
            <w:r>
              <w:rPr>
                <w:sz w:val="21"/>
              </w:rPr>
              <w:t>4.1 保险费的交纳</w:t>
            </w:r>
          </w:p>
        </w:tc>
        <w:tc>
          <w:tcPr>
            <w:tcW w:w="3442" w:type="dxa"/>
          </w:tcPr>
          <w:p>
            <w:pPr>
              <w:pStyle w:val="TableParagraph"/>
              <w:spacing w:line="261" w:lineRule="exact"/>
              <w:ind w:left="452"/>
              <w:rPr>
                <w:sz w:val="21"/>
              </w:rPr>
            </w:pPr>
            <w:r>
              <w:rPr>
                <w:sz w:val="21"/>
              </w:rPr>
              <w:t>8.3 重大疾病</w:t>
            </w:r>
          </w:p>
        </w:tc>
        <w:tc>
          <w:tcPr>
            <w:tcW w:w="3091" w:type="dxa"/>
          </w:tcPr>
          <w:p>
            <w:pPr>
              <w:pStyle w:val="TableParagraph"/>
              <w:spacing w:line="261" w:lineRule="exact"/>
              <w:ind w:left="270"/>
              <w:rPr>
                <w:sz w:val="21"/>
              </w:rPr>
            </w:pPr>
            <w:r>
              <w:rPr>
                <w:sz w:val="21"/>
              </w:rPr>
              <w:t>8.18 六项基本日常生活活动</w:t>
            </w:r>
          </w:p>
        </w:tc>
      </w:tr>
      <w:tr>
        <w:trPr>
          <w:trHeight w:val="320" w:hRule="atLeast"/>
        </w:trPr>
        <w:tc>
          <w:tcPr>
            <w:tcW w:w="2562" w:type="dxa"/>
            <w:tcBorders>
              <w:left w:val="single" w:sz="4" w:space="0" w:color="000000"/>
            </w:tcBorders>
          </w:tcPr>
          <w:p>
            <w:pPr>
              <w:pStyle w:val="TableParagraph"/>
              <w:spacing w:line="261" w:lineRule="exact"/>
              <w:ind w:left="318"/>
              <w:rPr>
                <w:sz w:val="21"/>
              </w:rPr>
            </w:pPr>
            <w:r>
              <w:rPr>
                <w:sz w:val="21"/>
              </w:rPr>
              <w:t>4.2 宽限期</w:t>
            </w:r>
          </w:p>
        </w:tc>
        <w:tc>
          <w:tcPr>
            <w:tcW w:w="3442" w:type="dxa"/>
          </w:tcPr>
          <w:p>
            <w:pPr>
              <w:pStyle w:val="TableParagraph"/>
              <w:spacing w:line="261" w:lineRule="exact"/>
              <w:ind w:left="452"/>
              <w:rPr>
                <w:sz w:val="21"/>
              </w:rPr>
            </w:pPr>
            <w:r>
              <w:rPr>
                <w:sz w:val="21"/>
              </w:rPr>
              <w:t>8.4 意外伤害</w:t>
            </w:r>
          </w:p>
        </w:tc>
        <w:tc>
          <w:tcPr>
            <w:tcW w:w="3091" w:type="dxa"/>
          </w:tcPr>
          <w:p>
            <w:pPr>
              <w:pStyle w:val="TableParagraph"/>
              <w:spacing w:line="261" w:lineRule="exact"/>
              <w:ind w:left="270"/>
              <w:rPr>
                <w:sz w:val="21"/>
              </w:rPr>
            </w:pPr>
            <w:r>
              <w:rPr>
                <w:sz w:val="21"/>
              </w:rPr>
              <w:t>8.19 永久不可逆</w:t>
            </w:r>
          </w:p>
        </w:tc>
      </w:tr>
    </w:tbl>
    <w:p>
      <w:pPr>
        <w:spacing w:after="0" w:line="261" w:lineRule="exact"/>
        <w:rPr>
          <w:sz w:val="21"/>
        </w:rPr>
        <w:sectPr>
          <w:type w:val="continuous"/>
          <w:pgSz w:w="11910" w:h="16840"/>
          <w:pgMar w:top="380" w:bottom="1180" w:left="1060" w:right="700"/>
        </w:sectPr>
      </w:pPr>
    </w:p>
    <w:p>
      <w:pPr>
        <w:pStyle w:val="BodyText"/>
        <w:spacing w:before="12"/>
        <w:rPr>
          <w:b/>
          <w:sz w:val="26"/>
        </w:rPr>
      </w:pPr>
    </w:p>
    <w:p>
      <w:pPr>
        <w:spacing w:line="564" w:lineRule="exact" w:before="0"/>
        <w:ind w:left="2222" w:right="0" w:firstLine="0"/>
        <w:jc w:val="left"/>
        <w:rPr>
          <w:rFonts w:ascii="Microsoft JhengHei" w:eastAsia="Microsoft JhengHei" w:hint="eastAsia"/>
          <w:b/>
          <w:sz w:val="44"/>
        </w:rPr>
      </w:pPr>
      <w:r>
        <w:rPr>
          <w:rFonts w:ascii="Microsoft JhengHei" w:eastAsia="Microsoft JhengHei" w:hint="eastAsia"/>
          <w:b/>
          <w:w w:val="95"/>
          <w:sz w:val="44"/>
        </w:rPr>
        <w:t>长城人寿保险股份有限公司</w:t>
      </w:r>
    </w:p>
    <w:p>
      <w:pPr>
        <w:spacing w:before="367"/>
        <w:ind w:left="2313" w:right="0" w:firstLine="0"/>
        <w:jc w:val="left"/>
        <w:rPr>
          <w:rFonts w:ascii="微软雅黑" w:eastAsia="微软雅黑" w:hint="eastAsia"/>
          <w:b/>
          <w:sz w:val="30"/>
        </w:rPr>
      </w:pPr>
      <w:r>
        <w:rPr>
          <w:rFonts w:ascii="微软雅黑" w:eastAsia="微软雅黑" w:hint="eastAsia"/>
          <w:b/>
          <w:sz w:val="30"/>
        </w:rPr>
        <w:t>长城附加保险费豁免重大疾病保险条款</w:t>
      </w:r>
    </w:p>
    <w:p>
      <w:pPr>
        <w:pStyle w:val="BodyText"/>
        <w:rPr>
          <w:rFonts w:ascii="微软雅黑"/>
          <w:b/>
          <w:sz w:val="40"/>
        </w:rPr>
      </w:pPr>
    </w:p>
    <w:p>
      <w:pPr>
        <w:pStyle w:val="BodyText"/>
        <w:spacing w:before="16"/>
        <w:rPr>
          <w:rFonts w:ascii="微软雅黑"/>
          <w:b/>
          <w:sz w:val="20"/>
        </w:rPr>
      </w:pPr>
    </w:p>
    <w:p>
      <w:pPr>
        <w:pStyle w:val="BodyText"/>
        <w:spacing w:before="1"/>
        <w:ind w:left="314"/>
      </w:pPr>
      <w:r>
        <w:rPr>
          <w:spacing w:val="-23"/>
          <w:w w:val="100"/>
        </w:rPr>
        <w:t>在本条款中，“您”指投保人，“我们”、“本公司”均指长城人寿保险股份有限公司。</w:t>
      </w:r>
    </w:p>
    <w:p>
      <w:pPr>
        <w:pStyle w:val="BodyText"/>
        <w:rPr>
          <w:sz w:val="20"/>
        </w:rPr>
      </w:pPr>
    </w:p>
    <w:p>
      <w:pPr>
        <w:pStyle w:val="BodyText"/>
        <w:spacing w:before="5" w:after="1"/>
        <w:rPr>
          <w:sz w:val="10"/>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62"/>
        <w:gridCol w:w="6925"/>
      </w:tblGrid>
      <w:tr>
        <w:trPr>
          <w:trHeight w:val="586" w:hRule="atLeast"/>
        </w:trPr>
        <w:tc>
          <w:tcPr>
            <w:tcW w:w="760" w:type="dxa"/>
            <w:tcBorders>
              <w:bottom w:val="single" w:sz="6" w:space="0" w:color="000000"/>
            </w:tcBorders>
          </w:tcPr>
          <w:p>
            <w:pPr>
              <w:pStyle w:val="TableParagraph"/>
              <w:spacing w:line="549" w:lineRule="exact"/>
              <w:ind w:left="108"/>
              <w:rPr>
                <w:rFonts w:ascii="Arial" w:hAnsi="Arial"/>
                <w:b/>
                <w:sz w:val="52"/>
              </w:rPr>
            </w:pPr>
            <w:r>
              <w:rPr>
                <w:rFonts w:ascii="Arial" w:hAnsi="Arial"/>
                <w:b/>
                <w:w w:val="119"/>
                <w:sz w:val="52"/>
              </w:rPr>
              <w:t></w:t>
            </w:r>
          </w:p>
        </w:tc>
        <w:tc>
          <w:tcPr>
            <w:tcW w:w="8587" w:type="dxa"/>
            <w:gridSpan w:val="2"/>
            <w:tcBorders>
              <w:bottom w:val="single" w:sz="6" w:space="0" w:color="000000"/>
            </w:tcBorders>
          </w:tcPr>
          <w:p>
            <w:pPr>
              <w:pStyle w:val="TableParagraph"/>
              <w:spacing w:before="49"/>
              <w:ind w:left="187"/>
              <w:rPr>
                <w:b/>
                <w:sz w:val="28"/>
              </w:rPr>
            </w:pPr>
            <w:r>
              <w:rPr>
                <w:b/>
                <w:w w:val="95"/>
                <w:sz w:val="28"/>
              </w:rPr>
              <w:t>您与我们的合同</w:t>
            </w:r>
          </w:p>
        </w:tc>
      </w:tr>
      <w:tr>
        <w:trPr>
          <w:trHeight w:val="1391" w:hRule="atLeast"/>
        </w:trPr>
        <w:tc>
          <w:tcPr>
            <w:tcW w:w="760" w:type="dxa"/>
            <w:tcBorders>
              <w:top w:val="single" w:sz="6" w:space="0" w:color="000000"/>
            </w:tcBorders>
          </w:tcPr>
          <w:p>
            <w:pPr>
              <w:pStyle w:val="TableParagraph"/>
              <w:spacing w:before="10"/>
              <w:rPr>
                <w:sz w:val="21"/>
              </w:rPr>
            </w:pPr>
          </w:p>
          <w:p>
            <w:pPr>
              <w:pStyle w:val="TableParagraph"/>
              <w:spacing w:before="1"/>
              <w:ind w:left="108"/>
              <w:rPr>
                <w:b/>
                <w:sz w:val="21"/>
              </w:rPr>
            </w:pPr>
            <w:r>
              <w:rPr>
                <w:b/>
                <w:sz w:val="21"/>
              </w:rPr>
              <w:t>1.1</w:t>
            </w:r>
          </w:p>
        </w:tc>
        <w:tc>
          <w:tcPr>
            <w:tcW w:w="1662" w:type="dxa"/>
            <w:tcBorders>
              <w:top w:val="single" w:sz="6" w:space="0" w:color="000000"/>
            </w:tcBorders>
          </w:tcPr>
          <w:p>
            <w:pPr>
              <w:pStyle w:val="TableParagraph"/>
              <w:spacing w:before="10"/>
              <w:rPr>
                <w:sz w:val="21"/>
              </w:rPr>
            </w:pPr>
          </w:p>
          <w:p>
            <w:pPr>
              <w:pStyle w:val="TableParagraph"/>
              <w:spacing w:before="1"/>
              <w:ind w:left="187"/>
              <w:rPr>
                <w:b/>
                <w:sz w:val="21"/>
              </w:rPr>
            </w:pPr>
            <w:r>
              <w:rPr>
                <w:b/>
                <w:sz w:val="21"/>
              </w:rPr>
              <w:t>合同订立</w:t>
            </w:r>
          </w:p>
        </w:tc>
        <w:tc>
          <w:tcPr>
            <w:tcW w:w="6925" w:type="dxa"/>
            <w:tcBorders>
              <w:top w:val="single" w:sz="6" w:space="0" w:color="000000"/>
            </w:tcBorders>
          </w:tcPr>
          <w:p>
            <w:pPr>
              <w:pStyle w:val="TableParagraph"/>
              <w:spacing w:before="10"/>
              <w:rPr>
                <w:sz w:val="21"/>
              </w:rPr>
            </w:pPr>
          </w:p>
          <w:p>
            <w:pPr>
              <w:pStyle w:val="TableParagraph"/>
              <w:spacing w:line="273" w:lineRule="auto" w:before="1"/>
              <w:ind w:left="206"/>
              <w:rPr>
                <w:sz w:val="21"/>
              </w:rPr>
            </w:pPr>
            <w:r>
              <w:rPr>
                <w:spacing w:val="-9"/>
                <w:w w:val="100"/>
                <w:sz w:val="21"/>
              </w:rPr>
              <w:t>“长城附加保险费豁免重大疾病保险合同”</w:t>
            </w:r>
            <w:r>
              <w:rPr>
                <w:w w:val="100"/>
                <w:sz w:val="21"/>
              </w:rPr>
              <w:t>（</w:t>
            </w:r>
            <w:r>
              <w:rPr>
                <w:spacing w:val="-13"/>
                <w:w w:val="100"/>
                <w:sz w:val="21"/>
              </w:rPr>
              <w:t>以下简称“本附加险合同”</w:t>
            </w:r>
            <w:r>
              <w:rPr>
                <w:w w:val="100"/>
                <w:sz w:val="21"/>
              </w:rPr>
              <w:t>）</w:t>
            </w:r>
            <w:r>
              <w:rPr>
                <w:spacing w:val="-3"/>
                <w:w w:val="100"/>
                <w:sz w:val="21"/>
              </w:rPr>
              <w:t>由主保险合同（</w:t>
            </w:r>
            <w:r>
              <w:rPr>
                <w:spacing w:val="-14"/>
                <w:w w:val="100"/>
                <w:sz w:val="21"/>
              </w:rPr>
              <w:t>以下简称“主险合同”</w:t>
            </w:r>
            <w:r>
              <w:rPr>
                <w:spacing w:val="-3"/>
                <w:w w:val="100"/>
                <w:sz w:val="21"/>
              </w:rPr>
              <w:t>）</w:t>
            </w:r>
            <w:r>
              <w:rPr>
                <w:spacing w:val="-4"/>
                <w:w w:val="100"/>
                <w:sz w:val="21"/>
              </w:rPr>
              <w:t>投保人提出申请，经我们同意而</w:t>
            </w:r>
            <w:r>
              <w:rPr>
                <w:spacing w:val="-4"/>
                <w:sz w:val="21"/>
              </w:rPr>
              <w:t>订立。</w:t>
            </w:r>
          </w:p>
        </w:tc>
      </w:tr>
      <w:tr>
        <w:trPr>
          <w:trHeight w:val="935" w:hRule="atLeast"/>
        </w:trPr>
        <w:tc>
          <w:tcPr>
            <w:tcW w:w="760" w:type="dxa"/>
          </w:tcPr>
          <w:p>
            <w:pPr>
              <w:pStyle w:val="TableParagraph"/>
              <w:spacing w:before="142"/>
              <w:ind w:left="108"/>
              <w:rPr>
                <w:b/>
                <w:sz w:val="21"/>
              </w:rPr>
            </w:pPr>
            <w:r>
              <w:rPr>
                <w:b/>
                <w:sz w:val="21"/>
              </w:rPr>
              <w:t>1.2</w:t>
            </w:r>
          </w:p>
        </w:tc>
        <w:tc>
          <w:tcPr>
            <w:tcW w:w="1662" w:type="dxa"/>
          </w:tcPr>
          <w:p>
            <w:pPr>
              <w:pStyle w:val="TableParagraph"/>
              <w:spacing w:line="273" w:lineRule="auto" w:before="142"/>
              <w:ind w:left="187" w:right="204"/>
              <w:rPr>
                <w:b/>
                <w:sz w:val="21"/>
              </w:rPr>
            </w:pPr>
            <w:r>
              <w:rPr>
                <w:b/>
                <w:sz w:val="21"/>
              </w:rPr>
              <w:t>合同成立与生效</w:t>
            </w:r>
          </w:p>
        </w:tc>
        <w:tc>
          <w:tcPr>
            <w:tcW w:w="6925" w:type="dxa"/>
          </w:tcPr>
          <w:p>
            <w:pPr>
              <w:pStyle w:val="TableParagraph"/>
              <w:spacing w:line="273" w:lineRule="auto" w:before="142"/>
              <w:ind w:left="206" w:right="108"/>
              <w:rPr>
                <w:sz w:val="21"/>
              </w:rPr>
            </w:pPr>
            <w:r>
              <w:rPr>
                <w:sz w:val="21"/>
              </w:rPr>
              <w:t>本附加险合同应与主险合同同时投保，本附加险合同的成立日、生效日与主险合同的成立日、生效日相同。</w:t>
            </w:r>
          </w:p>
        </w:tc>
      </w:tr>
      <w:tr>
        <w:trPr>
          <w:trHeight w:val="1560" w:hRule="atLeast"/>
        </w:trPr>
        <w:tc>
          <w:tcPr>
            <w:tcW w:w="760" w:type="dxa"/>
          </w:tcPr>
          <w:p>
            <w:pPr>
              <w:pStyle w:val="TableParagraph"/>
              <w:spacing w:before="142"/>
              <w:ind w:left="108"/>
              <w:rPr>
                <w:b/>
                <w:sz w:val="21"/>
              </w:rPr>
            </w:pPr>
            <w:r>
              <w:rPr>
                <w:b/>
                <w:sz w:val="21"/>
              </w:rPr>
              <w:t>1.3</w:t>
            </w:r>
          </w:p>
        </w:tc>
        <w:tc>
          <w:tcPr>
            <w:tcW w:w="1662" w:type="dxa"/>
          </w:tcPr>
          <w:p>
            <w:pPr>
              <w:pStyle w:val="TableParagraph"/>
              <w:spacing w:before="142"/>
              <w:ind w:left="187"/>
              <w:rPr>
                <w:b/>
                <w:sz w:val="21"/>
              </w:rPr>
            </w:pPr>
            <w:r>
              <w:rPr>
                <w:b/>
                <w:sz w:val="21"/>
              </w:rPr>
              <w:t>投保年龄</w:t>
            </w:r>
          </w:p>
        </w:tc>
        <w:tc>
          <w:tcPr>
            <w:tcW w:w="6925" w:type="dxa"/>
          </w:tcPr>
          <w:p>
            <w:pPr>
              <w:pStyle w:val="TableParagraph"/>
              <w:spacing w:line="273" w:lineRule="auto" w:before="142"/>
              <w:ind w:left="206" w:right="103"/>
              <w:rPr>
                <w:sz w:val="21"/>
              </w:rPr>
            </w:pPr>
            <w:r>
              <w:rPr>
                <w:spacing w:val="-5"/>
                <w:sz w:val="21"/>
              </w:rPr>
              <w:t>指投保时被保险人的年龄，投保年龄以周岁</w:t>
            </w:r>
            <w:r>
              <w:rPr>
                <w:spacing w:val="-3"/>
                <w:sz w:val="21"/>
              </w:rPr>
              <w:t>（</w:t>
            </w:r>
            <w:r>
              <w:rPr>
                <w:spacing w:val="-11"/>
                <w:sz w:val="21"/>
              </w:rPr>
              <w:t>见 </w:t>
            </w:r>
            <w:r>
              <w:rPr>
                <w:spacing w:val="-5"/>
                <w:sz w:val="21"/>
              </w:rPr>
              <w:t>8.1）计算，本附加险合</w:t>
            </w:r>
            <w:r>
              <w:rPr>
                <w:spacing w:val="-9"/>
                <w:sz w:val="21"/>
              </w:rPr>
              <w:t>同接受的投保年龄为 </w:t>
            </w:r>
            <w:r>
              <w:rPr>
                <w:sz w:val="21"/>
              </w:rPr>
              <w:t>0</w:t>
            </w:r>
            <w:r>
              <w:rPr>
                <w:spacing w:val="-27"/>
                <w:sz w:val="21"/>
              </w:rPr>
              <w:t> 周岁</w:t>
            </w:r>
            <w:r>
              <w:rPr>
                <w:sz w:val="21"/>
              </w:rPr>
              <w:t>（</w:t>
            </w:r>
            <w:r>
              <w:rPr>
                <w:spacing w:val="-12"/>
                <w:sz w:val="21"/>
              </w:rPr>
              <w:t>指出生满 </w:t>
            </w:r>
            <w:r>
              <w:rPr>
                <w:sz w:val="21"/>
              </w:rPr>
              <w:t>30</w:t>
            </w:r>
            <w:r>
              <w:rPr>
                <w:spacing w:val="-8"/>
                <w:sz w:val="21"/>
              </w:rPr>
              <w:t> 日且已健康出院的婴儿</w:t>
            </w:r>
            <w:r>
              <w:rPr>
                <w:spacing w:val="-34"/>
                <w:sz w:val="21"/>
              </w:rPr>
              <w:t>）</w:t>
            </w:r>
            <w:r>
              <w:rPr>
                <w:spacing w:val="-23"/>
                <w:sz w:val="21"/>
              </w:rPr>
              <w:t>至 </w:t>
            </w:r>
            <w:r>
              <w:rPr>
                <w:sz w:val="21"/>
              </w:rPr>
              <w:t>68</w:t>
            </w:r>
          </w:p>
          <w:p>
            <w:pPr>
              <w:pStyle w:val="TableParagraph"/>
              <w:spacing w:line="273" w:lineRule="auto" w:before="7"/>
              <w:ind w:left="206" w:right="103"/>
              <w:rPr>
                <w:sz w:val="21"/>
              </w:rPr>
            </w:pPr>
            <w:r>
              <w:rPr>
                <w:sz w:val="21"/>
              </w:rPr>
              <w:t>周岁，且投保本附加险时的年龄与主险剩余交费年期之和小于或等于 70 周岁。</w:t>
            </w:r>
          </w:p>
        </w:tc>
      </w:tr>
      <w:tr>
        <w:trPr>
          <w:trHeight w:val="623" w:hRule="atLeast"/>
        </w:trPr>
        <w:tc>
          <w:tcPr>
            <w:tcW w:w="760" w:type="dxa"/>
          </w:tcPr>
          <w:p>
            <w:pPr>
              <w:pStyle w:val="TableParagraph"/>
              <w:spacing w:before="142"/>
              <w:ind w:left="108"/>
              <w:rPr>
                <w:b/>
                <w:sz w:val="21"/>
              </w:rPr>
            </w:pPr>
            <w:r>
              <w:rPr>
                <w:b/>
                <w:sz w:val="21"/>
              </w:rPr>
              <w:t>1.4</w:t>
            </w:r>
          </w:p>
        </w:tc>
        <w:tc>
          <w:tcPr>
            <w:tcW w:w="1662" w:type="dxa"/>
          </w:tcPr>
          <w:p>
            <w:pPr>
              <w:pStyle w:val="TableParagraph"/>
              <w:spacing w:before="142"/>
              <w:ind w:left="187"/>
              <w:rPr>
                <w:b/>
                <w:sz w:val="21"/>
              </w:rPr>
            </w:pPr>
            <w:r>
              <w:rPr>
                <w:b/>
                <w:sz w:val="21"/>
              </w:rPr>
              <w:t>投保对象</w:t>
            </w:r>
          </w:p>
        </w:tc>
        <w:tc>
          <w:tcPr>
            <w:tcW w:w="6925" w:type="dxa"/>
          </w:tcPr>
          <w:p>
            <w:pPr>
              <w:pStyle w:val="TableParagraph"/>
              <w:spacing w:before="142"/>
              <w:ind w:left="206"/>
              <w:rPr>
                <w:sz w:val="21"/>
              </w:rPr>
            </w:pPr>
            <w:r>
              <w:rPr>
                <w:sz w:val="21"/>
              </w:rPr>
              <w:t>主险合同的被保险人作为本附加险合同的被保险人。</w:t>
            </w:r>
          </w:p>
        </w:tc>
      </w:tr>
      <w:tr>
        <w:trPr>
          <w:trHeight w:val="2496" w:hRule="atLeast"/>
        </w:trPr>
        <w:tc>
          <w:tcPr>
            <w:tcW w:w="760" w:type="dxa"/>
          </w:tcPr>
          <w:p>
            <w:pPr>
              <w:pStyle w:val="TableParagraph"/>
              <w:spacing w:before="142"/>
              <w:ind w:left="108"/>
              <w:rPr>
                <w:b/>
                <w:sz w:val="21"/>
              </w:rPr>
            </w:pPr>
            <w:r>
              <w:rPr>
                <w:b/>
                <w:sz w:val="21"/>
              </w:rPr>
              <w:t>1.5</w:t>
            </w:r>
          </w:p>
        </w:tc>
        <w:tc>
          <w:tcPr>
            <w:tcW w:w="1662" w:type="dxa"/>
          </w:tcPr>
          <w:p>
            <w:pPr>
              <w:pStyle w:val="TableParagraph"/>
              <w:spacing w:before="142"/>
              <w:ind w:left="187"/>
              <w:rPr>
                <w:b/>
                <w:sz w:val="21"/>
              </w:rPr>
            </w:pPr>
            <w:r>
              <w:rPr>
                <w:b/>
                <w:sz w:val="21"/>
              </w:rPr>
              <w:t>犹豫期</w:t>
            </w:r>
          </w:p>
        </w:tc>
        <w:tc>
          <w:tcPr>
            <w:tcW w:w="6925" w:type="dxa"/>
          </w:tcPr>
          <w:p>
            <w:pPr>
              <w:pStyle w:val="TableParagraph"/>
              <w:spacing w:line="273" w:lineRule="auto" w:before="142"/>
              <w:ind w:left="206" w:right="103"/>
              <w:jc w:val="both"/>
              <w:rPr>
                <w:sz w:val="21"/>
              </w:rPr>
            </w:pPr>
            <w:r>
              <w:rPr>
                <w:spacing w:val="-7"/>
                <w:sz w:val="21"/>
              </w:rPr>
              <w:t>自您签收本附加险合同之日起，有 </w:t>
            </w:r>
            <w:r>
              <w:rPr>
                <w:sz w:val="21"/>
              </w:rPr>
              <w:t>10</w:t>
            </w:r>
            <w:r>
              <w:rPr>
                <w:spacing w:val="-8"/>
                <w:sz w:val="21"/>
              </w:rPr>
              <w:t> 日的犹豫期。在此期间请您认真审视本附加险合同，如果您认为本附加险合同与您的需求不相符，您可以在此期间提出解除本附加险合同，我们扣除不超过 </w:t>
            </w:r>
            <w:r>
              <w:rPr>
                <w:sz w:val="21"/>
              </w:rPr>
              <w:t>10</w:t>
            </w:r>
            <w:r>
              <w:rPr>
                <w:spacing w:val="-8"/>
                <w:sz w:val="21"/>
              </w:rPr>
              <w:t> 元的合同工本费后</w:t>
            </w:r>
            <w:r>
              <w:rPr>
                <w:spacing w:val="-5"/>
                <w:sz w:val="21"/>
              </w:rPr>
              <w:t>无息退还您所交纳的保险费。</w:t>
            </w:r>
          </w:p>
          <w:p>
            <w:pPr>
              <w:pStyle w:val="TableParagraph"/>
              <w:spacing w:line="273" w:lineRule="auto" w:before="7"/>
              <w:ind w:left="206" w:right="106"/>
              <w:jc w:val="both"/>
              <w:rPr>
                <w:sz w:val="21"/>
              </w:rPr>
            </w:pPr>
            <w:r>
              <w:rPr>
                <w:sz w:val="21"/>
              </w:rPr>
              <w:t>解除本附加险合同时，您需要填写申请书，并提供您的保险合同及有效</w:t>
            </w:r>
            <w:r>
              <w:rPr>
                <w:spacing w:val="-1"/>
                <w:w w:val="100"/>
                <w:sz w:val="21"/>
              </w:rPr>
              <w:t>身份证件</w:t>
            </w:r>
            <w:r>
              <w:rPr>
                <w:w w:val="100"/>
                <w:sz w:val="21"/>
              </w:rPr>
              <w:t>（见</w:t>
            </w:r>
            <w:r>
              <w:rPr>
                <w:sz w:val="21"/>
              </w:rPr>
              <w:t> </w:t>
            </w:r>
            <w:r>
              <w:rPr>
                <w:w w:val="100"/>
                <w:sz w:val="21"/>
              </w:rPr>
              <w:t>8.2</w:t>
            </w:r>
            <w:r>
              <w:rPr>
                <w:spacing w:val="-108"/>
                <w:w w:val="100"/>
                <w:sz w:val="21"/>
              </w:rPr>
              <w:t>）</w:t>
            </w:r>
            <w:r>
              <w:rPr>
                <w:spacing w:val="-3"/>
                <w:w w:val="100"/>
                <w:sz w:val="21"/>
              </w:rPr>
              <w:t>。</w:t>
            </w:r>
            <w:r>
              <w:rPr>
                <w:b/>
                <w:spacing w:val="-2"/>
                <w:w w:val="100"/>
                <w:sz w:val="21"/>
              </w:rPr>
              <w:t>自我们收到您解除合同的书面申请时起，本附加险</w:t>
            </w:r>
            <w:r>
              <w:rPr>
                <w:b/>
                <w:spacing w:val="-3"/>
                <w:sz w:val="21"/>
              </w:rPr>
              <w:t>合同即被解除，合同解除前发生的保险事故我们不承担保险责任</w:t>
            </w:r>
            <w:r>
              <w:rPr>
                <w:sz w:val="21"/>
              </w:rPr>
              <w:t>。</w:t>
            </w:r>
          </w:p>
        </w:tc>
      </w:tr>
      <w:tr>
        <w:trPr>
          <w:trHeight w:val="1552" w:hRule="atLeast"/>
        </w:trPr>
        <w:tc>
          <w:tcPr>
            <w:tcW w:w="760" w:type="dxa"/>
          </w:tcPr>
          <w:p>
            <w:pPr>
              <w:pStyle w:val="TableParagraph"/>
              <w:spacing w:before="142"/>
              <w:ind w:left="108"/>
              <w:rPr>
                <w:b/>
                <w:sz w:val="21"/>
              </w:rPr>
            </w:pPr>
            <w:r>
              <w:rPr>
                <w:b/>
                <w:sz w:val="21"/>
              </w:rPr>
              <w:t>1.6</w:t>
            </w:r>
          </w:p>
        </w:tc>
        <w:tc>
          <w:tcPr>
            <w:tcW w:w="1662" w:type="dxa"/>
          </w:tcPr>
          <w:p>
            <w:pPr>
              <w:pStyle w:val="TableParagraph"/>
              <w:spacing w:before="142"/>
              <w:ind w:left="187"/>
              <w:rPr>
                <w:b/>
                <w:sz w:val="21"/>
              </w:rPr>
            </w:pPr>
            <w:r>
              <w:rPr>
                <w:b/>
                <w:sz w:val="21"/>
              </w:rPr>
              <w:t>保险期间</w:t>
            </w:r>
          </w:p>
        </w:tc>
        <w:tc>
          <w:tcPr>
            <w:tcW w:w="6925" w:type="dxa"/>
          </w:tcPr>
          <w:p>
            <w:pPr>
              <w:pStyle w:val="TableParagraph"/>
              <w:spacing w:before="142"/>
              <w:ind w:left="206"/>
              <w:rPr>
                <w:sz w:val="21"/>
              </w:rPr>
            </w:pPr>
            <w:r>
              <w:rPr>
                <w:sz w:val="21"/>
              </w:rPr>
              <w:t>本附加险可附加于交费期间超过一年的主险合同及其附加险合同。</w:t>
            </w:r>
          </w:p>
          <w:p>
            <w:pPr>
              <w:pStyle w:val="TableParagraph"/>
              <w:spacing w:line="273" w:lineRule="auto" w:before="36"/>
              <w:ind w:left="206" w:right="105"/>
              <w:jc w:val="both"/>
              <w:rPr>
                <w:sz w:val="21"/>
              </w:rPr>
            </w:pPr>
            <w:r>
              <w:rPr>
                <w:sz w:val="21"/>
              </w:rPr>
              <w:t>本附加险合同的保险期间自本附加险合同生效之日起至主险合同最后一</w:t>
            </w:r>
            <w:r>
              <w:rPr>
                <w:spacing w:val="-6"/>
                <w:sz w:val="21"/>
              </w:rPr>
              <w:t>期保险费的约定交费日零时止，且终止日不超过被保险人年满 </w:t>
            </w:r>
            <w:r>
              <w:rPr>
                <w:sz w:val="21"/>
              </w:rPr>
              <w:t>70</w:t>
            </w:r>
            <w:r>
              <w:rPr>
                <w:spacing w:val="-12"/>
                <w:sz w:val="21"/>
              </w:rPr>
              <w:t> 周岁的</w:t>
            </w:r>
            <w:r>
              <w:rPr>
                <w:spacing w:val="-6"/>
                <w:sz w:val="21"/>
              </w:rPr>
              <w:t>保险单周年日。</w:t>
            </w:r>
          </w:p>
        </w:tc>
      </w:tr>
      <w:tr>
        <w:trPr>
          <w:trHeight w:val="786" w:hRule="atLeast"/>
        </w:trPr>
        <w:tc>
          <w:tcPr>
            <w:tcW w:w="760" w:type="dxa"/>
            <w:tcBorders>
              <w:bottom w:val="single" w:sz="4" w:space="0" w:color="000000"/>
            </w:tcBorders>
          </w:tcPr>
          <w:p>
            <w:pPr>
              <w:pStyle w:val="TableParagraph"/>
              <w:spacing w:before="150"/>
              <w:ind w:left="108"/>
              <w:rPr>
                <w:rFonts w:ascii="Arial" w:hAnsi="Arial"/>
                <w:b/>
                <w:sz w:val="52"/>
              </w:rPr>
            </w:pPr>
            <w:r>
              <w:rPr>
                <w:rFonts w:ascii="Arial" w:hAnsi="Arial"/>
                <w:b/>
                <w:w w:val="119"/>
                <w:sz w:val="52"/>
              </w:rPr>
              <w:t></w:t>
            </w:r>
          </w:p>
        </w:tc>
        <w:tc>
          <w:tcPr>
            <w:tcW w:w="8587" w:type="dxa"/>
            <w:gridSpan w:val="2"/>
            <w:tcBorders>
              <w:bottom w:val="single" w:sz="4" w:space="0" w:color="000000"/>
            </w:tcBorders>
          </w:tcPr>
          <w:p>
            <w:pPr>
              <w:pStyle w:val="TableParagraph"/>
              <w:spacing w:before="248"/>
              <w:ind w:left="187"/>
              <w:rPr>
                <w:b/>
                <w:sz w:val="28"/>
              </w:rPr>
            </w:pPr>
            <w:r>
              <w:rPr>
                <w:b/>
                <w:w w:val="95"/>
                <w:sz w:val="28"/>
              </w:rPr>
              <w:t>我们提供的保障</w:t>
            </w:r>
          </w:p>
        </w:tc>
      </w:tr>
      <w:tr>
        <w:trPr>
          <w:trHeight w:val="574" w:hRule="atLeast"/>
        </w:trPr>
        <w:tc>
          <w:tcPr>
            <w:tcW w:w="760" w:type="dxa"/>
            <w:tcBorders>
              <w:top w:val="single" w:sz="4" w:space="0" w:color="000000"/>
            </w:tcBorders>
          </w:tcPr>
          <w:p>
            <w:pPr>
              <w:pStyle w:val="TableParagraph"/>
              <w:spacing w:before="11"/>
              <w:rPr>
                <w:sz w:val="22"/>
              </w:rPr>
            </w:pPr>
          </w:p>
          <w:p>
            <w:pPr>
              <w:pStyle w:val="TableParagraph"/>
              <w:spacing w:line="255" w:lineRule="exact" w:before="1"/>
              <w:ind w:left="108"/>
              <w:rPr>
                <w:b/>
                <w:sz w:val="21"/>
              </w:rPr>
            </w:pPr>
            <w:r>
              <w:rPr>
                <w:b/>
                <w:sz w:val="21"/>
              </w:rPr>
              <w:t>2.1</w:t>
            </w:r>
          </w:p>
        </w:tc>
        <w:tc>
          <w:tcPr>
            <w:tcW w:w="1662" w:type="dxa"/>
            <w:tcBorders>
              <w:top w:val="single" w:sz="4" w:space="0" w:color="000000"/>
            </w:tcBorders>
          </w:tcPr>
          <w:p>
            <w:pPr>
              <w:pStyle w:val="TableParagraph"/>
              <w:spacing w:before="11"/>
              <w:rPr>
                <w:sz w:val="22"/>
              </w:rPr>
            </w:pPr>
          </w:p>
          <w:p>
            <w:pPr>
              <w:pStyle w:val="TableParagraph"/>
              <w:spacing w:line="255" w:lineRule="exact" w:before="1"/>
              <w:ind w:left="187"/>
              <w:rPr>
                <w:b/>
                <w:sz w:val="21"/>
              </w:rPr>
            </w:pPr>
            <w:r>
              <w:rPr>
                <w:b/>
                <w:sz w:val="21"/>
              </w:rPr>
              <w:t>保险责任</w:t>
            </w:r>
          </w:p>
        </w:tc>
        <w:tc>
          <w:tcPr>
            <w:tcW w:w="6925" w:type="dxa"/>
            <w:tcBorders>
              <w:top w:val="single" w:sz="4" w:space="0" w:color="000000"/>
            </w:tcBorders>
          </w:tcPr>
          <w:p>
            <w:pPr>
              <w:pStyle w:val="TableParagraph"/>
              <w:spacing w:before="11"/>
              <w:rPr>
                <w:sz w:val="22"/>
              </w:rPr>
            </w:pPr>
          </w:p>
          <w:p>
            <w:pPr>
              <w:pStyle w:val="TableParagraph"/>
              <w:spacing w:line="255" w:lineRule="exact" w:before="1"/>
              <w:ind w:left="206"/>
              <w:rPr>
                <w:sz w:val="21"/>
              </w:rPr>
            </w:pPr>
            <w:r>
              <w:rPr>
                <w:sz w:val="21"/>
              </w:rPr>
              <w:t>在本附加险合同有效期内，我们承担如下保险责任：</w:t>
            </w:r>
          </w:p>
        </w:tc>
      </w:tr>
    </w:tbl>
    <w:p>
      <w:pPr>
        <w:spacing w:after="0" w:line="255" w:lineRule="exact"/>
        <w:rPr>
          <w:sz w:val="21"/>
        </w:rPr>
        <w:sectPr>
          <w:headerReference w:type="default" r:id="rId28"/>
          <w:pgSz w:w="11910" w:h="16840"/>
          <w:pgMar w:header="886" w:footer="992" w:top="1120" w:bottom="1180" w:left="1200" w:right="1040"/>
        </w:sectPr>
      </w:pPr>
    </w:p>
    <w:p>
      <w:pPr>
        <w:pStyle w:val="BodyText"/>
        <w:rPr>
          <w:rFonts w:ascii="Times New Roman"/>
          <w:sz w:val="20"/>
        </w:rPr>
      </w:pPr>
    </w:p>
    <w:p>
      <w:pPr>
        <w:pStyle w:val="BodyText"/>
        <w:rPr>
          <w:rFonts w:ascii="Times New Roman"/>
          <w:sz w:val="20"/>
        </w:rPr>
      </w:pPr>
    </w:p>
    <w:p>
      <w:pPr>
        <w:pStyle w:val="BodyText"/>
        <w:spacing w:before="4"/>
        <w:rPr>
          <w:rFonts w:ascii="Times New Roman"/>
          <w:sz w:val="23"/>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62"/>
        <w:gridCol w:w="6923"/>
      </w:tblGrid>
      <w:tr>
        <w:trPr>
          <w:trHeight w:val="2296" w:hRule="atLeast"/>
        </w:trPr>
        <w:tc>
          <w:tcPr>
            <w:tcW w:w="760" w:type="dxa"/>
          </w:tcPr>
          <w:p>
            <w:pPr>
              <w:pStyle w:val="TableParagraph"/>
              <w:rPr>
                <w:rFonts w:ascii="Times New Roman"/>
                <w:sz w:val="20"/>
              </w:rPr>
            </w:pPr>
          </w:p>
        </w:tc>
        <w:tc>
          <w:tcPr>
            <w:tcW w:w="1662" w:type="dxa"/>
          </w:tcPr>
          <w:p>
            <w:pPr>
              <w:pStyle w:val="TableParagraph"/>
              <w:spacing w:before="39"/>
              <w:ind w:left="187"/>
              <w:rPr>
                <w:rFonts w:ascii="Microsoft JhengHei" w:eastAsia="Microsoft JhengHei" w:hint="eastAsia"/>
                <w:b/>
                <w:sz w:val="21"/>
              </w:rPr>
            </w:pPr>
            <w:r>
              <w:rPr>
                <w:rFonts w:ascii="Microsoft JhengHei" w:eastAsia="Microsoft JhengHei" w:hint="eastAsia"/>
                <w:b/>
                <w:sz w:val="21"/>
              </w:rPr>
              <w:t>等待期</w:t>
            </w:r>
          </w:p>
        </w:tc>
        <w:tc>
          <w:tcPr>
            <w:tcW w:w="6923" w:type="dxa"/>
          </w:tcPr>
          <w:p>
            <w:pPr>
              <w:pStyle w:val="TableParagraph"/>
              <w:spacing w:line="234" w:lineRule="exact"/>
              <w:ind w:left="206"/>
              <w:rPr>
                <w:sz w:val="21"/>
              </w:rPr>
            </w:pPr>
            <w:r>
              <w:rPr>
                <w:sz w:val="21"/>
              </w:rPr>
              <w:t>自本附加险合同生效之日起 </w:t>
            </w:r>
            <w:r>
              <w:rPr>
                <w:rFonts w:ascii="Times New Roman" w:eastAsia="Times New Roman"/>
                <w:sz w:val="21"/>
              </w:rPr>
              <w:t>180  </w:t>
            </w:r>
            <w:r>
              <w:rPr>
                <w:sz w:val="21"/>
              </w:rPr>
              <w:t>天内（含），被保险人发生本附加险合</w:t>
            </w:r>
          </w:p>
          <w:p>
            <w:pPr>
              <w:pStyle w:val="TableParagraph"/>
              <w:spacing w:line="264" w:lineRule="auto" w:before="21"/>
              <w:ind w:left="206" w:right="106"/>
              <w:jc w:val="both"/>
              <w:rPr>
                <w:sz w:val="21"/>
              </w:rPr>
            </w:pPr>
            <w:r>
              <w:rPr>
                <w:spacing w:val="-4"/>
                <w:sz w:val="21"/>
              </w:rPr>
              <w:t>同约定的重大疾病</w:t>
            </w:r>
            <w:r>
              <w:rPr>
                <w:sz w:val="21"/>
              </w:rPr>
              <w:t>（</w:t>
            </w:r>
            <w:r>
              <w:rPr>
                <w:spacing w:val="-12"/>
                <w:sz w:val="21"/>
              </w:rPr>
              <w:t>见 </w:t>
            </w:r>
            <w:r>
              <w:rPr>
                <w:rFonts w:ascii="Times New Roman" w:eastAsia="Times New Roman"/>
                <w:spacing w:val="-3"/>
                <w:sz w:val="21"/>
              </w:rPr>
              <w:t>8.3</w:t>
            </w:r>
            <w:r>
              <w:rPr>
                <w:spacing w:val="-3"/>
                <w:sz w:val="21"/>
              </w:rPr>
              <w:t>）</w:t>
            </w:r>
            <w:r>
              <w:rPr>
                <w:spacing w:val="-4"/>
                <w:sz w:val="21"/>
              </w:rPr>
              <w:t>或因导致重大疾病的相关疾病就诊，我们不承担保险责任，但无息退还您已交本附加险合同的保险费，本附加险合</w:t>
            </w:r>
            <w:r>
              <w:rPr>
                <w:spacing w:val="-3"/>
                <w:sz w:val="21"/>
              </w:rPr>
              <w:t>同终止。</w:t>
            </w:r>
          </w:p>
          <w:p>
            <w:pPr>
              <w:pStyle w:val="TableParagraph"/>
              <w:spacing w:line="256" w:lineRule="auto" w:before="16"/>
              <w:ind w:left="206" w:right="99"/>
              <w:jc w:val="both"/>
              <w:rPr>
                <w:sz w:val="21"/>
              </w:rPr>
            </w:pPr>
            <w:r>
              <w:rPr>
                <w:sz w:val="21"/>
              </w:rPr>
              <w:t>这</w:t>
            </w:r>
            <w:r>
              <w:rPr>
                <w:rFonts w:ascii="Times New Roman" w:eastAsia="Times New Roman"/>
                <w:sz w:val="21"/>
              </w:rPr>
              <w:t>180</w:t>
            </w:r>
            <w:r>
              <w:rPr>
                <w:sz w:val="21"/>
              </w:rPr>
              <w:t>天的时间称为等待期；被保险人因意外伤害（见8.4）事故发生上述情形之一的，无等待期。</w:t>
            </w:r>
          </w:p>
          <w:p>
            <w:pPr>
              <w:pStyle w:val="TableParagraph"/>
              <w:spacing w:before="22"/>
              <w:ind w:left="206"/>
              <w:jc w:val="both"/>
              <w:rPr>
                <w:sz w:val="21"/>
              </w:rPr>
            </w:pPr>
            <w:r>
              <w:rPr>
                <w:spacing w:val="-4"/>
                <w:sz w:val="21"/>
              </w:rPr>
              <w:t>如果在等待期后发生重大疾病，我们按照下列方式承担保险费豁免责任：</w:t>
            </w:r>
          </w:p>
        </w:tc>
      </w:tr>
      <w:tr>
        <w:trPr>
          <w:trHeight w:val="2808" w:hRule="atLeast"/>
        </w:trPr>
        <w:tc>
          <w:tcPr>
            <w:tcW w:w="760" w:type="dxa"/>
          </w:tcPr>
          <w:p>
            <w:pPr>
              <w:pStyle w:val="TableParagraph"/>
              <w:rPr>
                <w:rFonts w:ascii="Times New Roman"/>
                <w:sz w:val="20"/>
              </w:rPr>
            </w:pPr>
          </w:p>
        </w:tc>
        <w:tc>
          <w:tcPr>
            <w:tcW w:w="1662" w:type="dxa"/>
          </w:tcPr>
          <w:p>
            <w:pPr>
              <w:pStyle w:val="TableParagraph"/>
              <w:spacing w:line="410" w:lineRule="auto" w:before="239"/>
              <w:ind w:left="187" w:right="212"/>
              <w:rPr>
                <w:rFonts w:ascii="Microsoft JhengHei" w:eastAsia="Microsoft JhengHei" w:hint="eastAsia"/>
                <w:b/>
                <w:sz w:val="21"/>
              </w:rPr>
            </w:pPr>
            <w:r>
              <w:rPr>
                <w:rFonts w:ascii="Microsoft JhengHei" w:eastAsia="Microsoft JhengHei" w:hint="eastAsia"/>
                <w:b/>
                <w:sz w:val="21"/>
              </w:rPr>
              <w:t>重大疾病保险费豁免</w:t>
            </w:r>
          </w:p>
        </w:tc>
        <w:tc>
          <w:tcPr>
            <w:tcW w:w="6923" w:type="dxa"/>
          </w:tcPr>
          <w:p>
            <w:pPr>
              <w:pStyle w:val="TableParagraph"/>
              <w:spacing w:line="273" w:lineRule="auto" w:before="142"/>
              <w:ind w:left="206" w:right="103"/>
              <w:jc w:val="both"/>
              <w:rPr>
                <w:sz w:val="21"/>
              </w:rPr>
            </w:pPr>
            <w:r>
              <w:rPr>
                <w:spacing w:val="-6"/>
                <w:sz w:val="21"/>
              </w:rPr>
              <w:t>被保险人在本附加险合同生效一年后，经专科医生</w:t>
            </w:r>
            <w:r>
              <w:rPr>
                <w:spacing w:val="-3"/>
                <w:sz w:val="21"/>
              </w:rPr>
              <w:t>（</w:t>
            </w:r>
            <w:r>
              <w:rPr>
                <w:spacing w:val="-11"/>
                <w:sz w:val="21"/>
              </w:rPr>
              <w:t>见 </w:t>
            </w:r>
            <w:r>
              <w:rPr>
                <w:spacing w:val="-7"/>
                <w:sz w:val="21"/>
              </w:rPr>
              <w:t>8.5）</w:t>
            </w:r>
            <w:r>
              <w:rPr>
                <w:spacing w:val="-3"/>
                <w:sz w:val="21"/>
              </w:rPr>
              <w:t>明确诊断初次发生本附加险合同约定的重大疾病（在本附加险合同生效日之前已患</w:t>
            </w:r>
            <w:r>
              <w:rPr>
                <w:spacing w:val="-3"/>
                <w:w w:val="100"/>
                <w:sz w:val="21"/>
              </w:rPr>
              <w:t>的有关疾病或症状除外</w:t>
            </w:r>
            <w:r>
              <w:rPr>
                <w:spacing w:val="-108"/>
                <w:w w:val="100"/>
                <w:sz w:val="21"/>
              </w:rPr>
              <w:t>）</w:t>
            </w:r>
            <w:r>
              <w:rPr>
                <w:spacing w:val="-2"/>
                <w:w w:val="100"/>
                <w:sz w:val="21"/>
              </w:rPr>
              <w:t>，且确诊</w:t>
            </w:r>
            <w:r>
              <w:rPr>
                <w:spacing w:val="-2"/>
                <w:sz w:val="21"/>
              </w:rPr>
              <w:t> </w:t>
            </w:r>
            <w:r>
              <w:rPr>
                <w:w w:val="100"/>
                <w:sz w:val="21"/>
              </w:rPr>
              <w:t>15</w:t>
            </w:r>
            <w:r>
              <w:rPr>
                <w:sz w:val="21"/>
              </w:rPr>
              <w:t> </w:t>
            </w:r>
            <w:r>
              <w:rPr>
                <w:spacing w:val="-3"/>
                <w:w w:val="100"/>
                <w:sz w:val="21"/>
              </w:rPr>
              <w:t>天后仍生存，自被保险人确诊之日</w:t>
            </w:r>
            <w:r>
              <w:rPr>
                <w:spacing w:val="-3"/>
                <w:sz w:val="21"/>
              </w:rPr>
              <w:t>起，本公司豁免主险合同交费期内的主险合同及本公司同意承保的其他附加险合同的以后各期保险费，本附加险合同终止。</w:t>
            </w:r>
          </w:p>
          <w:p>
            <w:pPr>
              <w:pStyle w:val="TableParagraph"/>
              <w:spacing w:before="7"/>
              <w:ind w:left="206"/>
              <w:jc w:val="both"/>
              <w:rPr>
                <w:sz w:val="21"/>
              </w:rPr>
            </w:pPr>
            <w:r>
              <w:rPr>
                <w:sz w:val="21"/>
              </w:rPr>
              <w:t>豁免期间至下列任何一种情形发生之日止：</w:t>
            </w:r>
          </w:p>
          <w:p>
            <w:pPr>
              <w:pStyle w:val="TableParagraph"/>
              <w:spacing w:before="37"/>
              <w:ind w:left="206"/>
              <w:jc w:val="both"/>
              <w:rPr>
                <w:sz w:val="21"/>
              </w:rPr>
            </w:pPr>
            <w:r>
              <w:rPr>
                <w:sz w:val="21"/>
              </w:rPr>
              <w:t>（1）主险合同被保险人身故或高度残疾；</w:t>
            </w:r>
          </w:p>
          <w:p>
            <w:pPr>
              <w:pStyle w:val="TableParagraph"/>
              <w:spacing w:before="37"/>
              <w:ind w:left="206"/>
              <w:jc w:val="both"/>
              <w:rPr>
                <w:sz w:val="21"/>
              </w:rPr>
            </w:pPr>
            <w:r>
              <w:rPr>
                <w:sz w:val="21"/>
              </w:rPr>
              <w:t>（2）本附加险合同保险满期。</w:t>
            </w:r>
          </w:p>
        </w:tc>
      </w:tr>
      <w:tr>
        <w:trPr>
          <w:trHeight w:val="5687" w:hRule="atLeast"/>
        </w:trPr>
        <w:tc>
          <w:tcPr>
            <w:tcW w:w="760" w:type="dxa"/>
          </w:tcPr>
          <w:p>
            <w:pPr>
              <w:pStyle w:val="TableParagraph"/>
              <w:spacing w:before="142"/>
              <w:ind w:left="108"/>
              <w:rPr>
                <w:b/>
                <w:sz w:val="21"/>
              </w:rPr>
            </w:pPr>
            <w:r>
              <w:rPr>
                <w:b/>
                <w:sz w:val="21"/>
              </w:rPr>
              <w:t>2.2</w:t>
            </w:r>
          </w:p>
        </w:tc>
        <w:tc>
          <w:tcPr>
            <w:tcW w:w="1662" w:type="dxa"/>
          </w:tcPr>
          <w:p>
            <w:pPr>
              <w:pStyle w:val="TableParagraph"/>
              <w:spacing w:before="142"/>
              <w:ind w:left="187"/>
              <w:rPr>
                <w:rFonts w:ascii="黑体" w:eastAsia="黑体" w:hint="eastAsia"/>
                <w:b/>
                <w:sz w:val="21"/>
              </w:rPr>
            </w:pPr>
            <w:r>
              <w:rPr>
                <w:rFonts w:ascii="黑体" w:eastAsia="黑体" w:hint="eastAsia"/>
                <w:b/>
                <w:sz w:val="21"/>
              </w:rPr>
              <w:t>责任免除</w:t>
            </w:r>
          </w:p>
        </w:tc>
        <w:tc>
          <w:tcPr>
            <w:tcW w:w="6923" w:type="dxa"/>
          </w:tcPr>
          <w:p>
            <w:pPr>
              <w:pStyle w:val="TableParagraph"/>
              <w:spacing w:line="273" w:lineRule="auto" w:before="142"/>
              <w:ind w:left="206" w:right="102"/>
              <w:rPr>
                <w:rFonts w:ascii="黑体" w:eastAsia="黑体" w:hint="eastAsia"/>
                <w:b/>
                <w:sz w:val="21"/>
              </w:rPr>
            </w:pPr>
            <w:r>
              <w:rPr>
                <w:rFonts w:ascii="黑体" w:eastAsia="黑体" w:hint="eastAsia"/>
                <w:b/>
                <w:sz w:val="21"/>
              </w:rPr>
              <w:t>因下列情形之一，导致被保险人初次发Th疾病、达到疾病状态或进行手术的，我们不承担保险费豁免的责任：</w:t>
            </w:r>
          </w:p>
          <w:p>
            <w:pPr>
              <w:pStyle w:val="TableParagraph"/>
              <w:numPr>
                <w:ilvl w:val="0"/>
                <w:numId w:val="2"/>
              </w:numPr>
              <w:tabs>
                <w:tab w:pos="841" w:val="left" w:leader="none"/>
              </w:tabs>
              <w:spacing w:line="240" w:lineRule="auto" w:before="7" w:after="0"/>
              <w:ind w:left="837" w:right="0" w:hanging="631"/>
              <w:jc w:val="left"/>
              <w:rPr>
                <w:rFonts w:ascii="黑体" w:eastAsia="黑体" w:hint="eastAsia"/>
                <w:b/>
                <w:sz w:val="21"/>
              </w:rPr>
            </w:pPr>
            <w:r>
              <w:rPr>
                <w:rFonts w:ascii="黑体" w:eastAsia="黑体" w:hint="eastAsia"/>
                <w:b/>
                <w:spacing w:val="-2"/>
                <w:sz w:val="21"/>
              </w:rPr>
              <w:t>投保人对被保险人的故意杀害、故意伤害；</w:t>
            </w:r>
          </w:p>
          <w:p>
            <w:pPr>
              <w:pStyle w:val="TableParagraph"/>
              <w:numPr>
                <w:ilvl w:val="0"/>
                <w:numId w:val="2"/>
              </w:numPr>
              <w:tabs>
                <w:tab w:pos="841" w:val="left" w:leader="none"/>
              </w:tabs>
              <w:spacing w:line="240" w:lineRule="auto" w:before="37" w:after="0"/>
              <w:ind w:left="837" w:right="0" w:hanging="631"/>
              <w:jc w:val="left"/>
              <w:rPr>
                <w:rFonts w:ascii="黑体" w:eastAsia="黑体" w:hint="eastAsia"/>
                <w:b/>
                <w:sz w:val="21"/>
              </w:rPr>
            </w:pPr>
            <w:r>
              <w:rPr>
                <w:rFonts w:ascii="黑体" w:eastAsia="黑体" w:hint="eastAsia"/>
                <w:b/>
                <w:spacing w:val="-3"/>
                <w:sz w:val="21"/>
              </w:rPr>
              <w:t>被保险人故意自伤、故意犯罪或抗拒依法采取的刑事强制措施；</w:t>
            </w:r>
          </w:p>
          <w:p>
            <w:pPr>
              <w:pStyle w:val="TableParagraph"/>
              <w:numPr>
                <w:ilvl w:val="0"/>
                <w:numId w:val="2"/>
              </w:numPr>
              <w:tabs>
                <w:tab w:pos="841" w:val="left" w:leader="none"/>
              </w:tabs>
              <w:spacing w:line="240" w:lineRule="auto" w:before="36" w:after="0"/>
              <w:ind w:left="837" w:right="0" w:hanging="631"/>
              <w:jc w:val="left"/>
              <w:rPr>
                <w:rFonts w:ascii="黑体" w:eastAsia="黑体" w:hint="eastAsia"/>
                <w:b/>
                <w:sz w:val="21"/>
              </w:rPr>
            </w:pPr>
            <w:r>
              <w:rPr>
                <w:rFonts w:ascii="黑体" w:eastAsia="黑体" w:hint="eastAsia"/>
                <w:b/>
                <w:spacing w:val="-1"/>
                <w:sz w:val="21"/>
              </w:rPr>
              <w:t>被保险人主动吸食或注射毒品</w:t>
            </w:r>
            <w:r>
              <w:rPr>
                <w:rFonts w:ascii="黑体" w:eastAsia="黑体" w:hint="eastAsia"/>
                <w:b/>
                <w:sz w:val="21"/>
              </w:rPr>
              <w:t>（</w:t>
            </w:r>
            <w:r>
              <w:rPr>
                <w:rFonts w:ascii="黑体" w:eastAsia="黑体" w:hint="eastAsia"/>
                <w:b/>
                <w:spacing w:val="-25"/>
                <w:sz w:val="21"/>
              </w:rPr>
              <w:t>见 </w:t>
            </w:r>
            <w:r>
              <w:rPr>
                <w:rFonts w:ascii="黑体" w:eastAsia="黑体" w:hint="eastAsia"/>
                <w:b/>
                <w:sz w:val="21"/>
              </w:rPr>
              <w:t>8.6）；</w:t>
            </w:r>
          </w:p>
          <w:p>
            <w:pPr>
              <w:pStyle w:val="TableParagraph"/>
              <w:numPr>
                <w:ilvl w:val="0"/>
                <w:numId w:val="2"/>
              </w:numPr>
              <w:tabs>
                <w:tab w:pos="841" w:val="left" w:leader="none"/>
              </w:tabs>
              <w:spacing w:line="273" w:lineRule="auto" w:before="36" w:after="0"/>
              <w:ind w:left="837" w:right="103" w:hanging="631"/>
              <w:jc w:val="left"/>
              <w:rPr>
                <w:rFonts w:ascii="黑体" w:eastAsia="黑体" w:hint="eastAsia"/>
                <w:b/>
                <w:sz w:val="21"/>
              </w:rPr>
            </w:pPr>
            <w:r>
              <w:rPr>
                <w:rFonts w:ascii="黑体" w:eastAsia="黑体" w:hint="eastAsia"/>
                <w:b/>
                <w:spacing w:val="-1"/>
                <w:w w:val="100"/>
                <w:sz w:val="21"/>
              </w:rPr>
              <w:t>被保险人酒后驾驶</w:t>
            </w:r>
            <w:r>
              <w:rPr>
                <w:rFonts w:ascii="黑体" w:eastAsia="黑体" w:hint="eastAsia"/>
                <w:b/>
                <w:w w:val="100"/>
                <w:sz w:val="21"/>
              </w:rPr>
              <w:t>（见</w:t>
            </w:r>
            <w:r>
              <w:rPr>
                <w:rFonts w:ascii="黑体" w:eastAsia="黑体" w:hint="eastAsia"/>
                <w:b/>
                <w:spacing w:val="-20"/>
                <w:sz w:val="21"/>
              </w:rPr>
              <w:t> </w:t>
            </w:r>
            <w:r>
              <w:rPr>
                <w:rFonts w:ascii="黑体" w:eastAsia="黑体" w:hint="eastAsia"/>
                <w:b/>
                <w:w w:val="99"/>
                <w:sz w:val="21"/>
              </w:rPr>
              <w:t>8.7</w:t>
            </w:r>
            <w:r>
              <w:rPr>
                <w:rFonts w:ascii="黑体" w:eastAsia="黑体" w:hint="eastAsia"/>
                <w:b/>
                <w:spacing w:val="-106"/>
                <w:w w:val="100"/>
                <w:sz w:val="21"/>
              </w:rPr>
              <w:t>）</w:t>
            </w:r>
            <w:r>
              <w:rPr>
                <w:rFonts w:ascii="黑体" w:eastAsia="黑体" w:hint="eastAsia"/>
                <w:b/>
                <w:spacing w:val="-1"/>
                <w:w w:val="100"/>
                <w:sz w:val="21"/>
              </w:rPr>
              <w:t>、无合法驾驶证驾驶</w:t>
            </w:r>
            <w:r>
              <w:rPr>
                <w:rFonts w:ascii="黑体" w:eastAsia="黑体" w:hint="eastAsia"/>
                <w:b/>
                <w:w w:val="100"/>
                <w:sz w:val="21"/>
              </w:rPr>
              <w:t>（见</w:t>
            </w:r>
            <w:r>
              <w:rPr>
                <w:rFonts w:ascii="黑体" w:eastAsia="黑体" w:hint="eastAsia"/>
                <w:b/>
                <w:spacing w:val="-19"/>
                <w:sz w:val="21"/>
              </w:rPr>
              <w:t> </w:t>
            </w:r>
            <w:r>
              <w:rPr>
                <w:rFonts w:ascii="黑体" w:eastAsia="黑体" w:hint="eastAsia"/>
                <w:b/>
                <w:w w:val="99"/>
                <w:sz w:val="21"/>
              </w:rPr>
              <w:t>8.8</w:t>
            </w:r>
            <w:r>
              <w:rPr>
                <w:rFonts w:ascii="黑体" w:eastAsia="黑体" w:hint="eastAsia"/>
                <w:b/>
                <w:w w:val="100"/>
                <w:sz w:val="21"/>
              </w:rPr>
              <w:t>）机动车（见</w:t>
            </w:r>
            <w:r>
              <w:rPr>
                <w:rFonts w:ascii="黑体" w:eastAsia="黑体" w:hint="eastAsia"/>
                <w:b/>
                <w:spacing w:val="-54"/>
                <w:sz w:val="21"/>
              </w:rPr>
              <w:t> </w:t>
            </w:r>
            <w:r>
              <w:rPr>
                <w:rFonts w:ascii="黑体" w:eastAsia="黑体" w:hint="eastAsia"/>
                <w:b/>
                <w:w w:val="99"/>
                <w:sz w:val="21"/>
              </w:rPr>
              <w:t>8.9</w:t>
            </w:r>
            <w:r>
              <w:rPr>
                <w:rFonts w:ascii="黑体" w:eastAsia="黑体" w:hint="eastAsia"/>
                <w:b/>
                <w:spacing w:val="-106"/>
                <w:w w:val="100"/>
                <w:sz w:val="21"/>
              </w:rPr>
              <w:t>）</w:t>
            </w:r>
            <w:r>
              <w:rPr>
                <w:rFonts w:ascii="黑体" w:eastAsia="黑体" w:hint="eastAsia"/>
                <w:b/>
                <w:spacing w:val="-1"/>
                <w:w w:val="100"/>
                <w:sz w:val="21"/>
              </w:rPr>
              <w:t>，驾驶无有效行驶证</w:t>
            </w:r>
            <w:r>
              <w:rPr>
                <w:rFonts w:ascii="黑体" w:eastAsia="黑体" w:hint="eastAsia"/>
                <w:b/>
                <w:w w:val="100"/>
                <w:sz w:val="21"/>
              </w:rPr>
              <w:t>（见</w:t>
            </w:r>
            <w:r>
              <w:rPr>
                <w:rFonts w:ascii="黑体" w:eastAsia="黑体" w:hint="eastAsia"/>
                <w:b/>
                <w:spacing w:val="-53"/>
                <w:sz w:val="21"/>
              </w:rPr>
              <w:t> </w:t>
            </w:r>
            <w:r>
              <w:rPr>
                <w:rFonts w:ascii="黑体" w:eastAsia="黑体" w:hint="eastAsia"/>
                <w:b/>
                <w:w w:val="99"/>
                <w:sz w:val="21"/>
              </w:rPr>
              <w:t>8.10</w:t>
            </w:r>
            <w:r>
              <w:rPr>
                <w:rFonts w:ascii="黑体" w:eastAsia="黑体" w:hint="eastAsia"/>
                <w:b/>
                <w:w w:val="100"/>
                <w:sz w:val="21"/>
              </w:rPr>
              <w:t>）</w:t>
            </w:r>
            <w:r>
              <w:rPr>
                <w:rFonts w:ascii="黑体" w:eastAsia="黑体" w:hint="eastAsia"/>
                <w:b/>
                <w:spacing w:val="-1"/>
                <w:w w:val="100"/>
                <w:sz w:val="21"/>
              </w:rPr>
              <w:t>的机动车；</w:t>
            </w:r>
          </w:p>
          <w:p>
            <w:pPr>
              <w:pStyle w:val="TableParagraph"/>
              <w:numPr>
                <w:ilvl w:val="0"/>
                <w:numId w:val="2"/>
              </w:numPr>
              <w:tabs>
                <w:tab w:pos="841" w:val="left" w:leader="none"/>
              </w:tabs>
              <w:spacing w:line="240" w:lineRule="auto" w:before="7" w:after="0"/>
              <w:ind w:left="837" w:right="0" w:hanging="631"/>
              <w:jc w:val="left"/>
              <w:rPr>
                <w:rFonts w:ascii="黑体" w:eastAsia="黑体" w:hint="eastAsia"/>
                <w:b/>
                <w:sz w:val="21"/>
              </w:rPr>
            </w:pPr>
            <w:r>
              <w:rPr>
                <w:rFonts w:ascii="黑体" w:eastAsia="黑体" w:hint="eastAsia"/>
                <w:b/>
                <w:spacing w:val="-1"/>
                <w:sz w:val="21"/>
              </w:rPr>
              <w:t>被保险人感染艾滋病病毒或患艾滋病</w:t>
            </w:r>
            <w:r>
              <w:rPr>
                <w:rFonts w:ascii="黑体" w:eastAsia="黑体" w:hint="eastAsia"/>
                <w:b/>
                <w:spacing w:val="-3"/>
                <w:sz w:val="21"/>
              </w:rPr>
              <w:t>（</w:t>
            </w:r>
            <w:r>
              <w:rPr>
                <w:rFonts w:ascii="黑体" w:eastAsia="黑体" w:hint="eastAsia"/>
                <w:b/>
                <w:spacing w:val="-24"/>
                <w:sz w:val="21"/>
              </w:rPr>
              <w:t>见 </w:t>
            </w:r>
            <w:r>
              <w:rPr>
                <w:rFonts w:ascii="黑体" w:eastAsia="黑体" w:hint="eastAsia"/>
                <w:b/>
                <w:sz w:val="21"/>
              </w:rPr>
              <w:t>8.11）；</w:t>
            </w:r>
          </w:p>
          <w:p>
            <w:pPr>
              <w:pStyle w:val="TableParagraph"/>
              <w:numPr>
                <w:ilvl w:val="0"/>
                <w:numId w:val="2"/>
              </w:numPr>
              <w:tabs>
                <w:tab w:pos="841" w:val="left" w:leader="none"/>
              </w:tabs>
              <w:spacing w:line="240" w:lineRule="auto" w:before="37" w:after="0"/>
              <w:ind w:left="837" w:right="0" w:hanging="631"/>
              <w:jc w:val="left"/>
              <w:rPr>
                <w:rFonts w:ascii="黑体" w:eastAsia="黑体" w:hint="eastAsia"/>
                <w:b/>
                <w:sz w:val="21"/>
              </w:rPr>
            </w:pPr>
            <w:r>
              <w:rPr>
                <w:rFonts w:ascii="黑体" w:eastAsia="黑体" w:hint="eastAsia"/>
                <w:b/>
                <w:spacing w:val="-1"/>
                <w:sz w:val="21"/>
              </w:rPr>
              <w:t>战争、军事冲突、暴乱或武装叛乱；</w:t>
            </w:r>
          </w:p>
          <w:p>
            <w:pPr>
              <w:pStyle w:val="TableParagraph"/>
              <w:numPr>
                <w:ilvl w:val="0"/>
                <w:numId w:val="2"/>
              </w:numPr>
              <w:tabs>
                <w:tab w:pos="841" w:val="left" w:leader="none"/>
              </w:tabs>
              <w:spacing w:line="240" w:lineRule="auto" w:before="37" w:after="0"/>
              <w:ind w:left="837" w:right="0" w:hanging="631"/>
              <w:jc w:val="left"/>
              <w:rPr>
                <w:rFonts w:ascii="黑体" w:eastAsia="黑体" w:hint="eastAsia"/>
                <w:b/>
                <w:sz w:val="21"/>
              </w:rPr>
            </w:pPr>
            <w:r>
              <w:rPr>
                <w:rFonts w:ascii="黑体" w:eastAsia="黑体" w:hint="eastAsia"/>
                <w:b/>
                <w:spacing w:val="-1"/>
                <w:sz w:val="21"/>
              </w:rPr>
              <w:t>核爆炸、核辐射或核污染；</w:t>
            </w:r>
          </w:p>
          <w:p>
            <w:pPr>
              <w:pStyle w:val="TableParagraph"/>
              <w:spacing w:before="37"/>
              <w:ind w:left="206"/>
              <w:rPr>
                <w:rFonts w:ascii="黑体" w:eastAsia="黑体" w:hint="eastAsia"/>
                <w:b/>
                <w:sz w:val="21"/>
              </w:rPr>
            </w:pPr>
            <w:r>
              <w:rPr>
                <w:rFonts w:ascii="黑体" w:eastAsia="黑体" w:hint="eastAsia"/>
                <w:b/>
                <w:sz w:val="21"/>
              </w:rPr>
              <w:t>（8）</w:t>
            </w:r>
            <w:r>
              <w:rPr>
                <w:rFonts w:ascii="黑体" w:eastAsia="黑体" w:hint="eastAsia"/>
                <w:b/>
                <w:spacing w:val="-28"/>
                <w:sz w:val="21"/>
              </w:rPr>
              <w:t> 遗传性疾病</w:t>
            </w:r>
            <w:r>
              <w:rPr>
                <w:rFonts w:ascii="黑体" w:eastAsia="黑体" w:hint="eastAsia"/>
                <w:b/>
                <w:sz w:val="21"/>
              </w:rPr>
              <w:t>（</w:t>
            </w:r>
            <w:r>
              <w:rPr>
                <w:rFonts w:ascii="黑体" w:eastAsia="黑体" w:hint="eastAsia"/>
                <w:b/>
                <w:spacing w:val="-24"/>
                <w:sz w:val="21"/>
              </w:rPr>
              <w:t>见 </w:t>
            </w:r>
            <w:r>
              <w:rPr>
                <w:rFonts w:ascii="黑体" w:eastAsia="黑体" w:hint="eastAsia"/>
                <w:b/>
                <w:spacing w:val="-28"/>
                <w:sz w:val="21"/>
              </w:rPr>
              <w:t>8.12），</w:t>
            </w:r>
            <w:r>
              <w:rPr>
                <w:rFonts w:ascii="黑体" w:eastAsia="黑体" w:hint="eastAsia"/>
                <w:b/>
                <w:spacing w:val="-16"/>
                <w:sz w:val="21"/>
              </w:rPr>
              <w:t>先天性畸形、变形或染色体异常</w:t>
            </w:r>
            <w:r>
              <w:rPr>
                <w:rFonts w:ascii="黑体" w:eastAsia="黑体" w:hint="eastAsia"/>
                <w:b/>
                <w:sz w:val="21"/>
              </w:rPr>
              <w:t>（</w:t>
            </w:r>
            <w:r>
              <w:rPr>
                <w:rFonts w:ascii="黑体" w:eastAsia="黑体" w:hint="eastAsia"/>
                <w:b/>
                <w:spacing w:val="-24"/>
                <w:sz w:val="21"/>
              </w:rPr>
              <w:t>见 </w:t>
            </w:r>
            <w:r>
              <w:rPr>
                <w:rFonts w:ascii="黑体" w:eastAsia="黑体" w:hint="eastAsia"/>
                <w:b/>
                <w:spacing w:val="-17"/>
                <w:sz w:val="21"/>
              </w:rPr>
              <w:t>8.13）</w:t>
            </w:r>
            <w:r>
              <w:rPr>
                <w:rFonts w:ascii="黑体" w:eastAsia="黑体" w:hint="eastAsia"/>
                <w:b/>
                <w:sz w:val="21"/>
              </w:rPr>
              <w:t>。</w:t>
            </w:r>
          </w:p>
          <w:p>
            <w:pPr>
              <w:pStyle w:val="TableParagraph"/>
              <w:spacing w:before="9"/>
              <w:rPr>
                <w:rFonts w:ascii="Times New Roman"/>
                <w:sz w:val="16"/>
              </w:rPr>
            </w:pPr>
          </w:p>
          <w:p>
            <w:pPr>
              <w:pStyle w:val="TableParagraph"/>
              <w:spacing w:line="273" w:lineRule="auto"/>
              <w:ind w:left="206" w:right="102"/>
              <w:jc w:val="both"/>
              <w:rPr>
                <w:rFonts w:ascii="黑体" w:eastAsia="黑体" w:hint="eastAsia"/>
                <w:b/>
                <w:sz w:val="21"/>
              </w:rPr>
            </w:pPr>
            <w:r>
              <w:rPr>
                <w:rFonts w:ascii="黑体" w:eastAsia="黑体" w:hint="eastAsia"/>
                <w:b/>
                <w:sz w:val="21"/>
              </w:rPr>
              <w:t>发Th</w:t>
            </w:r>
            <w:r>
              <w:rPr>
                <w:rFonts w:ascii="黑体" w:eastAsia="黑体" w:hint="eastAsia"/>
                <w:b/>
                <w:spacing w:val="-5"/>
                <w:sz w:val="21"/>
              </w:rPr>
              <w:t>上述第（1）</w:t>
            </w:r>
            <w:r>
              <w:rPr>
                <w:rFonts w:ascii="黑体" w:eastAsia="黑体" w:hint="eastAsia"/>
                <w:b/>
                <w:spacing w:val="-1"/>
                <w:sz w:val="21"/>
              </w:rPr>
              <w:t>项情形导致被保险人发</w:t>
            </w:r>
            <w:r>
              <w:rPr>
                <w:rFonts w:ascii="黑体" w:eastAsia="黑体" w:hint="eastAsia"/>
                <w:b/>
                <w:sz w:val="21"/>
              </w:rPr>
              <w:t>Th</w:t>
            </w:r>
            <w:r>
              <w:rPr>
                <w:rFonts w:ascii="黑体" w:eastAsia="黑体" w:hint="eastAsia"/>
                <w:b/>
                <w:spacing w:val="-5"/>
                <w:sz w:val="21"/>
              </w:rPr>
              <w:t>重大疾病的，本附加险合同终止，您已交足两年以上保险费的，我们向其他权利人退还本附加险合同的现金价值（</w:t>
            </w:r>
            <w:r>
              <w:rPr>
                <w:rFonts w:ascii="黑体" w:eastAsia="黑体" w:hint="eastAsia"/>
                <w:b/>
                <w:spacing w:val="-29"/>
                <w:sz w:val="21"/>
              </w:rPr>
              <w:t>见 </w:t>
            </w:r>
            <w:r>
              <w:rPr>
                <w:rFonts w:ascii="黑体" w:eastAsia="黑体" w:hint="eastAsia"/>
                <w:b/>
                <w:sz w:val="21"/>
              </w:rPr>
              <w:t>8.14）。</w:t>
            </w:r>
          </w:p>
          <w:p>
            <w:pPr>
              <w:pStyle w:val="TableParagraph"/>
              <w:spacing w:line="273" w:lineRule="auto" w:before="163"/>
              <w:ind w:left="206" w:right="107"/>
              <w:rPr>
                <w:rFonts w:ascii="黑体" w:eastAsia="黑体" w:hint="eastAsia"/>
                <w:b/>
                <w:sz w:val="21"/>
              </w:rPr>
            </w:pPr>
            <w:r>
              <w:rPr>
                <w:rFonts w:ascii="黑体" w:eastAsia="黑体" w:hint="eastAsia"/>
                <w:b/>
                <w:sz w:val="21"/>
              </w:rPr>
              <w:t>发Th上述其他情形导致被保险人发Th重大疾病的，本附加险合同终止， 我们向投保人退还本附加险合同的现金价值。</w:t>
            </w:r>
          </w:p>
        </w:tc>
      </w:tr>
      <w:tr>
        <w:trPr>
          <w:trHeight w:val="864" w:hRule="atLeast"/>
        </w:trPr>
        <w:tc>
          <w:tcPr>
            <w:tcW w:w="760" w:type="dxa"/>
            <w:tcBorders>
              <w:bottom w:val="single" w:sz="4" w:space="0" w:color="000000"/>
            </w:tcBorders>
          </w:tcPr>
          <w:p>
            <w:pPr>
              <w:pStyle w:val="TableParagraph"/>
              <w:spacing w:before="228"/>
              <w:ind w:left="108"/>
              <w:rPr>
                <w:rFonts w:ascii="Arial" w:hAnsi="Arial"/>
                <w:b/>
                <w:sz w:val="52"/>
              </w:rPr>
            </w:pPr>
            <w:r>
              <w:rPr>
                <w:rFonts w:ascii="Arial" w:hAnsi="Arial"/>
                <w:b/>
                <w:w w:val="119"/>
                <w:sz w:val="52"/>
              </w:rPr>
              <w:t></w:t>
            </w:r>
          </w:p>
        </w:tc>
        <w:tc>
          <w:tcPr>
            <w:tcW w:w="8585" w:type="dxa"/>
            <w:gridSpan w:val="2"/>
            <w:tcBorders>
              <w:bottom w:val="single" w:sz="4" w:space="0" w:color="000000"/>
            </w:tcBorders>
          </w:tcPr>
          <w:p>
            <w:pPr>
              <w:pStyle w:val="TableParagraph"/>
              <w:spacing w:before="4"/>
              <w:rPr>
                <w:rFonts w:ascii="Times New Roman"/>
                <w:sz w:val="28"/>
              </w:rPr>
            </w:pPr>
          </w:p>
          <w:p>
            <w:pPr>
              <w:pStyle w:val="TableParagraph"/>
              <w:ind w:left="187"/>
              <w:rPr>
                <w:b/>
                <w:sz w:val="28"/>
              </w:rPr>
            </w:pPr>
            <w:r>
              <w:rPr>
                <w:b/>
                <w:w w:val="95"/>
                <w:sz w:val="28"/>
              </w:rPr>
              <w:t>如何申请保险费豁免</w:t>
            </w:r>
          </w:p>
        </w:tc>
      </w:tr>
      <w:tr>
        <w:trPr>
          <w:trHeight w:val="1822" w:hRule="atLeast"/>
        </w:trPr>
        <w:tc>
          <w:tcPr>
            <w:tcW w:w="76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3.1</w:t>
            </w:r>
          </w:p>
        </w:tc>
        <w:tc>
          <w:tcPr>
            <w:tcW w:w="1662" w:type="dxa"/>
            <w:tcBorders>
              <w:top w:val="single" w:sz="4" w:space="0" w:color="000000"/>
            </w:tcBorders>
          </w:tcPr>
          <w:p>
            <w:pPr>
              <w:pStyle w:val="TableParagraph"/>
              <w:rPr>
                <w:rFonts w:ascii="Times New Roman"/>
                <w:sz w:val="26"/>
              </w:rPr>
            </w:pPr>
          </w:p>
          <w:p>
            <w:pPr>
              <w:pStyle w:val="TableParagraph"/>
              <w:ind w:left="187"/>
              <w:rPr>
                <w:b/>
                <w:sz w:val="21"/>
              </w:rPr>
            </w:pPr>
            <w:r>
              <w:rPr>
                <w:b/>
                <w:sz w:val="21"/>
              </w:rPr>
              <w:t>保险事故通知</w:t>
            </w:r>
          </w:p>
        </w:tc>
        <w:tc>
          <w:tcPr>
            <w:tcW w:w="6923" w:type="dxa"/>
            <w:tcBorders>
              <w:top w:val="single" w:sz="4" w:space="0" w:color="000000"/>
            </w:tcBorders>
          </w:tcPr>
          <w:p>
            <w:pPr>
              <w:pStyle w:val="TableParagraph"/>
              <w:rPr>
                <w:rFonts w:ascii="Times New Roman"/>
                <w:sz w:val="26"/>
              </w:rPr>
            </w:pPr>
          </w:p>
          <w:p>
            <w:pPr>
              <w:pStyle w:val="TableParagraph"/>
              <w:ind w:left="206"/>
              <w:rPr>
                <w:sz w:val="21"/>
              </w:rPr>
            </w:pPr>
            <w:r>
              <w:rPr>
                <w:sz w:val="21"/>
              </w:rPr>
              <w:t>您或被保险人应在知道保险事故发生之日起 10 日内通知我们。</w:t>
            </w:r>
          </w:p>
          <w:p>
            <w:pPr>
              <w:pStyle w:val="TableParagraph"/>
              <w:spacing w:line="273" w:lineRule="auto" w:before="37"/>
              <w:ind w:left="206" w:right="102"/>
              <w:jc w:val="both"/>
              <w:rPr>
                <w:sz w:val="21"/>
              </w:rPr>
            </w:pPr>
            <w:r>
              <w:rPr>
                <w:b/>
                <w:sz w:val="21"/>
              </w:rPr>
              <w:t>如果您或被保险人故意或者因重大过失未及时通知，致使保险事故的性质、原因、损失程度等难以确定的，我们对无法确定的部分，不承担豁免保险费的责任</w:t>
            </w:r>
            <w:r>
              <w:rPr>
                <w:sz w:val="21"/>
              </w:rPr>
              <w:t>，但我们通过其他途径已经及时知道或者应当及时知道</w:t>
            </w:r>
          </w:p>
          <w:p>
            <w:pPr>
              <w:pStyle w:val="TableParagraph"/>
              <w:spacing w:line="255" w:lineRule="exact" w:before="8"/>
              <w:ind w:left="206"/>
              <w:jc w:val="both"/>
              <w:rPr>
                <w:sz w:val="21"/>
              </w:rPr>
            </w:pPr>
            <w:r>
              <w:rPr>
                <w:sz w:val="21"/>
              </w:rPr>
              <w:t>保险事故发生或者虽未及时通知但不影响本公司确定保险事故的性质、</w:t>
            </w:r>
          </w:p>
        </w:tc>
      </w:tr>
    </w:tbl>
    <w:p>
      <w:pPr>
        <w:spacing w:after="0" w:line="255" w:lineRule="exact"/>
        <w:jc w:val="both"/>
        <w:rPr>
          <w:sz w:val="21"/>
        </w:rPr>
        <w:sectPr>
          <w:pgSz w:w="11910" w:h="16840"/>
          <w:pgMar w:header="886" w:footer="992" w:top="1120" w:bottom="1180" w:left="1200" w:right="1040"/>
        </w:sectPr>
      </w:pPr>
    </w:p>
    <w:p>
      <w:pPr>
        <w:pStyle w:val="BodyText"/>
        <w:rPr>
          <w:rFonts w:ascii="Times New Roman"/>
          <w:sz w:val="20"/>
        </w:rPr>
      </w:pPr>
    </w:p>
    <w:p>
      <w:pPr>
        <w:pStyle w:val="BodyText"/>
        <w:spacing w:before="9"/>
        <w:rPr>
          <w:rFonts w:ascii="Times New Roman"/>
          <w:sz w:val="1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62"/>
        <w:gridCol w:w="6923"/>
      </w:tblGrid>
      <w:tr>
        <w:trPr>
          <w:trHeight w:val="417" w:hRule="atLeast"/>
        </w:trPr>
        <w:tc>
          <w:tcPr>
            <w:tcW w:w="760" w:type="dxa"/>
          </w:tcPr>
          <w:p>
            <w:pPr>
              <w:pStyle w:val="TableParagraph"/>
              <w:rPr>
                <w:rFonts w:ascii="Times New Roman"/>
                <w:sz w:val="20"/>
              </w:rPr>
            </w:pPr>
          </w:p>
        </w:tc>
        <w:tc>
          <w:tcPr>
            <w:tcW w:w="1662" w:type="dxa"/>
          </w:tcPr>
          <w:p>
            <w:pPr>
              <w:pStyle w:val="TableParagraph"/>
              <w:rPr>
                <w:rFonts w:ascii="Times New Roman"/>
                <w:sz w:val="20"/>
              </w:rPr>
            </w:pPr>
          </w:p>
        </w:tc>
        <w:tc>
          <w:tcPr>
            <w:tcW w:w="6923" w:type="dxa"/>
          </w:tcPr>
          <w:p>
            <w:pPr>
              <w:pStyle w:val="TableParagraph"/>
              <w:spacing w:line="211" w:lineRule="exact"/>
              <w:ind w:left="206"/>
              <w:rPr>
                <w:sz w:val="21"/>
              </w:rPr>
            </w:pPr>
            <w:r>
              <w:rPr>
                <w:sz w:val="21"/>
              </w:rPr>
              <w:t>原因、损失程度的除外。</w:t>
            </w:r>
          </w:p>
        </w:tc>
      </w:tr>
      <w:tr>
        <w:trPr>
          <w:trHeight w:val="935" w:hRule="atLeast"/>
        </w:trPr>
        <w:tc>
          <w:tcPr>
            <w:tcW w:w="760" w:type="dxa"/>
          </w:tcPr>
          <w:p>
            <w:pPr>
              <w:pStyle w:val="TableParagraph"/>
              <w:spacing w:before="142"/>
              <w:ind w:left="108"/>
              <w:rPr>
                <w:b/>
                <w:sz w:val="21"/>
              </w:rPr>
            </w:pPr>
            <w:r>
              <w:rPr>
                <w:b/>
                <w:sz w:val="21"/>
              </w:rPr>
              <w:t>3.2</w:t>
            </w:r>
          </w:p>
        </w:tc>
        <w:tc>
          <w:tcPr>
            <w:tcW w:w="1662" w:type="dxa"/>
          </w:tcPr>
          <w:p>
            <w:pPr>
              <w:pStyle w:val="TableParagraph"/>
              <w:spacing w:line="273" w:lineRule="auto" w:before="142"/>
              <w:ind w:left="187" w:right="204"/>
              <w:rPr>
                <w:b/>
                <w:sz w:val="21"/>
              </w:rPr>
            </w:pPr>
            <w:r>
              <w:rPr>
                <w:b/>
                <w:sz w:val="21"/>
              </w:rPr>
              <w:t>保险费豁免申请</w:t>
            </w:r>
          </w:p>
        </w:tc>
        <w:tc>
          <w:tcPr>
            <w:tcW w:w="6923" w:type="dxa"/>
          </w:tcPr>
          <w:p>
            <w:pPr>
              <w:pStyle w:val="TableParagraph"/>
              <w:spacing w:before="142"/>
              <w:ind w:left="206"/>
              <w:rPr>
                <w:sz w:val="21"/>
              </w:rPr>
            </w:pPr>
            <w:r>
              <w:rPr>
                <w:sz w:val="21"/>
              </w:rPr>
              <w:t>在申请保险费豁免时，请按照下列方式办理：</w:t>
            </w:r>
          </w:p>
        </w:tc>
      </w:tr>
      <w:tr>
        <w:trPr>
          <w:trHeight w:val="2496" w:hRule="atLeast"/>
        </w:trPr>
        <w:tc>
          <w:tcPr>
            <w:tcW w:w="760" w:type="dxa"/>
          </w:tcPr>
          <w:p>
            <w:pPr>
              <w:pStyle w:val="TableParagraph"/>
              <w:rPr>
                <w:rFonts w:ascii="Times New Roman"/>
                <w:sz w:val="20"/>
              </w:rPr>
            </w:pPr>
          </w:p>
        </w:tc>
        <w:tc>
          <w:tcPr>
            <w:tcW w:w="1662" w:type="dxa"/>
          </w:tcPr>
          <w:p>
            <w:pPr>
              <w:pStyle w:val="TableParagraph"/>
              <w:spacing w:line="410" w:lineRule="auto" w:before="239"/>
              <w:ind w:left="187" w:right="212"/>
              <w:rPr>
                <w:rFonts w:ascii="Microsoft JhengHei" w:eastAsia="Microsoft JhengHei" w:hint="eastAsia"/>
                <w:b/>
                <w:sz w:val="21"/>
              </w:rPr>
            </w:pPr>
            <w:r>
              <w:rPr>
                <w:rFonts w:ascii="Microsoft JhengHei" w:eastAsia="Microsoft JhengHei" w:hint="eastAsia"/>
                <w:b/>
                <w:sz w:val="21"/>
              </w:rPr>
              <w:t>重大疾病保险费豁免申请</w:t>
            </w:r>
          </w:p>
        </w:tc>
        <w:tc>
          <w:tcPr>
            <w:tcW w:w="6923" w:type="dxa"/>
          </w:tcPr>
          <w:p>
            <w:pPr>
              <w:pStyle w:val="TableParagraph"/>
              <w:spacing w:line="273" w:lineRule="auto" w:before="142"/>
              <w:ind w:left="206" w:right="106"/>
              <w:rPr>
                <w:sz w:val="21"/>
              </w:rPr>
            </w:pPr>
            <w:r>
              <w:rPr>
                <w:sz w:val="21"/>
              </w:rPr>
              <w:t>由被保险人作为申请人填写保险费豁免申请书，并须提供下列证明和资料：</w:t>
            </w:r>
          </w:p>
          <w:p>
            <w:pPr>
              <w:pStyle w:val="TableParagraph"/>
              <w:spacing w:before="7"/>
              <w:ind w:left="206"/>
              <w:rPr>
                <w:sz w:val="21"/>
              </w:rPr>
            </w:pPr>
            <w:r>
              <w:rPr>
                <w:sz w:val="21"/>
              </w:rPr>
              <w:t>（1）保险合同；</w:t>
            </w:r>
          </w:p>
          <w:p>
            <w:pPr>
              <w:pStyle w:val="TableParagraph"/>
              <w:spacing w:before="37"/>
              <w:ind w:left="206"/>
              <w:rPr>
                <w:sz w:val="21"/>
              </w:rPr>
            </w:pPr>
            <w:r>
              <w:rPr>
                <w:sz w:val="21"/>
              </w:rPr>
              <w:t>（2）申请人的有效身份证件；</w:t>
            </w:r>
          </w:p>
          <w:p>
            <w:pPr>
              <w:pStyle w:val="TableParagraph"/>
              <w:spacing w:line="273" w:lineRule="auto" w:before="37"/>
              <w:ind w:left="696" w:right="101" w:hanging="490"/>
              <w:rPr>
                <w:sz w:val="21"/>
              </w:rPr>
            </w:pPr>
            <w:r>
              <w:rPr>
                <w:sz w:val="21"/>
              </w:rPr>
              <w:t>（3）医院（见8.15）出具的附有病理显微镜检查、血液检验及其他科学方法检验报告的被保险人疾病诊断证明；</w:t>
            </w:r>
          </w:p>
          <w:p>
            <w:pPr>
              <w:pStyle w:val="TableParagraph"/>
              <w:spacing w:before="8"/>
              <w:ind w:left="206"/>
              <w:rPr>
                <w:sz w:val="21"/>
              </w:rPr>
            </w:pPr>
            <w:r>
              <w:rPr>
                <w:sz w:val="21"/>
              </w:rPr>
              <w:t>（4）所能提供的与确认保险事故性质、原因等有关的其他证明和资料。</w:t>
            </w:r>
          </w:p>
        </w:tc>
      </w:tr>
      <w:tr>
        <w:trPr>
          <w:trHeight w:val="1247" w:hRule="atLeast"/>
        </w:trPr>
        <w:tc>
          <w:tcPr>
            <w:tcW w:w="760" w:type="dxa"/>
          </w:tcPr>
          <w:p>
            <w:pPr>
              <w:pStyle w:val="TableParagraph"/>
              <w:rPr>
                <w:rFonts w:ascii="Times New Roman"/>
                <w:sz w:val="20"/>
              </w:rPr>
            </w:pPr>
          </w:p>
        </w:tc>
        <w:tc>
          <w:tcPr>
            <w:tcW w:w="1662" w:type="dxa"/>
          </w:tcPr>
          <w:p>
            <w:pPr>
              <w:pStyle w:val="TableParagraph"/>
              <w:rPr>
                <w:rFonts w:ascii="Times New Roman"/>
                <w:sz w:val="20"/>
              </w:rPr>
            </w:pPr>
          </w:p>
        </w:tc>
        <w:tc>
          <w:tcPr>
            <w:tcW w:w="6923" w:type="dxa"/>
          </w:tcPr>
          <w:p>
            <w:pPr>
              <w:pStyle w:val="TableParagraph"/>
              <w:spacing w:line="273" w:lineRule="auto" w:before="142"/>
              <w:ind w:left="206" w:right="106"/>
              <w:jc w:val="both"/>
              <w:rPr>
                <w:sz w:val="21"/>
              </w:rPr>
            </w:pPr>
            <w:r>
              <w:rPr>
                <w:sz w:val="21"/>
              </w:rPr>
              <w:t>如果委托他人代为申请，则应提供授权书、受托人有效身份证件等相关证明文件。以上重大疾病保险费豁免申请所需证明和资料不完整的，我们将及时一次性书面通知申请人补充提供有关的证明和资料。</w:t>
            </w:r>
          </w:p>
        </w:tc>
      </w:tr>
      <w:tr>
        <w:trPr>
          <w:trHeight w:val="3741" w:hRule="atLeast"/>
        </w:trPr>
        <w:tc>
          <w:tcPr>
            <w:tcW w:w="760" w:type="dxa"/>
          </w:tcPr>
          <w:p>
            <w:pPr>
              <w:pStyle w:val="TableParagraph"/>
              <w:spacing w:before="142"/>
              <w:ind w:left="108"/>
              <w:rPr>
                <w:b/>
                <w:sz w:val="21"/>
              </w:rPr>
            </w:pPr>
            <w:r>
              <w:rPr>
                <w:b/>
                <w:sz w:val="21"/>
              </w:rPr>
              <w:t>3.3</w:t>
            </w:r>
          </w:p>
        </w:tc>
        <w:tc>
          <w:tcPr>
            <w:tcW w:w="1662" w:type="dxa"/>
          </w:tcPr>
          <w:p>
            <w:pPr>
              <w:pStyle w:val="TableParagraph"/>
              <w:spacing w:before="142"/>
              <w:ind w:left="187"/>
              <w:rPr>
                <w:b/>
                <w:sz w:val="21"/>
              </w:rPr>
            </w:pPr>
            <w:r>
              <w:rPr>
                <w:b/>
                <w:sz w:val="21"/>
              </w:rPr>
              <w:t>保险费的豁免</w:t>
            </w:r>
          </w:p>
        </w:tc>
        <w:tc>
          <w:tcPr>
            <w:tcW w:w="6923" w:type="dxa"/>
          </w:tcPr>
          <w:p>
            <w:pPr>
              <w:pStyle w:val="TableParagraph"/>
              <w:spacing w:before="142"/>
              <w:ind w:left="206"/>
              <w:rPr>
                <w:sz w:val="21"/>
              </w:rPr>
            </w:pPr>
            <w:r>
              <w:rPr>
                <w:sz w:val="21"/>
              </w:rPr>
              <w:t>我们在收到申请人的保险费豁免申请书及有关证明和资料后，将在 5 日</w:t>
            </w:r>
          </w:p>
          <w:p>
            <w:pPr>
              <w:pStyle w:val="TableParagraph"/>
              <w:spacing w:before="36"/>
              <w:ind w:left="206"/>
              <w:rPr>
                <w:sz w:val="21"/>
              </w:rPr>
            </w:pPr>
            <w:r>
              <w:rPr>
                <w:sz w:val="21"/>
              </w:rPr>
              <w:t>内作出核定；情形复杂的，在 30 日内作出核定。</w:t>
            </w:r>
          </w:p>
          <w:p>
            <w:pPr>
              <w:pStyle w:val="TableParagraph"/>
              <w:spacing w:line="273" w:lineRule="auto" w:before="36"/>
              <w:ind w:left="206" w:right="94"/>
              <w:jc w:val="both"/>
              <w:rPr>
                <w:sz w:val="21"/>
              </w:rPr>
            </w:pPr>
            <w:r>
              <w:rPr>
                <w:spacing w:val="-5"/>
                <w:sz w:val="21"/>
              </w:rPr>
              <w:t>对属于保险责任的，我们在与申请人达成豁免保险费的协议后 </w:t>
            </w:r>
            <w:r>
              <w:rPr>
                <w:sz w:val="21"/>
              </w:rPr>
              <w:t>10</w:t>
            </w:r>
            <w:r>
              <w:rPr>
                <w:spacing w:val="-12"/>
                <w:sz w:val="21"/>
              </w:rPr>
              <w:t> 日内， </w:t>
            </w:r>
            <w:r>
              <w:rPr>
                <w:spacing w:val="-6"/>
                <w:sz w:val="21"/>
              </w:rPr>
              <w:t>履行豁免保险费义务。</w:t>
            </w:r>
          </w:p>
          <w:p>
            <w:pPr>
              <w:pStyle w:val="TableParagraph"/>
              <w:spacing w:line="273" w:lineRule="auto" w:before="7"/>
              <w:ind w:left="206" w:right="107"/>
              <w:jc w:val="both"/>
              <w:rPr>
                <w:sz w:val="21"/>
              </w:rPr>
            </w:pPr>
            <w:r>
              <w:rPr>
                <w:sz w:val="21"/>
              </w:rPr>
              <w:t>我们未及时履行前款规定义务的，除豁免保险费外，应当赔偿申请人因此受到的损失。</w:t>
            </w:r>
          </w:p>
          <w:p>
            <w:pPr>
              <w:pStyle w:val="TableParagraph"/>
              <w:spacing w:line="273" w:lineRule="auto" w:before="7"/>
              <w:ind w:left="206" w:right="101"/>
              <w:jc w:val="both"/>
              <w:rPr>
                <w:sz w:val="21"/>
              </w:rPr>
            </w:pPr>
            <w:r>
              <w:rPr>
                <w:sz w:val="21"/>
              </w:rPr>
              <w:t>对不属于保险责任的，我们自作出核定之日起 3 日内向申请人发出拒绝豁免保险费通知书并说明理由。</w:t>
            </w:r>
          </w:p>
          <w:p>
            <w:pPr>
              <w:pStyle w:val="TableParagraph"/>
              <w:spacing w:line="273" w:lineRule="auto" w:before="7"/>
              <w:ind w:left="206" w:right="101"/>
              <w:jc w:val="both"/>
              <w:rPr>
                <w:sz w:val="21"/>
              </w:rPr>
            </w:pPr>
            <w:r>
              <w:rPr>
                <w:spacing w:val="-5"/>
                <w:sz w:val="21"/>
              </w:rPr>
              <w:t>我们在收到保险费豁免申请书及有关证明和资料之日起 </w:t>
            </w:r>
            <w:r>
              <w:rPr>
                <w:sz w:val="21"/>
              </w:rPr>
              <w:t>60</w:t>
            </w:r>
            <w:r>
              <w:rPr>
                <w:spacing w:val="-9"/>
                <w:sz w:val="21"/>
              </w:rPr>
              <w:t> 日内，对豁免保险费的数额不能确定的，根据已有证明和资料可以确定的数额先予豁</w:t>
            </w:r>
            <w:r>
              <w:rPr>
                <w:spacing w:val="-5"/>
                <w:sz w:val="21"/>
              </w:rPr>
              <w:t>免；我们最终确定豁免保险费的数额后，将支付相应的差额。</w:t>
            </w:r>
          </w:p>
        </w:tc>
      </w:tr>
      <w:tr>
        <w:trPr>
          <w:trHeight w:val="932" w:hRule="atLeast"/>
        </w:trPr>
        <w:tc>
          <w:tcPr>
            <w:tcW w:w="760" w:type="dxa"/>
          </w:tcPr>
          <w:p>
            <w:pPr>
              <w:pStyle w:val="TableParagraph"/>
              <w:spacing w:before="146"/>
              <w:ind w:left="108"/>
              <w:rPr>
                <w:b/>
                <w:sz w:val="21"/>
              </w:rPr>
            </w:pPr>
            <w:r>
              <w:rPr>
                <w:b/>
                <w:sz w:val="21"/>
              </w:rPr>
              <w:t>3.4</w:t>
            </w:r>
          </w:p>
        </w:tc>
        <w:tc>
          <w:tcPr>
            <w:tcW w:w="1662" w:type="dxa"/>
          </w:tcPr>
          <w:p>
            <w:pPr>
              <w:pStyle w:val="TableParagraph"/>
              <w:spacing w:before="146"/>
              <w:ind w:left="187"/>
              <w:rPr>
                <w:b/>
                <w:sz w:val="21"/>
              </w:rPr>
            </w:pPr>
            <w:r>
              <w:rPr>
                <w:b/>
                <w:sz w:val="21"/>
              </w:rPr>
              <w:t>诉讼时效</w:t>
            </w:r>
          </w:p>
        </w:tc>
        <w:tc>
          <w:tcPr>
            <w:tcW w:w="6923" w:type="dxa"/>
          </w:tcPr>
          <w:p>
            <w:pPr>
              <w:pStyle w:val="TableParagraph"/>
              <w:spacing w:line="256" w:lineRule="auto" w:before="146"/>
              <w:ind w:left="206" w:right="135"/>
              <w:rPr>
                <w:sz w:val="21"/>
              </w:rPr>
            </w:pPr>
            <w:r>
              <w:rPr>
                <w:sz w:val="21"/>
              </w:rPr>
              <w:t>您或被保险人对我们请求豁免保险费的诉讼时效期间为 </w:t>
            </w:r>
            <w:r>
              <w:rPr>
                <w:rFonts w:ascii="Times New Roman" w:eastAsia="Times New Roman"/>
                <w:sz w:val="21"/>
              </w:rPr>
              <w:t>5 </w:t>
            </w:r>
            <w:r>
              <w:rPr>
                <w:sz w:val="21"/>
              </w:rPr>
              <w:t>年，自其知道或者应当知道保险事故发生之日起计算。</w:t>
            </w:r>
          </w:p>
        </w:tc>
      </w:tr>
      <w:tr>
        <w:trPr>
          <w:trHeight w:val="786" w:hRule="atLeast"/>
        </w:trPr>
        <w:tc>
          <w:tcPr>
            <w:tcW w:w="760" w:type="dxa"/>
            <w:tcBorders>
              <w:bottom w:val="single" w:sz="4" w:space="0" w:color="000000"/>
            </w:tcBorders>
          </w:tcPr>
          <w:p>
            <w:pPr>
              <w:pStyle w:val="TableParagraph"/>
              <w:spacing w:before="170"/>
              <w:ind w:left="108"/>
              <w:rPr>
                <w:rFonts w:ascii="Wingdings" w:hAnsi="Wingdings"/>
                <w:sz w:val="52"/>
              </w:rPr>
            </w:pPr>
            <w:r>
              <w:rPr>
                <w:rFonts w:ascii="Wingdings" w:hAnsi="Wingdings"/>
                <w:w w:val="84"/>
                <w:sz w:val="52"/>
              </w:rPr>
              <w:t></w:t>
            </w:r>
          </w:p>
        </w:tc>
        <w:tc>
          <w:tcPr>
            <w:tcW w:w="8585" w:type="dxa"/>
            <w:gridSpan w:val="2"/>
            <w:tcBorders>
              <w:bottom w:val="single" w:sz="4" w:space="0" w:color="000000"/>
            </w:tcBorders>
          </w:tcPr>
          <w:p>
            <w:pPr>
              <w:pStyle w:val="TableParagraph"/>
              <w:spacing w:before="249"/>
              <w:ind w:left="187"/>
              <w:rPr>
                <w:b/>
                <w:sz w:val="28"/>
              </w:rPr>
            </w:pPr>
            <w:r>
              <w:rPr>
                <w:b/>
                <w:w w:val="95"/>
                <w:sz w:val="28"/>
              </w:rPr>
              <w:t>如何交纳保险费</w:t>
            </w:r>
          </w:p>
        </w:tc>
      </w:tr>
      <w:tr>
        <w:trPr>
          <w:trHeight w:val="2652" w:hRule="atLeast"/>
        </w:trPr>
        <w:tc>
          <w:tcPr>
            <w:tcW w:w="76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4.1</w:t>
            </w:r>
          </w:p>
        </w:tc>
        <w:tc>
          <w:tcPr>
            <w:tcW w:w="1662" w:type="dxa"/>
            <w:tcBorders>
              <w:top w:val="single" w:sz="4" w:space="0" w:color="000000"/>
            </w:tcBorders>
          </w:tcPr>
          <w:p>
            <w:pPr>
              <w:pStyle w:val="TableParagraph"/>
              <w:rPr>
                <w:rFonts w:ascii="Times New Roman"/>
                <w:sz w:val="26"/>
              </w:rPr>
            </w:pPr>
          </w:p>
          <w:p>
            <w:pPr>
              <w:pStyle w:val="TableParagraph"/>
              <w:ind w:left="187"/>
              <w:rPr>
                <w:b/>
                <w:sz w:val="21"/>
              </w:rPr>
            </w:pPr>
            <w:r>
              <w:rPr>
                <w:b/>
                <w:sz w:val="21"/>
              </w:rPr>
              <w:t>保险费的交纳</w:t>
            </w:r>
          </w:p>
        </w:tc>
        <w:tc>
          <w:tcPr>
            <w:tcW w:w="6923" w:type="dxa"/>
            <w:tcBorders>
              <w:top w:val="single" w:sz="4" w:space="0" w:color="000000"/>
            </w:tcBorders>
          </w:tcPr>
          <w:p>
            <w:pPr>
              <w:pStyle w:val="TableParagraph"/>
              <w:rPr>
                <w:rFonts w:ascii="Times New Roman"/>
                <w:sz w:val="26"/>
              </w:rPr>
            </w:pPr>
          </w:p>
          <w:p>
            <w:pPr>
              <w:pStyle w:val="TableParagraph"/>
              <w:spacing w:line="273" w:lineRule="auto"/>
              <w:ind w:left="206" w:right="95"/>
              <w:jc w:val="both"/>
              <w:rPr>
                <w:sz w:val="21"/>
              </w:rPr>
            </w:pPr>
            <w:r>
              <w:rPr>
                <w:sz w:val="21"/>
              </w:rPr>
              <w:t>本附加险合同的交费方式和交费期间由您和我们约定并在保险单上载明。</w:t>
            </w:r>
          </w:p>
          <w:p>
            <w:pPr>
              <w:pStyle w:val="TableParagraph"/>
              <w:spacing w:line="273" w:lineRule="auto" w:before="7"/>
              <w:ind w:left="206" w:right="106"/>
              <w:jc w:val="both"/>
              <w:rPr>
                <w:sz w:val="21"/>
              </w:rPr>
            </w:pPr>
            <w:r>
              <w:rPr>
                <w:sz w:val="21"/>
              </w:rPr>
              <w:t>分期交纳保险费的，在交纳首期保险费后，您应当按约定的交费日期交纳其余各期的保险费。本附加险合同的保险费必须随主险合同保险费一同支付，不能单独交纳。</w:t>
            </w:r>
          </w:p>
          <w:p>
            <w:pPr>
              <w:pStyle w:val="TableParagraph"/>
              <w:spacing w:line="273" w:lineRule="auto" w:before="7"/>
              <w:ind w:left="206" w:right="106"/>
              <w:jc w:val="both"/>
              <w:rPr>
                <w:sz w:val="21"/>
              </w:rPr>
            </w:pPr>
            <w:r>
              <w:rPr>
                <w:sz w:val="21"/>
              </w:rPr>
              <w:t>在本附加险合同有效期内，主险合同或其他附加险合同的保险费发生变化的，本附加险合同的保险费也相应调整。</w:t>
            </w:r>
          </w:p>
        </w:tc>
      </w:tr>
      <w:tr>
        <w:trPr>
          <w:trHeight w:val="417" w:hRule="atLeast"/>
        </w:trPr>
        <w:tc>
          <w:tcPr>
            <w:tcW w:w="760" w:type="dxa"/>
          </w:tcPr>
          <w:p>
            <w:pPr>
              <w:pStyle w:val="TableParagraph"/>
              <w:spacing w:line="255" w:lineRule="exact" w:before="143"/>
              <w:ind w:left="108"/>
              <w:rPr>
                <w:b/>
                <w:sz w:val="21"/>
              </w:rPr>
            </w:pPr>
            <w:r>
              <w:rPr>
                <w:b/>
                <w:sz w:val="21"/>
              </w:rPr>
              <w:t>4.2</w:t>
            </w:r>
          </w:p>
        </w:tc>
        <w:tc>
          <w:tcPr>
            <w:tcW w:w="1662" w:type="dxa"/>
          </w:tcPr>
          <w:p>
            <w:pPr>
              <w:pStyle w:val="TableParagraph"/>
              <w:spacing w:line="255" w:lineRule="exact" w:before="143"/>
              <w:ind w:left="187"/>
              <w:rPr>
                <w:b/>
                <w:sz w:val="21"/>
              </w:rPr>
            </w:pPr>
            <w:r>
              <w:rPr>
                <w:b/>
                <w:sz w:val="21"/>
              </w:rPr>
              <w:t>宽限期</w:t>
            </w:r>
          </w:p>
        </w:tc>
        <w:tc>
          <w:tcPr>
            <w:tcW w:w="6923" w:type="dxa"/>
          </w:tcPr>
          <w:p>
            <w:pPr>
              <w:pStyle w:val="TableParagraph"/>
              <w:spacing w:line="255" w:lineRule="exact" w:before="143"/>
              <w:ind w:left="206"/>
              <w:rPr>
                <w:sz w:val="21"/>
              </w:rPr>
            </w:pPr>
            <w:r>
              <w:rPr>
                <w:spacing w:val="-6"/>
                <w:sz w:val="21"/>
              </w:rPr>
              <w:t>如果您到期未交纳保险费，自保险单所约定的交费日的次日零时起 </w:t>
            </w:r>
            <w:r>
              <w:rPr>
                <w:sz w:val="21"/>
              </w:rPr>
              <w:t>60</w:t>
            </w:r>
            <w:r>
              <w:rPr>
                <w:spacing w:val="-20"/>
                <w:sz w:val="21"/>
              </w:rPr>
              <w:t> 天</w:t>
            </w:r>
          </w:p>
        </w:tc>
      </w:tr>
    </w:tbl>
    <w:p>
      <w:pPr>
        <w:spacing w:after="0" w:line="255" w:lineRule="exact"/>
        <w:rPr>
          <w:sz w:val="21"/>
        </w:rPr>
        <w:sectPr>
          <w:pgSz w:w="11910" w:h="16840"/>
          <w:pgMar w:header="886" w:footer="992" w:top="1120" w:bottom="1180" w:left="1200" w:right="1040"/>
        </w:sectPr>
      </w:pPr>
    </w:p>
    <w:p>
      <w:pPr>
        <w:pStyle w:val="BodyText"/>
        <w:rPr>
          <w:rFonts w:ascii="Times New Roman"/>
          <w:sz w:val="20"/>
        </w:rPr>
      </w:pPr>
    </w:p>
    <w:p>
      <w:pPr>
        <w:pStyle w:val="BodyText"/>
        <w:spacing w:before="9"/>
        <w:rPr>
          <w:rFonts w:ascii="Times New Roman"/>
          <w:sz w:val="1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62"/>
        <w:gridCol w:w="6923"/>
      </w:tblGrid>
      <w:tr>
        <w:trPr>
          <w:trHeight w:val="1345" w:hRule="atLeast"/>
        </w:trPr>
        <w:tc>
          <w:tcPr>
            <w:tcW w:w="760" w:type="dxa"/>
          </w:tcPr>
          <w:p>
            <w:pPr>
              <w:pStyle w:val="TableParagraph"/>
              <w:rPr>
                <w:rFonts w:ascii="Times New Roman"/>
                <w:sz w:val="20"/>
              </w:rPr>
            </w:pPr>
          </w:p>
        </w:tc>
        <w:tc>
          <w:tcPr>
            <w:tcW w:w="1662" w:type="dxa"/>
          </w:tcPr>
          <w:p>
            <w:pPr>
              <w:pStyle w:val="TableParagraph"/>
              <w:rPr>
                <w:rFonts w:ascii="Times New Roman"/>
                <w:sz w:val="20"/>
              </w:rPr>
            </w:pPr>
          </w:p>
        </w:tc>
        <w:tc>
          <w:tcPr>
            <w:tcW w:w="6923" w:type="dxa"/>
          </w:tcPr>
          <w:p>
            <w:pPr>
              <w:pStyle w:val="TableParagraph"/>
              <w:spacing w:line="211" w:lineRule="exact"/>
              <w:ind w:left="206"/>
              <w:rPr>
                <w:sz w:val="21"/>
              </w:rPr>
            </w:pPr>
            <w:r>
              <w:rPr>
                <w:sz w:val="21"/>
              </w:rPr>
              <w:t>为宽限期。宽限期内发生的保险事故，我们仍会承担保险责任，但您应</w:t>
            </w:r>
          </w:p>
          <w:p>
            <w:pPr>
              <w:pStyle w:val="TableParagraph"/>
              <w:spacing w:before="37"/>
              <w:ind w:left="206"/>
              <w:rPr>
                <w:sz w:val="21"/>
              </w:rPr>
            </w:pPr>
            <w:r>
              <w:rPr>
                <w:sz w:val="21"/>
              </w:rPr>
              <w:t>补交所欠的保险费。</w:t>
            </w:r>
          </w:p>
          <w:p>
            <w:pPr>
              <w:pStyle w:val="TableParagraph"/>
              <w:spacing w:line="273" w:lineRule="auto" w:before="37"/>
              <w:ind w:left="206"/>
              <w:rPr>
                <w:sz w:val="21"/>
              </w:rPr>
            </w:pPr>
            <w:r>
              <w:rPr>
                <w:spacing w:val="-4"/>
                <w:sz w:val="21"/>
              </w:rPr>
              <w:t>如果您在宽限期结束之后仍未交纳保险费，除非本附加险合同另有约定， </w:t>
            </w:r>
            <w:r>
              <w:rPr>
                <w:spacing w:val="-3"/>
                <w:sz w:val="21"/>
              </w:rPr>
              <w:t>否则本附加险合同自宽限期满的次日零时起效力终止。</w:t>
            </w:r>
          </w:p>
        </w:tc>
      </w:tr>
      <w:tr>
        <w:trPr>
          <w:trHeight w:val="948" w:hRule="atLeast"/>
        </w:trPr>
        <w:tc>
          <w:tcPr>
            <w:tcW w:w="760" w:type="dxa"/>
          </w:tcPr>
          <w:p>
            <w:pPr>
              <w:pStyle w:val="TableParagraph"/>
              <w:spacing w:before="170"/>
              <w:ind w:left="108"/>
              <w:rPr>
                <w:rFonts w:ascii="Wingdings" w:hAnsi="Wingdings"/>
                <w:sz w:val="52"/>
              </w:rPr>
            </w:pPr>
            <w:r>
              <w:rPr>
                <w:rFonts w:ascii="Wingdings" w:hAnsi="Wingdings"/>
                <w:w w:val="84"/>
                <w:sz w:val="52"/>
              </w:rPr>
              <w:t></w:t>
            </w:r>
          </w:p>
        </w:tc>
        <w:tc>
          <w:tcPr>
            <w:tcW w:w="8585" w:type="dxa"/>
            <w:gridSpan w:val="2"/>
          </w:tcPr>
          <w:p>
            <w:pPr>
              <w:pStyle w:val="TableParagraph"/>
              <w:spacing w:before="248"/>
              <w:ind w:left="187"/>
              <w:rPr>
                <w:b/>
                <w:sz w:val="28"/>
              </w:rPr>
            </w:pPr>
            <w:r>
              <w:rPr>
                <w:b/>
                <w:sz w:val="28"/>
              </w:rPr>
              <w:t>现金价值权益</w:t>
            </w:r>
          </w:p>
        </w:tc>
      </w:tr>
      <w:tr>
        <w:trPr>
          <w:trHeight w:val="1867" w:hRule="atLeast"/>
        </w:trPr>
        <w:tc>
          <w:tcPr>
            <w:tcW w:w="760" w:type="dxa"/>
          </w:tcPr>
          <w:p>
            <w:pPr>
              <w:pStyle w:val="TableParagraph"/>
              <w:spacing w:before="137"/>
              <w:ind w:left="108"/>
              <w:rPr>
                <w:b/>
                <w:sz w:val="21"/>
              </w:rPr>
            </w:pPr>
            <w:r>
              <w:rPr>
                <w:b/>
                <w:sz w:val="21"/>
              </w:rPr>
              <w:t>5.1</w:t>
            </w:r>
          </w:p>
        </w:tc>
        <w:tc>
          <w:tcPr>
            <w:tcW w:w="1662" w:type="dxa"/>
          </w:tcPr>
          <w:p>
            <w:pPr>
              <w:pStyle w:val="TableParagraph"/>
              <w:spacing w:before="137"/>
              <w:ind w:left="187"/>
              <w:rPr>
                <w:b/>
                <w:sz w:val="21"/>
              </w:rPr>
            </w:pPr>
            <w:r>
              <w:rPr>
                <w:b/>
                <w:sz w:val="21"/>
              </w:rPr>
              <w:t>现金价值</w:t>
            </w:r>
          </w:p>
        </w:tc>
        <w:tc>
          <w:tcPr>
            <w:tcW w:w="6923" w:type="dxa"/>
          </w:tcPr>
          <w:p>
            <w:pPr>
              <w:pStyle w:val="TableParagraph"/>
              <w:spacing w:line="273" w:lineRule="auto" w:before="137"/>
              <w:ind w:left="206" w:right="106"/>
              <w:jc w:val="both"/>
              <w:rPr>
                <w:sz w:val="21"/>
              </w:rPr>
            </w:pPr>
            <w:r>
              <w:rPr>
                <w:sz w:val="21"/>
              </w:rPr>
              <w:t>本附加险合同保险单年度末的现金价值会在保险单上载明，保险单年度内的现金价值，您可以向我们咨询。</w:t>
            </w:r>
          </w:p>
          <w:p>
            <w:pPr>
              <w:pStyle w:val="TableParagraph"/>
              <w:spacing w:line="273" w:lineRule="auto" w:before="7"/>
              <w:ind w:left="206" w:right="108"/>
              <w:jc w:val="both"/>
              <w:rPr>
                <w:sz w:val="21"/>
              </w:rPr>
            </w:pPr>
            <w:r>
              <w:rPr>
                <w:sz w:val="21"/>
              </w:rPr>
              <w:t>如果被保险人被确诊患有本附加合同约定的重大疾病，且本公司已经开始履行保险费豁免责任，自本公司履行保险费豁免责任时刻起，本附加合同的现金价值为零。</w:t>
            </w:r>
          </w:p>
        </w:tc>
      </w:tr>
      <w:tr>
        <w:trPr>
          <w:trHeight w:val="1240" w:hRule="atLeast"/>
        </w:trPr>
        <w:tc>
          <w:tcPr>
            <w:tcW w:w="760" w:type="dxa"/>
          </w:tcPr>
          <w:p>
            <w:pPr>
              <w:pStyle w:val="TableParagraph"/>
              <w:spacing w:before="142"/>
              <w:ind w:left="108"/>
              <w:rPr>
                <w:b/>
                <w:sz w:val="21"/>
              </w:rPr>
            </w:pPr>
            <w:r>
              <w:rPr>
                <w:b/>
                <w:sz w:val="21"/>
              </w:rPr>
              <w:t>5.2</w:t>
            </w:r>
          </w:p>
        </w:tc>
        <w:tc>
          <w:tcPr>
            <w:tcW w:w="1662" w:type="dxa"/>
          </w:tcPr>
          <w:p>
            <w:pPr>
              <w:pStyle w:val="TableParagraph"/>
              <w:spacing w:before="142"/>
              <w:ind w:left="187"/>
              <w:rPr>
                <w:b/>
                <w:sz w:val="21"/>
              </w:rPr>
            </w:pPr>
            <w:r>
              <w:rPr>
                <w:b/>
                <w:sz w:val="21"/>
              </w:rPr>
              <w:t>保险单借款</w:t>
            </w:r>
          </w:p>
        </w:tc>
        <w:tc>
          <w:tcPr>
            <w:tcW w:w="6923" w:type="dxa"/>
          </w:tcPr>
          <w:p>
            <w:pPr>
              <w:pStyle w:val="TableParagraph"/>
              <w:spacing w:line="273" w:lineRule="auto" w:before="142"/>
              <w:ind w:left="206"/>
              <w:rPr>
                <w:sz w:val="21"/>
              </w:rPr>
            </w:pPr>
            <w:r>
              <w:rPr>
                <w:spacing w:val="-4"/>
                <w:sz w:val="21"/>
              </w:rPr>
              <w:t>您对主险合同申请保险单借款时，本附加险合同应同时进行保险单借款， 借款比例和利息计算方式与主险一致，并适用主险合同“保险单借款” </w:t>
            </w:r>
            <w:r>
              <w:rPr>
                <w:spacing w:val="-3"/>
                <w:sz w:val="21"/>
              </w:rPr>
              <w:t>的相关规定。您不能单独对本附加险合同进行保险单借款。</w:t>
            </w:r>
          </w:p>
        </w:tc>
      </w:tr>
      <w:tr>
        <w:trPr>
          <w:trHeight w:val="786" w:hRule="atLeast"/>
        </w:trPr>
        <w:tc>
          <w:tcPr>
            <w:tcW w:w="760" w:type="dxa"/>
            <w:tcBorders>
              <w:bottom w:val="single" w:sz="8"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585" w:type="dxa"/>
            <w:gridSpan w:val="2"/>
            <w:tcBorders>
              <w:bottom w:val="single" w:sz="8" w:space="0" w:color="000000"/>
            </w:tcBorders>
          </w:tcPr>
          <w:p>
            <w:pPr>
              <w:pStyle w:val="TableParagraph"/>
              <w:spacing w:before="248"/>
              <w:ind w:left="187"/>
              <w:rPr>
                <w:b/>
                <w:sz w:val="28"/>
              </w:rPr>
            </w:pPr>
            <w:r>
              <w:rPr>
                <w:b/>
                <w:w w:val="95"/>
                <w:sz w:val="28"/>
              </w:rPr>
              <w:t>如何解除保险合同</w:t>
            </w:r>
          </w:p>
        </w:tc>
      </w:tr>
      <w:tr>
        <w:trPr>
          <w:trHeight w:val="2957" w:hRule="atLeast"/>
        </w:trPr>
        <w:tc>
          <w:tcPr>
            <w:tcW w:w="760"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6.1</w:t>
            </w:r>
          </w:p>
        </w:tc>
        <w:tc>
          <w:tcPr>
            <w:tcW w:w="1662" w:type="dxa"/>
            <w:tcBorders>
              <w:top w:val="single" w:sz="8" w:space="0" w:color="000000"/>
            </w:tcBorders>
          </w:tcPr>
          <w:p>
            <w:pPr>
              <w:pStyle w:val="TableParagraph"/>
              <w:rPr>
                <w:rFonts w:ascii="Times New Roman"/>
                <w:sz w:val="26"/>
              </w:rPr>
            </w:pPr>
          </w:p>
          <w:p>
            <w:pPr>
              <w:pStyle w:val="TableParagraph"/>
              <w:spacing w:line="273" w:lineRule="auto"/>
              <w:ind w:left="187" w:right="204"/>
              <w:rPr>
                <w:b/>
                <w:sz w:val="21"/>
              </w:rPr>
            </w:pPr>
            <w:r>
              <w:rPr>
                <w:b/>
                <w:sz w:val="21"/>
              </w:rPr>
              <w:t>您解除合同的手续及风险</w:t>
            </w:r>
          </w:p>
        </w:tc>
        <w:tc>
          <w:tcPr>
            <w:tcW w:w="6923" w:type="dxa"/>
            <w:tcBorders>
              <w:top w:val="single" w:sz="8" w:space="0" w:color="000000"/>
            </w:tcBorders>
          </w:tcPr>
          <w:p>
            <w:pPr>
              <w:pStyle w:val="TableParagraph"/>
              <w:rPr>
                <w:rFonts w:ascii="Times New Roman"/>
                <w:sz w:val="26"/>
              </w:rPr>
            </w:pPr>
          </w:p>
          <w:p>
            <w:pPr>
              <w:pStyle w:val="TableParagraph"/>
              <w:spacing w:line="273" w:lineRule="auto"/>
              <w:ind w:left="206" w:right="106"/>
              <w:rPr>
                <w:sz w:val="21"/>
              </w:rPr>
            </w:pPr>
            <w:r>
              <w:rPr>
                <w:sz w:val="21"/>
              </w:rPr>
              <w:t>您在犹豫期后，可以书面通知要求解除本附加险合同，并向我们提供下列证明和资料：</w:t>
            </w:r>
          </w:p>
          <w:p>
            <w:pPr>
              <w:pStyle w:val="TableParagraph"/>
              <w:numPr>
                <w:ilvl w:val="0"/>
                <w:numId w:val="3"/>
              </w:numPr>
              <w:tabs>
                <w:tab w:pos="838" w:val="left" w:leader="none"/>
              </w:tabs>
              <w:spacing w:line="240" w:lineRule="auto" w:before="7" w:after="0"/>
              <w:ind w:left="837" w:right="0" w:hanging="631"/>
              <w:jc w:val="left"/>
              <w:rPr>
                <w:sz w:val="21"/>
              </w:rPr>
            </w:pPr>
            <w:r>
              <w:rPr>
                <w:spacing w:val="-3"/>
                <w:sz w:val="21"/>
              </w:rPr>
              <w:t>保险合同；</w:t>
            </w:r>
          </w:p>
          <w:p>
            <w:pPr>
              <w:pStyle w:val="TableParagraph"/>
              <w:numPr>
                <w:ilvl w:val="0"/>
                <w:numId w:val="3"/>
              </w:numPr>
              <w:tabs>
                <w:tab w:pos="838" w:val="left" w:leader="none"/>
              </w:tabs>
              <w:spacing w:line="240" w:lineRule="auto" w:before="37" w:after="0"/>
              <w:ind w:left="837" w:right="0" w:hanging="631"/>
              <w:jc w:val="left"/>
              <w:rPr>
                <w:sz w:val="21"/>
              </w:rPr>
            </w:pPr>
            <w:r>
              <w:rPr>
                <w:spacing w:val="-3"/>
                <w:sz w:val="21"/>
              </w:rPr>
              <w:t>解除合同申请书；</w:t>
            </w:r>
          </w:p>
          <w:p>
            <w:pPr>
              <w:pStyle w:val="TableParagraph"/>
              <w:numPr>
                <w:ilvl w:val="0"/>
                <w:numId w:val="3"/>
              </w:numPr>
              <w:tabs>
                <w:tab w:pos="838" w:val="left" w:leader="none"/>
              </w:tabs>
              <w:spacing w:line="240" w:lineRule="auto" w:before="37" w:after="0"/>
              <w:ind w:left="837" w:right="0" w:hanging="631"/>
              <w:jc w:val="left"/>
              <w:rPr>
                <w:sz w:val="21"/>
              </w:rPr>
            </w:pPr>
            <w:r>
              <w:rPr>
                <w:spacing w:val="-3"/>
                <w:sz w:val="21"/>
              </w:rPr>
              <w:t>您的有效身份证件。</w:t>
            </w:r>
          </w:p>
          <w:p>
            <w:pPr>
              <w:pStyle w:val="TableParagraph"/>
              <w:spacing w:line="273" w:lineRule="auto" w:before="37"/>
              <w:ind w:left="206" w:right="107"/>
              <w:rPr>
                <w:sz w:val="21"/>
              </w:rPr>
            </w:pPr>
            <w:r>
              <w:rPr>
                <w:sz w:val="21"/>
              </w:rPr>
              <w:t>自我们收到解除合同申请书时起，本附加险合同终止。我们在收到上述证明和资料之日起 30 日内向您退还本附加险合同现金价值。</w:t>
            </w:r>
          </w:p>
          <w:p>
            <w:pPr>
              <w:pStyle w:val="TableParagraph"/>
              <w:spacing w:before="8"/>
              <w:ind w:left="206"/>
              <w:rPr>
                <w:sz w:val="21"/>
              </w:rPr>
            </w:pPr>
            <w:r>
              <w:rPr>
                <w:sz w:val="21"/>
              </w:rPr>
              <w:t>您在犹豫期后解除本附加险合同会遭受一定损失。</w:t>
            </w:r>
          </w:p>
        </w:tc>
      </w:tr>
      <w:tr>
        <w:trPr>
          <w:trHeight w:val="787" w:hRule="atLeast"/>
        </w:trPr>
        <w:tc>
          <w:tcPr>
            <w:tcW w:w="760" w:type="dxa"/>
            <w:tcBorders>
              <w:bottom w:val="single" w:sz="4" w:space="0" w:color="000000"/>
            </w:tcBorders>
          </w:tcPr>
          <w:p>
            <w:pPr>
              <w:pStyle w:val="TableParagraph"/>
              <w:spacing w:before="170"/>
              <w:ind w:left="108"/>
              <w:rPr>
                <w:rFonts w:ascii="Wingdings" w:hAnsi="Wingdings"/>
                <w:sz w:val="52"/>
              </w:rPr>
            </w:pPr>
            <w:r>
              <w:rPr>
                <w:rFonts w:ascii="Wingdings" w:hAnsi="Wingdings"/>
                <w:w w:val="100"/>
                <w:sz w:val="52"/>
              </w:rPr>
              <w:t></w:t>
            </w:r>
          </w:p>
        </w:tc>
        <w:tc>
          <w:tcPr>
            <w:tcW w:w="8585" w:type="dxa"/>
            <w:gridSpan w:val="2"/>
            <w:tcBorders>
              <w:bottom w:val="single" w:sz="4" w:space="0" w:color="000000"/>
            </w:tcBorders>
          </w:tcPr>
          <w:p>
            <w:pPr>
              <w:pStyle w:val="TableParagraph"/>
              <w:spacing w:before="248"/>
              <w:ind w:left="187"/>
              <w:rPr>
                <w:b/>
                <w:sz w:val="28"/>
              </w:rPr>
            </w:pPr>
            <w:r>
              <w:rPr>
                <w:b/>
                <w:w w:val="95"/>
                <w:sz w:val="28"/>
              </w:rPr>
              <w:t>其他需要关注的事项</w:t>
            </w:r>
          </w:p>
        </w:tc>
      </w:tr>
      <w:tr>
        <w:trPr>
          <w:trHeight w:val="3694" w:hRule="atLeast"/>
        </w:trPr>
        <w:tc>
          <w:tcPr>
            <w:tcW w:w="760" w:type="dxa"/>
            <w:tcBorders>
              <w:top w:val="single" w:sz="4" w:space="0" w:color="000000"/>
            </w:tcBorders>
          </w:tcPr>
          <w:p>
            <w:pPr>
              <w:pStyle w:val="TableParagraph"/>
              <w:rPr>
                <w:rFonts w:ascii="Times New Roman"/>
                <w:sz w:val="26"/>
              </w:rPr>
            </w:pPr>
          </w:p>
          <w:p>
            <w:pPr>
              <w:pStyle w:val="TableParagraph"/>
              <w:ind w:left="108"/>
              <w:rPr>
                <w:b/>
                <w:sz w:val="21"/>
              </w:rPr>
            </w:pPr>
            <w:r>
              <w:rPr>
                <w:b/>
                <w:sz w:val="21"/>
              </w:rPr>
              <w:t>7.1</w:t>
            </w:r>
          </w:p>
        </w:tc>
        <w:tc>
          <w:tcPr>
            <w:tcW w:w="1662" w:type="dxa"/>
            <w:tcBorders>
              <w:top w:val="single" w:sz="4" w:space="0" w:color="000000"/>
            </w:tcBorders>
          </w:tcPr>
          <w:p>
            <w:pPr>
              <w:pStyle w:val="TableParagraph"/>
              <w:rPr>
                <w:rFonts w:ascii="Times New Roman"/>
                <w:sz w:val="26"/>
              </w:rPr>
            </w:pPr>
          </w:p>
          <w:p>
            <w:pPr>
              <w:pStyle w:val="TableParagraph"/>
              <w:spacing w:line="273" w:lineRule="auto"/>
              <w:ind w:left="187" w:right="204"/>
              <w:rPr>
                <w:b/>
                <w:sz w:val="21"/>
              </w:rPr>
            </w:pPr>
            <w:r>
              <w:rPr>
                <w:b/>
                <w:sz w:val="21"/>
              </w:rPr>
              <w:t>明确说明与如实告知</w:t>
            </w:r>
          </w:p>
        </w:tc>
        <w:tc>
          <w:tcPr>
            <w:tcW w:w="6923" w:type="dxa"/>
            <w:tcBorders>
              <w:top w:val="single" w:sz="4" w:space="0" w:color="000000"/>
            </w:tcBorders>
          </w:tcPr>
          <w:p>
            <w:pPr>
              <w:pStyle w:val="TableParagraph"/>
              <w:rPr>
                <w:rFonts w:ascii="Times New Roman"/>
                <w:sz w:val="26"/>
              </w:rPr>
            </w:pPr>
          </w:p>
          <w:p>
            <w:pPr>
              <w:pStyle w:val="TableParagraph"/>
              <w:ind w:left="206"/>
              <w:rPr>
                <w:sz w:val="21"/>
              </w:rPr>
            </w:pPr>
            <w:r>
              <w:rPr>
                <w:sz w:val="21"/>
              </w:rPr>
              <w:t>订立本附加险合同时，我们应向您说明本附加险合同的内容。</w:t>
            </w:r>
          </w:p>
          <w:p>
            <w:pPr>
              <w:pStyle w:val="TableParagraph"/>
              <w:spacing w:line="273" w:lineRule="auto" w:before="37"/>
              <w:ind w:left="206" w:right="106"/>
              <w:jc w:val="both"/>
              <w:rPr>
                <w:sz w:val="21"/>
              </w:rPr>
            </w:pPr>
            <w:r>
              <w:rPr>
                <w:sz w:val="21"/>
              </w:rPr>
              <w:t>对保险条款中免除我们责任的条款，我们在订立本附加险合同时应当在投保单、保险单或者其他保险凭证上作出足以引起您注意的提示，并对该条款的内容以书面或者口头形式向您作出明确说明，未作提示或者明确说明的，该条款不产生效力。</w:t>
            </w:r>
          </w:p>
          <w:p>
            <w:pPr>
              <w:pStyle w:val="TableParagraph"/>
              <w:spacing w:before="8"/>
              <w:ind w:left="206"/>
              <w:rPr>
                <w:sz w:val="21"/>
              </w:rPr>
            </w:pPr>
            <w:r>
              <w:rPr>
                <w:sz w:val="21"/>
              </w:rPr>
              <w:t>我们就您和被保险人的有关情况提出询问，您应当如实告知。</w:t>
            </w:r>
          </w:p>
          <w:p>
            <w:pPr>
              <w:pStyle w:val="TableParagraph"/>
              <w:spacing w:line="273" w:lineRule="auto" w:before="37"/>
              <w:ind w:left="206" w:right="102"/>
              <w:jc w:val="both"/>
              <w:rPr>
                <w:b/>
                <w:sz w:val="21"/>
              </w:rPr>
            </w:pPr>
            <w:r>
              <w:rPr>
                <w:b/>
                <w:sz w:val="21"/>
              </w:rPr>
              <w:t>如果您故意或者因重大过失未履行前款规定的如实告知义务，足以影响我们决定是否同意承保或者提高保险费率的，我们有权解除本附加险合同。</w:t>
            </w:r>
          </w:p>
          <w:p>
            <w:pPr>
              <w:pStyle w:val="TableParagraph"/>
              <w:spacing w:line="312" w:lineRule="exact" w:before="3"/>
              <w:ind w:left="206" w:right="102"/>
              <w:jc w:val="both"/>
              <w:rPr>
                <w:b/>
                <w:sz w:val="21"/>
              </w:rPr>
            </w:pPr>
            <w:r>
              <w:rPr>
                <w:b/>
                <w:sz w:val="21"/>
              </w:rPr>
              <w:t>如果您故意不履行如实告知义务，对于本附加险合同解除前发生的保险事故，我们不承担豁免保险费的责任，并不退还保险费。</w:t>
            </w:r>
          </w:p>
        </w:tc>
      </w:tr>
    </w:tbl>
    <w:p>
      <w:pPr>
        <w:spacing w:after="0" w:line="312" w:lineRule="exact"/>
        <w:jc w:val="both"/>
        <w:rPr>
          <w:sz w:val="21"/>
        </w:rPr>
        <w:sectPr>
          <w:pgSz w:w="11910" w:h="16840"/>
          <w:pgMar w:header="886" w:footer="992" w:top="1120" w:bottom="1180" w:left="1200" w:right="1040"/>
        </w:sectPr>
      </w:pPr>
    </w:p>
    <w:p>
      <w:pPr>
        <w:pStyle w:val="BodyText"/>
        <w:rPr>
          <w:rFonts w:ascii="Times New Roman"/>
          <w:sz w:val="20"/>
        </w:rPr>
      </w:pPr>
    </w:p>
    <w:p>
      <w:pPr>
        <w:pStyle w:val="BodyText"/>
        <w:spacing w:before="9"/>
        <w:rPr>
          <w:rFonts w:ascii="Times New Roman"/>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78"/>
        <w:gridCol w:w="1735"/>
        <w:gridCol w:w="7124"/>
      </w:tblGrid>
      <w:tr>
        <w:trPr>
          <w:trHeight w:val="1665" w:hRule="atLeast"/>
        </w:trPr>
        <w:tc>
          <w:tcPr>
            <w:tcW w:w="778" w:type="dxa"/>
          </w:tcPr>
          <w:p>
            <w:pPr>
              <w:pStyle w:val="TableParagraph"/>
              <w:rPr>
                <w:rFonts w:ascii="Times New Roman"/>
                <w:sz w:val="20"/>
              </w:rPr>
            </w:pPr>
          </w:p>
        </w:tc>
        <w:tc>
          <w:tcPr>
            <w:tcW w:w="1735" w:type="dxa"/>
          </w:tcPr>
          <w:p>
            <w:pPr>
              <w:pStyle w:val="TableParagraph"/>
              <w:rPr>
                <w:rFonts w:ascii="Times New Roman"/>
                <w:sz w:val="20"/>
              </w:rPr>
            </w:pPr>
          </w:p>
        </w:tc>
        <w:tc>
          <w:tcPr>
            <w:tcW w:w="7124" w:type="dxa"/>
          </w:tcPr>
          <w:p>
            <w:pPr>
              <w:pStyle w:val="TableParagraph"/>
              <w:spacing w:line="211" w:lineRule="exact"/>
              <w:ind w:left="207"/>
              <w:rPr>
                <w:b/>
                <w:sz w:val="21"/>
              </w:rPr>
            </w:pPr>
            <w:r>
              <w:rPr>
                <w:b/>
                <w:sz w:val="21"/>
              </w:rPr>
              <w:t>如果您因重大过失未履行如实告知义务，对保险事故的发生有严重影响</w:t>
            </w:r>
          </w:p>
          <w:p>
            <w:pPr>
              <w:pStyle w:val="TableParagraph"/>
              <w:spacing w:line="273" w:lineRule="auto" w:before="37"/>
              <w:ind w:left="207" w:right="306"/>
              <w:rPr>
                <w:b/>
                <w:sz w:val="21"/>
              </w:rPr>
            </w:pPr>
            <w:r>
              <w:rPr>
                <w:b/>
                <w:sz w:val="21"/>
              </w:rPr>
              <w:t>的，对于本附加险合同解除前发生的保险事故，我们不承担豁免保险费的责任，但应当退还保险费。</w:t>
            </w:r>
          </w:p>
          <w:p>
            <w:pPr>
              <w:pStyle w:val="TableParagraph"/>
              <w:spacing w:line="273" w:lineRule="auto" w:before="7"/>
              <w:ind w:left="207" w:right="306"/>
              <w:rPr>
                <w:sz w:val="21"/>
              </w:rPr>
            </w:pPr>
            <w:r>
              <w:rPr>
                <w:sz w:val="21"/>
              </w:rPr>
              <w:t>我们在本附加险合同订立时已经知道您未如实告知的情况的，我们不得解除本附加险合同；发生保险事故的，我们承担豁免保险费的责任。</w:t>
            </w:r>
          </w:p>
        </w:tc>
      </w:tr>
      <w:tr>
        <w:trPr>
          <w:trHeight w:val="1247" w:hRule="atLeast"/>
        </w:trPr>
        <w:tc>
          <w:tcPr>
            <w:tcW w:w="778" w:type="dxa"/>
          </w:tcPr>
          <w:p>
            <w:pPr>
              <w:pStyle w:val="TableParagraph"/>
              <w:spacing w:before="142"/>
              <w:ind w:left="180" w:right="239"/>
              <w:jc w:val="center"/>
              <w:rPr>
                <w:b/>
                <w:sz w:val="21"/>
              </w:rPr>
            </w:pPr>
            <w:r>
              <w:rPr>
                <w:b/>
                <w:sz w:val="21"/>
              </w:rPr>
              <w:t>7.2</w:t>
            </w:r>
          </w:p>
        </w:tc>
        <w:tc>
          <w:tcPr>
            <w:tcW w:w="1735" w:type="dxa"/>
          </w:tcPr>
          <w:p>
            <w:pPr>
              <w:pStyle w:val="TableParagraph"/>
              <w:spacing w:line="273" w:lineRule="auto" w:before="142"/>
              <w:ind w:left="261" w:right="203"/>
              <w:rPr>
                <w:b/>
                <w:sz w:val="21"/>
              </w:rPr>
            </w:pPr>
            <w:r>
              <w:rPr>
                <w:b/>
                <w:sz w:val="21"/>
              </w:rPr>
              <w:t>我们合同解除权的限制</w:t>
            </w:r>
          </w:p>
        </w:tc>
        <w:tc>
          <w:tcPr>
            <w:tcW w:w="7124" w:type="dxa"/>
          </w:tcPr>
          <w:p>
            <w:pPr>
              <w:pStyle w:val="TableParagraph"/>
              <w:spacing w:before="142"/>
              <w:ind w:left="207"/>
              <w:rPr>
                <w:sz w:val="21"/>
              </w:rPr>
            </w:pPr>
            <w:r>
              <w:rPr>
                <w:sz w:val="21"/>
              </w:rPr>
              <w:t>前条规定的合同解除权，自我们知道有解除事由之日起，超过 30 日不行</w:t>
            </w:r>
          </w:p>
          <w:p>
            <w:pPr>
              <w:pStyle w:val="TableParagraph"/>
              <w:spacing w:line="273" w:lineRule="auto" w:before="36"/>
              <w:ind w:left="207" w:right="196"/>
              <w:rPr>
                <w:sz w:val="21"/>
              </w:rPr>
            </w:pPr>
            <w:r>
              <w:rPr>
                <w:spacing w:val="-5"/>
                <w:sz w:val="21"/>
              </w:rPr>
              <w:t>使而消灭。自本附加险合同成立之日起超过 </w:t>
            </w:r>
            <w:r>
              <w:rPr>
                <w:sz w:val="21"/>
              </w:rPr>
              <w:t>2</w:t>
            </w:r>
            <w:r>
              <w:rPr>
                <w:spacing w:val="-8"/>
                <w:sz w:val="21"/>
              </w:rPr>
              <w:t> 年的，我们不得解除合同； </w:t>
            </w:r>
            <w:r>
              <w:rPr>
                <w:spacing w:val="-5"/>
                <w:sz w:val="21"/>
              </w:rPr>
              <w:t>发生保险事故的，我们承担豁免保险费的责任。</w:t>
            </w:r>
          </w:p>
        </w:tc>
      </w:tr>
      <w:tr>
        <w:trPr>
          <w:trHeight w:val="3744" w:hRule="atLeast"/>
        </w:trPr>
        <w:tc>
          <w:tcPr>
            <w:tcW w:w="778" w:type="dxa"/>
          </w:tcPr>
          <w:p>
            <w:pPr>
              <w:pStyle w:val="TableParagraph"/>
              <w:spacing w:before="142"/>
              <w:ind w:left="180" w:right="239"/>
              <w:jc w:val="center"/>
              <w:rPr>
                <w:b/>
                <w:sz w:val="21"/>
              </w:rPr>
            </w:pPr>
            <w:r>
              <w:rPr>
                <w:b/>
                <w:sz w:val="21"/>
              </w:rPr>
              <w:t>7.3</w:t>
            </w:r>
          </w:p>
        </w:tc>
        <w:tc>
          <w:tcPr>
            <w:tcW w:w="1735" w:type="dxa"/>
          </w:tcPr>
          <w:p>
            <w:pPr>
              <w:pStyle w:val="TableParagraph"/>
              <w:spacing w:before="142"/>
              <w:ind w:left="261"/>
              <w:rPr>
                <w:b/>
                <w:sz w:val="21"/>
              </w:rPr>
            </w:pPr>
            <w:r>
              <w:rPr>
                <w:b/>
                <w:sz w:val="21"/>
              </w:rPr>
              <w:t>年龄错误</w:t>
            </w:r>
          </w:p>
        </w:tc>
        <w:tc>
          <w:tcPr>
            <w:tcW w:w="7124" w:type="dxa"/>
          </w:tcPr>
          <w:p>
            <w:pPr>
              <w:pStyle w:val="TableParagraph"/>
              <w:spacing w:line="273" w:lineRule="auto" w:before="142"/>
              <w:ind w:left="207" w:right="306"/>
              <w:rPr>
                <w:sz w:val="21"/>
              </w:rPr>
            </w:pPr>
            <w:r>
              <w:rPr>
                <w:sz w:val="21"/>
              </w:rPr>
              <w:t>您在申请投保时，应将与有效身份证件相符的被保险人的出生日期在投保书上填明，如果发生错误按照下列方式办理：</w:t>
            </w:r>
          </w:p>
          <w:p>
            <w:pPr>
              <w:pStyle w:val="TableParagraph"/>
              <w:spacing w:line="266" w:lineRule="auto" w:before="7"/>
              <w:ind w:left="697" w:right="301" w:hanging="490"/>
              <w:jc w:val="both"/>
              <w:rPr>
                <w:sz w:val="21"/>
              </w:rPr>
            </w:pPr>
            <w:r>
              <w:rPr>
                <w:sz w:val="21"/>
              </w:rPr>
              <w:t>（</w:t>
            </w:r>
            <w:r>
              <w:rPr>
                <w:rFonts w:ascii="Times New Roman" w:hAnsi="Times New Roman" w:eastAsia="Times New Roman"/>
                <w:sz w:val="21"/>
              </w:rPr>
              <w:t>1</w:t>
            </w:r>
            <w:r>
              <w:rPr>
                <w:sz w:val="21"/>
              </w:rPr>
              <w:t>）您申报的被保险人年龄不真实，并且其真实年龄不符合本附加险合同约定投保年龄限制的，在保险事故发生之前我们有权解除合同。我们行使合同解除权适用“我们合同解除权的限制”的规定。对于解除合同的，我们向您退还本附加险合同的现金价值。</w:t>
            </w:r>
          </w:p>
          <w:p>
            <w:pPr>
              <w:pStyle w:val="TableParagraph"/>
              <w:spacing w:line="264" w:lineRule="auto" w:before="14"/>
              <w:ind w:left="697" w:right="301" w:hanging="490"/>
              <w:jc w:val="both"/>
              <w:rPr>
                <w:sz w:val="21"/>
              </w:rPr>
            </w:pPr>
            <w:r>
              <w:rPr>
                <w:sz w:val="21"/>
              </w:rPr>
              <w:t>（</w:t>
            </w:r>
            <w:r>
              <w:rPr>
                <w:rFonts w:ascii="Times New Roman" w:eastAsia="Times New Roman"/>
                <w:sz w:val="21"/>
              </w:rPr>
              <w:t>2</w:t>
            </w:r>
            <w:r>
              <w:rPr>
                <w:sz w:val="21"/>
              </w:rPr>
              <w:t>）您申报的被保险人年龄不真实，致使您支付的保险费少于应交保险费的，我们有权更正并要求您补交保险费。若已经发生保险事故， 在豁免保险费时按实交保险费和应交保险费的比例承担。</w:t>
            </w:r>
          </w:p>
          <w:p>
            <w:pPr>
              <w:pStyle w:val="TableParagraph"/>
              <w:spacing w:line="256" w:lineRule="auto" w:before="16"/>
              <w:ind w:left="697" w:right="301" w:hanging="490"/>
              <w:jc w:val="both"/>
              <w:rPr>
                <w:sz w:val="21"/>
              </w:rPr>
            </w:pPr>
            <w:r>
              <w:rPr>
                <w:sz w:val="21"/>
              </w:rPr>
              <w:t>（</w:t>
            </w:r>
            <w:r>
              <w:rPr>
                <w:rFonts w:ascii="Times New Roman" w:eastAsia="Times New Roman"/>
                <w:sz w:val="21"/>
              </w:rPr>
              <w:t>3</w:t>
            </w:r>
            <w:r>
              <w:rPr>
                <w:sz w:val="21"/>
              </w:rPr>
              <w:t>）您申报的被保险人年龄不真实，致使您支付的保险费多于应交保险费的，我们会将多收的保险费无息退还给您。</w:t>
            </w:r>
          </w:p>
        </w:tc>
      </w:tr>
      <w:tr>
        <w:trPr>
          <w:trHeight w:val="936" w:hRule="atLeast"/>
        </w:trPr>
        <w:tc>
          <w:tcPr>
            <w:tcW w:w="778" w:type="dxa"/>
          </w:tcPr>
          <w:p>
            <w:pPr>
              <w:pStyle w:val="TableParagraph"/>
              <w:spacing w:before="143"/>
              <w:ind w:left="180" w:right="239"/>
              <w:jc w:val="center"/>
              <w:rPr>
                <w:b/>
                <w:sz w:val="21"/>
              </w:rPr>
            </w:pPr>
            <w:r>
              <w:rPr>
                <w:b/>
                <w:sz w:val="21"/>
              </w:rPr>
              <w:t>7.4</w:t>
            </w:r>
          </w:p>
        </w:tc>
        <w:tc>
          <w:tcPr>
            <w:tcW w:w="1735" w:type="dxa"/>
          </w:tcPr>
          <w:p>
            <w:pPr>
              <w:pStyle w:val="TableParagraph"/>
              <w:spacing w:before="143"/>
              <w:ind w:left="261"/>
              <w:rPr>
                <w:b/>
                <w:sz w:val="21"/>
              </w:rPr>
            </w:pPr>
            <w:r>
              <w:rPr>
                <w:b/>
                <w:sz w:val="21"/>
              </w:rPr>
              <w:t>未还款项</w:t>
            </w:r>
          </w:p>
        </w:tc>
        <w:tc>
          <w:tcPr>
            <w:tcW w:w="7124" w:type="dxa"/>
          </w:tcPr>
          <w:p>
            <w:pPr>
              <w:pStyle w:val="TableParagraph"/>
              <w:spacing w:line="273" w:lineRule="auto" w:before="143"/>
              <w:ind w:left="207" w:right="302"/>
              <w:rPr>
                <w:b/>
                <w:sz w:val="21"/>
              </w:rPr>
            </w:pPr>
            <w:r>
              <w:rPr>
                <w:b/>
                <w:sz w:val="21"/>
              </w:rPr>
              <w:t>我们在豁免保险费时，如果您有欠交的保险费或其他未还清款项，您应先补交上述欠款。</w:t>
            </w:r>
          </w:p>
        </w:tc>
      </w:tr>
      <w:tr>
        <w:trPr>
          <w:trHeight w:val="1871" w:hRule="atLeast"/>
        </w:trPr>
        <w:tc>
          <w:tcPr>
            <w:tcW w:w="778" w:type="dxa"/>
          </w:tcPr>
          <w:p>
            <w:pPr>
              <w:pStyle w:val="TableParagraph"/>
              <w:spacing w:before="142"/>
              <w:ind w:left="180" w:right="239"/>
              <w:jc w:val="center"/>
              <w:rPr>
                <w:b/>
                <w:sz w:val="21"/>
              </w:rPr>
            </w:pPr>
            <w:r>
              <w:rPr>
                <w:b/>
                <w:sz w:val="21"/>
              </w:rPr>
              <w:t>7.5</w:t>
            </w:r>
          </w:p>
        </w:tc>
        <w:tc>
          <w:tcPr>
            <w:tcW w:w="1735" w:type="dxa"/>
          </w:tcPr>
          <w:p>
            <w:pPr>
              <w:pStyle w:val="TableParagraph"/>
              <w:spacing w:before="142"/>
              <w:ind w:left="261"/>
              <w:rPr>
                <w:b/>
                <w:sz w:val="21"/>
              </w:rPr>
            </w:pPr>
            <w:r>
              <w:rPr>
                <w:b/>
                <w:sz w:val="21"/>
              </w:rPr>
              <w:t>合同内容变更</w:t>
            </w:r>
          </w:p>
        </w:tc>
        <w:tc>
          <w:tcPr>
            <w:tcW w:w="7124" w:type="dxa"/>
          </w:tcPr>
          <w:p>
            <w:pPr>
              <w:pStyle w:val="TableParagraph"/>
              <w:spacing w:line="273" w:lineRule="auto" w:before="142"/>
              <w:ind w:left="207" w:right="306"/>
              <w:jc w:val="both"/>
              <w:rPr>
                <w:sz w:val="21"/>
              </w:rPr>
            </w:pPr>
            <w:r>
              <w:rPr>
                <w:sz w:val="21"/>
              </w:rPr>
              <w:t>在本附加险合同有效期内，经您和我们协商一致，可以变更本附加险合同的有关内容。变更本附加险合同的，由我们对保险合同批注或者附贴批单，或者由您与我们订立书面的变更协议。</w:t>
            </w:r>
          </w:p>
          <w:p>
            <w:pPr>
              <w:pStyle w:val="TableParagraph"/>
              <w:spacing w:line="273" w:lineRule="auto" w:before="7"/>
              <w:ind w:left="207" w:right="306"/>
              <w:jc w:val="both"/>
              <w:rPr>
                <w:sz w:val="21"/>
              </w:rPr>
            </w:pPr>
            <w:r>
              <w:rPr>
                <w:sz w:val="21"/>
              </w:rPr>
              <w:t>保险费已被豁免的，您不得变更主险合同及附加险合同的保险金额、保险期间、交费年期、档次等。</w:t>
            </w:r>
          </w:p>
        </w:tc>
      </w:tr>
      <w:tr>
        <w:trPr>
          <w:trHeight w:val="2808" w:hRule="atLeast"/>
        </w:trPr>
        <w:tc>
          <w:tcPr>
            <w:tcW w:w="778" w:type="dxa"/>
          </w:tcPr>
          <w:p>
            <w:pPr>
              <w:pStyle w:val="TableParagraph"/>
              <w:spacing w:before="142"/>
              <w:ind w:left="180" w:right="239"/>
              <w:jc w:val="center"/>
              <w:rPr>
                <w:b/>
                <w:sz w:val="21"/>
              </w:rPr>
            </w:pPr>
            <w:r>
              <w:rPr>
                <w:b/>
                <w:sz w:val="21"/>
              </w:rPr>
              <w:t>7.6</w:t>
            </w:r>
          </w:p>
        </w:tc>
        <w:tc>
          <w:tcPr>
            <w:tcW w:w="1735" w:type="dxa"/>
          </w:tcPr>
          <w:p>
            <w:pPr>
              <w:pStyle w:val="TableParagraph"/>
              <w:spacing w:before="142"/>
              <w:ind w:left="261"/>
              <w:rPr>
                <w:b/>
                <w:sz w:val="21"/>
              </w:rPr>
            </w:pPr>
            <w:r>
              <w:rPr>
                <w:b/>
                <w:sz w:val="21"/>
              </w:rPr>
              <w:t>效力终止</w:t>
            </w:r>
          </w:p>
        </w:tc>
        <w:tc>
          <w:tcPr>
            <w:tcW w:w="7124" w:type="dxa"/>
          </w:tcPr>
          <w:p>
            <w:pPr>
              <w:pStyle w:val="TableParagraph"/>
              <w:spacing w:before="142"/>
              <w:ind w:left="207"/>
              <w:rPr>
                <w:sz w:val="21"/>
              </w:rPr>
            </w:pPr>
            <w:r>
              <w:rPr>
                <w:sz w:val="21"/>
              </w:rPr>
              <w:t>发生下列情况之一时，本附加险合同效力终止：</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主险合同效力终止；</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您申请解除主险合同或将主险合同变更为减额交清保险；</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您申请单独解除本附加险合同；</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本附加险合同满期；</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宽限期结束之时仍未交纳保险费；</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被保险人初次发生本附加险合同约定的重大疾病；</w:t>
            </w:r>
          </w:p>
          <w:p>
            <w:pPr>
              <w:pStyle w:val="TableParagraph"/>
              <w:numPr>
                <w:ilvl w:val="0"/>
                <w:numId w:val="4"/>
              </w:numPr>
              <w:tabs>
                <w:tab w:pos="839" w:val="left" w:leader="none"/>
              </w:tabs>
              <w:spacing w:line="240" w:lineRule="auto" w:before="37" w:after="0"/>
              <w:ind w:left="838" w:right="0" w:hanging="631"/>
              <w:jc w:val="left"/>
              <w:rPr>
                <w:sz w:val="21"/>
              </w:rPr>
            </w:pPr>
            <w:r>
              <w:rPr>
                <w:spacing w:val="-3"/>
                <w:sz w:val="21"/>
              </w:rPr>
              <w:t>主险合同或本附加险合同约定的其他终止情形。</w:t>
            </w:r>
          </w:p>
        </w:tc>
      </w:tr>
      <w:tr>
        <w:trPr>
          <w:trHeight w:val="1353" w:hRule="atLeast"/>
        </w:trPr>
        <w:tc>
          <w:tcPr>
            <w:tcW w:w="778" w:type="dxa"/>
          </w:tcPr>
          <w:p>
            <w:pPr>
              <w:pStyle w:val="TableParagraph"/>
              <w:spacing w:before="142"/>
              <w:ind w:left="180" w:right="239"/>
              <w:jc w:val="center"/>
              <w:rPr>
                <w:b/>
                <w:sz w:val="21"/>
              </w:rPr>
            </w:pPr>
            <w:r>
              <w:rPr>
                <w:b/>
                <w:sz w:val="21"/>
              </w:rPr>
              <w:t>7.7</w:t>
            </w:r>
          </w:p>
        </w:tc>
        <w:tc>
          <w:tcPr>
            <w:tcW w:w="1735" w:type="dxa"/>
          </w:tcPr>
          <w:p>
            <w:pPr>
              <w:pStyle w:val="TableParagraph"/>
              <w:spacing w:line="273" w:lineRule="auto" w:before="142"/>
              <w:ind w:left="261" w:right="203"/>
              <w:rPr>
                <w:b/>
                <w:sz w:val="21"/>
              </w:rPr>
            </w:pPr>
            <w:r>
              <w:rPr>
                <w:b/>
                <w:sz w:val="21"/>
              </w:rPr>
              <w:t>适用主险合同条款</w:t>
            </w:r>
          </w:p>
        </w:tc>
        <w:tc>
          <w:tcPr>
            <w:tcW w:w="7124" w:type="dxa"/>
          </w:tcPr>
          <w:p>
            <w:pPr>
              <w:pStyle w:val="TableParagraph"/>
              <w:spacing w:before="142"/>
              <w:ind w:left="207"/>
              <w:rPr>
                <w:sz w:val="21"/>
              </w:rPr>
            </w:pPr>
            <w:r>
              <w:rPr>
                <w:sz w:val="21"/>
              </w:rPr>
              <w:t>下列各项条款，适用主险合同条款：</w:t>
            </w:r>
          </w:p>
          <w:p>
            <w:pPr>
              <w:pStyle w:val="TableParagraph"/>
              <w:numPr>
                <w:ilvl w:val="0"/>
                <w:numId w:val="5"/>
              </w:numPr>
              <w:tabs>
                <w:tab w:pos="839" w:val="left" w:leader="none"/>
              </w:tabs>
              <w:spacing w:line="240" w:lineRule="auto" w:before="36" w:after="0"/>
              <w:ind w:left="838" w:right="0" w:hanging="631"/>
              <w:jc w:val="left"/>
              <w:rPr>
                <w:sz w:val="21"/>
              </w:rPr>
            </w:pPr>
            <w:r>
              <w:rPr>
                <w:spacing w:val="-3"/>
                <w:sz w:val="21"/>
              </w:rPr>
              <w:t>利率与利息；</w:t>
            </w:r>
          </w:p>
          <w:p>
            <w:pPr>
              <w:pStyle w:val="TableParagraph"/>
              <w:numPr>
                <w:ilvl w:val="0"/>
                <w:numId w:val="5"/>
              </w:numPr>
              <w:tabs>
                <w:tab w:pos="839" w:val="left" w:leader="none"/>
              </w:tabs>
              <w:spacing w:line="240" w:lineRule="auto" w:before="37" w:after="0"/>
              <w:ind w:left="838" w:right="0" w:hanging="631"/>
              <w:jc w:val="left"/>
              <w:rPr>
                <w:sz w:val="21"/>
              </w:rPr>
            </w:pPr>
            <w:r>
              <w:rPr>
                <w:spacing w:val="-3"/>
                <w:sz w:val="21"/>
              </w:rPr>
              <w:t>联系方式变更；</w:t>
            </w:r>
          </w:p>
          <w:p>
            <w:pPr>
              <w:pStyle w:val="TableParagraph"/>
              <w:numPr>
                <w:ilvl w:val="0"/>
                <w:numId w:val="5"/>
              </w:numPr>
              <w:tabs>
                <w:tab w:pos="839" w:val="left" w:leader="none"/>
              </w:tabs>
              <w:spacing w:line="255" w:lineRule="exact" w:before="37" w:after="0"/>
              <w:ind w:left="838" w:right="0" w:hanging="631"/>
              <w:jc w:val="left"/>
              <w:rPr>
                <w:sz w:val="21"/>
              </w:rPr>
            </w:pPr>
            <w:r>
              <w:rPr>
                <w:spacing w:val="-3"/>
                <w:sz w:val="21"/>
              </w:rPr>
              <w:t>争议处理；</w:t>
            </w:r>
          </w:p>
        </w:tc>
      </w:tr>
    </w:tbl>
    <w:p>
      <w:pPr>
        <w:spacing w:after="0" w:line="255" w:lineRule="exact"/>
        <w:jc w:val="left"/>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2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0"/>
        <w:gridCol w:w="1662"/>
        <w:gridCol w:w="6923"/>
      </w:tblGrid>
      <w:tr>
        <w:trPr>
          <w:trHeight w:val="409" w:hRule="atLeast"/>
        </w:trPr>
        <w:tc>
          <w:tcPr>
            <w:tcW w:w="760" w:type="dxa"/>
          </w:tcPr>
          <w:p>
            <w:pPr>
              <w:pStyle w:val="TableParagraph"/>
              <w:rPr>
                <w:rFonts w:ascii="Times New Roman"/>
                <w:sz w:val="20"/>
              </w:rPr>
            </w:pPr>
          </w:p>
        </w:tc>
        <w:tc>
          <w:tcPr>
            <w:tcW w:w="1662" w:type="dxa"/>
          </w:tcPr>
          <w:p>
            <w:pPr>
              <w:pStyle w:val="TableParagraph"/>
              <w:rPr>
                <w:rFonts w:ascii="Times New Roman"/>
                <w:sz w:val="20"/>
              </w:rPr>
            </w:pPr>
          </w:p>
        </w:tc>
        <w:tc>
          <w:tcPr>
            <w:tcW w:w="6923" w:type="dxa"/>
          </w:tcPr>
          <w:p>
            <w:pPr>
              <w:pStyle w:val="TableParagraph"/>
              <w:spacing w:line="211" w:lineRule="exact"/>
              <w:ind w:left="206"/>
              <w:rPr>
                <w:sz w:val="21"/>
              </w:rPr>
            </w:pPr>
            <w:r>
              <w:rPr>
                <w:sz w:val="21"/>
              </w:rPr>
              <w:t>（4） 本附加险合同中其他未明事项。</w:t>
            </w:r>
          </w:p>
        </w:tc>
      </w:tr>
      <w:tr>
        <w:trPr>
          <w:trHeight w:val="786" w:hRule="atLeast"/>
        </w:trPr>
        <w:tc>
          <w:tcPr>
            <w:tcW w:w="760" w:type="dxa"/>
            <w:tcBorders>
              <w:bottom w:val="single" w:sz="8" w:space="0" w:color="000000"/>
            </w:tcBorders>
          </w:tcPr>
          <w:p>
            <w:pPr>
              <w:pStyle w:val="TableParagraph"/>
              <w:spacing w:before="150"/>
              <w:ind w:left="108"/>
              <w:rPr>
                <w:rFonts w:ascii="Arial" w:hAnsi="Arial"/>
                <w:b/>
                <w:sz w:val="52"/>
              </w:rPr>
            </w:pPr>
            <w:r>
              <w:rPr>
                <w:rFonts w:ascii="Arial" w:hAnsi="Arial"/>
                <w:b/>
                <w:w w:val="119"/>
                <w:sz w:val="52"/>
              </w:rPr>
              <w:t></w:t>
            </w:r>
          </w:p>
        </w:tc>
        <w:tc>
          <w:tcPr>
            <w:tcW w:w="1662" w:type="dxa"/>
            <w:tcBorders>
              <w:bottom w:val="single" w:sz="8" w:space="0" w:color="000000"/>
            </w:tcBorders>
          </w:tcPr>
          <w:p>
            <w:pPr>
              <w:pStyle w:val="TableParagraph"/>
              <w:spacing w:before="248"/>
              <w:ind w:left="187"/>
              <w:rPr>
                <w:b/>
                <w:sz w:val="28"/>
              </w:rPr>
            </w:pPr>
            <w:r>
              <w:rPr>
                <w:b/>
                <w:w w:val="95"/>
                <w:sz w:val="28"/>
              </w:rPr>
              <w:t>释义</w:t>
            </w:r>
          </w:p>
        </w:tc>
        <w:tc>
          <w:tcPr>
            <w:tcW w:w="6923" w:type="dxa"/>
            <w:tcBorders>
              <w:bottom w:val="single" w:sz="8" w:space="0" w:color="000000"/>
            </w:tcBorders>
          </w:tcPr>
          <w:p>
            <w:pPr>
              <w:pStyle w:val="TableParagraph"/>
              <w:rPr>
                <w:rFonts w:ascii="Times New Roman"/>
                <w:sz w:val="20"/>
              </w:rPr>
            </w:pPr>
          </w:p>
        </w:tc>
      </w:tr>
      <w:tr>
        <w:trPr>
          <w:trHeight w:val="1092" w:hRule="atLeast"/>
        </w:trPr>
        <w:tc>
          <w:tcPr>
            <w:tcW w:w="760" w:type="dxa"/>
            <w:tcBorders>
              <w:top w:val="single" w:sz="8" w:space="0" w:color="000000"/>
            </w:tcBorders>
          </w:tcPr>
          <w:p>
            <w:pPr>
              <w:pStyle w:val="TableParagraph"/>
              <w:rPr>
                <w:rFonts w:ascii="Times New Roman"/>
                <w:sz w:val="26"/>
              </w:rPr>
            </w:pPr>
          </w:p>
          <w:p>
            <w:pPr>
              <w:pStyle w:val="TableParagraph"/>
              <w:ind w:left="108"/>
              <w:rPr>
                <w:b/>
                <w:sz w:val="21"/>
              </w:rPr>
            </w:pPr>
            <w:r>
              <w:rPr>
                <w:b/>
                <w:sz w:val="21"/>
              </w:rPr>
              <w:t>8.1</w:t>
            </w:r>
          </w:p>
        </w:tc>
        <w:tc>
          <w:tcPr>
            <w:tcW w:w="1662" w:type="dxa"/>
            <w:tcBorders>
              <w:top w:val="single" w:sz="8" w:space="0" w:color="000000"/>
            </w:tcBorders>
          </w:tcPr>
          <w:p>
            <w:pPr>
              <w:pStyle w:val="TableParagraph"/>
              <w:rPr>
                <w:rFonts w:ascii="Times New Roman"/>
                <w:sz w:val="26"/>
              </w:rPr>
            </w:pPr>
          </w:p>
          <w:p>
            <w:pPr>
              <w:pStyle w:val="TableParagraph"/>
              <w:ind w:left="187"/>
              <w:rPr>
                <w:b/>
                <w:sz w:val="21"/>
              </w:rPr>
            </w:pPr>
            <w:r>
              <w:rPr>
                <w:b/>
                <w:sz w:val="21"/>
              </w:rPr>
              <w:t>周岁</w:t>
            </w:r>
          </w:p>
        </w:tc>
        <w:tc>
          <w:tcPr>
            <w:tcW w:w="6923" w:type="dxa"/>
            <w:tcBorders>
              <w:top w:val="single" w:sz="8" w:space="0" w:color="000000"/>
            </w:tcBorders>
          </w:tcPr>
          <w:p>
            <w:pPr>
              <w:pStyle w:val="TableParagraph"/>
              <w:rPr>
                <w:rFonts w:ascii="Times New Roman"/>
                <w:sz w:val="26"/>
              </w:rPr>
            </w:pPr>
          </w:p>
          <w:p>
            <w:pPr>
              <w:pStyle w:val="TableParagraph"/>
              <w:spacing w:line="273" w:lineRule="auto"/>
              <w:ind w:left="206" w:right="106"/>
              <w:rPr>
                <w:sz w:val="21"/>
              </w:rPr>
            </w:pPr>
            <w:r>
              <w:rPr>
                <w:sz w:val="21"/>
              </w:rPr>
              <w:t>指按有效身份证件中记载的出生日期计算的年龄，自出生之日起为零周岁，每经过一年增加一岁，不足一年的不计。</w:t>
            </w:r>
          </w:p>
        </w:tc>
      </w:tr>
      <w:tr>
        <w:trPr>
          <w:trHeight w:val="1248" w:hRule="atLeast"/>
        </w:trPr>
        <w:tc>
          <w:tcPr>
            <w:tcW w:w="760" w:type="dxa"/>
          </w:tcPr>
          <w:p>
            <w:pPr>
              <w:pStyle w:val="TableParagraph"/>
              <w:spacing w:before="142"/>
              <w:ind w:left="108"/>
              <w:rPr>
                <w:b/>
                <w:sz w:val="21"/>
              </w:rPr>
            </w:pPr>
            <w:r>
              <w:rPr>
                <w:b/>
                <w:sz w:val="21"/>
              </w:rPr>
              <w:t>8.2</w:t>
            </w:r>
          </w:p>
        </w:tc>
        <w:tc>
          <w:tcPr>
            <w:tcW w:w="1662" w:type="dxa"/>
          </w:tcPr>
          <w:p>
            <w:pPr>
              <w:pStyle w:val="TableParagraph"/>
              <w:spacing w:before="142"/>
              <w:ind w:left="187"/>
              <w:rPr>
                <w:b/>
                <w:sz w:val="21"/>
              </w:rPr>
            </w:pPr>
            <w:r>
              <w:rPr>
                <w:b/>
                <w:sz w:val="21"/>
              </w:rPr>
              <w:t>有效身份证件</w:t>
            </w:r>
          </w:p>
        </w:tc>
        <w:tc>
          <w:tcPr>
            <w:tcW w:w="6923" w:type="dxa"/>
          </w:tcPr>
          <w:p>
            <w:pPr>
              <w:pStyle w:val="TableParagraph"/>
              <w:spacing w:line="273" w:lineRule="auto" w:before="142"/>
              <w:ind w:left="206" w:right="106"/>
              <w:jc w:val="both"/>
              <w:rPr>
                <w:sz w:val="21"/>
              </w:rPr>
            </w:pPr>
            <w:r>
              <w:rPr>
                <w:sz w:val="21"/>
              </w:rPr>
              <w:t>指由政府主管部门规定的证明其身份的证件，如：居民身份证、按规定可使用的有效护照、军官证、警官证、士兵证、居民户口簿（仅限未成年人）等证件。</w:t>
            </w:r>
          </w:p>
        </w:tc>
      </w:tr>
      <w:tr>
        <w:trPr>
          <w:trHeight w:val="624" w:hRule="atLeast"/>
        </w:trPr>
        <w:tc>
          <w:tcPr>
            <w:tcW w:w="760" w:type="dxa"/>
          </w:tcPr>
          <w:p>
            <w:pPr>
              <w:pStyle w:val="TableParagraph"/>
              <w:spacing w:before="143"/>
              <w:ind w:left="108"/>
              <w:rPr>
                <w:b/>
                <w:sz w:val="21"/>
              </w:rPr>
            </w:pPr>
            <w:r>
              <w:rPr>
                <w:b/>
                <w:sz w:val="21"/>
              </w:rPr>
              <w:t>8.3</w:t>
            </w:r>
          </w:p>
        </w:tc>
        <w:tc>
          <w:tcPr>
            <w:tcW w:w="1662" w:type="dxa"/>
          </w:tcPr>
          <w:p>
            <w:pPr>
              <w:pStyle w:val="TableParagraph"/>
              <w:spacing w:before="143"/>
              <w:ind w:left="187"/>
              <w:rPr>
                <w:b/>
                <w:sz w:val="21"/>
              </w:rPr>
            </w:pPr>
            <w:r>
              <w:rPr>
                <w:b/>
                <w:sz w:val="21"/>
              </w:rPr>
              <w:t>重大疾病</w:t>
            </w:r>
          </w:p>
        </w:tc>
        <w:tc>
          <w:tcPr>
            <w:tcW w:w="6923" w:type="dxa"/>
          </w:tcPr>
          <w:p>
            <w:pPr>
              <w:pStyle w:val="TableParagraph"/>
              <w:spacing w:before="143"/>
              <w:ind w:left="206"/>
              <w:rPr>
                <w:sz w:val="21"/>
              </w:rPr>
            </w:pPr>
            <w:r>
              <w:rPr>
                <w:sz w:val="21"/>
              </w:rPr>
              <w:t>指下面列出的 50 种重大疾病：</w:t>
            </w:r>
          </w:p>
        </w:tc>
      </w:tr>
      <w:tr>
        <w:trPr>
          <w:trHeight w:val="3744" w:hRule="atLeast"/>
        </w:trPr>
        <w:tc>
          <w:tcPr>
            <w:tcW w:w="760" w:type="dxa"/>
          </w:tcPr>
          <w:p>
            <w:pPr>
              <w:pStyle w:val="TableParagraph"/>
              <w:rPr>
                <w:rFonts w:ascii="Times New Roman"/>
                <w:sz w:val="20"/>
              </w:rPr>
            </w:pPr>
          </w:p>
        </w:tc>
        <w:tc>
          <w:tcPr>
            <w:tcW w:w="1662" w:type="dxa"/>
          </w:tcPr>
          <w:p>
            <w:pPr>
              <w:pStyle w:val="TableParagraph"/>
              <w:spacing w:before="239"/>
              <w:ind w:left="187"/>
              <w:rPr>
                <w:rFonts w:ascii="Microsoft JhengHei" w:eastAsia="Microsoft JhengHei" w:hint="eastAsia"/>
                <w:b/>
                <w:sz w:val="21"/>
              </w:rPr>
            </w:pPr>
            <w:r>
              <w:rPr>
                <w:rFonts w:ascii="Microsoft JhengHei" w:eastAsia="Microsoft JhengHei" w:hint="eastAsia"/>
                <w:b/>
                <w:sz w:val="21"/>
              </w:rPr>
              <w:t>恶性肿瘤</w:t>
            </w:r>
          </w:p>
        </w:tc>
        <w:tc>
          <w:tcPr>
            <w:tcW w:w="6923" w:type="dxa"/>
          </w:tcPr>
          <w:p>
            <w:pPr>
              <w:pStyle w:val="TableParagraph"/>
              <w:spacing w:line="273" w:lineRule="auto" w:before="142"/>
              <w:ind w:left="206" w:right="106"/>
              <w:jc w:val="both"/>
              <w:rPr>
                <w:sz w:val="21"/>
              </w:rPr>
            </w:pPr>
            <w:r>
              <w:rPr>
                <w:sz w:val="21"/>
              </w:rPr>
              <w:t>指恶性细胞不受控制的进行性增长和扩散，浸润和破坏周围正常组织， 可以经血管、淋巴管和体腔扩散转移到身体其它部位的疾病。经病理学检查结果明确诊断，临床诊断属于世界卫生组织《疾病和有关健康问题的国际统计分类》（ICD-10）的恶性肿瘤范畴。</w:t>
            </w:r>
          </w:p>
          <w:p>
            <w:pPr>
              <w:pStyle w:val="TableParagraph"/>
              <w:spacing w:before="7"/>
              <w:ind w:left="206"/>
              <w:jc w:val="both"/>
              <w:rPr>
                <w:sz w:val="21"/>
              </w:rPr>
            </w:pPr>
            <w:r>
              <w:rPr>
                <w:sz w:val="21"/>
              </w:rPr>
              <w:t>下列疾病不在保障范围内：</w:t>
            </w:r>
          </w:p>
          <w:p>
            <w:pPr>
              <w:pStyle w:val="TableParagraph"/>
              <w:numPr>
                <w:ilvl w:val="0"/>
                <w:numId w:val="6"/>
              </w:numPr>
              <w:tabs>
                <w:tab w:pos="838" w:val="left" w:leader="none"/>
              </w:tabs>
              <w:spacing w:line="240" w:lineRule="auto" w:before="37" w:after="0"/>
              <w:ind w:left="837" w:right="0" w:hanging="631"/>
              <w:jc w:val="both"/>
              <w:rPr>
                <w:sz w:val="21"/>
              </w:rPr>
            </w:pPr>
            <w:r>
              <w:rPr>
                <w:spacing w:val="-2"/>
                <w:sz w:val="21"/>
              </w:rPr>
              <w:t>原位癌；</w:t>
            </w:r>
          </w:p>
          <w:p>
            <w:pPr>
              <w:pStyle w:val="TableParagraph"/>
              <w:numPr>
                <w:ilvl w:val="0"/>
                <w:numId w:val="6"/>
              </w:numPr>
              <w:tabs>
                <w:tab w:pos="838" w:val="left" w:leader="none"/>
              </w:tabs>
              <w:spacing w:line="240" w:lineRule="auto" w:before="37" w:after="0"/>
              <w:ind w:left="837" w:right="0" w:hanging="631"/>
              <w:jc w:val="both"/>
              <w:rPr>
                <w:sz w:val="21"/>
              </w:rPr>
            </w:pPr>
            <w:r>
              <w:rPr>
                <w:spacing w:val="-14"/>
                <w:sz w:val="21"/>
              </w:rPr>
              <w:t>相当于 </w:t>
            </w:r>
            <w:r>
              <w:rPr>
                <w:sz w:val="21"/>
              </w:rPr>
              <w:t>Binet</w:t>
            </w:r>
            <w:r>
              <w:rPr>
                <w:spacing w:val="-18"/>
                <w:sz w:val="21"/>
              </w:rPr>
              <w:t> 分期方案 </w:t>
            </w:r>
            <w:r>
              <w:rPr>
                <w:sz w:val="21"/>
              </w:rPr>
              <w:t>A</w:t>
            </w:r>
            <w:r>
              <w:rPr>
                <w:spacing w:val="-8"/>
                <w:sz w:val="21"/>
              </w:rPr>
              <w:t> 期程度的慢性淋巴细胞白血病；</w:t>
            </w:r>
          </w:p>
          <w:p>
            <w:pPr>
              <w:pStyle w:val="TableParagraph"/>
              <w:numPr>
                <w:ilvl w:val="0"/>
                <w:numId w:val="6"/>
              </w:numPr>
              <w:tabs>
                <w:tab w:pos="838" w:val="left" w:leader="none"/>
              </w:tabs>
              <w:spacing w:line="240" w:lineRule="auto" w:before="37" w:after="0"/>
              <w:ind w:left="837" w:right="0" w:hanging="631"/>
              <w:jc w:val="both"/>
              <w:rPr>
                <w:sz w:val="21"/>
              </w:rPr>
            </w:pPr>
            <w:r>
              <w:rPr>
                <w:spacing w:val="-14"/>
                <w:sz w:val="21"/>
              </w:rPr>
              <w:t>相当于 </w:t>
            </w:r>
            <w:r>
              <w:rPr>
                <w:sz w:val="21"/>
              </w:rPr>
              <w:t>Ann</w:t>
            </w:r>
            <w:r>
              <w:rPr>
                <w:spacing w:val="5"/>
                <w:sz w:val="21"/>
              </w:rPr>
              <w:t> </w:t>
            </w:r>
            <w:r>
              <w:rPr>
                <w:sz w:val="21"/>
              </w:rPr>
              <w:t>Arbor</w:t>
            </w:r>
            <w:r>
              <w:rPr>
                <w:spacing w:val="-19"/>
                <w:sz w:val="21"/>
              </w:rPr>
              <w:t> 分期方案 </w:t>
            </w:r>
            <w:r>
              <w:rPr>
                <w:sz w:val="21"/>
              </w:rPr>
              <w:t>I</w:t>
            </w:r>
            <w:r>
              <w:rPr>
                <w:spacing w:val="-8"/>
                <w:sz w:val="21"/>
              </w:rPr>
              <w:t> 期程度的何杰金氏病；</w:t>
            </w:r>
          </w:p>
          <w:p>
            <w:pPr>
              <w:pStyle w:val="TableParagraph"/>
              <w:numPr>
                <w:ilvl w:val="0"/>
                <w:numId w:val="6"/>
              </w:numPr>
              <w:tabs>
                <w:tab w:pos="838" w:val="left" w:leader="none"/>
              </w:tabs>
              <w:spacing w:line="240" w:lineRule="auto" w:before="36" w:after="0"/>
              <w:ind w:left="837" w:right="0" w:hanging="631"/>
              <w:jc w:val="both"/>
              <w:rPr>
                <w:sz w:val="21"/>
              </w:rPr>
            </w:pPr>
            <w:r>
              <w:rPr>
                <w:spacing w:val="-2"/>
                <w:w w:val="100"/>
                <w:sz w:val="21"/>
              </w:rPr>
              <w:t>皮肤癌</w:t>
            </w:r>
            <w:r>
              <w:rPr>
                <w:spacing w:val="-3"/>
                <w:w w:val="100"/>
                <w:sz w:val="21"/>
              </w:rPr>
              <w:t>（不包括恶性黑色素瘤及已发生转移的皮肤癌</w:t>
            </w:r>
            <w:r>
              <w:rPr>
                <w:spacing w:val="-108"/>
                <w:w w:val="100"/>
                <w:sz w:val="21"/>
              </w:rPr>
              <w:t>）</w:t>
            </w:r>
            <w:r>
              <w:rPr>
                <w:w w:val="100"/>
                <w:sz w:val="21"/>
              </w:rPr>
              <w:t>；</w:t>
            </w:r>
          </w:p>
          <w:p>
            <w:pPr>
              <w:pStyle w:val="TableParagraph"/>
              <w:numPr>
                <w:ilvl w:val="0"/>
                <w:numId w:val="6"/>
              </w:numPr>
              <w:tabs>
                <w:tab w:pos="838" w:val="left" w:leader="none"/>
              </w:tabs>
              <w:spacing w:line="240" w:lineRule="auto" w:before="36" w:after="0"/>
              <w:ind w:left="837" w:right="0" w:hanging="631"/>
              <w:jc w:val="both"/>
              <w:rPr>
                <w:sz w:val="21"/>
              </w:rPr>
            </w:pPr>
            <w:r>
              <w:rPr>
                <w:sz w:val="21"/>
              </w:rPr>
              <w:t>TNM</w:t>
            </w:r>
            <w:r>
              <w:rPr>
                <w:spacing w:val="-21"/>
                <w:sz w:val="21"/>
              </w:rPr>
              <w:t> 分期为 </w:t>
            </w:r>
            <w:r>
              <w:rPr>
                <w:sz w:val="21"/>
              </w:rPr>
              <w:t>T1N0M0</w:t>
            </w:r>
            <w:r>
              <w:rPr>
                <w:spacing w:val="-9"/>
                <w:sz w:val="21"/>
              </w:rPr>
              <w:t> 期或更轻分期的前列腺癌；</w:t>
            </w:r>
          </w:p>
          <w:p>
            <w:pPr>
              <w:pStyle w:val="TableParagraph"/>
              <w:numPr>
                <w:ilvl w:val="0"/>
                <w:numId w:val="6"/>
              </w:numPr>
              <w:tabs>
                <w:tab w:pos="838" w:val="left" w:leader="none"/>
              </w:tabs>
              <w:spacing w:line="240" w:lineRule="auto" w:before="36" w:after="0"/>
              <w:ind w:left="837" w:right="0" w:hanging="631"/>
              <w:jc w:val="both"/>
              <w:rPr>
                <w:sz w:val="21"/>
              </w:rPr>
            </w:pPr>
            <w:r>
              <w:rPr>
                <w:spacing w:val="-3"/>
                <w:sz w:val="21"/>
              </w:rPr>
              <w:t>感染艾滋病病毒或患艾滋病期间所患恶性肿瘤。</w:t>
            </w:r>
          </w:p>
        </w:tc>
      </w:tr>
      <w:tr>
        <w:trPr>
          <w:trHeight w:val="2808" w:hRule="atLeast"/>
        </w:trPr>
        <w:tc>
          <w:tcPr>
            <w:tcW w:w="760" w:type="dxa"/>
          </w:tcPr>
          <w:p>
            <w:pPr>
              <w:pStyle w:val="TableParagraph"/>
              <w:rPr>
                <w:rFonts w:ascii="Times New Roman"/>
                <w:sz w:val="20"/>
              </w:rPr>
            </w:pPr>
          </w:p>
        </w:tc>
        <w:tc>
          <w:tcPr>
            <w:tcW w:w="1662" w:type="dxa"/>
          </w:tcPr>
          <w:p>
            <w:pPr>
              <w:pStyle w:val="TableParagraph"/>
              <w:spacing w:before="239"/>
              <w:ind w:left="187"/>
              <w:rPr>
                <w:rFonts w:ascii="Microsoft JhengHei" w:eastAsia="Microsoft JhengHei" w:hint="eastAsia"/>
                <w:b/>
                <w:sz w:val="21"/>
              </w:rPr>
            </w:pPr>
            <w:r>
              <w:rPr>
                <w:rFonts w:ascii="Microsoft JhengHei" w:eastAsia="Microsoft JhengHei" w:hint="eastAsia"/>
                <w:b/>
                <w:sz w:val="21"/>
              </w:rPr>
              <w:t>急性心肌梗塞</w:t>
            </w:r>
          </w:p>
        </w:tc>
        <w:tc>
          <w:tcPr>
            <w:tcW w:w="6923" w:type="dxa"/>
          </w:tcPr>
          <w:p>
            <w:pPr>
              <w:pStyle w:val="TableParagraph"/>
              <w:spacing w:line="273" w:lineRule="auto" w:before="142"/>
              <w:ind w:left="206" w:right="106"/>
              <w:rPr>
                <w:sz w:val="21"/>
              </w:rPr>
            </w:pPr>
            <w:r>
              <w:rPr>
                <w:sz w:val="21"/>
              </w:rPr>
              <w:t>指因冠状动脉阻塞导致的相应区域供血不足造成部分心肌坏死。须满足下列至少三项条件：</w:t>
            </w:r>
          </w:p>
          <w:p>
            <w:pPr>
              <w:pStyle w:val="TableParagraph"/>
              <w:numPr>
                <w:ilvl w:val="0"/>
                <w:numId w:val="7"/>
              </w:numPr>
              <w:tabs>
                <w:tab w:pos="838" w:val="left" w:leader="none"/>
              </w:tabs>
              <w:spacing w:line="240" w:lineRule="auto" w:before="7" w:after="0"/>
              <w:ind w:left="837" w:right="0" w:hanging="631"/>
              <w:jc w:val="left"/>
              <w:rPr>
                <w:sz w:val="21"/>
              </w:rPr>
            </w:pPr>
            <w:r>
              <w:rPr>
                <w:spacing w:val="-3"/>
                <w:sz w:val="21"/>
              </w:rPr>
              <w:t>典型临床表现，例如急性胸痛等；</w:t>
            </w:r>
          </w:p>
          <w:p>
            <w:pPr>
              <w:pStyle w:val="TableParagraph"/>
              <w:numPr>
                <w:ilvl w:val="0"/>
                <w:numId w:val="7"/>
              </w:numPr>
              <w:tabs>
                <w:tab w:pos="838" w:val="left" w:leader="none"/>
              </w:tabs>
              <w:spacing w:line="240" w:lineRule="auto" w:before="37" w:after="0"/>
              <w:ind w:left="837" w:right="0" w:hanging="631"/>
              <w:jc w:val="left"/>
              <w:rPr>
                <w:sz w:val="21"/>
              </w:rPr>
            </w:pPr>
            <w:r>
              <w:rPr>
                <w:spacing w:val="-3"/>
                <w:sz w:val="21"/>
              </w:rPr>
              <w:t>新近的心电图改变提示急性心肌梗塞；</w:t>
            </w:r>
          </w:p>
          <w:p>
            <w:pPr>
              <w:pStyle w:val="TableParagraph"/>
              <w:numPr>
                <w:ilvl w:val="0"/>
                <w:numId w:val="7"/>
              </w:numPr>
              <w:tabs>
                <w:tab w:pos="850" w:val="left" w:leader="none"/>
              </w:tabs>
              <w:spacing w:line="273" w:lineRule="auto" w:before="37" w:after="0"/>
              <w:ind w:left="837" w:right="111" w:hanging="631"/>
              <w:jc w:val="left"/>
              <w:rPr>
                <w:sz w:val="21"/>
              </w:rPr>
            </w:pPr>
            <w:r>
              <w:rPr>
                <w:sz w:val="21"/>
              </w:rPr>
              <w:t>心肌酶或肌钙蛋白有诊断意义的升高，或呈符合急性心肌梗塞的</w:t>
            </w:r>
            <w:r>
              <w:rPr>
                <w:spacing w:val="-2"/>
                <w:sz w:val="21"/>
              </w:rPr>
              <w:t>动态性变化；</w:t>
            </w:r>
          </w:p>
          <w:p>
            <w:pPr>
              <w:pStyle w:val="TableParagraph"/>
              <w:numPr>
                <w:ilvl w:val="0"/>
                <w:numId w:val="7"/>
              </w:numPr>
              <w:tabs>
                <w:tab w:pos="836" w:val="left" w:leader="none"/>
              </w:tabs>
              <w:spacing w:line="273" w:lineRule="auto" w:before="8" w:after="0"/>
              <w:ind w:left="837" w:right="104" w:hanging="631"/>
              <w:jc w:val="left"/>
              <w:rPr>
                <w:sz w:val="21"/>
              </w:rPr>
            </w:pPr>
            <w:r>
              <w:rPr>
                <w:spacing w:val="-14"/>
                <w:sz w:val="21"/>
              </w:rPr>
              <w:t>发病 </w:t>
            </w:r>
            <w:r>
              <w:rPr>
                <w:sz w:val="21"/>
              </w:rPr>
              <w:t>90</w:t>
            </w:r>
            <w:r>
              <w:rPr>
                <w:spacing w:val="-8"/>
                <w:sz w:val="21"/>
              </w:rPr>
              <w:t> 天后，经检查证实左心室功能降低，如左心室射血分数低</w:t>
            </w:r>
            <w:r>
              <w:rPr>
                <w:spacing w:val="-30"/>
                <w:sz w:val="21"/>
              </w:rPr>
              <w:t>于 </w:t>
            </w:r>
            <w:r>
              <w:rPr>
                <w:sz w:val="21"/>
              </w:rPr>
              <w:t>50%。</w:t>
            </w:r>
          </w:p>
        </w:tc>
      </w:tr>
      <w:tr>
        <w:trPr>
          <w:trHeight w:val="2289" w:hRule="atLeast"/>
        </w:trPr>
        <w:tc>
          <w:tcPr>
            <w:tcW w:w="760" w:type="dxa"/>
          </w:tcPr>
          <w:p>
            <w:pPr>
              <w:pStyle w:val="TableParagraph"/>
              <w:rPr>
                <w:rFonts w:ascii="Times New Roman"/>
                <w:sz w:val="20"/>
              </w:rPr>
            </w:pPr>
          </w:p>
        </w:tc>
        <w:tc>
          <w:tcPr>
            <w:tcW w:w="1662" w:type="dxa"/>
          </w:tcPr>
          <w:p>
            <w:pPr>
              <w:pStyle w:val="TableParagraph"/>
              <w:spacing w:before="239"/>
              <w:ind w:left="187"/>
              <w:rPr>
                <w:rFonts w:ascii="Microsoft JhengHei" w:eastAsia="Microsoft JhengHei" w:hint="eastAsia"/>
                <w:b/>
                <w:sz w:val="21"/>
              </w:rPr>
            </w:pPr>
            <w:r>
              <w:rPr>
                <w:rFonts w:ascii="Microsoft JhengHei" w:eastAsia="Microsoft JhengHei" w:hint="eastAsia"/>
                <w:b/>
                <w:sz w:val="21"/>
              </w:rPr>
              <w:t>脑中风后遗症</w:t>
            </w:r>
          </w:p>
        </w:tc>
        <w:tc>
          <w:tcPr>
            <w:tcW w:w="6923" w:type="dxa"/>
          </w:tcPr>
          <w:p>
            <w:pPr>
              <w:pStyle w:val="TableParagraph"/>
              <w:spacing w:line="273" w:lineRule="auto" w:before="142"/>
              <w:ind w:left="206"/>
              <w:rPr>
                <w:sz w:val="21"/>
              </w:rPr>
            </w:pPr>
            <w:r>
              <w:rPr>
                <w:sz w:val="21"/>
              </w:rPr>
              <w:t>指因脑血管的突发病变引起脑血管出血、栓塞或梗塞，并导致神经系统</w:t>
            </w:r>
            <w:r>
              <w:rPr>
                <w:spacing w:val="-7"/>
                <w:sz w:val="21"/>
              </w:rPr>
              <w:t>永久性的功能障碍。神经系统永久性的功能障碍，指疾病确诊 </w:t>
            </w:r>
            <w:r>
              <w:rPr>
                <w:sz w:val="21"/>
              </w:rPr>
              <w:t>180</w:t>
            </w:r>
            <w:r>
              <w:rPr>
                <w:spacing w:val="-12"/>
                <w:sz w:val="21"/>
              </w:rPr>
              <w:t> 天后， </w:t>
            </w:r>
            <w:r>
              <w:rPr>
                <w:spacing w:val="-6"/>
                <w:sz w:val="21"/>
              </w:rPr>
              <w:t>仍遗留下列一种或一种以上障碍：</w:t>
            </w:r>
          </w:p>
          <w:p>
            <w:pPr>
              <w:pStyle w:val="TableParagraph"/>
              <w:numPr>
                <w:ilvl w:val="0"/>
                <w:numId w:val="8"/>
              </w:numPr>
              <w:tabs>
                <w:tab w:pos="838" w:val="left" w:leader="none"/>
              </w:tabs>
              <w:spacing w:line="240" w:lineRule="auto" w:before="7" w:after="0"/>
              <w:ind w:left="837" w:right="0" w:hanging="631"/>
              <w:jc w:val="left"/>
              <w:rPr>
                <w:sz w:val="21"/>
              </w:rPr>
            </w:pPr>
            <w:r>
              <w:rPr>
                <w:spacing w:val="-3"/>
                <w:w w:val="100"/>
                <w:sz w:val="21"/>
              </w:rPr>
              <w:t>一肢或一肢以上肢体机能完全丧失（</w:t>
            </w:r>
            <w:r>
              <w:rPr>
                <w:w w:val="100"/>
                <w:sz w:val="21"/>
              </w:rPr>
              <w:t>见</w:t>
            </w:r>
            <w:r>
              <w:rPr>
                <w:spacing w:val="-53"/>
                <w:sz w:val="21"/>
              </w:rPr>
              <w:t> </w:t>
            </w:r>
            <w:r>
              <w:rPr>
                <w:w w:val="100"/>
                <w:sz w:val="21"/>
              </w:rPr>
              <w:t>8.</w:t>
            </w:r>
            <w:r>
              <w:rPr>
                <w:spacing w:val="-3"/>
                <w:w w:val="100"/>
                <w:sz w:val="21"/>
              </w:rPr>
              <w:t>16</w:t>
            </w:r>
            <w:r>
              <w:rPr>
                <w:spacing w:val="-106"/>
                <w:w w:val="100"/>
                <w:sz w:val="21"/>
              </w:rPr>
              <w:t>）</w:t>
            </w:r>
            <w:r>
              <w:rPr>
                <w:w w:val="100"/>
                <w:sz w:val="21"/>
              </w:rPr>
              <w:t>；</w:t>
            </w:r>
          </w:p>
          <w:p>
            <w:pPr>
              <w:pStyle w:val="TableParagraph"/>
              <w:numPr>
                <w:ilvl w:val="0"/>
                <w:numId w:val="8"/>
              </w:numPr>
              <w:tabs>
                <w:tab w:pos="838" w:val="left" w:leader="none"/>
              </w:tabs>
              <w:spacing w:line="240" w:lineRule="auto" w:before="37" w:after="0"/>
              <w:ind w:left="837" w:right="0" w:hanging="631"/>
              <w:jc w:val="left"/>
              <w:rPr>
                <w:sz w:val="21"/>
              </w:rPr>
            </w:pPr>
            <w:r>
              <w:rPr>
                <w:spacing w:val="-3"/>
                <w:w w:val="100"/>
                <w:sz w:val="21"/>
              </w:rPr>
              <w:t>语言能力或咀嚼吞咽能力完全丧失（</w:t>
            </w:r>
            <w:r>
              <w:rPr>
                <w:w w:val="100"/>
                <w:sz w:val="21"/>
              </w:rPr>
              <w:t>见</w:t>
            </w:r>
            <w:r>
              <w:rPr>
                <w:spacing w:val="-53"/>
                <w:sz w:val="21"/>
              </w:rPr>
              <w:t> </w:t>
            </w:r>
            <w:r>
              <w:rPr>
                <w:w w:val="100"/>
                <w:sz w:val="21"/>
              </w:rPr>
              <w:t>8.</w:t>
            </w:r>
            <w:r>
              <w:rPr>
                <w:spacing w:val="-3"/>
                <w:w w:val="100"/>
                <w:sz w:val="21"/>
              </w:rPr>
              <w:t>17</w:t>
            </w:r>
            <w:r>
              <w:rPr>
                <w:spacing w:val="-106"/>
                <w:w w:val="100"/>
                <w:sz w:val="21"/>
              </w:rPr>
              <w:t>）</w:t>
            </w:r>
            <w:r>
              <w:rPr>
                <w:w w:val="100"/>
                <w:sz w:val="21"/>
              </w:rPr>
              <w:t>；</w:t>
            </w:r>
          </w:p>
          <w:p>
            <w:pPr>
              <w:pStyle w:val="TableParagraph"/>
              <w:numPr>
                <w:ilvl w:val="0"/>
                <w:numId w:val="8"/>
              </w:numPr>
              <w:tabs>
                <w:tab w:pos="800" w:val="left" w:leader="none"/>
              </w:tabs>
              <w:spacing w:line="240" w:lineRule="auto" w:before="37" w:after="0"/>
              <w:ind w:left="799" w:right="0" w:hanging="593"/>
              <w:jc w:val="left"/>
              <w:rPr>
                <w:sz w:val="21"/>
              </w:rPr>
            </w:pPr>
            <w:r>
              <w:rPr>
                <w:spacing w:val="-9"/>
                <w:sz w:val="21"/>
              </w:rPr>
              <w:t>自主生活能力完全丧失，无法独立完成六项基本日常生活活动</w:t>
            </w:r>
            <w:r>
              <w:rPr>
                <w:spacing w:val="-3"/>
                <w:sz w:val="21"/>
              </w:rPr>
              <w:t>（见</w:t>
            </w:r>
          </w:p>
          <w:p>
            <w:pPr>
              <w:pStyle w:val="TableParagraph"/>
              <w:spacing w:line="255" w:lineRule="exact" w:before="37"/>
              <w:ind w:left="837"/>
              <w:rPr>
                <w:sz w:val="21"/>
              </w:rPr>
            </w:pPr>
            <w:r>
              <w:rPr>
                <w:sz w:val="21"/>
              </w:rPr>
              <w:t>8.18）中的三项或三项以上。</w:t>
            </w:r>
          </w:p>
        </w:tc>
      </w:tr>
    </w:tbl>
    <w:p>
      <w:pPr>
        <w:spacing w:after="0" w:line="255" w:lineRule="exact"/>
        <w:rPr>
          <w:sz w:val="21"/>
        </w:rPr>
        <w:sectPr>
          <w:pgSz w:w="11910" w:h="16840"/>
          <w:pgMar w:header="886" w:footer="992" w:top="1120" w:bottom="1180" w:left="1200" w:right="10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77"/>
        <w:gridCol w:w="7021"/>
      </w:tblGrid>
      <w:tr>
        <w:trPr>
          <w:trHeight w:val="2072" w:hRule="atLeast"/>
        </w:trPr>
        <w:tc>
          <w:tcPr>
            <w:tcW w:w="1777" w:type="dxa"/>
          </w:tcPr>
          <w:p>
            <w:pPr>
              <w:pStyle w:val="TableParagraph"/>
              <w:spacing w:line="410" w:lineRule="auto" w:before="32"/>
              <w:ind w:left="200" w:right="312"/>
              <w:jc w:val="both"/>
              <w:rPr>
                <w:rFonts w:ascii="Microsoft JhengHei" w:eastAsia="Microsoft JhengHei" w:hint="eastAsia"/>
                <w:b/>
                <w:sz w:val="21"/>
              </w:rPr>
            </w:pPr>
            <w:r>
              <w:rPr>
                <w:rFonts w:ascii="Microsoft JhengHei" w:eastAsia="Microsoft JhengHei" w:hint="eastAsia"/>
                <w:b/>
                <w:sz w:val="21"/>
              </w:rPr>
              <w:t>重大器官移植术或造血干细胞移植术</w:t>
            </w:r>
          </w:p>
        </w:tc>
        <w:tc>
          <w:tcPr>
            <w:tcW w:w="7021" w:type="dxa"/>
          </w:tcPr>
          <w:p>
            <w:pPr>
              <w:pStyle w:val="TableParagraph"/>
              <w:spacing w:line="211" w:lineRule="exact"/>
              <w:ind w:left="103"/>
              <w:rPr>
                <w:sz w:val="21"/>
              </w:rPr>
            </w:pPr>
            <w:r>
              <w:rPr>
                <w:sz w:val="21"/>
              </w:rPr>
              <w:t>重大器官移植术，指因相应器官功能衰竭，已经实施了肾脏、肝脏、心</w:t>
            </w:r>
          </w:p>
          <w:p>
            <w:pPr>
              <w:pStyle w:val="TableParagraph"/>
              <w:spacing w:before="37"/>
              <w:ind w:left="103"/>
              <w:rPr>
                <w:sz w:val="21"/>
              </w:rPr>
            </w:pPr>
            <w:r>
              <w:rPr>
                <w:sz w:val="21"/>
              </w:rPr>
              <w:t>脏或肺脏的异体移植手术。</w:t>
            </w:r>
          </w:p>
          <w:p>
            <w:pPr>
              <w:pStyle w:val="TableParagraph"/>
              <w:spacing w:line="273" w:lineRule="auto" w:before="37"/>
              <w:ind w:left="103" w:right="307"/>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2496" w:hRule="atLeast"/>
        </w:trPr>
        <w:tc>
          <w:tcPr>
            <w:tcW w:w="1777" w:type="dxa"/>
          </w:tcPr>
          <w:p>
            <w:pPr>
              <w:pStyle w:val="TableParagraph"/>
              <w:spacing w:before="7"/>
              <w:rPr>
                <w:rFonts w:ascii="Times New Roman"/>
                <w:sz w:val="39"/>
              </w:rPr>
            </w:pPr>
          </w:p>
          <w:p>
            <w:pPr>
              <w:pStyle w:val="TableParagraph"/>
              <w:spacing w:line="410" w:lineRule="auto"/>
              <w:ind w:left="200" w:right="101"/>
              <w:rPr>
                <w:rFonts w:ascii="Microsoft JhengHei" w:eastAsia="Microsoft JhengHei" w:hint="eastAsia"/>
                <w:b/>
                <w:sz w:val="21"/>
              </w:rPr>
            </w:pPr>
            <w:r>
              <w:rPr>
                <w:rFonts w:ascii="Microsoft JhengHei" w:eastAsia="Microsoft JhengHei" w:hint="eastAsia"/>
                <w:b/>
                <w:spacing w:val="-2"/>
                <w:sz w:val="21"/>
              </w:rPr>
              <w:t>冠状动脉搭桥 </w:t>
            </w:r>
            <w:r>
              <w:rPr>
                <w:rFonts w:ascii="Microsoft JhengHei" w:eastAsia="Microsoft JhengHei" w:hint="eastAsia"/>
                <w:b/>
                <w:spacing w:val="-8"/>
                <w:sz w:val="21"/>
              </w:rPr>
              <w:t>术</w:t>
            </w:r>
            <w:r>
              <w:rPr>
                <w:rFonts w:ascii="Microsoft JhengHei" w:eastAsia="Microsoft JhengHei" w:hint="eastAsia"/>
                <w:b/>
                <w:sz w:val="21"/>
              </w:rPr>
              <w:t>（</w:t>
            </w:r>
            <w:r>
              <w:rPr>
                <w:rFonts w:ascii="Microsoft JhengHei" w:eastAsia="Microsoft JhengHei" w:hint="eastAsia"/>
                <w:b/>
                <w:spacing w:val="-3"/>
                <w:sz w:val="21"/>
              </w:rPr>
              <w:t>或称冠状动脉旁路移植术</w:t>
            </w:r>
            <w:r>
              <w:rPr>
                <w:rFonts w:ascii="Microsoft JhengHei" w:eastAsia="Microsoft JhengHei" w:hint="eastAsia"/>
                <w:b/>
                <w:sz w:val="21"/>
              </w:rPr>
              <w:t>）</w:t>
            </w:r>
          </w:p>
        </w:tc>
        <w:tc>
          <w:tcPr>
            <w:tcW w:w="7021" w:type="dxa"/>
          </w:tcPr>
          <w:p>
            <w:pPr>
              <w:pStyle w:val="TableParagraph"/>
              <w:rPr>
                <w:rFonts w:ascii="Times New Roman"/>
                <w:sz w:val="20"/>
              </w:rPr>
            </w:pPr>
          </w:p>
          <w:p>
            <w:pPr>
              <w:pStyle w:val="TableParagraph"/>
              <w:spacing w:line="273" w:lineRule="auto" w:before="129"/>
              <w:ind w:left="103" w:right="307"/>
              <w:rPr>
                <w:sz w:val="21"/>
              </w:rPr>
            </w:pPr>
            <w:r>
              <w:rPr>
                <w:sz w:val="21"/>
              </w:rPr>
              <w:t>指为治疗严重的冠心病，实际实施了开胸进行的冠状动脉血管旁路移植的手术。</w:t>
            </w:r>
          </w:p>
          <w:p>
            <w:pPr>
              <w:pStyle w:val="TableParagraph"/>
              <w:spacing w:line="273" w:lineRule="auto" w:before="7"/>
              <w:ind w:left="103" w:right="307"/>
              <w:rPr>
                <w:sz w:val="21"/>
              </w:rPr>
            </w:pPr>
            <w:r>
              <w:rPr>
                <w:sz w:val="21"/>
              </w:rPr>
              <w:t>冠状动脉支架植入术、心导管球囊扩张术、激光射频技术及其它非开胸的介入手术、腔镜手术不在保障范围内。</w:t>
            </w:r>
          </w:p>
        </w:tc>
      </w:tr>
      <w:tr>
        <w:trPr>
          <w:trHeight w:val="2496" w:hRule="atLeast"/>
        </w:trPr>
        <w:tc>
          <w:tcPr>
            <w:tcW w:w="1777" w:type="dxa"/>
          </w:tcPr>
          <w:p>
            <w:pPr>
              <w:pStyle w:val="TableParagraph"/>
              <w:spacing w:before="7"/>
              <w:rPr>
                <w:rFonts w:ascii="Times New Roman"/>
                <w:sz w:val="39"/>
              </w:rPr>
            </w:pPr>
          </w:p>
          <w:p>
            <w:pPr>
              <w:pStyle w:val="TableParagraph"/>
              <w:spacing w:line="410" w:lineRule="auto"/>
              <w:ind w:left="200" w:right="101"/>
              <w:rPr>
                <w:rFonts w:ascii="Microsoft JhengHei" w:eastAsia="Microsoft JhengHei" w:hint="eastAsia"/>
                <w:b/>
                <w:sz w:val="21"/>
              </w:rPr>
            </w:pPr>
            <w:r>
              <w:rPr>
                <w:rFonts w:ascii="Microsoft JhengHei" w:eastAsia="Microsoft JhengHei" w:hint="eastAsia"/>
                <w:b/>
                <w:spacing w:val="-3"/>
                <w:sz w:val="21"/>
              </w:rPr>
              <w:t>终末期肾病</w:t>
            </w:r>
            <w:r>
              <w:rPr>
                <w:rFonts w:ascii="Microsoft JhengHei" w:eastAsia="Microsoft JhengHei" w:hint="eastAsia"/>
                <w:b/>
                <w:sz w:val="21"/>
              </w:rPr>
              <w:t>（或</w:t>
            </w:r>
            <w:r>
              <w:rPr>
                <w:rFonts w:ascii="Microsoft JhengHei" w:eastAsia="Microsoft JhengHei" w:hint="eastAsia"/>
                <w:b/>
                <w:spacing w:val="-2"/>
                <w:sz w:val="21"/>
              </w:rPr>
              <w:t>称慢性肾功能 </w:t>
            </w:r>
            <w:r>
              <w:rPr>
                <w:rFonts w:ascii="Microsoft JhengHei" w:eastAsia="Microsoft JhengHei" w:hint="eastAsia"/>
                <w:b/>
                <w:spacing w:val="-3"/>
                <w:sz w:val="21"/>
              </w:rPr>
              <w:t>衰竭尿毒症期</w:t>
            </w:r>
            <w:r>
              <w:rPr>
                <w:rFonts w:ascii="Microsoft JhengHei" w:eastAsia="Microsoft JhengHei" w:hint="eastAsia"/>
                <w:b/>
                <w:sz w:val="21"/>
              </w:rPr>
              <w:t>）</w:t>
            </w:r>
          </w:p>
        </w:tc>
        <w:tc>
          <w:tcPr>
            <w:tcW w:w="7021" w:type="dxa"/>
          </w:tcPr>
          <w:p>
            <w:pPr>
              <w:pStyle w:val="TableParagraph"/>
              <w:rPr>
                <w:rFonts w:ascii="Times New Roman"/>
                <w:sz w:val="20"/>
              </w:rPr>
            </w:pPr>
          </w:p>
          <w:p>
            <w:pPr>
              <w:pStyle w:val="TableParagraph"/>
              <w:spacing w:line="273" w:lineRule="auto" w:before="129"/>
              <w:ind w:left="103" w:right="307"/>
              <w:rPr>
                <w:sz w:val="21"/>
              </w:rPr>
            </w:pPr>
            <w:r>
              <w:rPr>
                <w:sz w:val="21"/>
              </w:rPr>
              <w:t>指双肾功能慢性不可逆性衰竭，达到尿毒症期，经诊断后已经进行了至少 90 天的规律性透析治疗或实施了肾脏移植手术。</w:t>
            </w:r>
          </w:p>
        </w:tc>
      </w:tr>
      <w:tr>
        <w:trPr>
          <w:trHeight w:val="1308" w:hRule="atLeast"/>
        </w:trPr>
        <w:tc>
          <w:tcPr>
            <w:tcW w:w="1777" w:type="dxa"/>
          </w:tcPr>
          <w:p>
            <w:pPr>
              <w:pStyle w:val="TableParagraph"/>
              <w:spacing w:before="7"/>
              <w:rPr>
                <w:rFonts w:ascii="Times New Roman"/>
                <w:sz w:val="39"/>
              </w:rPr>
            </w:pPr>
          </w:p>
          <w:p>
            <w:pPr>
              <w:pStyle w:val="TableParagraph"/>
              <w:ind w:left="200"/>
              <w:rPr>
                <w:rFonts w:ascii="Microsoft JhengHei" w:eastAsia="Microsoft JhengHei" w:hint="eastAsia"/>
                <w:b/>
                <w:sz w:val="21"/>
              </w:rPr>
            </w:pPr>
            <w:r>
              <w:rPr>
                <w:rFonts w:ascii="Microsoft JhengHei" w:eastAsia="Microsoft JhengHei" w:hint="eastAsia"/>
                <w:b/>
                <w:sz w:val="21"/>
              </w:rPr>
              <w:t>多个肢体缺失</w:t>
            </w:r>
          </w:p>
        </w:tc>
        <w:tc>
          <w:tcPr>
            <w:tcW w:w="7021" w:type="dxa"/>
          </w:tcPr>
          <w:p>
            <w:pPr>
              <w:pStyle w:val="TableParagraph"/>
              <w:rPr>
                <w:rFonts w:ascii="Times New Roman"/>
                <w:sz w:val="20"/>
              </w:rPr>
            </w:pPr>
          </w:p>
          <w:p>
            <w:pPr>
              <w:pStyle w:val="TableParagraph"/>
              <w:spacing w:before="129"/>
              <w:ind w:left="103"/>
              <w:rPr>
                <w:sz w:val="21"/>
              </w:rPr>
            </w:pPr>
            <w:r>
              <w:rPr>
                <w:sz w:val="21"/>
              </w:rPr>
              <w:t>指因疾病或意外伤害导致两个或两个以上肢体自腕关节或踝关节近端</w:t>
            </w:r>
          </w:p>
          <w:p>
            <w:pPr>
              <w:pStyle w:val="TableParagraph"/>
              <w:spacing w:before="36"/>
              <w:ind w:left="103"/>
              <w:rPr>
                <w:sz w:val="21"/>
              </w:rPr>
            </w:pPr>
            <w:r>
              <w:rPr>
                <w:sz w:val="21"/>
              </w:rPr>
              <w:t>（靠近躯干端）以上完全性断离。</w:t>
            </w:r>
          </w:p>
        </w:tc>
      </w:tr>
      <w:tr>
        <w:trPr>
          <w:trHeight w:val="2496" w:hRule="atLeast"/>
        </w:trPr>
        <w:tc>
          <w:tcPr>
            <w:tcW w:w="1777" w:type="dxa"/>
          </w:tcPr>
          <w:p>
            <w:pPr>
              <w:pStyle w:val="TableParagraph"/>
              <w:spacing w:before="4"/>
              <w:rPr>
                <w:rFonts w:ascii="Times New Roman"/>
                <w:sz w:val="34"/>
              </w:rPr>
            </w:pPr>
          </w:p>
          <w:p>
            <w:pPr>
              <w:pStyle w:val="TableParagraph"/>
              <w:spacing w:line="410" w:lineRule="auto"/>
              <w:ind w:left="200" w:right="312"/>
              <w:rPr>
                <w:rFonts w:ascii="Microsoft JhengHei" w:eastAsia="Microsoft JhengHei" w:hint="eastAsia"/>
                <w:b/>
                <w:sz w:val="21"/>
              </w:rPr>
            </w:pPr>
            <w:r>
              <w:rPr>
                <w:rFonts w:ascii="Microsoft JhengHei" w:eastAsia="Microsoft JhengHei" w:hint="eastAsia"/>
                <w:b/>
                <w:sz w:val="21"/>
              </w:rPr>
              <w:t>急性或亚急性重症肝炎</w:t>
            </w:r>
          </w:p>
        </w:tc>
        <w:tc>
          <w:tcPr>
            <w:tcW w:w="7021" w:type="dxa"/>
          </w:tcPr>
          <w:p>
            <w:pPr>
              <w:pStyle w:val="TableParagraph"/>
              <w:spacing w:before="11"/>
              <w:rPr>
                <w:rFonts w:ascii="Times New Roman"/>
                <w:sz w:val="25"/>
              </w:rPr>
            </w:pPr>
          </w:p>
          <w:p>
            <w:pPr>
              <w:pStyle w:val="TableParagraph"/>
              <w:spacing w:line="273" w:lineRule="auto"/>
              <w:ind w:left="103" w:right="307"/>
              <w:rPr>
                <w:sz w:val="21"/>
              </w:rPr>
            </w:pPr>
            <w:r>
              <w:rPr>
                <w:sz w:val="21"/>
              </w:rPr>
              <w:t>指因肝炎病毒感染引起肝脏组织弥漫性坏死，导致急性肝功能衰竭，且经血清学或病毒学检查证实，并须满足下列全部条件：</w:t>
            </w:r>
          </w:p>
          <w:p>
            <w:pPr>
              <w:pStyle w:val="TableParagraph"/>
              <w:numPr>
                <w:ilvl w:val="0"/>
                <w:numId w:val="9"/>
              </w:numPr>
              <w:tabs>
                <w:tab w:pos="735" w:val="left" w:leader="none"/>
              </w:tabs>
              <w:spacing w:line="240" w:lineRule="auto" w:before="7" w:after="0"/>
              <w:ind w:left="734" w:right="0" w:hanging="631"/>
              <w:jc w:val="left"/>
              <w:rPr>
                <w:sz w:val="21"/>
              </w:rPr>
            </w:pPr>
            <w:r>
              <w:rPr>
                <w:spacing w:val="-3"/>
                <w:sz w:val="21"/>
              </w:rPr>
              <w:t>重度黄疸或黄疸迅速加重；</w:t>
            </w:r>
          </w:p>
          <w:p>
            <w:pPr>
              <w:pStyle w:val="TableParagraph"/>
              <w:numPr>
                <w:ilvl w:val="0"/>
                <w:numId w:val="9"/>
              </w:numPr>
              <w:tabs>
                <w:tab w:pos="735" w:val="left" w:leader="none"/>
              </w:tabs>
              <w:spacing w:line="240" w:lineRule="auto" w:before="36" w:after="0"/>
              <w:ind w:left="734" w:right="0" w:hanging="631"/>
              <w:jc w:val="left"/>
              <w:rPr>
                <w:sz w:val="21"/>
              </w:rPr>
            </w:pPr>
            <w:r>
              <w:rPr>
                <w:spacing w:val="-3"/>
                <w:sz w:val="21"/>
              </w:rPr>
              <w:t>肝性脑病；</w:t>
            </w:r>
          </w:p>
          <w:p>
            <w:pPr>
              <w:pStyle w:val="TableParagraph"/>
              <w:numPr>
                <w:ilvl w:val="0"/>
                <w:numId w:val="9"/>
              </w:numPr>
              <w:tabs>
                <w:tab w:pos="735" w:val="left" w:leader="none"/>
              </w:tabs>
              <w:spacing w:line="240" w:lineRule="auto" w:before="37" w:after="0"/>
              <w:ind w:left="734" w:right="0" w:hanging="631"/>
              <w:jc w:val="left"/>
              <w:rPr>
                <w:sz w:val="21"/>
              </w:rPr>
            </w:pPr>
            <w:r>
              <w:rPr>
                <w:sz w:val="21"/>
              </w:rPr>
              <w:t>B</w:t>
            </w:r>
            <w:r>
              <w:rPr>
                <w:spacing w:val="-7"/>
                <w:sz w:val="21"/>
              </w:rPr>
              <w:t> 超或其它影像学检查显示肝脏体积急速萎缩；</w:t>
            </w:r>
          </w:p>
          <w:p>
            <w:pPr>
              <w:pStyle w:val="TableParagraph"/>
              <w:numPr>
                <w:ilvl w:val="0"/>
                <w:numId w:val="9"/>
              </w:numPr>
              <w:tabs>
                <w:tab w:pos="735" w:val="left" w:leader="none"/>
              </w:tabs>
              <w:spacing w:line="240" w:lineRule="auto" w:before="37" w:after="0"/>
              <w:ind w:left="734" w:right="0" w:hanging="631"/>
              <w:jc w:val="left"/>
              <w:rPr>
                <w:sz w:val="21"/>
              </w:rPr>
            </w:pPr>
            <w:r>
              <w:rPr>
                <w:spacing w:val="-3"/>
                <w:sz w:val="21"/>
              </w:rPr>
              <w:t>肝功能指标进行性恶化。</w:t>
            </w:r>
          </w:p>
        </w:tc>
      </w:tr>
      <w:tr>
        <w:trPr>
          <w:trHeight w:val="2445" w:hRule="atLeast"/>
        </w:trPr>
        <w:tc>
          <w:tcPr>
            <w:tcW w:w="1777"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良性脑肿瘤</w:t>
            </w:r>
          </w:p>
        </w:tc>
        <w:tc>
          <w:tcPr>
            <w:tcW w:w="7021" w:type="dxa"/>
          </w:tcPr>
          <w:p>
            <w:pPr>
              <w:pStyle w:val="TableParagraph"/>
              <w:spacing w:before="11"/>
              <w:rPr>
                <w:rFonts w:ascii="Times New Roman"/>
                <w:sz w:val="25"/>
              </w:rPr>
            </w:pPr>
          </w:p>
          <w:p>
            <w:pPr>
              <w:pStyle w:val="TableParagraph"/>
              <w:spacing w:line="273" w:lineRule="auto"/>
              <w:ind w:left="103" w:right="197"/>
              <w:rPr>
                <w:sz w:val="21"/>
              </w:rPr>
            </w:pPr>
            <w:r>
              <w:rPr>
                <w:sz w:val="21"/>
              </w:rPr>
              <w:t>指脑的良性肿瘤，已经引起颅内压增高，临床表现为视神经乳头水肿、</w:t>
            </w:r>
            <w:r>
              <w:rPr>
                <w:spacing w:val="-23"/>
                <w:w w:val="100"/>
                <w:sz w:val="21"/>
              </w:rPr>
              <w:t>精神症状、癫痫及运动感觉障碍等，并危及生命。须由头颅断层扫描</w:t>
            </w:r>
            <w:r>
              <w:rPr>
                <w:spacing w:val="-1"/>
                <w:w w:val="100"/>
                <w:sz w:val="21"/>
              </w:rPr>
              <w:t>（</w:t>
            </w:r>
            <w:r>
              <w:rPr>
                <w:spacing w:val="-3"/>
                <w:w w:val="100"/>
                <w:sz w:val="21"/>
              </w:rPr>
              <w:t>C</w:t>
            </w:r>
            <w:r>
              <w:rPr>
                <w:w w:val="100"/>
                <w:sz w:val="21"/>
              </w:rPr>
              <w:t>T</w:t>
            </w:r>
            <w:r>
              <w:rPr>
                <w:spacing w:val="-106"/>
                <w:w w:val="100"/>
                <w:sz w:val="21"/>
              </w:rPr>
              <w:t>）、</w:t>
            </w:r>
            <w:r>
              <w:rPr>
                <w:spacing w:val="-3"/>
                <w:sz w:val="21"/>
              </w:rPr>
              <w:t>核磁共振检查</w:t>
            </w:r>
            <w:r>
              <w:rPr>
                <w:spacing w:val="-1"/>
                <w:sz w:val="21"/>
              </w:rPr>
              <w:t>（MRI）</w:t>
            </w:r>
            <w:r>
              <w:rPr>
                <w:spacing w:val="-3"/>
                <w:sz w:val="21"/>
              </w:rPr>
              <w:t>或正电子发射断层扫描</w:t>
            </w:r>
            <w:r>
              <w:rPr>
                <w:sz w:val="21"/>
              </w:rPr>
              <w:t>（PET）</w:t>
            </w:r>
            <w:r>
              <w:rPr>
                <w:spacing w:val="-3"/>
                <w:sz w:val="21"/>
              </w:rPr>
              <w:t>等影像学检查证实， 并须满足下列至少一项条件：</w:t>
            </w:r>
          </w:p>
          <w:p>
            <w:pPr>
              <w:pStyle w:val="TableParagraph"/>
              <w:numPr>
                <w:ilvl w:val="0"/>
                <w:numId w:val="10"/>
              </w:numPr>
              <w:tabs>
                <w:tab w:pos="735" w:val="left" w:leader="none"/>
              </w:tabs>
              <w:spacing w:line="240" w:lineRule="auto" w:before="7" w:after="0"/>
              <w:ind w:left="734" w:right="0" w:hanging="631"/>
              <w:jc w:val="left"/>
              <w:rPr>
                <w:sz w:val="21"/>
              </w:rPr>
            </w:pPr>
            <w:r>
              <w:rPr>
                <w:spacing w:val="-3"/>
                <w:sz w:val="21"/>
              </w:rPr>
              <w:t>实际实施了开颅进行的脑肿瘤完全切除或部分切除的手术；</w:t>
            </w:r>
          </w:p>
          <w:p>
            <w:pPr>
              <w:pStyle w:val="TableParagraph"/>
              <w:numPr>
                <w:ilvl w:val="0"/>
                <w:numId w:val="10"/>
              </w:numPr>
              <w:tabs>
                <w:tab w:pos="735" w:val="left" w:leader="none"/>
              </w:tabs>
              <w:spacing w:line="240" w:lineRule="auto" w:before="36" w:after="0"/>
              <w:ind w:left="734" w:right="0" w:hanging="631"/>
              <w:jc w:val="left"/>
              <w:rPr>
                <w:sz w:val="21"/>
              </w:rPr>
            </w:pPr>
            <w:r>
              <w:rPr>
                <w:spacing w:val="-3"/>
                <w:sz w:val="21"/>
              </w:rPr>
              <w:t>实际实施了对脑肿瘤进行的放射治疗。</w:t>
            </w:r>
          </w:p>
          <w:p>
            <w:pPr>
              <w:pStyle w:val="TableParagraph"/>
              <w:spacing w:line="255" w:lineRule="exact" w:before="37"/>
              <w:ind w:left="718" w:right="1433"/>
              <w:jc w:val="center"/>
              <w:rPr>
                <w:sz w:val="21"/>
              </w:rPr>
            </w:pPr>
            <w:r>
              <w:rPr>
                <w:sz w:val="21"/>
              </w:rPr>
              <w:t>脑垂体瘤、脑囊肿、脑血管性疾病不在保障范围内。</w:t>
            </w:r>
          </w:p>
        </w:tc>
      </w:tr>
    </w:tbl>
    <w:p>
      <w:pPr>
        <w:spacing w:after="0" w:line="255" w:lineRule="exact"/>
        <w:jc w:val="center"/>
        <w:rPr>
          <w:sz w:val="21"/>
        </w:rPr>
        <w:sectPr>
          <w:pgSz w:w="11910" w:h="16840"/>
          <w:pgMar w:header="886" w:footer="992" w:top="1120" w:bottom="1180" w:left="1200" w:right="84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1"/>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26"/>
      </w:tblGrid>
      <w:tr>
        <w:trPr>
          <w:trHeight w:val="2133" w:hRule="atLeast"/>
        </w:trPr>
        <w:tc>
          <w:tcPr>
            <w:tcW w:w="1672" w:type="dxa"/>
          </w:tcPr>
          <w:p>
            <w:pPr>
              <w:pStyle w:val="TableParagraph"/>
              <w:spacing w:line="410" w:lineRule="auto" w:before="32"/>
              <w:ind w:left="200" w:right="207"/>
              <w:rPr>
                <w:rFonts w:ascii="Microsoft JhengHei" w:eastAsia="Microsoft JhengHei" w:hint="eastAsia"/>
                <w:b/>
                <w:sz w:val="21"/>
              </w:rPr>
            </w:pPr>
            <w:r>
              <w:rPr>
                <w:rFonts w:ascii="Microsoft JhengHei" w:eastAsia="Microsoft JhengHei" w:hint="eastAsia"/>
                <w:b/>
                <w:sz w:val="21"/>
              </w:rPr>
              <w:t>慢性肝功能衰竭失代偿期</w:t>
            </w:r>
          </w:p>
        </w:tc>
        <w:tc>
          <w:tcPr>
            <w:tcW w:w="7126" w:type="dxa"/>
          </w:tcPr>
          <w:p>
            <w:pPr>
              <w:pStyle w:val="TableParagraph"/>
              <w:spacing w:line="211" w:lineRule="exact"/>
              <w:ind w:left="208"/>
              <w:rPr>
                <w:sz w:val="21"/>
              </w:rPr>
            </w:pPr>
            <w:r>
              <w:rPr>
                <w:sz w:val="21"/>
              </w:rPr>
              <w:t>指因慢性肝脏疾病导致肝功能衰竭。须满足下列全部条件：</w:t>
            </w:r>
          </w:p>
          <w:p>
            <w:pPr>
              <w:pStyle w:val="TableParagraph"/>
              <w:numPr>
                <w:ilvl w:val="0"/>
                <w:numId w:val="11"/>
              </w:numPr>
              <w:tabs>
                <w:tab w:pos="840" w:val="left" w:leader="none"/>
              </w:tabs>
              <w:spacing w:line="240" w:lineRule="auto" w:before="37" w:after="0"/>
              <w:ind w:left="208" w:right="0" w:firstLine="0"/>
              <w:jc w:val="left"/>
              <w:rPr>
                <w:sz w:val="21"/>
              </w:rPr>
            </w:pPr>
            <w:r>
              <w:rPr>
                <w:spacing w:val="-3"/>
                <w:sz w:val="21"/>
              </w:rPr>
              <w:t>持续性黄疸；</w:t>
            </w:r>
          </w:p>
          <w:p>
            <w:pPr>
              <w:pStyle w:val="TableParagraph"/>
              <w:numPr>
                <w:ilvl w:val="0"/>
                <w:numId w:val="11"/>
              </w:numPr>
              <w:tabs>
                <w:tab w:pos="840" w:val="left" w:leader="none"/>
              </w:tabs>
              <w:spacing w:line="240" w:lineRule="auto" w:before="37" w:after="0"/>
              <w:ind w:left="208" w:right="0" w:firstLine="0"/>
              <w:jc w:val="left"/>
              <w:rPr>
                <w:sz w:val="21"/>
              </w:rPr>
            </w:pPr>
            <w:r>
              <w:rPr>
                <w:spacing w:val="-2"/>
                <w:sz w:val="21"/>
              </w:rPr>
              <w:t>腹水；</w:t>
            </w:r>
          </w:p>
          <w:p>
            <w:pPr>
              <w:pStyle w:val="TableParagraph"/>
              <w:numPr>
                <w:ilvl w:val="0"/>
                <w:numId w:val="11"/>
              </w:numPr>
              <w:tabs>
                <w:tab w:pos="840" w:val="left" w:leader="none"/>
              </w:tabs>
              <w:spacing w:line="240" w:lineRule="auto" w:before="37" w:after="0"/>
              <w:ind w:left="208" w:right="0" w:firstLine="0"/>
              <w:jc w:val="left"/>
              <w:rPr>
                <w:sz w:val="21"/>
              </w:rPr>
            </w:pPr>
            <w:r>
              <w:rPr>
                <w:spacing w:val="-3"/>
                <w:sz w:val="21"/>
              </w:rPr>
              <w:t>肝性脑病；</w:t>
            </w:r>
          </w:p>
          <w:p>
            <w:pPr>
              <w:pStyle w:val="TableParagraph"/>
              <w:numPr>
                <w:ilvl w:val="0"/>
                <w:numId w:val="11"/>
              </w:numPr>
              <w:tabs>
                <w:tab w:pos="840" w:val="left" w:leader="none"/>
              </w:tabs>
              <w:spacing w:line="273" w:lineRule="auto" w:before="37" w:after="0"/>
              <w:ind w:left="208" w:right="1658" w:firstLine="0"/>
              <w:jc w:val="left"/>
              <w:rPr>
                <w:sz w:val="21"/>
              </w:rPr>
            </w:pPr>
            <w:r>
              <w:rPr>
                <w:spacing w:val="-3"/>
                <w:sz w:val="21"/>
              </w:rPr>
              <w:t>充血性脾肿大伴脾功能亢进或食管胃底静脉曲张。因酗酒或药物滥用导致的肝功能衰竭不在保障范围内。</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脑炎后遗症或脑膜炎后遗症</w:t>
            </w:r>
          </w:p>
        </w:tc>
        <w:tc>
          <w:tcPr>
            <w:tcW w:w="7126" w:type="dxa"/>
          </w:tcPr>
          <w:p>
            <w:pPr>
              <w:pStyle w:val="TableParagraph"/>
              <w:spacing w:before="11"/>
              <w:rPr>
                <w:rFonts w:ascii="Times New Roman"/>
                <w:sz w:val="25"/>
              </w:rPr>
            </w:pPr>
          </w:p>
          <w:p>
            <w:pPr>
              <w:pStyle w:val="TableParagraph"/>
              <w:spacing w:line="273" w:lineRule="auto"/>
              <w:ind w:left="208" w:right="158"/>
              <w:rPr>
                <w:sz w:val="21"/>
              </w:rPr>
            </w:pPr>
            <w:r>
              <w:rPr>
                <w:sz w:val="21"/>
              </w:rPr>
              <w:t>指因患脑炎或脑膜炎导致的神经系统永久性的功能障碍。神经系统永久性的功能障碍，指疾病确诊 180 天后，仍遗留下列一种或一种以上障碍：</w:t>
            </w:r>
          </w:p>
          <w:p>
            <w:pPr>
              <w:pStyle w:val="TableParagraph"/>
              <w:numPr>
                <w:ilvl w:val="0"/>
                <w:numId w:val="12"/>
              </w:numPr>
              <w:tabs>
                <w:tab w:pos="840" w:val="left" w:leader="none"/>
              </w:tabs>
              <w:spacing w:line="240" w:lineRule="auto" w:before="7" w:after="0"/>
              <w:ind w:left="839" w:right="0" w:hanging="631"/>
              <w:jc w:val="left"/>
              <w:rPr>
                <w:sz w:val="21"/>
              </w:rPr>
            </w:pPr>
            <w:r>
              <w:rPr>
                <w:spacing w:val="-3"/>
                <w:sz w:val="21"/>
              </w:rPr>
              <w:t>一肢或一肢以上肢体机能完全丧失；</w:t>
            </w:r>
          </w:p>
          <w:p>
            <w:pPr>
              <w:pStyle w:val="TableParagraph"/>
              <w:numPr>
                <w:ilvl w:val="0"/>
                <w:numId w:val="12"/>
              </w:numPr>
              <w:tabs>
                <w:tab w:pos="840" w:val="left" w:leader="none"/>
              </w:tabs>
              <w:spacing w:line="240" w:lineRule="auto" w:before="36" w:after="0"/>
              <w:ind w:left="839" w:right="0" w:hanging="631"/>
              <w:jc w:val="left"/>
              <w:rPr>
                <w:sz w:val="21"/>
              </w:rPr>
            </w:pPr>
            <w:r>
              <w:rPr>
                <w:spacing w:val="-3"/>
                <w:sz w:val="21"/>
              </w:rPr>
              <w:t>语言能力或咀嚼吞咽能力完全丧失；</w:t>
            </w:r>
          </w:p>
          <w:p>
            <w:pPr>
              <w:pStyle w:val="TableParagraph"/>
              <w:numPr>
                <w:ilvl w:val="0"/>
                <w:numId w:val="12"/>
              </w:numPr>
              <w:tabs>
                <w:tab w:pos="852" w:val="left" w:leader="none"/>
              </w:tabs>
              <w:spacing w:line="273" w:lineRule="auto" w:before="36" w:after="0"/>
              <w:ind w:left="839" w:right="312" w:hanging="631"/>
              <w:jc w:val="left"/>
              <w:rPr>
                <w:sz w:val="21"/>
              </w:rPr>
            </w:pPr>
            <w:r>
              <w:rPr>
                <w:sz w:val="21"/>
              </w:rPr>
              <w:t>自主生活能力完全丧失，无法独立完成六项基本日常生活活动中</w:t>
            </w:r>
            <w:r>
              <w:rPr>
                <w:spacing w:val="-3"/>
                <w:sz w:val="21"/>
              </w:rPr>
              <w:t>的三项或三项以上。</w:t>
            </w:r>
          </w:p>
        </w:tc>
      </w:tr>
      <w:tr>
        <w:trPr>
          <w:trHeight w:val="1872"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深度昏迷</w:t>
            </w:r>
          </w:p>
        </w:tc>
        <w:tc>
          <w:tcPr>
            <w:tcW w:w="7126" w:type="dxa"/>
          </w:tcPr>
          <w:p>
            <w:pPr>
              <w:pStyle w:val="TableParagraph"/>
              <w:spacing w:before="11"/>
              <w:rPr>
                <w:rFonts w:ascii="Times New Roman"/>
                <w:sz w:val="25"/>
              </w:rPr>
            </w:pPr>
          </w:p>
          <w:p>
            <w:pPr>
              <w:pStyle w:val="TableParagraph"/>
              <w:spacing w:line="273" w:lineRule="auto"/>
              <w:ind w:left="208" w:right="262"/>
              <w:rPr>
                <w:sz w:val="21"/>
              </w:rPr>
            </w:pPr>
            <w:r>
              <w:rPr>
                <w:sz w:val="21"/>
              </w:rPr>
              <w:t>指因疾病或意外伤害导致意识丧失,对外界刺激和体内需求均无反应,昏迷程度按照格拉斯哥昏迷分级（Glasgow coma scale）结果为 5 分或 5</w:t>
            </w:r>
          </w:p>
          <w:p>
            <w:pPr>
              <w:pStyle w:val="TableParagraph"/>
              <w:spacing w:line="273" w:lineRule="auto" w:before="7"/>
              <w:ind w:left="208" w:right="715"/>
              <w:rPr>
                <w:sz w:val="21"/>
              </w:rPr>
            </w:pPr>
            <w:r>
              <w:rPr>
                <w:spacing w:val="-5"/>
                <w:sz w:val="21"/>
              </w:rPr>
              <w:t>分以下，且已经持续使用呼吸机及其它生命维持系统 </w:t>
            </w:r>
            <w:r>
              <w:rPr>
                <w:sz w:val="21"/>
              </w:rPr>
              <w:t>96</w:t>
            </w:r>
            <w:r>
              <w:rPr>
                <w:spacing w:val="-10"/>
                <w:sz w:val="21"/>
              </w:rPr>
              <w:t> 小时以上。</w:t>
            </w:r>
            <w:r>
              <w:rPr>
                <w:spacing w:val="-5"/>
                <w:sz w:val="21"/>
              </w:rPr>
              <w:t>因酗酒或药物滥用导致的深度昏迷不在保障范围内。</w:t>
            </w:r>
          </w:p>
        </w:tc>
      </w:tr>
      <w:tr>
        <w:trPr>
          <w:trHeight w:val="1872"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双耳失聪</w:t>
            </w:r>
          </w:p>
        </w:tc>
        <w:tc>
          <w:tcPr>
            <w:tcW w:w="7126" w:type="dxa"/>
          </w:tcPr>
          <w:p>
            <w:pPr>
              <w:pStyle w:val="TableParagraph"/>
              <w:spacing w:before="11"/>
              <w:rPr>
                <w:rFonts w:ascii="Times New Roman"/>
                <w:sz w:val="25"/>
              </w:rPr>
            </w:pPr>
          </w:p>
          <w:p>
            <w:pPr>
              <w:pStyle w:val="TableParagraph"/>
              <w:ind w:left="208"/>
              <w:rPr>
                <w:sz w:val="21"/>
              </w:rPr>
            </w:pPr>
            <w:r>
              <w:rPr>
                <w:sz w:val="21"/>
              </w:rPr>
              <w:t>指因疾病或意外伤害导致双耳听力永久不可逆（见 8.19）性丧失，在 500</w:t>
            </w:r>
          </w:p>
          <w:p>
            <w:pPr>
              <w:pStyle w:val="TableParagraph"/>
              <w:spacing w:line="273" w:lineRule="auto" w:before="37"/>
              <w:ind w:left="208" w:right="302"/>
              <w:rPr>
                <w:sz w:val="21"/>
              </w:rPr>
            </w:pPr>
            <w:r>
              <w:rPr>
                <w:spacing w:val="-1"/>
                <w:sz w:val="21"/>
              </w:rPr>
              <w:t>赫兹、</w:t>
            </w:r>
            <w:r>
              <w:rPr>
                <w:sz w:val="21"/>
              </w:rPr>
              <w:t>1000</w:t>
            </w:r>
            <w:r>
              <w:rPr>
                <w:spacing w:val="-18"/>
                <w:sz w:val="21"/>
              </w:rPr>
              <w:t> 赫兹和 </w:t>
            </w:r>
            <w:r>
              <w:rPr>
                <w:sz w:val="21"/>
              </w:rPr>
              <w:t>2000</w:t>
            </w:r>
            <w:r>
              <w:rPr>
                <w:spacing w:val="-10"/>
                <w:sz w:val="21"/>
              </w:rPr>
              <w:t> 赫兹语音频率下，平均听阈大于 </w:t>
            </w:r>
            <w:r>
              <w:rPr>
                <w:sz w:val="21"/>
              </w:rPr>
              <w:t>90</w:t>
            </w:r>
            <w:r>
              <w:rPr>
                <w:spacing w:val="-9"/>
                <w:sz w:val="21"/>
              </w:rPr>
              <w:t> 分贝，且经</w:t>
            </w:r>
            <w:r>
              <w:rPr>
                <w:spacing w:val="-5"/>
                <w:sz w:val="21"/>
              </w:rPr>
              <w:t>纯音听力测试、声导抗检测或听觉诱发电位检测等证实。</w:t>
            </w:r>
          </w:p>
          <w:p>
            <w:pPr>
              <w:pStyle w:val="TableParagraph"/>
              <w:spacing w:before="7"/>
              <w:ind w:left="208"/>
              <w:rPr>
                <w:sz w:val="21"/>
              </w:rPr>
            </w:pPr>
            <w:r>
              <w:rPr>
                <w:sz w:val="21"/>
              </w:rPr>
              <w:t>在 0 周岁至 3 周岁的保险单周年日期间，被保险人初患双耳失聪除外。</w:t>
            </w:r>
          </w:p>
        </w:tc>
      </w:tr>
      <w:tr>
        <w:trPr>
          <w:trHeight w:val="2496"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双目失明</w:t>
            </w:r>
          </w:p>
        </w:tc>
        <w:tc>
          <w:tcPr>
            <w:tcW w:w="7126" w:type="dxa"/>
          </w:tcPr>
          <w:p>
            <w:pPr>
              <w:pStyle w:val="TableParagraph"/>
              <w:spacing w:before="11"/>
              <w:rPr>
                <w:rFonts w:ascii="Times New Roman"/>
                <w:sz w:val="25"/>
              </w:rPr>
            </w:pPr>
          </w:p>
          <w:p>
            <w:pPr>
              <w:pStyle w:val="TableParagraph"/>
              <w:spacing w:line="273" w:lineRule="auto"/>
              <w:ind w:left="208" w:right="307"/>
              <w:rPr>
                <w:sz w:val="21"/>
              </w:rPr>
            </w:pPr>
            <w:r>
              <w:rPr>
                <w:sz w:val="21"/>
              </w:rPr>
              <w:t>指因疾病或意外伤害导致双眼视力永久不可逆性丧失，双眼中较好眼须满足下列至少一项条件：</w:t>
            </w:r>
          </w:p>
          <w:p>
            <w:pPr>
              <w:pStyle w:val="TableParagraph"/>
              <w:numPr>
                <w:ilvl w:val="0"/>
                <w:numId w:val="13"/>
              </w:numPr>
              <w:tabs>
                <w:tab w:pos="840" w:val="left" w:leader="none"/>
              </w:tabs>
              <w:spacing w:line="240" w:lineRule="auto" w:before="8" w:after="0"/>
              <w:ind w:left="839" w:right="0" w:hanging="631"/>
              <w:jc w:val="left"/>
              <w:rPr>
                <w:sz w:val="21"/>
              </w:rPr>
            </w:pPr>
            <w:r>
              <w:rPr>
                <w:spacing w:val="-3"/>
                <w:sz w:val="21"/>
              </w:rPr>
              <w:t>眼球缺失或摘除；</w:t>
            </w:r>
          </w:p>
          <w:p>
            <w:pPr>
              <w:pStyle w:val="TableParagraph"/>
              <w:numPr>
                <w:ilvl w:val="0"/>
                <w:numId w:val="13"/>
              </w:numPr>
              <w:tabs>
                <w:tab w:pos="840" w:val="left" w:leader="none"/>
              </w:tabs>
              <w:spacing w:line="273" w:lineRule="auto" w:before="37" w:after="0"/>
              <w:ind w:left="839" w:right="302" w:hanging="631"/>
              <w:jc w:val="left"/>
              <w:rPr>
                <w:sz w:val="21"/>
              </w:rPr>
            </w:pPr>
            <w:r>
              <w:rPr>
                <w:spacing w:val="-1"/>
                <w:sz w:val="21"/>
              </w:rPr>
              <w:t>矫正视力低于 </w:t>
            </w:r>
            <w:r>
              <w:rPr>
                <w:sz w:val="21"/>
              </w:rPr>
              <w:t>0.02（</w:t>
            </w:r>
            <w:r>
              <w:rPr>
                <w:spacing w:val="-3"/>
                <w:sz w:val="21"/>
              </w:rPr>
              <w:t>采用国际标准视力表，如果使用其它视力表</w:t>
            </w:r>
            <w:r>
              <w:rPr>
                <w:spacing w:val="-3"/>
                <w:w w:val="100"/>
                <w:sz w:val="21"/>
              </w:rPr>
              <w:t>应进行换算</w:t>
            </w:r>
            <w:r>
              <w:rPr>
                <w:spacing w:val="-106"/>
                <w:w w:val="100"/>
                <w:sz w:val="21"/>
              </w:rPr>
              <w:t>）</w:t>
            </w:r>
            <w:r>
              <w:rPr>
                <w:w w:val="100"/>
                <w:sz w:val="21"/>
              </w:rPr>
              <w:t>；</w:t>
            </w:r>
          </w:p>
          <w:p>
            <w:pPr>
              <w:pStyle w:val="TableParagraph"/>
              <w:numPr>
                <w:ilvl w:val="0"/>
                <w:numId w:val="13"/>
              </w:numPr>
              <w:tabs>
                <w:tab w:pos="840" w:val="left" w:leader="none"/>
              </w:tabs>
              <w:spacing w:line="240" w:lineRule="auto" w:before="8" w:after="0"/>
              <w:ind w:left="839" w:right="0" w:hanging="631"/>
              <w:jc w:val="left"/>
              <w:rPr>
                <w:sz w:val="21"/>
              </w:rPr>
            </w:pPr>
            <w:r>
              <w:rPr>
                <w:spacing w:val="-10"/>
                <w:sz w:val="21"/>
              </w:rPr>
              <w:t>视野半径小于 </w:t>
            </w:r>
            <w:r>
              <w:rPr>
                <w:sz w:val="21"/>
              </w:rPr>
              <w:t>5</w:t>
            </w:r>
            <w:r>
              <w:rPr>
                <w:spacing w:val="-19"/>
                <w:sz w:val="21"/>
              </w:rPr>
              <w:t> 度。</w:t>
            </w:r>
          </w:p>
        </w:tc>
      </w:tr>
      <w:tr>
        <w:trPr>
          <w:trHeight w:val="1197"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瘫痪</w:t>
            </w:r>
          </w:p>
        </w:tc>
        <w:tc>
          <w:tcPr>
            <w:tcW w:w="7126" w:type="dxa"/>
          </w:tcPr>
          <w:p>
            <w:pPr>
              <w:pStyle w:val="TableParagraph"/>
              <w:spacing w:before="10"/>
              <w:rPr>
                <w:rFonts w:ascii="Times New Roman"/>
                <w:sz w:val="22"/>
              </w:rPr>
            </w:pPr>
          </w:p>
          <w:p>
            <w:pPr>
              <w:pStyle w:val="TableParagraph"/>
              <w:spacing w:line="310" w:lineRule="atLeast"/>
              <w:ind w:left="208" w:right="302"/>
              <w:jc w:val="both"/>
              <w:rPr>
                <w:sz w:val="21"/>
              </w:rPr>
            </w:pPr>
            <w:r>
              <w:rPr>
                <w:sz w:val="21"/>
              </w:rPr>
              <w:t>指因疾病或意外伤害导致两肢或两肢以上肢体机能永久完全丧失。肢体</w:t>
            </w:r>
            <w:r>
              <w:rPr>
                <w:spacing w:val="-5"/>
                <w:sz w:val="21"/>
              </w:rPr>
              <w:t>机能永久完全丧失，指疾病确诊 </w:t>
            </w:r>
            <w:r>
              <w:rPr>
                <w:sz w:val="21"/>
              </w:rPr>
              <w:t>180</w:t>
            </w:r>
            <w:r>
              <w:rPr>
                <w:spacing w:val="-8"/>
                <w:sz w:val="21"/>
              </w:rPr>
              <w:t> 天后或意外伤害发生 </w:t>
            </w:r>
            <w:r>
              <w:rPr>
                <w:sz w:val="21"/>
              </w:rPr>
              <w:t>180</w:t>
            </w:r>
            <w:r>
              <w:rPr>
                <w:spacing w:val="-6"/>
                <w:sz w:val="21"/>
              </w:rPr>
              <w:t> 天后，每</w:t>
            </w:r>
            <w:r>
              <w:rPr>
                <w:spacing w:val="-4"/>
                <w:sz w:val="21"/>
              </w:rPr>
              <w:t>肢三大关节中的两大关节仍然完全僵硬，或不能随意识活动。</w:t>
            </w:r>
          </w:p>
        </w:tc>
      </w:tr>
    </w:tbl>
    <w:p>
      <w:pPr>
        <w:spacing w:after="0" w:line="310" w:lineRule="atLeast"/>
        <w:jc w:val="both"/>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28"/>
      </w:tblGrid>
      <w:tr>
        <w:trPr>
          <w:trHeight w:val="885" w:hRule="atLeast"/>
        </w:trPr>
        <w:tc>
          <w:tcPr>
            <w:tcW w:w="1672"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心脏瓣膜手术</w:t>
            </w:r>
          </w:p>
        </w:tc>
        <w:tc>
          <w:tcPr>
            <w:tcW w:w="7128" w:type="dxa"/>
          </w:tcPr>
          <w:p>
            <w:pPr>
              <w:pStyle w:val="TableParagraph"/>
              <w:spacing w:line="211" w:lineRule="exact"/>
              <w:ind w:left="208"/>
              <w:rPr>
                <w:sz w:val="21"/>
              </w:rPr>
            </w:pPr>
            <w:r>
              <w:rPr>
                <w:sz w:val="21"/>
              </w:rPr>
              <w:t>指为治疗心脏瓣膜疾病，实际实施了开胸进行的心脏瓣膜置换或修复的</w:t>
            </w:r>
          </w:p>
          <w:p>
            <w:pPr>
              <w:pStyle w:val="TableParagraph"/>
              <w:spacing w:before="37"/>
              <w:ind w:left="208"/>
              <w:rPr>
                <w:sz w:val="21"/>
              </w:rPr>
            </w:pPr>
            <w:r>
              <w:rPr>
                <w:sz w:val="21"/>
              </w:rPr>
              <w:t>手术。</w:t>
            </w:r>
          </w:p>
        </w:tc>
      </w:tr>
      <w:tr>
        <w:trPr>
          <w:trHeight w:val="2496"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严重阿尔茨海默病</w:t>
            </w:r>
          </w:p>
        </w:tc>
        <w:tc>
          <w:tcPr>
            <w:tcW w:w="7128" w:type="dxa"/>
          </w:tcPr>
          <w:p>
            <w:pPr>
              <w:pStyle w:val="TableParagraph"/>
              <w:spacing w:before="11"/>
              <w:rPr>
                <w:rFonts w:ascii="Times New Roman"/>
                <w:sz w:val="25"/>
              </w:rPr>
            </w:pPr>
          </w:p>
          <w:p>
            <w:pPr>
              <w:pStyle w:val="TableParagraph"/>
              <w:spacing w:line="273" w:lineRule="auto"/>
              <w:ind w:left="208" w:right="299"/>
              <w:jc w:val="both"/>
              <w:rPr>
                <w:sz w:val="21"/>
              </w:rPr>
            </w:pPr>
            <w:r>
              <w:rPr>
                <w:sz w:val="21"/>
              </w:rPr>
              <w:t>指因大脑进行性、不可逆性改变导致智能严重衰退或丧失，临床表现为明显的认知能力障碍、行为异常和社交能力减退，其日常生活必须持续</w:t>
            </w:r>
            <w:r>
              <w:rPr>
                <w:w w:val="100"/>
                <w:sz w:val="21"/>
              </w:rPr>
              <w:t>受到他人监护。须由头颅断层扫描</w:t>
            </w:r>
            <w:r>
              <w:rPr>
                <w:spacing w:val="1"/>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w:t>
            </w:r>
            <w:r>
              <w:rPr>
                <w:spacing w:val="-3"/>
                <w:sz w:val="21"/>
              </w:rPr>
              <w:t>子发射断层扫描</w:t>
            </w:r>
            <w:r>
              <w:rPr>
                <w:sz w:val="21"/>
              </w:rPr>
              <w:t>（PET）</w:t>
            </w:r>
            <w:r>
              <w:rPr>
                <w:spacing w:val="-3"/>
                <w:sz w:val="21"/>
              </w:rPr>
              <w:t>等影像学检查证实，且自主生活能力完全丧失， 无法独立完成六项基本日常生活活动中的三项或三项以上。</w:t>
            </w:r>
          </w:p>
          <w:p>
            <w:pPr>
              <w:pStyle w:val="TableParagraph"/>
              <w:spacing w:before="7"/>
              <w:ind w:left="208"/>
              <w:jc w:val="both"/>
              <w:rPr>
                <w:sz w:val="21"/>
              </w:rPr>
            </w:pPr>
            <w:r>
              <w:rPr>
                <w:sz w:val="21"/>
              </w:rPr>
              <w:t>神经官能症和精神疾病不在保障范围内。</w:t>
            </w:r>
          </w:p>
        </w:tc>
      </w:tr>
      <w:tr>
        <w:trPr>
          <w:trHeight w:val="3120"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严重脑损伤</w:t>
            </w:r>
          </w:p>
        </w:tc>
        <w:tc>
          <w:tcPr>
            <w:tcW w:w="7128" w:type="dxa"/>
          </w:tcPr>
          <w:p>
            <w:pPr>
              <w:pStyle w:val="TableParagraph"/>
              <w:spacing w:before="11"/>
              <w:rPr>
                <w:rFonts w:ascii="Times New Roman"/>
                <w:sz w:val="25"/>
              </w:rPr>
            </w:pPr>
          </w:p>
          <w:p>
            <w:pPr>
              <w:pStyle w:val="TableParagraph"/>
              <w:spacing w:line="273" w:lineRule="auto"/>
              <w:ind w:left="208" w:right="299"/>
              <w:jc w:val="both"/>
              <w:rPr>
                <w:sz w:val="21"/>
              </w:rPr>
            </w:pPr>
            <w:r>
              <w:rPr>
                <w:sz w:val="21"/>
              </w:rPr>
              <w:t>指因头部遭受机械性外力，引起脑重要部位损伤，导致神经系统永久性</w:t>
            </w:r>
            <w:r>
              <w:rPr>
                <w:w w:val="100"/>
                <w:sz w:val="21"/>
              </w:rPr>
              <w:t>的功能障碍。须由头颅断层扫描</w:t>
            </w:r>
            <w:r>
              <w:rPr>
                <w:spacing w:val="1"/>
                <w:w w:val="100"/>
                <w:sz w:val="21"/>
              </w:rPr>
              <w:t>（</w:t>
            </w:r>
            <w:r>
              <w:rPr>
                <w:w w:val="100"/>
                <w:sz w:val="21"/>
              </w:rPr>
              <w:t>CT</w:t>
            </w:r>
            <w:r>
              <w:rPr>
                <w:spacing w:val="-101"/>
                <w:w w:val="100"/>
                <w:sz w:val="21"/>
              </w:rPr>
              <w:t>）</w:t>
            </w:r>
            <w:r>
              <w:rPr>
                <w:w w:val="100"/>
                <w:sz w:val="21"/>
              </w:rPr>
              <w:t>、核磁共振检查</w:t>
            </w:r>
            <w:r>
              <w:rPr>
                <w:spacing w:val="3"/>
                <w:w w:val="100"/>
                <w:sz w:val="21"/>
              </w:rPr>
              <w:t>（</w:t>
            </w:r>
            <w:r>
              <w:rPr>
                <w:w w:val="100"/>
                <w:sz w:val="21"/>
              </w:rPr>
              <w:t>MR</w:t>
            </w:r>
            <w:r>
              <w:rPr>
                <w:spacing w:val="1"/>
                <w:w w:val="100"/>
                <w:sz w:val="21"/>
              </w:rPr>
              <w:t>I）</w:t>
            </w:r>
            <w:r>
              <w:rPr>
                <w:w w:val="100"/>
                <w:sz w:val="21"/>
              </w:rPr>
              <w:t>或正电子</w:t>
            </w:r>
            <w:r>
              <w:rPr>
                <w:spacing w:val="-2"/>
                <w:sz w:val="21"/>
              </w:rPr>
              <w:t>发射断层扫描</w:t>
            </w:r>
            <w:r>
              <w:rPr>
                <w:sz w:val="21"/>
              </w:rPr>
              <w:t>（PET）</w:t>
            </w:r>
            <w:r>
              <w:rPr>
                <w:spacing w:val="-3"/>
                <w:sz w:val="21"/>
              </w:rPr>
              <w:t>等影像学检查证实。神经系统永久性的功能障碍， </w:t>
            </w:r>
            <w:r>
              <w:rPr>
                <w:spacing w:val="-11"/>
                <w:sz w:val="21"/>
              </w:rPr>
              <w:t>指脑损伤 </w:t>
            </w:r>
            <w:r>
              <w:rPr>
                <w:sz w:val="21"/>
              </w:rPr>
              <w:t>180</w:t>
            </w:r>
            <w:r>
              <w:rPr>
                <w:spacing w:val="-7"/>
                <w:sz w:val="21"/>
              </w:rPr>
              <w:t> 天后，仍遗留下列一种或一种以上障碍：</w:t>
            </w:r>
          </w:p>
          <w:p>
            <w:pPr>
              <w:pStyle w:val="TableParagraph"/>
              <w:numPr>
                <w:ilvl w:val="0"/>
                <w:numId w:val="14"/>
              </w:numPr>
              <w:tabs>
                <w:tab w:pos="840" w:val="left" w:leader="none"/>
              </w:tabs>
              <w:spacing w:line="240" w:lineRule="auto" w:before="7" w:after="0"/>
              <w:ind w:left="839" w:right="0" w:hanging="631"/>
              <w:jc w:val="left"/>
              <w:rPr>
                <w:sz w:val="21"/>
              </w:rPr>
            </w:pPr>
            <w:r>
              <w:rPr>
                <w:spacing w:val="-3"/>
                <w:sz w:val="21"/>
              </w:rPr>
              <w:t>一肢或一肢以上肢体机能完全丧失；</w:t>
            </w:r>
          </w:p>
          <w:p>
            <w:pPr>
              <w:pStyle w:val="TableParagraph"/>
              <w:numPr>
                <w:ilvl w:val="0"/>
                <w:numId w:val="14"/>
              </w:numPr>
              <w:tabs>
                <w:tab w:pos="840" w:val="left" w:leader="none"/>
              </w:tabs>
              <w:spacing w:line="240" w:lineRule="auto" w:before="37" w:after="0"/>
              <w:ind w:left="839" w:right="0" w:hanging="631"/>
              <w:jc w:val="left"/>
              <w:rPr>
                <w:sz w:val="21"/>
              </w:rPr>
            </w:pPr>
            <w:r>
              <w:rPr>
                <w:spacing w:val="-3"/>
                <w:sz w:val="21"/>
              </w:rPr>
              <w:t>语言能力或咀嚼吞咽能力完全丧失；</w:t>
            </w:r>
          </w:p>
          <w:p>
            <w:pPr>
              <w:pStyle w:val="TableParagraph"/>
              <w:numPr>
                <w:ilvl w:val="0"/>
                <w:numId w:val="14"/>
              </w:numPr>
              <w:tabs>
                <w:tab w:pos="852" w:val="left" w:leader="none"/>
              </w:tabs>
              <w:spacing w:line="273" w:lineRule="auto" w:before="37" w:after="0"/>
              <w:ind w:left="839" w:right="314" w:hanging="631"/>
              <w:jc w:val="left"/>
              <w:rPr>
                <w:sz w:val="21"/>
              </w:rPr>
            </w:pPr>
            <w:r>
              <w:rPr>
                <w:sz w:val="21"/>
              </w:rPr>
              <w:t>自主生活能力完全丧失，无法独立完成六项基本日常生活活动中</w:t>
            </w:r>
            <w:r>
              <w:rPr>
                <w:spacing w:val="-3"/>
                <w:sz w:val="21"/>
              </w:rPr>
              <w:t>的三项或三项以上。</w:t>
            </w:r>
          </w:p>
        </w:tc>
      </w:tr>
      <w:tr>
        <w:trPr>
          <w:trHeight w:val="2496"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严重帕金森病</w:t>
            </w:r>
          </w:p>
        </w:tc>
        <w:tc>
          <w:tcPr>
            <w:tcW w:w="7128" w:type="dxa"/>
          </w:tcPr>
          <w:p>
            <w:pPr>
              <w:pStyle w:val="TableParagraph"/>
              <w:spacing w:before="11"/>
              <w:rPr>
                <w:rFonts w:ascii="Times New Roman"/>
                <w:sz w:val="25"/>
              </w:rPr>
            </w:pPr>
          </w:p>
          <w:p>
            <w:pPr>
              <w:pStyle w:val="TableParagraph"/>
              <w:spacing w:line="273" w:lineRule="auto"/>
              <w:ind w:left="208" w:right="198"/>
              <w:rPr>
                <w:sz w:val="21"/>
              </w:rPr>
            </w:pPr>
            <w:r>
              <w:rPr>
                <w:sz w:val="21"/>
              </w:rPr>
              <w:t>是一种中枢神经系统的退行性疾病，临床表现为震颤麻痹、共济失调等。须满足下列全部条件：</w:t>
            </w:r>
          </w:p>
          <w:p>
            <w:pPr>
              <w:pStyle w:val="TableParagraph"/>
              <w:numPr>
                <w:ilvl w:val="0"/>
                <w:numId w:val="15"/>
              </w:numPr>
              <w:tabs>
                <w:tab w:pos="840" w:val="left" w:leader="none"/>
              </w:tabs>
              <w:spacing w:line="240" w:lineRule="auto" w:before="7" w:after="0"/>
              <w:ind w:left="839" w:right="0" w:hanging="631"/>
              <w:jc w:val="left"/>
              <w:rPr>
                <w:sz w:val="21"/>
              </w:rPr>
            </w:pPr>
            <w:r>
              <w:rPr>
                <w:spacing w:val="-3"/>
                <w:sz w:val="21"/>
              </w:rPr>
              <w:t>药物治疗无法控制病情；</w:t>
            </w:r>
          </w:p>
          <w:p>
            <w:pPr>
              <w:pStyle w:val="TableParagraph"/>
              <w:numPr>
                <w:ilvl w:val="0"/>
                <w:numId w:val="15"/>
              </w:numPr>
              <w:tabs>
                <w:tab w:pos="852" w:val="left" w:leader="none"/>
              </w:tabs>
              <w:spacing w:line="273" w:lineRule="auto" w:before="36" w:after="0"/>
              <w:ind w:left="839" w:right="314" w:hanging="631"/>
              <w:jc w:val="left"/>
              <w:rPr>
                <w:sz w:val="21"/>
              </w:rPr>
            </w:pPr>
            <w:r>
              <w:rPr>
                <w:sz w:val="21"/>
              </w:rPr>
              <w:t>自主生活能力完全丧失，无法独立完成六项基本日常生活活动中</w:t>
            </w:r>
            <w:r>
              <w:rPr>
                <w:spacing w:val="-3"/>
                <w:sz w:val="21"/>
              </w:rPr>
              <w:t>的三项或三项以上。</w:t>
            </w:r>
          </w:p>
          <w:p>
            <w:pPr>
              <w:pStyle w:val="TableParagraph"/>
              <w:spacing w:before="7"/>
              <w:ind w:left="208"/>
              <w:rPr>
                <w:sz w:val="21"/>
              </w:rPr>
            </w:pPr>
            <w:r>
              <w:rPr>
                <w:sz w:val="21"/>
              </w:rPr>
              <w:t>继发性帕金森综合征不在保障范围内。</w:t>
            </w:r>
          </w:p>
        </w:tc>
      </w:tr>
      <w:tr>
        <w:trPr>
          <w:trHeight w:val="1248" w:hRule="atLeast"/>
        </w:trPr>
        <w:tc>
          <w:tcPr>
            <w:tcW w:w="1672" w:type="dxa"/>
          </w:tcPr>
          <w:p>
            <w:pPr>
              <w:pStyle w:val="TableParagraph"/>
              <w:spacing w:before="4"/>
              <w:rPr>
                <w:rFonts w:ascii="Times New Roman"/>
                <w:sz w:val="34"/>
              </w:rPr>
            </w:pPr>
          </w:p>
          <w:p>
            <w:pPr>
              <w:pStyle w:val="TableParagraph"/>
              <w:ind w:left="200"/>
              <w:rPr>
                <w:rFonts w:ascii="Microsoft JhengHei" w:hAnsi="Microsoft JhengHei" w:eastAsia="Microsoft JhengHei" w:hint="eastAsia"/>
                <w:b/>
                <w:sz w:val="21"/>
              </w:rPr>
            </w:pPr>
            <w:r>
              <w:rPr>
                <w:rFonts w:ascii="Microsoft JhengHei" w:hAnsi="Microsoft JhengHei" w:eastAsia="Microsoft JhengHei" w:hint="eastAsia"/>
                <w:b/>
                <w:w w:val="95"/>
                <w:sz w:val="21"/>
              </w:rPr>
              <w:t>严重Ⅲ度烧伤</w:t>
            </w:r>
          </w:p>
        </w:tc>
        <w:tc>
          <w:tcPr>
            <w:tcW w:w="7128" w:type="dxa"/>
          </w:tcPr>
          <w:p>
            <w:pPr>
              <w:pStyle w:val="TableParagraph"/>
              <w:spacing w:before="11"/>
              <w:rPr>
                <w:rFonts w:ascii="Times New Roman"/>
                <w:sz w:val="25"/>
              </w:rPr>
            </w:pPr>
          </w:p>
          <w:p>
            <w:pPr>
              <w:pStyle w:val="TableParagraph"/>
              <w:spacing w:line="273" w:lineRule="auto"/>
              <w:ind w:left="208" w:right="306"/>
              <w:rPr>
                <w:sz w:val="21"/>
              </w:rPr>
            </w:pPr>
            <w:r>
              <w:rPr>
                <w:spacing w:val="-6"/>
                <w:sz w:val="21"/>
              </w:rPr>
              <w:t>指烧伤程度为Ⅲ度，且Ⅲ度烧伤的面积达到全身体表面积的 </w:t>
            </w:r>
            <w:r>
              <w:rPr>
                <w:sz w:val="21"/>
              </w:rPr>
              <w:t>20%</w:t>
            </w:r>
            <w:r>
              <w:rPr>
                <w:spacing w:val="-21"/>
                <w:sz w:val="21"/>
              </w:rPr>
              <w:t>或 </w:t>
            </w:r>
            <w:r>
              <w:rPr>
                <w:sz w:val="21"/>
              </w:rPr>
              <w:t>20%以</w:t>
            </w:r>
            <w:r>
              <w:rPr>
                <w:spacing w:val="-3"/>
                <w:sz w:val="21"/>
              </w:rPr>
              <w:t>上。体表面积根据《中国新九分法》计算。</w:t>
            </w:r>
          </w:p>
        </w:tc>
      </w:tr>
      <w:tr>
        <w:trPr>
          <w:trHeight w:val="1811"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严重原发性肺动脉高压</w:t>
            </w:r>
          </w:p>
        </w:tc>
        <w:tc>
          <w:tcPr>
            <w:tcW w:w="7128" w:type="dxa"/>
          </w:tcPr>
          <w:p>
            <w:pPr>
              <w:pStyle w:val="TableParagraph"/>
              <w:spacing w:before="11"/>
              <w:rPr>
                <w:rFonts w:ascii="Times New Roman"/>
                <w:sz w:val="25"/>
              </w:rPr>
            </w:pPr>
          </w:p>
          <w:p>
            <w:pPr>
              <w:pStyle w:val="TableParagraph"/>
              <w:spacing w:line="273" w:lineRule="auto"/>
              <w:ind w:left="208" w:right="309"/>
              <w:jc w:val="both"/>
              <w:rPr>
                <w:sz w:val="21"/>
              </w:rPr>
            </w:pPr>
            <w:r>
              <w:rPr>
                <w:sz w:val="21"/>
              </w:rPr>
              <w:t>指不明原因的肺动脉压力持续性增高，进行性发展而导致的慢性疾病， 已经造成永久不可逆性的体力活动能力受限，达到美国纽约心脏病学会心功能状态分级 IV 级，且静息状态下肺动脉平均压超过 30mmHg。</w:t>
            </w:r>
          </w:p>
        </w:tc>
      </w:tr>
      <w:tr>
        <w:trPr>
          <w:trHeight w:val="1570" w:hRule="atLeast"/>
        </w:trPr>
        <w:tc>
          <w:tcPr>
            <w:tcW w:w="1672" w:type="dxa"/>
          </w:tcPr>
          <w:p>
            <w:pPr>
              <w:pStyle w:val="TableParagraph"/>
              <w:spacing w:line="620" w:lineRule="atLeast" w:before="201"/>
              <w:ind w:left="200" w:right="207"/>
              <w:rPr>
                <w:rFonts w:ascii="Microsoft JhengHei" w:eastAsia="Microsoft JhengHei" w:hint="eastAsia"/>
                <w:b/>
                <w:sz w:val="21"/>
              </w:rPr>
            </w:pPr>
            <w:r>
              <w:rPr>
                <w:rFonts w:ascii="Microsoft JhengHei" w:eastAsia="Microsoft JhengHei" w:hint="eastAsia"/>
                <w:b/>
                <w:sz w:val="21"/>
              </w:rPr>
              <w:t>严重运动神经元病</w:t>
            </w:r>
          </w:p>
        </w:tc>
        <w:tc>
          <w:tcPr>
            <w:tcW w:w="7128" w:type="dxa"/>
          </w:tcPr>
          <w:p>
            <w:pPr>
              <w:pStyle w:val="TableParagraph"/>
              <w:rPr>
                <w:rFonts w:ascii="Times New Roman"/>
                <w:sz w:val="20"/>
              </w:rPr>
            </w:pPr>
          </w:p>
          <w:p>
            <w:pPr>
              <w:pStyle w:val="TableParagraph"/>
              <w:spacing w:line="273" w:lineRule="auto" w:before="129"/>
              <w:ind w:left="208" w:right="309"/>
              <w:rPr>
                <w:sz w:val="21"/>
              </w:rPr>
            </w:pPr>
            <w:r>
              <w:rPr>
                <w:sz w:val="21"/>
              </w:rPr>
              <w:t>是一组中枢神经系统运动神经元的进行性变性疾病，包括进行性脊肌萎缩症、进行性延髓麻痹症、原发性侧索硬化症、肌萎缩性侧索硬化症。</w:t>
            </w:r>
          </w:p>
          <w:p>
            <w:pPr>
              <w:pStyle w:val="TableParagraph"/>
              <w:spacing w:line="312" w:lineRule="exact" w:before="3"/>
              <w:ind w:left="208" w:right="309"/>
              <w:rPr>
                <w:sz w:val="21"/>
              </w:rPr>
            </w:pPr>
            <w:r>
              <w:rPr>
                <w:sz w:val="21"/>
              </w:rPr>
              <w:t>须满足自主生活能力完全丧失，无法独立完成六项基本日常生活活动中的三项或三项以上的条件。</w:t>
            </w:r>
          </w:p>
        </w:tc>
      </w:tr>
    </w:tbl>
    <w:p>
      <w:pPr>
        <w:spacing w:after="0" w:line="312" w:lineRule="exact"/>
        <w:rPr>
          <w:sz w:val="21"/>
        </w:rPr>
        <w:sectPr>
          <w:footerReference w:type="default" r:id="rId29"/>
          <w:pgSz w:w="11910" w:h="16840"/>
          <w:pgMar w:footer="992" w:header="886" w:top="1120" w:bottom="1180" w:left="1200" w:right="840"/>
          <w:pgNumType w:start="1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
        <w:rPr>
          <w:rFonts w:ascii="Times New Roman"/>
          <w:sz w:val="11"/>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57"/>
        <w:gridCol w:w="7040"/>
      </w:tblGrid>
      <w:tr>
        <w:trPr>
          <w:trHeight w:val="1821" w:hRule="atLeast"/>
        </w:trPr>
        <w:tc>
          <w:tcPr>
            <w:tcW w:w="1757" w:type="dxa"/>
          </w:tcPr>
          <w:p>
            <w:pPr>
              <w:pStyle w:val="TableParagraph"/>
              <w:spacing w:before="32"/>
              <w:ind w:left="200"/>
              <w:rPr>
                <w:rFonts w:ascii="Microsoft JhengHei" w:eastAsia="Microsoft JhengHei" w:hint="eastAsia"/>
                <w:b/>
                <w:sz w:val="21"/>
              </w:rPr>
            </w:pPr>
            <w:r>
              <w:rPr>
                <w:rFonts w:ascii="Microsoft JhengHei" w:eastAsia="Microsoft JhengHei" w:hint="eastAsia"/>
                <w:b/>
                <w:sz w:val="21"/>
              </w:rPr>
              <w:t>语言能力丧失</w:t>
            </w:r>
          </w:p>
        </w:tc>
        <w:tc>
          <w:tcPr>
            <w:tcW w:w="7040" w:type="dxa"/>
          </w:tcPr>
          <w:p>
            <w:pPr>
              <w:pStyle w:val="TableParagraph"/>
              <w:spacing w:line="211" w:lineRule="exact"/>
              <w:ind w:left="123"/>
              <w:rPr>
                <w:sz w:val="21"/>
              </w:rPr>
            </w:pPr>
            <w:r>
              <w:rPr>
                <w:sz w:val="21"/>
              </w:rPr>
              <w:t>指因疾病或意外伤害导致完全丧失语言能力，经过积极治疗至少 12 个月</w:t>
            </w:r>
          </w:p>
          <w:p>
            <w:pPr>
              <w:pStyle w:val="TableParagraph"/>
              <w:spacing w:line="273" w:lineRule="auto" w:before="37"/>
              <w:ind w:left="123" w:right="714"/>
              <w:rPr>
                <w:sz w:val="21"/>
              </w:rPr>
            </w:pP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，仍无法通过现有医疗手段恢复。</w:t>
            </w:r>
            <w:r>
              <w:rPr>
                <w:spacing w:val="-3"/>
                <w:sz w:val="21"/>
              </w:rPr>
              <w:t>精神心理因素所致的语言能力丧失不在保障范围内。</w:t>
            </w:r>
          </w:p>
          <w:p>
            <w:pPr>
              <w:pStyle w:val="TableParagraph"/>
              <w:spacing w:line="273" w:lineRule="auto" w:before="7"/>
              <w:ind w:left="123" w:right="301"/>
              <w:rPr>
                <w:sz w:val="21"/>
              </w:rPr>
            </w:pPr>
            <w:r>
              <w:rPr>
                <w:spacing w:val="-11"/>
                <w:sz w:val="21"/>
              </w:rPr>
              <w:t>在 </w:t>
            </w:r>
            <w:r>
              <w:rPr>
                <w:sz w:val="21"/>
              </w:rPr>
              <w:t>0</w:t>
            </w:r>
            <w:r>
              <w:rPr>
                <w:spacing w:val="-10"/>
                <w:sz w:val="21"/>
              </w:rPr>
              <w:t> 周岁至 </w:t>
            </w:r>
            <w:r>
              <w:rPr>
                <w:sz w:val="21"/>
              </w:rPr>
              <w:t>3</w:t>
            </w:r>
            <w:r>
              <w:rPr>
                <w:spacing w:val="-6"/>
                <w:sz w:val="21"/>
              </w:rPr>
              <w:t> 周岁的保险单周年日期间，被保险人初患语言能力丧失除外。</w:t>
            </w:r>
          </w:p>
        </w:tc>
      </w:tr>
      <w:tr>
        <w:trPr>
          <w:trHeight w:val="2652" w:hRule="atLeast"/>
        </w:trPr>
        <w:tc>
          <w:tcPr>
            <w:tcW w:w="1757" w:type="dxa"/>
          </w:tcPr>
          <w:p>
            <w:pPr>
              <w:pStyle w:val="TableParagraph"/>
              <w:spacing w:before="4"/>
              <w:rPr>
                <w:rFonts w:ascii="Times New Roman"/>
                <w:sz w:val="34"/>
              </w:rPr>
            </w:pPr>
          </w:p>
          <w:p>
            <w:pPr>
              <w:pStyle w:val="TableParagraph"/>
              <w:spacing w:line="410" w:lineRule="auto"/>
              <w:ind w:left="200" w:right="292"/>
              <w:rPr>
                <w:rFonts w:ascii="Microsoft JhengHei" w:eastAsia="Microsoft JhengHei" w:hint="eastAsia"/>
                <w:b/>
                <w:sz w:val="21"/>
              </w:rPr>
            </w:pPr>
            <w:r>
              <w:rPr>
                <w:rFonts w:ascii="Microsoft JhengHei" w:eastAsia="Microsoft JhengHei" w:hint="eastAsia"/>
                <w:b/>
                <w:sz w:val="21"/>
              </w:rPr>
              <w:t>重型再生障碍性贫血</w:t>
            </w:r>
          </w:p>
        </w:tc>
        <w:tc>
          <w:tcPr>
            <w:tcW w:w="7040" w:type="dxa"/>
          </w:tcPr>
          <w:p>
            <w:pPr>
              <w:pStyle w:val="TableParagraph"/>
              <w:spacing w:before="11"/>
              <w:rPr>
                <w:rFonts w:ascii="Times New Roman"/>
                <w:sz w:val="25"/>
              </w:rPr>
            </w:pPr>
          </w:p>
          <w:p>
            <w:pPr>
              <w:pStyle w:val="TableParagraph"/>
              <w:spacing w:line="273" w:lineRule="auto"/>
              <w:ind w:left="123" w:right="306"/>
              <w:rPr>
                <w:sz w:val="21"/>
              </w:rPr>
            </w:pPr>
            <w:r>
              <w:rPr>
                <w:sz w:val="21"/>
              </w:rPr>
              <w:t>指因骨髓造血功能慢性持续性衰竭导致的贫血、中性粒细胞减少及血小板减少。须满足下列全部条件：</w:t>
            </w:r>
          </w:p>
          <w:p>
            <w:pPr>
              <w:pStyle w:val="TableParagraph"/>
              <w:numPr>
                <w:ilvl w:val="0"/>
                <w:numId w:val="16"/>
              </w:numPr>
              <w:tabs>
                <w:tab w:pos="755" w:val="left" w:leader="none"/>
              </w:tabs>
              <w:spacing w:line="240" w:lineRule="auto" w:before="8" w:after="0"/>
              <w:ind w:left="754" w:right="0" w:hanging="631"/>
              <w:jc w:val="left"/>
              <w:rPr>
                <w:sz w:val="21"/>
              </w:rPr>
            </w:pPr>
            <w:r>
              <w:rPr>
                <w:spacing w:val="-3"/>
                <w:sz w:val="21"/>
              </w:rPr>
              <w:t>骨髓穿刺检查或骨髓活检结果支持诊断；</w:t>
            </w:r>
          </w:p>
          <w:p>
            <w:pPr>
              <w:pStyle w:val="TableParagraph"/>
              <w:numPr>
                <w:ilvl w:val="0"/>
                <w:numId w:val="16"/>
              </w:numPr>
              <w:tabs>
                <w:tab w:pos="755" w:val="left" w:leader="none"/>
              </w:tabs>
              <w:spacing w:line="240" w:lineRule="auto" w:before="37" w:after="0"/>
              <w:ind w:left="754" w:right="0" w:hanging="631"/>
              <w:jc w:val="left"/>
              <w:rPr>
                <w:sz w:val="21"/>
              </w:rPr>
            </w:pPr>
            <w:r>
              <w:rPr>
                <w:spacing w:val="-3"/>
                <w:sz w:val="21"/>
              </w:rPr>
              <w:t>外周血象须具备以下三项条件：</w:t>
            </w:r>
          </w:p>
          <w:p>
            <w:pPr>
              <w:pStyle w:val="TableParagraph"/>
              <w:spacing w:before="37"/>
              <w:ind w:left="754"/>
              <w:rPr>
                <w:sz w:val="21"/>
              </w:rPr>
            </w:pPr>
            <w:r>
              <w:rPr>
                <w:sz w:val="21"/>
              </w:rPr>
              <w:t>① 中性粒细胞绝对值≤0.5×10</w:t>
            </w:r>
            <w:r>
              <w:rPr>
                <w:position w:val="11"/>
                <w:sz w:val="11"/>
              </w:rPr>
              <w:t>9</w:t>
            </w:r>
            <w:r>
              <w:rPr>
                <w:sz w:val="21"/>
              </w:rPr>
              <w:t>/L；</w:t>
            </w:r>
          </w:p>
          <w:p>
            <w:pPr>
              <w:pStyle w:val="TableParagraph"/>
              <w:spacing w:before="37"/>
              <w:ind w:left="754"/>
              <w:rPr>
                <w:sz w:val="21"/>
              </w:rPr>
            </w:pPr>
            <w:r>
              <w:rPr>
                <w:sz w:val="21"/>
              </w:rPr>
              <w:t>② 网织红细胞＜1%；</w:t>
            </w:r>
          </w:p>
          <w:p>
            <w:pPr>
              <w:pStyle w:val="TableParagraph"/>
              <w:spacing w:before="37"/>
              <w:ind w:left="754"/>
              <w:rPr>
                <w:sz w:val="21"/>
              </w:rPr>
            </w:pPr>
            <w:r>
              <w:rPr>
                <w:sz w:val="21"/>
              </w:rPr>
              <w:t>③ 血小板绝对值≤20×10</w:t>
            </w:r>
            <w:r>
              <w:rPr>
                <w:position w:val="11"/>
                <w:sz w:val="11"/>
              </w:rPr>
              <w:t>9</w:t>
            </w:r>
            <w:r>
              <w:rPr>
                <w:sz w:val="21"/>
              </w:rPr>
              <w:t>/L。</w:t>
            </w:r>
          </w:p>
        </w:tc>
      </w:tr>
      <w:tr>
        <w:trPr>
          <w:trHeight w:val="1560" w:hRule="atLeast"/>
        </w:trPr>
        <w:tc>
          <w:tcPr>
            <w:tcW w:w="175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主动脉手术</w:t>
            </w:r>
          </w:p>
        </w:tc>
        <w:tc>
          <w:tcPr>
            <w:tcW w:w="7040" w:type="dxa"/>
          </w:tcPr>
          <w:p>
            <w:pPr>
              <w:pStyle w:val="TableParagraph"/>
              <w:spacing w:line="273" w:lineRule="auto" w:before="142"/>
              <w:ind w:left="123" w:right="306"/>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23"/>
              <w:jc w:val="both"/>
              <w:rPr>
                <w:sz w:val="21"/>
              </w:rPr>
            </w:pPr>
            <w:r>
              <w:rPr>
                <w:sz w:val="21"/>
              </w:rPr>
              <w:t>动脉内血管成形术不在保障范围内。</w:t>
            </w:r>
          </w:p>
        </w:tc>
      </w:tr>
      <w:tr>
        <w:trPr>
          <w:trHeight w:val="780" w:hRule="atLeast"/>
        </w:trPr>
        <w:tc>
          <w:tcPr>
            <w:tcW w:w="8797" w:type="dxa"/>
            <w:gridSpan w:val="2"/>
          </w:tcPr>
          <w:p>
            <w:pPr>
              <w:pStyle w:val="TableParagraph"/>
              <w:spacing w:before="143"/>
              <w:ind w:left="200"/>
              <w:rPr>
                <w:sz w:val="21"/>
              </w:rPr>
            </w:pPr>
            <w:r>
              <w:rPr>
                <w:sz w:val="21"/>
              </w:rPr>
              <w:t>以上 25 种重大疾病是《重大疾病保险的疾病定义使用规范》列明的重大疾病。</w:t>
            </w:r>
          </w:p>
        </w:tc>
      </w:tr>
      <w:tr>
        <w:trPr>
          <w:trHeight w:val="2340" w:hRule="atLeast"/>
        </w:trPr>
        <w:tc>
          <w:tcPr>
            <w:tcW w:w="1757" w:type="dxa"/>
          </w:tcPr>
          <w:p>
            <w:pPr>
              <w:pStyle w:val="TableParagraph"/>
              <w:spacing w:before="4"/>
              <w:rPr>
                <w:rFonts w:ascii="Times New Roman"/>
                <w:sz w:val="34"/>
              </w:rPr>
            </w:pPr>
          </w:p>
          <w:p>
            <w:pPr>
              <w:pStyle w:val="TableParagraph"/>
              <w:spacing w:line="410" w:lineRule="auto"/>
              <w:ind w:left="200" w:right="292"/>
              <w:rPr>
                <w:rFonts w:ascii="Microsoft JhengHei" w:eastAsia="Microsoft JhengHei" w:hint="eastAsia"/>
                <w:b/>
                <w:sz w:val="21"/>
              </w:rPr>
            </w:pPr>
            <w:r>
              <w:rPr>
                <w:rFonts w:ascii="Microsoft JhengHei" w:eastAsia="Microsoft JhengHei" w:hint="eastAsia"/>
                <w:b/>
                <w:sz w:val="21"/>
              </w:rPr>
              <w:t>严重的胰岛素依赖型糖尿病</w:t>
            </w:r>
          </w:p>
          <w:p>
            <w:pPr>
              <w:pStyle w:val="TableParagraph"/>
              <w:spacing w:before="60"/>
              <w:ind w:left="200"/>
              <w:rPr>
                <w:rFonts w:ascii="Microsoft JhengHei" w:eastAsia="Microsoft JhengHei" w:hint="eastAsia"/>
                <w:b/>
                <w:sz w:val="21"/>
              </w:rPr>
            </w:pPr>
            <w:r>
              <w:rPr>
                <w:rFonts w:ascii="Microsoft JhengHei" w:eastAsia="Microsoft JhengHei" w:hint="eastAsia"/>
                <w:b/>
                <w:sz w:val="21"/>
              </w:rPr>
              <w:t>（1 型糖尿病）</w:t>
            </w:r>
          </w:p>
        </w:tc>
        <w:tc>
          <w:tcPr>
            <w:tcW w:w="7040" w:type="dxa"/>
          </w:tcPr>
          <w:p>
            <w:pPr>
              <w:pStyle w:val="TableParagraph"/>
              <w:spacing w:before="11"/>
              <w:rPr>
                <w:rFonts w:ascii="Times New Roman"/>
                <w:sz w:val="25"/>
              </w:rPr>
            </w:pPr>
          </w:p>
          <w:p>
            <w:pPr>
              <w:pStyle w:val="TableParagraph"/>
              <w:spacing w:line="273" w:lineRule="auto"/>
              <w:ind w:left="123" w:right="198"/>
              <w:jc w:val="both"/>
              <w:rPr>
                <w:sz w:val="21"/>
              </w:rPr>
            </w:pPr>
            <w:r>
              <w:rPr>
                <w:sz w:val="21"/>
              </w:rPr>
              <w:t>胰岛素依赖型糖尿病是由于胰岛素分泌绝对不足而引起以血浆葡萄糖水平增高为特征的代谢内分泌疾病，需持续利用外源性胰岛素治疗。必须</w:t>
            </w:r>
            <w:r>
              <w:rPr>
                <w:spacing w:val="-9"/>
                <w:sz w:val="21"/>
              </w:rPr>
              <w:t>明确诊断为胰岛素依赖型糖尿病</w:t>
            </w:r>
            <w:r>
              <w:rPr>
                <w:sz w:val="21"/>
              </w:rPr>
              <w:t>（1</w:t>
            </w:r>
            <w:r>
              <w:rPr>
                <w:spacing w:val="-5"/>
                <w:sz w:val="21"/>
              </w:rPr>
              <w:t> 型糖尿病</w:t>
            </w:r>
            <w:r>
              <w:rPr>
                <w:spacing w:val="-87"/>
                <w:sz w:val="21"/>
              </w:rPr>
              <w:t>）</w:t>
            </w:r>
            <w:r>
              <w:rPr>
                <w:spacing w:val="-3"/>
                <w:sz w:val="21"/>
              </w:rPr>
              <w:t>并满足下列至少一个条件：</w:t>
            </w:r>
          </w:p>
          <w:p>
            <w:pPr>
              <w:pStyle w:val="TableParagraph"/>
              <w:spacing w:before="7"/>
              <w:ind w:left="123"/>
              <w:jc w:val="both"/>
              <w:rPr>
                <w:sz w:val="21"/>
              </w:rPr>
            </w:pPr>
            <w:r>
              <w:rPr>
                <w:sz w:val="21"/>
              </w:rPr>
              <w:t>（1）出现增殖性糖尿病视网膜病变；</w:t>
            </w:r>
          </w:p>
          <w:p>
            <w:pPr>
              <w:pStyle w:val="TableParagraph"/>
              <w:spacing w:before="36"/>
              <w:ind w:left="123"/>
              <w:jc w:val="both"/>
              <w:rPr>
                <w:sz w:val="21"/>
              </w:rPr>
            </w:pPr>
            <w:r>
              <w:rPr>
                <w:sz w:val="21"/>
              </w:rPr>
              <w:t>（2）糖尿病肾病，且尿蛋白&gt;0.5g/24h；</w:t>
            </w:r>
          </w:p>
          <w:p>
            <w:pPr>
              <w:pStyle w:val="TableParagraph"/>
              <w:spacing w:before="36"/>
              <w:ind w:left="126"/>
              <w:jc w:val="both"/>
              <w:rPr>
                <w:sz w:val="21"/>
              </w:rPr>
            </w:pPr>
            <w:r>
              <w:rPr>
                <w:sz w:val="21"/>
              </w:rPr>
              <w:t>（3）因糖尿病足趾坏疽进行足趾或下肢截断术。</w:t>
            </w:r>
          </w:p>
        </w:tc>
      </w:tr>
      <w:tr>
        <w:trPr>
          <w:trHeight w:val="2808" w:hRule="atLeast"/>
        </w:trPr>
        <w:tc>
          <w:tcPr>
            <w:tcW w:w="175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多发性硬化症</w:t>
            </w:r>
          </w:p>
        </w:tc>
        <w:tc>
          <w:tcPr>
            <w:tcW w:w="7040" w:type="dxa"/>
          </w:tcPr>
          <w:p>
            <w:pPr>
              <w:pStyle w:val="TableParagraph"/>
              <w:spacing w:line="273" w:lineRule="auto" w:before="143"/>
              <w:ind w:left="123" w:right="306"/>
              <w:jc w:val="both"/>
              <w:rPr>
                <w:sz w:val="21"/>
              </w:rPr>
            </w:pPr>
            <w:r>
              <w:rPr>
                <w:sz w:val="21"/>
              </w:rPr>
              <w:t>指一种中枢神经系统脱髓鞘疾病，造成身体部位不可逆的功能障碍。临床表现为视力受损、截瘫、平衡失调、构音障碍、大小便机能失调等症</w:t>
            </w:r>
            <w:r>
              <w:rPr>
                <w:spacing w:val="-6"/>
                <w:sz w:val="21"/>
              </w:rPr>
              <w:t>状，须经国家机关认可的有合法资质的神经专科医师确诊，并有 </w:t>
            </w:r>
            <w:r>
              <w:rPr>
                <w:sz w:val="21"/>
              </w:rPr>
              <w:t>CT</w:t>
            </w:r>
            <w:r>
              <w:rPr>
                <w:spacing w:val="-15"/>
                <w:sz w:val="21"/>
              </w:rPr>
              <w:t> 或核</w:t>
            </w:r>
            <w:r>
              <w:rPr>
                <w:sz w:val="21"/>
              </w:rPr>
              <w:t>磁共振检查结果诊断报告。所谓身体部位不可逆的功能障碍指初次诊断</w:t>
            </w:r>
            <w:r>
              <w:rPr>
                <w:spacing w:val="-7"/>
                <w:sz w:val="21"/>
              </w:rPr>
              <w:t>为功能障碍后需持续 </w:t>
            </w:r>
            <w:r>
              <w:rPr>
                <w:sz w:val="21"/>
              </w:rPr>
              <w:t>180</w:t>
            </w:r>
            <w:r>
              <w:rPr>
                <w:spacing w:val="-8"/>
                <w:sz w:val="21"/>
              </w:rPr>
              <w:t> 天以上。其诊断必须满足下列全部条件:</w:t>
            </w:r>
          </w:p>
          <w:p>
            <w:pPr>
              <w:pStyle w:val="TableParagraph"/>
              <w:spacing w:before="8"/>
              <w:ind w:left="123"/>
              <w:jc w:val="both"/>
              <w:rPr>
                <w:sz w:val="21"/>
              </w:rPr>
            </w:pPr>
            <w:r>
              <w:rPr>
                <w:sz w:val="21"/>
              </w:rPr>
              <w:t>（1）由于视神经、脑干和脊髓损伤而导致的临床表现；</w:t>
            </w:r>
          </w:p>
          <w:p>
            <w:pPr>
              <w:pStyle w:val="TableParagraph"/>
              <w:spacing w:before="37"/>
              <w:ind w:left="123"/>
              <w:jc w:val="both"/>
              <w:rPr>
                <w:sz w:val="21"/>
              </w:rPr>
            </w:pPr>
            <w:r>
              <w:rPr>
                <w:sz w:val="21"/>
              </w:rPr>
              <w:t>（2）散在的身体损害的多样性；</w:t>
            </w:r>
          </w:p>
          <w:p>
            <w:pPr>
              <w:pStyle w:val="TableParagraph"/>
              <w:spacing w:before="37"/>
              <w:ind w:left="123"/>
              <w:jc w:val="both"/>
              <w:rPr>
                <w:sz w:val="21"/>
              </w:rPr>
            </w:pPr>
            <w:r>
              <w:rPr>
                <w:sz w:val="21"/>
              </w:rPr>
              <w:t>（3）上述症状反复发作、恶化及神经损伤的病史记录。</w:t>
            </w:r>
          </w:p>
        </w:tc>
      </w:tr>
      <w:tr>
        <w:trPr>
          <w:trHeight w:val="1042" w:hRule="atLeast"/>
        </w:trPr>
        <w:tc>
          <w:tcPr>
            <w:tcW w:w="1757"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系统性红斑狼</w:t>
            </w:r>
          </w:p>
        </w:tc>
        <w:tc>
          <w:tcPr>
            <w:tcW w:w="7040" w:type="dxa"/>
          </w:tcPr>
          <w:p>
            <w:pPr>
              <w:pStyle w:val="TableParagraph"/>
              <w:spacing w:line="273" w:lineRule="auto" w:before="142"/>
              <w:ind w:left="123" w:right="306"/>
              <w:rPr>
                <w:sz w:val="21"/>
              </w:rPr>
            </w:pPr>
            <w:r>
              <w:rPr>
                <w:sz w:val="21"/>
              </w:rPr>
              <w:t>是一种累及多脏器的自身免疫性的炎症性结缔组织病。其诊断须满足下列两个条件：</w:t>
            </w:r>
          </w:p>
          <w:p>
            <w:pPr>
              <w:pStyle w:val="TableParagraph"/>
              <w:spacing w:line="255" w:lineRule="exact" w:before="7"/>
              <w:ind w:left="123"/>
              <w:rPr>
                <w:sz w:val="21"/>
              </w:rPr>
            </w:pPr>
            <w:r>
              <w:rPr>
                <w:sz w:val="21"/>
              </w:rPr>
              <w:t>(1) 临床表现至少具备如下条件的四个：</w:t>
            </w:r>
          </w:p>
        </w:tc>
      </w:tr>
    </w:tbl>
    <w:p>
      <w:pPr>
        <w:spacing w:after="0" w:line="255" w:lineRule="exact"/>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26"/>
      </w:tblGrid>
      <w:tr>
        <w:trPr>
          <w:trHeight w:val="4162" w:hRule="atLeast"/>
        </w:trPr>
        <w:tc>
          <w:tcPr>
            <w:tcW w:w="1672" w:type="dxa"/>
          </w:tcPr>
          <w:p>
            <w:pPr>
              <w:pStyle w:val="TableParagraph"/>
              <w:spacing w:before="32"/>
              <w:ind w:left="200"/>
              <w:rPr>
                <w:rFonts w:ascii="Microsoft JhengHei" w:eastAsia="Microsoft JhengHei" w:hint="eastAsia"/>
                <w:b/>
                <w:sz w:val="21"/>
              </w:rPr>
            </w:pPr>
            <w:r>
              <w:rPr>
                <w:rFonts w:ascii="Microsoft JhengHei" w:eastAsia="Microsoft JhengHei" w:hint="eastAsia"/>
                <w:b/>
                <w:w w:val="100"/>
                <w:sz w:val="21"/>
              </w:rPr>
              <w:t>疮</w:t>
            </w:r>
          </w:p>
        </w:tc>
        <w:tc>
          <w:tcPr>
            <w:tcW w:w="7126" w:type="dxa"/>
          </w:tcPr>
          <w:p>
            <w:pPr>
              <w:pStyle w:val="TableParagraph"/>
              <w:spacing w:line="211" w:lineRule="exact"/>
              <w:ind w:left="419"/>
              <w:rPr>
                <w:sz w:val="21"/>
              </w:rPr>
            </w:pPr>
            <w:r>
              <w:rPr>
                <w:sz w:val="21"/>
              </w:rPr>
              <w:t>① 蝶形红斑或盘形红斑；</w:t>
            </w:r>
          </w:p>
          <w:p>
            <w:pPr>
              <w:pStyle w:val="TableParagraph"/>
              <w:spacing w:before="37"/>
              <w:ind w:left="419"/>
              <w:rPr>
                <w:sz w:val="21"/>
              </w:rPr>
            </w:pPr>
            <w:r>
              <w:rPr>
                <w:sz w:val="21"/>
              </w:rPr>
              <w:t>② 光敏感；</w:t>
            </w:r>
          </w:p>
          <w:p>
            <w:pPr>
              <w:pStyle w:val="TableParagraph"/>
              <w:spacing w:before="37"/>
              <w:ind w:left="419"/>
              <w:rPr>
                <w:sz w:val="21"/>
              </w:rPr>
            </w:pPr>
            <w:r>
              <w:rPr>
                <w:sz w:val="21"/>
              </w:rPr>
              <w:t>③ 口腔溃疡；</w:t>
            </w:r>
          </w:p>
          <w:p>
            <w:pPr>
              <w:pStyle w:val="TableParagraph"/>
              <w:spacing w:before="37"/>
              <w:ind w:left="419"/>
              <w:rPr>
                <w:sz w:val="21"/>
              </w:rPr>
            </w:pPr>
            <w:r>
              <w:rPr>
                <w:sz w:val="21"/>
              </w:rPr>
              <w:t>④ 非畸形关节炎或多关节痛；</w:t>
            </w:r>
          </w:p>
          <w:p>
            <w:pPr>
              <w:pStyle w:val="TableParagraph"/>
              <w:spacing w:before="37"/>
              <w:ind w:left="419"/>
              <w:rPr>
                <w:sz w:val="21"/>
              </w:rPr>
            </w:pPr>
            <w:r>
              <w:rPr>
                <w:sz w:val="21"/>
              </w:rPr>
              <w:t>⑤ 浆膜炎、胸膜炎或心包炎；</w:t>
            </w:r>
          </w:p>
          <w:p>
            <w:pPr>
              <w:pStyle w:val="TableParagraph"/>
              <w:spacing w:before="37"/>
              <w:ind w:left="419"/>
              <w:rPr>
                <w:sz w:val="21"/>
              </w:rPr>
            </w:pPr>
            <w:r>
              <w:rPr>
                <w:sz w:val="21"/>
              </w:rPr>
              <w:t>⑥ 神经系统损伤（癫痫或精神症状）；</w:t>
            </w:r>
          </w:p>
          <w:p>
            <w:pPr>
              <w:pStyle w:val="TableParagraph"/>
              <w:spacing w:before="37"/>
              <w:ind w:left="419"/>
              <w:rPr>
                <w:sz w:val="21"/>
              </w:rPr>
            </w:pPr>
            <w:r>
              <w:rPr>
                <w:sz w:val="21"/>
              </w:rPr>
              <w:t>⑦ 血象异常（WBC&lt; 4x10</w:t>
            </w:r>
            <w:r>
              <w:rPr>
                <w:position w:val="11"/>
                <w:sz w:val="11"/>
              </w:rPr>
              <w:t>9</w:t>
            </w:r>
            <w:r>
              <w:rPr>
                <w:sz w:val="21"/>
              </w:rPr>
              <w:t>／升或血小板&lt;100x10</w:t>
            </w:r>
            <w:r>
              <w:rPr>
                <w:position w:val="11"/>
                <w:sz w:val="11"/>
              </w:rPr>
              <w:t>9</w:t>
            </w:r>
            <w:r>
              <w:rPr>
                <w:sz w:val="21"/>
              </w:rPr>
              <w:t>／升或溶血性贫血）。</w:t>
            </w:r>
          </w:p>
          <w:p>
            <w:pPr>
              <w:pStyle w:val="TableParagraph"/>
              <w:spacing w:before="37"/>
              <w:ind w:left="208"/>
              <w:rPr>
                <w:rFonts w:ascii="MingLiU_HKSCS-ExtB" w:hAnsi="MingLiU_HKSCS-ExtB" w:eastAsia="MingLiU_HKSCS-ExtB"/>
                <w:sz w:val="21"/>
              </w:rPr>
            </w:pPr>
            <w:r>
              <w:rPr>
                <w:sz w:val="21"/>
              </w:rPr>
              <w:t>(2) 检测结果至少具备如下条件的两个：</w:t>
            </w:r>
            <w:r>
              <w:rPr>
                <w:rFonts w:ascii="MingLiU_HKSCS-ExtB" w:hAnsi="MingLiU_HKSCS-ExtB" w:eastAsia="MingLiU_HKSCS-ExtB"/>
                <w:sz w:val="21"/>
              </w:rPr>
              <w:t></w:t>
            </w:r>
          </w:p>
          <w:p>
            <w:pPr>
              <w:pStyle w:val="TableParagraph"/>
              <w:spacing w:before="24"/>
              <w:ind w:left="419"/>
              <w:rPr>
                <w:sz w:val="21"/>
              </w:rPr>
            </w:pPr>
            <w:r>
              <w:rPr>
                <w:sz w:val="21"/>
              </w:rPr>
              <w:t>① 狼疮细胞或抗双链 DNA 抗体阳性；</w:t>
            </w:r>
          </w:p>
          <w:p>
            <w:pPr>
              <w:pStyle w:val="TableParagraph"/>
              <w:spacing w:before="36"/>
              <w:ind w:left="419"/>
              <w:rPr>
                <w:sz w:val="21"/>
              </w:rPr>
            </w:pPr>
            <w:r>
              <w:rPr>
                <w:sz w:val="21"/>
              </w:rPr>
              <w:t>② 抗 Sm 抗体阳性；</w:t>
            </w:r>
          </w:p>
          <w:p>
            <w:pPr>
              <w:pStyle w:val="TableParagraph"/>
              <w:spacing w:before="36"/>
              <w:ind w:left="419"/>
              <w:rPr>
                <w:sz w:val="21"/>
              </w:rPr>
            </w:pPr>
            <w:r>
              <w:rPr>
                <w:sz w:val="21"/>
              </w:rPr>
              <w:t>③ 抗核抗体阳性；</w:t>
            </w:r>
          </w:p>
          <w:p>
            <w:pPr>
              <w:pStyle w:val="TableParagraph"/>
              <w:spacing w:before="37"/>
              <w:ind w:left="419"/>
              <w:rPr>
                <w:sz w:val="21"/>
              </w:rPr>
            </w:pPr>
            <w:r>
              <w:rPr>
                <w:sz w:val="21"/>
              </w:rPr>
              <w:t>④ 狼疮带试验阳性；</w:t>
            </w:r>
          </w:p>
          <w:p>
            <w:pPr>
              <w:pStyle w:val="TableParagraph"/>
              <w:spacing w:before="37"/>
              <w:ind w:left="419"/>
              <w:rPr>
                <w:sz w:val="21"/>
              </w:rPr>
            </w:pPr>
            <w:r>
              <w:rPr>
                <w:sz w:val="21"/>
              </w:rPr>
              <w:t>⑤ C3 补体低于正常。</w:t>
            </w:r>
          </w:p>
        </w:tc>
      </w:tr>
      <w:tr>
        <w:trPr>
          <w:trHeight w:val="2528" w:hRule="atLeast"/>
        </w:trPr>
        <w:tc>
          <w:tcPr>
            <w:tcW w:w="1672" w:type="dxa"/>
          </w:tcPr>
          <w:p>
            <w:pPr>
              <w:pStyle w:val="TableParagraph"/>
              <w:spacing w:line="410" w:lineRule="auto" w:before="239"/>
              <w:ind w:left="200" w:right="207"/>
              <w:rPr>
                <w:rFonts w:ascii="Microsoft JhengHei" w:eastAsia="Microsoft JhengHei" w:hint="eastAsia"/>
                <w:b/>
                <w:sz w:val="21"/>
              </w:rPr>
            </w:pPr>
            <w:r>
              <w:rPr>
                <w:rFonts w:ascii="Microsoft JhengHei" w:eastAsia="Microsoft JhengHei" w:hint="eastAsia"/>
                <w:b/>
                <w:sz w:val="21"/>
              </w:rPr>
              <w:t>严重的原发性心肌病</w:t>
            </w:r>
          </w:p>
        </w:tc>
        <w:tc>
          <w:tcPr>
            <w:tcW w:w="7126" w:type="dxa"/>
          </w:tcPr>
          <w:p>
            <w:pPr>
              <w:pStyle w:val="TableParagraph"/>
              <w:spacing w:line="273" w:lineRule="auto" w:before="142"/>
              <w:ind w:left="208" w:right="304"/>
              <w:rPr>
                <w:sz w:val="21"/>
              </w:rPr>
            </w:pPr>
            <w:r>
              <w:rPr>
                <w:sz w:val="21"/>
              </w:rPr>
              <w:t>是指被保险人因原发性心肌病而出现的心室功能障碍而使其出现明显的</w:t>
            </w:r>
            <w:r>
              <w:rPr>
                <w:spacing w:val="-3"/>
                <w:sz w:val="21"/>
              </w:rPr>
              <w:t>心功能衰竭(纽约心脏病协会分类标准心功能至少达Ⅳ级</w:t>
            </w:r>
            <w:r>
              <w:rPr>
                <w:spacing w:val="-5"/>
                <w:sz w:val="21"/>
              </w:rPr>
              <w:t>*</w:t>
            </w:r>
            <w:r>
              <w:rPr>
                <w:spacing w:val="-4"/>
                <w:sz w:val="21"/>
              </w:rPr>
              <w:t>)，须经国家机关认可的有合法资质的心脏专科医生确诊。本保障范围内的心肌病包括</w:t>
            </w:r>
            <w:r>
              <w:rPr>
                <w:spacing w:val="-3"/>
                <w:sz w:val="21"/>
              </w:rPr>
              <w:t>原发性扩张型心肌病、原发性肥厚型心肌病及原发性限制型心肌病。  继发于酒精滥用性的心肌病不在此保障范围之内。</w:t>
            </w:r>
          </w:p>
          <w:p>
            <w:pPr>
              <w:pStyle w:val="TableParagraph"/>
              <w:spacing w:line="273" w:lineRule="auto" w:before="7"/>
              <w:ind w:left="208" w:right="263" w:firstLine="105"/>
              <w:rPr>
                <w:sz w:val="21"/>
              </w:rPr>
            </w:pPr>
            <w:r>
              <w:rPr>
                <w:sz w:val="21"/>
              </w:rPr>
              <w:t>* 纽约心脏病协会分类标准心功能Ⅳ级是指不能从事任何体力活动，休息时仍有心悸、呼吸困难等心力衰竭表现，体力活动后加重。</w:t>
            </w:r>
          </w:p>
        </w:tc>
      </w:tr>
      <w:tr>
        <w:trPr>
          <w:trHeight w:val="3220" w:hRule="atLeast"/>
        </w:trPr>
        <w:tc>
          <w:tcPr>
            <w:tcW w:w="1672" w:type="dxa"/>
          </w:tcPr>
          <w:p>
            <w:pPr>
              <w:pStyle w:val="TableParagraph"/>
              <w:spacing w:before="7"/>
              <w:rPr>
                <w:rFonts w:ascii="Times New Roman"/>
                <w:sz w:val="23"/>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全身性重症肌无力</w:t>
            </w:r>
          </w:p>
        </w:tc>
        <w:tc>
          <w:tcPr>
            <w:tcW w:w="7126" w:type="dxa"/>
          </w:tcPr>
          <w:p>
            <w:pPr>
              <w:pStyle w:val="TableParagraph"/>
              <w:spacing w:line="273" w:lineRule="auto" w:before="175"/>
              <w:ind w:left="208" w:right="307"/>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其诊断必须同时满足下列全部条件：</w:t>
            </w:r>
          </w:p>
          <w:p>
            <w:pPr>
              <w:pStyle w:val="TableParagraph"/>
              <w:numPr>
                <w:ilvl w:val="0"/>
                <w:numId w:val="17"/>
              </w:numPr>
              <w:tabs>
                <w:tab w:pos="631" w:val="left" w:leader="none"/>
              </w:tabs>
              <w:spacing w:line="240" w:lineRule="auto" w:before="7" w:after="0"/>
              <w:ind w:left="628" w:right="0" w:hanging="420"/>
              <w:jc w:val="left"/>
              <w:rPr>
                <w:sz w:val="21"/>
              </w:rPr>
            </w:pPr>
            <w:r>
              <w:rPr>
                <w:spacing w:val="-5"/>
                <w:sz w:val="21"/>
              </w:rPr>
              <w:t>经药物、胸腺手术治疗一年以上无法控制病情，丧失正常工作能力；</w:t>
            </w:r>
          </w:p>
          <w:p>
            <w:pPr>
              <w:pStyle w:val="TableParagraph"/>
              <w:numPr>
                <w:ilvl w:val="0"/>
                <w:numId w:val="17"/>
              </w:numPr>
              <w:tabs>
                <w:tab w:pos="634" w:val="left" w:leader="none"/>
              </w:tabs>
              <w:spacing w:line="273" w:lineRule="auto" w:before="36" w:after="0"/>
              <w:ind w:left="628" w:right="199" w:hanging="420"/>
              <w:jc w:val="left"/>
              <w:rPr>
                <w:sz w:val="21"/>
              </w:rPr>
            </w:pPr>
            <w:r>
              <w:rPr>
                <w:sz w:val="21"/>
              </w:rPr>
              <w:t>出现因延髓肌受累引起的构音困难、进食呛咳；或由于肌无力累及</w:t>
            </w:r>
            <w:r>
              <w:rPr>
                <w:spacing w:val="-4"/>
                <w:sz w:val="21"/>
              </w:rPr>
              <w:t>延髓肌、呼吸肌而致机体呼吸功能不正常的危急状态即肌无力危象； 症状缓解、复发及恶化交替出现，临床接受新斯的明等抗胆碱酯酶</w:t>
            </w:r>
            <w:r>
              <w:rPr>
                <w:spacing w:val="-3"/>
                <w:sz w:val="21"/>
              </w:rPr>
              <w:t>药物治疗的病史。</w:t>
            </w:r>
          </w:p>
        </w:tc>
      </w:tr>
      <w:tr>
        <w:trPr>
          <w:trHeight w:val="2981" w:hRule="atLeast"/>
        </w:trPr>
        <w:tc>
          <w:tcPr>
            <w:tcW w:w="1672" w:type="dxa"/>
          </w:tcPr>
          <w:p>
            <w:pPr>
              <w:pStyle w:val="TableParagraph"/>
              <w:spacing w:before="7"/>
              <w:rPr>
                <w:rFonts w:ascii="Times New Roman"/>
                <w:sz w:val="26"/>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严重类风湿性关节炎</w:t>
            </w:r>
          </w:p>
        </w:tc>
        <w:tc>
          <w:tcPr>
            <w:tcW w:w="7126" w:type="dxa"/>
          </w:tcPr>
          <w:p>
            <w:pPr>
              <w:pStyle w:val="TableParagraph"/>
              <w:spacing w:before="3"/>
              <w:rPr>
                <w:rFonts w:ascii="Times New Roman"/>
                <w:sz w:val="18"/>
              </w:rPr>
            </w:pPr>
          </w:p>
          <w:p>
            <w:pPr>
              <w:pStyle w:val="TableParagraph"/>
              <w:spacing w:line="273" w:lineRule="auto"/>
              <w:ind w:left="208" w:right="296"/>
              <w:jc w:val="both"/>
              <w:rPr>
                <w:sz w:val="21"/>
              </w:rPr>
            </w:pPr>
            <w:r>
              <w:rPr>
                <w:sz w:val="21"/>
              </w:rPr>
              <w:t>类风湿性关节炎系指以关节滑膜炎为特征的慢性全身性自身免疫性疾病，必须符合国际认可的该疾病的诊断标准。其诊断必须同时满足下列全部条件:</w:t>
            </w:r>
          </w:p>
          <w:p>
            <w:pPr>
              <w:pStyle w:val="TableParagraph"/>
              <w:numPr>
                <w:ilvl w:val="0"/>
                <w:numId w:val="18"/>
              </w:numPr>
              <w:tabs>
                <w:tab w:pos="636" w:val="left" w:leader="none"/>
              </w:tabs>
              <w:spacing w:line="273" w:lineRule="auto" w:before="7" w:after="0"/>
              <w:ind w:left="628" w:right="305" w:hanging="420"/>
              <w:jc w:val="both"/>
              <w:rPr>
                <w:sz w:val="21"/>
              </w:rPr>
            </w:pPr>
            <w:r>
              <w:rPr>
                <w:spacing w:val="1"/>
                <w:sz w:val="21"/>
              </w:rPr>
              <w:t>至少包括下列关节中的三组或以上有广泛受损和畸形改变:手指关节、腕关节、肘关节、膝关节、髋关节、踝关节、脊椎关节或跖趾关节；</w:t>
            </w:r>
          </w:p>
          <w:p>
            <w:pPr>
              <w:pStyle w:val="TableParagraph"/>
              <w:numPr>
                <w:ilvl w:val="0"/>
                <w:numId w:val="18"/>
              </w:numPr>
              <w:tabs>
                <w:tab w:pos="655" w:val="left" w:leader="none"/>
              </w:tabs>
              <w:spacing w:line="273" w:lineRule="auto" w:before="7" w:after="0"/>
              <w:ind w:left="652" w:right="304" w:hanging="420"/>
              <w:jc w:val="both"/>
              <w:rPr>
                <w:sz w:val="21"/>
              </w:rPr>
            </w:pPr>
            <w:r>
              <w:rPr>
                <w:spacing w:val="-3"/>
                <w:sz w:val="21"/>
              </w:rPr>
              <w:t>手和腕的后前位 </w:t>
            </w:r>
            <w:r>
              <w:rPr>
                <w:sz w:val="21"/>
              </w:rPr>
              <w:t>X</w:t>
            </w:r>
            <w:r>
              <w:rPr>
                <w:spacing w:val="-3"/>
                <w:sz w:val="21"/>
              </w:rPr>
              <w:t> 线拍片检查可见类风湿性关节炎的典型变化，必须包括骨质侵蚀或受累关节及其邻近部位有明确的骨质脱钙。</w:t>
            </w:r>
          </w:p>
          <w:p>
            <w:pPr>
              <w:pStyle w:val="TableParagraph"/>
              <w:numPr>
                <w:ilvl w:val="0"/>
                <w:numId w:val="18"/>
              </w:numPr>
              <w:tabs>
                <w:tab w:pos="631" w:val="left" w:leader="none"/>
              </w:tabs>
              <w:spacing w:line="255" w:lineRule="exact" w:before="7" w:after="0"/>
              <w:ind w:left="631" w:right="0" w:hanging="423"/>
              <w:jc w:val="both"/>
              <w:rPr>
                <w:sz w:val="21"/>
              </w:rPr>
            </w:pPr>
            <w:r>
              <w:rPr>
                <w:spacing w:val="-7"/>
                <w:sz w:val="21"/>
              </w:rPr>
              <w:t>关节的畸形改变至少持续 </w:t>
            </w:r>
            <w:r>
              <w:rPr>
                <w:sz w:val="21"/>
              </w:rPr>
              <w:t>1</w:t>
            </w:r>
            <w:r>
              <w:rPr>
                <w:spacing w:val="-16"/>
                <w:sz w:val="21"/>
              </w:rPr>
              <w:t> 年。</w:t>
            </w:r>
          </w:p>
        </w:tc>
      </w:tr>
    </w:tbl>
    <w:p>
      <w:pPr>
        <w:spacing w:after="0" w:line="255" w:lineRule="exact"/>
        <w:jc w:val="both"/>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672"/>
        <w:gridCol w:w="7126"/>
      </w:tblGrid>
      <w:tr>
        <w:trPr>
          <w:trHeight w:val="1977" w:hRule="atLeast"/>
        </w:trPr>
        <w:tc>
          <w:tcPr>
            <w:tcW w:w="1672" w:type="dxa"/>
          </w:tcPr>
          <w:p>
            <w:pPr>
              <w:pStyle w:val="TableParagraph"/>
              <w:spacing w:line="410" w:lineRule="auto" w:before="32"/>
              <w:ind w:left="200" w:right="207"/>
              <w:rPr>
                <w:rFonts w:ascii="Microsoft JhengHei" w:eastAsia="Microsoft JhengHei" w:hint="eastAsia"/>
                <w:b/>
                <w:sz w:val="21"/>
              </w:rPr>
            </w:pPr>
            <w:r>
              <w:rPr>
                <w:rFonts w:ascii="Microsoft JhengHei" w:eastAsia="Microsoft JhengHei" w:hint="eastAsia"/>
                <w:b/>
                <w:sz w:val="21"/>
              </w:rPr>
              <w:t>慢性呼吸功能衰竭</w:t>
            </w:r>
          </w:p>
        </w:tc>
        <w:tc>
          <w:tcPr>
            <w:tcW w:w="7126" w:type="dxa"/>
          </w:tcPr>
          <w:p>
            <w:pPr>
              <w:pStyle w:val="TableParagraph"/>
              <w:spacing w:line="211" w:lineRule="exact"/>
              <w:ind w:left="208"/>
              <w:rPr>
                <w:sz w:val="21"/>
              </w:rPr>
            </w:pPr>
            <w:r>
              <w:rPr>
                <w:sz w:val="21"/>
              </w:rPr>
              <w:t>慢性肺部疾病导致永久不可逆性的慢性呼吸功能衰竭，必须符合下列所</w:t>
            </w:r>
          </w:p>
          <w:p>
            <w:pPr>
              <w:pStyle w:val="TableParagraph"/>
              <w:spacing w:before="37"/>
              <w:ind w:left="208"/>
              <w:rPr>
                <w:sz w:val="21"/>
              </w:rPr>
            </w:pPr>
            <w:r>
              <w:rPr>
                <w:sz w:val="21"/>
              </w:rPr>
              <w:t>有条件：</w:t>
            </w:r>
          </w:p>
          <w:p>
            <w:pPr>
              <w:pStyle w:val="TableParagraph"/>
              <w:numPr>
                <w:ilvl w:val="0"/>
                <w:numId w:val="19"/>
              </w:numPr>
              <w:tabs>
                <w:tab w:pos="631" w:val="left" w:leader="none"/>
              </w:tabs>
              <w:spacing w:line="240" w:lineRule="auto" w:before="37" w:after="0"/>
              <w:ind w:left="631" w:right="0" w:hanging="423"/>
              <w:jc w:val="left"/>
              <w:rPr>
                <w:sz w:val="21"/>
              </w:rPr>
            </w:pPr>
            <w:r>
              <w:rPr>
                <w:spacing w:val="-3"/>
                <w:sz w:val="21"/>
              </w:rPr>
              <w:t>休息时出现呼吸困难；</w:t>
            </w:r>
          </w:p>
          <w:p>
            <w:pPr>
              <w:pStyle w:val="TableParagraph"/>
              <w:numPr>
                <w:ilvl w:val="0"/>
                <w:numId w:val="19"/>
              </w:numPr>
              <w:tabs>
                <w:tab w:pos="631" w:val="left" w:leader="none"/>
              </w:tabs>
              <w:spacing w:line="240" w:lineRule="auto" w:before="36" w:after="0"/>
              <w:ind w:left="631" w:right="0" w:hanging="423"/>
              <w:jc w:val="left"/>
              <w:rPr>
                <w:sz w:val="21"/>
              </w:rPr>
            </w:pPr>
            <w:r>
              <w:rPr>
                <w:spacing w:val="-3"/>
                <w:position w:val="1"/>
                <w:sz w:val="21"/>
              </w:rPr>
              <w:t>动脉血氧分压</w:t>
            </w:r>
            <w:r>
              <w:rPr>
                <w:position w:val="1"/>
                <w:sz w:val="21"/>
              </w:rPr>
              <w:t>（PaO</w:t>
            </w:r>
            <w:r>
              <w:rPr>
                <w:sz w:val="11"/>
              </w:rPr>
              <w:t>2</w:t>
            </w:r>
            <w:r>
              <w:rPr>
                <w:position w:val="1"/>
                <w:sz w:val="21"/>
              </w:rPr>
              <w:t>）&lt;</w:t>
            </w:r>
            <w:r>
              <w:rPr>
                <w:spacing w:val="5"/>
                <w:position w:val="1"/>
                <w:sz w:val="21"/>
              </w:rPr>
              <w:t> </w:t>
            </w:r>
            <w:r>
              <w:rPr>
                <w:position w:val="1"/>
                <w:sz w:val="21"/>
              </w:rPr>
              <w:t>50mmHg；</w:t>
            </w:r>
          </w:p>
          <w:p>
            <w:pPr>
              <w:pStyle w:val="TableParagraph"/>
              <w:numPr>
                <w:ilvl w:val="0"/>
                <w:numId w:val="19"/>
              </w:numPr>
              <w:tabs>
                <w:tab w:pos="631" w:val="left" w:leader="none"/>
              </w:tabs>
              <w:spacing w:line="240" w:lineRule="auto" w:before="36" w:after="0"/>
              <w:ind w:left="631" w:right="0" w:hanging="423"/>
              <w:jc w:val="left"/>
              <w:rPr>
                <w:sz w:val="21"/>
              </w:rPr>
            </w:pPr>
            <w:r>
              <w:rPr>
                <w:spacing w:val="-3"/>
                <w:position w:val="1"/>
                <w:sz w:val="21"/>
              </w:rPr>
              <w:t>动脉血氧饱和度</w:t>
            </w:r>
            <w:r>
              <w:rPr>
                <w:position w:val="1"/>
                <w:sz w:val="21"/>
              </w:rPr>
              <w:t>（SaO</w:t>
            </w:r>
            <w:r>
              <w:rPr>
                <w:sz w:val="11"/>
              </w:rPr>
              <w:t>2</w:t>
            </w:r>
            <w:r>
              <w:rPr>
                <w:position w:val="1"/>
                <w:sz w:val="21"/>
              </w:rPr>
              <w:t>）&lt;</w:t>
            </w:r>
            <w:r>
              <w:rPr>
                <w:spacing w:val="11"/>
                <w:position w:val="1"/>
                <w:sz w:val="21"/>
              </w:rPr>
              <w:t> </w:t>
            </w:r>
            <w:r>
              <w:rPr>
                <w:spacing w:val="-3"/>
                <w:position w:val="1"/>
                <w:sz w:val="21"/>
              </w:rPr>
              <w:t>80％；</w:t>
            </w:r>
          </w:p>
          <w:p>
            <w:pPr>
              <w:pStyle w:val="TableParagraph"/>
              <w:numPr>
                <w:ilvl w:val="0"/>
                <w:numId w:val="19"/>
              </w:numPr>
              <w:tabs>
                <w:tab w:pos="631" w:val="left" w:leader="none"/>
              </w:tabs>
              <w:spacing w:line="240" w:lineRule="auto" w:before="37" w:after="0"/>
              <w:ind w:left="631" w:right="0" w:hanging="423"/>
              <w:jc w:val="left"/>
              <w:rPr>
                <w:sz w:val="21"/>
              </w:rPr>
            </w:pPr>
            <w:r>
              <w:rPr>
                <w:spacing w:val="-3"/>
                <w:sz w:val="21"/>
              </w:rPr>
              <w:t>因缺氧必须接受持续的输氧治疗。</w:t>
            </w:r>
          </w:p>
        </w:tc>
      </w:tr>
      <w:tr>
        <w:trPr>
          <w:trHeight w:val="1872"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严重冠心病</w:t>
            </w:r>
          </w:p>
        </w:tc>
        <w:tc>
          <w:tcPr>
            <w:tcW w:w="7126" w:type="dxa"/>
          </w:tcPr>
          <w:p>
            <w:pPr>
              <w:pStyle w:val="TableParagraph"/>
              <w:spacing w:line="273" w:lineRule="auto" w:before="142"/>
              <w:ind w:left="208" w:right="304"/>
              <w:jc w:val="both"/>
              <w:rPr>
                <w:sz w:val="21"/>
              </w:rPr>
            </w:pPr>
            <w:r>
              <w:rPr>
                <w:sz w:val="21"/>
              </w:rPr>
              <w:t>指根据冠状动脉造影检查结果确诊的三支主要血管（左冠状动脉主干和右冠状动脉，或前降支、左旋支和右冠状动脉）严重狭窄性病变（至少一支血管管腔直径减少 75％以上和其他两支血管管腔直径减少 60％以上）。前降支、左旋支及右冠状动脉的分支血管的狭窄不作为本保障的衡量指标。</w:t>
            </w:r>
          </w:p>
        </w:tc>
      </w:tr>
      <w:tr>
        <w:trPr>
          <w:trHeight w:val="1871"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脊髓灰质炎</w:t>
            </w:r>
          </w:p>
        </w:tc>
        <w:tc>
          <w:tcPr>
            <w:tcW w:w="7126" w:type="dxa"/>
          </w:tcPr>
          <w:p>
            <w:pPr>
              <w:pStyle w:val="TableParagraph"/>
              <w:spacing w:line="273" w:lineRule="auto" w:before="142"/>
              <w:ind w:left="208" w:right="304"/>
              <w:jc w:val="both"/>
              <w:rPr>
                <w:sz w:val="21"/>
              </w:rPr>
            </w:pPr>
            <w:r>
              <w:rPr>
                <w:sz w:val="21"/>
              </w:rPr>
              <w:t>脊髓灰质炎是由于脊髓灰质炎病毒感染所致的瘫痪性疾病，临床表现为运动功能损害或呼吸无力。脊髓灰质炎必须明确诊断。本保单仅对脊髓灰质炎造成的神经系统功能损害导致被保险人一肢或一肢以上肢体机能</w:t>
            </w:r>
            <w:r>
              <w:rPr>
                <w:spacing w:val="-5"/>
                <w:sz w:val="21"/>
              </w:rPr>
              <w:t>永久完全丧失的情况予以理赔。肢体机能永久完全丧失，指疾病确诊</w:t>
            </w:r>
            <w:r>
              <w:rPr>
                <w:sz w:val="21"/>
              </w:rPr>
              <w:t>180 </w:t>
            </w:r>
            <w:r>
              <w:rPr>
                <w:spacing w:val="-3"/>
                <w:sz w:val="21"/>
              </w:rPr>
              <w:t>天后，每肢三大关节中的两大关节仍然完全僵硬，或不能随意识活动。</w:t>
            </w:r>
          </w:p>
        </w:tc>
      </w:tr>
      <w:tr>
        <w:trPr>
          <w:trHeight w:val="1404"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严重克隆病</w:t>
            </w:r>
          </w:p>
        </w:tc>
        <w:tc>
          <w:tcPr>
            <w:tcW w:w="7126" w:type="dxa"/>
          </w:tcPr>
          <w:p>
            <w:pPr>
              <w:pStyle w:val="TableParagraph"/>
              <w:spacing w:line="273" w:lineRule="auto" w:before="142"/>
              <w:ind w:left="208" w:right="158"/>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2027" w:hRule="atLeast"/>
        </w:trPr>
        <w:tc>
          <w:tcPr>
            <w:tcW w:w="1672" w:type="dxa"/>
          </w:tcPr>
          <w:p>
            <w:pPr>
              <w:pStyle w:val="TableParagraph"/>
              <w:spacing w:before="4"/>
              <w:rPr>
                <w:rFonts w:ascii="Times New Roman"/>
                <w:sz w:val="34"/>
              </w:rPr>
            </w:pPr>
          </w:p>
          <w:p>
            <w:pPr>
              <w:pStyle w:val="TableParagraph"/>
              <w:spacing w:line="410" w:lineRule="auto"/>
              <w:ind w:left="200" w:right="207"/>
              <w:rPr>
                <w:rFonts w:ascii="Microsoft JhengHei" w:eastAsia="Microsoft JhengHei" w:hint="eastAsia"/>
                <w:b/>
                <w:sz w:val="21"/>
              </w:rPr>
            </w:pPr>
            <w:r>
              <w:rPr>
                <w:rFonts w:ascii="Microsoft JhengHei" w:eastAsia="Microsoft JhengHei" w:hint="eastAsia"/>
                <w:b/>
                <w:sz w:val="21"/>
              </w:rPr>
              <w:t>严重溃疡性结肠炎</w:t>
            </w:r>
          </w:p>
        </w:tc>
        <w:tc>
          <w:tcPr>
            <w:tcW w:w="7126" w:type="dxa"/>
          </w:tcPr>
          <w:p>
            <w:pPr>
              <w:pStyle w:val="TableParagraph"/>
              <w:spacing w:before="11"/>
              <w:rPr>
                <w:rFonts w:ascii="Times New Roman"/>
                <w:sz w:val="25"/>
              </w:rPr>
            </w:pPr>
          </w:p>
          <w:p>
            <w:pPr>
              <w:pStyle w:val="TableParagraph"/>
              <w:spacing w:line="273" w:lineRule="auto"/>
              <w:ind w:left="208" w:right="199"/>
              <w:rPr>
                <w:sz w:val="21"/>
              </w:rPr>
            </w:pPr>
            <w:r>
              <w:rPr>
                <w:sz w:val="21"/>
              </w:rPr>
              <w:t>本保单所保障的溃疡性结肠炎是指伴有致命性电解质紊乱的急性暴发性</w:t>
            </w:r>
            <w:r>
              <w:rPr>
                <w:spacing w:val="-4"/>
                <w:sz w:val="21"/>
              </w:rPr>
              <w:t>溃疡性结肠炎，病变累及全结肠，表现为严重的血便和系统性症状体征， 治疗通常采取全结肠切除和回肠造瘘术。溃疡性结肠炎必须根据组织病</w:t>
            </w:r>
            <w:r>
              <w:rPr>
                <w:spacing w:val="-3"/>
                <w:sz w:val="21"/>
              </w:rPr>
              <w:t>理学特点诊断，并且被保险人已经接受了结肠切除和回肠造瘘术。</w:t>
            </w:r>
          </w:p>
        </w:tc>
      </w:tr>
      <w:tr>
        <w:trPr>
          <w:trHeight w:val="1872" w:hRule="atLeast"/>
        </w:trPr>
        <w:tc>
          <w:tcPr>
            <w:tcW w:w="1672" w:type="dxa"/>
          </w:tcPr>
          <w:p>
            <w:pPr>
              <w:pStyle w:val="TableParagraph"/>
              <w:rPr>
                <w:rFonts w:ascii="Times New Roman"/>
                <w:sz w:val="28"/>
              </w:rPr>
            </w:pPr>
          </w:p>
          <w:p>
            <w:pPr>
              <w:pStyle w:val="TableParagraph"/>
              <w:spacing w:before="229"/>
              <w:ind w:left="200"/>
              <w:rPr>
                <w:rFonts w:ascii="Microsoft JhengHei" w:eastAsia="Microsoft JhengHei" w:hint="eastAsia"/>
                <w:b/>
                <w:sz w:val="21"/>
              </w:rPr>
            </w:pPr>
            <w:r>
              <w:rPr>
                <w:rFonts w:ascii="Microsoft JhengHei" w:eastAsia="Microsoft JhengHei" w:hint="eastAsia"/>
                <w:b/>
                <w:sz w:val="21"/>
              </w:rPr>
              <w:t>植物人状态</w:t>
            </w:r>
          </w:p>
        </w:tc>
        <w:tc>
          <w:tcPr>
            <w:tcW w:w="7126" w:type="dxa"/>
          </w:tcPr>
          <w:p>
            <w:pPr>
              <w:pStyle w:val="TableParagraph"/>
              <w:rPr>
                <w:rFonts w:ascii="Times New Roman"/>
                <w:sz w:val="20"/>
              </w:rPr>
            </w:pPr>
          </w:p>
          <w:p>
            <w:pPr>
              <w:pStyle w:val="TableParagraph"/>
              <w:spacing w:before="6"/>
              <w:rPr>
                <w:rFonts w:ascii="Times New Roman"/>
                <w:sz w:val="19"/>
              </w:rPr>
            </w:pPr>
          </w:p>
          <w:p>
            <w:pPr>
              <w:pStyle w:val="TableParagraph"/>
              <w:spacing w:line="273" w:lineRule="auto"/>
              <w:ind w:left="208" w:right="307"/>
              <w:jc w:val="both"/>
              <w:rPr>
                <w:sz w:val="21"/>
              </w:rPr>
            </w:pPr>
            <w:r>
              <w:rPr>
                <w:sz w:val="21"/>
              </w:rPr>
              <w:t>植物人状态系指由于意外事故或疾病引起的大脑和脑干严重损害导致完全永久性的对自身和环境的意识丧失和中枢神经系统功能丧失，仅残存植物神经功能的疾病状态。诊断必须明确诊断并且具有严重脑损害的证据。植物人状态必须持续180天以上方可申请理赔。</w:t>
            </w:r>
          </w:p>
        </w:tc>
      </w:tr>
      <w:tr>
        <w:trPr>
          <w:trHeight w:val="1403" w:hRule="atLeast"/>
        </w:trPr>
        <w:tc>
          <w:tcPr>
            <w:tcW w:w="1672"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独立能力丧失</w:t>
            </w:r>
          </w:p>
        </w:tc>
        <w:tc>
          <w:tcPr>
            <w:tcW w:w="7126" w:type="dxa"/>
          </w:tcPr>
          <w:p>
            <w:pPr>
              <w:pStyle w:val="TableParagraph"/>
              <w:spacing w:line="273" w:lineRule="auto" w:before="142"/>
              <w:ind w:left="208" w:right="307"/>
              <w:jc w:val="both"/>
              <w:rPr>
                <w:sz w:val="21"/>
              </w:rPr>
            </w:pPr>
            <w:r>
              <w:rPr>
                <w:sz w:val="21"/>
              </w:rPr>
              <w:t>指疾病或外伤造成被保险人至少持续6个月以上完全无法独立完成六项基本日常生活活动中的三项或三项以上。被保险人的日常生活活动能力丧失必须是永久性的。</w:t>
            </w:r>
          </w:p>
        </w:tc>
      </w:tr>
      <w:tr>
        <w:trPr>
          <w:trHeight w:val="1197" w:hRule="atLeast"/>
        </w:trPr>
        <w:tc>
          <w:tcPr>
            <w:tcW w:w="1672" w:type="dxa"/>
          </w:tcPr>
          <w:p>
            <w:pPr>
              <w:pStyle w:val="TableParagraph"/>
              <w:spacing w:before="4"/>
              <w:rPr>
                <w:rFonts w:ascii="Times New Roman"/>
                <w:sz w:val="34"/>
              </w:rPr>
            </w:pPr>
          </w:p>
          <w:p>
            <w:pPr>
              <w:pStyle w:val="TableParagraph"/>
              <w:ind w:left="200"/>
              <w:rPr>
                <w:rFonts w:ascii="Microsoft JhengHei" w:eastAsia="Microsoft JhengHei" w:hint="eastAsia"/>
                <w:b/>
                <w:sz w:val="21"/>
              </w:rPr>
            </w:pPr>
            <w:r>
              <w:rPr>
                <w:rFonts w:ascii="Microsoft JhengHei" w:eastAsia="Microsoft JhengHei" w:hint="eastAsia"/>
                <w:b/>
                <w:sz w:val="21"/>
              </w:rPr>
              <w:t>严重哮喘</w:t>
            </w:r>
          </w:p>
        </w:tc>
        <w:tc>
          <w:tcPr>
            <w:tcW w:w="7126" w:type="dxa"/>
          </w:tcPr>
          <w:p>
            <w:pPr>
              <w:pStyle w:val="TableParagraph"/>
              <w:spacing w:before="11"/>
              <w:rPr>
                <w:rFonts w:ascii="Times New Roman"/>
                <w:sz w:val="25"/>
              </w:rPr>
            </w:pPr>
          </w:p>
          <w:p>
            <w:pPr>
              <w:pStyle w:val="TableParagraph"/>
              <w:spacing w:line="273" w:lineRule="auto"/>
              <w:ind w:left="208" w:right="307"/>
              <w:rPr>
                <w:sz w:val="21"/>
              </w:rPr>
            </w:pPr>
            <w:r>
              <w:rPr>
                <w:sz w:val="21"/>
              </w:rPr>
              <w:t>被保险人必须在过去两年内曾发生哮喘持续状态，并符合以下其中两项标准，本公司才承担保险责任：</w:t>
            </w:r>
          </w:p>
          <w:p>
            <w:pPr>
              <w:pStyle w:val="TableParagraph"/>
              <w:spacing w:line="255" w:lineRule="exact" w:before="7"/>
              <w:ind w:left="208"/>
              <w:rPr>
                <w:sz w:val="21"/>
              </w:rPr>
            </w:pPr>
            <w:r>
              <w:rPr>
                <w:sz w:val="21"/>
              </w:rPr>
              <w:t>(1) 运动耐受力永久并持续地减少并却轻微的运动能引起气促；</w:t>
            </w:r>
          </w:p>
        </w:tc>
      </w:tr>
    </w:tbl>
    <w:p>
      <w:pPr>
        <w:spacing w:after="0" w:line="255" w:lineRule="exact"/>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6"/>
        <w:gridCol w:w="7090"/>
      </w:tblGrid>
      <w:tr>
        <w:trPr>
          <w:trHeight w:val="1041" w:hRule="atLeast"/>
        </w:trPr>
        <w:tc>
          <w:tcPr>
            <w:tcW w:w="1706" w:type="dxa"/>
          </w:tcPr>
          <w:p>
            <w:pPr>
              <w:pStyle w:val="TableParagraph"/>
              <w:rPr>
                <w:rFonts w:ascii="Times New Roman"/>
                <w:sz w:val="20"/>
              </w:rPr>
            </w:pPr>
          </w:p>
        </w:tc>
        <w:tc>
          <w:tcPr>
            <w:tcW w:w="7090" w:type="dxa"/>
          </w:tcPr>
          <w:p>
            <w:pPr>
              <w:pStyle w:val="TableParagraph"/>
              <w:numPr>
                <w:ilvl w:val="0"/>
                <w:numId w:val="20"/>
              </w:numPr>
              <w:tabs>
                <w:tab w:pos="597" w:val="left" w:leader="none"/>
              </w:tabs>
              <w:spacing w:line="211" w:lineRule="exact" w:before="0" w:after="0"/>
              <w:ind w:left="597" w:right="0" w:hanging="423"/>
              <w:jc w:val="left"/>
              <w:rPr>
                <w:sz w:val="21"/>
              </w:rPr>
            </w:pPr>
            <w:r>
              <w:rPr>
                <w:spacing w:val="-3"/>
                <w:sz w:val="21"/>
              </w:rPr>
              <w:t>长期胸腔过渡膨胀而导致胸腔畸形；</w:t>
            </w:r>
          </w:p>
          <w:p>
            <w:pPr>
              <w:pStyle w:val="TableParagraph"/>
              <w:numPr>
                <w:ilvl w:val="0"/>
                <w:numId w:val="20"/>
              </w:numPr>
              <w:tabs>
                <w:tab w:pos="597" w:val="left" w:leader="none"/>
              </w:tabs>
              <w:spacing w:line="240" w:lineRule="auto" w:before="37" w:after="0"/>
              <w:ind w:left="597" w:right="0" w:hanging="423"/>
              <w:jc w:val="left"/>
              <w:rPr>
                <w:sz w:val="21"/>
              </w:rPr>
            </w:pPr>
            <w:r>
              <w:rPr>
                <w:spacing w:val="-3"/>
                <w:sz w:val="21"/>
              </w:rPr>
              <w:t>在家及在静息状态下需要吸氧；</w:t>
            </w:r>
          </w:p>
          <w:p>
            <w:pPr>
              <w:pStyle w:val="TableParagraph"/>
              <w:numPr>
                <w:ilvl w:val="0"/>
                <w:numId w:val="20"/>
              </w:numPr>
              <w:tabs>
                <w:tab w:pos="597" w:val="left" w:leader="none"/>
              </w:tabs>
              <w:spacing w:line="240" w:lineRule="auto" w:before="37" w:after="0"/>
              <w:ind w:left="597" w:right="0" w:hanging="423"/>
              <w:jc w:val="left"/>
              <w:rPr>
                <w:sz w:val="21"/>
              </w:rPr>
            </w:pPr>
            <w:r>
              <w:rPr>
                <w:spacing w:val="-3"/>
                <w:sz w:val="21"/>
              </w:rPr>
              <w:t>持续的每天服用类固醇药物(至少持续六个月以上)。</w:t>
            </w:r>
          </w:p>
        </w:tc>
      </w:tr>
      <w:tr>
        <w:trPr>
          <w:trHeight w:val="2184" w:hRule="atLeast"/>
        </w:trPr>
        <w:tc>
          <w:tcPr>
            <w:tcW w:w="170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坏死性筋膜炎</w:t>
            </w:r>
          </w:p>
        </w:tc>
        <w:tc>
          <w:tcPr>
            <w:tcW w:w="7090" w:type="dxa"/>
          </w:tcPr>
          <w:p>
            <w:pPr>
              <w:pStyle w:val="TableParagraph"/>
              <w:spacing w:before="142"/>
              <w:ind w:left="174"/>
              <w:rPr>
                <w:sz w:val="21"/>
              </w:rPr>
            </w:pPr>
            <w:r>
              <w:rPr>
                <w:sz w:val="21"/>
              </w:rPr>
              <w:t>坏死性筋膜炎的诊断须同时符合下列要求：</w:t>
            </w:r>
          </w:p>
          <w:p>
            <w:pPr>
              <w:pStyle w:val="TableParagraph"/>
              <w:numPr>
                <w:ilvl w:val="0"/>
                <w:numId w:val="21"/>
              </w:numPr>
              <w:tabs>
                <w:tab w:pos="597" w:val="left" w:leader="none"/>
              </w:tabs>
              <w:spacing w:line="240" w:lineRule="auto" w:before="36" w:after="0"/>
              <w:ind w:left="594" w:right="0" w:hanging="420"/>
              <w:jc w:val="left"/>
              <w:rPr>
                <w:sz w:val="21"/>
              </w:rPr>
            </w:pPr>
            <w:r>
              <w:rPr>
                <w:spacing w:val="-3"/>
                <w:sz w:val="21"/>
              </w:rPr>
              <w:t>符合坏死性筋膜炎的一般临床表现；</w:t>
            </w:r>
          </w:p>
          <w:p>
            <w:pPr>
              <w:pStyle w:val="TableParagraph"/>
              <w:numPr>
                <w:ilvl w:val="0"/>
                <w:numId w:val="21"/>
              </w:numPr>
              <w:tabs>
                <w:tab w:pos="597" w:val="left" w:leader="none"/>
              </w:tabs>
              <w:spacing w:line="240" w:lineRule="auto" w:before="36" w:after="0"/>
              <w:ind w:left="594" w:right="0" w:hanging="420"/>
              <w:jc w:val="left"/>
              <w:rPr>
                <w:sz w:val="21"/>
              </w:rPr>
            </w:pPr>
            <w:r>
              <w:rPr>
                <w:spacing w:val="-3"/>
                <w:sz w:val="21"/>
              </w:rPr>
              <w:t>细菌培养检出致病菌；</w:t>
            </w:r>
          </w:p>
          <w:p>
            <w:pPr>
              <w:pStyle w:val="TableParagraph"/>
              <w:numPr>
                <w:ilvl w:val="0"/>
                <w:numId w:val="21"/>
              </w:numPr>
              <w:tabs>
                <w:tab w:pos="600" w:val="left" w:leader="none"/>
              </w:tabs>
              <w:spacing w:line="273" w:lineRule="auto" w:before="36" w:after="0"/>
              <w:ind w:left="594" w:right="302" w:hanging="420"/>
              <w:jc w:val="both"/>
              <w:rPr>
                <w:sz w:val="21"/>
              </w:rPr>
            </w:pPr>
            <w:r>
              <w:rPr>
                <w:sz w:val="21"/>
              </w:rPr>
              <w:t>出现广泛性肌肉及软组织坏死，并导致身体受影响部位永久完全失去功能。所谓永久完全失去功能是指受影响部位的功能丧失超过六</w:t>
            </w:r>
            <w:r>
              <w:rPr>
                <w:spacing w:val="-1"/>
                <w:sz w:val="21"/>
              </w:rPr>
              <w:t>个月者。</w:t>
            </w:r>
          </w:p>
        </w:tc>
      </w:tr>
      <w:tr>
        <w:trPr>
          <w:trHeight w:val="3120" w:hRule="atLeast"/>
        </w:trPr>
        <w:tc>
          <w:tcPr>
            <w:tcW w:w="1706" w:type="dxa"/>
          </w:tcPr>
          <w:p>
            <w:pPr>
              <w:pStyle w:val="TableParagraph"/>
              <w:spacing w:line="410" w:lineRule="auto" w:before="239"/>
              <w:ind w:left="200" w:right="241"/>
              <w:rPr>
                <w:rFonts w:ascii="Microsoft JhengHei" w:eastAsia="Microsoft JhengHei" w:hint="eastAsia"/>
                <w:b/>
                <w:sz w:val="21"/>
              </w:rPr>
            </w:pPr>
            <w:r>
              <w:rPr>
                <w:rFonts w:ascii="Microsoft JhengHei" w:eastAsia="Microsoft JhengHei" w:hint="eastAsia"/>
                <w:b/>
                <w:sz w:val="21"/>
              </w:rPr>
              <w:t>慢性肾上腺皮质功能衰竭</w:t>
            </w:r>
          </w:p>
        </w:tc>
        <w:tc>
          <w:tcPr>
            <w:tcW w:w="7090" w:type="dxa"/>
          </w:tcPr>
          <w:p>
            <w:pPr>
              <w:pStyle w:val="TableParagraph"/>
              <w:spacing w:line="273" w:lineRule="auto" w:before="143"/>
              <w:ind w:left="174" w:right="305"/>
              <w:jc w:val="both"/>
              <w:rPr>
                <w:sz w:val="21"/>
              </w:rPr>
            </w:pPr>
            <w:r>
              <w:rPr>
                <w:sz w:val="21"/>
              </w:rPr>
              <w:t>因为自身免疫功能紊乱，使肾上腺组织逐渐受损，而需要长期接受糖皮质激素及肾上腺皮质激素替代疗法。该病必须经国家机关认可的有合法资质的内分泌专科医生确诊，并有以下报告作为证据：</w:t>
            </w:r>
          </w:p>
          <w:p>
            <w:pPr>
              <w:pStyle w:val="TableParagraph"/>
              <w:numPr>
                <w:ilvl w:val="0"/>
                <w:numId w:val="22"/>
              </w:numPr>
              <w:tabs>
                <w:tab w:pos="597" w:val="left" w:leader="none"/>
              </w:tabs>
              <w:spacing w:line="240" w:lineRule="auto" w:before="8" w:after="0"/>
              <w:ind w:left="597" w:right="0" w:hanging="423"/>
              <w:jc w:val="both"/>
              <w:rPr>
                <w:sz w:val="21"/>
              </w:rPr>
            </w:pPr>
            <w:r>
              <w:rPr>
                <w:spacing w:val="-3"/>
                <w:sz w:val="21"/>
              </w:rPr>
              <w:t>促肾上腺皮质激素(</w:t>
            </w:r>
            <w:r>
              <w:rPr>
                <w:spacing w:val="-1"/>
                <w:sz w:val="21"/>
              </w:rPr>
              <w:t>ACTH)</w:t>
            </w:r>
            <w:r>
              <w:rPr>
                <w:spacing w:val="-3"/>
                <w:sz w:val="21"/>
              </w:rPr>
              <w:t>刺激试验；</w:t>
            </w:r>
          </w:p>
          <w:p>
            <w:pPr>
              <w:pStyle w:val="TableParagraph"/>
              <w:numPr>
                <w:ilvl w:val="0"/>
                <w:numId w:val="22"/>
              </w:numPr>
              <w:tabs>
                <w:tab w:pos="597" w:val="left" w:leader="none"/>
              </w:tabs>
              <w:spacing w:line="240" w:lineRule="auto" w:before="37" w:after="0"/>
              <w:ind w:left="597" w:right="0" w:hanging="423"/>
              <w:jc w:val="both"/>
              <w:rPr>
                <w:sz w:val="21"/>
              </w:rPr>
            </w:pPr>
            <w:r>
              <w:rPr>
                <w:spacing w:val="-3"/>
                <w:sz w:val="21"/>
              </w:rPr>
              <w:t>胰岛素血糖减少测试；</w:t>
            </w:r>
          </w:p>
          <w:p>
            <w:pPr>
              <w:pStyle w:val="TableParagraph"/>
              <w:numPr>
                <w:ilvl w:val="0"/>
                <w:numId w:val="22"/>
              </w:numPr>
              <w:tabs>
                <w:tab w:pos="597" w:val="left" w:leader="none"/>
              </w:tabs>
              <w:spacing w:line="240" w:lineRule="auto" w:before="37" w:after="0"/>
              <w:ind w:left="597" w:right="0" w:hanging="423"/>
              <w:jc w:val="both"/>
              <w:rPr>
                <w:sz w:val="21"/>
              </w:rPr>
            </w:pPr>
            <w:r>
              <w:rPr>
                <w:spacing w:val="-3"/>
                <w:sz w:val="21"/>
              </w:rPr>
              <w:t>血浆促肾上腺皮质激素</w:t>
            </w:r>
            <w:r>
              <w:rPr>
                <w:sz w:val="21"/>
              </w:rPr>
              <w:t>(ACTH</w:t>
            </w:r>
            <w:r>
              <w:rPr>
                <w:spacing w:val="-3"/>
                <w:sz w:val="21"/>
              </w:rPr>
              <w:t>)水平测定；</w:t>
            </w:r>
          </w:p>
          <w:p>
            <w:pPr>
              <w:pStyle w:val="TableParagraph"/>
              <w:numPr>
                <w:ilvl w:val="0"/>
                <w:numId w:val="22"/>
              </w:numPr>
              <w:tabs>
                <w:tab w:pos="597" w:val="left" w:leader="none"/>
              </w:tabs>
              <w:spacing w:line="240" w:lineRule="auto" w:before="37" w:after="0"/>
              <w:ind w:left="597" w:right="0" w:hanging="423"/>
              <w:jc w:val="both"/>
              <w:rPr>
                <w:sz w:val="21"/>
              </w:rPr>
            </w:pPr>
            <w:r>
              <w:rPr>
                <w:spacing w:val="-3"/>
                <w:sz w:val="21"/>
              </w:rPr>
              <w:t>血浆肾素活性(</w:t>
            </w:r>
            <w:r>
              <w:rPr>
                <w:spacing w:val="-1"/>
                <w:sz w:val="21"/>
              </w:rPr>
              <w:t>PRA</w:t>
            </w:r>
            <w:r>
              <w:rPr>
                <w:spacing w:val="-2"/>
                <w:sz w:val="21"/>
              </w:rPr>
              <w:t>)测定。</w:t>
            </w:r>
          </w:p>
          <w:p>
            <w:pPr>
              <w:pStyle w:val="TableParagraph"/>
              <w:spacing w:line="273" w:lineRule="auto" w:before="37"/>
              <w:ind w:left="174" w:right="294"/>
              <w:rPr>
                <w:sz w:val="21"/>
              </w:rPr>
            </w:pPr>
            <w:r>
              <w:rPr>
                <w:sz w:val="21"/>
              </w:rPr>
              <w:t>慢性肾上腺皮质功能衰竭只对由自身免疫功能紊乱引起的承担保险责任，其他原因引起的除外。</w:t>
            </w:r>
          </w:p>
        </w:tc>
      </w:tr>
      <w:tr>
        <w:trPr>
          <w:trHeight w:val="1499" w:hRule="atLeast"/>
        </w:trPr>
        <w:tc>
          <w:tcPr>
            <w:tcW w:w="1706" w:type="dxa"/>
          </w:tcPr>
          <w:p>
            <w:pPr>
              <w:pStyle w:val="TableParagraph"/>
              <w:spacing w:line="410" w:lineRule="auto" w:before="239"/>
              <w:ind w:left="200" w:right="241"/>
              <w:rPr>
                <w:rFonts w:ascii="Microsoft JhengHei" w:eastAsia="Microsoft JhengHei" w:hint="eastAsia"/>
                <w:b/>
                <w:sz w:val="21"/>
              </w:rPr>
            </w:pPr>
            <w:r>
              <w:rPr>
                <w:rFonts w:ascii="Microsoft JhengHei" w:eastAsia="Microsoft JhengHei" w:hint="eastAsia"/>
                <w:b/>
                <w:sz w:val="21"/>
              </w:rPr>
              <w:t>埃博拉病毒感染</w:t>
            </w:r>
          </w:p>
        </w:tc>
        <w:tc>
          <w:tcPr>
            <w:tcW w:w="7090" w:type="dxa"/>
          </w:tcPr>
          <w:p>
            <w:pPr>
              <w:pStyle w:val="TableParagraph"/>
              <w:spacing w:line="273" w:lineRule="auto" w:before="143"/>
              <w:ind w:left="174" w:right="305"/>
              <w:jc w:val="both"/>
              <w:rPr>
                <w:sz w:val="21"/>
              </w:rPr>
            </w:pPr>
            <w:r>
              <w:rPr>
                <w:sz w:val="21"/>
              </w:rPr>
              <w:t>受埃博拉病毒感染导致出血性发热。埃博拉病必须经国家机关认可的有合法资质的传染病专家确诊，并且埃博拉病毒的存在必须经过实验室检查证实。该病必须从症状开始后三十(30)天后持续出现并发症。</w:t>
            </w:r>
          </w:p>
        </w:tc>
      </w:tr>
      <w:tr>
        <w:trPr>
          <w:trHeight w:val="1308" w:hRule="atLeast"/>
        </w:trPr>
        <w:tc>
          <w:tcPr>
            <w:tcW w:w="1706"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象皮病</w:t>
            </w:r>
          </w:p>
        </w:tc>
        <w:tc>
          <w:tcPr>
            <w:tcW w:w="7090" w:type="dxa"/>
          </w:tcPr>
          <w:p>
            <w:pPr>
              <w:pStyle w:val="TableParagraph"/>
              <w:spacing w:before="7"/>
              <w:rPr>
                <w:rFonts w:ascii="Times New Roman"/>
                <w:sz w:val="17"/>
              </w:rPr>
            </w:pPr>
          </w:p>
          <w:p>
            <w:pPr>
              <w:pStyle w:val="TableParagraph"/>
              <w:spacing w:line="273" w:lineRule="auto"/>
              <w:ind w:left="174" w:right="305"/>
              <w:jc w:val="both"/>
              <w:rPr>
                <w:sz w:val="21"/>
              </w:rPr>
            </w:pPr>
            <w:r>
              <w:rPr>
                <w:sz w:val="21"/>
              </w:rPr>
              <w:t>指末期丝虫病，按国际淋巴学会分级为三度淋巴液肿，其临床表现为肢体非凹陷性水肿伴畸形增大、硬皮症和疣状增生。此病症须经国家机关认可的有合法资质的专科医生根据临床表现和微丝蚴的化验结果确诊。</w:t>
            </w:r>
          </w:p>
        </w:tc>
      </w:tr>
      <w:tr>
        <w:trPr>
          <w:trHeight w:val="2123" w:hRule="atLeast"/>
        </w:trPr>
        <w:tc>
          <w:tcPr>
            <w:tcW w:w="1706" w:type="dxa"/>
          </w:tcPr>
          <w:p>
            <w:pPr>
              <w:pStyle w:val="TableParagraph"/>
              <w:spacing w:line="410" w:lineRule="auto" w:before="239"/>
              <w:ind w:left="200" w:right="171"/>
              <w:jc w:val="both"/>
              <w:rPr>
                <w:rFonts w:ascii="Microsoft JhengHei" w:eastAsia="Microsoft JhengHei" w:hint="eastAsia"/>
                <w:b/>
                <w:sz w:val="21"/>
              </w:rPr>
            </w:pPr>
            <w:r>
              <w:rPr>
                <w:rFonts w:ascii="Microsoft JhengHei" w:eastAsia="Microsoft JhengHei" w:hint="eastAsia"/>
                <w:b/>
                <w:sz w:val="21"/>
              </w:rPr>
              <w:t>急性坏死性胰</w:t>
            </w:r>
            <w:r>
              <w:rPr>
                <w:rFonts w:ascii="Microsoft JhengHei" w:eastAsia="Microsoft JhengHei" w:hint="eastAsia"/>
                <w:b/>
                <w:w w:val="95"/>
                <w:sz w:val="21"/>
              </w:rPr>
              <w:t>腺炎-不包括酒</w:t>
            </w:r>
            <w:r>
              <w:rPr>
                <w:rFonts w:ascii="Microsoft JhengHei" w:eastAsia="Microsoft JhengHei" w:hint="eastAsia"/>
                <w:b/>
                <w:sz w:val="21"/>
              </w:rPr>
              <w:t>精作用所致</w:t>
            </w:r>
          </w:p>
        </w:tc>
        <w:tc>
          <w:tcPr>
            <w:tcW w:w="7090" w:type="dxa"/>
          </w:tcPr>
          <w:p>
            <w:pPr>
              <w:pStyle w:val="TableParagraph"/>
              <w:spacing w:line="273" w:lineRule="auto" w:before="142"/>
              <w:ind w:left="174" w:right="309"/>
              <w:jc w:val="both"/>
              <w:rPr>
                <w:sz w:val="21"/>
              </w:rPr>
            </w:pPr>
            <w:r>
              <w:rPr>
                <w:sz w:val="21"/>
              </w:rPr>
              <w:t>指胰酶在胰腺内激活后引起胰腺组织自身消化的急性化学性炎症。本病须经国家机关认可的有合法资质的专科医生明确诊断，并已经实际实施了坏死组织清除、病灶切除或胰腺部分切除的手术治疗。</w:t>
            </w:r>
          </w:p>
          <w:p>
            <w:pPr>
              <w:pStyle w:val="TableParagraph"/>
              <w:spacing w:before="7"/>
              <w:ind w:left="174"/>
              <w:jc w:val="both"/>
              <w:rPr>
                <w:sz w:val="21"/>
              </w:rPr>
            </w:pPr>
            <w:r>
              <w:rPr>
                <w:sz w:val="21"/>
              </w:rPr>
              <w:t>因酒精作用所致的急性胰腺炎不在保障范围内。</w:t>
            </w:r>
          </w:p>
        </w:tc>
      </w:tr>
      <w:tr>
        <w:trPr>
          <w:trHeight w:val="1726" w:hRule="atLeast"/>
        </w:trPr>
        <w:tc>
          <w:tcPr>
            <w:tcW w:w="1706" w:type="dxa"/>
          </w:tcPr>
          <w:p>
            <w:pPr>
              <w:pStyle w:val="TableParagraph"/>
              <w:rPr>
                <w:rFonts w:ascii="Times New Roman"/>
                <w:sz w:val="26"/>
              </w:rPr>
            </w:pPr>
          </w:p>
          <w:p>
            <w:pPr>
              <w:pStyle w:val="TableParagraph"/>
              <w:ind w:left="200"/>
              <w:rPr>
                <w:rFonts w:ascii="Microsoft JhengHei" w:eastAsia="Microsoft JhengHei" w:hint="eastAsia"/>
                <w:b/>
                <w:sz w:val="21"/>
              </w:rPr>
            </w:pPr>
            <w:r>
              <w:rPr>
                <w:rFonts w:ascii="Microsoft JhengHei" w:eastAsia="Microsoft JhengHei" w:hint="eastAsia"/>
                <w:b/>
                <w:sz w:val="21"/>
              </w:rPr>
              <w:t>终末期疾病</w:t>
            </w:r>
          </w:p>
        </w:tc>
        <w:tc>
          <w:tcPr>
            <w:tcW w:w="7090" w:type="dxa"/>
          </w:tcPr>
          <w:p>
            <w:pPr>
              <w:pStyle w:val="TableParagraph"/>
              <w:spacing w:line="310" w:lineRule="atLeast" w:before="168"/>
              <w:ind w:left="174" w:right="156"/>
              <w:rPr>
                <w:sz w:val="21"/>
              </w:rPr>
            </w:pPr>
            <w:r>
              <w:rPr>
                <w:sz w:val="21"/>
              </w:rPr>
              <w:t>被保险人被确诊为疾病的终末期状态，疾病已经无法以现有的医疗技术医治缓解，并且根据临床医学经验判断被保险人将于未来六个月内死亡。在家属及患者的要求和医师的同意下积极治疗已被放弃，所有治疗措施仅以减轻患者痛苦为目的。此疾病状态必须在被保险人生前已经确诊并且具有医疗证明文件和临床检查依据。</w:t>
            </w:r>
          </w:p>
        </w:tc>
      </w:tr>
    </w:tbl>
    <w:p>
      <w:pPr>
        <w:spacing w:after="0" w:line="310" w:lineRule="atLeast"/>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9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36"/>
        <w:gridCol w:w="6964"/>
      </w:tblGrid>
      <w:tr>
        <w:trPr>
          <w:trHeight w:val="2330" w:hRule="atLeast"/>
        </w:trPr>
        <w:tc>
          <w:tcPr>
            <w:tcW w:w="1736" w:type="dxa"/>
          </w:tcPr>
          <w:p>
            <w:pPr>
              <w:pStyle w:val="TableParagraph"/>
              <w:spacing w:line="410" w:lineRule="auto" w:before="32"/>
              <w:ind w:left="200" w:right="271"/>
              <w:rPr>
                <w:rFonts w:ascii="Microsoft JhengHei" w:eastAsia="Microsoft JhengHei" w:hint="eastAsia"/>
                <w:b/>
                <w:sz w:val="21"/>
              </w:rPr>
            </w:pPr>
            <w:r>
              <w:rPr>
                <w:rFonts w:ascii="Microsoft JhengHei" w:eastAsia="Microsoft JhengHei" w:hint="eastAsia"/>
                <w:b/>
                <w:sz w:val="21"/>
              </w:rPr>
              <w:t>原发性硬化性胆管炎</w:t>
            </w:r>
          </w:p>
        </w:tc>
        <w:tc>
          <w:tcPr>
            <w:tcW w:w="6964" w:type="dxa"/>
          </w:tcPr>
          <w:p>
            <w:pPr>
              <w:pStyle w:val="TableParagraph"/>
              <w:spacing w:line="211" w:lineRule="exact"/>
              <w:ind w:left="144"/>
              <w:rPr>
                <w:sz w:val="21"/>
              </w:rPr>
            </w:pPr>
            <w:r>
              <w:rPr>
                <w:sz w:val="21"/>
              </w:rPr>
              <w:t>指一种胆汁淤积综合征，其特征是肝内、肝外胆道因纤维化性炎症逐渐</w:t>
            </w:r>
          </w:p>
          <w:p>
            <w:pPr>
              <w:pStyle w:val="TableParagraph"/>
              <w:spacing w:line="273" w:lineRule="auto" w:before="37"/>
              <w:ind w:left="144" w:right="209"/>
              <w:rPr>
                <w:sz w:val="21"/>
              </w:rPr>
            </w:pPr>
            <w:r>
              <w:rPr>
                <w:sz w:val="21"/>
              </w:rPr>
              <w:t>狭窄，并最终导致完全阻塞而发展为肝硬化。本病须经内镜逆行胰胆管造影等影像学检查证实，并须满足下列全部条件：</w:t>
            </w:r>
          </w:p>
          <w:p>
            <w:pPr>
              <w:pStyle w:val="TableParagraph"/>
              <w:numPr>
                <w:ilvl w:val="0"/>
                <w:numId w:val="23"/>
              </w:numPr>
              <w:tabs>
                <w:tab w:pos="776" w:val="left" w:leader="none"/>
              </w:tabs>
              <w:spacing w:line="240" w:lineRule="auto" w:before="7" w:after="0"/>
              <w:ind w:left="775" w:right="0" w:hanging="631"/>
              <w:jc w:val="left"/>
              <w:rPr>
                <w:sz w:val="21"/>
              </w:rPr>
            </w:pPr>
            <w:r>
              <w:rPr>
                <w:spacing w:val="-3"/>
                <w:sz w:val="21"/>
              </w:rPr>
              <w:t>总胆红素和直接胆红素同时升高，血清</w:t>
            </w:r>
            <w:r>
              <w:rPr>
                <w:sz w:val="21"/>
              </w:rPr>
              <w:t>ALP&gt;200U/L；</w:t>
            </w:r>
          </w:p>
          <w:p>
            <w:pPr>
              <w:pStyle w:val="TableParagraph"/>
              <w:numPr>
                <w:ilvl w:val="0"/>
                <w:numId w:val="23"/>
              </w:numPr>
              <w:tabs>
                <w:tab w:pos="776" w:val="left" w:leader="none"/>
              </w:tabs>
              <w:spacing w:line="240" w:lineRule="auto" w:before="36" w:after="0"/>
              <w:ind w:left="775" w:right="0" w:hanging="631"/>
              <w:jc w:val="left"/>
              <w:rPr>
                <w:sz w:val="21"/>
              </w:rPr>
            </w:pPr>
            <w:r>
              <w:rPr>
                <w:spacing w:val="-3"/>
                <w:sz w:val="21"/>
              </w:rPr>
              <w:t>持续性黄疸病史；</w:t>
            </w:r>
          </w:p>
          <w:p>
            <w:pPr>
              <w:pStyle w:val="TableParagraph"/>
              <w:numPr>
                <w:ilvl w:val="0"/>
                <w:numId w:val="23"/>
              </w:numPr>
              <w:tabs>
                <w:tab w:pos="776" w:val="left" w:leader="none"/>
              </w:tabs>
              <w:spacing w:line="240" w:lineRule="auto" w:before="36" w:after="0"/>
              <w:ind w:left="775" w:right="0" w:hanging="631"/>
              <w:jc w:val="left"/>
              <w:rPr>
                <w:sz w:val="21"/>
              </w:rPr>
            </w:pPr>
            <w:r>
              <w:rPr>
                <w:spacing w:val="-3"/>
                <w:sz w:val="21"/>
              </w:rPr>
              <w:t>出现胆汁性肝硬化或门脉高压。</w:t>
            </w:r>
          </w:p>
          <w:p>
            <w:pPr>
              <w:pStyle w:val="TableParagraph"/>
              <w:spacing w:before="36"/>
              <w:ind w:left="144"/>
              <w:rPr>
                <w:sz w:val="21"/>
              </w:rPr>
            </w:pPr>
            <w:r>
              <w:rPr>
                <w:sz w:val="21"/>
              </w:rPr>
              <w:t>因肿瘤或胆管损伤等继发性的硬化性胆管炎不在保障范围内。</w:t>
            </w:r>
          </w:p>
        </w:tc>
      </w:tr>
      <w:tr>
        <w:trPr>
          <w:trHeight w:val="3473" w:hRule="atLeast"/>
        </w:trPr>
        <w:tc>
          <w:tcPr>
            <w:tcW w:w="1736" w:type="dxa"/>
          </w:tcPr>
          <w:p>
            <w:pPr>
              <w:pStyle w:val="TableParagraph"/>
              <w:spacing w:before="3"/>
              <w:rPr>
                <w:rFonts w:ascii="Times New Roman"/>
                <w:sz w:val="24"/>
              </w:rPr>
            </w:pPr>
          </w:p>
          <w:p>
            <w:pPr>
              <w:pStyle w:val="TableParagraph"/>
              <w:spacing w:line="410" w:lineRule="auto" w:before="1"/>
              <w:ind w:left="200" w:right="271"/>
              <w:jc w:val="both"/>
              <w:rPr>
                <w:rFonts w:ascii="Microsoft JhengHei" w:eastAsia="Microsoft JhengHei" w:hint="eastAsia"/>
                <w:b/>
                <w:sz w:val="21"/>
              </w:rPr>
            </w:pPr>
            <w:r>
              <w:rPr>
                <w:rFonts w:ascii="Microsoft JhengHei" w:eastAsia="Microsoft JhengHei" w:hint="eastAsia"/>
                <w:b/>
                <w:sz w:val="21"/>
              </w:rPr>
              <w:t>经输血导致的人类免疫缺陷病毒感染</w:t>
            </w:r>
          </w:p>
        </w:tc>
        <w:tc>
          <w:tcPr>
            <w:tcW w:w="6964" w:type="dxa"/>
          </w:tcPr>
          <w:p>
            <w:pPr>
              <w:pStyle w:val="TableParagraph"/>
              <w:spacing w:before="10"/>
              <w:rPr>
                <w:rFonts w:ascii="Times New Roman"/>
                <w:sz w:val="15"/>
              </w:rPr>
            </w:pPr>
          </w:p>
          <w:p>
            <w:pPr>
              <w:pStyle w:val="TableParagraph"/>
              <w:spacing w:before="1"/>
              <w:ind w:left="144"/>
              <w:rPr>
                <w:sz w:val="21"/>
              </w:rPr>
            </w:pPr>
            <w:r>
              <w:rPr>
                <w:sz w:val="21"/>
              </w:rPr>
              <w:t>被保险人感染上人类免疫缺陷病毒（HIV）并且满足下列全部条件：</w:t>
            </w:r>
          </w:p>
          <w:p>
            <w:pPr>
              <w:pStyle w:val="TableParagraph"/>
              <w:numPr>
                <w:ilvl w:val="0"/>
                <w:numId w:val="24"/>
              </w:numPr>
              <w:tabs>
                <w:tab w:pos="567" w:val="left" w:leader="none"/>
              </w:tabs>
              <w:spacing w:line="240" w:lineRule="auto" w:before="37" w:after="0"/>
              <w:ind w:left="564" w:right="0" w:hanging="420"/>
              <w:jc w:val="left"/>
              <w:rPr>
                <w:sz w:val="21"/>
              </w:rPr>
            </w:pPr>
            <w:r>
              <w:rPr>
                <w:spacing w:val="-3"/>
                <w:sz w:val="21"/>
              </w:rPr>
              <w:t>在保障起始日或复效日之后，被保险人因输血而感染</w:t>
            </w:r>
            <w:r>
              <w:rPr>
                <w:sz w:val="21"/>
              </w:rPr>
              <w:t>HIV；</w:t>
            </w:r>
          </w:p>
          <w:p>
            <w:pPr>
              <w:pStyle w:val="TableParagraph"/>
              <w:numPr>
                <w:ilvl w:val="0"/>
                <w:numId w:val="24"/>
              </w:numPr>
              <w:tabs>
                <w:tab w:pos="570" w:val="left" w:leader="none"/>
              </w:tabs>
              <w:spacing w:line="273" w:lineRule="auto" w:before="37" w:after="0"/>
              <w:ind w:left="564" w:right="216" w:hanging="420"/>
              <w:jc w:val="left"/>
              <w:rPr>
                <w:sz w:val="21"/>
              </w:rPr>
            </w:pPr>
            <w:r>
              <w:rPr>
                <w:sz w:val="21"/>
              </w:rPr>
              <w:t>提供输血治疗的输血中心或医院出具该项输血感染属医疗责任事故</w:t>
            </w:r>
            <w:r>
              <w:rPr>
                <w:spacing w:val="-3"/>
                <w:sz w:val="21"/>
              </w:rPr>
              <w:t>的报告，或者法院终审裁定为医疗责任并且不准上诉；</w:t>
            </w:r>
          </w:p>
          <w:p>
            <w:pPr>
              <w:pStyle w:val="TableParagraph"/>
              <w:numPr>
                <w:ilvl w:val="0"/>
                <w:numId w:val="24"/>
              </w:numPr>
              <w:tabs>
                <w:tab w:pos="567" w:val="left" w:leader="none"/>
              </w:tabs>
              <w:spacing w:line="240" w:lineRule="auto" w:before="7" w:after="0"/>
              <w:ind w:left="564" w:right="0" w:hanging="420"/>
              <w:jc w:val="left"/>
              <w:rPr>
                <w:sz w:val="21"/>
              </w:rPr>
            </w:pPr>
            <w:r>
              <w:rPr>
                <w:spacing w:val="-3"/>
                <w:sz w:val="21"/>
              </w:rPr>
              <w:t>受感染的被保险人不是血友病患者。</w:t>
            </w:r>
          </w:p>
          <w:p>
            <w:pPr>
              <w:pStyle w:val="TableParagraph"/>
              <w:spacing w:line="273" w:lineRule="auto" w:before="37"/>
              <w:ind w:left="144" w:right="206"/>
              <w:jc w:val="both"/>
              <w:rPr>
                <w:sz w:val="21"/>
              </w:rPr>
            </w:pPr>
            <w:r>
              <w:rPr>
                <w:spacing w:val="-4"/>
                <w:sz w:val="21"/>
              </w:rPr>
              <w:t>在任何治愈艾滋病</w:t>
            </w:r>
            <w:r>
              <w:rPr>
                <w:sz w:val="21"/>
              </w:rPr>
              <w:t>（AIDS）</w:t>
            </w:r>
            <w:r>
              <w:rPr>
                <w:spacing w:val="-2"/>
                <w:sz w:val="21"/>
              </w:rPr>
              <w:t>或阻止</w:t>
            </w:r>
            <w:r>
              <w:rPr>
                <w:sz w:val="21"/>
              </w:rPr>
              <w:t>HIV</w:t>
            </w:r>
            <w:r>
              <w:rPr>
                <w:spacing w:val="-3"/>
                <w:sz w:val="21"/>
              </w:rPr>
              <w:t>病毒作用的疗法被发现以后，或能防止AIDS</w:t>
            </w:r>
            <w:r>
              <w:rPr>
                <w:spacing w:val="-4"/>
                <w:sz w:val="21"/>
              </w:rPr>
              <w:t>发生的医疗方法被研究出来以后，本保障将不再予以赔付。 任何因其他传播方式</w:t>
            </w:r>
            <w:r>
              <w:rPr>
                <w:sz w:val="21"/>
              </w:rPr>
              <w:t>（</w:t>
            </w:r>
            <w:r>
              <w:rPr>
                <w:spacing w:val="-3"/>
                <w:sz w:val="21"/>
              </w:rPr>
              <w:t>包括：性传播或静脉注射毒品）</w:t>
            </w:r>
            <w:r>
              <w:rPr>
                <w:spacing w:val="-2"/>
                <w:sz w:val="21"/>
              </w:rPr>
              <w:t>导致的</w:t>
            </w:r>
            <w:r>
              <w:rPr>
                <w:sz w:val="21"/>
              </w:rPr>
              <w:t>HIV</w:t>
            </w:r>
            <w:r>
              <w:rPr>
                <w:spacing w:val="-3"/>
                <w:sz w:val="21"/>
              </w:rPr>
              <w:t>感染不在本保单保障范围内。保险公司必须拥有获得使用被保险人的所有血液样本的权利和能够对这些样本进行独立检验的权利。</w:t>
            </w:r>
          </w:p>
        </w:tc>
      </w:tr>
      <w:tr>
        <w:trPr>
          <w:trHeight w:val="2496" w:hRule="atLeast"/>
        </w:trPr>
        <w:tc>
          <w:tcPr>
            <w:tcW w:w="1736" w:type="dxa"/>
          </w:tcPr>
          <w:p>
            <w:pPr>
              <w:pStyle w:val="TableParagraph"/>
              <w:spacing w:before="239"/>
              <w:ind w:left="200"/>
              <w:rPr>
                <w:rFonts w:ascii="Microsoft JhengHei" w:eastAsia="Microsoft JhengHei" w:hint="eastAsia"/>
                <w:b/>
                <w:sz w:val="21"/>
              </w:rPr>
            </w:pPr>
            <w:r>
              <w:rPr>
                <w:rFonts w:ascii="Microsoft JhengHei" w:eastAsia="Microsoft JhengHei" w:hint="eastAsia"/>
                <w:b/>
                <w:sz w:val="21"/>
              </w:rPr>
              <w:t>疯牛病</w:t>
            </w:r>
          </w:p>
        </w:tc>
        <w:tc>
          <w:tcPr>
            <w:tcW w:w="6964" w:type="dxa"/>
          </w:tcPr>
          <w:p>
            <w:pPr>
              <w:pStyle w:val="TableParagraph"/>
              <w:spacing w:before="142"/>
              <w:ind w:left="144"/>
              <w:rPr>
                <w:sz w:val="21"/>
              </w:rPr>
            </w:pPr>
            <w:r>
              <w:rPr>
                <w:sz w:val="21"/>
              </w:rPr>
              <w:t>神经系统疾病及致命的成胶质状脑病，并有以下症状：</w:t>
            </w:r>
          </w:p>
          <w:p>
            <w:pPr>
              <w:pStyle w:val="TableParagraph"/>
              <w:numPr>
                <w:ilvl w:val="0"/>
                <w:numId w:val="25"/>
              </w:numPr>
              <w:tabs>
                <w:tab w:pos="567" w:val="left" w:leader="none"/>
              </w:tabs>
              <w:spacing w:line="240" w:lineRule="auto" w:before="36" w:after="0"/>
              <w:ind w:left="567" w:right="0" w:hanging="423"/>
              <w:jc w:val="left"/>
              <w:rPr>
                <w:sz w:val="21"/>
              </w:rPr>
            </w:pPr>
            <w:r>
              <w:rPr>
                <w:spacing w:val="-3"/>
                <w:sz w:val="21"/>
              </w:rPr>
              <w:t>不能控制的肌肉痉挛及震颤；</w:t>
            </w:r>
          </w:p>
          <w:p>
            <w:pPr>
              <w:pStyle w:val="TableParagraph"/>
              <w:numPr>
                <w:ilvl w:val="0"/>
                <w:numId w:val="25"/>
              </w:numPr>
              <w:tabs>
                <w:tab w:pos="567" w:val="left" w:leader="none"/>
              </w:tabs>
              <w:spacing w:line="240" w:lineRule="auto" w:before="37" w:after="0"/>
              <w:ind w:left="567" w:right="0" w:hanging="423"/>
              <w:jc w:val="left"/>
              <w:rPr>
                <w:sz w:val="21"/>
              </w:rPr>
            </w:pPr>
            <w:r>
              <w:rPr>
                <w:spacing w:val="-3"/>
                <w:sz w:val="21"/>
              </w:rPr>
              <w:t>逐渐痴呆；</w:t>
            </w:r>
          </w:p>
          <w:p>
            <w:pPr>
              <w:pStyle w:val="TableParagraph"/>
              <w:numPr>
                <w:ilvl w:val="0"/>
                <w:numId w:val="25"/>
              </w:numPr>
              <w:tabs>
                <w:tab w:pos="567" w:val="left" w:leader="none"/>
              </w:tabs>
              <w:spacing w:line="240" w:lineRule="auto" w:before="37" w:after="0"/>
              <w:ind w:left="567" w:right="0" w:hanging="423"/>
              <w:jc w:val="left"/>
              <w:rPr>
                <w:sz w:val="21"/>
              </w:rPr>
            </w:pPr>
            <w:r>
              <w:rPr>
                <w:spacing w:val="-3"/>
                <w:sz w:val="21"/>
              </w:rPr>
              <w:t>小脑功能不良，共济失调；</w:t>
            </w:r>
          </w:p>
          <w:p>
            <w:pPr>
              <w:pStyle w:val="TableParagraph"/>
              <w:numPr>
                <w:ilvl w:val="0"/>
                <w:numId w:val="25"/>
              </w:numPr>
              <w:tabs>
                <w:tab w:pos="567" w:val="left" w:leader="none"/>
              </w:tabs>
              <w:spacing w:line="240" w:lineRule="auto" w:before="37" w:after="0"/>
              <w:ind w:left="567" w:right="0" w:hanging="423"/>
              <w:jc w:val="left"/>
              <w:rPr>
                <w:sz w:val="21"/>
              </w:rPr>
            </w:pPr>
            <w:r>
              <w:rPr>
                <w:spacing w:val="-3"/>
                <w:sz w:val="21"/>
              </w:rPr>
              <w:t>手足徐动症；</w:t>
            </w:r>
          </w:p>
          <w:p>
            <w:pPr>
              <w:pStyle w:val="TableParagraph"/>
              <w:spacing w:line="273" w:lineRule="auto" w:before="37"/>
              <w:ind w:left="144" w:right="197"/>
              <w:rPr>
                <w:sz w:val="21"/>
              </w:rPr>
            </w:pPr>
            <w:r>
              <w:rPr>
                <w:sz w:val="21"/>
              </w:rPr>
              <w:t>诊断必须经国家机关认可的有合法资质的神经科专科医生基于以下检查报告作出：脑电图、脑脊液报告、电脑断层扫描(CT)及核磁共振(MRI)。</w:t>
            </w:r>
          </w:p>
        </w:tc>
      </w:tr>
      <w:tr>
        <w:trPr>
          <w:trHeight w:val="2123" w:hRule="atLeast"/>
        </w:trPr>
        <w:tc>
          <w:tcPr>
            <w:tcW w:w="1736" w:type="dxa"/>
          </w:tcPr>
          <w:p>
            <w:pPr>
              <w:pStyle w:val="TableParagraph"/>
              <w:spacing w:line="410" w:lineRule="auto" w:before="239"/>
              <w:ind w:left="200" w:right="143"/>
              <w:jc w:val="both"/>
              <w:rPr>
                <w:rFonts w:ascii="Microsoft JhengHei" w:eastAsia="Microsoft JhengHei" w:hint="eastAsia"/>
                <w:b/>
                <w:sz w:val="21"/>
              </w:rPr>
            </w:pPr>
            <w:r>
              <w:rPr>
                <w:rFonts w:ascii="Microsoft JhengHei" w:eastAsia="Microsoft JhengHei" w:hint="eastAsia"/>
                <w:b/>
                <w:spacing w:val="-2"/>
                <w:sz w:val="21"/>
              </w:rPr>
              <w:t>严重心肌炎-心</w:t>
            </w:r>
            <w:r>
              <w:rPr>
                <w:rFonts w:ascii="Microsoft JhengHei" w:eastAsia="Microsoft JhengHei" w:hint="eastAsia"/>
                <w:b/>
                <w:spacing w:val="-3"/>
                <w:sz w:val="21"/>
              </w:rPr>
              <w:t>功能状态 </w:t>
            </w:r>
            <w:r>
              <w:rPr>
                <w:rFonts w:ascii="Microsoft JhengHei" w:eastAsia="Microsoft JhengHei" w:hint="eastAsia"/>
                <w:b/>
                <w:sz w:val="21"/>
              </w:rPr>
              <w:t>IV</w:t>
            </w:r>
            <w:r>
              <w:rPr>
                <w:rFonts w:ascii="Microsoft JhengHei" w:eastAsia="Microsoft JhengHei" w:hint="eastAsia"/>
                <w:b/>
                <w:spacing w:val="-2"/>
                <w:sz w:val="21"/>
              </w:rPr>
              <w:t> 级</w:t>
            </w:r>
            <w:r>
              <w:rPr>
                <w:rFonts w:ascii="Microsoft JhengHei" w:eastAsia="Microsoft JhengHei" w:hint="eastAsia"/>
                <w:b/>
                <w:spacing w:val="-4"/>
                <w:sz w:val="21"/>
              </w:rPr>
              <w:t>持续至少 </w:t>
            </w:r>
            <w:r>
              <w:rPr>
                <w:rFonts w:ascii="Microsoft JhengHei" w:eastAsia="Microsoft JhengHei" w:hint="eastAsia"/>
                <w:b/>
                <w:sz w:val="21"/>
              </w:rPr>
              <w:t>90</w:t>
            </w:r>
            <w:r>
              <w:rPr>
                <w:rFonts w:ascii="Microsoft JhengHei" w:eastAsia="Microsoft JhengHei" w:hint="eastAsia"/>
                <w:b/>
                <w:spacing w:val="-4"/>
                <w:sz w:val="21"/>
              </w:rPr>
              <w:t> 天</w:t>
            </w:r>
          </w:p>
        </w:tc>
        <w:tc>
          <w:tcPr>
            <w:tcW w:w="6964" w:type="dxa"/>
          </w:tcPr>
          <w:p>
            <w:pPr>
              <w:pStyle w:val="TableParagraph"/>
              <w:spacing w:line="273" w:lineRule="auto" w:before="142"/>
              <w:ind w:left="144" w:right="209"/>
              <w:rPr>
                <w:sz w:val="21"/>
              </w:rPr>
            </w:pPr>
            <w:r>
              <w:rPr>
                <w:sz w:val="21"/>
              </w:rPr>
              <w:t>指心肌局限性或弥漫性的急性或慢性炎症病变，导致心脏功能障碍，达到美国纽约心脏病学会心功能状态分级IV级，且持续至少90天。</w:t>
            </w:r>
          </w:p>
        </w:tc>
      </w:tr>
      <w:tr>
        <w:trPr>
          <w:trHeight w:val="3286" w:hRule="atLeast"/>
        </w:trPr>
        <w:tc>
          <w:tcPr>
            <w:tcW w:w="1736" w:type="dxa"/>
          </w:tcPr>
          <w:p>
            <w:pPr>
              <w:pStyle w:val="TableParagraph"/>
              <w:rPr>
                <w:rFonts w:ascii="Times New Roman"/>
                <w:sz w:val="26"/>
              </w:rPr>
            </w:pPr>
          </w:p>
          <w:p>
            <w:pPr>
              <w:pStyle w:val="TableParagraph"/>
              <w:spacing w:line="410" w:lineRule="auto"/>
              <w:ind w:left="200" w:right="238"/>
              <w:jc w:val="both"/>
              <w:rPr>
                <w:rFonts w:ascii="Microsoft JhengHei" w:eastAsia="Microsoft JhengHei" w:hint="eastAsia"/>
                <w:b/>
                <w:sz w:val="21"/>
              </w:rPr>
            </w:pPr>
            <w:r>
              <w:rPr>
                <w:rFonts w:ascii="Microsoft JhengHei" w:eastAsia="Microsoft JhengHei" w:hint="eastAsia"/>
                <w:b/>
                <w:spacing w:val="-2"/>
                <w:sz w:val="21"/>
              </w:rPr>
              <w:t>系统性红斑狼疮－III</w:t>
            </w:r>
            <w:r>
              <w:rPr>
                <w:rFonts w:ascii="Microsoft JhengHei" w:eastAsia="Microsoft JhengHei" w:hint="eastAsia"/>
                <w:b/>
                <w:spacing w:val="-9"/>
                <w:sz w:val="21"/>
              </w:rPr>
              <w:t> 型或 </w:t>
            </w:r>
            <w:r>
              <w:rPr>
                <w:rFonts w:ascii="Microsoft JhengHei" w:eastAsia="Microsoft JhengHei" w:hint="eastAsia"/>
                <w:b/>
                <w:spacing w:val="-2"/>
                <w:sz w:val="21"/>
              </w:rPr>
              <w:t>III </w:t>
            </w:r>
            <w:r>
              <w:rPr>
                <w:rFonts w:ascii="Microsoft JhengHei" w:eastAsia="Microsoft JhengHei" w:hint="eastAsia"/>
                <w:b/>
                <w:spacing w:val="-1"/>
                <w:sz w:val="21"/>
              </w:rPr>
              <w:t>型以上狼</w:t>
            </w:r>
          </w:p>
          <w:p>
            <w:pPr>
              <w:pStyle w:val="TableParagraph"/>
              <w:spacing w:before="59"/>
              <w:ind w:left="200"/>
              <w:jc w:val="both"/>
              <w:rPr>
                <w:rFonts w:ascii="Microsoft JhengHei" w:eastAsia="Microsoft JhengHei" w:hint="eastAsia"/>
                <w:b/>
                <w:sz w:val="21"/>
              </w:rPr>
            </w:pPr>
            <w:r>
              <w:rPr>
                <w:rFonts w:ascii="Microsoft JhengHei" w:eastAsia="Microsoft JhengHei" w:hint="eastAsia"/>
                <w:b/>
                <w:sz w:val="21"/>
              </w:rPr>
              <w:t>疮性肾炎</w:t>
            </w:r>
          </w:p>
        </w:tc>
        <w:tc>
          <w:tcPr>
            <w:tcW w:w="6964" w:type="dxa"/>
          </w:tcPr>
          <w:p>
            <w:pPr>
              <w:pStyle w:val="TableParagraph"/>
              <w:spacing w:before="7"/>
              <w:rPr>
                <w:rFonts w:ascii="Times New Roman"/>
                <w:sz w:val="17"/>
              </w:rPr>
            </w:pPr>
          </w:p>
          <w:p>
            <w:pPr>
              <w:pStyle w:val="TableParagraph"/>
              <w:spacing w:line="273" w:lineRule="auto"/>
              <w:ind w:left="144" w:right="209"/>
              <w:rPr>
                <w:sz w:val="21"/>
              </w:rPr>
            </w:pPr>
            <w:r>
              <w:rPr>
                <w:sz w:val="21"/>
              </w:rPr>
              <w:t>系统性红斑狼疮是由多种因素引起，累及多系统的自身免疫性疾病。其特点是生成自身抗体对抗多种自身抗原。多见于育龄妇女。</w:t>
            </w:r>
          </w:p>
          <w:p>
            <w:pPr>
              <w:pStyle w:val="TableParagraph"/>
              <w:spacing w:line="273" w:lineRule="auto" w:before="7"/>
              <w:ind w:left="144" w:right="197"/>
              <w:jc w:val="both"/>
              <w:rPr>
                <w:sz w:val="21"/>
              </w:rPr>
            </w:pPr>
            <w:r>
              <w:rPr>
                <w:sz w:val="21"/>
              </w:rPr>
              <w:t>本保单所指的系统性红斑狼疮仅限于累及肾脏（经肾脏活检确认的，符合WHO诊断标准定义III型或III型以上狼疮性肾炎）的系统性红斑狼疮。其他类型的红斑性狼疮，如盘状狼疮、仅累及血液及关节的狼疮不在本保单保障范围内。 世界卫生组织（WHO）狼疮性肾炎分型：</w:t>
            </w:r>
          </w:p>
          <w:p>
            <w:pPr>
              <w:pStyle w:val="TableParagraph"/>
              <w:spacing w:before="7"/>
              <w:ind w:left="144"/>
              <w:jc w:val="both"/>
              <w:rPr>
                <w:sz w:val="21"/>
              </w:rPr>
            </w:pPr>
            <w:r>
              <w:rPr>
                <w:sz w:val="21"/>
              </w:rPr>
              <w:t>I型   微小病变型</w:t>
            </w:r>
          </w:p>
          <w:p>
            <w:pPr>
              <w:pStyle w:val="TableParagraph"/>
              <w:spacing w:before="36"/>
              <w:ind w:left="144"/>
              <w:jc w:val="both"/>
              <w:rPr>
                <w:sz w:val="21"/>
              </w:rPr>
            </w:pPr>
            <w:r>
              <w:rPr>
                <w:sz w:val="21"/>
              </w:rPr>
              <w:t>II型  系膜病变型</w:t>
            </w:r>
          </w:p>
          <w:p>
            <w:pPr>
              <w:pStyle w:val="TableParagraph"/>
              <w:spacing w:before="37"/>
              <w:ind w:left="144"/>
              <w:jc w:val="both"/>
              <w:rPr>
                <w:sz w:val="21"/>
              </w:rPr>
            </w:pPr>
            <w:r>
              <w:rPr>
                <w:sz w:val="21"/>
              </w:rPr>
              <w:t>III型 局灶及节段增生型</w:t>
            </w:r>
          </w:p>
          <w:p>
            <w:pPr>
              <w:pStyle w:val="TableParagraph"/>
              <w:spacing w:line="255" w:lineRule="exact" w:before="37"/>
              <w:ind w:left="144"/>
              <w:jc w:val="both"/>
              <w:rPr>
                <w:sz w:val="21"/>
              </w:rPr>
            </w:pPr>
            <w:r>
              <w:rPr>
                <w:sz w:val="21"/>
              </w:rPr>
              <w:t>IV型  弥漫增生型</w:t>
            </w:r>
          </w:p>
        </w:tc>
      </w:tr>
    </w:tbl>
    <w:p>
      <w:pPr>
        <w:spacing w:after="0" w:line="255" w:lineRule="exact"/>
        <w:jc w:val="both"/>
        <w:rPr>
          <w:sz w:val="21"/>
        </w:rPr>
        <w:sectPr>
          <w:pgSz w:w="11910" w:h="16840"/>
          <w:pgMar w:header="886" w:footer="992" w:top="1120" w:bottom="1180" w:left="1200" w:right="940"/>
        </w:sectPr>
      </w:pPr>
    </w:p>
    <w:p>
      <w:pPr>
        <w:pStyle w:val="BodyText"/>
        <w:rPr>
          <w:rFonts w:ascii="Times New Roman"/>
          <w:sz w:val="20"/>
        </w:rPr>
      </w:pPr>
    </w:p>
    <w:p>
      <w:pPr>
        <w:pStyle w:val="BodyText"/>
        <w:spacing w:before="9"/>
        <w:rPr>
          <w:rFonts w:ascii="Times New Roman"/>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683"/>
        <w:gridCol w:w="7123"/>
      </w:tblGrid>
      <w:tr>
        <w:trPr>
          <w:trHeight w:val="885" w:hRule="atLeast"/>
        </w:trPr>
        <w:tc>
          <w:tcPr>
            <w:tcW w:w="831" w:type="dxa"/>
          </w:tcPr>
          <w:p>
            <w:pPr>
              <w:pStyle w:val="TableParagraph"/>
              <w:rPr>
                <w:rFonts w:ascii="Times New Roman"/>
                <w:sz w:val="20"/>
              </w:rPr>
            </w:pPr>
          </w:p>
        </w:tc>
        <w:tc>
          <w:tcPr>
            <w:tcW w:w="1683" w:type="dxa"/>
          </w:tcPr>
          <w:p>
            <w:pPr>
              <w:pStyle w:val="TableParagraph"/>
              <w:rPr>
                <w:rFonts w:ascii="Times New Roman"/>
                <w:sz w:val="20"/>
              </w:rPr>
            </w:pPr>
          </w:p>
        </w:tc>
        <w:tc>
          <w:tcPr>
            <w:tcW w:w="7123" w:type="dxa"/>
          </w:tcPr>
          <w:p>
            <w:pPr>
              <w:pStyle w:val="TableParagraph"/>
              <w:tabs>
                <w:tab w:pos="837" w:val="left" w:leader="none"/>
              </w:tabs>
              <w:spacing w:line="211" w:lineRule="exact"/>
              <w:ind w:left="206"/>
              <w:rPr>
                <w:sz w:val="21"/>
              </w:rPr>
            </w:pPr>
            <w:r>
              <w:rPr>
                <w:sz w:val="21"/>
              </w:rPr>
              <w:t>V型</w:t>
              <w:tab/>
              <w:t>膜型</w:t>
            </w:r>
          </w:p>
          <w:p>
            <w:pPr>
              <w:pStyle w:val="TableParagraph"/>
              <w:tabs>
                <w:tab w:pos="837" w:val="left" w:leader="none"/>
              </w:tabs>
              <w:spacing w:before="37"/>
              <w:ind w:left="206"/>
              <w:rPr>
                <w:sz w:val="21"/>
              </w:rPr>
            </w:pPr>
            <w:r>
              <w:rPr>
                <w:sz w:val="21"/>
              </w:rPr>
              <w:t>VI型</w:t>
              <w:tab/>
              <w:t>肾</w:t>
            </w:r>
            <w:r>
              <w:rPr>
                <w:spacing w:val="-3"/>
                <w:sz w:val="21"/>
              </w:rPr>
              <w:t>小</w:t>
            </w:r>
            <w:r>
              <w:rPr>
                <w:sz w:val="21"/>
              </w:rPr>
              <w:t>球</w:t>
            </w:r>
            <w:r>
              <w:rPr>
                <w:spacing w:val="-3"/>
                <w:sz w:val="21"/>
              </w:rPr>
              <w:t>硬</w:t>
            </w:r>
            <w:r>
              <w:rPr>
                <w:sz w:val="21"/>
              </w:rPr>
              <w:t>化型</w:t>
            </w:r>
          </w:p>
        </w:tc>
      </w:tr>
      <w:tr>
        <w:trPr>
          <w:trHeight w:val="1247" w:hRule="atLeast"/>
        </w:trPr>
        <w:tc>
          <w:tcPr>
            <w:tcW w:w="831" w:type="dxa"/>
          </w:tcPr>
          <w:p>
            <w:pPr>
              <w:pStyle w:val="TableParagraph"/>
              <w:spacing w:before="11"/>
              <w:rPr>
                <w:rFonts w:ascii="Times New Roman"/>
                <w:sz w:val="25"/>
              </w:rPr>
            </w:pPr>
          </w:p>
          <w:p>
            <w:pPr>
              <w:pStyle w:val="TableParagraph"/>
              <w:ind w:left="200"/>
              <w:rPr>
                <w:b/>
                <w:sz w:val="21"/>
              </w:rPr>
            </w:pPr>
            <w:r>
              <w:rPr>
                <w:b/>
                <w:sz w:val="21"/>
              </w:rPr>
              <w:t>8.4</w:t>
            </w:r>
          </w:p>
        </w:tc>
        <w:tc>
          <w:tcPr>
            <w:tcW w:w="1683" w:type="dxa"/>
          </w:tcPr>
          <w:p>
            <w:pPr>
              <w:pStyle w:val="TableParagraph"/>
              <w:spacing w:before="11"/>
              <w:rPr>
                <w:rFonts w:ascii="Times New Roman"/>
                <w:sz w:val="25"/>
              </w:rPr>
            </w:pPr>
          </w:p>
          <w:p>
            <w:pPr>
              <w:pStyle w:val="TableParagraph"/>
              <w:ind w:left="208"/>
              <w:rPr>
                <w:b/>
                <w:sz w:val="21"/>
              </w:rPr>
            </w:pPr>
            <w:r>
              <w:rPr>
                <w:b/>
                <w:sz w:val="21"/>
              </w:rPr>
              <w:t>意外伤害</w:t>
            </w:r>
          </w:p>
        </w:tc>
        <w:tc>
          <w:tcPr>
            <w:tcW w:w="7123" w:type="dxa"/>
          </w:tcPr>
          <w:p>
            <w:pPr>
              <w:pStyle w:val="TableParagraph"/>
              <w:spacing w:before="11"/>
              <w:rPr>
                <w:rFonts w:ascii="Times New Roman"/>
                <w:sz w:val="25"/>
              </w:rPr>
            </w:pPr>
          </w:p>
          <w:p>
            <w:pPr>
              <w:pStyle w:val="TableParagraph"/>
              <w:spacing w:line="273" w:lineRule="auto"/>
              <w:ind w:left="208" w:right="302"/>
              <w:rPr>
                <w:sz w:val="21"/>
              </w:rPr>
            </w:pPr>
            <w:r>
              <w:rPr>
                <w:sz w:val="21"/>
              </w:rPr>
              <w:t>指外来的、突发的、非本意的、非疾病的客观事件直接致使身体受到的伤害。</w:t>
            </w:r>
          </w:p>
        </w:tc>
      </w:tr>
      <w:tr>
        <w:trPr>
          <w:trHeight w:val="2808" w:hRule="atLeast"/>
        </w:trPr>
        <w:tc>
          <w:tcPr>
            <w:tcW w:w="831" w:type="dxa"/>
          </w:tcPr>
          <w:p>
            <w:pPr>
              <w:pStyle w:val="TableParagraph"/>
              <w:spacing w:before="11"/>
              <w:rPr>
                <w:rFonts w:ascii="Times New Roman"/>
                <w:sz w:val="25"/>
              </w:rPr>
            </w:pPr>
          </w:p>
          <w:p>
            <w:pPr>
              <w:pStyle w:val="TableParagraph"/>
              <w:ind w:left="200"/>
              <w:rPr>
                <w:b/>
                <w:sz w:val="21"/>
              </w:rPr>
            </w:pPr>
            <w:r>
              <w:rPr>
                <w:b/>
                <w:sz w:val="21"/>
              </w:rPr>
              <w:t>8.5</w:t>
            </w:r>
          </w:p>
        </w:tc>
        <w:tc>
          <w:tcPr>
            <w:tcW w:w="1683" w:type="dxa"/>
          </w:tcPr>
          <w:p>
            <w:pPr>
              <w:pStyle w:val="TableParagraph"/>
              <w:spacing w:before="11"/>
              <w:rPr>
                <w:rFonts w:ascii="Times New Roman"/>
                <w:sz w:val="25"/>
              </w:rPr>
            </w:pPr>
          </w:p>
          <w:p>
            <w:pPr>
              <w:pStyle w:val="TableParagraph"/>
              <w:ind w:left="208"/>
              <w:rPr>
                <w:b/>
                <w:sz w:val="21"/>
              </w:rPr>
            </w:pPr>
            <w:r>
              <w:rPr>
                <w:b/>
                <w:sz w:val="21"/>
              </w:rPr>
              <w:t>专科医生</w:t>
            </w:r>
          </w:p>
        </w:tc>
        <w:tc>
          <w:tcPr>
            <w:tcW w:w="7123" w:type="dxa"/>
          </w:tcPr>
          <w:p>
            <w:pPr>
              <w:pStyle w:val="TableParagraph"/>
              <w:spacing w:before="11"/>
              <w:rPr>
                <w:rFonts w:ascii="Times New Roman"/>
                <w:sz w:val="25"/>
              </w:rPr>
            </w:pPr>
          </w:p>
          <w:p>
            <w:pPr>
              <w:pStyle w:val="TableParagraph"/>
              <w:ind w:left="206"/>
              <w:rPr>
                <w:sz w:val="21"/>
              </w:rPr>
            </w:pPr>
            <w:r>
              <w:rPr>
                <w:sz w:val="21"/>
              </w:rPr>
              <w:t>专科医生应当同时满足以下四项资格条件：</w:t>
            </w:r>
          </w:p>
          <w:p>
            <w:pPr>
              <w:pStyle w:val="TableParagraph"/>
              <w:numPr>
                <w:ilvl w:val="0"/>
                <w:numId w:val="26"/>
              </w:numPr>
              <w:tabs>
                <w:tab w:pos="838" w:val="left" w:leader="none"/>
              </w:tabs>
              <w:spacing w:line="240" w:lineRule="auto" w:before="37" w:after="0"/>
              <w:ind w:left="842" w:right="0" w:hanging="636"/>
              <w:jc w:val="left"/>
              <w:rPr>
                <w:sz w:val="21"/>
              </w:rPr>
            </w:pPr>
            <w:r>
              <w:rPr>
                <w:spacing w:val="-9"/>
                <w:sz w:val="21"/>
              </w:rPr>
              <w:t>具有有效的中华人民共和国《医师资格证书》；</w:t>
            </w:r>
          </w:p>
          <w:p>
            <w:pPr>
              <w:pStyle w:val="TableParagraph"/>
              <w:numPr>
                <w:ilvl w:val="0"/>
                <w:numId w:val="26"/>
              </w:numPr>
              <w:tabs>
                <w:tab w:pos="836" w:val="left" w:leader="none"/>
              </w:tabs>
              <w:spacing w:line="273" w:lineRule="auto" w:before="37" w:after="0"/>
              <w:ind w:left="842" w:right="306" w:hanging="636"/>
              <w:jc w:val="left"/>
              <w:rPr>
                <w:sz w:val="21"/>
              </w:rPr>
            </w:pPr>
            <w:r>
              <w:rPr>
                <w:spacing w:val="-10"/>
                <w:sz w:val="21"/>
              </w:rPr>
              <w:t>具有有效的中华人民共和国《医师执业证书》，并按期到相关部门</w:t>
            </w:r>
            <w:r>
              <w:rPr>
                <w:spacing w:val="-5"/>
                <w:sz w:val="21"/>
              </w:rPr>
              <w:t>登记注册；</w:t>
            </w:r>
          </w:p>
          <w:p>
            <w:pPr>
              <w:pStyle w:val="TableParagraph"/>
              <w:numPr>
                <w:ilvl w:val="0"/>
                <w:numId w:val="26"/>
              </w:numPr>
              <w:tabs>
                <w:tab w:pos="850" w:val="left" w:leader="none"/>
              </w:tabs>
              <w:spacing w:line="273" w:lineRule="auto" w:before="7" w:after="0"/>
              <w:ind w:left="816" w:right="311" w:hanging="610"/>
              <w:jc w:val="left"/>
              <w:rPr>
                <w:sz w:val="21"/>
              </w:rPr>
            </w:pPr>
            <w:r>
              <w:rPr>
                <w:sz w:val="21"/>
              </w:rPr>
              <w:t>具有有效的中华人民共和国主治医师或主治医师以上职称的《医</w:t>
            </w:r>
            <w:r>
              <w:rPr>
                <w:spacing w:val="-18"/>
                <w:sz w:val="21"/>
              </w:rPr>
              <w:t>师职称证书》；</w:t>
            </w:r>
          </w:p>
          <w:p>
            <w:pPr>
              <w:pStyle w:val="TableParagraph"/>
              <w:numPr>
                <w:ilvl w:val="0"/>
                <w:numId w:val="26"/>
              </w:numPr>
              <w:tabs>
                <w:tab w:pos="838" w:val="left" w:leader="none"/>
              </w:tabs>
              <w:spacing w:line="240" w:lineRule="auto" w:before="7" w:after="0"/>
              <w:ind w:left="842" w:right="0" w:hanging="636"/>
              <w:jc w:val="left"/>
              <w:rPr>
                <w:sz w:val="21"/>
              </w:rPr>
            </w:pPr>
            <w:r>
              <w:rPr>
                <w:spacing w:val="-3"/>
                <w:sz w:val="21"/>
              </w:rPr>
              <w:t>在二级或二级以上医院的相应科室从事临床工作三年以上。</w:t>
            </w:r>
          </w:p>
        </w:tc>
      </w:tr>
      <w:tr>
        <w:trPr>
          <w:trHeight w:val="1872" w:hRule="atLeast"/>
        </w:trPr>
        <w:tc>
          <w:tcPr>
            <w:tcW w:w="831" w:type="dxa"/>
          </w:tcPr>
          <w:p>
            <w:pPr>
              <w:pStyle w:val="TableParagraph"/>
              <w:spacing w:before="11"/>
              <w:rPr>
                <w:rFonts w:ascii="Times New Roman"/>
                <w:sz w:val="25"/>
              </w:rPr>
            </w:pPr>
          </w:p>
          <w:p>
            <w:pPr>
              <w:pStyle w:val="TableParagraph"/>
              <w:ind w:left="200"/>
              <w:rPr>
                <w:b/>
                <w:sz w:val="21"/>
              </w:rPr>
            </w:pPr>
            <w:r>
              <w:rPr>
                <w:b/>
                <w:sz w:val="21"/>
              </w:rPr>
              <w:t>8.6</w:t>
            </w:r>
          </w:p>
        </w:tc>
        <w:tc>
          <w:tcPr>
            <w:tcW w:w="1683" w:type="dxa"/>
          </w:tcPr>
          <w:p>
            <w:pPr>
              <w:pStyle w:val="TableParagraph"/>
              <w:spacing w:before="11"/>
              <w:rPr>
                <w:rFonts w:ascii="Times New Roman"/>
                <w:sz w:val="25"/>
              </w:rPr>
            </w:pPr>
          </w:p>
          <w:p>
            <w:pPr>
              <w:pStyle w:val="TableParagraph"/>
              <w:ind w:left="208"/>
              <w:rPr>
                <w:b/>
                <w:sz w:val="21"/>
              </w:rPr>
            </w:pPr>
            <w:r>
              <w:rPr>
                <w:b/>
                <w:sz w:val="21"/>
              </w:rPr>
              <w:t>毒品</w:t>
            </w:r>
          </w:p>
        </w:tc>
        <w:tc>
          <w:tcPr>
            <w:tcW w:w="7123" w:type="dxa"/>
          </w:tcPr>
          <w:p>
            <w:pPr>
              <w:pStyle w:val="TableParagraph"/>
              <w:spacing w:before="11"/>
              <w:rPr>
                <w:rFonts w:ascii="Times New Roman"/>
                <w:sz w:val="25"/>
              </w:rPr>
            </w:pPr>
          </w:p>
          <w:p>
            <w:pPr>
              <w:pStyle w:val="TableParagraph"/>
              <w:spacing w:line="273" w:lineRule="auto"/>
              <w:ind w:left="208" w:right="198"/>
              <w:rPr>
                <w:sz w:val="21"/>
              </w:rPr>
            </w:pPr>
            <w:r>
              <w:rPr>
                <w:spacing w:val="-8"/>
                <w:sz w:val="21"/>
              </w:rPr>
              <w:t>指中华人民共和国刑法规定的鸦片、海洛因、甲基苯丙胺</w:t>
            </w:r>
            <w:r>
              <w:rPr>
                <w:spacing w:val="-3"/>
                <w:sz w:val="21"/>
              </w:rPr>
              <w:t>（</w:t>
            </w:r>
            <w:r>
              <w:rPr>
                <w:sz w:val="21"/>
              </w:rPr>
              <w:t>冰毒</w:t>
            </w:r>
            <w:r>
              <w:rPr>
                <w:spacing w:val="-108"/>
                <w:sz w:val="21"/>
              </w:rPr>
              <w:t>）</w:t>
            </w:r>
            <w:r>
              <w:rPr>
                <w:spacing w:val="-9"/>
                <w:sz w:val="21"/>
              </w:rPr>
              <w:t>、吗啡、大麻、可卡因以及国家规定管制的其他能够使人形成瘾癖的麻醉药品和精神药品，但不包括由医生开具并遵医嘱使用的用于治疗疾病但含有毒</w:t>
            </w:r>
            <w:r>
              <w:rPr>
                <w:spacing w:val="-5"/>
                <w:sz w:val="21"/>
              </w:rPr>
              <w:t>品成分的处方药品。</w:t>
            </w:r>
          </w:p>
        </w:tc>
      </w:tr>
      <w:tr>
        <w:trPr>
          <w:trHeight w:val="1560" w:hRule="atLeast"/>
        </w:trPr>
        <w:tc>
          <w:tcPr>
            <w:tcW w:w="831" w:type="dxa"/>
          </w:tcPr>
          <w:p>
            <w:pPr>
              <w:pStyle w:val="TableParagraph"/>
              <w:spacing w:before="11"/>
              <w:rPr>
                <w:rFonts w:ascii="Times New Roman"/>
                <w:sz w:val="25"/>
              </w:rPr>
            </w:pPr>
          </w:p>
          <w:p>
            <w:pPr>
              <w:pStyle w:val="TableParagraph"/>
              <w:ind w:left="200"/>
              <w:rPr>
                <w:b/>
                <w:sz w:val="21"/>
              </w:rPr>
            </w:pPr>
            <w:r>
              <w:rPr>
                <w:b/>
                <w:sz w:val="21"/>
              </w:rPr>
              <w:t>8.7</w:t>
            </w:r>
          </w:p>
        </w:tc>
        <w:tc>
          <w:tcPr>
            <w:tcW w:w="1683" w:type="dxa"/>
          </w:tcPr>
          <w:p>
            <w:pPr>
              <w:pStyle w:val="TableParagraph"/>
              <w:spacing w:before="11"/>
              <w:rPr>
                <w:rFonts w:ascii="Times New Roman"/>
                <w:sz w:val="25"/>
              </w:rPr>
            </w:pPr>
          </w:p>
          <w:p>
            <w:pPr>
              <w:pStyle w:val="TableParagraph"/>
              <w:ind w:left="208"/>
              <w:rPr>
                <w:b/>
                <w:sz w:val="21"/>
              </w:rPr>
            </w:pPr>
            <w:r>
              <w:rPr>
                <w:b/>
                <w:sz w:val="21"/>
              </w:rPr>
              <w:t>酒后驾驶</w:t>
            </w:r>
          </w:p>
        </w:tc>
        <w:tc>
          <w:tcPr>
            <w:tcW w:w="7123" w:type="dxa"/>
          </w:tcPr>
          <w:p>
            <w:pPr>
              <w:pStyle w:val="TableParagraph"/>
              <w:spacing w:before="11"/>
              <w:rPr>
                <w:rFonts w:ascii="Times New Roman"/>
                <w:sz w:val="25"/>
              </w:rPr>
            </w:pPr>
          </w:p>
          <w:p>
            <w:pPr>
              <w:pStyle w:val="TableParagraph"/>
              <w:spacing w:line="273" w:lineRule="auto"/>
              <w:ind w:left="208" w:right="170"/>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340" w:hRule="atLeast"/>
        </w:trPr>
        <w:tc>
          <w:tcPr>
            <w:tcW w:w="831" w:type="dxa"/>
          </w:tcPr>
          <w:p>
            <w:pPr>
              <w:pStyle w:val="TableParagraph"/>
              <w:spacing w:before="11"/>
              <w:rPr>
                <w:rFonts w:ascii="Times New Roman"/>
                <w:sz w:val="25"/>
              </w:rPr>
            </w:pPr>
          </w:p>
          <w:p>
            <w:pPr>
              <w:pStyle w:val="TableParagraph"/>
              <w:ind w:left="200"/>
              <w:rPr>
                <w:b/>
                <w:sz w:val="21"/>
              </w:rPr>
            </w:pPr>
            <w:r>
              <w:rPr>
                <w:b/>
                <w:sz w:val="21"/>
              </w:rPr>
              <w:t>8.8</w:t>
            </w:r>
          </w:p>
        </w:tc>
        <w:tc>
          <w:tcPr>
            <w:tcW w:w="1683" w:type="dxa"/>
          </w:tcPr>
          <w:p>
            <w:pPr>
              <w:pStyle w:val="TableParagraph"/>
              <w:spacing w:before="11"/>
              <w:rPr>
                <w:rFonts w:ascii="Times New Roman"/>
                <w:sz w:val="25"/>
              </w:rPr>
            </w:pPr>
          </w:p>
          <w:p>
            <w:pPr>
              <w:pStyle w:val="TableParagraph"/>
              <w:spacing w:line="273" w:lineRule="auto"/>
              <w:ind w:left="208" w:right="204"/>
              <w:rPr>
                <w:b/>
                <w:sz w:val="21"/>
              </w:rPr>
            </w:pPr>
            <w:r>
              <w:rPr>
                <w:b/>
                <w:sz w:val="21"/>
              </w:rPr>
              <w:t>无合法有效驾驶证驾驶</w:t>
            </w:r>
          </w:p>
        </w:tc>
        <w:tc>
          <w:tcPr>
            <w:tcW w:w="7123" w:type="dxa"/>
          </w:tcPr>
          <w:p>
            <w:pPr>
              <w:pStyle w:val="TableParagraph"/>
              <w:spacing w:before="11"/>
              <w:rPr>
                <w:rFonts w:ascii="Times New Roman"/>
                <w:sz w:val="25"/>
              </w:rPr>
            </w:pPr>
          </w:p>
          <w:p>
            <w:pPr>
              <w:pStyle w:val="TableParagraph"/>
              <w:ind w:left="206"/>
              <w:rPr>
                <w:sz w:val="21"/>
              </w:rPr>
            </w:pPr>
            <w:r>
              <w:rPr>
                <w:sz w:val="21"/>
              </w:rPr>
              <w:t>指下列情形之一：</w:t>
            </w:r>
          </w:p>
          <w:p>
            <w:pPr>
              <w:pStyle w:val="TableParagraph"/>
              <w:numPr>
                <w:ilvl w:val="0"/>
                <w:numId w:val="27"/>
              </w:numPr>
              <w:tabs>
                <w:tab w:pos="838" w:val="left" w:leader="none"/>
              </w:tabs>
              <w:spacing w:line="240" w:lineRule="auto" w:before="37" w:after="0"/>
              <w:ind w:left="837" w:right="0" w:hanging="631"/>
              <w:jc w:val="left"/>
              <w:rPr>
                <w:sz w:val="21"/>
              </w:rPr>
            </w:pPr>
            <w:r>
              <w:rPr>
                <w:spacing w:val="-3"/>
                <w:sz w:val="21"/>
              </w:rPr>
              <w:t>没有驾驶证驾驶；</w:t>
            </w:r>
          </w:p>
          <w:p>
            <w:pPr>
              <w:pStyle w:val="TableParagraph"/>
              <w:numPr>
                <w:ilvl w:val="0"/>
                <w:numId w:val="27"/>
              </w:numPr>
              <w:tabs>
                <w:tab w:pos="838" w:val="left" w:leader="none"/>
              </w:tabs>
              <w:spacing w:line="240" w:lineRule="auto" w:before="37" w:after="0"/>
              <w:ind w:left="837" w:right="0" w:hanging="631"/>
              <w:jc w:val="left"/>
              <w:rPr>
                <w:sz w:val="21"/>
              </w:rPr>
            </w:pPr>
            <w:r>
              <w:rPr>
                <w:spacing w:val="-3"/>
                <w:sz w:val="21"/>
              </w:rPr>
              <w:t>驾驶与驾驶证准驾车型不相符合的车辆；</w:t>
            </w:r>
          </w:p>
          <w:p>
            <w:pPr>
              <w:pStyle w:val="TableParagraph"/>
              <w:numPr>
                <w:ilvl w:val="0"/>
                <w:numId w:val="27"/>
              </w:numPr>
              <w:tabs>
                <w:tab w:pos="838" w:val="left" w:leader="none"/>
              </w:tabs>
              <w:spacing w:line="240" w:lineRule="auto" w:before="37" w:after="0"/>
              <w:ind w:left="837" w:right="0" w:hanging="631"/>
              <w:jc w:val="left"/>
              <w:rPr>
                <w:sz w:val="21"/>
              </w:rPr>
            </w:pPr>
            <w:r>
              <w:rPr>
                <w:spacing w:val="-3"/>
                <w:sz w:val="21"/>
              </w:rPr>
              <w:t>持审验不合格的驾驶证驾驶；</w:t>
            </w:r>
          </w:p>
          <w:p>
            <w:pPr>
              <w:pStyle w:val="TableParagraph"/>
              <w:numPr>
                <w:ilvl w:val="0"/>
                <w:numId w:val="27"/>
              </w:numPr>
              <w:tabs>
                <w:tab w:pos="836" w:val="left" w:leader="none"/>
              </w:tabs>
              <w:spacing w:line="273" w:lineRule="auto" w:before="37" w:after="0"/>
              <w:ind w:left="837" w:right="200" w:hanging="631"/>
              <w:jc w:val="left"/>
              <w:rPr>
                <w:sz w:val="21"/>
              </w:rPr>
            </w:pPr>
            <w:r>
              <w:rPr>
                <w:spacing w:val="-5"/>
                <w:sz w:val="21"/>
              </w:rPr>
              <w:t>持学习驾驶证学习驾车时，无教练员随车指导，或不按指定时间、</w:t>
            </w:r>
            <w:r>
              <w:rPr>
                <w:spacing w:val="-4"/>
                <w:sz w:val="21"/>
              </w:rPr>
              <w:t>路线学习驾车。</w:t>
            </w:r>
          </w:p>
        </w:tc>
      </w:tr>
      <w:tr>
        <w:trPr>
          <w:trHeight w:val="936" w:hRule="atLeast"/>
        </w:trPr>
        <w:tc>
          <w:tcPr>
            <w:tcW w:w="831" w:type="dxa"/>
          </w:tcPr>
          <w:p>
            <w:pPr>
              <w:pStyle w:val="TableParagraph"/>
              <w:spacing w:before="142"/>
              <w:ind w:left="200"/>
              <w:rPr>
                <w:b/>
                <w:sz w:val="21"/>
              </w:rPr>
            </w:pPr>
            <w:r>
              <w:rPr>
                <w:b/>
                <w:sz w:val="21"/>
              </w:rPr>
              <w:t>8.9</w:t>
            </w:r>
          </w:p>
        </w:tc>
        <w:tc>
          <w:tcPr>
            <w:tcW w:w="1683" w:type="dxa"/>
          </w:tcPr>
          <w:p>
            <w:pPr>
              <w:pStyle w:val="TableParagraph"/>
              <w:spacing w:before="142"/>
              <w:ind w:left="208"/>
              <w:rPr>
                <w:b/>
                <w:sz w:val="21"/>
              </w:rPr>
            </w:pPr>
            <w:r>
              <w:rPr>
                <w:b/>
                <w:sz w:val="21"/>
              </w:rPr>
              <w:t>机动车</w:t>
            </w:r>
          </w:p>
        </w:tc>
        <w:tc>
          <w:tcPr>
            <w:tcW w:w="7123" w:type="dxa"/>
          </w:tcPr>
          <w:p>
            <w:pPr>
              <w:pStyle w:val="TableParagraph"/>
              <w:spacing w:line="273" w:lineRule="auto" w:before="142"/>
              <w:ind w:left="206" w:right="306"/>
              <w:rPr>
                <w:sz w:val="21"/>
              </w:rPr>
            </w:pPr>
            <w:r>
              <w:rPr>
                <w:sz w:val="21"/>
              </w:rPr>
              <w:t>指以动力装置驱动或者牵引，上道路行驶的供人员乘用或者用于运送物品以及进行工程专项作业的轮式车辆，以交通管理部门认定为准。</w:t>
            </w:r>
          </w:p>
        </w:tc>
      </w:tr>
      <w:tr>
        <w:trPr>
          <w:trHeight w:val="1248" w:hRule="atLeast"/>
        </w:trPr>
        <w:tc>
          <w:tcPr>
            <w:tcW w:w="831" w:type="dxa"/>
          </w:tcPr>
          <w:p>
            <w:pPr>
              <w:pStyle w:val="TableParagraph"/>
              <w:spacing w:before="142"/>
              <w:ind w:left="200"/>
              <w:rPr>
                <w:b/>
                <w:sz w:val="21"/>
              </w:rPr>
            </w:pPr>
            <w:r>
              <w:rPr>
                <w:b/>
                <w:sz w:val="21"/>
              </w:rPr>
              <w:t>8.10</w:t>
            </w:r>
          </w:p>
        </w:tc>
        <w:tc>
          <w:tcPr>
            <w:tcW w:w="1683" w:type="dxa"/>
          </w:tcPr>
          <w:p>
            <w:pPr>
              <w:pStyle w:val="TableParagraph"/>
              <w:spacing w:before="142"/>
              <w:ind w:left="208"/>
              <w:rPr>
                <w:b/>
                <w:sz w:val="21"/>
              </w:rPr>
            </w:pPr>
            <w:r>
              <w:rPr>
                <w:b/>
                <w:sz w:val="21"/>
              </w:rPr>
              <w:t>无有效行驶证</w:t>
            </w:r>
          </w:p>
        </w:tc>
        <w:tc>
          <w:tcPr>
            <w:tcW w:w="7123" w:type="dxa"/>
          </w:tcPr>
          <w:p>
            <w:pPr>
              <w:pStyle w:val="TableParagraph"/>
              <w:spacing w:before="142"/>
              <w:ind w:left="206"/>
              <w:rPr>
                <w:sz w:val="21"/>
              </w:rPr>
            </w:pPr>
            <w:r>
              <w:rPr>
                <w:sz w:val="21"/>
              </w:rPr>
              <w:t>指下列情形之一：</w:t>
            </w:r>
          </w:p>
          <w:p>
            <w:pPr>
              <w:pStyle w:val="TableParagraph"/>
              <w:numPr>
                <w:ilvl w:val="0"/>
                <w:numId w:val="28"/>
              </w:numPr>
              <w:tabs>
                <w:tab w:pos="838" w:val="left" w:leader="none"/>
              </w:tabs>
              <w:spacing w:line="240" w:lineRule="auto" w:before="36" w:after="0"/>
              <w:ind w:left="837" w:right="0" w:hanging="631"/>
              <w:jc w:val="left"/>
              <w:rPr>
                <w:sz w:val="21"/>
              </w:rPr>
            </w:pPr>
            <w:r>
              <w:rPr>
                <w:spacing w:val="-3"/>
                <w:sz w:val="21"/>
              </w:rPr>
              <w:t>机动车被依法注销登记的；</w:t>
            </w:r>
          </w:p>
          <w:p>
            <w:pPr>
              <w:pStyle w:val="TableParagraph"/>
              <w:numPr>
                <w:ilvl w:val="0"/>
                <w:numId w:val="28"/>
              </w:numPr>
              <w:tabs>
                <w:tab w:pos="838" w:val="left" w:leader="none"/>
              </w:tabs>
              <w:spacing w:line="240" w:lineRule="auto" w:before="36" w:after="0"/>
              <w:ind w:left="837" w:right="0" w:hanging="631"/>
              <w:jc w:val="left"/>
              <w:rPr>
                <w:sz w:val="21"/>
              </w:rPr>
            </w:pPr>
            <w:r>
              <w:rPr>
                <w:spacing w:val="-3"/>
                <w:sz w:val="21"/>
              </w:rPr>
              <w:t>未依法按时进行或通过机动车安全技术检验。</w:t>
            </w:r>
          </w:p>
        </w:tc>
      </w:tr>
      <w:tr>
        <w:trPr>
          <w:trHeight w:val="729" w:hRule="atLeast"/>
        </w:trPr>
        <w:tc>
          <w:tcPr>
            <w:tcW w:w="831" w:type="dxa"/>
          </w:tcPr>
          <w:p>
            <w:pPr>
              <w:pStyle w:val="TableParagraph"/>
              <w:spacing w:before="143"/>
              <w:ind w:left="200"/>
              <w:rPr>
                <w:b/>
                <w:sz w:val="21"/>
              </w:rPr>
            </w:pPr>
            <w:r>
              <w:rPr>
                <w:b/>
                <w:sz w:val="21"/>
              </w:rPr>
              <w:t>8.11</w:t>
            </w:r>
          </w:p>
        </w:tc>
        <w:tc>
          <w:tcPr>
            <w:tcW w:w="1683" w:type="dxa"/>
          </w:tcPr>
          <w:p>
            <w:pPr>
              <w:pStyle w:val="TableParagraph"/>
              <w:spacing w:line="310" w:lineRule="atLeast" w:before="107"/>
              <w:ind w:left="208" w:right="204"/>
              <w:rPr>
                <w:b/>
                <w:sz w:val="21"/>
              </w:rPr>
            </w:pPr>
            <w:r>
              <w:rPr>
                <w:b/>
                <w:sz w:val="21"/>
              </w:rPr>
              <w:t>感染艾滋病病毒或患艾滋病</w:t>
            </w:r>
          </w:p>
        </w:tc>
        <w:tc>
          <w:tcPr>
            <w:tcW w:w="7123" w:type="dxa"/>
          </w:tcPr>
          <w:p>
            <w:pPr>
              <w:pStyle w:val="TableParagraph"/>
              <w:spacing w:line="310" w:lineRule="atLeast" w:before="107"/>
              <w:ind w:left="206" w:right="301"/>
              <w:rPr>
                <w:sz w:val="21"/>
              </w:rPr>
            </w:pPr>
            <w:r>
              <w:rPr>
                <w:spacing w:val="-6"/>
                <w:sz w:val="21"/>
              </w:rPr>
              <w:t>艾滋病病毒指人类免疫缺陷病毒，英文缩写为 </w:t>
            </w:r>
            <w:r>
              <w:rPr>
                <w:sz w:val="21"/>
              </w:rPr>
              <w:t>HIV</w:t>
            </w:r>
            <w:r>
              <w:rPr>
                <w:spacing w:val="-7"/>
                <w:sz w:val="21"/>
              </w:rPr>
              <w:t>。艾滋病指人类免疫缺</w:t>
            </w:r>
            <w:r>
              <w:rPr>
                <w:spacing w:val="-6"/>
                <w:sz w:val="21"/>
              </w:rPr>
              <w:t>陷病毒引起的获得性免疫缺陷综合征，英文缩写为 </w:t>
            </w:r>
            <w:r>
              <w:rPr>
                <w:sz w:val="21"/>
              </w:rPr>
              <w:t>AIDS。</w:t>
            </w:r>
          </w:p>
        </w:tc>
      </w:tr>
    </w:tbl>
    <w:p>
      <w:pPr>
        <w:spacing w:after="0" w:line="310" w:lineRule="atLeast"/>
        <w:rPr>
          <w:sz w:val="21"/>
        </w:rPr>
        <w:sectPr>
          <w:pgSz w:w="11910" w:h="16840"/>
          <w:pgMar w:header="886" w:footer="992" w:top="1120" w:bottom="1180" w:left="1200" w:right="840"/>
        </w:sectPr>
      </w:pPr>
    </w:p>
    <w:p>
      <w:pPr>
        <w:pStyle w:val="BodyText"/>
        <w:rPr>
          <w:rFonts w:ascii="Times New Roman"/>
          <w:sz w:val="20"/>
        </w:rPr>
      </w:pPr>
    </w:p>
    <w:p>
      <w:pPr>
        <w:pStyle w:val="BodyText"/>
        <w:spacing w:before="9"/>
        <w:rPr>
          <w:rFonts w:ascii="Times New Roman"/>
          <w:sz w:val="16"/>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31"/>
        <w:gridCol w:w="1782"/>
        <w:gridCol w:w="7023"/>
      </w:tblGrid>
      <w:tr>
        <w:trPr>
          <w:trHeight w:val="1041" w:hRule="atLeast"/>
        </w:trPr>
        <w:tc>
          <w:tcPr>
            <w:tcW w:w="831" w:type="dxa"/>
          </w:tcPr>
          <w:p>
            <w:pPr>
              <w:pStyle w:val="TableParagraph"/>
              <w:rPr>
                <w:rFonts w:ascii="Times New Roman"/>
                <w:sz w:val="20"/>
              </w:rPr>
            </w:pPr>
          </w:p>
        </w:tc>
        <w:tc>
          <w:tcPr>
            <w:tcW w:w="1782" w:type="dxa"/>
          </w:tcPr>
          <w:p>
            <w:pPr>
              <w:pStyle w:val="TableParagraph"/>
              <w:rPr>
                <w:rFonts w:ascii="Times New Roman"/>
                <w:sz w:val="20"/>
              </w:rPr>
            </w:pPr>
          </w:p>
        </w:tc>
        <w:tc>
          <w:tcPr>
            <w:tcW w:w="7023" w:type="dxa"/>
          </w:tcPr>
          <w:p>
            <w:pPr>
              <w:pStyle w:val="TableParagraph"/>
              <w:spacing w:line="211" w:lineRule="exact"/>
              <w:ind w:left="107"/>
              <w:rPr>
                <w:sz w:val="21"/>
              </w:rPr>
            </w:pPr>
            <w:r>
              <w:rPr>
                <w:sz w:val="21"/>
              </w:rPr>
              <w:t>在人体血液或其它样本中检测到艾滋病病毒或其抗体呈阳性，没有出现</w:t>
            </w:r>
          </w:p>
          <w:p>
            <w:pPr>
              <w:pStyle w:val="TableParagraph"/>
              <w:spacing w:line="273" w:lineRule="auto" w:before="37"/>
              <w:ind w:left="107" w:right="305"/>
              <w:rPr>
                <w:sz w:val="21"/>
              </w:rPr>
            </w:pPr>
            <w:r>
              <w:rPr>
                <w:sz w:val="21"/>
              </w:rPr>
              <w:t>临床症状或体征的，为感染艾滋病病毒；如果同时出现了明显临床症状或体征的，为患艾滋病。</w:t>
            </w:r>
          </w:p>
        </w:tc>
      </w:tr>
      <w:tr>
        <w:trPr>
          <w:trHeight w:val="935" w:hRule="atLeast"/>
        </w:trPr>
        <w:tc>
          <w:tcPr>
            <w:tcW w:w="831" w:type="dxa"/>
          </w:tcPr>
          <w:p>
            <w:pPr>
              <w:pStyle w:val="TableParagraph"/>
              <w:spacing w:before="142"/>
              <w:ind w:left="180" w:right="186"/>
              <w:jc w:val="center"/>
              <w:rPr>
                <w:b/>
                <w:sz w:val="21"/>
              </w:rPr>
            </w:pPr>
            <w:r>
              <w:rPr>
                <w:b/>
                <w:sz w:val="21"/>
              </w:rPr>
              <w:t>8.12</w:t>
            </w:r>
          </w:p>
        </w:tc>
        <w:tc>
          <w:tcPr>
            <w:tcW w:w="1782" w:type="dxa"/>
          </w:tcPr>
          <w:p>
            <w:pPr>
              <w:pStyle w:val="TableParagraph"/>
              <w:spacing w:before="142"/>
              <w:ind w:left="208"/>
              <w:rPr>
                <w:b/>
                <w:sz w:val="21"/>
              </w:rPr>
            </w:pPr>
            <w:r>
              <w:rPr>
                <w:b/>
                <w:sz w:val="21"/>
              </w:rPr>
              <w:t>遗传性疾病</w:t>
            </w:r>
          </w:p>
        </w:tc>
        <w:tc>
          <w:tcPr>
            <w:tcW w:w="7023" w:type="dxa"/>
          </w:tcPr>
          <w:p>
            <w:pPr>
              <w:pStyle w:val="TableParagraph"/>
              <w:spacing w:line="273" w:lineRule="auto" w:before="142"/>
              <w:ind w:left="107" w:right="305"/>
              <w:rPr>
                <w:sz w:val="21"/>
              </w:rPr>
            </w:pPr>
            <w:r>
              <w:rPr>
                <w:sz w:val="21"/>
              </w:rPr>
              <w:t>指生殖细胞或受精卵的遗传物质（染色体和基因）发生突变或畸变所引起的疾病，通常具有由亲代传至后代的垂直传递的特征。</w:t>
            </w:r>
          </w:p>
        </w:tc>
      </w:tr>
      <w:tr>
        <w:trPr>
          <w:trHeight w:val="1248" w:hRule="atLeast"/>
        </w:trPr>
        <w:tc>
          <w:tcPr>
            <w:tcW w:w="831" w:type="dxa"/>
          </w:tcPr>
          <w:p>
            <w:pPr>
              <w:pStyle w:val="TableParagraph"/>
              <w:spacing w:before="142"/>
              <w:ind w:left="180" w:right="186"/>
              <w:jc w:val="center"/>
              <w:rPr>
                <w:b/>
                <w:sz w:val="21"/>
              </w:rPr>
            </w:pPr>
            <w:r>
              <w:rPr>
                <w:b/>
                <w:sz w:val="21"/>
              </w:rPr>
              <w:t>8.13</w:t>
            </w:r>
          </w:p>
        </w:tc>
        <w:tc>
          <w:tcPr>
            <w:tcW w:w="1782" w:type="dxa"/>
          </w:tcPr>
          <w:p>
            <w:pPr>
              <w:pStyle w:val="TableParagraph"/>
              <w:spacing w:line="273" w:lineRule="auto" w:before="142"/>
              <w:ind w:left="208" w:right="61"/>
              <w:rPr>
                <w:b/>
                <w:sz w:val="21"/>
              </w:rPr>
            </w:pPr>
            <w:r>
              <w:rPr>
                <w:b/>
                <w:sz w:val="21"/>
              </w:rPr>
              <w:t>先天性畸形、变形或染色体异常</w:t>
            </w:r>
          </w:p>
        </w:tc>
        <w:tc>
          <w:tcPr>
            <w:tcW w:w="7023" w:type="dxa"/>
          </w:tcPr>
          <w:p>
            <w:pPr>
              <w:pStyle w:val="TableParagraph"/>
              <w:spacing w:line="273" w:lineRule="auto" w:before="142"/>
              <w:ind w:left="107" w:right="305"/>
              <w:jc w:val="both"/>
              <w:rPr>
                <w:sz w:val="21"/>
              </w:rPr>
            </w:pPr>
            <w:r>
              <w:rPr>
                <w:sz w:val="21"/>
              </w:rPr>
              <w:t>指被保险人出生时就具有的畸形、变形或染色体异常。先天性畸形、变形和染色体异常依照世界卫生组织《疾病和有关健康问题的国际统计分</w:t>
            </w:r>
            <w:r>
              <w:rPr>
                <w:spacing w:val="-54"/>
                <w:sz w:val="21"/>
              </w:rPr>
              <w:t>类》</w:t>
            </w:r>
            <w:r>
              <w:rPr>
                <w:spacing w:val="-1"/>
                <w:sz w:val="21"/>
              </w:rPr>
              <w:t>（ICD-10）</w:t>
            </w:r>
            <w:r>
              <w:rPr>
                <w:spacing w:val="-2"/>
                <w:sz w:val="21"/>
              </w:rPr>
              <w:t>确定。</w:t>
            </w:r>
          </w:p>
        </w:tc>
      </w:tr>
      <w:tr>
        <w:trPr>
          <w:trHeight w:val="936" w:hRule="atLeast"/>
        </w:trPr>
        <w:tc>
          <w:tcPr>
            <w:tcW w:w="831" w:type="dxa"/>
          </w:tcPr>
          <w:p>
            <w:pPr>
              <w:pStyle w:val="TableParagraph"/>
              <w:spacing w:before="143"/>
              <w:ind w:left="180" w:right="186"/>
              <w:jc w:val="center"/>
              <w:rPr>
                <w:b/>
                <w:sz w:val="21"/>
              </w:rPr>
            </w:pPr>
            <w:r>
              <w:rPr>
                <w:b/>
                <w:sz w:val="21"/>
              </w:rPr>
              <w:t>8.14</w:t>
            </w:r>
          </w:p>
        </w:tc>
        <w:tc>
          <w:tcPr>
            <w:tcW w:w="1782" w:type="dxa"/>
          </w:tcPr>
          <w:p>
            <w:pPr>
              <w:pStyle w:val="TableParagraph"/>
              <w:spacing w:before="143"/>
              <w:ind w:left="208"/>
              <w:rPr>
                <w:b/>
                <w:sz w:val="21"/>
              </w:rPr>
            </w:pPr>
            <w:r>
              <w:rPr>
                <w:b/>
                <w:sz w:val="21"/>
              </w:rPr>
              <w:t>现金价值</w:t>
            </w:r>
          </w:p>
        </w:tc>
        <w:tc>
          <w:tcPr>
            <w:tcW w:w="7023" w:type="dxa"/>
          </w:tcPr>
          <w:p>
            <w:pPr>
              <w:pStyle w:val="TableParagraph"/>
              <w:spacing w:line="273" w:lineRule="auto" w:before="143"/>
              <w:ind w:left="109" w:right="170"/>
              <w:rPr>
                <w:sz w:val="21"/>
              </w:rPr>
            </w:pPr>
            <w:r>
              <w:rPr>
                <w:sz w:val="21"/>
              </w:rPr>
              <w:t>指保险单所具有的价值，通常体现为解除合同时，根据精算原理计算的， 由本公司退还的那部分金额。</w:t>
            </w:r>
          </w:p>
        </w:tc>
      </w:tr>
      <w:tr>
        <w:trPr>
          <w:trHeight w:val="936" w:hRule="atLeast"/>
        </w:trPr>
        <w:tc>
          <w:tcPr>
            <w:tcW w:w="831" w:type="dxa"/>
          </w:tcPr>
          <w:p>
            <w:pPr>
              <w:pStyle w:val="TableParagraph"/>
              <w:spacing w:before="142"/>
              <w:ind w:left="180" w:right="186"/>
              <w:jc w:val="center"/>
              <w:rPr>
                <w:b/>
                <w:sz w:val="21"/>
              </w:rPr>
            </w:pPr>
            <w:r>
              <w:rPr>
                <w:b/>
                <w:sz w:val="21"/>
              </w:rPr>
              <w:t>8.15</w:t>
            </w:r>
          </w:p>
        </w:tc>
        <w:tc>
          <w:tcPr>
            <w:tcW w:w="1782" w:type="dxa"/>
          </w:tcPr>
          <w:p>
            <w:pPr>
              <w:pStyle w:val="TableParagraph"/>
              <w:spacing w:before="142"/>
              <w:ind w:left="208"/>
              <w:rPr>
                <w:b/>
                <w:sz w:val="21"/>
              </w:rPr>
            </w:pPr>
            <w:r>
              <w:rPr>
                <w:b/>
                <w:sz w:val="21"/>
              </w:rPr>
              <w:t>医院</w:t>
            </w:r>
          </w:p>
        </w:tc>
        <w:tc>
          <w:tcPr>
            <w:tcW w:w="7023" w:type="dxa"/>
          </w:tcPr>
          <w:p>
            <w:pPr>
              <w:pStyle w:val="TableParagraph"/>
              <w:spacing w:line="273" w:lineRule="auto" w:before="142"/>
              <w:ind w:left="107" w:right="305"/>
              <w:rPr>
                <w:sz w:val="21"/>
              </w:rPr>
            </w:pPr>
            <w:r>
              <w:rPr>
                <w:sz w:val="21"/>
              </w:rPr>
              <w:t>指我们指定的定点医院，我们保留变更定点医院的权利。定点医院发生变更时，我们会书面通知您。</w:t>
            </w:r>
          </w:p>
        </w:tc>
      </w:tr>
      <w:tr>
        <w:trPr>
          <w:trHeight w:val="935" w:hRule="atLeast"/>
        </w:trPr>
        <w:tc>
          <w:tcPr>
            <w:tcW w:w="831" w:type="dxa"/>
          </w:tcPr>
          <w:p>
            <w:pPr>
              <w:pStyle w:val="TableParagraph"/>
              <w:spacing w:before="142"/>
              <w:ind w:left="180" w:right="186"/>
              <w:jc w:val="center"/>
              <w:rPr>
                <w:b/>
                <w:sz w:val="21"/>
              </w:rPr>
            </w:pPr>
            <w:r>
              <w:rPr>
                <w:b/>
                <w:sz w:val="21"/>
              </w:rPr>
              <w:t>8.16</w:t>
            </w:r>
          </w:p>
        </w:tc>
        <w:tc>
          <w:tcPr>
            <w:tcW w:w="1782" w:type="dxa"/>
          </w:tcPr>
          <w:p>
            <w:pPr>
              <w:pStyle w:val="TableParagraph"/>
              <w:spacing w:line="273" w:lineRule="auto" w:before="142"/>
              <w:ind w:left="208" w:right="303"/>
              <w:rPr>
                <w:b/>
                <w:sz w:val="21"/>
              </w:rPr>
            </w:pPr>
            <w:r>
              <w:rPr>
                <w:b/>
                <w:sz w:val="21"/>
              </w:rPr>
              <w:t>肢体机能完全丧失</w:t>
            </w:r>
          </w:p>
        </w:tc>
        <w:tc>
          <w:tcPr>
            <w:tcW w:w="7023" w:type="dxa"/>
          </w:tcPr>
          <w:p>
            <w:pPr>
              <w:pStyle w:val="TableParagraph"/>
              <w:spacing w:line="273" w:lineRule="auto" w:before="142"/>
              <w:ind w:left="107" w:right="305"/>
              <w:rPr>
                <w:sz w:val="21"/>
              </w:rPr>
            </w:pPr>
            <w:r>
              <w:rPr>
                <w:sz w:val="21"/>
              </w:rPr>
              <w:t>指肢体的三大关节中的两大关节僵硬，或不能随意识活动。肢体是指包括肩关节的整个上肢或包括髋关节的整个下肢。</w:t>
            </w:r>
          </w:p>
        </w:tc>
      </w:tr>
      <w:tr>
        <w:trPr>
          <w:trHeight w:val="1872" w:hRule="atLeast"/>
        </w:trPr>
        <w:tc>
          <w:tcPr>
            <w:tcW w:w="831" w:type="dxa"/>
          </w:tcPr>
          <w:p>
            <w:pPr>
              <w:pStyle w:val="TableParagraph"/>
              <w:spacing w:before="142"/>
              <w:ind w:left="180" w:right="186"/>
              <w:jc w:val="center"/>
              <w:rPr>
                <w:b/>
                <w:sz w:val="21"/>
              </w:rPr>
            </w:pPr>
            <w:r>
              <w:rPr>
                <w:b/>
                <w:sz w:val="21"/>
              </w:rPr>
              <w:t>8.17</w:t>
            </w:r>
          </w:p>
        </w:tc>
        <w:tc>
          <w:tcPr>
            <w:tcW w:w="1782" w:type="dxa"/>
          </w:tcPr>
          <w:p>
            <w:pPr>
              <w:pStyle w:val="TableParagraph"/>
              <w:spacing w:line="273" w:lineRule="auto" w:before="142"/>
              <w:ind w:left="208" w:right="303"/>
              <w:jc w:val="both"/>
              <w:rPr>
                <w:b/>
                <w:sz w:val="21"/>
              </w:rPr>
            </w:pPr>
            <w:r>
              <w:rPr>
                <w:b/>
                <w:sz w:val="21"/>
              </w:rPr>
              <w:t>语言能力或咀嚼吞咽能力完全丧失</w:t>
            </w:r>
          </w:p>
        </w:tc>
        <w:tc>
          <w:tcPr>
            <w:tcW w:w="7023" w:type="dxa"/>
          </w:tcPr>
          <w:p>
            <w:pPr>
              <w:pStyle w:val="TableParagraph"/>
              <w:spacing w:line="273" w:lineRule="auto" w:before="142"/>
              <w:ind w:left="107" w:right="305"/>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273" w:lineRule="auto" w:before="7"/>
              <w:ind w:left="107" w:right="156"/>
              <w:rPr>
                <w:sz w:val="21"/>
              </w:rPr>
            </w:pPr>
            <w:r>
              <w:rPr>
                <w:sz w:val="21"/>
              </w:rPr>
              <w:t>咀嚼吞咽能力完全丧失，指因牙齿以外的原因导致器质障碍或机能障碍， 以致不能作咀嚼吞咽运动，除流质食物外不能摄取或吞咽的状态。</w:t>
            </w:r>
          </w:p>
        </w:tc>
      </w:tr>
      <w:tr>
        <w:trPr>
          <w:trHeight w:val="2496" w:hRule="atLeast"/>
        </w:trPr>
        <w:tc>
          <w:tcPr>
            <w:tcW w:w="831" w:type="dxa"/>
          </w:tcPr>
          <w:p>
            <w:pPr>
              <w:pStyle w:val="TableParagraph"/>
              <w:spacing w:before="142"/>
              <w:ind w:left="180" w:right="186"/>
              <w:jc w:val="center"/>
              <w:rPr>
                <w:b/>
                <w:sz w:val="21"/>
              </w:rPr>
            </w:pPr>
            <w:r>
              <w:rPr>
                <w:b/>
                <w:sz w:val="21"/>
              </w:rPr>
              <w:t>8.18</w:t>
            </w:r>
          </w:p>
        </w:tc>
        <w:tc>
          <w:tcPr>
            <w:tcW w:w="1782" w:type="dxa"/>
          </w:tcPr>
          <w:p>
            <w:pPr>
              <w:pStyle w:val="TableParagraph"/>
              <w:spacing w:line="273" w:lineRule="auto" w:before="142"/>
              <w:ind w:left="208" w:right="303"/>
              <w:rPr>
                <w:b/>
                <w:sz w:val="21"/>
              </w:rPr>
            </w:pPr>
            <w:r>
              <w:rPr>
                <w:b/>
                <w:sz w:val="21"/>
              </w:rPr>
              <w:t>六项基本日常生活活动</w:t>
            </w:r>
          </w:p>
        </w:tc>
        <w:tc>
          <w:tcPr>
            <w:tcW w:w="7023" w:type="dxa"/>
          </w:tcPr>
          <w:p>
            <w:pPr>
              <w:pStyle w:val="TableParagraph"/>
              <w:spacing w:before="142"/>
              <w:ind w:left="107"/>
              <w:rPr>
                <w:sz w:val="21"/>
              </w:rPr>
            </w:pPr>
            <w:r>
              <w:rPr>
                <w:sz w:val="21"/>
              </w:rPr>
              <w:t>六项基本日常生活活动是指：</w:t>
            </w:r>
          </w:p>
          <w:p>
            <w:pPr>
              <w:pStyle w:val="TableParagraph"/>
              <w:numPr>
                <w:ilvl w:val="0"/>
                <w:numId w:val="29"/>
              </w:numPr>
              <w:tabs>
                <w:tab w:pos="739" w:val="left" w:leader="none"/>
              </w:tabs>
              <w:spacing w:line="240" w:lineRule="auto" w:before="36" w:after="0"/>
              <w:ind w:left="738" w:right="0" w:hanging="631"/>
              <w:jc w:val="left"/>
              <w:rPr>
                <w:sz w:val="21"/>
              </w:rPr>
            </w:pPr>
            <w:r>
              <w:rPr>
                <w:spacing w:val="-3"/>
                <w:sz w:val="21"/>
              </w:rPr>
              <w:t>穿衣：自己能够穿衣及脱衣；</w:t>
            </w:r>
          </w:p>
          <w:p>
            <w:pPr>
              <w:pStyle w:val="TableParagraph"/>
              <w:numPr>
                <w:ilvl w:val="0"/>
                <w:numId w:val="29"/>
              </w:numPr>
              <w:tabs>
                <w:tab w:pos="739" w:val="left" w:leader="none"/>
              </w:tabs>
              <w:spacing w:line="240" w:lineRule="auto" w:before="36" w:after="0"/>
              <w:ind w:left="738" w:right="0" w:hanging="631"/>
              <w:jc w:val="left"/>
              <w:rPr>
                <w:sz w:val="21"/>
              </w:rPr>
            </w:pPr>
            <w:r>
              <w:rPr>
                <w:spacing w:val="-3"/>
                <w:sz w:val="21"/>
              </w:rPr>
              <w:t>移动：自己从一个房间到另一个房间；</w:t>
            </w:r>
          </w:p>
          <w:p>
            <w:pPr>
              <w:pStyle w:val="TableParagraph"/>
              <w:numPr>
                <w:ilvl w:val="0"/>
                <w:numId w:val="29"/>
              </w:numPr>
              <w:tabs>
                <w:tab w:pos="739" w:val="left" w:leader="none"/>
              </w:tabs>
              <w:spacing w:line="240" w:lineRule="auto" w:before="36" w:after="0"/>
              <w:ind w:left="738" w:right="0" w:hanging="631"/>
              <w:jc w:val="left"/>
              <w:rPr>
                <w:sz w:val="21"/>
              </w:rPr>
            </w:pPr>
            <w:r>
              <w:rPr>
                <w:spacing w:val="-3"/>
                <w:sz w:val="21"/>
              </w:rPr>
              <w:t>行动：自己上下床或上下轮椅；</w:t>
            </w:r>
          </w:p>
          <w:p>
            <w:pPr>
              <w:pStyle w:val="TableParagraph"/>
              <w:numPr>
                <w:ilvl w:val="0"/>
                <w:numId w:val="29"/>
              </w:numPr>
              <w:tabs>
                <w:tab w:pos="739" w:val="left" w:leader="none"/>
              </w:tabs>
              <w:spacing w:line="240" w:lineRule="auto" w:before="36" w:after="0"/>
              <w:ind w:left="738" w:right="0" w:hanging="631"/>
              <w:jc w:val="left"/>
              <w:rPr>
                <w:sz w:val="21"/>
              </w:rPr>
            </w:pPr>
            <w:r>
              <w:rPr>
                <w:spacing w:val="-3"/>
                <w:sz w:val="21"/>
              </w:rPr>
              <w:t>如厕：自己控制进行大小便；</w:t>
            </w:r>
          </w:p>
          <w:p>
            <w:pPr>
              <w:pStyle w:val="TableParagraph"/>
              <w:numPr>
                <w:ilvl w:val="0"/>
                <w:numId w:val="29"/>
              </w:numPr>
              <w:tabs>
                <w:tab w:pos="739" w:val="left" w:leader="none"/>
              </w:tabs>
              <w:spacing w:line="240" w:lineRule="auto" w:before="36" w:after="0"/>
              <w:ind w:left="738" w:right="0" w:hanging="631"/>
              <w:jc w:val="left"/>
              <w:rPr>
                <w:sz w:val="21"/>
              </w:rPr>
            </w:pPr>
            <w:r>
              <w:rPr>
                <w:spacing w:val="-3"/>
                <w:sz w:val="21"/>
              </w:rPr>
              <w:t>进食：自己从已准备好的碗或碟中取食物放入口中；</w:t>
            </w:r>
          </w:p>
          <w:p>
            <w:pPr>
              <w:pStyle w:val="TableParagraph"/>
              <w:numPr>
                <w:ilvl w:val="0"/>
                <w:numId w:val="29"/>
              </w:numPr>
              <w:tabs>
                <w:tab w:pos="739" w:val="left" w:leader="none"/>
              </w:tabs>
              <w:spacing w:line="240" w:lineRule="auto" w:before="37" w:after="0"/>
              <w:ind w:left="738" w:right="0" w:hanging="631"/>
              <w:jc w:val="left"/>
              <w:rPr>
                <w:sz w:val="21"/>
              </w:rPr>
            </w:pPr>
            <w:r>
              <w:rPr>
                <w:spacing w:val="-3"/>
                <w:sz w:val="21"/>
              </w:rPr>
              <w:t>洗澡：自己进行淋浴或盆浴。</w:t>
            </w:r>
          </w:p>
        </w:tc>
      </w:tr>
      <w:tr>
        <w:trPr>
          <w:trHeight w:val="729" w:hRule="atLeast"/>
        </w:trPr>
        <w:tc>
          <w:tcPr>
            <w:tcW w:w="831" w:type="dxa"/>
          </w:tcPr>
          <w:p>
            <w:pPr>
              <w:pStyle w:val="TableParagraph"/>
              <w:spacing w:before="142"/>
              <w:ind w:left="180" w:right="186"/>
              <w:jc w:val="center"/>
              <w:rPr>
                <w:b/>
                <w:sz w:val="21"/>
              </w:rPr>
            </w:pPr>
            <w:r>
              <w:rPr>
                <w:b/>
                <w:sz w:val="21"/>
              </w:rPr>
              <w:t>8.19</w:t>
            </w:r>
          </w:p>
        </w:tc>
        <w:tc>
          <w:tcPr>
            <w:tcW w:w="1782" w:type="dxa"/>
          </w:tcPr>
          <w:p>
            <w:pPr>
              <w:pStyle w:val="TableParagraph"/>
              <w:spacing w:before="142"/>
              <w:ind w:left="208"/>
              <w:rPr>
                <w:b/>
                <w:sz w:val="21"/>
              </w:rPr>
            </w:pPr>
            <w:r>
              <w:rPr>
                <w:b/>
                <w:sz w:val="21"/>
              </w:rPr>
              <w:t>永久不可逆</w:t>
            </w:r>
          </w:p>
        </w:tc>
        <w:tc>
          <w:tcPr>
            <w:tcW w:w="7023" w:type="dxa"/>
          </w:tcPr>
          <w:p>
            <w:pPr>
              <w:pStyle w:val="TableParagraph"/>
              <w:spacing w:line="310" w:lineRule="atLeast" w:before="107"/>
              <w:ind w:left="107" w:right="300"/>
              <w:rPr>
                <w:sz w:val="21"/>
              </w:rPr>
            </w:pPr>
            <w:r>
              <w:rPr>
                <w:sz w:val="21"/>
              </w:rPr>
              <w:t>指自疾病确诊或意外伤害发生之日起，经过积极治疗 180 天后，仍无法通过现有医疗手段恢复。</w:t>
            </w:r>
          </w:p>
        </w:tc>
      </w:tr>
    </w:tbl>
    <w:sectPr>
      <w:pgSz w:w="11910" w:h="16840"/>
      <w:pgMar w:header="886" w:footer="992" w:top="1120" w:bottom="1180" w:left="1200" w:right="8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Microsoft JhengHei">
    <w:altName w:val="Microsoft JhengHei"/>
    <w:charset w:val="0"/>
    <w:family w:val="swiss"/>
    <w:pitch w:val="variable"/>
  </w:font>
  <w:font w:name="宋体">
    <w:altName w:val="宋体"/>
    <w:charset w:val="86"/>
    <w:family w:val="auto"/>
    <w:pitch w:val="variable"/>
  </w:font>
  <w:font w:name="微软雅黑">
    <w:altName w:val="微软雅黑"/>
    <w:charset w:val="86"/>
    <w:family w:val="swiss"/>
    <w:pitch w:val="variable"/>
  </w:font>
  <w:font w:name="Wingdings">
    <w:altName w:val="Wingdings"/>
    <w:charset w:val="2"/>
    <w:family w:val="auto"/>
    <w:pitch w:val="variable"/>
  </w:font>
  <w:font w:name="黑体">
    <w:altName w:val="黑体"/>
    <w:charset w:val="86"/>
    <w:family w:val="modern"/>
    <w:pitch w:val="fixed"/>
  </w:font>
  <w:font w:name="MingLiU_HKSCS-ExtB">
    <w:altName w:val="MingLiU_HKSCS-ExtB"/>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4.850006pt;margin-top:781.299988pt;width:17.150pt;height:12pt;mso-position-horizontal-relative:page;mso-position-vertical-relative:page;z-index:-48688"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w:t>
                </w:r>
                <w:r>
                  <w:rPr/>
                  <w:fldChar w:fldCharType="end"/>
                </w:r>
                <w:r>
                  <w:rPr>
                    <w:rFonts w:ascii="Times New Roman"/>
                    <w:sz w:val="18"/>
                  </w:rPr>
                  <w:t> -</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570007pt;margin-top:781.299988pt;width:21.6pt;height:12pt;mso-position-horizontal-relative:page;mso-position-vertical-relative:page;z-index:-48640" type="#_x0000_t202" filled="false" stroked="false">
          <v:textbox inset="0,0,0,0">
            <w:txbxContent>
              <w:p>
                <w:pPr>
                  <w:spacing w:before="12"/>
                  <w:ind w:left="20" w:right="0" w:firstLine="0"/>
                  <w:jc w:val="left"/>
                  <w:rPr>
                    <w:rFonts w:ascii="Times New Roman"/>
                    <w:sz w:val="18"/>
                  </w:rPr>
                </w:pPr>
                <w:r>
                  <w:rPr>
                    <w:rFonts w:ascii="Times New Roman"/>
                    <w:sz w:val="18"/>
                  </w:rPr>
                  <w:t>- </w:t>
                </w:r>
                <w:r>
                  <w:rPr/>
                  <w:fldChar w:fldCharType="begin"/>
                </w:r>
                <w:r>
                  <w:rPr>
                    <w:rFonts w:ascii="Times New Roman"/>
                    <w:sz w:val="18"/>
                  </w:rPr>
                  <w:instrText> PAGE </w:instrText>
                </w:r>
                <w:r>
                  <w:rPr/>
                  <w:fldChar w:fldCharType="separate"/>
                </w:r>
                <w:r>
                  <w:rPr/>
                  <w:t>10</w:t>
                </w:r>
                <w:r>
                  <w:rPr/>
                  <w:fldChar w:fldCharType="end"/>
                </w:r>
                <w:r>
                  <w:rPr>
                    <w:rFonts w:ascii="Times New Roman"/>
                    <w:sz w:val="18"/>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64.183998pt;margin-top:43.287483pt;width:47pt;height:14pt;mso-position-horizontal-relative:page;mso-position-vertical-relative:page;z-index:-48664" type="#_x0000_t202" filled="false" stroked="false">
          <v:textbox inset="0,0,0,0">
            <w:txbxContent>
              <w:p>
                <w:pPr>
                  <w:spacing w:line="260" w:lineRule="exact" w:before="0"/>
                  <w:ind w:left="20" w:right="0" w:firstLine="0"/>
                  <w:jc w:val="left"/>
                  <w:rPr>
                    <w:rFonts w:ascii="黑体" w:eastAsia="黑体" w:hint="eastAsia"/>
                    <w:sz w:val="24"/>
                  </w:rPr>
                </w:pPr>
                <w:r>
                  <w:rPr>
                    <w:rFonts w:ascii="黑体" w:eastAsia="黑体" w:hint="eastAsia"/>
                    <w:spacing w:val="-21"/>
                    <w:sz w:val="24"/>
                  </w:rPr>
                  <w:t>附件 </w:t>
                </w:r>
                <w:r>
                  <w:rPr>
                    <w:rFonts w:ascii="黑体" w:eastAsia="黑体" w:hint="eastAsia"/>
                    <w:sz w:val="24"/>
                  </w:rPr>
                  <w:t>4-4</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8">
    <w:multiLevelType w:val="hybridMultilevel"/>
    <w:lvl w:ilvl="0">
      <w:start w:val="1"/>
      <w:numFmt w:val="decimal"/>
      <w:lvlText w:val="（%1）"/>
      <w:lvlJc w:val="left"/>
      <w:pPr>
        <w:ind w:left="738" w:hanging="632"/>
        <w:jc w:val="left"/>
      </w:pPr>
      <w:rPr>
        <w:rFonts w:hint="default" w:ascii="宋体" w:hAnsi="宋体" w:eastAsia="宋体" w:cs="宋体"/>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4"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509" w:hanging="632"/>
      </w:pPr>
      <w:rPr>
        <w:rFonts w:hint="default"/>
      </w:rPr>
    </w:lvl>
    <w:lvl w:ilvl="7">
      <w:start w:val="0"/>
      <w:numFmt w:val="bullet"/>
      <w:lvlText w:val="•"/>
      <w:lvlJc w:val="left"/>
      <w:pPr>
        <w:ind w:left="5138" w:hanging="632"/>
      </w:pPr>
      <w:rPr>
        <w:rFonts w:hint="default"/>
      </w:rPr>
    </w:lvl>
    <w:lvl w:ilvl="8">
      <w:start w:val="0"/>
      <w:numFmt w:val="bullet"/>
      <w:lvlText w:val="•"/>
      <w:lvlJc w:val="left"/>
      <w:pPr>
        <w:ind w:left="5766" w:hanging="632"/>
      </w:pPr>
      <w:rPr>
        <w:rFonts w:hint="default"/>
      </w:rPr>
    </w:lvl>
  </w:abstractNum>
  <w:abstractNum w:abstractNumId="27">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26">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25">
    <w:multiLevelType w:val="hybridMultilevel"/>
    <w:lvl w:ilvl="0">
      <w:start w:val="1"/>
      <w:numFmt w:val="decimal"/>
      <w:lvlText w:val="（%1）"/>
      <w:lvlJc w:val="left"/>
      <w:pPr>
        <w:ind w:left="842"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4"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1" w:hanging="632"/>
      </w:pPr>
      <w:rPr>
        <w:rFonts w:hint="default"/>
      </w:rPr>
    </w:lvl>
    <w:lvl w:ilvl="6">
      <w:start w:val="0"/>
      <w:numFmt w:val="bullet"/>
      <w:lvlText w:val="•"/>
      <w:lvlJc w:val="left"/>
      <w:pPr>
        <w:ind w:left="4609"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6" w:hanging="632"/>
      </w:pPr>
      <w:rPr>
        <w:rFonts w:hint="default"/>
      </w:rPr>
    </w:lvl>
  </w:abstractNum>
  <w:abstractNum w:abstractNumId="24">
    <w:multiLevelType w:val="hybridMultilevel"/>
    <w:lvl w:ilvl="0">
      <w:start w:val="1"/>
      <w:numFmt w:val="decimal"/>
      <w:lvlText w:val="(%1)"/>
      <w:lvlJc w:val="left"/>
      <w:pPr>
        <w:ind w:left="567" w:hanging="423"/>
        <w:jc w:val="left"/>
      </w:pPr>
      <w:rPr>
        <w:rFonts w:hint="default" w:ascii="宋体" w:hAnsi="宋体" w:eastAsia="宋体" w:cs="宋体"/>
        <w:w w:val="100"/>
        <w:sz w:val="21"/>
        <w:szCs w:val="21"/>
      </w:rPr>
    </w:lvl>
    <w:lvl w:ilvl="1">
      <w:start w:val="0"/>
      <w:numFmt w:val="bullet"/>
      <w:lvlText w:val="•"/>
      <w:lvlJc w:val="left"/>
      <w:pPr>
        <w:ind w:left="1200" w:hanging="423"/>
      </w:pPr>
      <w:rPr>
        <w:rFonts w:hint="default"/>
      </w:rPr>
    </w:lvl>
    <w:lvl w:ilvl="2">
      <w:start w:val="0"/>
      <w:numFmt w:val="bullet"/>
      <w:lvlText w:val="•"/>
      <w:lvlJc w:val="left"/>
      <w:pPr>
        <w:ind w:left="1840" w:hanging="423"/>
      </w:pPr>
      <w:rPr>
        <w:rFonts w:hint="default"/>
      </w:rPr>
    </w:lvl>
    <w:lvl w:ilvl="3">
      <w:start w:val="0"/>
      <w:numFmt w:val="bullet"/>
      <w:lvlText w:val="•"/>
      <w:lvlJc w:val="left"/>
      <w:pPr>
        <w:ind w:left="2481" w:hanging="423"/>
      </w:pPr>
      <w:rPr>
        <w:rFonts w:hint="default"/>
      </w:rPr>
    </w:lvl>
    <w:lvl w:ilvl="4">
      <w:start w:val="0"/>
      <w:numFmt w:val="bullet"/>
      <w:lvlText w:val="•"/>
      <w:lvlJc w:val="left"/>
      <w:pPr>
        <w:ind w:left="3121" w:hanging="423"/>
      </w:pPr>
      <w:rPr>
        <w:rFonts w:hint="default"/>
      </w:rPr>
    </w:lvl>
    <w:lvl w:ilvl="5">
      <w:start w:val="0"/>
      <w:numFmt w:val="bullet"/>
      <w:lvlText w:val="•"/>
      <w:lvlJc w:val="left"/>
      <w:pPr>
        <w:ind w:left="3762" w:hanging="423"/>
      </w:pPr>
      <w:rPr>
        <w:rFonts w:hint="default"/>
      </w:rPr>
    </w:lvl>
    <w:lvl w:ilvl="6">
      <w:start w:val="0"/>
      <w:numFmt w:val="bullet"/>
      <w:lvlText w:val="•"/>
      <w:lvlJc w:val="left"/>
      <w:pPr>
        <w:ind w:left="4402" w:hanging="423"/>
      </w:pPr>
      <w:rPr>
        <w:rFonts w:hint="default"/>
      </w:rPr>
    </w:lvl>
    <w:lvl w:ilvl="7">
      <w:start w:val="0"/>
      <w:numFmt w:val="bullet"/>
      <w:lvlText w:val="•"/>
      <w:lvlJc w:val="left"/>
      <w:pPr>
        <w:ind w:left="5042" w:hanging="423"/>
      </w:pPr>
      <w:rPr>
        <w:rFonts w:hint="default"/>
      </w:rPr>
    </w:lvl>
    <w:lvl w:ilvl="8">
      <w:start w:val="0"/>
      <w:numFmt w:val="bullet"/>
      <w:lvlText w:val="•"/>
      <w:lvlJc w:val="left"/>
      <w:pPr>
        <w:ind w:left="5683" w:hanging="423"/>
      </w:pPr>
      <w:rPr>
        <w:rFonts w:hint="default"/>
      </w:rPr>
    </w:lvl>
  </w:abstractNum>
  <w:abstractNum w:abstractNumId="23">
    <w:multiLevelType w:val="hybridMultilevel"/>
    <w:lvl w:ilvl="0">
      <w:start w:val="1"/>
      <w:numFmt w:val="decimal"/>
      <w:lvlText w:val="(%1)"/>
      <w:lvlJc w:val="left"/>
      <w:pPr>
        <w:ind w:left="564" w:hanging="423"/>
        <w:jc w:val="left"/>
      </w:pPr>
      <w:rPr>
        <w:rFonts w:hint="default" w:ascii="宋体" w:hAnsi="宋体" w:eastAsia="宋体" w:cs="宋体"/>
        <w:w w:val="100"/>
        <w:sz w:val="21"/>
        <w:szCs w:val="21"/>
      </w:rPr>
    </w:lvl>
    <w:lvl w:ilvl="1">
      <w:start w:val="0"/>
      <w:numFmt w:val="bullet"/>
      <w:lvlText w:val="•"/>
      <w:lvlJc w:val="left"/>
      <w:pPr>
        <w:ind w:left="1200" w:hanging="423"/>
      </w:pPr>
      <w:rPr>
        <w:rFonts w:hint="default"/>
      </w:rPr>
    </w:lvl>
    <w:lvl w:ilvl="2">
      <w:start w:val="0"/>
      <w:numFmt w:val="bullet"/>
      <w:lvlText w:val="•"/>
      <w:lvlJc w:val="left"/>
      <w:pPr>
        <w:ind w:left="1840" w:hanging="423"/>
      </w:pPr>
      <w:rPr>
        <w:rFonts w:hint="default"/>
      </w:rPr>
    </w:lvl>
    <w:lvl w:ilvl="3">
      <w:start w:val="0"/>
      <w:numFmt w:val="bullet"/>
      <w:lvlText w:val="•"/>
      <w:lvlJc w:val="left"/>
      <w:pPr>
        <w:ind w:left="2481" w:hanging="423"/>
      </w:pPr>
      <w:rPr>
        <w:rFonts w:hint="default"/>
      </w:rPr>
    </w:lvl>
    <w:lvl w:ilvl="4">
      <w:start w:val="0"/>
      <w:numFmt w:val="bullet"/>
      <w:lvlText w:val="•"/>
      <w:lvlJc w:val="left"/>
      <w:pPr>
        <w:ind w:left="3121" w:hanging="423"/>
      </w:pPr>
      <w:rPr>
        <w:rFonts w:hint="default"/>
      </w:rPr>
    </w:lvl>
    <w:lvl w:ilvl="5">
      <w:start w:val="0"/>
      <w:numFmt w:val="bullet"/>
      <w:lvlText w:val="•"/>
      <w:lvlJc w:val="left"/>
      <w:pPr>
        <w:ind w:left="3762" w:hanging="423"/>
      </w:pPr>
      <w:rPr>
        <w:rFonts w:hint="default"/>
      </w:rPr>
    </w:lvl>
    <w:lvl w:ilvl="6">
      <w:start w:val="0"/>
      <w:numFmt w:val="bullet"/>
      <w:lvlText w:val="•"/>
      <w:lvlJc w:val="left"/>
      <w:pPr>
        <w:ind w:left="4402" w:hanging="423"/>
      </w:pPr>
      <w:rPr>
        <w:rFonts w:hint="default"/>
      </w:rPr>
    </w:lvl>
    <w:lvl w:ilvl="7">
      <w:start w:val="0"/>
      <w:numFmt w:val="bullet"/>
      <w:lvlText w:val="•"/>
      <w:lvlJc w:val="left"/>
      <w:pPr>
        <w:ind w:left="5042" w:hanging="423"/>
      </w:pPr>
      <w:rPr>
        <w:rFonts w:hint="default"/>
      </w:rPr>
    </w:lvl>
    <w:lvl w:ilvl="8">
      <w:start w:val="0"/>
      <w:numFmt w:val="bullet"/>
      <w:lvlText w:val="•"/>
      <w:lvlJc w:val="left"/>
      <w:pPr>
        <w:ind w:left="5683" w:hanging="423"/>
      </w:pPr>
      <w:rPr>
        <w:rFonts w:hint="default"/>
      </w:rPr>
    </w:lvl>
  </w:abstractNum>
  <w:abstractNum w:abstractNumId="22">
    <w:multiLevelType w:val="hybridMultilevel"/>
    <w:lvl w:ilvl="0">
      <w:start w:val="1"/>
      <w:numFmt w:val="decimal"/>
      <w:lvlText w:val="（%1）"/>
      <w:lvlJc w:val="left"/>
      <w:pPr>
        <w:ind w:left="775" w:hanging="632"/>
        <w:jc w:val="left"/>
      </w:pPr>
      <w:rPr>
        <w:rFonts w:hint="default" w:ascii="宋体" w:hAnsi="宋体" w:eastAsia="宋体" w:cs="宋体"/>
        <w:w w:val="100"/>
        <w:sz w:val="21"/>
        <w:szCs w:val="21"/>
      </w:rPr>
    </w:lvl>
    <w:lvl w:ilvl="1">
      <w:start w:val="0"/>
      <w:numFmt w:val="bullet"/>
      <w:lvlText w:val="•"/>
      <w:lvlJc w:val="left"/>
      <w:pPr>
        <w:ind w:left="139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35" w:hanging="632"/>
      </w:pPr>
      <w:rPr>
        <w:rFonts w:hint="default"/>
      </w:rPr>
    </w:lvl>
    <w:lvl w:ilvl="4">
      <w:start w:val="0"/>
      <w:numFmt w:val="bullet"/>
      <w:lvlText w:val="•"/>
      <w:lvlJc w:val="left"/>
      <w:pPr>
        <w:ind w:left="3253" w:hanging="632"/>
      </w:pPr>
      <w:rPr>
        <w:rFonts w:hint="default"/>
      </w:rPr>
    </w:lvl>
    <w:lvl w:ilvl="5">
      <w:start w:val="0"/>
      <w:numFmt w:val="bullet"/>
      <w:lvlText w:val="•"/>
      <w:lvlJc w:val="left"/>
      <w:pPr>
        <w:ind w:left="3872" w:hanging="632"/>
      </w:pPr>
      <w:rPr>
        <w:rFonts w:hint="default"/>
      </w:rPr>
    </w:lvl>
    <w:lvl w:ilvl="6">
      <w:start w:val="0"/>
      <w:numFmt w:val="bullet"/>
      <w:lvlText w:val="•"/>
      <w:lvlJc w:val="left"/>
      <w:pPr>
        <w:ind w:left="4490" w:hanging="632"/>
      </w:pPr>
      <w:rPr>
        <w:rFonts w:hint="default"/>
      </w:rPr>
    </w:lvl>
    <w:lvl w:ilvl="7">
      <w:start w:val="0"/>
      <w:numFmt w:val="bullet"/>
      <w:lvlText w:val="•"/>
      <w:lvlJc w:val="left"/>
      <w:pPr>
        <w:ind w:left="5108" w:hanging="632"/>
      </w:pPr>
      <w:rPr>
        <w:rFonts w:hint="default"/>
      </w:rPr>
    </w:lvl>
    <w:lvl w:ilvl="8">
      <w:start w:val="0"/>
      <w:numFmt w:val="bullet"/>
      <w:lvlText w:val="•"/>
      <w:lvlJc w:val="left"/>
      <w:pPr>
        <w:ind w:left="5727" w:hanging="632"/>
      </w:pPr>
      <w:rPr>
        <w:rFonts w:hint="default"/>
      </w:rPr>
    </w:lvl>
  </w:abstractNum>
  <w:abstractNum w:abstractNumId="21">
    <w:multiLevelType w:val="hybridMultilevel"/>
    <w:lvl w:ilvl="0">
      <w:start w:val="1"/>
      <w:numFmt w:val="decimal"/>
      <w:lvlText w:val="(%1)"/>
      <w:lvlJc w:val="left"/>
      <w:pPr>
        <w:ind w:left="597" w:hanging="423"/>
        <w:jc w:val="left"/>
      </w:pPr>
      <w:rPr>
        <w:rFonts w:hint="default" w:ascii="宋体" w:hAnsi="宋体" w:eastAsia="宋体" w:cs="宋体"/>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898" w:hanging="423"/>
      </w:pPr>
      <w:rPr>
        <w:rFonts w:hint="default"/>
      </w:rPr>
    </w:lvl>
    <w:lvl w:ilvl="3">
      <w:start w:val="0"/>
      <w:numFmt w:val="bullet"/>
      <w:lvlText w:val="•"/>
      <w:lvlJc w:val="left"/>
      <w:pPr>
        <w:ind w:left="2547" w:hanging="423"/>
      </w:pPr>
      <w:rPr>
        <w:rFonts w:hint="default"/>
      </w:rPr>
    </w:lvl>
    <w:lvl w:ilvl="4">
      <w:start w:val="0"/>
      <w:numFmt w:val="bullet"/>
      <w:lvlText w:val="•"/>
      <w:lvlJc w:val="left"/>
      <w:pPr>
        <w:ind w:left="3196" w:hanging="423"/>
      </w:pPr>
      <w:rPr>
        <w:rFonts w:hint="default"/>
      </w:rPr>
    </w:lvl>
    <w:lvl w:ilvl="5">
      <w:start w:val="0"/>
      <w:numFmt w:val="bullet"/>
      <w:lvlText w:val="•"/>
      <w:lvlJc w:val="left"/>
      <w:pPr>
        <w:ind w:left="3845" w:hanging="423"/>
      </w:pPr>
      <w:rPr>
        <w:rFonts w:hint="default"/>
      </w:rPr>
    </w:lvl>
    <w:lvl w:ilvl="6">
      <w:start w:val="0"/>
      <w:numFmt w:val="bullet"/>
      <w:lvlText w:val="•"/>
      <w:lvlJc w:val="left"/>
      <w:pPr>
        <w:ind w:left="4494" w:hanging="423"/>
      </w:pPr>
      <w:rPr>
        <w:rFonts w:hint="default"/>
      </w:rPr>
    </w:lvl>
    <w:lvl w:ilvl="7">
      <w:start w:val="0"/>
      <w:numFmt w:val="bullet"/>
      <w:lvlText w:val="•"/>
      <w:lvlJc w:val="left"/>
      <w:pPr>
        <w:ind w:left="5143" w:hanging="423"/>
      </w:pPr>
      <w:rPr>
        <w:rFonts w:hint="default"/>
      </w:rPr>
    </w:lvl>
    <w:lvl w:ilvl="8">
      <w:start w:val="0"/>
      <w:numFmt w:val="bullet"/>
      <w:lvlText w:val="•"/>
      <w:lvlJc w:val="left"/>
      <w:pPr>
        <w:ind w:left="5792" w:hanging="423"/>
      </w:pPr>
      <w:rPr>
        <w:rFonts w:hint="default"/>
      </w:rPr>
    </w:lvl>
  </w:abstractNum>
  <w:abstractNum w:abstractNumId="20">
    <w:multiLevelType w:val="hybridMultilevel"/>
    <w:lvl w:ilvl="0">
      <w:start w:val="1"/>
      <w:numFmt w:val="decimal"/>
      <w:lvlText w:val="(%1)"/>
      <w:lvlJc w:val="left"/>
      <w:pPr>
        <w:ind w:left="594" w:hanging="423"/>
        <w:jc w:val="left"/>
      </w:pPr>
      <w:rPr>
        <w:rFonts w:hint="default" w:ascii="宋体" w:hAnsi="宋体" w:eastAsia="宋体" w:cs="宋体"/>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898" w:hanging="423"/>
      </w:pPr>
      <w:rPr>
        <w:rFonts w:hint="default"/>
      </w:rPr>
    </w:lvl>
    <w:lvl w:ilvl="3">
      <w:start w:val="0"/>
      <w:numFmt w:val="bullet"/>
      <w:lvlText w:val="•"/>
      <w:lvlJc w:val="left"/>
      <w:pPr>
        <w:ind w:left="2547" w:hanging="423"/>
      </w:pPr>
      <w:rPr>
        <w:rFonts w:hint="default"/>
      </w:rPr>
    </w:lvl>
    <w:lvl w:ilvl="4">
      <w:start w:val="0"/>
      <w:numFmt w:val="bullet"/>
      <w:lvlText w:val="•"/>
      <w:lvlJc w:val="left"/>
      <w:pPr>
        <w:ind w:left="3196" w:hanging="423"/>
      </w:pPr>
      <w:rPr>
        <w:rFonts w:hint="default"/>
      </w:rPr>
    </w:lvl>
    <w:lvl w:ilvl="5">
      <w:start w:val="0"/>
      <w:numFmt w:val="bullet"/>
      <w:lvlText w:val="•"/>
      <w:lvlJc w:val="left"/>
      <w:pPr>
        <w:ind w:left="3845" w:hanging="423"/>
      </w:pPr>
      <w:rPr>
        <w:rFonts w:hint="default"/>
      </w:rPr>
    </w:lvl>
    <w:lvl w:ilvl="6">
      <w:start w:val="0"/>
      <w:numFmt w:val="bullet"/>
      <w:lvlText w:val="•"/>
      <w:lvlJc w:val="left"/>
      <w:pPr>
        <w:ind w:left="4494" w:hanging="423"/>
      </w:pPr>
      <w:rPr>
        <w:rFonts w:hint="default"/>
      </w:rPr>
    </w:lvl>
    <w:lvl w:ilvl="7">
      <w:start w:val="0"/>
      <w:numFmt w:val="bullet"/>
      <w:lvlText w:val="•"/>
      <w:lvlJc w:val="left"/>
      <w:pPr>
        <w:ind w:left="5143" w:hanging="423"/>
      </w:pPr>
      <w:rPr>
        <w:rFonts w:hint="default"/>
      </w:rPr>
    </w:lvl>
    <w:lvl w:ilvl="8">
      <w:start w:val="0"/>
      <w:numFmt w:val="bullet"/>
      <w:lvlText w:val="•"/>
      <w:lvlJc w:val="left"/>
      <w:pPr>
        <w:ind w:left="5792" w:hanging="423"/>
      </w:pPr>
      <w:rPr>
        <w:rFonts w:hint="default"/>
      </w:rPr>
    </w:lvl>
  </w:abstractNum>
  <w:abstractNum w:abstractNumId="19">
    <w:multiLevelType w:val="hybridMultilevel"/>
    <w:lvl w:ilvl="0">
      <w:start w:val="2"/>
      <w:numFmt w:val="decimal"/>
      <w:lvlText w:val="(%1)"/>
      <w:lvlJc w:val="left"/>
      <w:pPr>
        <w:ind w:left="597" w:hanging="423"/>
        <w:jc w:val="left"/>
      </w:pPr>
      <w:rPr>
        <w:rFonts w:hint="default" w:ascii="宋体" w:hAnsi="宋体" w:eastAsia="宋体" w:cs="宋体"/>
        <w:w w:val="100"/>
        <w:sz w:val="21"/>
        <w:szCs w:val="21"/>
      </w:rPr>
    </w:lvl>
    <w:lvl w:ilvl="1">
      <w:start w:val="0"/>
      <w:numFmt w:val="bullet"/>
      <w:lvlText w:val="•"/>
      <w:lvlJc w:val="left"/>
      <w:pPr>
        <w:ind w:left="1249" w:hanging="423"/>
      </w:pPr>
      <w:rPr>
        <w:rFonts w:hint="default"/>
      </w:rPr>
    </w:lvl>
    <w:lvl w:ilvl="2">
      <w:start w:val="0"/>
      <w:numFmt w:val="bullet"/>
      <w:lvlText w:val="•"/>
      <w:lvlJc w:val="left"/>
      <w:pPr>
        <w:ind w:left="1898" w:hanging="423"/>
      </w:pPr>
      <w:rPr>
        <w:rFonts w:hint="default"/>
      </w:rPr>
    </w:lvl>
    <w:lvl w:ilvl="3">
      <w:start w:val="0"/>
      <w:numFmt w:val="bullet"/>
      <w:lvlText w:val="•"/>
      <w:lvlJc w:val="left"/>
      <w:pPr>
        <w:ind w:left="2547" w:hanging="423"/>
      </w:pPr>
      <w:rPr>
        <w:rFonts w:hint="default"/>
      </w:rPr>
    </w:lvl>
    <w:lvl w:ilvl="4">
      <w:start w:val="0"/>
      <w:numFmt w:val="bullet"/>
      <w:lvlText w:val="•"/>
      <w:lvlJc w:val="left"/>
      <w:pPr>
        <w:ind w:left="3196" w:hanging="423"/>
      </w:pPr>
      <w:rPr>
        <w:rFonts w:hint="default"/>
      </w:rPr>
    </w:lvl>
    <w:lvl w:ilvl="5">
      <w:start w:val="0"/>
      <w:numFmt w:val="bullet"/>
      <w:lvlText w:val="•"/>
      <w:lvlJc w:val="left"/>
      <w:pPr>
        <w:ind w:left="3845" w:hanging="423"/>
      </w:pPr>
      <w:rPr>
        <w:rFonts w:hint="default"/>
      </w:rPr>
    </w:lvl>
    <w:lvl w:ilvl="6">
      <w:start w:val="0"/>
      <w:numFmt w:val="bullet"/>
      <w:lvlText w:val="•"/>
      <w:lvlJc w:val="left"/>
      <w:pPr>
        <w:ind w:left="4494" w:hanging="423"/>
      </w:pPr>
      <w:rPr>
        <w:rFonts w:hint="default"/>
      </w:rPr>
    </w:lvl>
    <w:lvl w:ilvl="7">
      <w:start w:val="0"/>
      <w:numFmt w:val="bullet"/>
      <w:lvlText w:val="•"/>
      <w:lvlJc w:val="left"/>
      <w:pPr>
        <w:ind w:left="5143" w:hanging="423"/>
      </w:pPr>
      <w:rPr>
        <w:rFonts w:hint="default"/>
      </w:rPr>
    </w:lvl>
    <w:lvl w:ilvl="8">
      <w:start w:val="0"/>
      <w:numFmt w:val="bullet"/>
      <w:lvlText w:val="•"/>
      <w:lvlJc w:val="left"/>
      <w:pPr>
        <w:ind w:left="5792" w:hanging="423"/>
      </w:pPr>
      <w:rPr>
        <w:rFonts w:hint="default"/>
      </w:rPr>
    </w:lvl>
  </w:abstractNum>
  <w:abstractNum w:abstractNumId="18">
    <w:multiLevelType w:val="hybridMultilevel"/>
    <w:lvl w:ilvl="0">
      <w:start w:val="1"/>
      <w:numFmt w:val="decimal"/>
      <w:lvlText w:val="(%1)"/>
      <w:lvlJc w:val="left"/>
      <w:pPr>
        <w:ind w:left="631" w:hanging="423"/>
        <w:jc w:val="left"/>
      </w:pPr>
      <w:rPr>
        <w:rFonts w:hint="default" w:ascii="宋体" w:hAnsi="宋体" w:eastAsia="宋体" w:cs="宋体"/>
        <w:w w:val="100"/>
        <w:sz w:val="21"/>
        <w:szCs w:val="21"/>
      </w:rPr>
    </w:lvl>
    <w:lvl w:ilvl="1">
      <w:start w:val="0"/>
      <w:numFmt w:val="bullet"/>
      <w:lvlText w:val="•"/>
      <w:lvlJc w:val="left"/>
      <w:pPr>
        <w:ind w:left="1288" w:hanging="423"/>
      </w:pPr>
      <w:rPr>
        <w:rFonts w:hint="default"/>
      </w:rPr>
    </w:lvl>
    <w:lvl w:ilvl="2">
      <w:start w:val="0"/>
      <w:numFmt w:val="bullet"/>
      <w:lvlText w:val="•"/>
      <w:lvlJc w:val="left"/>
      <w:pPr>
        <w:ind w:left="1937" w:hanging="423"/>
      </w:pPr>
      <w:rPr>
        <w:rFonts w:hint="default"/>
      </w:rPr>
    </w:lvl>
    <w:lvl w:ilvl="3">
      <w:start w:val="0"/>
      <w:numFmt w:val="bullet"/>
      <w:lvlText w:val="•"/>
      <w:lvlJc w:val="left"/>
      <w:pPr>
        <w:ind w:left="2585" w:hanging="423"/>
      </w:pPr>
      <w:rPr>
        <w:rFonts w:hint="default"/>
      </w:rPr>
    </w:lvl>
    <w:lvl w:ilvl="4">
      <w:start w:val="0"/>
      <w:numFmt w:val="bullet"/>
      <w:lvlText w:val="•"/>
      <w:lvlJc w:val="left"/>
      <w:pPr>
        <w:ind w:left="3234" w:hanging="423"/>
      </w:pPr>
      <w:rPr>
        <w:rFonts w:hint="default"/>
      </w:rPr>
    </w:lvl>
    <w:lvl w:ilvl="5">
      <w:start w:val="0"/>
      <w:numFmt w:val="bullet"/>
      <w:lvlText w:val="•"/>
      <w:lvlJc w:val="left"/>
      <w:pPr>
        <w:ind w:left="3883" w:hanging="423"/>
      </w:pPr>
      <w:rPr>
        <w:rFonts w:hint="default"/>
      </w:rPr>
    </w:lvl>
    <w:lvl w:ilvl="6">
      <w:start w:val="0"/>
      <w:numFmt w:val="bullet"/>
      <w:lvlText w:val="•"/>
      <w:lvlJc w:val="left"/>
      <w:pPr>
        <w:ind w:left="4531" w:hanging="423"/>
      </w:pPr>
      <w:rPr>
        <w:rFonts w:hint="default"/>
      </w:rPr>
    </w:lvl>
    <w:lvl w:ilvl="7">
      <w:start w:val="0"/>
      <w:numFmt w:val="bullet"/>
      <w:lvlText w:val="•"/>
      <w:lvlJc w:val="left"/>
      <w:pPr>
        <w:ind w:left="5180" w:hanging="423"/>
      </w:pPr>
      <w:rPr>
        <w:rFonts w:hint="default"/>
      </w:rPr>
    </w:lvl>
    <w:lvl w:ilvl="8">
      <w:start w:val="0"/>
      <w:numFmt w:val="bullet"/>
      <w:lvlText w:val="•"/>
      <w:lvlJc w:val="left"/>
      <w:pPr>
        <w:ind w:left="5828" w:hanging="423"/>
      </w:pPr>
      <w:rPr>
        <w:rFonts w:hint="default"/>
      </w:rPr>
    </w:lvl>
  </w:abstractNum>
  <w:abstractNum w:abstractNumId="17">
    <w:multiLevelType w:val="hybridMultilevel"/>
    <w:lvl w:ilvl="0">
      <w:start w:val="1"/>
      <w:numFmt w:val="decimal"/>
      <w:lvlText w:val="(%1)"/>
      <w:lvlJc w:val="left"/>
      <w:pPr>
        <w:ind w:left="628" w:hanging="428"/>
        <w:jc w:val="left"/>
      </w:pPr>
      <w:rPr>
        <w:rFonts w:hint="default" w:ascii="宋体" w:hAnsi="宋体" w:eastAsia="宋体" w:cs="宋体"/>
        <w:w w:val="100"/>
        <w:sz w:val="21"/>
        <w:szCs w:val="21"/>
      </w:rPr>
    </w:lvl>
    <w:lvl w:ilvl="1">
      <w:start w:val="0"/>
      <w:numFmt w:val="bullet"/>
      <w:lvlText w:val="•"/>
      <w:lvlJc w:val="left"/>
      <w:pPr>
        <w:ind w:left="1270" w:hanging="428"/>
      </w:pPr>
      <w:rPr>
        <w:rFonts w:hint="default"/>
      </w:rPr>
    </w:lvl>
    <w:lvl w:ilvl="2">
      <w:start w:val="0"/>
      <w:numFmt w:val="bullet"/>
      <w:lvlText w:val="•"/>
      <w:lvlJc w:val="left"/>
      <w:pPr>
        <w:ind w:left="1921" w:hanging="428"/>
      </w:pPr>
      <w:rPr>
        <w:rFonts w:hint="default"/>
      </w:rPr>
    </w:lvl>
    <w:lvl w:ilvl="3">
      <w:start w:val="0"/>
      <w:numFmt w:val="bullet"/>
      <w:lvlText w:val="•"/>
      <w:lvlJc w:val="left"/>
      <w:pPr>
        <w:ind w:left="2571" w:hanging="428"/>
      </w:pPr>
      <w:rPr>
        <w:rFonts w:hint="default"/>
      </w:rPr>
    </w:lvl>
    <w:lvl w:ilvl="4">
      <w:start w:val="0"/>
      <w:numFmt w:val="bullet"/>
      <w:lvlText w:val="•"/>
      <w:lvlJc w:val="left"/>
      <w:pPr>
        <w:ind w:left="3222" w:hanging="428"/>
      </w:pPr>
      <w:rPr>
        <w:rFonts w:hint="default"/>
      </w:rPr>
    </w:lvl>
    <w:lvl w:ilvl="5">
      <w:start w:val="0"/>
      <w:numFmt w:val="bullet"/>
      <w:lvlText w:val="•"/>
      <w:lvlJc w:val="left"/>
      <w:pPr>
        <w:ind w:left="3873" w:hanging="428"/>
      </w:pPr>
      <w:rPr>
        <w:rFonts w:hint="default"/>
      </w:rPr>
    </w:lvl>
    <w:lvl w:ilvl="6">
      <w:start w:val="0"/>
      <w:numFmt w:val="bullet"/>
      <w:lvlText w:val="•"/>
      <w:lvlJc w:val="left"/>
      <w:pPr>
        <w:ind w:left="4523" w:hanging="428"/>
      </w:pPr>
      <w:rPr>
        <w:rFonts w:hint="default"/>
      </w:rPr>
    </w:lvl>
    <w:lvl w:ilvl="7">
      <w:start w:val="0"/>
      <w:numFmt w:val="bullet"/>
      <w:lvlText w:val="•"/>
      <w:lvlJc w:val="left"/>
      <w:pPr>
        <w:ind w:left="5174" w:hanging="428"/>
      </w:pPr>
      <w:rPr>
        <w:rFonts w:hint="default"/>
      </w:rPr>
    </w:lvl>
    <w:lvl w:ilvl="8">
      <w:start w:val="0"/>
      <w:numFmt w:val="bullet"/>
      <w:lvlText w:val="•"/>
      <w:lvlJc w:val="left"/>
      <w:pPr>
        <w:ind w:left="5824" w:hanging="428"/>
      </w:pPr>
      <w:rPr>
        <w:rFonts w:hint="default"/>
      </w:rPr>
    </w:lvl>
  </w:abstractNum>
  <w:abstractNum w:abstractNumId="16">
    <w:multiLevelType w:val="hybridMultilevel"/>
    <w:lvl w:ilvl="0">
      <w:start w:val="1"/>
      <w:numFmt w:val="decimal"/>
      <w:lvlText w:val="(%1)"/>
      <w:lvlJc w:val="left"/>
      <w:pPr>
        <w:ind w:left="628" w:hanging="423"/>
        <w:jc w:val="left"/>
      </w:pPr>
      <w:rPr>
        <w:rFonts w:hint="default" w:ascii="宋体" w:hAnsi="宋体" w:eastAsia="宋体" w:cs="宋体"/>
        <w:w w:val="100"/>
        <w:sz w:val="21"/>
        <w:szCs w:val="21"/>
      </w:rPr>
    </w:lvl>
    <w:lvl w:ilvl="1">
      <w:start w:val="0"/>
      <w:numFmt w:val="bullet"/>
      <w:lvlText w:val="•"/>
      <w:lvlJc w:val="left"/>
      <w:pPr>
        <w:ind w:left="1270" w:hanging="423"/>
      </w:pPr>
      <w:rPr>
        <w:rFonts w:hint="default"/>
      </w:rPr>
    </w:lvl>
    <w:lvl w:ilvl="2">
      <w:start w:val="0"/>
      <w:numFmt w:val="bullet"/>
      <w:lvlText w:val="•"/>
      <w:lvlJc w:val="left"/>
      <w:pPr>
        <w:ind w:left="1921" w:hanging="423"/>
      </w:pPr>
      <w:rPr>
        <w:rFonts w:hint="default"/>
      </w:rPr>
    </w:lvl>
    <w:lvl w:ilvl="3">
      <w:start w:val="0"/>
      <w:numFmt w:val="bullet"/>
      <w:lvlText w:val="•"/>
      <w:lvlJc w:val="left"/>
      <w:pPr>
        <w:ind w:left="2571" w:hanging="423"/>
      </w:pPr>
      <w:rPr>
        <w:rFonts w:hint="default"/>
      </w:rPr>
    </w:lvl>
    <w:lvl w:ilvl="4">
      <w:start w:val="0"/>
      <w:numFmt w:val="bullet"/>
      <w:lvlText w:val="•"/>
      <w:lvlJc w:val="left"/>
      <w:pPr>
        <w:ind w:left="3222" w:hanging="423"/>
      </w:pPr>
      <w:rPr>
        <w:rFonts w:hint="default"/>
      </w:rPr>
    </w:lvl>
    <w:lvl w:ilvl="5">
      <w:start w:val="0"/>
      <w:numFmt w:val="bullet"/>
      <w:lvlText w:val="•"/>
      <w:lvlJc w:val="left"/>
      <w:pPr>
        <w:ind w:left="3873" w:hanging="423"/>
      </w:pPr>
      <w:rPr>
        <w:rFonts w:hint="default"/>
      </w:rPr>
    </w:lvl>
    <w:lvl w:ilvl="6">
      <w:start w:val="0"/>
      <w:numFmt w:val="bullet"/>
      <w:lvlText w:val="•"/>
      <w:lvlJc w:val="left"/>
      <w:pPr>
        <w:ind w:left="4523" w:hanging="423"/>
      </w:pPr>
      <w:rPr>
        <w:rFonts w:hint="default"/>
      </w:rPr>
    </w:lvl>
    <w:lvl w:ilvl="7">
      <w:start w:val="0"/>
      <w:numFmt w:val="bullet"/>
      <w:lvlText w:val="•"/>
      <w:lvlJc w:val="left"/>
      <w:pPr>
        <w:ind w:left="5174" w:hanging="423"/>
      </w:pPr>
      <w:rPr>
        <w:rFonts w:hint="default"/>
      </w:rPr>
    </w:lvl>
    <w:lvl w:ilvl="8">
      <w:start w:val="0"/>
      <w:numFmt w:val="bullet"/>
      <w:lvlText w:val="•"/>
      <w:lvlJc w:val="left"/>
      <w:pPr>
        <w:ind w:left="5824" w:hanging="423"/>
      </w:pPr>
      <w:rPr>
        <w:rFonts w:hint="default"/>
      </w:rPr>
    </w:lvl>
  </w:abstractNum>
  <w:abstractNum w:abstractNumId="15">
    <w:multiLevelType w:val="hybridMultilevel"/>
    <w:lvl w:ilvl="0">
      <w:start w:val="1"/>
      <w:numFmt w:val="decimal"/>
      <w:lvlText w:val="（%1）"/>
      <w:lvlJc w:val="left"/>
      <w:pPr>
        <w:ind w:left="754" w:hanging="632"/>
        <w:jc w:val="left"/>
      </w:pPr>
      <w:rPr>
        <w:rFonts w:hint="default" w:ascii="宋体" w:hAnsi="宋体" w:eastAsia="宋体" w:cs="宋体"/>
        <w:w w:val="100"/>
        <w:sz w:val="21"/>
        <w:szCs w:val="21"/>
      </w:rPr>
    </w:lvl>
    <w:lvl w:ilvl="1">
      <w:start w:val="0"/>
      <w:numFmt w:val="bullet"/>
      <w:lvlText w:val="•"/>
      <w:lvlJc w:val="left"/>
      <w:pPr>
        <w:ind w:left="1388" w:hanging="632"/>
      </w:pPr>
      <w:rPr>
        <w:rFonts w:hint="default"/>
      </w:rPr>
    </w:lvl>
    <w:lvl w:ilvl="2">
      <w:start w:val="0"/>
      <w:numFmt w:val="bullet"/>
      <w:lvlText w:val="•"/>
      <w:lvlJc w:val="left"/>
      <w:pPr>
        <w:ind w:left="2016" w:hanging="632"/>
      </w:pPr>
      <w:rPr>
        <w:rFonts w:hint="default"/>
      </w:rPr>
    </w:lvl>
    <w:lvl w:ilvl="3">
      <w:start w:val="0"/>
      <w:numFmt w:val="bullet"/>
      <w:lvlText w:val="•"/>
      <w:lvlJc w:val="left"/>
      <w:pPr>
        <w:ind w:left="2644" w:hanging="632"/>
      </w:pPr>
      <w:rPr>
        <w:rFonts w:hint="default"/>
      </w:rPr>
    </w:lvl>
    <w:lvl w:ilvl="4">
      <w:start w:val="0"/>
      <w:numFmt w:val="bullet"/>
      <w:lvlText w:val="•"/>
      <w:lvlJc w:val="left"/>
      <w:pPr>
        <w:ind w:left="3272" w:hanging="632"/>
      </w:pPr>
      <w:rPr>
        <w:rFonts w:hint="default"/>
      </w:rPr>
    </w:lvl>
    <w:lvl w:ilvl="5">
      <w:start w:val="0"/>
      <w:numFmt w:val="bullet"/>
      <w:lvlText w:val="•"/>
      <w:lvlJc w:val="left"/>
      <w:pPr>
        <w:ind w:left="3900" w:hanging="632"/>
      </w:pPr>
      <w:rPr>
        <w:rFonts w:hint="default"/>
      </w:rPr>
    </w:lvl>
    <w:lvl w:ilvl="6">
      <w:start w:val="0"/>
      <w:numFmt w:val="bullet"/>
      <w:lvlText w:val="•"/>
      <w:lvlJc w:val="left"/>
      <w:pPr>
        <w:ind w:left="4528" w:hanging="632"/>
      </w:pPr>
      <w:rPr>
        <w:rFonts w:hint="default"/>
      </w:rPr>
    </w:lvl>
    <w:lvl w:ilvl="7">
      <w:start w:val="0"/>
      <w:numFmt w:val="bullet"/>
      <w:lvlText w:val="•"/>
      <w:lvlJc w:val="left"/>
      <w:pPr>
        <w:ind w:left="5156" w:hanging="632"/>
      </w:pPr>
      <w:rPr>
        <w:rFonts w:hint="default"/>
      </w:rPr>
    </w:lvl>
    <w:lvl w:ilvl="8">
      <w:start w:val="0"/>
      <w:numFmt w:val="bullet"/>
      <w:lvlText w:val="•"/>
      <w:lvlJc w:val="left"/>
      <w:pPr>
        <w:ind w:left="5784" w:hanging="632"/>
      </w:pPr>
      <w:rPr>
        <w:rFonts w:hint="default"/>
      </w:rPr>
    </w:lvl>
  </w:abstractNum>
  <w:abstractNum w:abstractNumId="14">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2"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70" w:hanging="632"/>
      </w:pPr>
      <w:rPr>
        <w:rFonts w:hint="default"/>
      </w:rPr>
    </w:lvl>
  </w:abstractNum>
  <w:abstractNum w:abstractNumId="13">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6" w:hanging="632"/>
      </w:pPr>
      <w:rPr>
        <w:rFonts w:hint="default"/>
      </w:rPr>
    </w:lvl>
    <w:lvl w:ilvl="4">
      <w:start w:val="0"/>
      <w:numFmt w:val="bullet"/>
      <w:lvlText w:val="•"/>
      <w:lvlJc w:val="left"/>
      <w:pPr>
        <w:ind w:left="3355" w:hanging="632"/>
      </w:pPr>
      <w:rPr>
        <w:rFonts w:hint="default"/>
      </w:rPr>
    </w:lvl>
    <w:lvl w:ilvl="5">
      <w:start w:val="0"/>
      <w:numFmt w:val="bullet"/>
      <w:lvlText w:val="•"/>
      <w:lvlJc w:val="left"/>
      <w:pPr>
        <w:ind w:left="3984" w:hanging="632"/>
      </w:pPr>
      <w:rPr>
        <w:rFonts w:hint="default"/>
      </w:rPr>
    </w:lvl>
    <w:lvl w:ilvl="6">
      <w:start w:val="0"/>
      <w:numFmt w:val="bullet"/>
      <w:lvlText w:val="•"/>
      <w:lvlJc w:val="left"/>
      <w:pPr>
        <w:ind w:left="4612" w:hanging="632"/>
      </w:pPr>
      <w:rPr>
        <w:rFonts w:hint="default"/>
      </w:rPr>
    </w:lvl>
    <w:lvl w:ilvl="7">
      <w:start w:val="0"/>
      <w:numFmt w:val="bullet"/>
      <w:lvlText w:val="•"/>
      <w:lvlJc w:val="left"/>
      <w:pPr>
        <w:ind w:left="5241" w:hanging="632"/>
      </w:pPr>
      <w:rPr>
        <w:rFonts w:hint="default"/>
      </w:rPr>
    </w:lvl>
    <w:lvl w:ilvl="8">
      <w:start w:val="0"/>
      <w:numFmt w:val="bullet"/>
      <w:lvlText w:val="•"/>
      <w:lvlJc w:val="left"/>
      <w:pPr>
        <w:ind w:left="5870" w:hanging="632"/>
      </w:pPr>
      <w:rPr>
        <w:rFonts w:hint="default"/>
      </w:rPr>
    </w:lvl>
  </w:abstractNum>
  <w:abstractNum w:abstractNumId="12">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54" w:hanging="632"/>
      </w:pPr>
      <w:rPr>
        <w:rFonts w:hint="default"/>
      </w:rPr>
    </w:lvl>
    <w:lvl w:ilvl="5">
      <w:start w:val="0"/>
      <w:numFmt w:val="bullet"/>
      <w:lvlText w:val="•"/>
      <w:lvlJc w:val="left"/>
      <w:pPr>
        <w:ind w:left="3983" w:hanging="632"/>
      </w:pPr>
      <w:rPr>
        <w:rFonts w:hint="default"/>
      </w:rPr>
    </w:lvl>
    <w:lvl w:ilvl="6">
      <w:start w:val="0"/>
      <w:numFmt w:val="bullet"/>
      <w:lvlText w:val="•"/>
      <w:lvlJc w:val="left"/>
      <w:pPr>
        <w:ind w:left="4611" w:hanging="632"/>
      </w:pPr>
      <w:rPr>
        <w:rFonts w:hint="default"/>
      </w:rPr>
    </w:lvl>
    <w:lvl w:ilvl="7">
      <w:start w:val="0"/>
      <w:numFmt w:val="bullet"/>
      <w:lvlText w:val="•"/>
      <w:lvlJc w:val="left"/>
      <w:pPr>
        <w:ind w:left="5240" w:hanging="632"/>
      </w:pPr>
      <w:rPr>
        <w:rFonts w:hint="default"/>
      </w:rPr>
    </w:lvl>
    <w:lvl w:ilvl="8">
      <w:start w:val="0"/>
      <w:numFmt w:val="bullet"/>
      <w:lvlText w:val="•"/>
      <w:lvlJc w:val="left"/>
      <w:pPr>
        <w:ind w:left="5868" w:hanging="632"/>
      </w:pPr>
      <w:rPr>
        <w:rFonts w:hint="default"/>
      </w:rPr>
    </w:lvl>
  </w:abstractNum>
  <w:abstractNum w:abstractNumId="11">
    <w:multiLevelType w:val="hybridMultilevel"/>
    <w:lvl w:ilvl="0">
      <w:start w:val="1"/>
      <w:numFmt w:val="decimal"/>
      <w:lvlText w:val="（%1）"/>
      <w:lvlJc w:val="left"/>
      <w:pPr>
        <w:ind w:left="839"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7"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54" w:hanging="632"/>
      </w:pPr>
      <w:rPr>
        <w:rFonts w:hint="default"/>
      </w:rPr>
    </w:lvl>
    <w:lvl w:ilvl="5">
      <w:start w:val="0"/>
      <w:numFmt w:val="bullet"/>
      <w:lvlText w:val="•"/>
      <w:lvlJc w:val="left"/>
      <w:pPr>
        <w:ind w:left="3983" w:hanging="632"/>
      </w:pPr>
      <w:rPr>
        <w:rFonts w:hint="default"/>
      </w:rPr>
    </w:lvl>
    <w:lvl w:ilvl="6">
      <w:start w:val="0"/>
      <w:numFmt w:val="bullet"/>
      <w:lvlText w:val="•"/>
      <w:lvlJc w:val="left"/>
      <w:pPr>
        <w:ind w:left="4611" w:hanging="632"/>
      </w:pPr>
      <w:rPr>
        <w:rFonts w:hint="default"/>
      </w:rPr>
    </w:lvl>
    <w:lvl w:ilvl="7">
      <w:start w:val="0"/>
      <w:numFmt w:val="bullet"/>
      <w:lvlText w:val="•"/>
      <w:lvlJc w:val="left"/>
      <w:pPr>
        <w:ind w:left="5240" w:hanging="632"/>
      </w:pPr>
      <w:rPr>
        <w:rFonts w:hint="default"/>
      </w:rPr>
    </w:lvl>
    <w:lvl w:ilvl="8">
      <w:start w:val="0"/>
      <w:numFmt w:val="bullet"/>
      <w:lvlText w:val="•"/>
      <w:lvlJc w:val="left"/>
      <w:pPr>
        <w:ind w:left="5868" w:hanging="632"/>
      </w:pPr>
      <w:rPr>
        <w:rFonts w:hint="default"/>
      </w:rPr>
    </w:lvl>
  </w:abstractNum>
  <w:abstractNum w:abstractNumId="10">
    <w:multiLevelType w:val="hybridMultilevel"/>
    <w:lvl w:ilvl="0">
      <w:start w:val="1"/>
      <w:numFmt w:val="decimal"/>
      <w:lvlText w:val="（%1）"/>
      <w:lvlJc w:val="left"/>
      <w:pPr>
        <w:ind w:left="208" w:hanging="632"/>
        <w:jc w:val="left"/>
      </w:pPr>
      <w:rPr>
        <w:rFonts w:hint="default" w:ascii="宋体" w:hAnsi="宋体" w:eastAsia="宋体" w:cs="宋体"/>
        <w:w w:val="100"/>
        <w:sz w:val="21"/>
        <w:szCs w:val="21"/>
      </w:rPr>
    </w:lvl>
    <w:lvl w:ilvl="1">
      <w:start w:val="0"/>
      <w:numFmt w:val="bullet"/>
      <w:lvlText w:val="•"/>
      <w:lvlJc w:val="left"/>
      <w:pPr>
        <w:ind w:left="892" w:hanging="632"/>
      </w:pPr>
      <w:rPr>
        <w:rFonts w:hint="default"/>
      </w:rPr>
    </w:lvl>
    <w:lvl w:ilvl="2">
      <w:start w:val="0"/>
      <w:numFmt w:val="bullet"/>
      <w:lvlText w:val="•"/>
      <w:lvlJc w:val="left"/>
      <w:pPr>
        <w:ind w:left="1585" w:hanging="632"/>
      </w:pPr>
      <w:rPr>
        <w:rFonts w:hint="default"/>
      </w:rPr>
    </w:lvl>
    <w:lvl w:ilvl="3">
      <w:start w:val="0"/>
      <w:numFmt w:val="bullet"/>
      <w:lvlText w:val="•"/>
      <w:lvlJc w:val="left"/>
      <w:pPr>
        <w:ind w:left="2277" w:hanging="632"/>
      </w:pPr>
      <w:rPr>
        <w:rFonts w:hint="default"/>
      </w:rPr>
    </w:lvl>
    <w:lvl w:ilvl="4">
      <w:start w:val="0"/>
      <w:numFmt w:val="bullet"/>
      <w:lvlText w:val="•"/>
      <w:lvlJc w:val="left"/>
      <w:pPr>
        <w:ind w:left="2970" w:hanging="632"/>
      </w:pPr>
      <w:rPr>
        <w:rFonts w:hint="default"/>
      </w:rPr>
    </w:lvl>
    <w:lvl w:ilvl="5">
      <w:start w:val="0"/>
      <w:numFmt w:val="bullet"/>
      <w:lvlText w:val="•"/>
      <w:lvlJc w:val="left"/>
      <w:pPr>
        <w:ind w:left="3663" w:hanging="632"/>
      </w:pPr>
      <w:rPr>
        <w:rFonts w:hint="default"/>
      </w:rPr>
    </w:lvl>
    <w:lvl w:ilvl="6">
      <w:start w:val="0"/>
      <w:numFmt w:val="bullet"/>
      <w:lvlText w:val="•"/>
      <w:lvlJc w:val="left"/>
      <w:pPr>
        <w:ind w:left="4355" w:hanging="632"/>
      </w:pPr>
      <w:rPr>
        <w:rFonts w:hint="default"/>
      </w:rPr>
    </w:lvl>
    <w:lvl w:ilvl="7">
      <w:start w:val="0"/>
      <w:numFmt w:val="bullet"/>
      <w:lvlText w:val="•"/>
      <w:lvlJc w:val="left"/>
      <w:pPr>
        <w:ind w:left="5048" w:hanging="632"/>
      </w:pPr>
      <w:rPr>
        <w:rFonts w:hint="default"/>
      </w:rPr>
    </w:lvl>
    <w:lvl w:ilvl="8">
      <w:start w:val="0"/>
      <w:numFmt w:val="bullet"/>
      <w:lvlText w:val="•"/>
      <w:lvlJc w:val="left"/>
      <w:pPr>
        <w:ind w:left="5740" w:hanging="632"/>
      </w:pPr>
      <w:rPr>
        <w:rFonts w:hint="default"/>
      </w:rPr>
    </w:lvl>
  </w:abstractNum>
  <w:abstractNum w:abstractNumId="9">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80" w:hanging="632"/>
      </w:pPr>
      <w:rPr>
        <w:rFonts w:hint="default"/>
      </w:rPr>
    </w:lvl>
    <w:lvl w:ilvl="6">
      <w:start w:val="0"/>
      <w:numFmt w:val="bullet"/>
      <w:lvlText w:val="•"/>
      <w:lvlJc w:val="left"/>
      <w:pPr>
        <w:ind w:left="4508" w:hanging="632"/>
      </w:pPr>
      <w:rPr>
        <w:rFonts w:hint="default"/>
      </w:rPr>
    </w:lvl>
    <w:lvl w:ilvl="7">
      <w:start w:val="0"/>
      <w:numFmt w:val="bullet"/>
      <w:lvlText w:val="•"/>
      <w:lvlJc w:val="left"/>
      <w:pPr>
        <w:ind w:left="5136" w:hanging="632"/>
      </w:pPr>
      <w:rPr>
        <w:rFonts w:hint="default"/>
      </w:rPr>
    </w:lvl>
    <w:lvl w:ilvl="8">
      <w:start w:val="0"/>
      <w:numFmt w:val="bullet"/>
      <w:lvlText w:val="•"/>
      <w:lvlJc w:val="left"/>
      <w:pPr>
        <w:ind w:left="5764" w:hanging="632"/>
      </w:pPr>
      <w:rPr>
        <w:rFonts w:hint="default"/>
      </w:rPr>
    </w:lvl>
  </w:abstractNum>
  <w:abstractNum w:abstractNumId="8">
    <w:multiLevelType w:val="hybridMultilevel"/>
    <w:lvl w:ilvl="0">
      <w:start w:val="1"/>
      <w:numFmt w:val="decimal"/>
      <w:lvlText w:val="（%1）"/>
      <w:lvlJc w:val="left"/>
      <w:pPr>
        <w:ind w:left="734" w:hanging="632"/>
        <w:jc w:val="left"/>
      </w:pPr>
      <w:rPr>
        <w:rFonts w:hint="default" w:ascii="宋体" w:hAnsi="宋体" w:eastAsia="宋体" w:cs="宋体"/>
        <w:w w:val="100"/>
        <w:sz w:val="21"/>
        <w:szCs w:val="21"/>
      </w:rPr>
    </w:lvl>
    <w:lvl w:ilvl="1">
      <w:start w:val="0"/>
      <w:numFmt w:val="bullet"/>
      <w:lvlText w:val="•"/>
      <w:lvlJc w:val="left"/>
      <w:pPr>
        <w:ind w:left="1368" w:hanging="632"/>
      </w:pPr>
      <w:rPr>
        <w:rFonts w:hint="default"/>
      </w:rPr>
    </w:lvl>
    <w:lvl w:ilvl="2">
      <w:start w:val="0"/>
      <w:numFmt w:val="bullet"/>
      <w:lvlText w:val="•"/>
      <w:lvlJc w:val="left"/>
      <w:pPr>
        <w:ind w:left="1996" w:hanging="632"/>
      </w:pPr>
      <w:rPr>
        <w:rFonts w:hint="default"/>
      </w:rPr>
    </w:lvl>
    <w:lvl w:ilvl="3">
      <w:start w:val="0"/>
      <w:numFmt w:val="bullet"/>
      <w:lvlText w:val="•"/>
      <w:lvlJc w:val="left"/>
      <w:pPr>
        <w:ind w:left="2624" w:hanging="632"/>
      </w:pPr>
      <w:rPr>
        <w:rFonts w:hint="default"/>
      </w:rPr>
    </w:lvl>
    <w:lvl w:ilvl="4">
      <w:start w:val="0"/>
      <w:numFmt w:val="bullet"/>
      <w:lvlText w:val="•"/>
      <w:lvlJc w:val="left"/>
      <w:pPr>
        <w:ind w:left="3252" w:hanging="632"/>
      </w:pPr>
      <w:rPr>
        <w:rFonts w:hint="default"/>
      </w:rPr>
    </w:lvl>
    <w:lvl w:ilvl="5">
      <w:start w:val="0"/>
      <w:numFmt w:val="bullet"/>
      <w:lvlText w:val="•"/>
      <w:lvlJc w:val="left"/>
      <w:pPr>
        <w:ind w:left="3880" w:hanging="632"/>
      </w:pPr>
      <w:rPr>
        <w:rFonts w:hint="default"/>
      </w:rPr>
    </w:lvl>
    <w:lvl w:ilvl="6">
      <w:start w:val="0"/>
      <w:numFmt w:val="bullet"/>
      <w:lvlText w:val="•"/>
      <w:lvlJc w:val="left"/>
      <w:pPr>
        <w:ind w:left="4508" w:hanging="632"/>
      </w:pPr>
      <w:rPr>
        <w:rFonts w:hint="default"/>
      </w:rPr>
    </w:lvl>
    <w:lvl w:ilvl="7">
      <w:start w:val="0"/>
      <w:numFmt w:val="bullet"/>
      <w:lvlText w:val="•"/>
      <w:lvlJc w:val="left"/>
      <w:pPr>
        <w:ind w:left="5136" w:hanging="632"/>
      </w:pPr>
      <w:rPr>
        <w:rFonts w:hint="default"/>
      </w:rPr>
    </w:lvl>
    <w:lvl w:ilvl="8">
      <w:start w:val="0"/>
      <w:numFmt w:val="bullet"/>
      <w:lvlText w:val="•"/>
      <w:lvlJc w:val="left"/>
      <w:pPr>
        <w:ind w:left="5764" w:hanging="632"/>
      </w:pPr>
      <w:rPr>
        <w:rFonts w:hint="default"/>
      </w:rPr>
    </w:lvl>
  </w:abstractNum>
  <w:abstractNum w:abstractNumId="7">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4"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6" w:hanging="632"/>
      </w:pPr>
      <w:rPr>
        <w:rFonts w:hint="default"/>
      </w:rPr>
    </w:lvl>
  </w:abstractNum>
  <w:abstractNum w:abstractNumId="6">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4"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6" w:hanging="632"/>
      </w:pPr>
      <w:rPr>
        <w:rFonts w:hint="default"/>
      </w:rPr>
    </w:lvl>
  </w:abstractNum>
  <w:abstractNum w:abstractNumId="5">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4"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6" w:hanging="632"/>
      </w:pPr>
      <w:rPr>
        <w:rFonts w:hint="default"/>
      </w:rPr>
    </w:lvl>
  </w:abstractNum>
  <w:abstractNum w:abstractNumId="4">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2" w:hanging="632"/>
      </w:pPr>
      <w:rPr>
        <w:rFonts w:hint="default"/>
      </w:rPr>
    </w:lvl>
    <w:lvl w:ilvl="6">
      <w:start w:val="0"/>
      <w:numFmt w:val="bullet"/>
      <w:lvlText w:val="•"/>
      <w:lvlJc w:val="left"/>
      <w:pPr>
        <w:ind w:left="4610"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7" w:hanging="632"/>
      </w:pPr>
      <w:rPr>
        <w:rFonts w:hint="default"/>
      </w:rPr>
    </w:lvl>
  </w:abstractNum>
  <w:abstractNum w:abstractNumId="3">
    <w:multiLevelType w:val="hybridMultilevel"/>
    <w:lvl w:ilvl="0">
      <w:start w:val="1"/>
      <w:numFmt w:val="decimal"/>
      <w:lvlText w:val="（%1）"/>
      <w:lvlJc w:val="left"/>
      <w:pPr>
        <w:ind w:left="838" w:hanging="632"/>
        <w:jc w:val="left"/>
      </w:pPr>
      <w:rPr>
        <w:rFonts w:hint="default" w:ascii="宋体" w:hAnsi="宋体" w:eastAsia="宋体" w:cs="宋体"/>
        <w:w w:val="100"/>
        <w:sz w:val="21"/>
        <w:szCs w:val="21"/>
      </w:rPr>
    </w:lvl>
    <w:lvl w:ilvl="1">
      <w:start w:val="0"/>
      <w:numFmt w:val="bullet"/>
      <w:lvlText w:val="•"/>
      <w:lvlJc w:val="left"/>
      <w:pPr>
        <w:ind w:left="1468" w:hanging="632"/>
      </w:pPr>
      <w:rPr>
        <w:rFonts w:hint="default"/>
      </w:rPr>
    </w:lvl>
    <w:lvl w:ilvl="2">
      <w:start w:val="0"/>
      <w:numFmt w:val="bullet"/>
      <w:lvlText w:val="•"/>
      <w:lvlJc w:val="left"/>
      <w:pPr>
        <w:ind w:left="2096" w:hanging="632"/>
      </w:pPr>
      <w:rPr>
        <w:rFonts w:hint="default"/>
      </w:rPr>
    </w:lvl>
    <w:lvl w:ilvl="3">
      <w:start w:val="0"/>
      <w:numFmt w:val="bullet"/>
      <w:lvlText w:val="•"/>
      <w:lvlJc w:val="left"/>
      <w:pPr>
        <w:ind w:left="2725" w:hanging="632"/>
      </w:pPr>
      <w:rPr>
        <w:rFonts w:hint="default"/>
      </w:rPr>
    </w:lvl>
    <w:lvl w:ilvl="4">
      <w:start w:val="0"/>
      <w:numFmt w:val="bullet"/>
      <w:lvlText w:val="•"/>
      <w:lvlJc w:val="left"/>
      <w:pPr>
        <w:ind w:left="3353" w:hanging="632"/>
      </w:pPr>
      <w:rPr>
        <w:rFonts w:hint="default"/>
      </w:rPr>
    </w:lvl>
    <w:lvl w:ilvl="5">
      <w:start w:val="0"/>
      <w:numFmt w:val="bullet"/>
      <w:lvlText w:val="•"/>
      <w:lvlJc w:val="left"/>
      <w:pPr>
        <w:ind w:left="3982" w:hanging="632"/>
      </w:pPr>
      <w:rPr>
        <w:rFonts w:hint="default"/>
      </w:rPr>
    </w:lvl>
    <w:lvl w:ilvl="6">
      <w:start w:val="0"/>
      <w:numFmt w:val="bullet"/>
      <w:lvlText w:val="•"/>
      <w:lvlJc w:val="left"/>
      <w:pPr>
        <w:ind w:left="4610" w:hanging="632"/>
      </w:pPr>
      <w:rPr>
        <w:rFonts w:hint="default"/>
      </w:rPr>
    </w:lvl>
    <w:lvl w:ilvl="7">
      <w:start w:val="0"/>
      <w:numFmt w:val="bullet"/>
      <w:lvlText w:val="•"/>
      <w:lvlJc w:val="left"/>
      <w:pPr>
        <w:ind w:left="5238" w:hanging="632"/>
      </w:pPr>
      <w:rPr>
        <w:rFonts w:hint="default"/>
      </w:rPr>
    </w:lvl>
    <w:lvl w:ilvl="8">
      <w:start w:val="0"/>
      <w:numFmt w:val="bullet"/>
      <w:lvlText w:val="•"/>
      <w:lvlJc w:val="left"/>
      <w:pPr>
        <w:ind w:left="5867" w:hanging="632"/>
      </w:pPr>
      <w:rPr>
        <w:rFonts w:hint="default"/>
      </w:rPr>
    </w:lvl>
  </w:abstractNum>
  <w:abstractNum w:abstractNumId="2">
    <w:multiLevelType w:val="hybridMultilevel"/>
    <w:lvl w:ilvl="0">
      <w:start w:val="1"/>
      <w:numFmt w:val="decimal"/>
      <w:lvlText w:val="（%1）"/>
      <w:lvlJc w:val="left"/>
      <w:pPr>
        <w:ind w:left="837" w:hanging="632"/>
        <w:jc w:val="left"/>
      </w:pPr>
      <w:rPr>
        <w:rFonts w:hint="default" w:ascii="宋体" w:hAnsi="宋体" w:eastAsia="宋体" w:cs="宋体"/>
        <w:w w:val="100"/>
        <w:sz w:val="21"/>
        <w:szCs w:val="21"/>
      </w:rPr>
    </w:lvl>
    <w:lvl w:ilvl="1">
      <w:start w:val="0"/>
      <w:numFmt w:val="bullet"/>
      <w:lvlText w:val="•"/>
      <w:lvlJc w:val="left"/>
      <w:pPr>
        <w:ind w:left="1448" w:hanging="632"/>
      </w:pPr>
      <w:rPr>
        <w:rFonts w:hint="default"/>
      </w:rPr>
    </w:lvl>
    <w:lvl w:ilvl="2">
      <w:start w:val="0"/>
      <w:numFmt w:val="bullet"/>
      <w:lvlText w:val="•"/>
      <w:lvlJc w:val="left"/>
      <w:pPr>
        <w:ind w:left="2056" w:hanging="632"/>
      </w:pPr>
      <w:rPr>
        <w:rFonts w:hint="default"/>
      </w:rPr>
    </w:lvl>
    <w:lvl w:ilvl="3">
      <w:start w:val="0"/>
      <w:numFmt w:val="bullet"/>
      <w:lvlText w:val="•"/>
      <w:lvlJc w:val="left"/>
      <w:pPr>
        <w:ind w:left="2664" w:hanging="632"/>
      </w:pPr>
      <w:rPr>
        <w:rFonts w:hint="default"/>
      </w:rPr>
    </w:lvl>
    <w:lvl w:ilvl="4">
      <w:start w:val="0"/>
      <w:numFmt w:val="bullet"/>
      <w:lvlText w:val="•"/>
      <w:lvlJc w:val="left"/>
      <w:pPr>
        <w:ind w:left="3273" w:hanging="632"/>
      </w:pPr>
      <w:rPr>
        <w:rFonts w:hint="default"/>
      </w:rPr>
    </w:lvl>
    <w:lvl w:ilvl="5">
      <w:start w:val="0"/>
      <w:numFmt w:val="bullet"/>
      <w:lvlText w:val="•"/>
      <w:lvlJc w:val="left"/>
      <w:pPr>
        <w:ind w:left="3881" w:hanging="632"/>
      </w:pPr>
      <w:rPr>
        <w:rFonts w:hint="default"/>
      </w:rPr>
    </w:lvl>
    <w:lvl w:ilvl="6">
      <w:start w:val="0"/>
      <w:numFmt w:val="bullet"/>
      <w:lvlText w:val="•"/>
      <w:lvlJc w:val="left"/>
      <w:pPr>
        <w:ind w:left="4489" w:hanging="632"/>
      </w:pPr>
      <w:rPr>
        <w:rFonts w:hint="default"/>
      </w:rPr>
    </w:lvl>
    <w:lvl w:ilvl="7">
      <w:start w:val="0"/>
      <w:numFmt w:val="bullet"/>
      <w:lvlText w:val="•"/>
      <w:lvlJc w:val="left"/>
      <w:pPr>
        <w:ind w:left="5098" w:hanging="632"/>
      </w:pPr>
      <w:rPr>
        <w:rFonts w:hint="default"/>
      </w:rPr>
    </w:lvl>
    <w:lvl w:ilvl="8">
      <w:start w:val="0"/>
      <w:numFmt w:val="bullet"/>
      <w:lvlText w:val="•"/>
      <w:lvlJc w:val="left"/>
      <w:pPr>
        <w:ind w:left="5706" w:hanging="632"/>
      </w:pPr>
      <w:rPr>
        <w:rFonts w:hint="default"/>
      </w:rPr>
    </w:lvl>
  </w:abstractNum>
  <w:abstractNum w:abstractNumId="1">
    <w:multiLevelType w:val="hybridMultilevel"/>
    <w:lvl w:ilvl="0">
      <w:start w:val="1"/>
      <w:numFmt w:val="decimal"/>
      <w:lvlText w:val="（%1）"/>
      <w:lvlJc w:val="left"/>
      <w:pPr>
        <w:ind w:left="837" w:hanging="634"/>
        <w:jc w:val="left"/>
      </w:pPr>
      <w:rPr>
        <w:rFonts w:hint="default" w:ascii="黑体" w:hAnsi="黑体" w:eastAsia="黑体" w:cs="黑体"/>
        <w:b/>
        <w:bCs/>
        <w:w w:val="99"/>
        <w:sz w:val="21"/>
        <w:szCs w:val="21"/>
      </w:rPr>
    </w:lvl>
    <w:lvl w:ilvl="1">
      <w:start w:val="0"/>
      <w:numFmt w:val="bullet"/>
      <w:lvlText w:val="•"/>
      <w:lvlJc w:val="left"/>
      <w:pPr>
        <w:ind w:left="1448" w:hanging="634"/>
      </w:pPr>
      <w:rPr>
        <w:rFonts w:hint="default"/>
      </w:rPr>
    </w:lvl>
    <w:lvl w:ilvl="2">
      <w:start w:val="0"/>
      <w:numFmt w:val="bullet"/>
      <w:lvlText w:val="•"/>
      <w:lvlJc w:val="left"/>
      <w:pPr>
        <w:ind w:left="2056" w:hanging="634"/>
      </w:pPr>
      <w:rPr>
        <w:rFonts w:hint="default"/>
      </w:rPr>
    </w:lvl>
    <w:lvl w:ilvl="3">
      <w:start w:val="0"/>
      <w:numFmt w:val="bullet"/>
      <w:lvlText w:val="•"/>
      <w:lvlJc w:val="left"/>
      <w:pPr>
        <w:ind w:left="2664" w:hanging="634"/>
      </w:pPr>
      <w:rPr>
        <w:rFonts w:hint="default"/>
      </w:rPr>
    </w:lvl>
    <w:lvl w:ilvl="4">
      <w:start w:val="0"/>
      <w:numFmt w:val="bullet"/>
      <w:lvlText w:val="•"/>
      <w:lvlJc w:val="left"/>
      <w:pPr>
        <w:ind w:left="3273" w:hanging="634"/>
      </w:pPr>
      <w:rPr>
        <w:rFonts w:hint="default"/>
      </w:rPr>
    </w:lvl>
    <w:lvl w:ilvl="5">
      <w:start w:val="0"/>
      <w:numFmt w:val="bullet"/>
      <w:lvlText w:val="•"/>
      <w:lvlJc w:val="left"/>
      <w:pPr>
        <w:ind w:left="3881" w:hanging="634"/>
      </w:pPr>
      <w:rPr>
        <w:rFonts w:hint="default"/>
      </w:rPr>
    </w:lvl>
    <w:lvl w:ilvl="6">
      <w:start w:val="0"/>
      <w:numFmt w:val="bullet"/>
      <w:lvlText w:val="•"/>
      <w:lvlJc w:val="left"/>
      <w:pPr>
        <w:ind w:left="4489" w:hanging="634"/>
      </w:pPr>
      <w:rPr>
        <w:rFonts w:hint="default"/>
      </w:rPr>
    </w:lvl>
    <w:lvl w:ilvl="7">
      <w:start w:val="0"/>
      <w:numFmt w:val="bullet"/>
      <w:lvlText w:val="•"/>
      <w:lvlJc w:val="left"/>
      <w:pPr>
        <w:ind w:left="5098" w:hanging="634"/>
      </w:pPr>
      <w:rPr>
        <w:rFonts w:hint="default"/>
      </w:rPr>
    </w:lvl>
    <w:lvl w:ilvl="8">
      <w:start w:val="0"/>
      <w:numFmt w:val="bullet"/>
      <w:lvlText w:val="•"/>
      <w:lvlJc w:val="left"/>
      <w:pPr>
        <w:ind w:left="5706" w:hanging="634"/>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b/>
        <w:bCs/>
        <w:w w:val="100"/>
        <w:sz w:val="21"/>
        <w:szCs w:val="21"/>
      </w:rPr>
    </w:lvl>
    <w:lvl w:ilvl="1">
      <w:start w:val="0"/>
      <w:numFmt w:val="bullet"/>
      <w:lvlText w:val="•"/>
      <w:lvlJc w:val="left"/>
      <w:pPr>
        <w:ind w:left="1986" w:hanging="420"/>
      </w:pPr>
      <w:rPr>
        <w:rFonts w:hint="default"/>
      </w:rPr>
    </w:lvl>
    <w:lvl w:ilvl="2">
      <w:start w:val="0"/>
      <w:numFmt w:val="bullet"/>
      <w:lvlText w:val="•"/>
      <w:lvlJc w:val="left"/>
      <w:pPr>
        <w:ind w:left="2893" w:hanging="420"/>
      </w:pPr>
      <w:rPr>
        <w:rFonts w:hint="default"/>
      </w:rPr>
    </w:lvl>
    <w:lvl w:ilvl="3">
      <w:start w:val="0"/>
      <w:numFmt w:val="bullet"/>
      <w:lvlText w:val="•"/>
      <w:lvlJc w:val="left"/>
      <w:pPr>
        <w:ind w:left="3799" w:hanging="420"/>
      </w:pPr>
      <w:rPr>
        <w:rFonts w:hint="default"/>
      </w:rPr>
    </w:lvl>
    <w:lvl w:ilvl="4">
      <w:start w:val="0"/>
      <w:numFmt w:val="bullet"/>
      <w:lvlText w:val="•"/>
      <w:lvlJc w:val="left"/>
      <w:pPr>
        <w:ind w:left="4706" w:hanging="420"/>
      </w:pPr>
      <w:rPr>
        <w:rFonts w:hint="default"/>
      </w:rPr>
    </w:lvl>
    <w:lvl w:ilvl="5">
      <w:start w:val="0"/>
      <w:numFmt w:val="bullet"/>
      <w:lvlText w:val="•"/>
      <w:lvlJc w:val="left"/>
      <w:pPr>
        <w:ind w:left="5613" w:hanging="420"/>
      </w:pPr>
      <w:rPr>
        <w:rFonts w:hint="default"/>
      </w:rPr>
    </w:lvl>
    <w:lvl w:ilvl="6">
      <w:start w:val="0"/>
      <w:numFmt w:val="bullet"/>
      <w:lvlText w:val="•"/>
      <w:lvlJc w:val="left"/>
      <w:pPr>
        <w:ind w:left="6519" w:hanging="420"/>
      </w:pPr>
      <w:rPr>
        <w:rFonts w:hint="default"/>
      </w:rPr>
    </w:lvl>
    <w:lvl w:ilvl="7">
      <w:start w:val="0"/>
      <w:numFmt w:val="bullet"/>
      <w:lvlText w:val="•"/>
      <w:lvlJc w:val="left"/>
      <w:pPr>
        <w:ind w:left="7426" w:hanging="420"/>
      </w:pPr>
      <w:rPr>
        <w:rFonts w:hint="default"/>
      </w:rPr>
    </w:lvl>
    <w:lvl w:ilvl="8">
      <w:start w:val="0"/>
      <w:numFmt w:val="bullet"/>
      <w:lvlText w:val="•"/>
      <w:lvlJc w:val="left"/>
      <w:pPr>
        <w:ind w:left="8333" w:hanging="420"/>
      </w:pPr>
      <w:rPr>
        <w:rFonts w:hint="default"/>
      </w:rPr>
    </w:lvl>
  </w:abstract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ListParagraph" w:type="paragraph">
    <w:name w:val="List Paragraph"/>
    <w:basedOn w:val="Normal"/>
    <w:uiPriority w:val="1"/>
    <w:qFormat/>
    <w:pPr>
      <w:spacing w:before="84"/>
      <w:ind w:left="1086" w:hanging="420"/>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header" Target="header1.xml"/><Relationship Id="rId29" Type="http://schemas.openxmlformats.org/officeDocument/2006/relationships/footer" Target="footer2.xml"/><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4-2长城附加保险费豁免重大疾病保险条款</dc:title>
  <dcterms:created xsi:type="dcterms:W3CDTF">2018-10-20T03:07:27Z</dcterms:created>
  <dcterms:modified xsi:type="dcterms:W3CDTF">2018-10-20T03:07:27Z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2014-08-20T00:00:00Z</vt:filetime>
  </property>
  <property fmtid="{D5CDD505-2E9C-101B-9397-08002B2CF9AE}" pid="3" name="Creator">
    <vt:lpwstr>Microsoft® Office Word 2007</vt:lpwstr>
  </property>
  <property fmtid="{D5CDD505-2E9C-101B-9397-08002B2CF9AE}" pid="4" name="LastSaved">
    <vt:filetime>2018-10-19T00:00:00Z</vt:filetime>
  </property>
</Properties>
</file>