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1928" w:right="1972"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3"/>
        <w:rPr>
          <w:rFonts w:ascii="Microsoft JhengHei"/>
          <w:b/>
          <w:sz w:val="20"/>
        </w:rPr>
      </w:pPr>
    </w:p>
    <w:p>
      <w:pPr>
        <w:spacing w:before="0"/>
        <w:ind w:left="1929" w:right="1972" w:firstLine="0"/>
        <w:jc w:val="center"/>
        <w:rPr>
          <w:b/>
          <w:sz w:val="48"/>
        </w:rPr>
      </w:pPr>
      <w:r>
        <w:rPr>
          <w:b/>
          <w:w w:val="95"/>
          <w:sz w:val="48"/>
        </w:rPr>
        <w:t>光大永明附加少儿重大疾病保险</w:t>
      </w:r>
    </w:p>
    <w:p>
      <w:pPr>
        <w:pStyle w:val="BodyText"/>
        <w:spacing w:before="5"/>
        <w:rPr>
          <w:b/>
          <w:sz w:val="54"/>
        </w:rPr>
      </w:pPr>
    </w:p>
    <w:p>
      <w:pPr>
        <w:spacing w:before="0"/>
        <w:ind w:left="214"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4"/>
        <w:rPr>
          <w:rFonts w:ascii="微软雅黑"/>
          <w:b/>
          <w:sz w:val="11"/>
        </w:rPr>
      </w:pPr>
    </w:p>
    <w:p>
      <w:pPr>
        <w:pStyle w:val="Heading1"/>
        <w:ind w:left="214"/>
        <w:rPr>
          <w:rFonts w:ascii="微软雅黑" w:eastAsia="微软雅黑" w:hint="eastAsia"/>
        </w:rPr>
      </w:pPr>
      <w:r>
        <w:rPr>
          <w:rFonts w:ascii="微软雅黑" w:eastAsia="微软雅黑" w:hint="eastAsia"/>
        </w:rPr>
        <w:t>阅读提示</w:t>
      </w:r>
    </w:p>
    <w:p>
      <w:pPr>
        <w:pStyle w:val="BodyText"/>
        <w:spacing w:before="14"/>
        <w:rPr>
          <w:rFonts w:ascii="微软雅黑"/>
          <w:b/>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2"/>
        <w:gridCol w:w="1719"/>
      </w:tblGrid>
      <w:tr>
        <w:trPr>
          <w:trHeight w:val="492" w:hRule="atLeast"/>
        </w:trPr>
        <w:tc>
          <w:tcPr>
            <w:tcW w:w="10131" w:type="dxa"/>
            <w:gridSpan w:val="2"/>
            <w:tcBorders>
              <w:top w:val="single" w:sz="4" w:space="0" w:color="000000"/>
            </w:tcBorders>
          </w:tcPr>
          <w:p>
            <w:pPr>
              <w:pStyle w:val="TableParagraph"/>
              <w:spacing w:line="400" w:lineRule="exact"/>
              <w:ind w:left="3848" w:right="3842"/>
              <w:jc w:val="center"/>
              <w:rPr>
                <w:rFonts w:ascii="微软雅黑" w:eastAsia="微软雅黑" w:hint="eastAsia"/>
                <w:b/>
                <w:sz w:val="24"/>
              </w:rPr>
            </w:pPr>
            <w:r>
              <w:rPr>
                <w:rFonts w:ascii="微软雅黑" w:eastAsia="微软雅黑" w:hint="eastAsia"/>
                <w:b/>
                <w:sz w:val="24"/>
              </w:rPr>
              <w:t>您所享有的重要权益</w:t>
            </w:r>
          </w:p>
        </w:tc>
      </w:tr>
      <w:tr>
        <w:trPr>
          <w:trHeight w:val="470" w:hRule="atLeast"/>
        </w:trPr>
        <w:tc>
          <w:tcPr>
            <w:tcW w:w="8412" w:type="dxa"/>
          </w:tcPr>
          <w:p>
            <w:pPr>
              <w:pStyle w:val="TableParagraph"/>
              <w:spacing w:before="63"/>
              <w:ind w:left="108"/>
              <w:rPr>
                <w:sz w:val="21"/>
              </w:rPr>
            </w:pPr>
            <w:r>
              <w:rPr>
                <w:rFonts w:ascii="宋体" w:hAnsi="宋体" w:eastAsia="宋体" w:hint="eastAsia"/>
                <w:sz w:val="21"/>
              </w:rPr>
              <w:t>本附加合同所提供的保障</w:t>
            </w:r>
            <w:r>
              <w:rPr>
                <w:sz w:val="21"/>
              </w:rPr>
              <w:t>............................................…………………………………………</w:t>
            </w:r>
          </w:p>
        </w:tc>
        <w:tc>
          <w:tcPr>
            <w:tcW w:w="1719" w:type="dxa"/>
          </w:tcPr>
          <w:p>
            <w:pPr>
              <w:pStyle w:val="TableParagraph"/>
              <w:tabs>
                <w:tab w:pos="503" w:val="left" w:leader="none"/>
                <w:tab w:pos="1005" w:val="left" w:leader="none"/>
              </w:tabs>
              <w:spacing w:before="1"/>
              <w:ind w:right="100"/>
              <w:jc w:val="right"/>
              <w:rPr>
                <w:rFonts w:ascii="微软雅黑" w:eastAsia="微软雅黑" w:hint="eastAsia"/>
                <w:b/>
                <w:sz w:val="21"/>
              </w:rPr>
            </w:pPr>
            <w:hyperlink w:history="true" w:anchor="_bookmark7">
              <w:r>
                <w:rPr>
                  <w:rFonts w:ascii="微软雅黑" w:eastAsia="微软雅黑" w:hint="eastAsia"/>
                  <w:b/>
                  <w:sz w:val="21"/>
                </w:rPr>
                <w:t>第</w:t>
                <w:tab/>
                <w:t>六</w:t>
                <w:tab/>
                <w:t>条</w:t>
              </w:r>
            </w:hyperlink>
          </w:p>
        </w:tc>
      </w:tr>
      <w:tr>
        <w:trPr>
          <w:trHeight w:val="454" w:hRule="atLeast"/>
        </w:trPr>
        <w:tc>
          <w:tcPr>
            <w:tcW w:w="8412" w:type="dxa"/>
          </w:tcPr>
          <w:p>
            <w:pPr>
              <w:pStyle w:val="TableParagraph"/>
              <w:spacing w:before="57"/>
              <w:ind w:left="108"/>
              <w:rPr>
                <w:sz w:val="21"/>
              </w:rPr>
            </w:pPr>
            <w:r>
              <w:rPr>
                <w:rFonts w:ascii="宋体" w:hAnsi="宋体" w:eastAsia="宋体" w:hint="eastAsia"/>
                <w:sz w:val="21"/>
              </w:rPr>
              <w:t>签收保险合同后十天内，您可以要求退还保险费</w:t>
            </w:r>
            <w:r>
              <w:rPr>
                <w:sz w:val="21"/>
              </w:rPr>
              <w:t>....…………………………………………</w:t>
            </w:r>
          </w:p>
        </w:tc>
        <w:tc>
          <w:tcPr>
            <w:tcW w:w="1719" w:type="dxa"/>
          </w:tcPr>
          <w:p>
            <w:pPr>
              <w:pStyle w:val="TableParagraph"/>
              <w:spacing w:line="358" w:lineRule="exact"/>
              <w:ind w:right="99"/>
              <w:jc w:val="right"/>
              <w:rPr>
                <w:rFonts w:ascii="微软雅黑" w:eastAsia="微软雅黑" w:hint="eastAsia"/>
                <w:b/>
                <w:sz w:val="21"/>
              </w:rPr>
            </w:pPr>
            <w:hyperlink w:history="true" w:anchor="_bookmark20">
              <w:r>
                <w:rPr>
                  <w:rFonts w:ascii="微软雅黑" w:eastAsia="微软雅黑" w:hint="eastAsia"/>
                  <w:b/>
                  <w:sz w:val="21"/>
                </w:rPr>
                <w:t>第   十   五  条</w:t>
              </w:r>
            </w:hyperlink>
          </w:p>
        </w:tc>
      </w:tr>
      <w:tr>
        <w:trPr>
          <w:trHeight w:val="467" w:hRule="atLeast"/>
        </w:trPr>
        <w:tc>
          <w:tcPr>
            <w:tcW w:w="10131" w:type="dxa"/>
            <w:gridSpan w:val="2"/>
          </w:tcPr>
          <w:p>
            <w:pPr>
              <w:pStyle w:val="TableParagraph"/>
              <w:spacing w:line="375" w:lineRule="exact"/>
              <w:ind w:left="3849" w:right="3842"/>
              <w:jc w:val="center"/>
              <w:rPr>
                <w:rFonts w:ascii="微软雅黑" w:eastAsia="微软雅黑" w:hint="eastAsia"/>
                <w:b/>
                <w:sz w:val="24"/>
              </w:rPr>
            </w:pPr>
            <w:r>
              <w:rPr>
                <w:rFonts w:ascii="微软雅黑" w:eastAsia="微软雅黑" w:hint="eastAsia"/>
                <w:b/>
                <w:sz w:val="24"/>
              </w:rPr>
              <w:t>您应当特别注意的事项</w:t>
            </w:r>
          </w:p>
        </w:tc>
      </w:tr>
      <w:tr>
        <w:trPr>
          <w:trHeight w:val="469" w:hRule="atLeast"/>
        </w:trPr>
        <w:tc>
          <w:tcPr>
            <w:tcW w:w="8412" w:type="dxa"/>
          </w:tcPr>
          <w:p>
            <w:pPr>
              <w:pStyle w:val="TableParagraph"/>
              <w:spacing w:before="63"/>
              <w:ind w:left="108"/>
              <w:rPr>
                <w:sz w:val="21"/>
              </w:rPr>
            </w:pPr>
            <w:r>
              <w:rPr>
                <w:rFonts w:ascii="宋体" w:hAnsi="宋体" w:eastAsia="宋体" w:hint="eastAsia"/>
                <w:sz w:val="21"/>
              </w:rPr>
              <w:t>在某些情况下，我们不承担保险责任</w:t>
            </w:r>
            <w:r>
              <w:rPr>
                <w:sz w:val="21"/>
              </w:rPr>
              <w:t>................................ ............... .............….............….....</w:t>
            </w:r>
          </w:p>
        </w:tc>
        <w:tc>
          <w:tcPr>
            <w:tcW w:w="1719" w:type="dxa"/>
          </w:tcPr>
          <w:p>
            <w:pPr>
              <w:pStyle w:val="TableParagraph"/>
              <w:tabs>
                <w:tab w:pos="503" w:val="left" w:leader="none"/>
                <w:tab w:pos="1005" w:val="left" w:leader="none"/>
              </w:tabs>
              <w:ind w:right="100"/>
              <w:jc w:val="right"/>
              <w:rPr>
                <w:rFonts w:ascii="微软雅黑" w:eastAsia="微软雅黑" w:hint="eastAsia"/>
                <w:b/>
                <w:sz w:val="21"/>
              </w:rPr>
            </w:pPr>
            <w:hyperlink w:history="true" w:anchor="_bookmark9">
              <w:r>
                <w:rPr>
                  <w:rFonts w:ascii="微软雅黑" w:eastAsia="微软雅黑" w:hint="eastAsia"/>
                  <w:b/>
                  <w:sz w:val="21"/>
                </w:rPr>
                <w:t>第</w:t>
                <w:tab/>
                <w:t>七</w:t>
                <w:tab/>
                <w:t>条</w:t>
              </w:r>
            </w:hyperlink>
          </w:p>
        </w:tc>
      </w:tr>
      <w:tr>
        <w:trPr>
          <w:trHeight w:val="464" w:hRule="atLeast"/>
        </w:trPr>
        <w:tc>
          <w:tcPr>
            <w:tcW w:w="8412" w:type="dxa"/>
          </w:tcPr>
          <w:p>
            <w:pPr>
              <w:pStyle w:val="TableParagraph"/>
              <w:spacing w:before="57"/>
              <w:ind w:left="108"/>
              <w:rPr>
                <w:sz w:val="21"/>
              </w:rPr>
            </w:pPr>
            <w:r>
              <w:rPr>
                <w:rFonts w:ascii="宋体" w:hAnsi="宋体" w:eastAsia="宋体" w:hint="eastAsia"/>
                <w:sz w:val="21"/>
              </w:rPr>
              <w:t>如何申领保险金</w:t>
            </w:r>
            <w:r>
              <w:rPr>
                <w:sz w:val="21"/>
              </w:rPr>
              <w:t>.................................................. ............... ............... .............…. .............……</w:t>
            </w:r>
          </w:p>
        </w:tc>
        <w:tc>
          <w:tcPr>
            <w:tcW w:w="1719" w:type="dxa"/>
          </w:tcPr>
          <w:p>
            <w:pPr>
              <w:pStyle w:val="TableParagraph"/>
              <w:tabs>
                <w:tab w:pos="503" w:val="left" w:leader="none"/>
                <w:tab w:pos="1005" w:val="left" w:leader="none"/>
              </w:tabs>
              <w:spacing w:line="358" w:lineRule="exact"/>
              <w:ind w:right="100"/>
              <w:jc w:val="right"/>
              <w:rPr>
                <w:rFonts w:ascii="微软雅黑" w:eastAsia="微软雅黑" w:hint="eastAsia"/>
                <w:b/>
                <w:sz w:val="21"/>
              </w:rPr>
            </w:pPr>
            <w:hyperlink w:history="true" w:anchor="_bookmark13">
              <w:r>
                <w:rPr>
                  <w:rFonts w:ascii="微软雅黑" w:eastAsia="微软雅黑" w:hint="eastAsia"/>
                  <w:b/>
                  <w:sz w:val="21"/>
                </w:rPr>
                <w:t>第</w:t>
                <w:tab/>
                <w:t>十</w:t>
                <w:tab/>
                <w:t>条</w:t>
              </w:r>
            </w:hyperlink>
          </w:p>
        </w:tc>
      </w:tr>
      <w:tr>
        <w:trPr>
          <w:trHeight w:val="348" w:hRule="atLeast"/>
        </w:trPr>
        <w:tc>
          <w:tcPr>
            <w:tcW w:w="8412" w:type="dxa"/>
          </w:tcPr>
          <w:p>
            <w:pPr>
              <w:pStyle w:val="TableParagraph"/>
              <w:spacing w:line="271" w:lineRule="exact" w:before="57"/>
              <w:ind w:left="108"/>
              <w:rPr>
                <w:sz w:val="21"/>
              </w:rPr>
            </w:pPr>
            <w:r>
              <w:rPr>
                <w:rFonts w:ascii="宋体" w:hAnsi="宋体" w:eastAsia="宋体" w:hint="eastAsia"/>
                <w:sz w:val="21"/>
              </w:rPr>
              <w:t>您有解除合同的权利，请您慎重决定</w:t>
            </w:r>
            <w:r>
              <w:rPr>
                <w:sz w:val="21"/>
              </w:rPr>
              <w:t>................................ ............... .............…. .............……</w:t>
            </w:r>
          </w:p>
        </w:tc>
        <w:tc>
          <w:tcPr>
            <w:tcW w:w="1719" w:type="dxa"/>
          </w:tcPr>
          <w:p>
            <w:pPr>
              <w:pStyle w:val="TableParagraph"/>
              <w:spacing w:line="329" w:lineRule="exact"/>
              <w:ind w:right="99"/>
              <w:jc w:val="right"/>
              <w:rPr>
                <w:rFonts w:ascii="微软雅黑" w:eastAsia="微软雅黑" w:hint="eastAsia"/>
                <w:b/>
                <w:sz w:val="21"/>
              </w:rPr>
            </w:pPr>
            <w:hyperlink w:history="true" w:anchor="_bookmark20">
              <w:r>
                <w:rPr>
                  <w:rFonts w:ascii="微软雅黑" w:eastAsia="微软雅黑" w:hint="eastAsia"/>
                  <w:b/>
                  <w:sz w:val="21"/>
                </w:rPr>
                <w:t>第   十   五  条</w:t>
              </w:r>
            </w:hyperlink>
          </w:p>
        </w:tc>
      </w:tr>
    </w:tbl>
    <w:p>
      <w:pPr>
        <w:pStyle w:val="BodyText"/>
        <w:spacing w:before="2"/>
        <w:rPr>
          <w:rFonts w:ascii="微软雅黑"/>
          <w:b/>
          <w:sz w:val="15"/>
        </w:rPr>
      </w:pPr>
    </w:p>
    <w:p>
      <w:pPr>
        <w:spacing w:before="1"/>
        <w:ind w:left="214" w:right="0" w:firstLine="0"/>
        <w:jc w:val="left"/>
        <w:rPr>
          <w:rFonts w:ascii="微软雅黑" w:eastAsia="微软雅黑" w:hint="eastAsia"/>
          <w:b/>
          <w:sz w:val="28"/>
        </w:rPr>
      </w:pPr>
      <w:r>
        <w:rPr>
          <w:rFonts w:ascii="微软雅黑" w:eastAsia="微软雅黑" w:hint="eastAsia"/>
          <w:b/>
          <w:sz w:val="28"/>
        </w:rPr>
        <w:t>名词说明</w:t>
      </w:r>
    </w:p>
    <w:p>
      <w:pPr>
        <w:pStyle w:val="BodyText"/>
        <w:spacing w:before="16"/>
        <w:rPr>
          <w:rFonts w:ascii="微软雅黑"/>
          <w:b/>
          <w:sz w:val="1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5"/>
      </w:tblGrid>
      <w:tr>
        <w:trPr>
          <w:trHeight w:val="379" w:hRule="atLeast"/>
        </w:trPr>
        <w:tc>
          <w:tcPr>
            <w:tcW w:w="1559" w:type="dxa"/>
            <w:tcBorders>
              <w:top w:val="single" w:sz="4" w:space="0" w:color="000000"/>
            </w:tcBorders>
          </w:tcPr>
          <w:p>
            <w:pPr>
              <w:pStyle w:val="TableParagraph"/>
              <w:spacing w:line="334" w:lineRule="exact"/>
              <w:ind w:left="108"/>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000000"/>
            </w:tcBorders>
          </w:tcPr>
          <w:p>
            <w:pPr>
              <w:pStyle w:val="TableParagraph"/>
              <w:spacing w:line="334" w:lineRule="exact"/>
              <w:ind w:right="107"/>
              <w:jc w:val="right"/>
              <w:rPr>
                <w:rFonts w:ascii="微软雅黑" w:eastAsia="微软雅黑" w:hint="eastAsia"/>
                <w:b/>
                <w:sz w:val="21"/>
              </w:rPr>
            </w:pPr>
            <w:r>
              <w:rPr>
                <w:rFonts w:ascii="微软雅黑" w:eastAsia="微软雅黑" w:hint="eastAsia"/>
                <w:b/>
                <w:sz w:val="21"/>
              </w:rPr>
              <w:t>：</w:t>
            </w:r>
          </w:p>
        </w:tc>
        <w:tc>
          <w:tcPr>
            <w:tcW w:w="7645" w:type="dxa"/>
            <w:tcBorders>
              <w:top w:val="single" w:sz="4" w:space="0" w:color="000000"/>
            </w:tcBorders>
          </w:tcPr>
          <w:p>
            <w:pPr>
              <w:pStyle w:val="TableParagraph"/>
              <w:spacing w:before="34"/>
              <w:ind w:left="109"/>
              <w:rPr>
                <w:rFonts w:ascii="宋体" w:eastAsia="宋体" w:hint="eastAsia"/>
                <w:sz w:val="21"/>
              </w:rPr>
            </w:pPr>
            <w:r>
              <w:rPr>
                <w:rFonts w:ascii="宋体" w:eastAsia="宋体" w:hint="eastAsia"/>
                <w:sz w:val="21"/>
              </w:rPr>
              <w:t>指光大永明人寿保险有限公司。</w:t>
            </w:r>
          </w:p>
        </w:tc>
      </w:tr>
      <w:tr>
        <w:trPr>
          <w:trHeight w:val="350" w:hRule="atLeast"/>
        </w:trPr>
        <w:tc>
          <w:tcPr>
            <w:tcW w:w="1559" w:type="dxa"/>
          </w:tcPr>
          <w:p>
            <w:pPr>
              <w:pStyle w:val="TableParagraph"/>
              <w:spacing w:line="306" w:lineRule="exact"/>
              <w:ind w:left="108"/>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right="107"/>
              <w:jc w:val="right"/>
              <w:rPr>
                <w:rFonts w:ascii="微软雅黑" w:eastAsia="微软雅黑" w:hint="eastAsia"/>
                <w:b/>
                <w:sz w:val="21"/>
              </w:rPr>
            </w:pPr>
            <w:r>
              <w:rPr>
                <w:rFonts w:ascii="微软雅黑" w:eastAsia="微软雅黑" w:hint="eastAsia"/>
                <w:b/>
                <w:sz w:val="21"/>
              </w:rPr>
              <w:t>：</w:t>
            </w:r>
          </w:p>
        </w:tc>
        <w:tc>
          <w:tcPr>
            <w:tcW w:w="7645" w:type="dxa"/>
          </w:tcPr>
          <w:p>
            <w:pPr>
              <w:pStyle w:val="TableParagraph"/>
              <w:spacing w:before="5"/>
              <w:ind w:left="109"/>
              <w:rPr>
                <w:rFonts w:ascii="宋体" w:eastAsia="宋体" w:hint="eastAsia"/>
                <w:sz w:val="21"/>
              </w:rPr>
            </w:pPr>
            <w:r>
              <w:rPr>
                <w:rFonts w:ascii="宋体" w:eastAsia="宋体" w:hint="eastAsia"/>
                <w:sz w:val="21"/>
              </w:rPr>
              <w:t>指投保人。</w:t>
            </w:r>
          </w:p>
        </w:tc>
      </w:tr>
      <w:tr>
        <w:trPr>
          <w:trHeight w:val="280" w:hRule="atLeast"/>
        </w:trPr>
        <w:tc>
          <w:tcPr>
            <w:tcW w:w="1559" w:type="dxa"/>
          </w:tcPr>
          <w:p>
            <w:pPr>
              <w:pStyle w:val="TableParagraph"/>
              <w:spacing w:line="260" w:lineRule="exact"/>
              <w:ind w:left="108"/>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60" w:lineRule="exact"/>
              <w:ind w:right="105"/>
              <w:jc w:val="right"/>
              <w:rPr>
                <w:rFonts w:ascii="微软雅黑" w:eastAsia="微软雅黑" w:hint="eastAsia"/>
                <w:b/>
                <w:sz w:val="21"/>
              </w:rPr>
            </w:pPr>
            <w:r>
              <w:rPr>
                <w:rFonts w:ascii="微软雅黑" w:eastAsia="微软雅黑" w:hint="eastAsia"/>
                <w:b/>
                <w:sz w:val="21"/>
              </w:rPr>
              <w:t>：</w:t>
            </w:r>
          </w:p>
        </w:tc>
        <w:tc>
          <w:tcPr>
            <w:tcW w:w="7645" w:type="dxa"/>
          </w:tcPr>
          <w:p>
            <w:pPr>
              <w:pStyle w:val="TableParagraph"/>
              <w:spacing w:line="255" w:lineRule="exact" w:before="5"/>
              <w:ind w:left="109"/>
              <w:rPr>
                <w:rFonts w:ascii="宋体" w:eastAsia="宋体" w:hint="eastAsia"/>
                <w:sz w:val="21"/>
              </w:rPr>
            </w:pPr>
            <w:r>
              <w:rPr>
                <w:rFonts w:ascii="宋体" w:eastAsia="宋体" w:hint="eastAsia"/>
                <w:sz w:val="21"/>
              </w:rPr>
              <w:t>指本条款。</w:t>
            </w:r>
          </w:p>
        </w:tc>
      </w:tr>
    </w:tbl>
    <w:p>
      <w:pPr>
        <w:spacing w:after="0" w:line="255" w:lineRule="exact"/>
        <w:rPr>
          <w:rFonts w:ascii="宋体" w:eastAsia="宋体" w:hint="eastAsia"/>
          <w:sz w:val="21"/>
        </w:rPr>
        <w:sectPr>
          <w:type w:val="continuous"/>
          <w:pgSz w:w="11910" w:h="16840"/>
          <w:pgMar w:top="1520" w:bottom="280" w:left="920" w:right="640"/>
        </w:sectPr>
      </w:pPr>
    </w:p>
    <w:p>
      <w:pPr>
        <w:spacing w:line="486" w:lineRule="exact" w:before="0"/>
        <w:ind w:left="4309" w:right="4341" w:firstLine="0"/>
        <w:jc w:val="center"/>
        <w:rPr>
          <w:rFonts w:ascii="微软雅黑" w:eastAsia="微软雅黑" w:hint="eastAsia"/>
          <w:b/>
          <w:sz w:val="36"/>
        </w:rPr>
      </w:pPr>
      <w:r>
        <w:rPr>
          <w:rFonts w:ascii="微软雅黑" w:eastAsia="微软雅黑" w:hint="eastAsia"/>
          <w:b/>
          <w:sz w:val="36"/>
        </w:rPr>
        <w:t>条款目录</w:t>
      </w:r>
    </w:p>
    <w:p>
      <w:pPr>
        <w:pStyle w:val="BodyText"/>
        <w:spacing w:before="4"/>
        <w:rPr>
          <w:rFonts w:ascii="微软雅黑"/>
          <w:b/>
          <w:sz w:val="20"/>
        </w:rPr>
      </w:pPr>
    </w:p>
    <w:p>
      <w:pPr>
        <w:spacing w:after="0"/>
        <w:rPr>
          <w:rFonts w:ascii="微软雅黑"/>
          <w:sz w:val="20"/>
        </w:rPr>
        <w:sectPr>
          <w:pgSz w:w="11910" w:h="16840"/>
          <w:pgMar w:top="1340" w:bottom="280" w:left="740" w:right="1040"/>
        </w:sectPr>
      </w:pPr>
    </w:p>
    <w:p>
      <w:pPr>
        <w:spacing w:before="45"/>
        <w:ind w:left="319" w:right="0" w:hanging="210"/>
        <w:jc w:val="left"/>
        <w:rPr>
          <w:b/>
          <w:sz w:val="20"/>
        </w:rPr>
      </w:pPr>
      <w:hyperlink w:history="true" w:anchor="_bookmark0">
        <w:r>
          <w:rPr>
            <w:b/>
            <w:w w:val="95"/>
            <w:sz w:val="20"/>
          </w:rPr>
          <w:t>第一部分</w:t>
        </w:r>
      </w:hyperlink>
    </w:p>
    <w:p>
      <w:pPr>
        <w:spacing w:line="285" w:lineRule="auto" w:before="170"/>
        <w:ind w:left="319" w:right="198" w:firstLine="0"/>
        <w:jc w:val="both"/>
        <w:rPr>
          <w:sz w:val="20"/>
        </w:rPr>
      </w:pPr>
      <w:hyperlink w:history="true" w:anchor="_bookmark1">
        <w:r>
          <w:rPr>
            <w:sz w:val="20"/>
          </w:rPr>
          <w:t>第一条</w:t>
        </w:r>
      </w:hyperlink>
      <w:hyperlink w:history="true" w:anchor="_bookmark2">
        <w:r>
          <w:rPr>
            <w:sz w:val="20"/>
          </w:rPr>
          <w:t>第二条</w:t>
        </w:r>
      </w:hyperlink>
      <w:hyperlink w:history="true" w:anchor="_bookmark3">
        <w:r>
          <w:rPr>
            <w:sz w:val="20"/>
          </w:rPr>
          <w:t>第三条</w:t>
        </w:r>
      </w:hyperlink>
      <w:hyperlink w:history="true" w:anchor="_bookmark4">
        <w:r>
          <w:rPr>
            <w:sz w:val="20"/>
          </w:rPr>
          <w:t>第四条</w:t>
        </w:r>
      </w:hyperlink>
      <w:hyperlink w:history="true" w:anchor="_bookmark5">
        <w:r>
          <w:rPr>
            <w:sz w:val="20"/>
          </w:rPr>
          <w:t>第五条</w:t>
        </w:r>
      </w:hyperlink>
    </w:p>
    <w:p>
      <w:pPr>
        <w:spacing w:before="132"/>
        <w:ind w:left="319" w:right="0" w:hanging="211"/>
        <w:jc w:val="left"/>
        <w:rPr>
          <w:b/>
          <w:sz w:val="20"/>
        </w:rPr>
      </w:pPr>
      <w:hyperlink w:history="true" w:anchor="_bookmark6">
        <w:r>
          <w:rPr>
            <w:b/>
            <w:w w:val="95"/>
            <w:sz w:val="20"/>
          </w:rPr>
          <w:t>第二部分</w:t>
        </w:r>
      </w:hyperlink>
    </w:p>
    <w:p>
      <w:pPr>
        <w:spacing w:line="285" w:lineRule="auto" w:before="170"/>
        <w:ind w:left="319" w:right="198" w:firstLine="0"/>
        <w:jc w:val="both"/>
        <w:rPr>
          <w:sz w:val="20"/>
        </w:rPr>
      </w:pPr>
      <w:hyperlink w:history="true" w:anchor="_bookmark7">
        <w:r>
          <w:rPr>
            <w:sz w:val="20"/>
          </w:rPr>
          <w:t>第六条</w:t>
        </w:r>
      </w:hyperlink>
      <w:hyperlink w:history="true" w:anchor="_bookmark9">
        <w:r>
          <w:rPr>
            <w:sz w:val="20"/>
          </w:rPr>
          <w:t>第七条</w:t>
        </w:r>
      </w:hyperlink>
      <w:hyperlink w:history="true" w:anchor="_bookmark10">
        <w:r>
          <w:rPr>
            <w:sz w:val="20"/>
          </w:rPr>
          <w:t>第八条</w:t>
        </w:r>
      </w:hyperlink>
      <w:hyperlink w:history="true" w:anchor="_bookmark11">
        <w:r>
          <w:rPr>
            <w:sz w:val="20"/>
          </w:rPr>
          <w:t>第九条</w:t>
        </w:r>
      </w:hyperlink>
    </w:p>
    <w:p>
      <w:pPr>
        <w:spacing w:before="132"/>
        <w:ind w:left="319" w:right="0" w:hanging="211"/>
        <w:jc w:val="left"/>
        <w:rPr>
          <w:b/>
          <w:sz w:val="20"/>
        </w:rPr>
      </w:pPr>
      <w:hyperlink w:history="true" w:anchor="_bookmark12">
        <w:r>
          <w:rPr>
            <w:b/>
            <w:w w:val="95"/>
            <w:sz w:val="20"/>
          </w:rPr>
          <w:t>第三部分</w:t>
        </w:r>
      </w:hyperlink>
    </w:p>
    <w:p>
      <w:pPr>
        <w:spacing w:line="285" w:lineRule="auto" w:before="170"/>
        <w:ind w:left="319" w:right="0" w:firstLine="0"/>
        <w:jc w:val="both"/>
        <w:rPr>
          <w:sz w:val="20"/>
        </w:rPr>
      </w:pPr>
      <w:hyperlink w:history="true" w:anchor="_bookmark13">
        <w:r>
          <w:rPr>
            <w:sz w:val="20"/>
          </w:rPr>
          <w:t>第 十 条</w:t>
        </w:r>
      </w:hyperlink>
      <w:hyperlink w:history="true" w:anchor="_bookmark14">
        <w:r>
          <w:rPr>
            <w:sz w:val="20"/>
          </w:rPr>
          <w:t> 第十一条</w:t>
        </w:r>
      </w:hyperlink>
    </w:p>
    <w:p>
      <w:pPr>
        <w:spacing w:before="132"/>
        <w:ind w:left="109" w:right="0" w:firstLine="0"/>
        <w:jc w:val="left"/>
        <w:rPr>
          <w:b/>
          <w:sz w:val="20"/>
        </w:rPr>
      </w:pPr>
      <w:hyperlink w:history="true" w:anchor="_bookmark15">
        <w:r>
          <w:rPr>
            <w:b/>
            <w:w w:val="95"/>
            <w:sz w:val="20"/>
          </w:rPr>
          <w:t>第四部分</w:t>
        </w:r>
      </w:hyperlink>
    </w:p>
    <w:p>
      <w:pPr>
        <w:spacing w:line="285" w:lineRule="auto" w:before="170"/>
        <w:ind w:left="319" w:right="0" w:firstLine="0"/>
        <w:jc w:val="both"/>
        <w:rPr>
          <w:sz w:val="20"/>
        </w:rPr>
      </w:pPr>
      <w:hyperlink w:history="true" w:anchor="_bookmark16">
        <w:r>
          <w:rPr>
            <w:sz w:val="20"/>
          </w:rPr>
          <w:t>第十二条</w:t>
        </w:r>
      </w:hyperlink>
      <w:hyperlink w:history="true" w:anchor="_bookmark17">
        <w:r>
          <w:rPr>
            <w:sz w:val="20"/>
          </w:rPr>
          <w:t>第十三条</w:t>
        </w:r>
      </w:hyperlink>
      <w:hyperlink w:history="true" w:anchor="_bookmark18">
        <w:r>
          <w:rPr>
            <w:sz w:val="20"/>
          </w:rPr>
          <w:t>第十四条</w:t>
        </w:r>
      </w:hyperlink>
    </w:p>
    <w:p>
      <w:pPr>
        <w:spacing w:line="396" w:lineRule="auto" w:before="132"/>
        <w:ind w:left="319" w:right="0" w:hanging="210"/>
        <w:jc w:val="left"/>
        <w:rPr>
          <w:sz w:val="20"/>
        </w:rPr>
      </w:pPr>
      <w:hyperlink w:history="true" w:anchor="_bookmark19">
        <w:r>
          <w:rPr>
            <w:b/>
            <w:sz w:val="20"/>
          </w:rPr>
          <w:t>第五部分</w:t>
        </w:r>
      </w:hyperlink>
      <w:hyperlink w:history="true" w:anchor="_bookmark20">
        <w:r>
          <w:rPr>
            <w:b/>
            <w:sz w:val="20"/>
          </w:rPr>
          <w:t> </w:t>
        </w:r>
        <w:r>
          <w:rPr>
            <w:sz w:val="20"/>
          </w:rPr>
          <w:t>第十五条</w:t>
        </w:r>
      </w:hyperlink>
    </w:p>
    <w:p>
      <w:pPr>
        <w:spacing w:line="396" w:lineRule="auto" w:before="40"/>
        <w:ind w:left="109" w:right="206" w:firstLine="0"/>
        <w:jc w:val="left"/>
        <w:rPr>
          <w:b/>
          <w:sz w:val="20"/>
        </w:rPr>
      </w:pPr>
      <w:hyperlink w:history="true" w:anchor="_bookmark21">
        <w:r>
          <w:rPr>
            <w:b/>
            <w:sz w:val="20"/>
          </w:rPr>
          <w:t>第六部分</w:t>
        </w:r>
      </w:hyperlink>
      <w:hyperlink w:history="true" w:anchor="_bookmark22">
        <w:r>
          <w:rPr>
            <w:b/>
            <w:w w:val="95"/>
            <w:sz w:val="20"/>
          </w:rPr>
          <w:t>第七部分</w:t>
        </w:r>
      </w:hyperlink>
    </w:p>
    <w:p>
      <w:pPr>
        <w:tabs>
          <w:tab w:pos="8859" w:val="right" w:leader="dot"/>
        </w:tabs>
        <w:spacing w:before="45"/>
        <w:ind w:left="-2" w:right="0" w:firstLine="0"/>
        <w:jc w:val="left"/>
        <w:rPr>
          <w:rFonts w:ascii="Times New Roman" w:eastAsia="Times New Roman"/>
          <w:b/>
          <w:sz w:val="20"/>
        </w:rPr>
      </w:pPr>
      <w:r>
        <w:rPr/>
        <w:br w:type="column"/>
      </w:r>
      <w:hyperlink w:history="true" w:anchor="_bookmark0">
        <w:r>
          <w:rPr>
            <w:b/>
            <w:sz w:val="20"/>
          </w:rPr>
          <w:t>您与我们的合同</w:t>
          <w:tab/>
        </w:r>
        <w:r>
          <w:rPr>
            <w:rFonts w:ascii="Times New Roman" w:eastAsia="Times New Roman"/>
            <w:b/>
            <w:sz w:val="20"/>
          </w:rPr>
          <w:t>1</w:t>
        </w:r>
      </w:hyperlink>
    </w:p>
    <w:p>
      <w:pPr>
        <w:tabs>
          <w:tab w:pos="8859" w:val="right" w:leader="dot"/>
        </w:tabs>
        <w:spacing w:before="155"/>
        <w:ind w:left="-2" w:right="0" w:firstLine="0"/>
        <w:jc w:val="left"/>
        <w:rPr>
          <w:rFonts w:ascii="Times New Roman" w:eastAsia="Times New Roman"/>
          <w:sz w:val="20"/>
        </w:rPr>
      </w:pPr>
      <w:hyperlink w:history="true" w:anchor="_bookmark1">
        <w:r>
          <w:rPr>
            <w:sz w:val="20"/>
          </w:rPr>
          <w:t>附加保险合同的构成</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2">
        <w:r>
          <w:rPr>
            <w:sz w:val="20"/>
          </w:rPr>
          <w:t>受益人的指定与变更</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3">
        <w:r>
          <w:rPr>
            <w:sz w:val="20"/>
          </w:rPr>
          <w:t>保险责任的开始</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4">
        <w:r>
          <w:rPr>
            <w:sz w:val="20"/>
          </w:rPr>
          <w:t>保险期间</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5">
        <w:r>
          <w:rPr>
            <w:sz w:val="20"/>
          </w:rPr>
          <w:t>保险合同的终止</w:t>
          <w:tab/>
        </w:r>
        <w:r>
          <w:rPr>
            <w:rFonts w:ascii="Times New Roman" w:eastAsia="Times New Roman"/>
            <w:sz w:val="20"/>
          </w:rPr>
          <w:t>1</w:t>
        </w:r>
      </w:hyperlink>
    </w:p>
    <w:p>
      <w:pPr>
        <w:tabs>
          <w:tab w:pos="8859" w:val="right" w:leader="dot"/>
        </w:tabs>
        <w:spacing w:before="155"/>
        <w:ind w:left="-2" w:right="0" w:firstLine="0"/>
        <w:jc w:val="left"/>
        <w:rPr>
          <w:rFonts w:ascii="Times New Roman" w:eastAsia="Times New Roman"/>
          <w:b/>
          <w:sz w:val="20"/>
        </w:rPr>
      </w:pPr>
      <w:hyperlink w:history="true" w:anchor="_bookmark6">
        <w:r>
          <w:rPr>
            <w:b/>
            <w:sz w:val="20"/>
          </w:rPr>
          <w:t>我们提供的保障</w:t>
          <w:tab/>
        </w:r>
        <w:r>
          <w:rPr>
            <w:rFonts w:ascii="Times New Roman" w:eastAsia="Times New Roman"/>
            <w:b/>
            <w:sz w:val="20"/>
          </w:rPr>
          <w:t>1</w:t>
        </w:r>
      </w:hyperlink>
    </w:p>
    <w:p>
      <w:pPr>
        <w:tabs>
          <w:tab w:pos="8859" w:val="right" w:leader="dot"/>
        </w:tabs>
        <w:spacing w:before="155"/>
        <w:ind w:left="-2" w:right="0" w:firstLine="0"/>
        <w:jc w:val="left"/>
        <w:rPr>
          <w:rFonts w:ascii="Times New Roman" w:eastAsia="Times New Roman"/>
          <w:sz w:val="20"/>
        </w:rPr>
      </w:pPr>
      <w:hyperlink w:history="true" w:anchor="_bookmark7">
        <w:r>
          <w:rPr>
            <w:sz w:val="20"/>
          </w:rPr>
          <w:t>保险责任</w:t>
          <w:tab/>
        </w:r>
        <w:r>
          <w:rPr>
            <w:rFonts w:ascii="Times New Roman" w:eastAsia="Times New Roman"/>
            <w:sz w:val="20"/>
          </w:rPr>
          <w:t>1</w:t>
        </w:r>
      </w:hyperlink>
    </w:p>
    <w:p>
      <w:pPr>
        <w:tabs>
          <w:tab w:pos="8859" w:val="right" w:leader="dot"/>
        </w:tabs>
        <w:spacing w:before="35"/>
        <w:ind w:left="-2" w:right="0" w:firstLine="0"/>
        <w:jc w:val="left"/>
        <w:rPr>
          <w:rFonts w:ascii="Times New Roman" w:eastAsia="Times New Roman"/>
          <w:sz w:val="20"/>
        </w:rPr>
      </w:pPr>
      <w:hyperlink w:history="true" w:anchor="_bookmark9">
        <w:r>
          <w:rPr>
            <w:sz w:val="20"/>
          </w:rPr>
          <w:t>责任免除</w:t>
          <w:tab/>
        </w:r>
        <w:r>
          <w:rPr>
            <w:rFonts w:ascii="Times New Roman" w:eastAsia="Times New Roman"/>
            <w:sz w:val="20"/>
          </w:rPr>
          <w:t>2</w:t>
        </w:r>
      </w:hyperlink>
    </w:p>
    <w:p>
      <w:pPr>
        <w:tabs>
          <w:tab w:pos="8859" w:val="right" w:leader="dot"/>
        </w:tabs>
        <w:spacing w:before="35"/>
        <w:ind w:left="-2" w:right="0" w:firstLine="0"/>
        <w:jc w:val="left"/>
        <w:rPr>
          <w:rFonts w:ascii="Times New Roman" w:eastAsia="Times New Roman"/>
          <w:sz w:val="20"/>
        </w:rPr>
      </w:pPr>
      <w:hyperlink w:history="true" w:anchor="_bookmark10">
        <w:r>
          <w:rPr>
            <w:sz w:val="20"/>
          </w:rPr>
          <w:t>保险金额</w:t>
          <w:tab/>
        </w:r>
        <w:r>
          <w:rPr>
            <w:rFonts w:ascii="Times New Roman" w:eastAsia="Times New Roman"/>
            <w:sz w:val="20"/>
          </w:rPr>
          <w:t>2</w:t>
        </w:r>
      </w:hyperlink>
    </w:p>
    <w:p>
      <w:pPr>
        <w:tabs>
          <w:tab w:pos="8859" w:val="right" w:leader="dot"/>
        </w:tabs>
        <w:spacing w:before="35"/>
        <w:ind w:left="-2" w:right="0" w:firstLine="0"/>
        <w:jc w:val="left"/>
        <w:rPr>
          <w:rFonts w:ascii="Times New Roman" w:eastAsia="Times New Roman"/>
          <w:sz w:val="20"/>
        </w:rPr>
      </w:pPr>
      <w:hyperlink w:history="true" w:anchor="_bookmark11">
        <w:r>
          <w:rPr>
            <w:sz w:val="20"/>
          </w:rPr>
          <w:t>保险金额的变更</w:t>
          <w:tab/>
        </w:r>
        <w:r>
          <w:rPr>
            <w:rFonts w:ascii="Times New Roman" w:eastAsia="Times New Roman"/>
            <w:sz w:val="20"/>
          </w:rPr>
          <w:t>2</w:t>
        </w:r>
      </w:hyperlink>
    </w:p>
    <w:p>
      <w:pPr>
        <w:tabs>
          <w:tab w:pos="8859" w:val="right" w:leader="dot"/>
        </w:tabs>
        <w:spacing w:before="155"/>
        <w:ind w:left="-2" w:right="0" w:firstLine="0"/>
        <w:jc w:val="left"/>
        <w:rPr>
          <w:rFonts w:ascii="Times New Roman" w:eastAsia="Times New Roman"/>
          <w:b/>
          <w:sz w:val="20"/>
        </w:rPr>
      </w:pPr>
      <w:hyperlink w:history="true" w:anchor="_bookmark12">
        <w:r>
          <w:rPr>
            <w:b/>
            <w:sz w:val="20"/>
          </w:rPr>
          <w:t>如何领取保险金</w:t>
          <w:tab/>
        </w:r>
        <w:r>
          <w:rPr>
            <w:rFonts w:ascii="Times New Roman" w:eastAsia="Times New Roman"/>
            <w:b/>
            <w:sz w:val="20"/>
          </w:rPr>
          <w:t>2</w:t>
        </w:r>
      </w:hyperlink>
    </w:p>
    <w:p>
      <w:pPr>
        <w:tabs>
          <w:tab w:pos="8859" w:val="right" w:leader="dot"/>
        </w:tabs>
        <w:spacing w:before="155"/>
        <w:ind w:left="-2" w:right="0" w:firstLine="0"/>
        <w:jc w:val="left"/>
        <w:rPr>
          <w:rFonts w:ascii="Times New Roman" w:eastAsia="Times New Roman"/>
          <w:sz w:val="20"/>
        </w:rPr>
      </w:pPr>
      <w:hyperlink w:history="true" w:anchor="_bookmark13">
        <w:r>
          <w:rPr>
            <w:sz w:val="20"/>
          </w:rPr>
          <w:t>保险金的申领</w:t>
          <w:tab/>
        </w:r>
        <w:r>
          <w:rPr>
            <w:rFonts w:ascii="Times New Roman" w:eastAsia="Times New Roman"/>
            <w:sz w:val="20"/>
          </w:rPr>
          <w:t>2</w:t>
        </w:r>
      </w:hyperlink>
    </w:p>
    <w:p>
      <w:pPr>
        <w:tabs>
          <w:tab w:pos="8859" w:val="right" w:leader="dot"/>
        </w:tabs>
        <w:spacing w:before="35"/>
        <w:ind w:left="208" w:right="0" w:firstLine="0"/>
        <w:jc w:val="left"/>
        <w:rPr>
          <w:rFonts w:ascii="Times New Roman" w:eastAsia="Times New Roman"/>
          <w:sz w:val="20"/>
        </w:rPr>
      </w:pPr>
      <w:hyperlink w:history="true" w:anchor="_bookmark14">
        <w:r>
          <w:rPr>
            <w:sz w:val="20"/>
          </w:rPr>
          <w:t>索赔时效</w:t>
          <w:tab/>
        </w:r>
        <w:r>
          <w:rPr>
            <w:rFonts w:ascii="Times New Roman" w:eastAsia="Times New Roman"/>
            <w:sz w:val="20"/>
          </w:rPr>
          <w:t>3</w:t>
        </w:r>
      </w:hyperlink>
    </w:p>
    <w:p>
      <w:pPr>
        <w:tabs>
          <w:tab w:pos="8859" w:val="right" w:leader="dot"/>
        </w:tabs>
        <w:spacing w:before="155"/>
        <w:ind w:left="-2" w:right="0" w:firstLine="0"/>
        <w:jc w:val="left"/>
        <w:rPr>
          <w:rFonts w:ascii="Times New Roman" w:eastAsia="Times New Roman"/>
          <w:b/>
          <w:sz w:val="20"/>
        </w:rPr>
      </w:pPr>
      <w:hyperlink w:history="true" w:anchor="_bookmark15">
        <w:r>
          <w:rPr>
            <w:b/>
            <w:sz w:val="20"/>
          </w:rPr>
          <w:t>保险费的交纳</w:t>
          <w:tab/>
        </w:r>
        <w:r>
          <w:rPr>
            <w:rFonts w:ascii="Times New Roman" w:eastAsia="Times New Roman"/>
            <w:b/>
            <w:sz w:val="20"/>
          </w:rPr>
          <w:t>3</w:t>
        </w:r>
      </w:hyperlink>
    </w:p>
    <w:p>
      <w:pPr>
        <w:tabs>
          <w:tab w:pos="8859" w:val="right" w:leader="dot"/>
        </w:tabs>
        <w:spacing w:before="155"/>
        <w:ind w:left="208" w:right="0" w:firstLine="0"/>
        <w:jc w:val="left"/>
        <w:rPr>
          <w:rFonts w:ascii="Times New Roman" w:eastAsia="Times New Roman"/>
          <w:sz w:val="20"/>
        </w:rPr>
      </w:pPr>
      <w:hyperlink w:history="true" w:anchor="_bookmark16">
        <w:r>
          <w:rPr>
            <w:sz w:val="20"/>
          </w:rPr>
          <w:t>保险费的交纳</w:t>
          <w:tab/>
        </w:r>
        <w:r>
          <w:rPr>
            <w:rFonts w:ascii="Times New Roman" w:eastAsia="Times New Roman"/>
            <w:sz w:val="20"/>
          </w:rPr>
          <w:t>3</w:t>
        </w:r>
      </w:hyperlink>
    </w:p>
    <w:p>
      <w:pPr>
        <w:tabs>
          <w:tab w:pos="8859" w:val="right" w:leader="dot"/>
        </w:tabs>
        <w:spacing w:before="35"/>
        <w:ind w:left="208" w:right="0" w:firstLine="0"/>
        <w:jc w:val="left"/>
        <w:rPr>
          <w:rFonts w:ascii="Times New Roman" w:eastAsia="Times New Roman"/>
          <w:sz w:val="20"/>
        </w:rPr>
      </w:pPr>
      <w:hyperlink w:history="true" w:anchor="_bookmark17">
        <w:r>
          <w:rPr>
            <w:sz w:val="20"/>
          </w:rPr>
          <w:t>保险费的调整</w:t>
          <w:tab/>
        </w:r>
        <w:r>
          <w:rPr>
            <w:rFonts w:ascii="Times New Roman" w:eastAsia="Times New Roman"/>
            <w:sz w:val="20"/>
          </w:rPr>
          <w:t>3</w:t>
        </w:r>
      </w:hyperlink>
    </w:p>
    <w:p>
      <w:pPr>
        <w:tabs>
          <w:tab w:pos="8859" w:val="right" w:leader="dot"/>
        </w:tabs>
        <w:spacing w:before="35"/>
        <w:ind w:left="208" w:right="0" w:firstLine="0"/>
        <w:jc w:val="left"/>
        <w:rPr>
          <w:rFonts w:ascii="Times New Roman" w:eastAsia="Times New Roman"/>
          <w:sz w:val="20"/>
        </w:rPr>
      </w:pPr>
      <w:hyperlink w:history="true" w:anchor="_bookmark18">
        <w:r>
          <w:rPr>
            <w:sz w:val="20"/>
          </w:rPr>
          <w:t>宽限期</w:t>
          <w:tab/>
        </w:r>
        <w:r>
          <w:rPr>
            <w:rFonts w:ascii="Times New Roman" w:eastAsia="Times New Roman"/>
            <w:sz w:val="20"/>
          </w:rPr>
          <w:t>3</w:t>
        </w:r>
      </w:hyperlink>
    </w:p>
    <w:p>
      <w:pPr>
        <w:tabs>
          <w:tab w:pos="8859" w:val="right" w:leader="dot"/>
        </w:tabs>
        <w:spacing w:before="155"/>
        <w:ind w:left="-2" w:right="0" w:firstLine="0"/>
        <w:jc w:val="left"/>
        <w:rPr>
          <w:rFonts w:ascii="Times New Roman" w:eastAsia="Times New Roman"/>
          <w:b/>
          <w:sz w:val="20"/>
        </w:rPr>
      </w:pPr>
      <w:hyperlink w:history="true" w:anchor="_bookmark19">
        <w:r>
          <w:rPr>
            <w:b/>
            <w:sz w:val="20"/>
          </w:rPr>
          <w:t>您所拥有的重要权益</w:t>
          <w:tab/>
        </w:r>
        <w:r>
          <w:rPr>
            <w:rFonts w:ascii="Times New Roman" w:eastAsia="Times New Roman"/>
            <w:b/>
            <w:sz w:val="20"/>
          </w:rPr>
          <w:t>4</w:t>
        </w:r>
      </w:hyperlink>
    </w:p>
    <w:p>
      <w:pPr>
        <w:tabs>
          <w:tab w:pos="8859" w:val="right" w:leader="dot"/>
        </w:tabs>
        <w:spacing w:before="155"/>
        <w:ind w:left="208" w:right="0" w:firstLine="0"/>
        <w:jc w:val="left"/>
        <w:rPr>
          <w:rFonts w:ascii="Times New Roman" w:eastAsia="Times New Roman"/>
          <w:sz w:val="20"/>
        </w:rPr>
      </w:pPr>
      <w:hyperlink w:history="true" w:anchor="_bookmark20">
        <w:r>
          <w:rPr>
            <w:sz w:val="20"/>
          </w:rPr>
          <w:t>合同解除权</w:t>
          <w:tab/>
        </w:r>
        <w:r>
          <w:rPr>
            <w:rFonts w:ascii="Times New Roman" w:eastAsia="Times New Roman"/>
            <w:sz w:val="20"/>
          </w:rPr>
          <w:t>4</w:t>
        </w:r>
      </w:hyperlink>
    </w:p>
    <w:p>
      <w:pPr>
        <w:tabs>
          <w:tab w:pos="8859" w:val="right" w:leader="dot"/>
        </w:tabs>
        <w:spacing w:before="155"/>
        <w:ind w:left="-2" w:right="0" w:firstLine="0"/>
        <w:jc w:val="left"/>
        <w:rPr>
          <w:rFonts w:ascii="Times New Roman" w:eastAsia="Times New Roman"/>
          <w:b/>
          <w:sz w:val="20"/>
        </w:rPr>
      </w:pPr>
      <w:hyperlink w:history="true" w:anchor="_bookmark21">
        <w:r>
          <w:rPr>
            <w:b/>
            <w:sz w:val="20"/>
          </w:rPr>
          <w:t>就医须知</w:t>
          <w:tab/>
        </w:r>
        <w:r>
          <w:rPr>
            <w:rFonts w:ascii="Times New Roman" w:eastAsia="Times New Roman"/>
            <w:b/>
            <w:sz w:val="20"/>
          </w:rPr>
          <w:t>4</w:t>
        </w:r>
      </w:hyperlink>
    </w:p>
    <w:p>
      <w:pPr>
        <w:tabs>
          <w:tab w:pos="8859" w:val="right" w:leader="dot"/>
        </w:tabs>
        <w:spacing w:before="155"/>
        <w:ind w:left="-2" w:right="0" w:firstLine="0"/>
        <w:jc w:val="left"/>
        <w:rPr>
          <w:rFonts w:ascii="Times New Roman" w:eastAsia="Times New Roman"/>
          <w:b/>
          <w:sz w:val="20"/>
        </w:rPr>
      </w:pPr>
      <w:hyperlink w:history="true" w:anchor="_bookmark22">
        <w:r>
          <w:rPr>
            <w:b/>
            <w:sz w:val="20"/>
          </w:rPr>
          <w:t>名词释义</w:t>
          <w:tab/>
        </w:r>
        <w:r>
          <w:rPr>
            <w:rFonts w:ascii="Times New Roman" w:eastAsia="Times New Roman"/>
            <w:b/>
            <w:sz w:val="20"/>
          </w:rPr>
          <w:t>4</w:t>
        </w:r>
      </w:hyperlink>
    </w:p>
    <w:p>
      <w:pPr>
        <w:spacing w:after="0"/>
        <w:jc w:val="left"/>
        <w:rPr>
          <w:rFonts w:ascii="Times New Roman" w:eastAsia="Times New Roman"/>
          <w:sz w:val="20"/>
        </w:rPr>
        <w:sectPr>
          <w:type w:val="continuous"/>
          <w:pgSz w:w="11910" w:h="16840"/>
          <w:pgMar w:top="1520" w:bottom="280" w:left="740" w:right="1040"/>
          <w:cols w:num="2" w:equalWidth="0">
            <w:col w:w="1122" w:space="40"/>
            <w:col w:w="8968"/>
          </w:cols>
        </w:sectPr>
      </w:pPr>
    </w:p>
    <w:p>
      <w:pPr>
        <w:pStyle w:val="BodyText"/>
        <w:spacing w:before="5"/>
        <w:rPr>
          <w:rFonts w:ascii="Times New Roman"/>
          <w:b/>
          <w:sz w:val="4"/>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rFonts w:ascii="Times New Roman"/>
          <w:spacing w:val="5"/>
          <w:sz w:val="2"/>
        </w:rPr>
      </w:r>
    </w:p>
    <w:p>
      <w:pPr>
        <w:pStyle w:val="Heading1"/>
        <w:tabs>
          <w:tab w:pos="4925" w:val="left" w:leader="none"/>
        </w:tabs>
        <w:spacing w:before="195"/>
        <w:ind w:left="2960"/>
      </w:pPr>
      <w:bookmarkStart w:name="_bookmark0" w:id="1"/>
      <w:bookmarkEnd w:id="1"/>
      <w:r>
        <w:rPr>
          <w:b w:val="0"/>
        </w:rPr>
      </w:r>
      <w:r>
        <w:rPr/>
        <w:t>第一部分</w:t>
        <w:tab/>
      </w:r>
      <w:r>
        <w:rPr>
          <w:w w:val="95"/>
        </w:rPr>
        <w:t>您与我们的合同</w:t>
      </w:r>
    </w:p>
    <w:p>
      <w:pPr>
        <w:pStyle w:val="BodyText"/>
        <w:spacing w:before="2"/>
        <w:rPr>
          <w:b/>
          <w:sz w:val="25"/>
        </w:rPr>
      </w:pPr>
    </w:p>
    <w:p>
      <w:pPr>
        <w:pStyle w:val="Heading2"/>
        <w:tabs>
          <w:tab w:pos="1213" w:val="left" w:leader="none"/>
        </w:tabs>
        <w:ind w:left="134"/>
      </w:pPr>
      <w:bookmarkStart w:name="_bookmark1" w:id="2"/>
      <w:bookmarkEnd w:id="2"/>
      <w:r>
        <w:rPr>
          <w:b w:val="0"/>
        </w:rPr>
      </w:r>
      <w:r>
        <w:rPr/>
        <w:t>第一条</w:t>
        <w:tab/>
        <w:t>附加保险合同的构成</w:t>
      </w:r>
    </w:p>
    <w:p>
      <w:pPr>
        <w:pStyle w:val="BodyText"/>
        <w:spacing w:line="264" w:lineRule="auto" w:before="125"/>
        <w:ind w:left="133" w:right="198" w:firstLine="420"/>
        <w:jc w:val="both"/>
      </w:pPr>
      <w:r>
        <w:rPr/>
        <w:t>本附加合同可附加于我们规定的主保险合同（以下简称</w:t>
      </w:r>
      <w:r>
        <w:rPr>
          <w:rFonts w:ascii="Times New Roman" w:hAnsi="Times New Roman" w:eastAsia="Times New Roman"/>
        </w:rPr>
        <w:t>“</w:t>
      </w:r>
      <w:r>
        <w:rPr/>
        <w:t>主合同</w:t>
      </w:r>
      <w:r>
        <w:rPr>
          <w:rFonts w:ascii="Times New Roman" w:hAnsi="Times New Roman" w:eastAsia="Times New Roman"/>
        </w:rPr>
        <w:t>”</w:t>
      </w:r>
      <w:r>
        <w:rPr/>
        <w:t>）上。主合同所包含的条款、投保书、投保提示及与本附加合同有关的其他投保文件、合法有效的声明、批注和其他书面协议，凡与本附加合同相关者，均为本附加合同的构成部分。</w:t>
      </w:r>
    </w:p>
    <w:p>
      <w:pPr>
        <w:pStyle w:val="BodyText"/>
        <w:spacing w:line="273" w:lineRule="auto" w:before="15"/>
        <w:ind w:left="133" w:right="198" w:firstLine="420"/>
      </w:pPr>
      <w:r>
        <w:rPr/>
        <w:t>除本附加合同另有约定外，主合同条款适用于本附加合同。若主合同的条款与本附加合同冲突时，以本附加合同为准。</w:t>
      </w:r>
    </w:p>
    <w:p>
      <w:pPr>
        <w:pStyle w:val="Heading2"/>
        <w:tabs>
          <w:tab w:pos="1213" w:val="left" w:leader="none"/>
        </w:tabs>
        <w:spacing w:before="178"/>
        <w:ind w:left="133"/>
      </w:pPr>
      <w:bookmarkStart w:name="_bookmark2" w:id="3"/>
      <w:bookmarkEnd w:id="3"/>
      <w:r>
        <w:rPr>
          <w:b w:val="0"/>
        </w:rPr>
      </w:r>
      <w:r>
        <w:rPr/>
        <w:t>第二条</w:t>
        <w:tab/>
        <w:t>受益人的指定与变更</w:t>
      </w:r>
    </w:p>
    <w:p>
      <w:pPr>
        <w:tabs>
          <w:tab w:pos="1213" w:val="left" w:leader="none"/>
        </w:tabs>
        <w:spacing w:line="405" w:lineRule="auto" w:before="103"/>
        <w:ind w:left="133" w:right="2928" w:firstLine="420"/>
        <w:jc w:val="left"/>
        <w:rPr>
          <w:rFonts w:ascii="微软雅黑" w:eastAsia="微软雅黑" w:hint="eastAsia"/>
          <w:b/>
          <w:sz w:val="21"/>
        </w:rPr>
      </w:pPr>
      <w:r>
        <w:rPr>
          <w:sz w:val="21"/>
        </w:rPr>
        <w:t>除另有约定外，本附加合同的重大疾病保险金受益人应为被保险人本人。</w:t>
      </w:r>
      <w:bookmarkStart w:name="_bookmark3" w:id="4"/>
      <w:bookmarkEnd w:id="4"/>
      <w:r>
        <w:rPr>
          <w:sz w:val="21"/>
        </w:rPr>
      </w:r>
      <w:r>
        <w:rPr>
          <w:rFonts w:ascii="微软雅黑" w:eastAsia="微软雅黑" w:hint="eastAsia"/>
          <w:b/>
          <w:sz w:val="21"/>
        </w:rPr>
        <w:t>第三条</w:t>
        <w:tab/>
        <w:t>保险责任的开始</w:t>
      </w:r>
    </w:p>
    <w:p>
      <w:pPr>
        <w:pStyle w:val="BodyText"/>
        <w:spacing w:line="209" w:lineRule="exact" w:before="0"/>
        <w:ind w:left="553"/>
      </w:pPr>
      <w:r>
        <w:rPr/>
        <w:t>我们在收取首期保险费并同意承保后，将签发保险单或批注作为保险凭证。我们自本附加合同生效日零</w:t>
      </w:r>
    </w:p>
    <w:p>
      <w:pPr>
        <w:pStyle w:val="BodyText"/>
        <w:spacing w:before="38"/>
        <w:ind w:left="133"/>
      </w:pPr>
      <w:r>
        <w:rPr/>
        <w:t>时起承担保险责任。</w:t>
      </w:r>
    </w:p>
    <w:p>
      <w:pPr>
        <w:pStyle w:val="BodyText"/>
        <w:spacing w:line="273" w:lineRule="auto"/>
        <w:ind w:left="133" w:right="198" w:firstLine="420"/>
      </w:pPr>
      <w:r>
        <w:rPr/>
        <w:t>如果本附加合同与主险合同同时投保，则本附加合同的生效日与主合同相同。如果您在主合同有效期内投保本附加合同，则本附加合同生效日以批注所载的日期为准。</w:t>
      </w:r>
    </w:p>
    <w:p>
      <w:pPr>
        <w:pStyle w:val="BodyText"/>
        <w:tabs>
          <w:tab w:pos="1213" w:val="left" w:leader="none"/>
        </w:tabs>
        <w:spacing w:line="422" w:lineRule="auto" w:before="7"/>
        <w:ind w:left="133" w:right="962" w:firstLine="419"/>
        <w:rPr>
          <w:rFonts w:ascii="微软雅黑" w:eastAsia="微软雅黑" w:hint="eastAsia"/>
          <w:b/>
        </w:rPr>
      </w:pPr>
      <w:r>
        <w:rPr/>
        <w:t>本附加合同的保险单周年</w:t>
      </w:r>
      <w:r>
        <w:rPr>
          <w:spacing w:val="10"/>
        </w:rPr>
        <w:t>日</w:t>
      </w:r>
      <w:hyperlink w:history="true" w:anchor="_bookmark8">
        <w:r>
          <w:rPr>
            <w:spacing w:val="5"/>
            <w:position w:val="11"/>
            <w:sz w:val="11"/>
          </w:rPr>
          <w:t>1</w:t>
        </w:r>
      </w:hyperlink>
      <w:r>
        <w:rPr/>
        <w:t>、保险单年度、保险费到期日均以本附加合同生效日为基础计算。</w:t>
      </w:r>
      <w:bookmarkStart w:name="_bookmark4" w:id="5"/>
      <w:bookmarkEnd w:id="5"/>
      <w:r>
        <w:rPr/>
      </w:r>
      <w:r>
        <w:rPr>
          <w:rFonts w:ascii="微软雅黑" w:eastAsia="微软雅黑" w:hint="eastAsia"/>
          <w:b/>
        </w:rPr>
        <w:t>第四条</w:t>
        <w:tab/>
        <w:t>保险期间</w:t>
      </w:r>
    </w:p>
    <w:p>
      <w:pPr>
        <w:pStyle w:val="BodyText"/>
        <w:spacing w:line="169" w:lineRule="exact" w:before="0"/>
        <w:ind w:left="553"/>
      </w:pPr>
      <w:r>
        <w:rPr/>
        <w:t>本附加合同的保险期间由您与我们约定，并在保险合同中载明。</w:t>
      </w:r>
    </w:p>
    <w:p>
      <w:pPr>
        <w:pStyle w:val="BodyText"/>
        <w:spacing w:before="5"/>
        <w:rPr>
          <w:sz w:val="14"/>
        </w:rPr>
      </w:pPr>
    </w:p>
    <w:p>
      <w:pPr>
        <w:pStyle w:val="Heading2"/>
        <w:tabs>
          <w:tab w:pos="1213" w:val="left" w:leader="none"/>
        </w:tabs>
        <w:ind w:left="133"/>
      </w:pPr>
      <w:bookmarkStart w:name="_bookmark5" w:id="6"/>
      <w:bookmarkEnd w:id="6"/>
      <w:r>
        <w:rPr>
          <w:b w:val="0"/>
        </w:rPr>
      </w:r>
      <w:r>
        <w:rPr/>
        <w:t>第五条</w:t>
        <w:tab/>
        <w:t>保险合同的终止</w:t>
      </w:r>
    </w:p>
    <w:p>
      <w:pPr>
        <w:pStyle w:val="BodyText"/>
        <w:spacing w:before="110"/>
        <w:ind w:left="553"/>
      </w:pPr>
      <w:r>
        <w:rPr/>
        <w:t>发生下列情况之一时，本附加合同终止：</w:t>
      </w:r>
    </w:p>
    <w:p>
      <w:pPr>
        <w:pStyle w:val="ListParagraph"/>
        <w:numPr>
          <w:ilvl w:val="0"/>
          <w:numId w:val="1"/>
        </w:numPr>
        <w:tabs>
          <w:tab w:pos="973" w:val="left" w:leader="none"/>
          <w:tab w:pos="974" w:val="left" w:leader="none"/>
        </w:tabs>
        <w:spacing w:line="240" w:lineRule="auto" w:before="36" w:after="0"/>
        <w:ind w:left="973" w:right="0" w:hanging="420"/>
        <w:jc w:val="left"/>
        <w:rPr>
          <w:sz w:val="21"/>
        </w:rPr>
      </w:pPr>
      <w:r>
        <w:rPr>
          <w:sz w:val="21"/>
        </w:rPr>
        <w:t>您申请解除本附加合同；</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本附加合同因其他条款所列情况而效力中止，且未按【合同效力的恢复】条款办理复效；</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被保险人患本附加合同约定的重大疾病后；</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本附加合同满期；</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因本附加合同其他条款所列情况而终止；</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主合同减额交清；</w:t>
      </w:r>
    </w:p>
    <w:p>
      <w:pPr>
        <w:pStyle w:val="ListParagraph"/>
        <w:numPr>
          <w:ilvl w:val="0"/>
          <w:numId w:val="1"/>
        </w:numPr>
        <w:tabs>
          <w:tab w:pos="973" w:val="left" w:leader="none"/>
          <w:tab w:pos="974" w:val="left" w:leader="none"/>
        </w:tabs>
        <w:spacing w:line="240" w:lineRule="auto" w:before="21" w:after="0"/>
        <w:ind w:left="973" w:right="0" w:hanging="420"/>
        <w:jc w:val="left"/>
        <w:rPr>
          <w:sz w:val="21"/>
        </w:rPr>
      </w:pPr>
      <w:r>
        <w:rPr>
          <w:sz w:val="21"/>
        </w:rPr>
        <w:t>主合同终止。</w:t>
      </w:r>
    </w:p>
    <w:p>
      <w:pPr>
        <w:pStyle w:val="BodyText"/>
        <w:spacing w:before="5"/>
        <w:rPr>
          <w:sz w:val="19"/>
        </w:rPr>
      </w:pPr>
    </w:p>
    <w:p>
      <w:pPr>
        <w:pStyle w:val="Heading1"/>
        <w:tabs>
          <w:tab w:pos="4925" w:val="left" w:leader="none"/>
        </w:tabs>
        <w:ind w:left="2960"/>
      </w:pPr>
      <w:bookmarkStart w:name="_bookmark6" w:id="7"/>
      <w:bookmarkEnd w:id="7"/>
      <w:r>
        <w:rPr>
          <w:b w:val="0"/>
        </w:rPr>
      </w:r>
      <w:r>
        <w:rPr/>
        <w:t>第二部分</w:t>
        <w:tab/>
      </w:r>
      <w:r>
        <w:rPr>
          <w:w w:val="95"/>
        </w:rPr>
        <w:t>我们提供的保障</w:t>
      </w:r>
    </w:p>
    <w:p>
      <w:pPr>
        <w:pStyle w:val="BodyText"/>
        <w:spacing w:before="1"/>
        <w:rPr>
          <w:b/>
          <w:sz w:val="25"/>
        </w:rPr>
      </w:pPr>
    </w:p>
    <w:p>
      <w:pPr>
        <w:pStyle w:val="Heading2"/>
        <w:tabs>
          <w:tab w:pos="1213" w:val="left" w:leader="none"/>
        </w:tabs>
        <w:spacing w:before="1"/>
        <w:ind w:left="134"/>
      </w:pPr>
      <w:bookmarkStart w:name="_bookmark7" w:id="8"/>
      <w:bookmarkEnd w:id="8"/>
      <w:r>
        <w:rPr>
          <w:b w:val="0"/>
        </w:rPr>
      </w:r>
      <w:r>
        <w:rPr/>
        <w:t>第六条</w:t>
        <w:tab/>
        <w:t>保险责任</w:t>
      </w:r>
    </w:p>
    <w:p>
      <w:pPr>
        <w:pStyle w:val="BodyText"/>
        <w:spacing w:line="256" w:lineRule="auto" w:before="105"/>
        <w:ind w:left="553" w:right="5028"/>
      </w:pPr>
      <w:r>
        <w:rPr/>
        <w:t>在本附加合同有效期内，我们承担下列保险责任： 一、重大疾病保险金</w:t>
      </w:r>
    </w:p>
    <w:p>
      <w:pPr>
        <w:pStyle w:val="BodyText"/>
        <w:spacing w:line="273" w:lineRule="auto" w:before="22"/>
        <w:ind w:left="133" w:right="198" w:firstLine="420"/>
        <w:jc w:val="both"/>
      </w:pPr>
      <w:r>
        <w:rPr/>
        <w:t>若被保险人经诊断于本附加合同生效（或复效）一百八十天后初次患有本附加合同约定的一项或多项重大疾病，并且确诊三十天后被保险人仍生存时，我们将按本附加合同的保险金额向被保险人给付重大疾病保险金，本附加合同终止。</w:t>
      </w:r>
    </w:p>
    <w:p>
      <w:pPr>
        <w:pStyle w:val="BodyText"/>
        <w:spacing w:before="7"/>
        <w:ind w:left="553"/>
      </w:pPr>
      <w:r>
        <w:rPr/>
        <w:t>二、保险费返还</w:t>
      </w:r>
    </w:p>
    <w:p>
      <w:pPr>
        <w:pStyle w:val="BodyText"/>
        <w:spacing w:before="36"/>
        <w:ind w:left="553"/>
      </w:pPr>
      <w:r>
        <w:rPr/>
        <w:t>若被保险人身故、高度残疾，或经诊断于本附加合同生效（或复效）一百八十天内初次患有本附加合同</w:t>
      </w:r>
    </w:p>
    <w:p>
      <w:pPr>
        <w:pStyle w:val="BodyText"/>
        <w:spacing w:before="9"/>
        <w:rPr>
          <w:sz w:val="13"/>
        </w:rPr>
      </w:pPr>
      <w:r>
        <w:rPr/>
        <w:pict>
          <v:line style="position:absolute;mso-position-horizontal-relative:page;mso-position-vertical-relative:paragraph;z-index:1048;mso-wrap-distance-left:0;mso-wrap-distance-right:0" from="56.700001pt,11.237565pt" to="200.700001pt,11.237565pt" stroked="true" strokeweight=".54pt" strokecolor="#000000">
            <v:stroke dashstyle="solid"/>
            <w10:wrap type="topAndBottom"/>
          </v:line>
        </w:pict>
      </w:r>
    </w:p>
    <w:p>
      <w:pPr>
        <w:spacing w:line="235" w:lineRule="exact" w:before="30"/>
        <w:ind w:left="134" w:right="0" w:firstLine="0"/>
        <w:jc w:val="left"/>
        <w:rPr>
          <w:sz w:val="18"/>
        </w:rPr>
      </w:pPr>
      <w:bookmarkStart w:name="_bookmark8" w:id="9"/>
      <w:bookmarkEnd w:id="9"/>
      <w:r>
        <w:rPr/>
      </w:r>
      <w:r>
        <w:rPr>
          <w:rFonts w:ascii="Times New Roman" w:eastAsia="Times New Roman"/>
          <w:position w:val="8"/>
          <w:sz w:val="12"/>
        </w:rPr>
        <w:t>1</w:t>
      </w:r>
      <w:r>
        <w:rPr>
          <w:sz w:val="18"/>
        </w:rPr>
        <w:t>保险单周年日指在本附加合同有效期内的每一个保险单年度内本附加合同生效日的对应日。第一个保险单周年日是指保险单生</w:t>
      </w:r>
    </w:p>
    <w:p>
      <w:pPr>
        <w:spacing w:line="235" w:lineRule="exact" w:before="0"/>
        <w:ind w:left="134" w:right="0" w:firstLine="0"/>
        <w:jc w:val="left"/>
        <w:rPr>
          <w:sz w:val="18"/>
        </w:rPr>
      </w:pPr>
      <w:r>
        <w:rPr>
          <w:sz w:val="18"/>
        </w:rPr>
        <w:t>效一年后的本附加合同生效日期的对应日。</w:t>
      </w:r>
    </w:p>
    <w:p>
      <w:pPr>
        <w:spacing w:after="0" w:line="235" w:lineRule="exact"/>
        <w:jc w:val="left"/>
        <w:rPr>
          <w:sz w:val="18"/>
        </w:rPr>
        <w:sectPr>
          <w:headerReference w:type="default" r:id="rId5"/>
          <w:footerReference w:type="default" r:id="rId6"/>
          <w:pgSz w:w="11910" w:h="16840"/>
          <w:pgMar w:header="880" w:footer="949" w:top="1080" w:bottom="1140" w:left="1000" w:right="70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tabs>
          <w:tab w:pos="1304" w:val="left" w:leader="none"/>
        </w:tabs>
        <w:spacing w:line="422" w:lineRule="auto" w:before="0"/>
        <w:ind w:left="149" w:right="2702"/>
        <w:rPr>
          <w:rFonts w:ascii="微软雅黑" w:eastAsia="微软雅黑" w:hint="eastAsia"/>
          <w:b/>
        </w:rPr>
      </w:pPr>
      <w:r>
        <w:rPr/>
        <w:t>约定的一项或多项重大疾病，我们向您无息返还已交保险费，本附加合同终止。</w:t>
      </w:r>
      <w:bookmarkStart w:name="_bookmark9" w:id="10"/>
      <w:bookmarkEnd w:id="10"/>
      <w:r>
        <w:rPr/>
      </w:r>
      <w:r>
        <w:rPr>
          <w:rFonts w:ascii="微软雅黑" w:eastAsia="微软雅黑" w:hint="eastAsia"/>
          <w:b/>
        </w:rPr>
        <w:t>第七条</w:t>
        <w:tab/>
        <w:t>责任免除</w:t>
      </w:r>
    </w:p>
    <w:p>
      <w:pPr>
        <w:pStyle w:val="BodyText"/>
        <w:spacing w:line="190" w:lineRule="exact" w:before="0"/>
        <w:ind w:left="560"/>
        <w:rPr>
          <w:rFonts w:ascii="黑体" w:eastAsia="黑体" w:hint="eastAsia"/>
        </w:rPr>
      </w:pPr>
      <w:r>
        <w:rPr>
          <w:rFonts w:ascii="黑体" w:eastAsia="黑体" w:hint="eastAsia"/>
          <w:spacing w:val="-11"/>
        </w:rPr>
        <w:t>根据中国保险行业协会制定的《重大疾病保险的疾病定义使用规范》，因下列情形之一导致被保险人发</w:t>
      </w:r>
      <w:r>
        <w:rPr>
          <w:rFonts w:ascii="黑体" w:eastAsia="黑体" w:hint="eastAsia"/>
        </w:rPr>
        <w:t>Th</w:t>
      </w:r>
    </w:p>
    <w:p>
      <w:pPr>
        <w:pStyle w:val="BodyText"/>
        <w:ind w:left="140"/>
        <w:rPr>
          <w:rFonts w:ascii="黑体" w:eastAsia="黑体" w:hint="eastAsia"/>
        </w:rPr>
      </w:pPr>
      <w:r>
        <w:rPr>
          <w:rFonts w:ascii="黑体" w:eastAsia="黑体" w:hint="eastAsia"/>
        </w:rPr>
        <w:t>疾病、达到疾病状态或进行手术的，我们不承担给付重大疾病保险金或保险费返还的责任：</w:t>
      </w:r>
    </w:p>
    <w:p>
      <w:pPr>
        <w:pStyle w:val="BodyText"/>
        <w:ind w:left="560"/>
        <w:rPr>
          <w:rFonts w:ascii="黑体" w:eastAsia="黑体" w:hint="eastAsia"/>
        </w:rPr>
      </w:pPr>
      <w:r>
        <w:rPr>
          <w:rFonts w:ascii="黑体" w:eastAsia="黑体" w:hint="eastAsia"/>
        </w:rPr>
        <w:t>1、您对被保险人的故意杀害、故意伤害；</w:t>
      </w:r>
    </w:p>
    <w:p>
      <w:pPr>
        <w:pStyle w:val="BodyText"/>
        <w:ind w:left="560"/>
        <w:rPr>
          <w:rFonts w:ascii="黑体" w:eastAsia="黑体" w:hint="eastAsia"/>
        </w:rPr>
      </w:pPr>
      <w:r>
        <w:rPr>
          <w:rFonts w:ascii="黑体" w:eastAsia="黑体" w:hint="eastAsia"/>
        </w:rPr>
        <w:t>2、被保险人故意犯罪、拒捕、斗殴、自杀、自伤身体及服用、吸食或注射毒品；</w:t>
      </w:r>
    </w:p>
    <w:p>
      <w:pPr>
        <w:pStyle w:val="BodyText"/>
        <w:ind w:left="560"/>
        <w:rPr>
          <w:rFonts w:ascii="黑体" w:eastAsia="黑体" w:hint="eastAsia"/>
        </w:rPr>
      </w:pPr>
      <w:r>
        <w:rPr>
          <w:rFonts w:ascii="黑体" w:eastAsia="黑体" w:hint="eastAsia"/>
        </w:rPr>
        <w:t>3、被保险人酒后驾驶、无合法有效驾驶证驾驶，或驾驶无有效行驶证的机动车；</w:t>
      </w:r>
    </w:p>
    <w:p>
      <w:pPr>
        <w:pStyle w:val="BodyText"/>
        <w:ind w:left="560"/>
        <w:rPr>
          <w:rFonts w:ascii="黑体" w:eastAsia="黑体" w:hint="eastAsia"/>
        </w:rPr>
      </w:pPr>
      <w:r>
        <w:rPr>
          <w:rFonts w:ascii="黑体" w:eastAsia="黑体" w:hint="eastAsia"/>
        </w:rPr>
        <w:t>4、被保险人感染艾滋病病毒或患艾滋病；</w:t>
      </w:r>
    </w:p>
    <w:p>
      <w:pPr>
        <w:pStyle w:val="BodyText"/>
        <w:ind w:left="560"/>
        <w:rPr>
          <w:rFonts w:ascii="黑体" w:eastAsia="黑体" w:hint="eastAsia"/>
        </w:rPr>
      </w:pPr>
      <w:r>
        <w:rPr>
          <w:rFonts w:ascii="黑体" w:eastAsia="黑体" w:hint="eastAsia"/>
        </w:rPr>
        <w:t>5、战争、军事冲突、暴乱或武装叛乱；</w:t>
      </w:r>
    </w:p>
    <w:p>
      <w:pPr>
        <w:pStyle w:val="BodyText"/>
        <w:ind w:left="560"/>
        <w:rPr>
          <w:rFonts w:ascii="黑体" w:eastAsia="黑体" w:hint="eastAsia"/>
        </w:rPr>
      </w:pPr>
      <w:r>
        <w:rPr>
          <w:rFonts w:ascii="黑体" w:eastAsia="黑体" w:hint="eastAsia"/>
        </w:rPr>
        <w:t>6、核爆炸、核辐射或核污染；</w:t>
      </w:r>
    </w:p>
    <w:p>
      <w:pPr>
        <w:pStyle w:val="BodyText"/>
        <w:ind w:left="560"/>
        <w:rPr>
          <w:rFonts w:ascii="黑体" w:eastAsia="黑体" w:hint="eastAsia"/>
        </w:rPr>
      </w:pPr>
      <w:r>
        <w:rPr>
          <w:rFonts w:ascii="黑体" w:eastAsia="黑体" w:hint="eastAsia"/>
        </w:rPr>
        <w:t>7、遗传性疾病，先天性畸形、变形或染色体异常。</w:t>
      </w:r>
    </w:p>
    <w:p>
      <w:pPr>
        <w:pStyle w:val="BodyText"/>
        <w:ind w:left="569"/>
        <w:rPr>
          <w:rFonts w:ascii="黑体" w:eastAsia="黑体" w:hint="eastAsia"/>
        </w:rPr>
      </w:pPr>
      <w:r>
        <w:rPr>
          <w:rFonts w:ascii="黑体" w:eastAsia="黑体" w:hint="eastAsia"/>
        </w:rPr>
        <w:t>因上述情形之一导致被保险人发Th疾病、达到疾病状态或进行手术的，本附加合同终止。</w:t>
      </w:r>
    </w:p>
    <w:p>
      <w:pPr>
        <w:pStyle w:val="BodyText"/>
        <w:spacing w:before="8"/>
        <w:rPr>
          <w:rFonts w:ascii="黑体"/>
          <w:sz w:val="26"/>
        </w:rPr>
      </w:pPr>
    </w:p>
    <w:p>
      <w:pPr>
        <w:pStyle w:val="BodyText"/>
        <w:spacing w:before="1"/>
        <w:ind w:left="569"/>
        <w:rPr>
          <w:rFonts w:ascii="黑体" w:eastAsia="黑体" w:hint="eastAsia"/>
        </w:rPr>
      </w:pPr>
      <w:r>
        <w:rPr>
          <w:rFonts w:ascii="黑体" w:eastAsia="黑体" w:hint="eastAsia"/>
        </w:rPr>
        <w:t>因下列情形之一导致被保险人身故或高度残疾的，我们不承担保险费返还的责任：</w:t>
      </w:r>
    </w:p>
    <w:p>
      <w:pPr>
        <w:pStyle w:val="BodyText"/>
        <w:ind w:left="569"/>
        <w:rPr>
          <w:rFonts w:ascii="黑体" w:eastAsia="黑体" w:hint="eastAsia"/>
        </w:rPr>
      </w:pPr>
      <w:r>
        <w:rPr>
          <w:rFonts w:ascii="黑体" w:eastAsia="黑体" w:hint="eastAsia"/>
        </w:rPr>
        <w:t>1、您对被保险人的故意杀害、故意伤害；</w:t>
      </w:r>
    </w:p>
    <w:p>
      <w:pPr>
        <w:pStyle w:val="BodyText"/>
        <w:ind w:left="569"/>
        <w:rPr>
          <w:rFonts w:ascii="黑体" w:eastAsia="黑体" w:hint="eastAsia"/>
        </w:rPr>
      </w:pPr>
      <w:r>
        <w:rPr>
          <w:rFonts w:ascii="黑体" w:eastAsia="黑体" w:hint="eastAsia"/>
        </w:rPr>
        <w:t>2、被保险人故意犯罪或者抗拒依法采取的刑事强制措施；</w:t>
      </w:r>
    </w:p>
    <w:p>
      <w:pPr>
        <w:pStyle w:val="BodyText"/>
        <w:spacing w:line="273" w:lineRule="auto"/>
        <w:ind w:left="149" w:right="181" w:firstLine="420"/>
        <w:rPr>
          <w:rFonts w:ascii="黑体" w:eastAsia="黑体" w:hint="eastAsia"/>
        </w:rPr>
      </w:pPr>
      <w:r>
        <w:rPr>
          <w:rFonts w:ascii="黑体" w:eastAsia="黑体" w:hint="eastAsia"/>
        </w:rPr>
        <w:t>3、被保险人自本附加合同成立或者合同效力恢复之日起 2 年内自杀，但被保险人自杀时为无民事行为能力人的除外；</w:t>
      </w:r>
    </w:p>
    <w:p>
      <w:pPr>
        <w:pStyle w:val="BodyText"/>
        <w:spacing w:before="7"/>
        <w:ind w:left="569"/>
        <w:rPr>
          <w:rFonts w:ascii="黑体" w:eastAsia="黑体" w:hint="eastAsia"/>
        </w:rPr>
      </w:pPr>
      <w:r>
        <w:rPr>
          <w:rFonts w:ascii="黑体" w:eastAsia="黑体" w:hint="eastAsia"/>
        </w:rPr>
        <w:t>4、被保险人主动吸食或注射毒品；</w:t>
      </w:r>
    </w:p>
    <w:p>
      <w:pPr>
        <w:pStyle w:val="BodyText"/>
        <w:ind w:left="569"/>
        <w:rPr>
          <w:rFonts w:ascii="黑体" w:eastAsia="黑体" w:hint="eastAsia"/>
        </w:rPr>
      </w:pPr>
      <w:r>
        <w:rPr>
          <w:rFonts w:ascii="黑体" w:eastAsia="黑体" w:hint="eastAsia"/>
        </w:rPr>
        <w:t>5、被保险人酒后驾驶，无合法有效驾驶证驾驶，或驾驶无有效行驶证的机动车；</w:t>
      </w:r>
    </w:p>
    <w:p>
      <w:pPr>
        <w:pStyle w:val="BodyText"/>
        <w:ind w:left="569"/>
        <w:rPr>
          <w:rFonts w:ascii="黑体" w:eastAsia="黑体" w:hint="eastAsia"/>
        </w:rPr>
      </w:pPr>
      <w:r>
        <w:rPr>
          <w:rFonts w:ascii="黑体" w:eastAsia="黑体" w:hint="eastAsia"/>
        </w:rPr>
        <w:t>6、战争、军事冲突、暴乱或武装叛乱；</w:t>
      </w:r>
    </w:p>
    <w:p>
      <w:pPr>
        <w:pStyle w:val="BodyText"/>
        <w:ind w:left="569"/>
        <w:rPr>
          <w:rFonts w:ascii="黑体" w:eastAsia="黑体" w:hint="eastAsia"/>
        </w:rPr>
      </w:pPr>
      <w:r>
        <w:rPr>
          <w:rFonts w:ascii="黑体" w:eastAsia="黑体" w:hint="eastAsia"/>
        </w:rPr>
        <w:t>7、核爆炸、核辐射或核污染。</w:t>
      </w:r>
    </w:p>
    <w:p>
      <w:pPr>
        <w:pStyle w:val="BodyText"/>
        <w:ind w:left="569"/>
        <w:rPr>
          <w:rFonts w:ascii="黑体" w:eastAsia="黑体" w:hint="eastAsia"/>
        </w:rPr>
      </w:pPr>
      <w:r>
        <w:rPr>
          <w:rFonts w:ascii="黑体" w:eastAsia="黑体" w:hint="eastAsia"/>
        </w:rPr>
        <w:t>因上述情形之一导致被保险人身故或高度残疾时，本附加合同终止。</w:t>
      </w:r>
    </w:p>
    <w:p>
      <w:pPr>
        <w:pStyle w:val="BodyText"/>
        <w:spacing w:before="4"/>
        <w:rPr>
          <w:rFonts w:ascii="黑体"/>
          <w:sz w:val="25"/>
        </w:rPr>
      </w:pPr>
    </w:p>
    <w:p>
      <w:pPr>
        <w:pStyle w:val="BodyText"/>
        <w:spacing w:line="237" w:lineRule="auto" w:before="0"/>
        <w:ind w:left="149" w:right="129" w:firstLine="420"/>
        <w:rPr>
          <w:rFonts w:ascii="黑体" w:eastAsia="黑体" w:hint="eastAsia"/>
        </w:rPr>
      </w:pPr>
      <w:r>
        <w:rPr>
          <w:rFonts w:ascii="黑体" w:eastAsia="黑体" w:hint="eastAsia"/>
        </w:rPr>
        <w:t>因本条所列情形导致本附加合同终止时，除法律及本附加合同另有规定外，我们将于收到下列证明材料后三十日内向您退还本附加合同终止时的保险单现金价值净额。</w:t>
      </w:r>
    </w:p>
    <w:p>
      <w:pPr>
        <w:pStyle w:val="BodyText"/>
        <w:spacing w:line="272" w:lineRule="exact" w:before="0"/>
        <w:ind w:left="569"/>
        <w:rPr>
          <w:rFonts w:ascii="黑体" w:eastAsia="黑体" w:hint="eastAsia"/>
        </w:rPr>
      </w:pPr>
      <w:r>
        <w:rPr>
          <w:rFonts w:ascii="黑体" w:eastAsia="黑体" w:hint="eastAsia"/>
        </w:rPr>
        <w:t>1、本附加合同；</w:t>
      </w:r>
    </w:p>
    <w:p>
      <w:pPr>
        <w:pStyle w:val="BodyText"/>
        <w:spacing w:before="18"/>
        <w:ind w:left="569"/>
        <w:rPr>
          <w:rFonts w:ascii="黑体" w:eastAsia="黑体" w:hint="eastAsia"/>
        </w:rPr>
      </w:pPr>
      <w:r>
        <w:rPr>
          <w:rFonts w:ascii="黑体" w:eastAsia="黑体" w:hint="eastAsia"/>
        </w:rPr>
        <w:t>2、您的身份证明。</w:t>
      </w:r>
    </w:p>
    <w:p>
      <w:pPr>
        <w:pStyle w:val="BodyText"/>
        <w:spacing w:before="12"/>
        <w:rPr>
          <w:rFonts w:ascii="黑体"/>
          <w:sz w:val="15"/>
        </w:rPr>
      </w:pPr>
    </w:p>
    <w:p>
      <w:pPr>
        <w:pStyle w:val="Heading2"/>
        <w:tabs>
          <w:tab w:pos="1304" w:val="left" w:leader="none"/>
        </w:tabs>
      </w:pPr>
      <w:bookmarkStart w:name="_bookmark10" w:id="11"/>
      <w:bookmarkEnd w:id="11"/>
      <w:r>
        <w:rPr>
          <w:b w:val="0"/>
        </w:rPr>
      </w:r>
      <w:r>
        <w:rPr/>
        <w:t>第八条</w:t>
        <w:tab/>
        <w:t>保险金额</w:t>
      </w:r>
    </w:p>
    <w:p>
      <w:pPr>
        <w:tabs>
          <w:tab w:pos="1228" w:val="left" w:leader="none"/>
        </w:tabs>
        <w:spacing w:line="422" w:lineRule="auto" w:before="124"/>
        <w:ind w:left="149" w:right="3543" w:firstLine="420"/>
        <w:jc w:val="left"/>
        <w:rPr>
          <w:rFonts w:ascii="微软雅黑" w:eastAsia="微软雅黑" w:hint="eastAsia"/>
          <w:b/>
          <w:sz w:val="21"/>
        </w:rPr>
      </w:pPr>
      <w:r>
        <w:rPr>
          <w:sz w:val="21"/>
        </w:rPr>
        <w:t>本附加合同所称保险金额由您和我们约定，并在保险合同中载明。</w:t>
      </w:r>
      <w:bookmarkStart w:name="_bookmark11" w:id="12"/>
      <w:bookmarkEnd w:id="12"/>
      <w:r>
        <w:rPr>
          <w:sz w:val="21"/>
        </w:rPr>
      </w:r>
      <w:r>
        <w:rPr>
          <w:rFonts w:ascii="微软雅黑" w:eastAsia="微软雅黑" w:hint="eastAsia"/>
          <w:b/>
          <w:sz w:val="21"/>
        </w:rPr>
        <w:t>第九条</w:t>
        <w:tab/>
        <w:t>保险金额的变更</w:t>
      </w:r>
    </w:p>
    <w:p>
      <w:pPr>
        <w:pStyle w:val="BodyText"/>
        <w:spacing w:line="190" w:lineRule="exact" w:before="0"/>
        <w:ind w:left="560"/>
      </w:pPr>
      <w:r>
        <w:rPr/>
        <w:t>若您申请减少本附加合同的保险金额，本附加合同的保险金额以减少后的金额为准。减少后的保险金额</w:t>
      </w:r>
    </w:p>
    <w:p>
      <w:pPr>
        <w:pStyle w:val="BodyText"/>
        <w:spacing w:line="273" w:lineRule="auto"/>
        <w:ind w:left="140" w:right="180"/>
      </w:pPr>
      <w:r>
        <w:rPr/>
        <w:t>不得低于申请减额时我们的最低承保金额。其减少的部分视为您解除合同，我们将退还给您减少部分所对应的当时的现金价值净额。若我们已支付保险金，本附加合同的保险金额不可变更。</w:t>
      </w:r>
    </w:p>
    <w:p>
      <w:pPr>
        <w:pStyle w:val="BodyText"/>
        <w:spacing w:before="2"/>
        <w:rPr>
          <w:sz w:val="17"/>
        </w:rPr>
      </w:pPr>
    </w:p>
    <w:p>
      <w:pPr>
        <w:pStyle w:val="Heading1"/>
        <w:tabs>
          <w:tab w:pos="4940" w:val="left" w:leader="none"/>
        </w:tabs>
        <w:ind w:left="2975"/>
      </w:pPr>
      <w:bookmarkStart w:name="_bookmark12" w:id="13"/>
      <w:bookmarkEnd w:id="13"/>
      <w:r>
        <w:rPr>
          <w:b w:val="0"/>
        </w:rPr>
      </w:r>
      <w:r>
        <w:rPr/>
        <w:t>第三部分</w:t>
        <w:tab/>
      </w:r>
      <w:r>
        <w:rPr>
          <w:w w:val="95"/>
        </w:rPr>
        <w:t>如何领取保险金</w:t>
      </w:r>
    </w:p>
    <w:p>
      <w:pPr>
        <w:pStyle w:val="BodyText"/>
        <w:spacing w:before="1"/>
        <w:rPr>
          <w:b/>
          <w:sz w:val="25"/>
        </w:rPr>
      </w:pPr>
    </w:p>
    <w:p>
      <w:pPr>
        <w:pStyle w:val="Heading2"/>
        <w:tabs>
          <w:tab w:pos="1229" w:val="left" w:leader="none"/>
        </w:tabs>
      </w:pPr>
      <w:bookmarkStart w:name="_bookmark13" w:id="14"/>
      <w:bookmarkEnd w:id="14"/>
      <w:r>
        <w:rPr>
          <w:b w:val="0"/>
        </w:rPr>
      </w:r>
      <w:r>
        <w:rPr/>
        <w:t>第十条</w:t>
        <w:tab/>
        <w:t>保险金的申领</w:t>
      </w:r>
    </w:p>
    <w:p>
      <w:pPr>
        <w:pStyle w:val="BodyText"/>
        <w:spacing w:line="273" w:lineRule="auto" w:before="124"/>
        <w:ind w:left="149" w:right="182" w:firstLine="420"/>
      </w:pPr>
      <w:r>
        <w:rPr/>
        <w:t>若被保险人经诊断初次患本附加合同约定的重大疾病中的一项或多项，索赔权利人需填写保险金给付申请书，并凭下列证明材料向我们申请理赔：</w:t>
      </w:r>
    </w:p>
    <w:p>
      <w:pPr>
        <w:pStyle w:val="ListParagraph"/>
        <w:numPr>
          <w:ilvl w:val="0"/>
          <w:numId w:val="2"/>
        </w:numPr>
        <w:tabs>
          <w:tab w:pos="885" w:val="left" w:leader="none"/>
        </w:tabs>
        <w:spacing w:line="240" w:lineRule="auto" w:before="8" w:after="0"/>
        <w:ind w:left="884" w:right="0" w:hanging="315"/>
        <w:jc w:val="left"/>
        <w:rPr>
          <w:sz w:val="21"/>
        </w:rPr>
      </w:pPr>
      <w:r>
        <w:rPr>
          <w:spacing w:val="-1"/>
          <w:sz w:val="21"/>
        </w:rPr>
        <w:t>本附加合同；</w:t>
      </w:r>
    </w:p>
    <w:p>
      <w:pPr>
        <w:pStyle w:val="ListParagraph"/>
        <w:numPr>
          <w:ilvl w:val="0"/>
          <w:numId w:val="2"/>
        </w:numPr>
        <w:tabs>
          <w:tab w:pos="885" w:val="left" w:leader="none"/>
        </w:tabs>
        <w:spacing w:line="240" w:lineRule="auto" w:before="37" w:after="0"/>
        <w:ind w:left="884" w:right="0" w:hanging="315"/>
        <w:jc w:val="left"/>
        <w:rPr>
          <w:sz w:val="21"/>
        </w:rPr>
      </w:pPr>
      <w:r>
        <w:rPr>
          <w:spacing w:val="-1"/>
          <w:sz w:val="21"/>
        </w:rPr>
        <w:t>索赔权利人的身份证明及索赔权利证明；</w:t>
      </w:r>
    </w:p>
    <w:p>
      <w:pPr>
        <w:pStyle w:val="ListParagraph"/>
        <w:numPr>
          <w:ilvl w:val="0"/>
          <w:numId w:val="2"/>
        </w:numPr>
        <w:tabs>
          <w:tab w:pos="885" w:val="left" w:leader="none"/>
        </w:tabs>
        <w:spacing w:line="240" w:lineRule="auto" w:before="37" w:after="0"/>
        <w:ind w:left="884" w:right="0" w:hanging="315"/>
        <w:jc w:val="left"/>
        <w:rPr>
          <w:sz w:val="21"/>
        </w:rPr>
      </w:pPr>
      <w:r>
        <w:rPr>
          <w:spacing w:val="-1"/>
          <w:sz w:val="21"/>
        </w:rPr>
        <w:t>定点医疗机构的专科医生出具的诊断证明以及相关资料；</w:t>
      </w:r>
    </w:p>
    <w:p>
      <w:pPr>
        <w:spacing w:after="0" w:line="240" w:lineRule="auto"/>
        <w:jc w:val="left"/>
        <w:rPr>
          <w:sz w:val="21"/>
        </w:rPr>
        <w:sectPr>
          <w:pgSz w:w="11910" w:h="16840"/>
          <w:pgMar w:header="880" w:footer="949" w:top="1080" w:bottom="1160" w:left="70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ListParagraph"/>
        <w:numPr>
          <w:ilvl w:val="0"/>
          <w:numId w:val="2"/>
        </w:numPr>
        <w:tabs>
          <w:tab w:pos="869" w:val="left" w:leader="none"/>
        </w:tabs>
        <w:spacing w:line="240" w:lineRule="auto" w:before="0" w:after="0"/>
        <w:ind w:left="868" w:right="0" w:hanging="314"/>
        <w:jc w:val="left"/>
        <w:rPr>
          <w:sz w:val="21"/>
        </w:rPr>
      </w:pPr>
      <w:r>
        <w:rPr>
          <w:spacing w:val="-1"/>
          <w:sz w:val="21"/>
        </w:rPr>
        <w:t>我们所需且索赔权利人能够提供的与保险事故有关的其他材料。</w:t>
      </w:r>
    </w:p>
    <w:p>
      <w:pPr>
        <w:pStyle w:val="BodyText"/>
        <w:spacing w:before="1"/>
        <w:rPr>
          <w:sz w:val="25"/>
        </w:rPr>
      </w:pPr>
    </w:p>
    <w:p>
      <w:pPr>
        <w:pStyle w:val="BodyText"/>
        <w:spacing w:line="274" w:lineRule="exact" w:before="0"/>
        <w:ind w:left="554"/>
      </w:pPr>
      <w:r>
        <w:rPr/>
        <w:t>若被保险人身故，索赔权利人需填写保险金给付申请书，并凭下列证明材料向我们申请理赔：</w:t>
      </w:r>
    </w:p>
    <w:p>
      <w:pPr>
        <w:pStyle w:val="BodyText"/>
        <w:spacing w:line="274" w:lineRule="exact" w:before="0"/>
        <w:ind w:left="554"/>
      </w:pPr>
      <w:r>
        <w:rPr/>
        <w:t>1. 本附加合同；</w:t>
      </w:r>
    </w:p>
    <w:p>
      <w:pPr>
        <w:pStyle w:val="BodyText"/>
        <w:tabs>
          <w:tab w:pos="868" w:val="left" w:leader="none"/>
        </w:tabs>
        <w:spacing w:before="18"/>
        <w:ind w:left="553"/>
      </w:pPr>
      <w:r>
        <w:rPr/>
        <w:t>2</w:t>
        <w:tab/>
      </w:r>
      <w:r>
        <w:rPr>
          <w:spacing w:val="-1"/>
        </w:rPr>
        <w:t>索赔权利人的身份证明及索赔权利证明；</w:t>
      </w:r>
    </w:p>
    <w:p>
      <w:pPr>
        <w:pStyle w:val="ListParagraph"/>
        <w:numPr>
          <w:ilvl w:val="0"/>
          <w:numId w:val="3"/>
        </w:numPr>
        <w:tabs>
          <w:tab w:pos="869" w:val="left" w:leader="none"/>
        </w:tabs>
        <w:spacing w:line="240" w:lineRule="auto" w:before="36" w:after="0"/>
        <w:ind w:left="868" w:right="0" w:hanging="314"/>
        <w:jc w:val="left"/>
        <w:rPr>
          <w:sz w:val="21"/>
        </w:rPr>
      </w:pPr>
      <w:r>
        <w:rPr>
          <w:spacing w:val="-1"/>
          <w:sz w:val="21"/>
        </w:rPr>
        <w:t>医疗机构出具的被保险人死亡证明书或政府职能部门法医出具的尸体检验报告；</w:t>
      </w:r>
    </w:p>
    <w:p>
      <w:pPr>
        <w:pStyle w:val="ListParagraph"/>
        <w:numPr>
          <w:ilvl w:val="0"/>
          <w:numId w:val="3"/>
        </w:numPr>
        <w:tabs>
          <w:tab w:pos="869" w:val="left" w:leader="none"/>
        </w:tabs>
        <w:spacing w:line="240" w:lineRule="auto" w:before="36" w:after="0"/>
        <w:ind w:left="868" w:right="0" w:hanging="314"/>
        <w:jc w:val="left"/>
        <w:rPr>
          <w:sz w:val="21"/>
        </w:rPr>
      </w:pPr>
      <w:r>
        <w:rPr>
          <w:spacing w:val="-1"/>
          <w:sz w:val="21"/>
        </w:rPr>
        <w:t>若被保险人为宣告死亡，索赔权利人须提供由法院出具的宣告死亡证明文件；</w:t>
      </w:r>
    </w:p>
    <w:p>
      <w:pPr>
        <w:pStyle w:val="ListParagraph"/>
        <w:numPr>
          <w:ilvl w:val="0"/>
          <w:numId w:val="3"/>
        </w:numPr>
        <w:tabs>
          <w:tab w:pos="869" w:val="left" w:leader="none"/>
        </w:tabs>
        <w:spacing w:line="240" w:lineRule="auto" w:before="36" w:after="0"/>
        <w:ind w:left="868" w:right="0" w:hanging="314"/>
        <w:jc w:val="left"/>
        <w:rPr>
          <w:sz w:val="21"/>
        </w:rPr>
      </w:pPr>
      <w:r>
        <w:rPr>
          <w:spacing w:val="-1"/>
          <w:sz w:val="21"/>
        </w:rPr>
        <w:t>被保险人的户籍注销证明；</w:t>
      </w:r>
    </w:p>
    <w:p>
      <w:pPr>
        <w:pStyle w:val="ListParagraph"/>
        <w:numPr>
          <w:ilvl w:val="0"/>
          <w:numId w:val="3"/>
        </w:numPr>
        <w:tabs>
          <w:tab w:pos="869" w:val="left" w:leader="none"/>
        </w:tabs>
        <w:spacing w:line="240" w:lineRule="auto" w:before="36" w:after="0"/>
        <w:ind w:left="868" w:right="0" w:hanging="314"/>
        <w:jc w:val="left"/>
        <w:rPr>
          <w:sz w:val="21"/>
        </w:rPr>
      </w:pPr>
      <w:r>
        <w:rPr>
          <w:spacing w:val="-1"/>
          <w:sz w:val="21"/>
        </w:rPr>
        <w:t>索赔权利人所能提供的与确认保险事故的性质、原因有关的证明文件和资料；</w:t>
      </w:r>
    </w:p>
    <w:p>
      <w:pPr>
        <w:pStyle w:val="ListParagraph"/>
        <w:numPr>
          <w:ilvl w:val="0"/>
          <w:numId w:val="3"/>
        </w:numPr>
        <w:tabs>
          <w:tab w:pos="869" w:val="left" w:leader="none"/>
        </w:tabs>
        <w:spacing w:line="240" w:lineRule="auto" w:before="36" w:after="0"/>
        <w:ind w:left="868" w:right="0" w:hanging="314"/>
        <w:jc w:val="left"/>
        <w:rPr>
          <w:sz w:val="21"/>
        </w:rPr>
      </w:pPr>
      <w:r>
        <w:rPr>
          <w:spacing w:val="-1"/>
          <w:sz w:val="21"/>
        </w:rPr>
        <w:t>我们所需且索赔权利人能够提供的与保险事故有关的其他材料。</w:t>
      </w:r>
    </w:p>
    <w:p>
      <w:pPr>
        <w:pStyle w:val="BodyText"/>
        <w:spacing w:before="8"/>
        <w:rPr>
          <w:sz w:val="19"/>
        </w:rPr>
      </w:pPr>
    </w:p>
    <w:p>
      <w:pPr>
        <w:pStyle w:val="BodyText"/>
        <w:spacing w:before="0"/>
        <w:ind w:left="553"/>
      </w:pPr>
      <w:r>
        <w:rPr/>
        <w:t>若被保险人身体高度残疾，索赔权利人需填写保险金给付申请书，并凭下列证明材料向我们申请理赔：</w:t>
      </w:r>
    </w:p>
    <w:p>
      <w:pPr>
        <w:pStyle w:val="ListParagraph"/>
        <w:numPr>
          <w:ilvl w:val="0"/>
          <w:numId w:val="4"/>
        </w:numPr>
        <w:tabs>
          <w:tab w:pos="869" w:val="left" w:leader="none"/>
        </w:tabs>
        <w:spacing w:line="240" w:lineRule="auto" w:before="17" w:after="0"/>
        <w:ind w:left="868" w:right="0" w:hanging="314"/>
        <w:jc w:val="left"/>
        <w:rPr>
          <w:sz w:val="21"/>
        </w:rPr>
      </w:pPr>
      <w:r>
        <w:rPr>
          <w:spacing w:val="-1"/>
          <w:sz w:val="21"/>
        </w:rPr>
        <w:t>本附加合同；</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索赔权利人的身份证明及索赔权利证明；</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定点医疗机构出具的诊断证明或政府职能部门法医出具的残疾鉴定书；</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索赔权利人所能提供的与确认保险事故的性质、原因有关的证明文件和资料；</w:t>
      </w:r>
    </w:p>
    <w:p>
      <w:pPr>
        <w:pStyle w:val="ListParagraph"/>
        <w:numPr>
          <w:ilvl w:val="0"/>
          <w:numId w:val="4"/>
        </w:numPr>
        <w:tabs>
          <w:tab w:pos="869" w:val="left" w:leader="none"/>
        </w:tabs>
        <w:spacing w:line="240" w:lineRule="auto" w:before="37" w:after="0"/>
        <w:ind w:left="868" w:right="0" w:hanging="314"/>
        <w:jc w:val="left"/>
        <w:rPr>
          <w:sz w:val="21"/>
        </w:rPr>
      </w:pPr>
      <w:r>
        <w:rPr>
          <w:spacing w:val="-1"/>
          <w:sz w:val="21"/>
        </w:rPr>
        <w:t>我们所需且索赔权利人能够提供的与保险事故有关的其他材料。</w:t>
      </w:r>
    </w:p>
    <w:p>
      <w:pPr>
        <w:pStyle w:val="BodyText"/>
        <w:spacing w:before="8"/>
        <w:rPr>
          <w:sz w:val="26"/>
        </w:rPr>
      </w:pPr>
    </w:p>
    <w:p>
      <w:pPr>
        <w:pStyle w:val="BodyText"/>
        <w:spacing w:line="273" w:lineRule="auto" w:before="1"/>
        <w:ind w:left="133" w:right="218" w:firstLine="420"/>
        <w:jc w:val="both"/>
      </w:pPr>
      <w:r>
        <w:rPr/>
        <w:t>我们收到申请人保险金上述给付申请书及本条所列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before="8"/>
        <w:ind w:left="133" w:right="218" w:firstLine="420"/>
        <w:jc w:val="both"/>
      </w:pPr>
      <w:r>
        <w:rPr/>
        <w:t>我们自收到申请人的保险金给付申请书及本条所列的证明材料之日起六十天内，对属于保险责任而给付保险金的数额暂时不能确定的，根据已有的证明材料，按可以确定的最低数额先予支付，我们最终确定给付保险金数额后，再支付相应的差额。</w:t>
      </w:r>
    </w:p>
    <w:p>
      <w:pPr>
        <w:tabs>
          <w:tab w:pos="1213" w:val="left" w:leader="none"/>
        </w:tabs>
        <w:spacing w:line="422" w:lineRule="auto" w:before="8"/>
        <w:ind w:left="133" w:right="2738" w:firstLine="420"/>
        <w:jc w:val="left"/>
        <w:rPr>
          <w:rFonts w:ascii="微软雅黑" w:eastAsia="微软雅黑" w:hint="eastAsia"/>
          <w:b/>
          <w:sz w:val="21"/>
        </w:rPr>
      </w:pPr>
      <w:r>
        <w:rPr>
          <w:sz w:val="21"/>
        </w:rPr>
        <w:t>保险金作为被保险人遗产时，必须提供可证明合法继承权的相关权利文件。</w:t>
      </w:r>
      <w:bookmarkStart w:name="_bookmark14" w:id="15"/>
      <w:bookmarkEnd w:id="15"/>
      <w:r>
        <w:rPr>
          <w:sz w:val="21"/>
        </w:rPr>
      </w:r>
      <w:r>
        <w:rPr>
          <w:rFonts w:ascii="微软雅黑" w:eastAsia="微软雅黑" w:hint="eastAsia"/>
          <w:b/>
          <w:sz w:val="21"/>
        </w:rPr>
        <w:t>第十一条</w:t>
        <w:tab/>
        <w:t>索赔时效</w:t>
      </w:r>
    </w:p>
    <w:p>
      <w:pPr>
        <w:pStyle w:val="BodyText"/>
        <w:spacing w:line="168" w:lineRule="exact" w:before="0"/>
        <w:ind w:left="553"/>
      </w:pPr>
      <w:r>
        <w:rPr/>
        <w:t>本附加合同的索赔权利人向我们请求给付保险金的诉讼时效期间为两年，自其知道或应当知道保险事故</w:t>
      </w:r>
    </w:p>
    <w:p>
      <w:pPr>
        <w:pStyle w:val="BodyText"/>
        <w:spacing w:line="274" w:lineRule="exact" w:before="0"/>
        <w:ind w:left="133"/>
      </w:pPr>
      <w:r>
        <w:rPr/>
        <w:t>发生之日起计算。</w:t>
      </w:r>
    </w:p>
    <w:p>
      <w:pPr>
        <w:pStyle w:val="BodyText"/>
        <w:spacing w:before="1"/>
        <w:rPr>
          <w:sz w:val="18"/>
        </w:rPr>
      </w:pPr>
    </w:p>
    <w:p>
      <w:pPr>
        <w:pStyle w:val="Heading1"/>
        <w:tabs>
          <w:tab w:pos="1965" w:val="left" w:leader="none"/>
        </w:tabs>
        <w:ind w:right="370"/>
        <w:jc w:val="center"/>
      </w:pPr>
      <w:bookmarkStart w:name="_bookmark15" w:id="16"/>
      <w:bookmarkEnd w:id="16"/>
      <w:r>
        <w:rPr>
          <w:b w:val="0"/>
        </w:rPr>
      </w:r>
      <w:r>
        <w:rPr/>
        <w:t>第四部分</w:t>
        <w:tab/>
      </w:r>
      <w:r>
        <w:rPr>
          <w:w w:val="95"/>
        </w:rPr>
        <w:t>保险费的交纳</w:t>
      </w:r>
    </w:p>
    <w:p>
      <w:pPr>
        <w:pStyle w:val="BodyText"/>
        <w:spacing w:before="2"/>
        <w:rPr>
          <w:b/>
          <w:sz w:val="25"/>
        </w:rPr>
      </w:pPr>
    </w:p>
    <w:p>
      <w:pPr>
        <w:pStyle w:val="Heading2"/>
        <w:tabs>
          <w:tab w:pos="1213" w:val="left" w:leader="none"/>
        </w:tabs>
        <w:ind w:left="134"/>
      </w:pPr>
      <w:bookmarkStart w:name="_bookmark16" w:id="17"/>
      <w:bookmarkEnd w:id="17"/>
      <w:r>
        <w:rPr>
          <w:b w:val="0"/>
        </w:rPr>
      </w:r>
      <w:r>
        <w:rPr/>
        <w:t>第十二条</w:t>
        <w:tab/>
        <w:t>保险费的交纳</w:t>
      </w:r>
    </w:p>
    <w:p>
      <w:pPr>
        <w:pStyle w:val="BodyText"/>
        <w:spacing w:line="273" w:lineRule="auto" w:before="124"/>
        <w:ind w:left="134" w:right="218" w:firstLine="420"/>
      </w:pPr>
      <w:r>
        <w:rPr/>
        <w:t>本附加合同的交费方式由您与我们约定，并在保险合同中载明。如果您选择分期交纳保险费，在交纳首期保险费以后，您应按照约定在每个保险费到期日向我们交纳续期保险费。</w:t>
      </w:r>
    </w:p>
    <w:p>
      <w:pPr>
        <w:pStyle w:val="Heading2"/>
        <w:tabs>
          <w:tab w:pos="1214" w:val="left" w:leader="none"/>
        </w:tabs>
        <w:spacing w:before="179"/>
        <w:ind w:left="134"/>
      </w:pPr>
      <w:bookmarkStart w:name="_bookmark17" w:id="18"/>
      <w:bookmarkEnd w:id="18"/>
      <w:r>
        <w:rPr>
          <w:b w:val="0"/>
        </w:rPr>
      </w:r>
      <w:r>
        <w:rPr/>
        <w:t>第十三条</w:t>
        <w:tab/>
        <w:t>保险费的调整</w:t>
      </w:r>
    </w:p>
    <w:p>
      <w:pPr>
        <w:pStyle w:val="BodyText"/>
        <w:spacing w:line="273" w:lineRule="auto" w:before="126"/>
        <w:ind w:left="134" w:right="217" w:firstLine="420"/>
      </w:pPr>
      <w:r>
        <w:rPr/>
        <w:t>我们有权利调整本产品保险费率，调整后的费率须符合保险监管机构的相关规定。保险费率的调整针对所有被保险人或同一投保年龄的所有被保险人。</w:t>
      </w:r>
    </w:p>
    <w:p>
      <w:pPr>
        <w:pStyle w:val="BodyText"/>
        <w:spacing w:line="273" w:lineRule="auto" w:before="8"/>
        <w:ind w:left="134" w:right="217" w:firstLine="420"/>
      </w:pPr>
      <w:r>
        <w:rPr/>
        <w:t>我们进行保险费率调整后，将以书面形式于保险单周年日前通知您。您须按调整后的保险费率，以被保险人投保时的年龄为计算基础，交纳续期保险费。</w:t>
      </w:r>
    </w:p>
    <w:p>
      <w:pPr>
        <w:pStyle w:val="Heading2"/>
        <w:tabs>
          <w:tab w:pos="1214" w:val="left" w:leader="none"/>
        </w:tabs>
        <w:spacing w:before="179"/>
        <w:ind w:left="134"/>
      </w:pPr>
      <w:bookmarkStart w:name="_bookmark18" w:id="19"/>
      <w:bookmarkEnd w:id="19"/>
      <w:r>
        <w:rPr>
          <w:b w:val="0"/>
        </w:rPr>
      </w:r>
      <w:r>
        <w:rPr/>
        <w:t>第十四条</w:t>
        <w:tab/>
        <w:t>宽限期</w:t>
      </w:r>
    </w:p>
    <w:p>
      <w:pPr>
        <w:pStyle w:val="BodyText"/>
        <w:spacing w:line="273" w:lineRule="auto" w:before="125"/>
        <w:ind w:left="134" w:right="112" w:firstLine="435"/>
      </w:pPr>
      <w:r>
        <w:rPr>
          <w:spacing w:val="-9"/>
        </w:rPr>
        <w:t>自交纳首期保险费后，每个保险费到期日次日起六十天为交付保险费的宽限期。宽限期内发生保险事故， 我们仍承担保险责任，但我们给付的保险金将扣除您未交纳的保险费。</w:t>
      </w:r>
    </w:p>
    <w:p>
      <w:pPr>
        <w:spacing w:after="0" w:line="273" w:lineRule="auto"/>
        <w:sectPr>
          <w:footerReference w:type="default" r:id="rId7"/>
          <w:pgSz w:w="11910" w:h="16840"/>
          <w:pgMar w:footer="956" w:header="880" w:top="1080" w:bottom="1140" w:left="1000" w:right="680"/>
          <w:pgNumType w:start="3"/>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Heading1"/>
        <w:tabs>
          <w:tab w:pos="1965" w:val="left" w:leader="none"/>
        </w:tabs>
        <w:spacing w:before="75"/>
        <w:ind w:right="358"/>
        <w:jc w:val="center"/>
      </w:pPr>
      <w:bookmarkStart w:name="_bookmark19" w:id="20"/>
      <w:bookmarkEnd w:id="20"/>
      <w:r>
        <w:rPr>
          <w:b w:val="0"/>
        </w:rPr>
      </w:r>
      <w:r>
        <w:rPr/>
        <w:t>第五部分</w:t>
        <w:tab/>
      </w:r>
      <w:r>
        <w:rPr>
          <w:w w:val="95"/>
        </w:rPr>
        <w:t>您所拥有的重要权益</w:t>
      </w:r>
    </w:p>
    <w:p>
      <w:pPr>
        <w:pStyle w:val="BodyText"/>
        <w:spacing w:before="2"/>
        <w:rPr>
          <w:b/>
          <w:sz w:val="25"/>
        </w:rPr>
      </w:pPr>
    </w:p>
    <w:p>
      <w:pPr>
        <w:pStyle w:val="Heading2"/>
        <w:tabs>
          <w:tab w:pos="1229" w:val="left" w:leader="none"/>
        </w:tabs>
      </w:pPr>
      <w:bookmarkStart w:name="_bookmark20" w:id="21"/>
      <w:bookmarkEnd w:id="21"/>
      <w:r>
        <w:rPr>
          <w:b w:val="0"/>
        </w:rPr>
      </w:r>
      <w:r>
        <w:rPr/>
        <w:t>第十五条</w:t>
        <w:tab/>
        <w:t>合同解除权</w:t>
      </w:r>
    </w:p>
    <w:p>
      <w:pPr>
        <w:pStyle w:val="BodyText"/>
        <w:spacing w:line="237" w:lineRule="auto" w:before="107"/>
        <w:ind w:left="149" w:right="142" w:firstLine="420"/>
      </w:pPr>
      <w:r>
        <w:rPr>
          <w:spacing w:val="-7"/>
        </w:rPr>
        <w:t>在本附加合同有效期内，您可随时申请解除本附加合同。我们收到解除合同申请书时，本附加合同终止。</w:t>
      </w:r>
      <w:r>
        <w:rPr>
          <w:spacing w:val="-15"/>
        </w:rPr>
        <w:t>为了让您能够更清楚地了解相关的保险条款和内容，以及有更多的考虑时间，自您签收本附加合同次日起</w:t>
      </w:r>
      <w:r>
        <w:rPr/>
        <w:t>（含该日）十天内为犹豫期。</w:t>
      </w:r>
    </w:p>
    <w:p>
      <w:pPr>
        <w:pStyle w:val="BodyText"/>
        <w:spacing w:line="237" w:lineRule="auto" w:before="0"/>
        <w:ind w:left="149" w:right="221" w:firstLine="420"/>
        <w:jc w:val="both"/>
      </w:pPr>
      <w:r>
        <w:rPr>
          <w:spacing w:val="-10"/>
        </w:rPr>
        <w:t>一、 若您在犹豫期内要求解除本附加合同，我们将于收到本条第三款所列的证明材料并扣除十元工本费后无息退还已收的全部保险费，本附加合同自始无效。</w:t>
      </w:r>
    </w:p>
    <w:p>
      <w:pPr>
        <w:pStyle w:val="BodyText"/>
        <w:spacing w:line="237" w:lineRule="auto" w:before="0"/>
        <w:ind w:left="149" w:right="221" w:firstLine="420"/>
        <w:jc w:val="both"/>
      </w:pPr>
      <w:r>
        <w:rPr>
          <w:spacing w:val="-10"/>
        </w:rPr>
        <w:t>二、 若您在犹豫期后要求解除本附加合同，我们在收到本条第三款所列证明材料后三十日内向您退还本附加合同终止时的保险单现金价值净额。</w:t>
      </w:r>
    </w:p>
    <w:p>
      <w:pPr>
        <w:pStyle w:val="BodyText"/>
        <w:spacing w:line="271" w:lineRule="exact" w:before="0"/>
        <w:ind w:left="569"/>
      </w:pPr>
      <w:r>
        <w:rPr/>
        <w:t>三、 您要求解除本附加合同时，应提供下列证明材料：</w:t>
      </w:r>
    </w:p>
    <w:p>
      <w:pPr>
        <w:pStyle w:val="ListParagraph"/>
        <w:numPr>
          <w:ilvl w:val="1"/>
          <w:numId w:val="4"/>
        </w:numPr>
        <w:tabs>
          <w:tab w:pos="1409" w:val="left" w:leader="none"/>
          <w:tab w:pos="1410" w:val="left" w:leader="none"/>
        </w:tabs>
        <w:spacing w:line="280" w:lineRule="exact" w:before="0" w:after="0"/>
        <w:ind w:left="1409" w:right="0" w:hanging="360"/>
        <w:jc w:val="left"/>
        <w:rPr>
          <w:sz w:val="21"/>
        </w:rPr>
      </w:pPr>
      <w:r>
        <w:rPr>
          <w:sz w:val="21"/>
        </w:rPr>
        <w:t>本附加合同；</w:t>
      </w:r>
    </w:p>
    <w:p>
      <w:pPr>
        <w:pStyle w:val="ListParagraph"/>
        <w:numPr>
          <w:ilvl w:val="1"/>
          <w:numId w:val="4"/>
        </w:numPr>
        <w:tabs>
          <w:tab w:pos="1409" w:val="left" w:leader="none"/>
          <w:tab w:pos="1411" w:val="left" w:leader="none"/>
        </w:tabs>
        <w:spacing w:line="272" w:lineRule="exact" w:before="0" w:after="0"/>
        <w:ind w:left="1410" w:right="0" w:hanging="361"/>
        <w:jc w:val="left"/>
        <w:rPr>
          <w:sz w:val="21"/>
        </w:rPr>
      </w:pPr>
      <w:r>
        <w:rPr>
          <w:sz w:val="21"/>
        </w:rPr>
        <w:t>解除合同申请书；</w:t>
      </w:r>
    </w:p>
    <w:p>
      <w:pPr>
        <w:pStyle w:val="ListParagraph"/>
        <w:numPr>
          <w:ilvl w:val="1"/>
          <w:numId w:val="4"/>
        </w:numPr>
        <w:tabs>
          <w:tab w:pos="1410" w:val="left" w:leader="none"/>
          <w:tab w:pos="1411" w:val="left" w:leader="none"/>
        </w:tabs>
        <w:spacing w:line="282" w:lineRule="exact" w:before="0" w:after="0"/>
        <w:ind w:left="1410" w:right="0" w:hanging="360"/>
        <w:jc w:val="left"/>
        <w:rPr>
          <w:sz w:val="21"/>
        </w:rPr>
      </w:pPr>
      <w:r>
        <w:rPr>
          <w:sz w:val="21"/>
        </w:rPr>
        <w:t>您的身份证明。</w:t>
      </w:r>
    </w:p>
    <w:p>
      <w:pPr>
        <w:pStyle w:val="BodyText"/>
        <w:spacing w:before="12"/>
        <w:rPr>
          <w:sz w:val="16"/>
        </w:rPr>
      </w:pPr>
    </w:p>
    <w:p>
      <w:pPr>
        <w:pStyle w:val="Heading1"/>
        <w:tabs>
          <w:tab w:pos="5362" w:val="left" w:leader="none"/>
        </w:tabs>
        <w:ind w:left="3396"/>
      </w:pPr>
      <w:bookmarkStart w:name="_bookmark21" w:id="22"/>
      <w:bookmarkEnd w:id="22"/>
      <w:r>
        <w:rPr>
          <w:b w:val="0"/>
        </w:rPr>
      </w:r>
      <w:r>
        <w:rPr/>
        <w:t>第六部分</w:t>
        <w:tab/>
      </w:r>
      <w:r>
        <w:rPr>
          <w:w w:val="95"/>
        </w:rPr>
        <w:t>就医须知</w:t>
      </w:r>
    </w:p>
    <w:p>
      <w:pPr>
        <w:pStyle w:val="BodyText"/>
        <w:spacing w:line="273" w:lineRule="auto" w:before="158"/>
        <w:ind w:left="149" w:right="222" w:firstLine="420"/>
        <w:jc w:val="both"/>
      </w:pPr>
      <w:r>
        <w:rPr/>
        <w:t>被保险人须在定点医疗机构接受治疗，但被保险人紧急抢救不受此限制，在病情稳定后，应转入定点医疗机构继续治疗。</w:t>
      </w:r>
    </w:p>
    <w:p>
      <w:pPr>
        <w:pStyle w:val="BodyText"/>
        <w:spacing w:before="4"/>
        <w:rPr>
          <w:sz w:val="17"/>
        </w:rPr>
      </w:pPr>
    </w:p>
    <w:p>
      <w:pPr>
        <w:pStyle w:val="Heading1"/>
        <w:tabs>
          <w:tab w:pos="5439" w:val="left" w:leader="none"/>
        </w:tabs>
        <w:ind w:left="3322"/>
      </w:pPr>
      <w:bookmarkStart w:name="_bookmark22" w:id="23"/>
      <w:bookmarkEnd w:id="23"/>
      <w:r>
        <w:rPr>
          <w:b w:val="0"/>
        </w:rPr>
      </w:r>
      <w:r>
        <w:rPr/>
        <w:t>第七部分</w:t>
        <w:tab/>
      </w:r>
      <w:r>
        <w:rPr>
          <w:w w:val="95"/>
        </w:rPr>
        <w:t>名词释义</w:t>
      </w:r>
    </w:p>
    <w:p>
      <w:pPr>
        <w:pStyle w:val="BodyText"/>
        <w:spacing w:line="247" w:lineRule="auto" w:before="95"/>
        <w:ind w:left="1767" w:right="219" w:hanging="1618"/>
      </w:pPr>
      <w:r>
        <w:rPr>
          <w:rFonts w:ascii="微软雅黑" w:eastAsia="微软雅黑" w:hint="eastAsia"/>
          <w:b/>
        </w:rPr>
        <w:t>定点医疗机构： </w:t>
      </w:r>
      <w:r>
        <w:rPr/>
        <w:t>我们为被保险人提供多家不同层次的专业医疗机构名单，供被保险人在此范围内选择，定点医疗机构名单请见合同附件。</w:t>
      </w:r>
    </w:p>
    <w:p>
      <w:pPr>
        <w:pStyle w:val="BodyText"/>
        <w:tabs>
          <w:tab w:pos="1767" w:val="left" w:leader="none"/>
        </w:tabs>
        <w:spacing w:line="312" w:lineRule="exact" w:before="26"/>
        <w:ind w:left="1767" w:right="181" w:hanging="1618"/>
      </w:pPr>
      <w:r>
        <w:rPr>
          <w:rFonts w:ascii="微软雅黑" w:eastAsia="微软雅黑" w:hint="eastAsia"/>
          <w:b/>
        </w:rPr>
        <w:t>专科医生：</w:t>
        <w:tab/>
      </w:r>
      <w:r>
        <w:rPr>
          <w:spacing w:val="-1"/>
        </w:rPr>
        <w:t>专科医生应当同时满足以下四项资格条件</w:t>
      </w:r>
      <w:r>
        <w:rPr>
          <w:spacing w:val="-9"/>
        </w:rPr>
        <w:t>：（1）</w:t>
      </w:r>
      <w:r>
        <w:rPr>
          <w:spacing w:val="-1"/>
        </w:rPr>
        <w:t>具有有效的中华人民共和</w:t>
      </w:r>
      <w:r>
        <w:rPr>
          <w:spacing w:val="-11"/>
        </w:rPr>
        <w:t>国</w:t>
      </w:r>
      <w:r>
        <w:rPr>
          <w:spacing w:val="-1"/>
        </w:rPr>
        <w:t>《医师资</w:t>
      </w:r>
      <w:r>
        <w:rPr/>
        <w:t>格证</w:t>
      </w:r>
      <w:r>
        <w:rPr>
          <w:spacing w:val="-1"/>
        </w:rPr>
        <w:t>书》；（2）具有有效的中华人民共和国《医师执业证书》，并按期到相关部门登记注册；</w:t>
      </w:r>
    </w:p>
    <w:p>
      <w:pPr>
        <w:pStyle w:val="BodyText"/>
        <w:spacing w:line="273" w:lineRule="auto" w:before="3"/>
        <w:ind w:left="1767" w:right="59"/>
      </w:pPr>
      <w:r>
        <w:rPr/>
        <w:t>（3）具有有效的中华人民共和国主治医师或主治医师以上职称的《医师职称证书》；（4） 在二级或二级以上医院的相应科室从事临床工作三年以上。</w:t>
      </w:r>
    </w:p>
    <w:p>
      <w:pPr>
        <w:pStyle w:val="BodyText"/>
        <w:tabs>
          <w:tab w:pos="1767" w:val="left" w:leader="none"/>
        </w:tabs>
        <w:spacing w:line="312" w:lineRule="exact" w:before="2"/>
        <w:ind w:left="1767" w:right="219" w:hanging="1618"/>
      </w:pPr>
      <w:r>
        <w:rPr>
          <w:rFonts w:ascii="微软雅黑" w:eastAsia="微软雅黑" w:hint="eastAsia"/>
          <w:b/>
        </w:rPr>
        <w:t>遗传性疾病:</w:t>
        <w:tab/>
      </w:r>
      <w:r>
        <w:rPr/>
        <w:t>指生殖细胞或受精卵的遗传物质（染色体和基因）发生突变或畸变所引起的疾病，通常具 有由亲代传至后代的垂直传递的特征。</w:t>
      </w:r>
    </w:p>
    <w:p>
      <w:pPr>
        <w:pStyle w:val="Heading2"/>
        <w:spacing w:line="305" w:lineRule="exact"/>
      </w:pPr>
      <w:r>
        <w:rPr/>
        <w:t>先天性畸形、变形或染色体异常:</w:t>
      </w:r>
    </w:p>
    <w:p>
      <w:pPr>
        <w:pStyle w:val="BodyText"/>
        <w:spacing w:line="273" w:lineRule="auto" w:before="12"/>
        <w:ind w:left="1767" w:right="219"/>
      </w:pPr>
      <w:r>
        <w:rPr/>
        <w:t>指被保险人出生时就具有的畸形、变形或染色体异常。先天性畸形、变形和染色体异常依照世界卫生组织《疾病和有关健康问题的国际统计分类》 （ICD-10）确定。</w:t>
      </w:r>
    </w:p>
    <w:p>
      <w:pPr>
        <w:pStyle w:val="BodyText"/>
        <w:spacing w:before="5"/>
        <w:rPr>
          <w:sz w:val="24"/>
        </w:rPr>
      </w:pPr>
    </w:p>
    <w:p>
      <w:pPr>
        <w:pStyle w:val="BodyText"/>
        <w:spacing w:line="273" w:lineRule="auto" w:before="0"/>
        <w:ind w:left="149" w:right="221" w:firstLine="420"/>
        <w:jc w:val="both"/>
      </w:pPr>
      <w:r>
        <w:rPr>
          <w:spacing w:val="-10"/>
        </w:rPr>
        <w:t>根据中国保险行业协会制定的《重大疾病保险的疾病定义使用规范》，本附加合同的重大疾病分为两种类</w:t>
      </w:r>
      <w:r>
        <w:rPr>
          <w:spacing w:val="-16"/>
        </w:rPr>
        <w:t>型：《重大疾病保险的疾病定义使用规范》范围以内的疾病种类；《重大疾病保险的疾病定义使用规范》范围以外的疾病种类。</w:t>
      </w:r>
    </w:p>
    <w:p>
      <w:pPr>
        <w:pStyle w:val="Heading2"/>
        <w:spacing w:line="283" w:lineRule="exact"/>
      </w:pPr>
      <w:r>
        <w:rPr/>
        <w:t>一、《重大疾病保险的疾病定义使用规范》范围以内的疾病种类：</w:t>
      </w:r>
    </w:p>
    <w:p>
      <w:pPr>
        <w:spacing w:line="337" w:lineRule="exact" w:before="0"/>
        <w:ind w:left="149"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2"/>
        <w:ind w:left="149" w:right="222"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569"/>
      </w:pPr>
      <w:r>
        <w:rPr/>
        <w:t>下列疾病不在保障范围内：</w:t>
      </w:r>
    </w:p>
    <w:p>
      <w:pPr>
        <w:pStyle w:val="BodyText"/>
        <w:ind w:left="466"/>
      </w:pPr>
      <w:r>
        <w:rPr/>
        <w:t>（1）原位癌；</w:t>
      </w:r>
    </w:p>
    <w:p>
      <w:pPr>
        <w:pStyle w:val="BodyText"/>
        <w:ind w:left="466"/>
      </w:pPr>
      <w:r>
        <w:rPr/>
        <w:t>（2）相当于 Binet 分期方案 A 期程度的慢性淋巴细胞白血病；</w:t>
      </w:r>
    </w:p>
    <w:p>
      <w:pPr>
        <w:pStyle w:val="BodyText"/>
        <w:ind w:left="466"/>
      </w:pPr>
      <w:r>
        <w:rPr/>
        <w:t>（3）相当于 Ann Arbor 分期方案 I 期程度的何杰金氏病；</w:t>
      </w:r>
    </w:p>
    <w:p>
      <w:pPr>
        <w:pStyle w:val="BodyText"/>
        <w:ind w:left="466"/>
      </w:pPr>
      <w:r>
        <w:rPr>
          <w:spacing w:val="-1"/>
        </w:rPr>
        <w:t>（4）皮肤癌（不包括恶性黑色素瘤及已发生转移的皮肤癌</w:t>
      </w:r>
      <w:r>
        <w:rPr>
          <w:spacing w:val="-106"/>
        </w:rPr>
        <w:t>）</w:t>
      </w:r>
      <w:r>
        <w:rPr/>
        <w:t>；</w:t>
      </w:r>
    </w:p>
    <w:p>
      <w:pPr>
        <w:pStyle w:val="BodyText"/>
        <w:spacing w:before="35"/>
        <w:ind w:left="466"/>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spacing w:after="0"/>
        <w:sectPr>
          <w:pgSz w:w="11910" w:h="16840"/>
          <w:pgMar w:header="880" w:footer="956" w:top="1080" w:bottom="1140" w:left="700" w:right="96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line="237" w:lineRule="exact" w:before="0"/>
        <w:ind w:left="450"/>
      </w:pPr>
      <w:r>
        <w:rPr/>
        <w:t>（6）感染艾滋病病毒或患艾滋病期间所患恶性肿瘤。</w:t>
      </w:r>
    </w:p>
    <w:p>
      <w:pPr>
        <w:pStyle w:val="Heading2"/>
        <w:spacing w:line="350" w:lineRule="exact"/>
        <w:ind w:left="133"/>
      </w:pPr>
      <w:r>
        <w:rPr/>
        <w:t>2、 重大器官移植术或造血干细胞移植术</w:t>
      </w:r>
    </w:p>
    <w:p>
      <w:pPr>
        <w:pStyle w:val="BodyText"/>
        <w:spacing w:line="273" w:lineRule="auto" w:before="12"/>
        <w:ind w:left="133" w:right="218"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Heading2"/>
        <w:spacing w:line="308" w:lineRule="exact"/>
        <w:ind w:left="133"/>
      </w:pPr>
      <w:r>
        <w:rPr/>
        <w:t>3、 慢性肾功能衰竭尿毒症期</w:t>
      </w:r>
    </w:p>
    <w:p>
      <w:pPr>
        <w:pStyle w:val="BodyText"/>
        <w:spacing w:line="273" w:lineRule="auto" w:before="11"/>
        <w:ind w:left="133" w:right="217" w:firstLine="420"/>
        <w:jc w:val="both"/>
      </w:pPr>
      <w:r>
        <w:rPr>
          <w:spacing w:val="-9"/>
        </w:rPr>
        <w:t>指双肾功能慢性不可逆性衰竭，达到尿毒症期，经诊断后已经进行了至少 </w:t>
      </w:r>
      <w:r>
        <w:rPr/>
        <w:t>90</w:t>
      </w:r>
      <w:r>
        <w:rPr>
          <w:spacing w:val="-9"/>
        </w:rPr>
        <w:t> 天的规律性透析治疗或实施了肾脏移植手术。</w:t>
      </w:r>
    </w:p>
    <w:p>
      <w:pPr>
        <w:pStyle w:val="Heading2"/>
        <w:spacing w:line="308" w:lineRule="exact"/>
        <w:ind w:left="133"/>
      </w:pPr>
      <w:r>
        <w:rPr/>
        <w:t>4、 急性或亚急性重症肝炎</w:t>
      </w:r>
    </w:p>
    <w:p>
      <w:pPr>
        <w:pStyle w:val="BodyText"/>
        <w:spacing w:line="273" w:lineRule="auto" w:before="12"/>
        <w:ind w:left="133" w:right="218" w:firstLine="420"/>
        <w:jc w:val="both"/>
      </w:pPr>
      <w:r>
        <w:rPr/>
        <w:t>指因肝炎病毒感染引起肝脏组织弥漫性坏死，导致急性肝功能衰竭，且经血清学或病毒学检查证实，并须满足下列全部条件：</w:t>
      </w:r>
    </w:p>
    <w:p>
      <w:pPr>
        <w:pStyle w:val="BodyText"/>
        <w:spacing w:before="7"/>
        <w:ind w:left="450"/>
      </w:pPr>
      <w:r>
        <w:rPr/>
        <w:t>（1）重度黄疸或黄疸迅速加重；</w:t>
      </w:r>
    </w:p>
    <w:p>
      <w:pPr>
        <w:pStyle w:val="BodyText"/>
        <w:ind w:left="450"/>
      </w:pPr>
      <w:r>
        <w:rPr/>
        <w:t>（2）肝性脑病；</w:t>
      </w:r>
    </w:p>
    <w:p>
      <w:pPr>
        <w:pStyle w:val="BodyText"/>
        <w:ind w:left="450"/>
      </w:pPr>
      <w:r>
        <w:rPr/>
        <w:t>（3）B超或其它影像学检查显示肝脏体积急速萎缩；</w:t>
      </w:r>
    </w:p>
    <w:p>
      <w:pPr>
        <w:pStyle w:val="BodyText"/>
        <w:spacing w:line="262" w:lineRule="exact"/>
        <w:ind w:left="450"/>
      </w:pPr>
      <w:r>
        <w:rPr/>
        <w:t>（4）肝功能指标进行性恶化。</w:t>
      </w:r>
    </w:p>
    <w:p>
      <w:pPr>
        <w:pStyle w:val="Heading2"/>
        <w:spacing w:line="350" w:lineRule="exact"/>
        <w:ind w:left="134"/>
      </w:pPr>
      <w:r>
        <w:rPr/>
        <w:t>5、 良性脑肿瘤</w:t>
      </w:r>
    </w:p>
    <w:p>
      <w:pPr>
        <w:pStyle w:val="BodyText"/>
        <w:spacing w:line="273" w:lineRule="auto" w:before="11"/>
        <w:ind w:left="134" w:right="217" w:firstLine="420"/>
        <w:jc w:val="both"/>
      </w:pPr>
      <w:r>
        <w:rPr/>
        <w:t>指脑的良性肿瘤，已经引起颅内压增高，临床表现为视神经乳头水肿、精神症状、癫痫及运动感觉障碍</w:t>
      </w:r>
      <w:r>
        <w:rPr>
          <w:spacing w:val="-8"/>
        </w:rPr>
        <w:t>等，并危及生命。须由头颅断层扫描</w:t>
      </w:r>
      <w:r>
        <w:rPr>
          <w:spacing w:val="0"/>
        </w:rPr>
        <w:t>（</w:t>
      </w:r>
      <w:r>
        <w:rPr>
          <w:spacing w:val="-1"/>
        </w:rPr>
        <w:t>CT</w:t>
      </w:r>
      <w:r>
        <w:rPr>
          <w:spacing w:val="-105"/>
        </w:rPr>
        <w:t>）</w:t>
      </w:r>
      <w:r>
        <w:rPr>
          <w:spacing w:val="-6"/>
        </w:rPr>
        <w:t>、核磁共振检查</w:t>
      </w:r>
      <w:r>
        <w:rPr>
          <w:spacing w:val="0"/>
        </w:rPr>
        <w:t>（</w:t>
      </w:r>
      <w:r>
        <w:rPr>
          <w:spacing w:val="-1"/>
        </w:rPr>
        <w:t>M</w:t>
      </w:r>
      <w:r>
        <w:rPr/>
        <w:t>RI</w:t>
      </w:r>
      <w:r>
        <w:rPr>
          <w:spacing w:val="-14"/>
        </w:rPr>
        <w:t>）</w:t>
      </w:r>
      <w:r>
        <w:rPr>
          <w:spacing w:val="-2"/>
        </w:rPr>
        <w:t>或正电子发射断层扫描</w:t>
      </w:r>
      <w:r>
        <w:rPr>
          <w:spacing w:val="0"/>
        </w:rPr>
        <w:t>（</w:t>
      </w:r>
      <w:r>
        <w:rPr>
          <w:spacing w:val="-1"/>
        </w:rPr>
        <w:t>P</w:t>
      </w:r>
      <w:r>
        <w:rPr/>
        <w:t>ET</w:t>
      </w:r>
      <w:r>
        <w:rPr>
          <w:spacing w:val="-14"/>
        </w:rPr>
        <w:t>）</w:t>
      </w:r>
      <w:r>
        <w:rPr/>
        <w:t>等影像学检查证实，并须满足下列至少一项条件：</w:t>
      </w:r>
    </w:p>
    <w:p>
      <w:pPr>
        <w:pStyle w:val="BodyText"/>
        <w:spacing w:before="7"/>
        <w:ind w:left="451"/>
      </w:pPr>
      <w:r>
        <w:rPr/>
        <w:t>（1）实际实施了开颅进行的脑肿瘤完全切除或部分切除的手术；</w:t>
      </w:r>
    </w:p>
    <w:p>
      <w:pPr>
        <w:pStyle w:val="BodyText"/>
        <w:ind w:left="451"/>
      </w:pPr>
      <w:r>
        <w:rPr/>
        <w:t>（2）实际实施了对脑肿瘤进行的放射治疗。</w:t>
      </w:r>
    </w:p>
    <w:p>
      <w:pPr>
        <w:pStyle w:val="BodyText"/>
        <w:spacing w:line="262" w:lineRule="exact"/>
        <w:ind w:left="554"/>
      </w:pPr>
      <w:r>
        <w:rPr/>
        <w:t>脑垂体瘤、脑囊肿、脑血管性疾病不在保障范围内。</w:t>
      </w:r>
    </w:p>
    <w:p>
      <w:pPr>
        <w:pStyle w:val="Heading2"/>
        <w:spacing w:line="350" w:lineRule="exact"/>
        <w:ind w:left="134"/>
      </w:pPr>
      <w:r>
        <w:rPr/>
        <w:t>6、 脑炎后遗症或脑膜炎后遗症</w:t>
      </w:r>
    </w:p>
    <w:p>
      <w:pPr>
        <w:pStyle w:val="BodyText"/>
        <w:spacing w:line="273" w:lineRule="auto" w:before="12"/>
        <w:ind w:left="134" w:right="217" w:firstLine="420"/>
        <w:jc w:val="both"/>
      </w:pPr>
      <w:r>
        <w:rPr/>
        <w:t>指因患脑炎或脑膜炎导致的神经系统永久性的功能障碍。神经系统永久性的功能障碍，指疾病确诊 180 天后，仍遗留下列一种或一种以上障碍：</w:t>
      </w:r>
    </w:p>
    <w:p>
      <w:pPr>
        <w:pStyle w:val="BodyText"/>
        <w:spacing w:before="8"/>
        <w:ind w:left="449"/>
      </w:pPr>
      <w:r>
        <w:rPr/>
        <w:t>（1）一肢或一肢以上肢体机能完全丧失；</w:t>
      </w:r>
    </w:p>
    <w:p>
      <w:pPr>
        <w:pStyle w:val="BodyText"/>
        <w:ind w:left="449"/>
      </w:pPr>
      <w:r>
        <w:rPr/>
        <w:t>（2）语言能力或咀嚼吞咽能力完全丧失；</w:t>
      </w:r>
    </w:p>
    <w:p>
      <w:pPr>
        <w:pStyle w:val="BodyText"/>
        <w:spacing w:line="262" w:lineRule="exact"/>
        <w:ind w:left="449"/>
      </w:pPr>
      <w:r>
        <w:rPr/>
        <w:t>（3）自主生活能力完全丧失，无法独立完成六项基本日常生活活动中的三项或三项以上。</w:t>
      </w:r>
    </w:p>
    <w:p>
      <w:pPr>
        <w:pStyle w:val="Heading2"/>
        <w:spacing w:line="350" w:lineRule="exact"/>
        <w:ind w:left="134"/>
      </w:pPr>
      <w:r>
        <w:rPr/>
        <w:t>7、 双耳失聪</w:t>
      </w:r>
    </w:p>
    <w:p>
      <w:pPr>
        <w:pStyle w:val="BodyText"/>
        <w:spacing w:before="11"/>
        <w:ind w:left="554"/>
      </w:pPr>
      <w:r>
        <w:rPr>
          <w:spacing w:val="-5"/>
        </w:rPr>
        <w:t>指因疾病或意外伤害导致双耳听力永久不可逆性丧失，在 </w:t>
      </w:r>
      <w:r>
        <w:rPr/>
        <w:t>500</w:t>
      </w:r>
      <w:r>
        <w:rPr>
          <w:spacing w:val="-23"/>
        </w:rPr>
        <w:t> 赫兹、</w:t>
      </w:r>
      <w:r>
        <w:rPr/>
        <w:t>1000</w:t>
      </w:r>
      <w:r>
        <w:rPr>
          <w:spacing w:val="-26"/>
        </w:rPr>
        <w:t> 赫兹和 </w:t>
      </w:r>
      <w:r>
        <w:rPr/>
        <w:t>2000</w:t>
      </w:r>
      <w:r>
        <w:rPr>
          <w:spacing w:val="-8"/>
        </w:rPr>
        <w:t> 赫兹语音频率下，</w:t>
      </w:r>
    </w:p>
    <w:p>
      <w:pPr>
        <w:pStyle w:val="BodyText"/>
        <w:spacing w:line="262" w:lineRule="exact" w:before="36"/>
        <w:ind w:left="134"/>
      </w:pPr>
      <w:r>
        <w:rPr/>
        <w:t>平均听阈大于 90 分贝，且经纯音听力测试、声导抗检测或听觉诱发电位检测等证实。</w:t>
      </w:r>
    </w:p>
    <w:p>
      <w:pPr>
        <w:pStyle w:val="Heading2"/>
        <w:spacing w:line="350" w:lineRule="exact"/>
        <w:ind w:left="134"/>
      </w:pPr>
      <w:r>
        <w:rPr/>
        <w:t>8、 严重脑损伤</w:t>
      </w:r>
    </w:p>
    <w:p>
      <w:pPr>
        <w:pStyle w:val="BodyText"/>
        <w:spacing w:before="12"/>
        <w:ind w:left="554"/>
      </w:pPr>
      <w:r>
        <w:rPr/>
        <w:t>指因头部遭受机械性外力，引起脑重要部位损伤，导致神经系统永久性的功能障碍。须由头颅断层扫描</w:t>
      </w:r>
    </w:p>
    <w:p>
      <w:pPr>
        <w:pStyle w:val="BodyText"/>
        <w:spacing w:line="273" w:lineRule="auto"/>
        <w:ind w:left="134" w:right="113"/>
      </w:pPr>
      <w:r>
        <w:rPr>
          <w:spacing w:val="-1"/>
        </w:rPr>
        <w:t>（CT</w:t>
      </w:r>
      <w:r>
        <w:rPr>
          <w:spacing w:val="-104"/>
        </w:rPr>
        <w:t>）</w:t>
      </w:r>
      <w:r>
        <w:rPr>
          <w:spacing w:val="-12"/>
        </w:rPr>
        <w:t>、核磁共振检查</w:t>
      </w:r>
      <w:r>
        <w:rPr>
          <w:spacing w:val="-1"/>
        </w:rPr>
        <w:t>（MRI</w:t>
      </w:r>
      <w:r>
        <w:rPr>
          <w:spacing w:val="-35"/>
        </w:rPr>
        <w:t>）</w:t>
      </w:r>
      <w:r>
        <w:rPr>
          <w:spacing w:val="-5"/>
        </w:rPr>
        <w:t>或正电子发射断层扫描</w:t>
      </w:r>
      <w:r>
        <w:rPr>
          <w:spacing w:val="-1"/>
        </w:rPr>
        <w:t>（PET</w:t>
      </w:r>
      <w:r>
        <w:rPr>
          <w:spacing w:val="-35"/>
        </w:rPr>
        <w:t>）</w:t>
      </w:r>
      <w:r>
        <w:rPr>
          <w:spacing w:val="-5"/>
        </w:rPr>
        <w:t>等影像学检查证实。神经系统永久性的功能障碍，</w:t>
      </w:r>
      <w:r>
        <w:rPr>
          <w:spacing w:val="-15"/>
        </w:rPr>
        <w:t>指脑损伤 </w:t>
      </w:r>
      <w:r>
        <w:rPr/>
        <w:t>180</w:t>
      </w:r>
      <w:r>
        <w:rPr>
          <w:spacing w:val="-8"/>
        </w:rPr>
        <w:t> 天后，仍遗留下列一种或一种以上障碍：</w:t>
      </w:r>
    </w:p>
    <w:p>
      <w:pPr>
        <w:pStyle w:val="BodyText"/>
        <w:spacing w:before="8"/>
        <w:ind w:left="451"/>
      </w:pPr>
      <w:r>
        <w:rPr/>
        <w:t>（1）一肢或一肢以上肢体机能完全丧失；</w:t>
      </w:r>
    </w:p>
    <w:p>
      <w:pPr>
        <w:pStyle w:val="BodyText"/>
        <w:ind w:left="451"/>
      </w:pPr>
      <w:r>
        <w:rPr/>
        <w:t>（2）语言能力或咀嚼吞咽能力完全丧失；</w:t>
      </w:r>
    </w:p>
    <w:p>
      <w:pPr>
        <w:pStyle w:val="BodyText"/>
        <w:spacing w:line="262" w:lineRule="exact"/>
        <w:ind w:left="451"/>
      </w:pPr>
      <w:r>
        <w:rPr/>
        <w:t>（3）自主生活能力完全丧失，无法独立完成六项基本日常生活活动中的三项或三项以上。</w:t>
      </w:r>
    </w:p>
    <w:p>
      <w:pPr>
        <w:pStyle w:val="Heading2"/>
        <w:spacing w:line="350" w:lineRule="exact"/>
        <w:ind w:left="134"/>
      </w:pPr>
      <w:r>
        <w:rPr/>
        <w:t>9、 严重Ⅲ度烧伤</w:t>
      </w:r>
    </w:p>
    <w:p>
      <w:pPr>
        <w:pStyle w:val="BodyText"/>
        <w:spacing w:line="273" w:lineRule="auto" w:before="12"/>
        <w:ind w:left="134" w:right="218" w:firstLine="420"/>
        <w:jc w:val="both"/>
      </w:pPr>
      <w:r>
        <w:rPr>
          <w:spacing w:val="-7"/>
        </w:rPr>
        <w:t>指烧伤程度为Ⅲ度，且Ⅲ度烧伤的面积达到全身体表面积的 </w:t>
      </w:r>
      <w:r>
        <w:rPr/>
        <w:t>20％</w:t>
      </w:r>
      <w:r>
        <w:rPr>
          <w:spacing w:val="-34"/>
        </w:rPr>
        <w:t>或 </w:t>
      </w:r>
      <w:r>
        <w:rPr/>
        <w:t>20％</w:t>
      </w:r>
      <w:r>
        <w:rPr>
          <w:spacing w:val="-9"/>
        </w:rPr>
        <w:t>以上。体表面积根据《中国新九分法》计算。</w:t>
      </w:r>
    </w:p>
    <w:p>
      <w:pPr>
        <w:pStyle w:val="Heading2"/>
        <w:spacing w:line="308" w:lineRule="exact"/>
        <w:ind w:left="134"/>
      </w:pPr>
      <w:r>
        <w:rPr>
          <w:w w:val="95"/>
        </w:rPr>
        <w:t>10、重型再生障碍性贫血</w:t>
      </w:r>
    </w:p>
    <w:p>
      <w:pPr>
        <w:pStyle w:val="BodyText"/>
        <w:spacing w:before="11"/>
        <w:ind w:left="554"/>
      </w:pPr>
      <w:r>
        <w:rPr/>
        <w:t>指因骨髓造血功能慢性持续性衰竭导致的贫血、中性粒细胞减少及血小板减少。须满足下列全部条件：</w:t>
      </w:r>
    </w:p>
    <w:p>
      <w:pPr>
        <w:pStyle w:val="BodyText"/>
        <w:spacing w:before="36"/>
        <w:ind w:left="449"/>
      </w:pPr>
      <w:r>
        <w:rPr/>
        <w:t>（1）骨髓穿刺检查或骨髓活检结果支持诊断；</w:t>
      </w:r>
    </w:p>
    <w:p>
      <w:pPr>
        <w:pStyle w:val="BodyText"/>
        <w:spacing w:before="36"/>
        <w:ind w:left="449"/>
      </w:pPr>
      <w:r>
        <w:rPr/>
        <w:t>（2）外周血象须具备以下三项条件：</w:t>
      </w:r>
    </w:p>
    <w:p>
      <w:pPr>
        <w:pStyle w:val="BodyText"/>
        <w:spacing w:before="36"/>
        <w:ind w:left="974"/>
      </w:pPr>
      <w:r>
        <w:rPr/>
        <w:t>① 中性粒细胞绝对值≤0.5×10</w:t>
      </w:r>
      <w:r>
        <w:rPr>
          <w:position w:val="11"/>
          <w:sz w:val="11"/>
        </w:rPr>
        <w:t>9</w:t>
      </w:r>
      <w:r>
        <w:rPr/>
        <w:t>/L ；</w:t>
      </w:r>
    </w:p>
    <w:p>
      <w:pPr>
        <w:spacing w:after="0"/>
        <w:sectPr>
          <w:footerReference w:type="default" r:id="rId8"/>
          <w:pgSz w:w="11910" w:h="16840"/>
          <w:pgMar w:footer="998" w:header="880" w:top="1080" w:bottom="1180" w:left="1000" w:right="680"/>
          <w:pgNumType w:start="5"/>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spacing w:val="5"/>
          <w:sz w:val="2"/>
        </w:rPr>
      </w:r>
    </w:p>
    <w:p>
      <w:pPr>
        <w:pStyle w:val="BodyText"/>
        <w:spacing w:before="0"/>
        <w:ind w:left="989"/>
      </w:pPr>
      <w:r>
        <w:rPr>
          <w:position w:val="1"/>
        </w:rPr>
        <w:t>② 网织红细胞</w:t>
      </w:r>
      <w:r>
        <w:rPr>
          <w:spacing w:val="5"/>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62" w:lineRule="exact" w:before="42"/>
        <w:ind w:left="989"/>
      </w:pPr>
      <w:r>
        <w:rPr/>
        <w:t>③ 血小板绝对值≤20×10</w:t>
      </w:r>
      <w:r>
        <w:rPr>
          <w:position w:val="11"/>
          <w:sz w:val="11"/>
        </w:rPr>
        <w:t>9</w:t>
      </w:r>
      <w:r>
        <w:rPr/>
        <w:t>/L。</w:t>
      </w:r>
    </w:p>
    <w:p>
      <w:pPr>
        <w:pStyle w:val="Heading2"/>
        <w:spacing w:line="350" w:lineRule="exact"/>
      </w:pPr>
      <w:r>
        <w:rPr>
          <w:w w:val="95"/>
        </w:rPr>
        <w:t>11、主动脉手术</w:t>
      </w:r>
    </w:p>
    <w:p>
      <w:pPr>
        <w:pStyle w:val="BodyText"/>
        <w:spacing w:line="273" w:lineRule="auto" w:before="12"/>
        <w:ind w:left="149" w:right="222" w:firstLine="42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69"/>
      </w:pPr>
      <w:r>
        <w:rPr/>
        <w:t>动脉内血管成形术不在保障范围内。</w:t>
      </w:r>
    </w:p>
    <w:p>
      <w:pPr>
        <w:pStyle w:val="BodyText"/>
        <w:spacing w:before="11"/>
      </w:pPr>
    </w:p>
    <w:p>
      <w:pPr>
        <w:pStyle w:val="Heading2"/>
        <w:spacing w:line="337" w:lineRule="exact"/>
      </w:pPr>
      <w:r>
        <w:rPr/>
        <w:t>二、《重大疾病保险的疾病定义使用规范》范围以外的疾病种类：</w:t>
      </w:r>
    </w:p>
    <w:p>
      <w:pPr>
        <w:spacing w:line="337" w:lineRule="exact" w:before="0"/>
        <w:ind w:left="149" w:right="0" w:firstLine="0"/>
        <w:jc w:val="left"/>
        <w:rPr>
          <w:rFonts w:ascii="微软雅黑" w:eastAsia="微软雅黑" w:hint="eastAsia"/>
          <w:b/>
          <w:sz w:val="21"/>
        </w:rPr>
      </w:pPr>
      <w:r>
        <w:rPr>
          <w:rFonts w:ascii="微软雅黑" w:eastAsia="微软雅黑" w:hint="eastAsia"/>
          <w:b/>
          <w:w w:val="95"/>
          <w:sz w:val="21"/>
        </w:rPr>
        <w:t>12、幼年类风湿性关节炎-斯蒂尔病</w:t>
      </w:r>
    </w:p>
    <w:p>
      <w:pPr>
        <w:pStyle w:val="BodyText"/>
        <w:spacing w:line="273" w:lineRule="auto" w:before="12"/>
        <w:ind w:left="149" w:right="114" w:firstLine="420"/>
      </w:pPr>
      <w:r>
        <w:rPr>
          <w:spacing w:val="-6"/>
        </w:rPr>
        <w:t>指小儿时期的一种常见的结缔组织病，可有持续高热，慢性关节炎，皮肤、肌肉、肝、脾和淋巴结受累， 类风湿因子阳性；是一种或一组以慢性滑囊炎和一些关节外症状为表现的疾病。此病症须专科医生确诊并确已接受关节置换手术治疗。</w:t>
      </w:r>
    </w:p>
    <w:p>
      <w:pPr>
        <w:pStyle w:val="Heading2"/>
        <w:spacing w:line="308" w:lineRule="exact"/>
      </w:pPr>
      <w:r>
        <w:rPr>
          <w:w w:val="95"/>
        </w:rPr>
        <w:t>13、严重1型糖尿病（童年发病型糖尿病）</w:t>
      </w:r>
    </w:p>
    <w:p>
      <w:pPr>
        <w:pStyle w:val="BodyText"/>
        <w:spacing w:line="273" w:lineRule="auto" w:before="12"/>
        <w:ind w:left="149" w:right="222" w:firstLine="420"/>
      </w:pPr>
      <w:r>
        <w:rPr/>
        <w:t>严重的胰岛素缺乏和依赖外源性胰岛素以防止酮症酸中毒和保全生命。此病症须由专科医生确诊并应用胰岛素治疗六个月以上。2 型糖尿病和继发性糖尿病不在此保障范围内。</w:t>
      </w:r>
    </w:p>
    <w:p>
      <w:pPr>
        <w:pStyle w:val="Heading2"/>
        <w:spacing w:line="308" w:lineRule="exact"/>
      </w:pPr>
      <w:r>
        <w:rPr>
          <w:w w:val="95"/>
        </w:rPr>
        <w:t>14、由输血或输液而感染艾滋病病毒</w:t>
      </w:r>
    </w:p>
    <w:p>
      <w:pPr>
        <w:pStyle w:val="BodyText"/>
        <w:spacing w:line="273" w:lineRule="auto" w:before="11"/>
        <w:ind w:left="149" w:right="221" w:firstLine="420"/>
        <w:jc w:val="both"/>
      </w:pPr>
      <w:r>
        <w:rPr/>
        <w:t>艾滋病病毒指人类免疫缺陷病毒，英文缩写为 HIV。艾滋病指人类免疫缺陷病毒引起的获得性免疫缺陷</w:t>
      </w:r>
      <w:r>
        <w:rPr>
          <w:spacing w:val="-12"/>
        </w:rPr>
        <w:t>综合征，英文缩写为 </w:t>
      </w:r>
      <w:r>
        <w:rPr/>
        <w:t>AIDS</w:t>
      </w:r>
      <w:r>
        <w:rPr>
          <w:spacing w:val="-5"/>
        </w:rPr>
        <w:t>。在人体血液或其它样本中检测到艾滋病病毒或其抗体呈阳性，没有出现临床症状或体征的，为感染艾滋病病毒；如果同时出现了明显临床症状或体征的，为患艾滋病。</w:t>
      </w:r>
    </w:p>
    <w:p>
      <w:pPr>
        <w:pStyle w:val="BodyText"/>
        <w:spacing w:before="7"/>
        <w:ind w:left="569"/>
      </w:pPr>
      <w:r>
        <w:rPr/>
        <w:t>由输血或输液而感染艾滋病病毒的病症须同时满足以下条件：</w:t>
      </w:r>
    </w:p>
    <w:p>
      <w:pPr>
        <w:pStyle w:val="ListParagraph"/>
        <w:numPr>
          <w:ilvl w:val="0"/>
          <w:numId w:val="5"/>
        </w:numPr>
        <w:tabs>
          <w:tab w:pos="1199" w:val="left" w:leader="none"/>
          <w:tab w:pos="1200" w:val="left" w:leader="none"/>
        </w:tabs>
        <w:spacing w:line="273" w:lineRule="auto" w:before="37" w:after="0"/>
        <w:ind w:left="1199" w:right="222" w:hanging="734"/>
        <w:jc w:val="left"/>
        <w:rPr>
          <w:sz w:val="21"/>
        </w:rPr>
      </w:pPr>
      <w:r>
        <w:rPr>
          <w:sz w:val="21"/>
        </w:rPr>
        <w:t>被保险人在本附加合同生效（或复效）一百八十天后，在中华人民共和国司法管辖区范围内因医疗而接受输血或输液，并因该次输血或输液而感染上述病毒；</w:t>
      </w:r>
    </w:p>
    <w:p>
      <w:pPr>
        <w:pStyle w:val="ListParagraph"/>
        <w:numPr>
          <w:ilvl w:val="0"/>
          <w:numId w:val="5"/>
        </w:numPr>
        <w:tabs>
          <w:tab w:pos="1199" w:val="left" w:leader="none"/>
          <w:tab w:pos="1200" w:val="left" w:leader="none"/>
        </w:tabs>
        <w:spacing w:line="240" w:lineRule="auto" w:before="7" w:after="0"/>
        <w:ind w:left="1199" w:right="0" w:hanging="734"/>
        <w:jc w:val="left"/>
        <w:rPr>
          <w:sz w:val="21"/>
        </w:rPr>
      </w:pPr>
      <w:r>
        <w:rPr>
          <w:sz w:val="21"/>
        </w:rPr>
        <w:t>医疗机构确认该项输血或输液医疗行为是在该医疗机构进行的；</w:t>
      </w:r>
    </w:p>
    <w:p>
      <w:pPr>
        <w:pStyle w:val="ListParagraph"/>
        <w:numPr>
          <w:ilvl w:val="0"/>
          <w:numId w:val="5"/>
        </w:numPr>
        <w:tabs>
          <w:tab w:pos="1199" w:val="left" w:leader="none"/>
          <w:tab w:pos="1200" w:val="left" w:leader="none"/>
        </w:tabs>
        <w:spacing w:line="240" w:lineRule="auto" w:before="36" w:after="0"/>
        <w:ind w:left="1199" w:right="0" w:hanging="734"/>
        <w:jc w:val="left"/>
        <w:rPr>
          <w:sz w:val="21"/>
        </w:rPr>
      </w:pPr>
      <w:r>
        <w:rPr>
          <w:sz w:val="21"/>
        </w:rPr>
        <w:t>被保险人并非地中海贫血患者、血友病或再生障碍性贫血患者；</w:t>
      </w:r>
    </w:p>
    <w:p>
      <w:pPr>
        <w:pStyle w:val="BodyText"/>
        <w:spacing w:line="273" w:lineRule="auto" w:before="36"/>
        <w:ind w:left="149" w:right="222" w:firstLine="420"/>
      </w:pPr>
      <w:r>
        <w:rPr/>
        <w:t>如果感染前可能治愈、或者被保险人在感染前选择不接受有效的疫苗，保险公司不承担给付保险金的责任。</w:t>
      </w:r>
    </w:p>
    <w:p>
      <w:pPr>
        <w:pStyle w:val="Heading2"/>
        <w:spacing w:line="308" w:lineRule="exact"/>
      </w:pPr>
      <w:r>
        <w:rPr>
          <w:w w:val="95"/>
        </w:rPr>
        <w:t>15、植物人</w:t>
      </w:r>
    </w:p>
    <w:p>
      <w:pPr>
        <w:pStyle w:val="BodyText"/>
        <w:spacing w:line="273" w:lineRule="auto" w:before="12"/>
        <w:ind w:left="149" w:right="222" w:firstLine="420"/>
      </w:pPr>
      <w:r>
        <w:rPr/>
        <w:t>指经神经科专科医生确诊，大脑皮质全面坏死，意识完全丧失，但脑干仍保持完好，且此情况维持一个月以上。</w:t>
      </w:r>
    </w:p>
    <w:p>
      <w:pPr>
        <w:pStyle w:val="BodyText"/>
        <w:spacing w:before="8"/>
        <w:rPr>
          <w:sz w:val="19"/>
        </w:rPr>
      </w:pPr>
    </w:p>
    <w:p>
      <w:pPr>
        <w:pStyle w:val="Heading2"/>
        <w:spacing w:line="337" w:lineRule="exact"/>
      </w:pPr>
      <w:r>
        <w:rPr/>
        <w:t>术语解释：</w:t>
      </w:r>
    </w:p>
    <w:p>
      <w:pPr>
        <w:spacing w:line="337" w:lineRule="exact" w:before="0"/>
        <w:ind w:left="149"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2"/>
        <w:ind w:left="149" w:right="223" w:firstLine="420"/>
        <w:jc w:val="both"/>
      </w:pPr>
      <w:r>
        <w:rPr>
          <w:spacing w:val="-9"/>
        </w:rPr>
        <w:t>六项基本日常生活活动是指：</w:t>
      </w:r>
      <w:r>
        <w:rPr>
          <w:spacing w:val="-1"/>
        </w:rPr>
        <w:t>（1）</w:t>
      </w:r>
      <w:r>
        <w:rPr>
          <w:spacing w:val="-9"/>
        </w:rPr>
        <w:t>穿衣：自己能够穿衣及脱衣；</w:t>
      </w:r>
      <w:r>
        <w:rPr>
          <w:spacing w:val="-1"/>
        </w:rPr>
        <w:t>（2）移动：自己从一个房间到另一个房</w:t>
      </w:r>
      <w:r>
        <w:rPr>
          <w:spacing w:val="-53"/>
        </w:rPr>
        <w:t>间；</w:t>
      </w:r>
      <w:r>
        <w:rPr>
          <w:spacing w:val="-1"/>
        </w:rPr>
        <w:t>（3）</w:t>
      </w:r>
      <w:r>
        <w:rPr>
          <w:spacing w:val="-9"/>
        </w:rPr>
        <w:t>行动：自己上下床或上下轮椅；</w:t>
      </w:r>
      <w:r>
        <w:rPr>
          <w:spacing w:val="-1"/>
        </w:rPr>
        <w:t>（4）</w:t>
      </w:r>
      <w:r>
        <w:rPr>
          <w:spacing w:val="-9"/>
        </w:rPr>
        <w:t>如厕：自己控制进行大小便；</w:t>
      </w:r>
      <w:r>
        <w:rPr>
          <w:spacing w:val="-1"/>
        </w:rPr>
        <w:t>（5）进食：自己从已准备好的碗</w:t>
      </w:r>
      <w:r>
        <w:rPr>
          <w:spacing w:val="-10"/>
        </w:rPr>
        <w:t>或碟中取食物放入口中；</w:t>
      </w:r>
      <w:r>
        <w:rPr>
          <w:spacing w:val="-1"/>
        </w:rPr>
        <w:t>（6）洗澡：自己进行淋浴或盆浴。</w:t>
      </w:r>
    </w:p>
    <w:p>
      <w:pPr>
        <w:pStyle w:val="Heading2"/>
        <w:spacing w:line="308" w:lineRule="exact"/>
      </w:pPr>
      <w:r>
        <w:rPr/>
        <w:t>肢体机能完全丧失：</w:t>
      </w:r>
    </w:p>
    <w:p>
      <w:pPr>
        <w:pStyle w:val="BodyText"/>
        <w:spacing w:line="273" w:lineRule="auto" w:before="12"/>
        <w:ind w:left="149" w:right="222" w:firstLine="420"/>
      </w:pPr>
      <w:r>
        <w:rPr/>
        <w:t>指肢体的三大关节中的两大关节僵硬，或不能随意识活动。肢体是指包括肩关节的整个上肢或包括髋关节的整个下肢。</w:t>
      </w:r>
    </w:p>
    <w:p>
      <w:pPr>
        <w:pStyle w:val="Heading2"/>
        <w:spacing w:line="308" w:lineRule="exact"/>
      </w:pPr>
      <w:r>
        <w:rPr/>
        <w:t>语言能力或咀嚼吞咽能力完全丧失：</w:t>
      </w:r>
    </w:p>
    <w:p>
      <w:pPr>
        <w:pStyle w:val="BodyText"/>
        <w:spacing w:line="273" w:lineRule="auto" w:before="11"/>
        <w:ind w:left="149" w:right="222"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49" w:right="222" w:firstLine="420"/>
      </w:pPr>
      <w:r>
        <w:rPr/>
        <w:t>咀嚼吞咽能力完全丧失，指因牙齿以外的原因导致器质障碍或机能障碍，以致不能作咀嚼吞咽运动，除流质食物外不能摄取或吞咽的状态。</w:t>
      </w:r>
    </w:p>
    <w:p>
      <w:pPr>
        <w:pStyle w:val="Heading2"/>
        <w:spacing w:line="308" w:lineRule="exact"/>
      </w:pPr>
      <w:r>
        <w:rPr/>
        <w:t>永久不可逆：</w:t>
      </w:r>
    </w:p>
    <w:p>
      <w:pPr>
        <w:spacing w:line="223" w:lineRule="auto" w:before="31"/>
        <w:ind w:left="149" w:right="852" w:firstLine="420"/>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spacing w:after="0" w:line="223" w:lineRule="auto"/>
        <w:jc w:val="left"/>
        <w:rPr>
          <w:rFonts w:ascii="微软雅黑" w:eastAsia="微软雅黑" w:hint="eastAsia"/>
          <w:sz w:val="21"/>
        </w:rPr>
        <w:sectPr>
          <w:pgSz w:w="11910" w:h="16840"/>
          <w:pgMar w:header="880" w:footer="998" w:top="1080" w:bottom="1180" w:left="700" w:right="960"/>
        </w:sectPr>
      </w:pPr>
    </w:p>
    <w:p>
      <w:pPr>
        <w:pStyle w:val="BodyText"/>
        <w:spacing w:before="0"/>
        <w:rPr>
          <w:rFonts w:ascii="微软雅黑"/>
          <w:b/>
          <w:sz w:val="3"/>
        </w:rPr>
      </w:pPr>
    </w:p>
    <w:p>
      <w:pPr>
        <w:pStyle w:val="BodyText"/>
        <w:spacing w:line="20" w:lineRule="exact" w:before="0"/>
        <w:ind w:left="99"/>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pt" strokecolor="#000000">
              <v:stroke dashstyle="solid"/>
            </v:line>
          </v:group>
        </w:pict>
      </w:r>
      <w:r>
        <w:rPr>
          <w:rFonts w:ascii="微软雅黑"/>
          <w:spacing w:val="5"/>
          <w:sz w:val="2"/>
        </w:rPr>
      </w:r>
    </w:p>
    <w:p>
      <w:pPr>
        <w:pStyle w:val="BodyText"/>
        <w:spacing w:line="273" w:lineRule="auto" w:before="0"/>
        <w:ind w:left="134" w:right="196" w:firstLine="420"/>
      </w:pPr>
      <w:r>
        <w:rPr/>
        <w:t>艾滋病病毒指人类免疫缺陷病毒，英文缩写为 HIV。艾滋病指人类免疫缺陷病毒引起的获得性免疫缺陷综合征，英文缩写为 AIDS。</w:t>
      </w:r>
    </w:p>
    <w:p>
      <w:pPr>
        <w:pStyle w:val="BodyText"/>
        <w:spacing w:line="273" w:lineRule="auto" w:before="8"/>
        <w:ind w:left="134" w:right="198" w:firstLine="420"/>
      </w:pPr>
      <w:r>
        <w:rPr/>
        <w:t>在人体血液或其它样本中检测到艾滋病病毒或其抗体呈阳性，没有出现临床症状或体征的，为感染艾滋病病毒；如果同时出现了明显临床症状或体征的，为患艾滋病。</w:t>
      </w:r>
    </w:p>
    <w:sectPr>
      <w:footerReference w:type="default" r:id="rId10"/>
      <w:pgSz w:w="11910" w:h="16840"/>
      <w:pgMar w:footer="998" w:header="880" w:top="1080" w:bottom="1180" w:left="10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2.739990pt;margin-top:781.119568pt;width:8.5pt;height:12pt;mso-position-horizontal-relative:page;mso-position-vertical-relative:page;z-index:-13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6"/>
      </w:rPr>
    </w:pPr>
    <w:r>
      <w:rPr/>
      <w:pict>
        <v:shape style="position:absolute;margin-left:289.519989pt;margin-top:781.119568pt;width:6.5pt;height:12pt;mso-position-horizontal-relative:page;mso-position-vertical-relative:page;z-index:-13360" type="#_x0000_t202" filled="false" stroked="false">
          <v:textbox inset="0,0,0,0">
            <w:txbxContent>
              <w:p>
                <w:pPr>
                  <w:spacing w:before="12"/>
                  <w:ind w:left="2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2.739990pt;margin-top:781.119568pt;width:8.5pt;height:12pt;mso-position-horizontal-relative:page;mso-position-vertical-relative:page;z-index:-13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3.739990pt;margin-top:781.119568pt;width:6.5pt;height:12pt;mso-position-horizontal-relative:page;mso-position-vertical-relative:page;z-index:-13312" type="#_x0000_t202" filled="false" stroked="false">
          <v:textbox inset="0,0,0,0">
            <w:txbxContent>
              <w:p>
                <w:pPr>
                  <w:spacing w:before="12"/>
                  <w:ind w:left="20" w:right="0" w:firstLine="0"/>
                  <w:jc w:val="left"/>
                  <w:rPr>
                    <w:rFonts w:ascii="Times New Roman"/>
                    <w:sz w:val="18"/>
                  </w:rPr>
                </w:pPr>
                <w:r>
                  <w:rPr>
                    <w:rFonts w:ascii="Times New Roman"/>
                    <w:sz w:val="18"/>
                  </w:rPr>
                  <w:t>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13408"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99" w:hanging="735"/>
        <w:jc w:val="left"/>
      </w:pPr>
      <w:rPr>
        <w:rFonts w:hint="default" w:ascii="宋体" w:hAnsi="宋体" w:eastAsia="宋体" w:cs="宋体"/>
        <w:spacing w:val="-1"/>
        <w:w w:val="100"/>
        <w:sz w:val="21"/>
        <w:szCs w:val="21"/>
      </w:rPr>
    </w:lvl>
    <w:lvl w:ilvl="1">
      <w:start w:val="0"/>
      <w:numFmt w:val="bullet"/>
      <w:lvlText w:val="•"/>
      <w:lvlJc w:val="left"/>
      <w:pPr>
        <w:ind w:left="2104" w:hanging="735"/>
      </w:pPr>
      <w:rPr>
        <w:rFonts w:hint="default"/>
      </w:rPr>
    </w:lvl>
    <w:lvl w:ilvl="2">
      <w:start w:val="0"/>
      <w:numFmt w:val="bullet"/>
      <w:lvlText w:val="•"/>
      <w:lvlJc w:val="left"/>
      <w:pPr>
        <w:ind w:left="3008" w:hanging="735"/>
      </w:pPr>
      <w:rPr>
        <w:rFonts w:hint="default"/>
      </w:rPr>
    </w:lvl>
    <w:lvl w:ilvl="3">
      <w:start w:val="0"/>
      <w:numFmt w:val="bullet"/>
      <w:lvlText w:val="•"/>
      <w:lvlJc w:val="left"/>
      <w:pPr>
        <w:ind w:left="3913" w:hanging="735"/>
      </w:pPr>
      <w:rPr>
        <w:rFonts w:hint="default"/>
      </w:rPr>
    </w:lvl>
    <w:lvl w:ilvl="4">
      <w:start w:val="0"/>
      <w:numFmt w:val="bullet"/>
      <w:lvlText w:val="•"/>
      <w:lvlJc w:val="left"/>
      <w:pPr>
        <w:ind w:left="4817" w:hanging="735"/>
      </w:pPr>
      <w:rPr>
        <w:rFonts w:hint="default"/>
      </w:rPr>
    </w:lvl>
    <w:lvl w:ilvl="5">
      <w:start w:val="0"/>
      <w:numFmt w:val="bullet"/>
      <w:lvlText w:val="•"/>
      <w:lvlJc w:val="left"/>
      <w:pPr>
        <w:ind w:left="5722" w:hanging="735"/>
      </w:pPr>
      <w:rPr>
        <w:rFonts w:hint="default"/>
      </w:rPr>
    </w:lvl>
    <w:lvl w:ilvl="6">
      <w:start w:val="0"/>
      <w:numFmt w:val="bullet"/>
      <w:lvlText w:val="•"/>
      <w:lvlJc w:val="left"/>
      <w:pPr>
        <w:ind w:left="6626" w:hanging="735"/>
      </w:pPr>
      <w:rPr>
        <w:rFonts w:hint="default"/>
      </w:rPr>
    </w:lvl>
    <w:lvl w:ilvl="7">
      <w:start w:val="0"/>
      <w:numFmt w:val="bullet"/>
      <w:lvlText w:val="•"/>
      <w:lvlJc w:val="left"/>
      <w:pPr>
        <w:ind w:left="7531" w:hanging="735"/>
      </w:pPr>
      <w:rPr>
        <w:rFonts w:hint="default"/>
      </w:rPr>
    </w:lvl>
    <w:lvl w:ilvl="8">
      <w:start w:val="0"/>
      <w:numFmt w:val="bullet"/>
      <w:lvlText w:val="•"/>
      <w:lvlJc w:val="left"/>
      <w:pPr>
        <w:ind w:left="8435" w:hanging="735"/>
      </w:pPr>
      <w:rPr>
        <w:rFonts w:hint="default"/>
      </w:rPr>
    </w:lvl>
  </w:abstractNum>
  <w:abstractNum w:abstractNumId="3">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1"/>
      <w:numFmt w:val="decimal"/>
      <w:lvlText w:val="%2."/>
      <w:lvlJc w:val="left"/>
      <w:pPr>
        <w:ind w:left="1409" w:hanging="361"/>
        <w:jc w:val="left"/>
      </w:pPr>
      <w:rPr>
        <w:rFonts w:hint="default" w:ascii="Times New Roman" w:hAnsi="Times New Roman" w:eastAsia="Times New Roman" w:cs="Times New Roman"/>
        <w:w w:val="100"/>
        <w:sz w:val="21"/>
        <w:szCs w:val="21"/>
      </w:rPr>
    </w:lvl>
    <w:lvl w:ilvl="2">
      <w:start w:val="0"/>
      <w:numFmt w:val="bullet"/>
      <w:lvlText w:val="•"/>
      <w:lvlJc w:val="left"/>
      <w:pPr>
        <w:ind w:left="2349" w:hanging="361"/>
      </w:pPr>
      <w:rPr>
        <w:rFonts w:hint="default"/>
      </w:rPr>
    </w:lvl>
    <w:lvl w:ilvl="3">
      <w:start w:val="0"/>
      <w:numFmt w:val="bullet"/>
      <w:lvlText w:val="•"/>
      <w:lvlJc w:val="left"/>
      <w:pPr>
        <w:ind w:left="3298" w:hanging="361"/>
      </w:pPr>
      <w:rPr>
        <w:rFonts w:hint="default"/>
      </w:rPr>
    </w:lvl>
    <w:lvl w:ilvl="4">
      <w:start w:val="0"/>
      <w:numFmt w:val="bullet"/>
      <w:lvlText w:val="•"/>
      <w:lvlJc w:val="left"/>
      <w:pPr>
        <w:ind w:left="4248" w:hanging="361"/>
      </w:pPr>
      <w:rPr>
        <w:rFonts w:hint="default"/>
      </w:rPr>
    </w:lvl>
    <w:lvl w:ilvl="5">
      <w:start w:val="0"/>
      <w:numFmt w:val="bullet"/>
      <w:lvlText w:val="•"/>
      <w:lvlJc w:val="left"/>
      <w:pPr>
        <w:ind w:left="5197" w:hanging="361"/>
      </w:pPr>
      <w:rPr>
        <w:rFonts w:hint="default"/>
      </w:rPr>
    </w:lvl>
    <w:lvl w:ilvl="6">
      <w:start w:val="0"/>
      <w:numFmt w:val="bullet"/>
      <w:lvlText w:val="•"/>
      <w:lvlJc w:val="left"/>
      <w:pPr>
        <w:ind w:left="6146" w:hanging="361"/>
      </w:pPr>
      <w:rPr>
        <w:rFonts w:hint="default"/>
      </w:rPr>
    </w:lvl>
    <w:lvl w:ilvl="7">
      <w:start w:val="0"/>
      <w:numFmt w:val="bullet"/>
      <w:lvlText w:val="•"/>
      <w:lvlJc w:val="left"/>
      <w:pPr>
        <w:ind w:left="7096" w:hanging="361"/>
      </w:pPr>
      <w:rPr>
        <w:rFonts w:hint="default"/>
      </w:rPr>
    </w:lvl>
    <w:lvl w:ilvl="8">
      <w:start w:val="0"/>
      <w:numFmt w:val="bullet"/>
      <w:lvlText w:val="•"/>
      <w:lvlJc w:val="left"/>
      <w:pPr>
        <w:ind w:left="8045" w:hanging="361"/>
      </w:pPr>
      <w:rPr>
        <w:rFonts w:hint="default"/>
      </w:rPr>
    </w:lvl>
  </w:abstractNum>
  <w:abstractNum w:abstractNumId="2">
    <w:multiLevelType w:val="hybridMultilevel"/>
    <w:lvl w:ilvl="0">
      <w:start w:val="3"/>
      <w:numFmt w:val="decimal"/>
      <w:lvlText w:val="%1."/>
      <w:lvlJc w:val="left"/>
      <w:pPr>
        <w:ind w:left="868" w:hanging="315"/>
        <w:jc w:val="left"/>
      </w:pPr>
      <w:rPr>
        <w:rFonts w:hint="default" w:ascii="宋体" w:hAnsi="宋体" w:eastAsia="宋体" w:cs="宋体"/>
        <w:spacing w:val="-1"/>
        <w:w w:val="100"/>
        <w:sz w:val="21"/>
        <w:szCs w:val="21"/>
      </w:rPr>
    </w:lvl>
    <w:lvl w:ilvl="1">
      <w:start w:val="0"/>
      <w:numFmt w:val="bullet"/>
      <w:lvlText w:val="•"/>
      <w:lvlJc w:val="left"/>
      <w:pPr>
        <w:ind w:left="1796" w:hanging="315"/>
      </w:pPr>
      <w:rPr>
        <w:rFonts w:hint="default"/>
      </w:rPr>
    </w:lvl>
    <w:lvl w:ilvl="2">
      <w:start w:val="0"/>
      <w:numFmt w:val="bullet"/>
      <w:lvlText w:val="•"/>
      <w:lvlJc w:val="left"/>
      <w:pPr>
        <w:ind w:left="2732" w:hanging="315"/>
      </w:pPr>
      <w:rPr>
        <w:rFonts w:hint="default"/>
      </w:rPr>
    </w:lvl>
    <w:lvl w:ilvl="3">
      <w:start w:val="0"/>
      <w:numFmt w:val="bullet"/>
      <w:lvlText w:val="•"/>
      <w:lvlJc w:val="left"/>
      <w:pPr>
        <w:ind w:left="3669" w:hanging="315"/>
      </w:pPr>
      <w:rPr>
        <w:rFonts w:hint="default"/>
      </w:rPr>
    </w:lvl>
    <w:lvl w:ilvl="4">
      <w:start w:val="0"/>
      <w:numFmt w:val="bullet"/>
      <w:lvlText w:val="•"/>
      <w:lvlJc w:val="left"/>
      <w:pPr>
        <w:ind w:left="4605"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8" w:hanging="315"/>
      </w:pPr>
      <w:rPr>
        <w:rFonts w:hint="default"/>
      </w:rPr>
    </w:lvl>
    <w:lvl w:ilvl="7">
      <w:start w:val="0"/>
      <w:numFmt w:val="bullet"/>
      <w:lvlText w:val="•"/>
      <w:lvlJc w:val="left"/>
      <w:pPr>
        <w:ind w:left="7415" w:hanging="315"/>
      </w:pPr>
      <w:rPr>
        <w:rFonts w:hint="default"/>
      </w:rPr>
    </w:lvl>
    <w:lvl w:ilvl="8">
      <w:start w:val="0"/>
      <w:numFmt w:val="bullet"/>
      <w:lvlText w:val="•"/>
      <w:lvlJc w:val="left"/>
      <w:pPr>
        <w:ind w:left="8351" w:hanging="315"/>
      </w:pPr>
      <w:rPr>
        <w:rFonts w:hint="default"/>
      </w:rPr>
    </w:lvl>
  </w:abstractNum>
  <w:abstractNum w:abstractNumId="1">
    <w:multiLevelType w:val="hybridMultilevel"/>
    <w:lvl w:ilvl="0">
      <w:start w:val="1"/>
      <w:numFmt w:val="decimal"/>
      <w:lvlText w:val="%1."/>
      <w:lvlJc w:val="left"/>
      <w:pPr>
        <w:ind w:left="884" w:hanging="315"/>
        <w:jc w:val="left"/>
      </w:pPr>
      <w:rPr>
        <w:rFonts w:hint="default" w:ascii="宋体" w:hAnsi="宋体" w:eastAsia="宋体" w:cs="宋体"/>
        <w:spacing w:val="-1"/>
        <w:w w:val="100"/>
        <w:sz w:val="21"/>
        <w:szCs w:val="21"/>
      </w:rPr>
    </w:lvl>
    <w:lvl w:ilvl="1">
      <w:start w:val="0"/>
      <w:numFmt w:val="bullet"/>
      <w:lvlText w:val="•"/>
      <w:lvlJc w:val="left"/>
      <w:pPr>
        <w:ind w:left="1812" w:hanging="315"/>
      </w:pPr>
      <w:rPr>
        <w:rFonts w:hint="default"/>
      </w:rPr>
    </w:lvl>
    <w:lvl w:ilvl="2">
      <w:start w:val="0"/>
      <w:numFmt w:val="bullet"/>
      <w:lvlText w:val="•"/>
      <w:lvlJc w:val="left"/>
      <w:pPr>
        <w:ind w:left="2744" w:hanging="315"/>
      </w:pPr>
      <w:rPr>
        <w:rFonts w:hint="default"/>
      </w:rPr>
    </w:lvl>
    <w:lvl w:ilvl="3">
      <w:start w:val="0"/>
      <w:numFmt w:val="bullet"/>
      <w:lvlText w:val="•"/>
      <w:lvlJc w:val="left"/>
      <w:pPr>
        <w:ind w:left="3677" w:hanging="315"/>
      </w:pPr>
      <w:rPr>
        <w:rFonts w:hint="default"/>
      </w:rPr>
    </w:lvl>
    <w:lvl w:ilvl="4">
      <w:start w:val="0"/>
      <w:numFmt w:val="bullet"/>
      <w:lvlText w:val="•"/>
      <w:lvlJc w:val="left"/>
      <w:pPr>
        <w:ind w:left="4609"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4" w:hanging="315"/>
      </w:pPr>
      <w:rPr>
        <w:rFonts w:hint="default"/>
      </w:rPr>
    </w:lvl>
    <w:lvl w:ilvl="7">
      <w:start w:val="0"/>
      <w:numFmt w:val="bullet"/>
      <w:lvlText w:val="•"/>
      <w:lvlJc w:val="left"/>
      <w:pPr>
        <w:ind w:left="7407" w:hanging="315"/>
      </w:pPr>
      <w:rPr>
        <w:rFonts w:hint="default"/>
      </w:rPr>
    </w:lvl>
    <w:lvl w:ilvl="8">
      <w:start w:val="0"/>
      <w:numFmt w:val="bullet"/>
      <w:lvlText w:val="•"/>
      <w:lvlJc w:val="left"/>
      <w:pPr>
        <w:ind w:left="8339" w:hanging="315"/>
      </w:pPr>
      <w:rPr>
        <w:rFonts w:hint="default"/>
      </w:rPr>
    </w:lvl>
  </w:abstractNum>
  <w:abstractNum w:abstractNumId="0">
    <w:multiLevelType w:val="hybridMultilevel"/>
    <w:lvl w:ilvl="0">
      <w:start w:val="1"/>
      <w:numFmt w:val="decimal"/>
      <w:lvlText w:val="%1."/>
      <w:lvlJc w:val="left"/>
      <w:pPr>
        <w:ind w:left="973"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902" w:hanging="420"/>
      </w:pPr>
      <w:rPr>
        <w:rFonts w:hint="default"/>
      </w:rPr>
    </w:lvl>
    <w:lvl w:ilvl="2">
      <w:start w:val="0"/>
      <w:numFmt w:val="bullet"/>
      <w:lvlText w:val="•"/>
      <w:lvlJc w:val="left"/>
      <w:pPr>
        <w:ind w:left="2824" w:hanging="420"/>
      </w:pPr>
      <w:rPr>
        <w:rFonts w:hint="default"/>
      </w:rPr>
    </w:lvl>
    <w:lvl w:ilvl="3">
      <w:start w:val="0"/>
      <w:numFmt w:val="bullet"/>
      <w:lvlText w:val="•"/>
      <w:lvlJc w:val="left"/>
      <w:pPr>
        <w:ind w:left="3747" w:hanging="420"/>
      </w:pPr>
      <w:rPr>
        <w:rFonts w:hint="default"/>
      </w:rPr>
    </w:lvl>
    <w:lvl w:ilvl="4">
      <w:start w:val="0"/>
      <w:numFmt w:val="bullet"/>
      <w:lvlText w:val="•"/>
      <w:lvlJc w:val="left"/>
      <w:pPr>
        <w:ind w:left="4669" w:hanging="420"/>
      </w:pPr>
      <w:rPr>
        <w:rFonts w:hint="default"/>
      </w:rPr>
    </w:lvl>
    <w:lvl w:ilvl="5">
      <w:start w:val="0"/>
      <w:numFmt w:val="bullet"/>
      <w:lvlText w:val="•"/>
      <w:lvlJc w:val="left"/>
      <w:pPr>
        <w:ind w:left="5592" w:hanging="420"/>
      </w:pPr>
      <w:rPr>
        <w:rFonts w:hint="default"/>
      </w:rPr>
    </w:lvl>
    <w:lvl w:ilvl="6">
      <w:start w:val="0"/>
      <w:numFmt w:val="bullet"/>
      <w:lvlText w:val="•"/>
      <w:lvlJc w:val="left"/>
      <w:pPr>
        <w:ind w:left="6514" w:hanging="420"/>
      </w:pPr>
      <w:rPr>
        <w:rFonts w:hint="default"/>
      </w:rPr>
    </w:lvl>
    <w:lvl w:ilvl="7">
      <w:start w:val="0"/>
      <w:numFmt w:val="bullet"/>
      <w:lvlText w:val="•"/>
      <w:lvlJc w:val="left"/>
      <w:pPr>
        <w:ind w:left="7437" w:hanging="420"/>
      </w:pPr>
      <w:rPr>
        <w:rFonts w:hint="default"/>
      </w:rPr>
    </w:lvl>
    <w:lvl w:ilvl="8">
      <w:start w:val="0"/>
      <w:numFmt w:val="bullet"/>
      <w:lvlText w:val="•"/>
      <w:lvlJc w:val="left"/>
      <w:pPr>
        <w:ind w:left="8359"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8"/>
      <w:szCs w:val="28"/>
    </w:rPr>
  </w:style>
  <w:style w:styleId="Heading2" w:type="paragraph">
    <w:name w:val="Heading 2"/>
    <w:basedOn w:val="Normal"/>
    <w:uiPriority w:val="1"/>
    <w:qFormat/>
    <w:pPr>
      <w:ind w:left="14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868" w:hanging="314"/>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cgao</dc:creator>
  <dc:title>版本控制纪录</dc:title>
  <dcterms:created xsi:type="dcterms:W3CDTF">2018-10-20T02:59:45Z</dcterms:created>
  <dcterms:modified xsi:type="dcterms:W3CDTF">2018-10-20T02:59:45Z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2010-05-18T00:00:00Z</vt:filetime>
  </property>
  <property fmtid="{D5CDD505-2E9C-101B-9397-08002B2CF9AE}" pid="3" name="Creator">
    <vt:lpwstr>Acrobat PDFMaker 9.0 Word 版</vt:lpwstr>
  </property>
  <property fmtid="{D5CDD505-2E9C-101B-9397-08002B2CF9AE}" pid="4" name="LastSaved">
    <vt:filetime>2018-10-19T00:00:00Z</vt:filetime>
  </property>
</Properties>
</file>