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3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027 </w:t>
      </w:r>
      <w:r>
        <w:rPr>
          <w:sz w:val="18"/>
        </w:rPr>
        <w:t>号</w:t>
      </w:r>
    </w:p>
    <w:p>
      <w:pPr>
        <w:pStyle w:val="BodyText"/>
        <w:ind w:left="0"/>
        <w:rPr>
          <w:sz w:val="6"/>
        </w:rPr>
      </w:pPr>
    </w:p>
    <w:p>
      <w:pPr>
        <w:spacing w:after="0"/>
        <w:rPr>
          <w:sz w:val="6"/>
        </w:rPr>
        <w:sectPr>
          <w:footerReference w:type="default" r:id="rId5"/>
          <w:type w:val="continuous"/>
          <w:pgSz w:w="11910" w:h="16840"/>
          <w:pgMar w:footer="924" w:top="1100" w:bottom="1120" w:left="1020" w:right="900"/>
          <w:pgNumType w:start="1"/>
        </w:sectPr>
      </w:pPr>
    </w:p>
    <w:p>
      <w:pPr>
        <w:pStyle w:val="BodyText"/>
        <w:spacing w:before="7"/>
        <w:ind w:left="0"/>
        <w:rPr>
          <w:sz w:val="30"/>
        </w:rPr>
      </w:pPr>
    </w:p>
    <w:p>
      <w:pPr>
        <w:pStyle w:val="Heading2"/>
        <w:jc w:val="right"/>
        <w:rPr>
          <w:rFonts w:ascii="宋体" w:eastAsia="宋体" w:hint="eastAsia"/>
          <w:b w:val="0"/>
        </w:rPr>
      </w:pPr>
      <w:r>
        <w:rPr/>
        <w:t>阅  读  指 引</w:t>
      </w:r>
      <w:r>
        <w:rPr>
          <w:rFonts w:ascii="宋体" w:eastAsia="宋体" w:hint="eastAsia"/>
          <w:b w:val="0"/>
        </w:rPr>
        <w:t> </w:t>
      </w:r>
    </w:p>
    <w:p>
      <w:pPr>
        <w:spacing w:before="45"/>
        <w:ind w:left="1972"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20" w:left="1020" w:right="900"/>
          <w:cols w:num="2" w:equalWidth="0">
            <w:col w:w="5845" w:space="40"/>
            <w:col w:w="4105"/>
          </w:cols>
        </w:sectPr>
      </w:pPr>
    </w:p>
    <w:p>
      <w:pPr>
        <w:pStyle w:val="BodyText"/>
        <w:ind w:left="0"/>
        <w:rPr>
          <w:sz w:val="29"/>
        </w:rPr>
      </w:pPr>
    </w:p>
    <w:p>
      <w:pPr>
        <w:pStyle w:val="Heading4"/>
        <w:tabs>
          <w:tab w:pos="953" w:val="left" w:leader="none"/>
        </w:tabs>
        <w:spacing w:before="62"/>
        <w:ind w:left="113"/>
      </w:pPr>
      <w:r>
        <w:rPr>
          <w:rFonts w:ascii="Arial" w:hAnsi="Arial" w:eastAsia="Arial"/>
          <w:w w:val="105"/>
          <w:position w:val="-9"/>
          <w:sz w:val="44"/>
        </w:rPr>
        <w:t></w:t>
        <w:tab/>
      </w:r>
      <w:r>
        <w:rPr>
          <w:spacing w:val="-3"/>
        </w:rPr>
        <w:t>本阅读指引适用于《中华团体重大疾病保险条款》</w:t>
      </w:r>
    </w:p>
    <w:p>
      <w:pPr>
        <w:tabs>
          <w:tab w:pos="953" w:val="left" w:leader="none"/>
        </w:tabs>
        <w:spacing w:before="274"/>
        <w:ind w:left="113" w:right="0" w:firstLine="0"/>
        <w:jc w:val="left"/>
        <w:rPr>
          <w:b/>
          <w:sz w:val="21"/>
        </w:rPr>
      </w:pPr>
      <w:r>
        <w:rPr>
          <w:rFonts w:ascii="Arial" w:hAnsi="Arial" w:eastAsia="Arial"/>
          <w:b/>
          <w:w w:val="105"/>
          <w:position w:val="-9"/>
          <w:sz w:val="44"/>
        </w:rPr>
        <w:t></w:t>
        <w:tab/>
      </w:r>
      <w:r>
        <w:rPr>
          <w:b/>
          <w:spacing w:val="-3"/>
          <w:sz w:val="21"/>
        </w:rPr>
        <w:t>为了方便投保人更好地理解本保险条款，我们介绍以下人身保险条款中常用术语</w:t>
      </w:r>
      <w:r>
        <w:rPr>
          <w:b/>
          <w:spacing w:val="-3"/>
          <w:w w:val="99"/>
          <w:sz w:val="21"/>
        </w:rPr>
        <w:t> </w:t>
      </w:r>
    </w:p>
    <w:p>
      <w:pPr>
        <w:tabs>
          <w:tab w:pos="744" w:val="left" w:leader="none"/>
        </w:tabs>
        <w:spacing w:before="221"/>
        <w:ind w:left="113" w:right="0" w:firstLine="0"/>
        <w:jc w:val="left"/>
        <w:rPr>
          <w:sz w:val="21"/>
        </w:rPr>
      </w:pPr>
      <w:r>
        <w:rPr>
          <w:b/>
          <w:w w:val="99"/>
          <w:sz w:val="21"/>
        </w:rPr>
        <w:t> </w:t>
      </w:r>
      <w:r>
        <w:rPr>
          <w:b/>
          <w:sz w:val="21"/>
        </w:rPr>
        <w:tab/>
      </w:r>
      <w:r>
        <w:rPr>
          <w:b/>
          <w:w w:val="99"/>
          <w:sz w:val="21"/>
        </w:rPr>
        <w:t> </w:t>
      </w:r>
      <w:r>
        <w:rPr>
          <w:b/>
          <w:spacing w:val="-3"/>
          <w:sz w:val="21"/>
        </w:rPr>
        <w:t> </w:t>
      </w:r>
      <w:r>
        <w:rPr>
          <w:b/>
          <w:spacing w:val="-1"/>
          <w:sz w:val="21"/>
        </w:rPr>
        <w:t>投保人</w:t>
      </w:r>
      <w:r>
        <w:rPr>
          <w:spacing w:val="-3"/>
          <w:sz w:val="21"/>
        </w:rPr>
        <w:t>指与保险公司订立保险合同的人</w:t>
      </w:r>
      <w:r>
        <w:rPr>
          <w:sz w:val="21"/>
        </w:rPr>
        <w:t> </w:t>
      </w:r>
    </w:p>
    <w:p>
      <w:pPr>
        <w:tabs>
          <w:tab w:pos="744" w:val="left" w:leader="none"/>
        </w:tabs>
        <w:spacing w:before="37"/>
        <w:ind w:left="113" w:right="0" w:firstLine="0"/>
        <w:jc w:val="left"/>
        <w:rPr>
          <w:sz w:val="21"/>
        </w:rPr>
      </w:pPr>
      <w:r>
        <w:rPr>
          <w:b/>
          <w:w w:val="99"/>
          <w:sz w:val="21"/>
        </w:rPr>
        <w:t> </w:t>
      </w:r>
      <w:r>
        <w:rPr>
          <w:b/>
          <w:sz w:val="21"/>
        </w:rPr>
        <w:tab/>
      </w:r>
      <w:r>
        <w:rPr>
          <w:b/>
          <w:w w:val="99"/>
          <w:sz w:val="21"/>
        </w:rPr>
        <w:t> </w:t>
      </w:r>
      <w:r>
        <w:rPr>
          <w:b/>
          <w:spacing w:val="-3"/>
          <w:sz w:val="21"/>
        </w:rPr>
        <w:t> </w:t>
      </w:r>
      <w:r>
        <w:rPr>
          <w:b/>
          <w:spacing w:val="-1"/>
          <w:sz w:val="21"/>
        </w:rPr>
        <w:t>被保险人</w:t>
      </w:r>
      <w:r>
        <w:rPr>
          <w:spacing w:val="-3"/>
          <w:sz w:val="21"/>
        </w:rPr>
        <w:t>指受保险合同保障的人</w:t>
      </w:r>
      <w:r>
        <w:rPr>
          <w:sz w:val="21"/>
        </w:rPr>
        <w:t> </w:t>
      </w:r>
    </w:p>
    <w:p>
      <w:pPr>
        <w:tabs>
          <w:tab w:pos="744" w:val="left" w:leader="none"/>
        </w:tabs>
        <w:spacing w:before="37"/>
        <w:ind w:left="113" w:right="0" w:firstLine="0"/>
        <w:jc w:val="left"/>
        <w:rPr>
          <w:sz w:val="21"/>
        </w:rPr>
      </w:pPr>
      <w:r>
        <w:rPr>
          <w:b/>
          <w:w w:val="99"/>
          <w:sz w:val="21"/>
        </w:rPr>
        <w:t> </w:t>
      </w:r>
      <w:r>
        <w:rPr>
          <w:b/>
          <w:sz w:val="21"/>
        </w:rPr>
        <w:tab/>
      </w:r>
      <w:r>
        <w:rPr>
          <w:b/>
          <w:w w:val="99"/>
          <w:sz w:val="21"/>
        </w:rPr>
        <w:t> </w:t>
      </w:r>
      <w:r>
        <w:rPr>
          <w:b/>
          <w:spacing w:val="-3"/>
          <w:sz w:val="21"/>
        </w:rPr>
        <w:t> </w:t>
      </w:r>
      <w:r>
        <w:rPr>
          <w:b/>
          <w:spacing w:val="-1"/>
          <w:sz w:val="21"/>
        </w:rPr>
        <w:t>受益人</w:t>
      </w:r>
      <w:r>
        <w:rPr>
          <w:spacing w:val="-3"/>
          <w:sz w:val="21"/>
        </w:rPr>
        <w:t>指由投保人或被保险人指定的，享有保险金请求权的人</w:t>
      </w:r>
      <w:r>
        <w:rPr>
          <w:sz w:val="21"/>
        </w:rPr>
        <w:t> </w:t>
      </w:r>
    </w:p>
    <w:p>
      <w:pPr>
        <w:pStyle w:val="BodyText"/>
        <w:spacing w:before="10"/>
        <w:ind w:left="0"/>
        <w:rPr>
          <w:sz w:val="18"/>
        </w:rPr>
      </w:pPr>
    </w:p>
    <w:p>
      <w:pPr>
        <w:pStyle w:val="Heading4"/>
        <w:tabs>
          <w:tab w:pos="953" w:val="left" w:leader="none"/>
        </w:tabs>
        <w:spacing w:before="0"/>
        <w:ind w:left="113"/>
      </w:pPr>
      <w:r>
        <w:rPr>
          <w:rFonts w:ascii="Arial" w:hAnsi="Arial" w:eastAsia="Arial"/>
          <w:w w:val="105"/>
          <w:position w:val="-9"/>
          <w:sz w:val="44"/>
        </w:rPr>
        <w:t></w:t>
        <w:tab/>
      </w:r>
      <w:r>
        <w:rPr>
          <w:spacing w:val="-2"/>
        </w:rPr>
        <w:t>投保人拥有的重要权益</w:t>
      </w:r>
      <w:r>
        <w:rPr>
          <w:spacing w:val="-2"/>
          <w:w w:val="99"/>
        </w:rPr>
        <w:t> </w:t>
      </w:r>
    </w:p>
    <w:p>
      <w:pPr>
        <w:pStyle w:val="BodyText"/>
        <w:spacing w:before="221"/>
        <w:ind w:left="113"/>
      </w:pPr>
      <w:r>
        <w:rPr>
          <w:w w:val="100"/>
        </w:rPr>
        <w:t> </w:t>
      </w:r>
      <w:r>
        <w:rPr/>
        <w:t> </w:t>
      </w:r>
      <w:r>
        <w:rPr>
          <w:w w:val="100"/>
        </w:rPr>
        <w:t>      </w:t>
      </w:r>
      <w:r>
        <w:rPr/>
        <w:t>本合同提供的保障在保险责任条款中列明 ........................................... </w:t>
      </w:r>
      <w:r>
        <w:rPr>
          <w:rFonts w:ascii="Times New Roman" w:eastAsia="Times New Roman"/>
        </w:rPr>
        <w:t>2.3  </w:t>
      </w:r>
      <w:r>
        <w:rPr>
          <w:w w:val="100"/>
        </w:rPr>
        <w:t> </w:t>
      </w:r>
    </w:p>
    <w:p>
      <w:pPr>
        <w:pStyle w:val="BodyText"/>
        <w:spacing w:before="21"/>
        <w:ind w:left="953"/>
      </w:pPr>
      <w:r>
        <w:rPr/>
        <w:t>投保人有退保的权利 ............................................................. </w:t>
      </w:r>
      <w:r>
        <w:rPr>
          <w:rFonts w:ascii="Times New Roman" w:eastAsia="Times New Roman"/>
        </w:rPr>
        <w:t>6.1</w:t>
      </w:r>
      <w:r>
        <w:rPr/>
        <w:t> </w:t>
      </w:r>
    </w:p>
    <w:p>
      <w:pPr>
        <w:pStyle w:val="BodyText"/>
        <w:spacing w:before="7"/>
        <w:ind w:left="0"/>
        <w:rPr>
          <w:sz w:val="17"/>
        </w:rPr>
      </w:pPr>
    </w:p>
    <w:p>
      <w:pPr>
        <w:pStyle w:val="Heading4"/>
        <w:tabs>
          <w:tab w:pos="953" w:val="left" w:leader="none"/>
        </w:tabs>
        <w:spacing w:before="0"/>
        <w:ind w:left="113"/>
      </w:pPr>
      <w:r>
        <w:rPr>
          <w:rFonts w:ascii="Arial" w:hAnsi="Arial" w:eastAsia="Arial"/>
          <w:w w:val="105"/>
          <w:position w:val="-9"/>
          <w:sz w:val="44"/>
        </w:rPr>
        <w:t></w:t>
        <w:tab/>
      </w:r>
      <w:r>
        <w:rPr>
          <w:spacing w:val="-3"/>
        </w:rPr>
        <w:t>投保人应当特别注意的事项</w:t>
      </w:r>
    </w:p>
    <w:p>
      <w:pPr>
        <w:spacing w:before="221"/>
        <w:ind w:left="955" w:right="0" w:firstLine="0"/>
        <w:jc w:val="left"/>
        <w:rPr>
          <w:b/>
          <w:sz w:val="21"/>
        </w:rPr>
      </w:pPr>
      <w:r>
        <w:rPr>
          <w:b/>
          <w:sz w:val="21"/>
        </w:rPr>
        <w:t>投保人应当及时签收保险合同 .................................................... </w:t>
      </w:r>
      <w:r>
        <w:rPr>
          <w:rFonts w:ascii="Times New Roman" w:eastAsia="Times New Roman"/>
          <w:b/>
          <w:sz w:val="21"/>
        </w:rPr>
        <w:t>1.4</w:t>
      </w:r>
      <w:r>
        <w:rPr>
          <w:b/>
          <w:w w:val="99"/>
          <w:sz w:val="21"/>
        </w:rPr>
        <w:t> </w:t>
      </w:r>
    </w:p>
    <w:p>
      <w:pPr>
        <w:spacing w:before="21"/>
        <w:ind w:left="955" w:right="0" w:firstLine="0"/>
        <w:jc w:val="left"/>
        <w:rPr>
          <w:b/>
          <w:sz w:val="21"/>
        </w:rPr>
      </w:pPr>
      <w:r>
        <w:rPr>
          <w:b/>
          <w:sz w:val="21"/>
        </w:rPr>
        <w:t>本合同有等待期，请投保人或被保险人注意 ........................................ </w:t>
      </w:r>
      <w:r>
        <w:rPr>
          <w:rFonts w:ascii="Times New Roman" w:eastAsia="Times New Roman"/>
          <w:b/>
          <w:sz w:val="21"/>
        </w:rPr>
        <w:t>2.3</w:t>
      </w:r>
      <w:r>
        <w:rPr>
          <w:b/>
          <w:w w:val="99"/>
          <w:sz w:val="21"/>
        </w:rPr>
        <w:t> </w:t>
      </w:r>
    </w:p>
    <w:p>
      <w:pPr>
        <w:spacing w:before="21"/>
        <w:ind w:left="955" w:right="0" w:firstLine="0"/>
        <w:jc w:val="left"/>
        <w:rPr>
          <w:b/>
          <w:sz w:val="21"/>
        </w:rPr>
      </w:pPr>
      <w:r>
        <w:rPr>
          <w:b/>
          <w:sz w:val="21"/>
        </w:rPr>
        <w:t>在某些情况下，我们不承担保险责任 ........................................... </w:t>
      </w:r>
      <w:r>
        <w:rPr>
          <w:rFonts w:ascii="Times New Roman" w:eastAsia="Times New Roman"/>
          <w:b/>
          <w:sz w:val="21"/>
        </w:rPr>
        <w:t>2.4</w:t>
      </w:r>
      <w:r>
        <w:rPr>
          <w:b/>
          <w:sz w:val="21"/>
        </w:rPr>
        <w:t>/</w:t>
      </w:r>
      <w:r>
        <w:rPr>
          <w:rFonts w:ascii="Times New Roman" w:eastAsia="Times New Roman"/>
          <w:b/>
          <w:sz w:val="21"/>
        </w:rPr>
        <w:t>2.5</w:t>
      </w:r>
      <w:r>
        <w:rPr>
          <w:b/>
          <w:w w:val="99"/>
          <w:sz w:val="21"/>
        </w:rPr>
        <w:t> </w:t>
      </w:r>
    </w:p>
    <w:p>
      <w:pPr>
        <w:spacing w:before="21"/>
        <w:ind w:left="955" w:right="0" w:firstLine="0"/>
        <w:jc w:val="left"/>
        <w:rPr>
          <w:b/>
          <w:sz w:val="21"/>
        </w:rPr>
      </w:pPr>
      <w:r>
        <w:rPr>
          <w:b/>
          <w:sz w:val="21"/>
        </w:rPr>
        <w:t>保险事故发生后请及时通知我们,否则可能影响保险金的给付.......................... </w:t>
      </w:r>
      <w:r>
        <w:rPr>
          <w:rFonts w:ascii="Times New Roman" w:eastAsia="Times New Roman"/>
          <w:b/>
          <w:sz w:val="21"/>
        </w:rPr>
        <w:t>3.2</w:t>
      </w:r>
      <w:r>
        <w:rPr>
          <w:b/>
          <w:w w:val="99"/>
          <w:sz w:val="21"/>
        </w:rPr>
        <w:t> </w:t>
      </w:r>
    </w:p>
    <w:p>
      <w:pPr>
        <w:spacing w:before="21"/>
        <w:ind w:left="955" w:right="0" w:firstLine="0"/>
        <w:jc w:val="left"/>
        <w:rPr>
          <w:b/>
          <w:sz w:val="21"/>
        </w:rPr>
      </w:pPr>
      <w:r>
        <w:rPr>
          <w:b/>
          <w:sz w:val="21"/>
        </w:rPr>
        <w:t>请按时交纳保险费，否则会导致合同效力中止 .................................... </w:t>
      </w:r>
      <w:r>
        <w:rPr>
          <w:rFonts w:ascii="Times New Roman" w:eastAsia="Times New Roman"/>
          <w:b/>
          <w:sz w:val="21"/>
        </w:rPr>
        <w:t>4</w:t>
      </w:r>
      <w:r>
        <w:rPr>
          <w:b/>
          <w:sz w:val="21"/>
        </w:rPr>
        <w:t>/</w:t>
      </w:r>
      <w:r>
        <w:rPr>
          <w:rFonts w:ascii="Times New Roman" w:eastAsia="Times New Roman"/>
          <w:b/>
          <w:sz w:val="21"/>
        </w:rPr>
        <w:t>5.1</w:t>
      </w:r>
      <w:r>
        <w:rPr>
          <w:b/>
          <w:w w:val="99"/>
          <w:sz w:val="21"/>
        </w:rPr>
        <w:t> </w:t>
      </w:r>
    </w:p>
    <w:p>
      <w:pPr>
        <w:spacing w:line="256" w:lineRule="auto" w:before="21"/>
        <w:ind w:left="955" w:right="209" w:firstLine="0"/>
        <w:jc w:val="left"/>
        <w:rPr>
          <w:b/>
          <w:sz w:val="21"/>
        </w:rPr>
      </w:pPr>
      <w:r>
        <w:rPr>
          <w:b/>
          <w:spacing w:val="-3"/>
          <w:sz w:val="21"/>
        </w:rPr>
        <w:t>退保会给投保人或被保险人造成一定的损失，请慎重决策 ............................ </w:t>
      </w:r>
      <w:r>
        <w:rPr>
          <w:rFonts w:ascii="Times New Roman" w:eastAsia="Times New Roman"/>
          <w:b/>
          <w:sz w:val="21"/>
        </w:rPr>
        <w:t>6.1 </w:t>
      </w:r>
      <w:r>
        <w:rPr>
          <w:b/>
          <w:spacing w:val="-3"/>
          <w:sz w:val="21"/>
        </w:rPr>
        <w:t>投保人或被保险人有如实告知的义务 .............................................. </w:t>
      </w:r>
      <w:r>
        <w:rPr>
          <w:rFonts w:ascii="Times New Roman" w:eastAsia="Times New Roman"/>
          <w:b/>
          <w:sz w:val="21"/>
        </w:rPr>
        <w:t>7.1</w:t>
      </w:r>
      <w:r>
        <w:rPr>
          <w:b/>
          <w:w w:val="99"/>
          <w:sz w:val="21"/>
        </w:rPr>
        <w:t> </w:t>
      </w:r>
    </w:p>
    <w:p>
      <w:pPr>
        <w:spacing w:before="5"/>
        <w:ind w:left="955" w:right="0" w:firstLine="0"/>
        <w:jc w:val="left"/>
        <w:rPr>
          <w:b/>
          <w:sz w:val="21"/>
        </w:rPr>
      </w:pPr>
      <w:r>
        <w:rPr>
          <w:b/>
          <w:sz w:val="21"/>
        </w:rPr>
        <w:t>保险条款有关于重大疾病的定义，请仔细阅读 ....................................... </w:t>
      </w:r>
      <w:r>
        <w:rPr>
          <w:rFonts w:ascii="Times New Roman" w:eastAsia="Times New Roman"/>
          <w:b/>
          <w:sz w:val="21"/>
        </w:rPr>
        <w:t>9</w:t>
      </w:r>
      <w:r>
        <w:rPr>
          <w:b/>
          <w:w w:val="99"/>
          <w:sz w:val="21"/>
        </w:rPr>
        <w:t> </w:t>
      </w:r>
    </w:p>
    <w:p>
      <w:pPr>
        <w:spacing w:before="21"/>
        <w:ind w:left="955" w:right="0" w:firstLine="0"/>
        <w:jc w:val="left"/>
        <w:rPr>
          <w:b/>
          <w:sz w:val="21"/>
        </w:rPr>
      </w:pPr>
      <w:r>
        <w:rPr>
          <w:b/>
          <w:sz w:val="21"/>
        </w:rPr>
        <w:t>我们对一些重要术语进行了解释，请注意 ...........................................</w:t>
      </w:r>
      <w:r>
        <w:rPr>
          <w:rFonts w:ascii="Times New Roman" w:eastAsia="Times New Roman"/>
          <w:b/>
          <w:sz w:val="21"/>
        </w:rPr>
        <w:t>10</w:t>
      </w:r>
      <w:r>
        <w:rPr>
          <w:b/>
          <w:w w:val="99"/>
          <w:sz w:val="21"/>
        </w:rPr>
        <w:t> </w:t>
      </w:r>
    </w:p>
    <w:p>
      <w:pPr>
        <w:pStyle w:val="BodyText"/>
        <w:spacing w:before="7"/>
        <w:ind w:left="0"/>
        <w:rPr>
          <w:b/>
          <w:sz w:val="17"/>
        </w:rPr>
      </w:pPr>
    </w:p>
    <w:p>
      <w:pPr>
        <w:tabs>
          <w:tab w:pos="953" w:val="left" w:leader="none"/>
        </w:tabs>
        <w:spacing w:before="0"/>
        <w:ind w:left="113" w:right="0" w:firstLine="0"/>
        <w:jc w:val="left"/>
        <w:rPr>
          <w:b/>
          <w:sz w:val="21"/>
        </w:rPr>
      </w:pPr>
      <w:r>
        <w:rPr>
          <w:rFonts w:ascii="Arial" w:hAnsi="Arial" w:eastAsia="Arial"/>
          <w:b/>
          <w:w w:val="105"/>
          <w:position w:val="-9"/>
          <w:sz w:val="44"/>
        </w:rPr>
        <w:t></w:t>
        <w:tab/>
      </w:r>
      <w:r>
        <w:rPr>
          <w:b/>
          <w:spacing w:val="-3"/>
          <w:sz w:val="21"/>
        </w:rPr>
        <w:t>条款是保险合同的重要内容，为充分保障投保人或被保险人的权益，请仔细阅读本条款</w:t>
      </w:r>
      <w:r>
        <w:rPr>
          <w:b/>
          <w:spacing w:val="-3"/>
          <w:w w:val="99"/>
          <w:sz w:val="21"/>
        </w:rPr>
        <w:t> </w:t>
      </w:r>
    </w:p>
    <w:p>
      <w:pPr>
        <w:tabs>
          <w:tab w:pos="953" w:val="left" w:leader="none"/>
        </w:tabs>
        <w:spacing w:before="273"/>
        <w:ind w:left="113" w:right="0" w:firstLine="0"/>
        <w:jc w:val="left"/>
        <w:rPr>
          <w:b/>
          <w:sz w:val="21"/>
        </w:rPr>
      </w:pPr>
      <w:r>
        <w:rPr/>
        <w:pict>
          <v:rect style="position:absolute;margin-left:288.549988pt;margin-top:11.64574pt;width:84.24pt;height:27.24pt;mso-position-horizontal-relative:page;mso-position-vertical-relative:paragraph;z-index:-39304" filled="true" fillcolor="#c0c0c0" stroked="false">
            <v:fill type="solid"/>
            <w10:wrap type="none"/>
          </v:rect>
        </w:pict>
      </w:r>
      <w:r>
        <w:rPr>
          <w:rFonts w:ascii="Arial" w:hAnsi="Arial" w:eastAsia="Arial"/>
          <w:b/>
          <w:w w:val="105"/>
          <w:position w:val="-9"/>
          <w:sz w:val="44"/>
        </w:rPr>
        <w:t></w:t>
        <w:tab/>
      </w:r>
      <w:r>
        <w:rPr>
          <w:b/>
          <w:spacing w:val="-3"/>
          <w:sz w:val="21"/>
        </w:rPr>
        <w:t>请投保人特别留意条款中黑色加粗字体和灰色底纹背景字体的内容</w:t>
      </w:r>
      <w:r>
        <w:rPr>
          <w:b/>
          <w:spacing w:val="-3"/>
          <w:w w:val="99"/>
          <w:sz w:val="21"/>
        </w:rPr>
        <w:t> </w:t>
      </w:r>
    </w:p>
    <w:p>
      <w:pPr>
        <w:spacing w:before="298"/>
        <w:ind w:left="113" w:right="0" w:firstLine="0"/>
        <w:jc w:val="left"/>
        <w:rPr>
          <w:b/>
          <w:sz w:val="21"/>
        </w:rPr>
      </w:pPr>
      <w:r>
        <w:rPr>
          <w:b/>
          <w:w w:val="99"/>
          <w:sz w:val="21"/>
        </w:rPr>
        <w:t> </w:t>
      </w:r>
    </w:p>
    <w:p>
      <w:pPr>
        <w:spacing w:after="0"/>
        <w:jc w:val="left"/>
        <w:rPr>
          <w:sz w:val="21"/>
        </w:rPr>
        <w:sectPr>
          <w:type w:val="continuous"/>
          <w:pgSz w:w="11910" w:h="16840"/>
          <w:pgMar w:top="1100" w:bottom="1120" w:left="1020" w:right="9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6"/>
        <w:ind w:left="0"/>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7"/>
        <w:gridCol w:w="4164"/>
      </w:tblGrid>
      <w:tr>
        <w:trPr>
          <w:trHeight w:val="7410" w:hRule="atLeast"/>
        </w:trPr>
        <w:tc>
          <w:tcPr>
            <w:tcW w:w="3557" w:type="dxa"/>
          </w:tcPr>
          <w:p>
            <w:pPr>
              <w:pStyle w:val="TableParagraph"/>
              <w:spacing w:line="234" w:lineRule="exact"/>
              <w:ind w:left="200"/>
              <w:rPr>
                <w:b/>
                <w:sz w:val="21"/>
              </w:rPr>
            </w:pPr>
            <w:r>
              <w:rPr>
                <w:rFonts w:ascii="Times New Roman" w:eastAsia="Times New Roman"/>
                <w:b/>
                <w:sz w:val="21"/>
              </w:rPr>
              <w:t>1.  </w:t>
            </w:r>
            <w:r>
              <w:rPr>
                <w:b/>
                <w:sz w:val="21"/>
              </w:rPr>
              <w:t>投保人与我们订立的合同</w:t>
            </w:r>
            <w:r>
              <w:rPr>
                <w:b/>
                <w:w w:val="99"/>
                <w:sz w:val="21"/>
              </w:rPr>
              <w:t> </w:t>
            </w:r>
          </w:p>
          <w:p>
            <w:pPr>
              <w:pStyle w:val="TableParagraph"/>
              <w:spacing w:before="21"/>
              <w:ind w:left="200"/>
              <w:rPr>
                <w:sz w:val="21"/>
              </w:rPr>
            </w:pPr>
            <w:r>
              <w:rPr>
                <w:w w:val="100"/>
                <w:sz w:val="21"/>
              </w:rPr>
              <w:t> </w:t>
            </w:r>
            <w:r>
              <w:rPr>
                <w:rFonts w:ascii="Times New Roman" w:eastAsia="Times New Roman"/>
                <w:sz w:val="21"/>
              </w:rPr>
              <w:t>1.1  </w:t>
            </w:r>
            <w:r>
              <w:rPr>
                <w:sz w:val="21"/>
              </w:rPr>
              <w:t>合同构成 </w:t>
            </w:r>
          </w:p>
          <w:p>
            <w:pPr>
              <w:pStyle w:val="TableParagraph"/>
              <w:spacing w:before="21"/>
              <w:ind w:left="200"/>
              <w:rPr>
                <w:sz w:val="21"/>
              </w:rPr>
            </w:pPr>
            <w:r>
              <w:rPr>
                <w:w w:val="100"/>
                <w:sz w:val="21"/>
              </w:rPr>
              <w:t> </w:t>
            </w:r>
            <w:r>
              <w:rPr>
                <w:rFonts w:ascii="Times New Roman" w:eastAsia="Times New Roman"/>
                <w:sz w:val="21"/>
              </w:rPr>
              <w:t>1.2  </w:t>
            </w:r>
            <w:r>
              <w:rPr>
                <w:sz w:val="21"/>
              </w:rPr>
              <w:t>合同成立及生效 </w:t>
            </w:r>
          </w:p>
          <w:p>
            <w:pPr>
              <w:pStyle w:val="TableParagraph"/>
              <w:spacing w:before="21"/>
              <w:ind w:left="200"/>
              <w:rPr>
                <w:sz w:val="21"/>
              </w:rPr>
            </w:pPr>
            <w:r>
              <w:rPr>
                <w:w w:val="100"/>
                <w:sz w:val="21"/>
              </w:rPr>
              <w:t> </w:t>
            </w:r>
            <w:r>
              <w:rPr>
                <w:rFonts w:ascii="Times New Roman" w:eastAsia="Times New Roman"/>
                <w:sz w:val="21"/>
              </w:rPr>
              <w:t>1.3  </w:t>
            </w:r>
            <w:r>
              <w:rPr>
                <w:sz w:val="21"/>
              </w:rPr>
              <w:t>投保年龄 </w:t>
            </w:r>
          </w:p>
          <w:p>
            <w:pPr>
              <w:pStyle w:val="TableParagraph"/>
              <w:spacing w:before="21"/>
              <w:ind w:left="200"/>
              <w:rPr>
                <w:sz w:val="21"/>
              </w:rPr>
            </w:pPr>
            <w:r>
              <w:rPr>
                <w:w w:val="100"/>
                <w:sz w:val="21"/>
              </w:rPr>
              <w:t> </w:t>
            </w:r>
            <w:r>
              <w:rPr>
                <w:rFonts w:ascii="Times New Roman" w:eastAsia="Times New Roman"/>
                <w:sz w:val="21"/>
              </w:rPr>
              <w:t>1.4  </w:t>
            </w:r>
            <w:r>
              <w:rPr>
                <w:sz w:val="21"/>
              </w:rPr>
              <w:t>合同的签收 </w:t>
            </w:r>
          </w:p>
          <w:p>
            <w:pPr>
              <w:pStyle w:val="TableParagraph"/>
              <w:spacing w:before="21"/>
              <w:ind w:left="200"/>
              <w:rPr>
                <w:sz w:val="21"/>
              </w:rPr>
            </w:pPr>
            <w:r>
              <w:rPr>
                <w:w w:val="100"/>
                <w:sz w:val="21"/>
              </w:rPr>
              <w:t> </w:t>
            </w:r>
          </w:p>
          <w:p>
            <w:pPr>
              <w:pStyle w:val="TableParagraph"/>
              <w:spacing w:before="37"/>
              <w:ind w:left="200"/>
              <w:rPr>
                <w:b/>
                <w:sz w:val="21"/>
              </w:rPr>
            </w:pPr>
            <w:r>
              <w:rPr>
                <w:rFonts w:ascii="Times New Roman" w:eastAsia="Times New Roman"/>
                <w:b/>
                <w:sz w:val="21"/>
              </w:rPr>
              <w:t>2.  </w:t>
            </w:r>
            <w:r>
              <w:rPr>
                <w:b/>
                <w:sz w:val="21"/>
              </w:rPr>
              <w:t>我们提供的保障</w:t>
            </w:r>
            <w:r>
              <w:rPr>
                <w:b/>
                <w:w w:val="99"/>
                <w:sz w:val="21"/>
              </w:rPr>
              <w:t> </w:t>
            </w:r>
          </w:p>
          <w:p>
            <w:pPr>
              <w:pStyle w:val="TableParagraph"/>
              <w:spacing w:before="21"/>
              <w:ind w:left="200"/>
              <w:rPr>
                <w:sz w:val="21"/>
              </w:rPr>
            </w:pPr>
            <w:r>
              <w:rPr>
                <w:w w:val="100"/>
                <w:sz w:val="21"/>
              </w:rPr>
              <w:t> </w:t>
            </w:r>
            <w:r>
              <w:rPr>
                <w:rFonts w:ascii="Times New Roman" w:eastAsia="Times New Roman"/>
                <w:sz w:val="21"/>
              </w:rPr>
              <w:t>2.1  </w:t>
            </w:r>
            <w:r>
              <w:rPr>
                <w:sz w:val="21"/>
              </w:rPr>
              <w:t>基本保险金额 </w:t>
            </w:r>
          </w:p>
          <w:p>
            <w:pPr>
              <w:pStyle w:val="TableParagraph"/>
              <w:spacing w:before="21"/>
              <w:ind w:left="200"/>
              <w:rPr>
                <w:sz w:val="21"/>
              </w:rPr>
            </w:pPr>
            <w:r>
              <w:rPr>
                <w:w w:val="100"/>
                <w:sz w:val="21"/>
              </w:rPr>
              <w:t> </w:t>
            </w:r>
            <w:r>
              <w:rPr>
                <w:rFonts w:ascii="Times New Roman" w:eastAsia="Times New Roman"/>
                <w:sz w:val="21"/>
              </w:rPr>
              <w:t>2.2  </w:t>
            </w:r>
            <w:r>
              <w:rPr>
                <w:sz w:val="21"/>
              </w:rPr>
              <w:t>保险期间 </w:t>
            </w:r>
          </w:p>
          <w:p>
            <w:pPr>
              <w:pStyle w:val="TableParagraph"/>
              <w:spacing w:before="21"/>
              <w:ind w:left="338" w:right="1970"/>
              <w:jc w:val="center"/>
              <w:rPr>
                <w:sz w:val="21"/>
              </w:rPr>
            </w:pPr>
            <w:r>
              <w:rPr>
                <w:rFonts w:ascii="Times New Roman" w:eastAsia="Times New Roman"/>
                <w:sz w:val="21"/>
              </w:rPr>
              <w:t>2.3  </w:t>
            </w:r>
            <w:r>
              <w:rPr>
                <w:sz w:val="21"/>
              </w:rPr>
              <w:t>保险责任 </w:t>
            </w:r>
          </w:p>
          <w:p>
            <w:pPr>
              <w:pStyle w:val="TableParagraph"/>
              <w:spacing w:before="21"/>
              <w:ind w:left="200"/>
              <w:rPr>
                <w:sz w:val="21"/>
              </w:rPr>
            </w:pPr>
            <w:r>
              <w:rPr>
                <w:w w:val="100"/>
                <w:sz w:val="21"/>
              </w:rPr>
              <w:t> </w:t>
            </w:r>
            <w:r>
              <w:rPr>
                <w:rFonts w:ascii="Times New Roman" w:eastAsia="Times New Roman"/>
                <w:sz w:val="21"/>
              </w:rPr>
              <w:t>2.4  </w:t>
            </w:r>
            <w:r>
              <w:rPr>
                <w:sz w:val="21"/>
              </w:rPr>
              <w:t>责任免除 </w:t>
            </w:r>
          </w:p>
          <w:p>
            <w:pPr>
              <w:pStyle w:val="TableParagraph"/>
              <w:spacing w:before="21"/>
              <w:ind w:left="305"/>
              <w:rPr>
                <w:sz w:val="21"/>
              </w:rPr>
            </w:pPr>
            <w:r>
              <w:rPr>
                <w:rFonts w:ascii="Times New Roman" w:eastAsia="Times New Roman"/>
                <w:sz w:val="21"/>
              </w:rPr>
              <w:t>2.5  </w:t>
            </w:r>
            <w:r>
              <w:rPr>
                <w:sz w:val="21"/>
              </w:rPr>
              <w:t>其他免责条款 </w:t>
            </w:r>
          </w:p>
          <w:p>
            <w:pPr>
              <w:pStyle w:val="TableParagraph"/>
              <w:spacing w:before="21"/>
              <w:ind w:left="200"/>
              <w:rPr>
                <w:sz w:val="21"/>
              </w:rPr>
            </w:pPr>
            <w:r>
              <w:rPr>
                <w:w w:val="100"/>
                <w:sz w:val="21"/>
              </w:rPr>
              <w:t> </w:t>
            </w:r>
          </w:p>
          <w:p>
            <w:pPr>
              <w:pStyle w:val="TableParagraph"/>
              <w:spacing w:before="36"/>
              <w:ind w:left="200"/>
              <w:rPr>
                <w:b/>
                <w:sz w:val="21"/>
              </w:rPr>
            </w:pPr>
            <w:r>
              <w:rPr>
                <w:rFonts w:ascii="Times New Roman" w:eastAsia="Times New Roman"/>
                <w:b/>
                <w:sz w:val="21"/>
              </w:rPr>
              <w:t>3.  </w:t>
            </w:r>
            <w:r>
              <w:rPr>
                <w:b/>
                <w:sz w:val="21"/>
              </w:rPr>
              <w:t>保险金的申请</w:t>
            </w:r>
            <w:r>
              <w:rPr>
                <w:b/>
                <w:w w:val="99"/>
                <w:sz w:val="21"/>
              </w:rPr>
              <w:t> </w:t>
            </w:r>
          </w:p>
          <w:p>
            <w:pPr>
              <w:pStyle w:val="TableParagraph"/>
              <w:spacing w:before="20"/>
              <w:ind w:left="200"/>
              <w:rPr>
                <w:sz w:val="21"/>
              </w:rPr>
            </w:pPr>
            <w:r>
              <w:rPr>
                <w:w w:val="100"/>
                <w:sz w:val="21"/>
              </w:rPr>
              <w:t> </w:t>
            </w:r>
            <w:r>
              <w:rPr>
                <w:rFonts w:ascii="Times New Roman" w:eastAsia="Times New Roman"/>
                <w:sz w:val="21"/>
              </w:rPr>
              <w:t>3.1  </w:t>
            </w:r>
            <w:r>
              <w:rPr>
                <w:sz w:val="21"/>
              </w:rPr>
              <w:t>受益人 </w:t>
            </w:r>
          </w:p>
          <w:p>
            <w:pPr>
              <w:pStyle w:val="TableParagraph"/>
              <w:numPr>
                <w:ilvl w:val="1"/>
                <w:numId w:val="1"/>
              </w:numPr>
              <w:tabs>
                <w:tab w:pos="571" w:val="left" w:leader="none"/>
              </w:tabs>
              <w:spacing w:line="240" w:lineRule="auto" w:before="20" w:after="0"/>
              <w:ind w:left="570" w:right="0" w:hanging="265"/>
              <w:jc w:val="left"/>
              <w:rPr>
                <w:sz w:val="21"/>
              </w:rPr>
            </w:pPr>
            <w:r>
              <w:rPr>
                <w:spacing w:val="-3"/>
                <w:sz w:val="21"/>
              </w:rPr>
              <w:t>保险事故通知</w:t>
            </w:r>
            <w:r>
              <w:rPr>
                <w:sz w:val="21"/>
              </w:rPr>
              <w:t> </w:t>
            </w:r>
          </w:p>
          <w:p>
            <w:pPr>
              <w:pStyle w:val="TableParagraph"/>
              <w:numPr>
                <w:ilvl w:val="1"/>
                <w:numId w:val="1"/>
              </w:numPr>
              <w:tabs>
                <w:tab w:pos="571" w:val="left" w:leader="none"/>
              </w:tabs>
              <w:spacing w:line="240" w:lineRule="auto" w:before="20" w:after="0"/>
              <w:ind w:left="570" w:right="0" w:hanging="265"/>
              <w:jc w:val="left"/>
              <w:rPr>
                <w:sz w:val="21"/>
              </w:rPr>
            </w:pPr>
            <w:r>
              <w:rPr>
                <w:spacing w:val="-3"/>
                <w:sz w:val="21"/>
              </w:rPr>
              <w:t>保险金申请 </w:t>
            </w:r>
          </w:p>
          <w:p>
            <w:pPr>
              <w:pStyle w:val="TableParagraph"/>
              <w:numPr>
                <w:ilvl w:val="1"/>
                <w:numId w:val="1"/>
              </w:numPr>
              <w:tabs>
                <w:tab w:pos="571" w:val="left" w:leader="none"/>
              </w:tabs>
              <w:spacing w:line="240" w:lineRule="auto" w:before="20" w:after="0"/>
              <w:ind w:left="570" w:right="0" w:hanging="265"/>
              <w:jc w:val="left"/>
              <w:rPr>
                <w:sz w:val="21"/>
              </w:rPr>
            </w:pPr>
            <w:r>
              <w:rPr>
                <w:spacing w:val="-3"/>
                <w:sz w:val="21"/>
              </w:rPr>
              <w:t>保险金给付 </w:t>
            </w:r>
          </w:p>
          <w:p>
            <w:pPr>
              <w:pStyle w:val="TableParagraph"/>
              <w:numPr>
                <w:ilvl w:val="1"/>
                <w:numId w:val="1"/>
              </w:numPr>
              <w:tabs>
                <w:tab w:pos="571" w:val="left" w:leader="none"/>
              </w:tabs>
              <w:spacing w:line="240" w:lineRule="auto" w:before="20" w:after="0"/>
              <w:ind w:left="570" w:right="1632" w:hanging="265"/>
              <w:jc w:val="left"/>
              <w:rPr>
                <w:sz w:val="21"/>
              </w:rPr>
            </w:pPr>
            <w:r>
              <w:rPr>
                <w:spacing w:val="-3"/>
                <w:sz w:val="21"/>
              </w:rPr>
              <w:t>诉讼时效</w:t>
            </w:r>
            <w:r>
              <w:rPr>
                <w:sz w:val="21"/>
              </w:rPr>
              <w:t> </w:t>
            </w:r>
          </w:p>
          <w:p>
            <w:pPr>
              <w:pStyle w:val="TableParagraph"/>
              <w:spacing w:before="20"/>
              <w:ind w:left="305"/>
              <w:rPr>
                <w:b/>
                <w:sz w:val="21"/>
              </w:rPr>
            </w:pPr>
            <w:r>
              <w:rPr>
                <w:b/>
                <w:w w:val="99"/>
                <w:sz w:val="21"/>
              </w:rPr>
              <w:t> </w:t>
            </w:r>
          </w:p>
          <w:p>
            <w:pPr>
              <w:pStyle w:val="TableParagraph"/>
              <w:spacing w:before="36"/>
              <w:ind w:left="200"/>
              <w:rPr>
                <w:b/>
                <w:sz w:val="21"/>
              </w:rPr>
            </w:pPr>
            <w:r>
              <w:rPr>
                <w:rFonts w:ascii="Times New Roman" w:eastAsia="Times New Roman"/>
                <w:b/>
                <w:sz w:val="21"/>
              </w:rPr>
              <w:t>4.  </w:t>
            </w:r>
            <w:r>
              <w:rPr>
                <w:b/>
                <w:sz w:val="21"/>
              </w:rPr>
              <w:t>保险费的交纳</w:t>
            </w:r>
            <w:r>
              <w:rPr>
                <w:b/>
                <w:w w:val="99"/>
                <w:sz w:val="21"/>
              </w:rPr>
              <w:t> </w:t>
            </w:r>
          </w:p>
          <w:p>
            <w:pPr>
              <w:pStyle w:val="TableParagraph"/>
              <w:spacing w:before="21"/>
              <w:ind w:left="200"/>
              <w:rPr>
                <w:sz w:val="21"/>
              </w:rPr>
            </w:pPr>
            <w:r>
              <w:rPr>
                <w:w w:val="100"/>
                <w:sz w:val="21"/>
              </w:rPr>
              <w:t> </w:t>
            </w:r>
            <w:r>
              <w:rPr>
                <w:rFonts w:ascii="Times New Roman" w:eastAsia="Times New Roman"/>
                <w:sz w:val="21"/>
              </w:rPr>
              <w:t>4.1  </w:t>
            </w:r>
            <w:r>
              <w:rPr>
                <w:sz w:val="21"/>
              </w:rPr>
              <w:t>保险费的交纳 </w:t>
            </w:r>
          </w:p>
          <w:p>
            <w:pPr>
              <w:pStyle w:val="TableParagraph"/>
              <w:spacing w:before="21"/>
              <w:ind w:left="200"/>
              <w:rPr>
                <w:sz w:val="21"/>
              </w:rPr>
            </w:pPr>
            <w:r>
              <w:rPr>
                <w:w w:val="100"/>
                <w:sz w:val="21"/>
              </w:rPr>
              <w:t> </w:t>
            </w:r>
            <w:r>
              <w:rPr>
                <w:rFonts w:ascii="Times New Roman" w:eastAsia="Times New Roman"/>
                <w:sz w:val="21"/>
              </w:rPr>
              <w:t>4.2  </w:t>
            </w:r>
            <w:r>
              <w:rPr>
                <w:sz w:val="21"/>
              </w:rPr>
              <w:t>宽限期 </w:t>
            </w:r>
          </w:p>
          <w:p>
            <w:pPr>
              <w:pStyle w:val="TableParagraph"/>
              <w:spacing w:line="271" w:lineRule="exact" w:before="21"/>
              <w:ind w:left="305"/>
              <w:rPr>
                <w:sz w:val="21"/>
              </w:rPr>
            </w:pPr>
            <w:r>
              <w:rPr>
                <w:w w:val="100"/>
                <w:sz w:val="21"/>
              </w:rPr>
              <w:t> </w:t>
            </w:r>
          </w:p>
        </w:tc>
        <w:tc>
          <w:tcPr>
            <w:tcW w:w="4164" w:type="dxa"/>
          </w:tcPr>
          <w:p>
            <w:pPr>
              <w:pStyle w:val="TableParagraph"/>
              <w:spacing w:line="234" w:lineRule="exact"/>
              <w:ind w:left="668"/>
              <w:rPr>
                <w:b/>
                <w:sz w:val="21"/>
              </w:rPr>
            </w:pPr>
            <w:r>
              <w:rPr>
                <w:rFonts w:ascii="Times New Roman" w:eastAsia="Times New Roman"/>
                <w:b/>
                <w:sz w:val="21"/>
              </w:rPr>
              <w:t>5.  </w:t>
            </w:r>
            <w:r>
              <w:rPr>
                <w:b/>
                <w:sz w:val="21"/>
              </w:rPr>
              <w:t>合同效力的中止及恢复</w:t>
            </w:r>
            <w:r>
              <w:rPr>
                <w:b/>
                <w:w w:val="99"/>
                <w:sz w:val="21"/>
              </w:rPr>
              <w:t> </w:t>
            </w:r>
          </w:p>
          <w:p>
            <w:pPr>
              <w:pStyle w:val="TableParagraph"/>
              <w:spacing w:before="21"/>
              <w:ind w:left="668"/>
              <w:rPr>
                <w:sz w:val="21"/>
              </w:rPr>
            </w:pPr>
            <w:r>
              <w:rPr>
                <w:w w:val="100"/>
                <w:sz w:val="21"/>
              </w:rPr>
              <w:t> </w:t>
            </w:r>
            <w:r>
              <w:rPr>
                <w:rFonts w:ascii="Times New Roman" w:eastAsia="Times New Roman"/>
                <w:sz w:val="21"/>
              </w:rPr>
              <w:t>5.1  </w:t>
            </w:r>
            <w:r>
              <w:rPr>
                <w:sz w:val="21"/>
              </w:rPr>
              <w:t>效力中止 </w:t>
            </w:r>
          </w:p>
          <w:p>
            <w:pPr>
              <w:pStyle w:val="TableParagraph"/>
              <w:spacing w:before="21"/>
              <w:ind w:left="668"/>
              <w:rPr>
                <w:sz w:val="21"/>
              </w:rPr>
            </w:pPr>
            <w:r>
              <w:rPr>
                <w:w w:val="100"/>
                <w:sz w:val="21"/>
              </w:rPr>
              <w:t> </w:t>
            </w:r>
            <w:r>
              <w:rPr>
                <w:rFonts w:ascii="Times New Roman" w:eastAsia="Times New Roman"/>
                <w:sz w:val="21"/>
              </w:rPr>
              <w:t>5.2  </w:t>
            </w:r>
            <w:r>
              <w:rPr>
                <w:sz w:val="21"/>
              </w:rPr>
              <w:t>效力恢复 </w:t>
            </w:r>
          </w:p>
          <w:p>
            <w:pPr>
              <w:pStyle w:val="TableParagraph"/>
              <w:spacing w:before="21"/>
              <w:ind w:left="668"/>
              <w:rPr>
                <w:sz w:val="21"/>
              </w:rPr>
            </w:pPr>
            <w:r>
              <w:rPr>
                <w:w w:val="100"/>
                <w:sz w:val="21"/>
              </w:rPr>
              <w:t> </w:t>
            </w:r>
          </w:p>
          <w:p>
            <w:pPr>
              <w:pStyle w:val="TableParagraph"/>
              <w:spacing w:before="37"/>
              <w:ind w:left="668"/>
              <w:rPr>
                <w:b/>
                <w:sz w:val="21"/>
              </w:rPr>
            </w:pPr>
            <w:r>
              <w:rPr>
                <w:rFonts w:ascii="Times New Roman" w:eastAsia="Times New Roman"/>
                <w:b/>
                <w:sz w:val="21"/>
              </w:rPr>
              <w:t>6.  </w:t>
            </w:r>
            <w:r>
              <w:rPr>
                <w:b/>
                <w:sz w:val="21"/>
              </w:rPr>
              <w:t>合同解除</w:t>
            </w:r>
            <w:r>
              <w:rPr>
                <w:b/>
                <w:w w:val="99"/>
                <w:sz w:val="21"/>
              </w:rPr>
              <w:t> </w:t>
            </w:r>
          </w:p>
          <w:p>
            <w:pPr>
              <w:pStyle w:val="TableParagraph"/>
              <w:spacing w:before="21"/>
              <w:ind w:left="760"/>
              <w:rPr>
                <w:sz w:val="21"/>
              </w:rPr>
            </w:pPr>
            <w:r>
              <w:rPr>
                <w:rFonts w:ascii="Times New Roman" w:eastAsia="Times New Roman"/>
                <w:sz w:val="21"/>
              </w:rPr>
              <w:t>6.1  </w:t>
            </w:r>
            <w:r>
              <w:rPr>
                <w:sz w:val="21"/>
              </w:rPr>
              <w:t>投保人解除合同的手续及风险 </w:t>
            </w:r>
          </w:p>
          <w:p>
            <w:pPr>
              <w:pStyle w:val="TableParagraph"/>
              <w:spacing w:before="21"/>
              <w:ind w:left="760"/>
              <w:rPr>
                <w:sz w:val="21"/>
              </w:rPr>
            </w:pPr>
            <w:r>
              <w:rPr>
                <w:w w:val="100"/>
                <w:sz w:val="21"/>
              </w:rPr>
              <w:t> </w:t>
            </w:r>
          </w:p>
          <w:p>
            <w:pPr>
              <w:pStyle w:val="TableParagraph"/>
              <w:numPr>
                <w:ilvl w:val="0"/>
                <w:numId w:val="2"/>
              </w:numPr>
              <w:tabs>
                <w:tab w:pos="931" w:val="left" w:leader="none"/>
              </w:tabs>
              <w:spacing w:line="240" w:lineRule="auto" w:before="37" w:after="0"/>
              <w:ind w:left="930" w:right="0" w:hanging="262"/>
              <w:jc w:val="left"/>
              <w:rPr>
                <w:b/>
                <w:sz w:val="21"/>
              </w:rPr>
            </w:pPr>
            <w:r>
              <w:rPr>
                <w:b/>
                <w:sz w:val="21"/>
              </w:rPr>
              <w:t>如实告知</w:t>
            </w:r>
            <w:r>
              <w:rPr>
                <w:b/>
                <w:w w:val="99"/>
                <w:sz w:val="21"/>
              </w:rPr>
              <w:t> </w:t>
            </w:r>
          </w:p>
          <w:p>
            <w:pPr>
              <w:pStyle w:val="TableParagraph"/>
              <w:numPr>
                <w:ilvl w:val="1"/>
                <w:numId w:val="2"/>
              </w:numPr>
              <w:tabs>
                <w:tab w:pos="1040" w:val="left" w:leader="none"/>
              </w:tabs>
              <w:spacing w:line="240" w:lineRule="auto" w:before="21" w:after="0"/>
              <w:ind w:left="1039" w:right="0" w:hanging="265"/>
              <w:jc w:val="left"/>
              <w:rPr>
                <w:sz w:val="21"/>
              </w:rPr>
            </w:pPr>
            <w:r>
              <w:rPr>
                <w:spacing w:val="-3"/>
                <w:sz w:val="21"/>
              </w:rPr>
              <w:t>明确说明与如实告知</w:t>
            </w:r>
            <w:r>
              <w:rPr>
                <w:sz w:val="21"/>
              </w:rPr>
              <w:t> </w:t>
            </w:r>
          </w:p>
          <w:p>
            <w:pPr>
              <w:pStyle w:val="TableParagraph"/>
              <w:numPr>
                <w:ilvl w:val="1"/>
                <w:numId w:val="2"/>
              </w:numPr>
              <w:tabs>
                <w:tab w:pos="1040" w:val="left" w:leader="none"/>
              </w:tabs>
              <w:spacing w:line="240" w:lineRule="auto" w:before="21" w:after="0"/>
              <w:ind w:left="1039" w:right="0" w:hanging="265"/>
              <w:jc w:val="left"/>
              <w:rPr>
                <w:sz w:val="21"/>
              </w:rPr>
            </w:pPr>
            <w:r>
              <w:rPr>
                <w:spacing w:val="-3"/>
                <w:sz w:val="21"/>
              </w:rPr>
              <w:t>本公司合同解除权的限制</w:t>
            </w:r>
            <w:r>
              <w:rPr>
                <w:sz w:val="21"/>
              </w:rPr>
              <w:t> </w:t>
            </w:r>
          </w:p>
          <w:p>
            <w:pPr>
              <w:pStyle w:val="TableParagraph"/>
              <w:spacing w:before="21"/>
              <w:ind w:left="774"/>
              <w:rPr>
                <w:sz w:val="21"/>
              </w:rPr>
            </w:pPr>
            <w:r>
              <w:rPr>
                <w:w w:val="100"/>
                <w:sz w:val="21"/>
              </w:rPr>
              <w:t> </w:t>
            </w:r>
          </w:p>
          <w:p>
            <w:pPr>
              <w:pStyle w:val="TableParagraph"/>
              <w:numPr>
                <w:ilvl w:val="0"/>
                <w:numId w:val="2"/>
              </w:numPr>
              <w:tabs>
                <w:tab w:pos="931" w:val="left" w:leader="none"/>
              </w:tabs>
              <w:spacing w:line="240" w:lineRule="auto" w:before="36" w:after="0"/>
              <w:ind w:left="930" w:right="0" w:hanging="262"/>
              <w:jc w:val="left"/>
              <w:rPr>
                <w:b/>
                <w:sz w:val="21"/>
              </w:rPr>
            </w:pPr>
            <w:r>
              <w:rPr>
                <w:b/>
                <w:spacing w:val="-1"/>
                <w:sz w:val="21"/>
              </w:rPr>
              <w:t>其他需要关注的事项</w:t>
            </w:r>
            <w:r>
              <w:rPr>
                <w:b/>
                <w:spacing w:val="-1"/>
                <w:w w:val="99"/>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3"/>
                <w:sz w:val="21"/>
              </w:rPr>
              <w:t>年龄错误</w:t>
            </w:r>
            <w:r>
              <w:rPr>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3"/>
                <w:sz w:val="21"/>
              </w:rPr>
              <w:t>被保险人变动</w:t>
            </w:r>
            <w:r>
              <w:rPr>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3"/>
                <w:sz w:val="21"/>
              </w:rPr>
              <w:t>转账规定</w:t>
            </w:r>
            <w:r>
              <w:rPr>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3"/>
                <w:sz w:val="21"/>
              </w:rPr>
              <w:t>合同内容变更</w:t>
            </w:r>
            <w:r>
              <w:rPr>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3"/>
                <w:sz w:val="21"/>
              </w:rPr>
              <w:t>通讯方式变更的通知 </w:t>
            </w:r>
          </w:p>
          <w:p>
            <w:pPr>
              <w:pStyle w:val="TableParagraph"/>
              <w:numPr>
                <w:ilvl w:val="1"/>
                <w:numId w:val="2"/>
              </w:numPr>
              <w:tabs>
                <w:tab w:pos="1144" w:val="left" w:leader="none"/>
              </w:tabs>
              <w:spacing w:line="240" w:lineRule="auto" w:before="20" w:after="0"/>
              <w:ind w:left="1144" w:right="0" w:hanging="370"/>
              <w:jc w:val="left"/>
              <w:rPr>
                <w:sz w:val="21"/>
              </w:rPr>
            </w:pPr>
            <w:r>
              <w:rPr>
                <w:spacing w:val="-3"/>
                <w:sz w:val="21"/>
              </w:rPr>
              <w:t>争议处理</w:t>
            </w:r>
            <w:r>
              <w:rPr>
                <w:sz w:val="21"/>
              </w:rPr>
              <w:t> </w:t>
            </w:r>
          </w:p>
          <w:p>
            <w:pPr>
              <w:pStyle w:val="TableParagraph"/>
              <w:numPr>
                <w:ilvl w:val="1"/>
                <w:numId w:val="2"/>
              </w:numPr>
              <w:tabs>
                <w:tab w:pos="1144" w:val="left" w:leader="none"/>
              </w:tabs>
              <w:spacing w:line="240" w:lineRule="auto" w:before="20" w:after="0"/>
              <w:ind w:left="1144" w:right="0" w:hanging="370"/>
              <w:jc w:val="left"/>
              <w:rPr>
                <w:sz w:val="21"/>
              </w:rPr>
            </w:pPr>
            <w:r>
              <w:rPr>
                <w:spacing w:val="-3"/>
                <w:sz w:val="21"/>
              </w:rPr>
              <w:t>身体检查与司法鉴定</w:t>
            </w:r>
            <w:r>
              <w:rPr>
                <w:sz w:val="21"/>
              </w:rPr>
              <w:t> </w:t>
            </w:r>
          </w:p>
          <w:p>
            <w:pPr>
              <w:pStyle w:val="TableParagraph"/>
              <w:spacing w:before="20"/>
              <w:ind w:left="774"/>
              <w:rPr>
                <w:sz w:val="21"/>
              </w:rPr>
            </w:pPr>
            <w:r>
              <w:rPr>
                <w:w w:val="100"/>
                <w:sz w:val="21"/>
              </w:rPr>
              <w:t> </w:t>
            </w:r>
          </w:p>
          <w:p>
            <w:pPr>
              <w:pStyle w:val="TableParagraph"/>
              <w:spacing w:before="36"/>
              <w:ind w:left="668"/>
              <w:rPr>
                <w:b/>
                <w:sz w:val="21"/>
              </w:rPr>
            </w:pPr>
            <w:r>
              <w:rPr>
                <w:rFonts w:ascii="Times New Roman" w:eastAsia="Times New Roman"/>
                <w:b/>
                <w:sz w:val="21"/>
              </w:rPr>
              <w:t>9.  </w:t>
            </w:r>
            <w:r>
              <w:rPr>
                <w:b/>
                <w:sz w:val="21"/>
              </w:rPr>
              <w:t>疾病定义</w:t>
            </w:r>
            <w:r>
              <w:rPr>
                <w:b/>
                <w:w w:val="99"/>
                <w:sz w:val="21"/>
              </w:rPr>
              <w:t> </w:t>
            </w:r>
          </w:p>
          <w:p>
            <w:pPr>
              <w:pStyle w:val="TableParagraph"/>
              <w:spacing w:before="21"/>
              <w:ind w:left="774"/>
              <w:rPr>
                <w:sz w:val="21"/>
              </w:rPr>
            </w:pPr>
            <w:r>
              <w:rPr>
                <w:rFonts w:ascii="Times New Roman" w:eastAsia="Times New Roman"/>
                <w:sz w:val="21"/>
              </w:rPr>
              <w:t>9.1  </w:t>
            </w:r>
            <w:r>
              <w:rPr>
                <w:sz w:val="21"/>
              </w:rPr>
              <w:t>重大疾病</w:t>
            </w:r>
          </w:p>
          <w:p>
            <w:pPr>
              <w:pStyle w:val="TableParagraph"/>
              <w:spacing w:before="5"/>
              <w:rPr>
                <w:rFonts w:ascii="微软雅黑"/>
                <w:b/>
                <w:sz w:val="19"/>
              </w:rPr>
            </w:pPr>
          </w:p>
          <w:p>
            <w:pPr>
              <w:pStyle w:val="TableParagraph"/>
              <w:spacing w:line="271" w:lineRule="exact"/>
              <w:ind w:left="668"/>
              <w:rPr>
                <w:b/>
                <w:sz w:val="21"/>
              </w:rPr>
            </w:pPr>
            <w:r>
              <w:rPr>
                <w:rFonts w:ascii="Times New Roman" w:eastAsia="Times New Roman"/>
                <w:b/>
                <w:sz w:val="21"/>
              </w:rPr>
              <w:t>10. </w:t>
            </w:r>
            <w:r>
              <w:rPr>
                <w:b/>
                <w:sz w:val="21"/>
              </w:rPr>
              <w:t>释义</w:t>
            </w:r>
            <w:r>
              <w:rPr>
                <w:b/>
                <w:w w:val="99"/>
                <w:sz w:val="21"/>
              </w:rPr>
              <w:t> </w:t>
            </w:r>
          </w:p>
        </w:tc>
      </w:tr>
    </w:tbl>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spacing w:before="14"/>
        <w:ind w:left="0"/>
        <w:rPr>
          <w:rFonts w:ascii="微软雅黑"/>
          <w:b/>
        </w:rPr>
      </w:pPr>
    </w:p>
    <w:p>
      <w:pPr>
        <w:spacing w:line="273" w:lineRule="auto" w:before="36"/>
        <w:ind w:left="300" w:right="228" w:firstLine="2"/>
        <w:jc w:val="left"/>
        <w:rPr>
          <w:b/>
          <w:sz w:val="21"/>
        </w:rPr>
      </w:pPr>
      <w:r>
        <w:rPr>
          <w:b/>
          <w:sz w:val="21"/>
        </w:rPr>
        <w:t>以上阅读指引和条款目录仅供辅助理解使用，不构成保险合同的组成部分，对本合同内容的解释以条款为准。</w:t>
      </w:r>
      <w:r>
        <w:rPr>
          <w:b/>
          <w:w w:val="99"/>
          <w:sz w:val="21"/>
        </w:rPr>
        <w:t> </w:t>
      </w:r>
    </w:p>
    <w:p>
      <w:pPr>
        <w:spacing w:after="0" w:line="273" w:lineRule="auto"/>
        <w:jc w:val="left"/>
        <w:rPr>
          <w:sz w:val="21"/>
        </w:rPr>
        <w:sectPr>
          <w:pgSz w:w="11910" w:h="16840"/>
          <w:pgMar w:header="0" w:footer="924" w:top="1160" w:bottom="1200" w:left="1680" w:right="1680"/>
        </w:sectPr>
      </w:pPr>
    </w:p>
    <w:p>
      <w:pPr>
        <w:spacing w:line="477" w:lineRule="exact" w:before="0"/>
        <w:ind w:left="2697"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1"/>
        <w:ind w:left="3017" w:right="0" w:firstLine="0"/>
        <w:jc w:val="left"/>
        <w:rPr>
          <w:rFonts w:ascii="微软雅黑" w:eastAsia="微软雅黑" w:hint="eastAsia"/>
          <w:b/>
          <w:sz w:val="32"/>
        </w:rPr>
      </w:pPr>
      <w:r>
        <w:rPr>
          <w:rFonts w:ascii="微软雅黑" w:eastAsia="微软雅黑" w:hint="eastAsia"/>
          <w:b/>
          <w:sz w:val="32"/>
        </w:rPr>
        <w:t>中华团体重大疾病保险条款</w:t>
      </w:r>
    </w:p>
    <w:p>
      <w:pPr>
        <w:pStyle w:val="BodyText"/>
        <w:spacing w:before="13"/>
        <w:ind w:left="0"/>
        <w:rPr>
          <w:rFonts w:ascii="微软雅黑"/>
          <w:b/>
          <w:sz w:val="28"/>
        </w:rPr>
      </w:pPr>
    </w:p>
    <w:p>
      <w:pPr>
        <w:pStyle w:val="BodyText"/>
        <w:spacing w:line="273" w:lineRule="auto"/>
        <w:ind w:left="213" w:right="213"/>
      </w:pPr>
      <w:r>
        <w:rPr>
          <w:spacing w:val="-15"/>
        </w:rPr>
        <w:t>在本条款中，“我们”、“本公司”均指在保险单上签章的中华联合人寿保险股份有限公司。“本合同” </w:t>
      </w:r>
      <w:r>
        <w:rPr>
          <w:spacing w:val="-6"/>
        </w:rPr>
        <w:t>指投保人与我们之间订立的“中华团体重大疾病保险合同”， “被保险人”指本合同的被保险人。</w:t>
      </w:r>
    </w:p>
    <w:p>
      <w:pPr>
        <w:pStyle w:val="BodyText"/>
        <w:spacing w:before="87"/>
        <w:ind w:left="213"/>
      </w:pPr>
      <w:r>
        <w:rPr>
          <w:color w:val="FF0000"/>
          <w:w w:val="100"/>
        </w:rPr>
        <w:t> </w:t>
      </w:r>
    </w:p>
    <w:p>
      <w:pPr>
        <w:pStyle w:val="BodyText"/>
        <w:spacing w:before="10" w:after="1"/>
        <w:ind w:left="0"/>
        <w:rPr>
          <w:sz w:val="9"/>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54"/>
        <w:gridCol w:w="7328"/>
      </w:tblGrid>
      <w:tr>
        <w:trPr>
          <w:trHeight w:val="487" w:hRule="atLeast"/>
        </w:trPr>
        <w:tc>
          <w:tcPr>
            <w:tcW w:w="687" w:type="dxa"/>
            <w:tcBorders>
              <w:bottom w:val="single" w:sz="8" w:space="0" w:color="000000"/>
            </w:tcBorders>
          </w:tcPr>
          <w:p>
            <w:pPr>
              <w:pStyle w:val="TableParagraph"/>
              <w:spacing w:line="266" w:lineRule="exact"/>
              <w:ind w:left="108"/>
              <w:rPr>
                <w:b/>
                <w:sz w:val="24"/>
              </w:rPr>
            </w:pPr>
            <w:r>
              <w:rPr>
                <w:rFonts w:ascii="Times New Roman"/>
                <w:b/>
                <w:sz w:val="24"/>
              </w:rPr>
              <w:t>1.</w:t>
            </w:r>
            <w:r>
              <w:rPr>
                <w:b/>
                <w:w w:val="99"/>
                <w:sz w:val="24"/>
              </w:rPr>
              <w:t> </w:t>
            </w:r>
          </w:p>
        </w:tc>
        <w:tc>
          <w:tcPr>
            <w:tcW w:w="8982" w:type="dxa"/>
            <w:gridSpan w:val="2"/>
            <w:tcBorders>
              <w:bottom w:val="single" w:sz="8" w:space="0" w:color="000000"/>
            </w:tcBorders>
          </w:tcPr>
          <w:p>
            <w:pPr>
              <w:pStyle w:val="TableParagraph"/>
              <w:spacing w:line="243" w:lineRule="exact"/>
              <w:ind w:left="211"/>
              <w:rPr>
                <w:b/>
                <w:sz w:val="24"/>
              </w:rPr>
            </w:pPr>
            <w:r>
              <w:rPr>
                <w:b/>
                <w:w w:val="95"/>
                <w:sz w:val="24"/>
              </w:rPr>
              <w:t>投保人与我们订立的合同</w:t>
            </w:r>
            <w:r>
              <w:rPr>
                <w:b/>
                <w:w w:val="99"/>
                <w:sz w:val="24"/>
              </w:rPr>
              <w:t> </w:t>
            </w:r>
          </w:p>
        </w:tc>
      </w:tr>
      <w:tr>
        <w:trPr>
          <w:trHeight w:val="1881" w:hRule="atLeast"/>
        </w:trPr>
        <w:tc>
          <w:tcPr>
            <w:tcW w:w="687" w:type="dxa"/>
            <w:tcBorders>
              <w:top w:val="single" w:sz="8" w:space="0" w:color="000000"/>
            </w:tcBorders>
          </w:tcPr>
          <w:p>
            <w:pPr>
              <w:pStyle w:val="TableParagraph"/>
              <w:spacing w:before="187"/>
              <w:ind w:left="108"/>
              <w:rPr>
                <w:b/>
                <w:sz w:val="21"/>
              </w:rPr>
            </w:pPr>
            <w:r>
              <w:rPr>
                <w:rFonts w:ascii="Times New Roman"/>
                <w:b/>
                <w:sz w:val="21"/>
              </w:rPr>
              <w:t>1.1</w:t>
            </w:r>
            <w:r>
              <w:rPr>
                <w:b/>
                <w:w w:val="99"/>
                <w:sz w:val="21"/>
              </w:rPr>
              <w:t> </w:t>
            </w:r>
          </w:p>
        </w:tc>
        <w:tc>
          <w:tcPr>
            <w:tcW w:w="1654" w:type="dxa"/>
            <w:tcBorders>
              <w:top w:val="single" w:sz="8" w:space="0" w:color="000000"/>
            </w:tcBorders>
          </w:tcPr>
          <w:p>
            <w:pPr>
              <w:pStyle w:val="TableParagraph"/>
              <w:spacing w:before="138"/>
              <w:ind w:left="211"/>
              <w:rPr>
                <w:b/>
                <w:sz w:val="21"/>
              </w:rPr>
            </w:pPr>
            <w:r>
              <w:rPr>
                <w:b/>
                <w:sz w:val="21"/>
              </w:rPr>
              <w:t>合同构成</w:t>
            </w:r>
            <w:r>
              <w:rPr>
                <w:b/>
                <w:w w:val="99"/>
                <w:sz w:val="21"/>
              </w:rPr>
              <w:t> </w:t>
            </w:r>
          </w:p>
        </w:tc>
        <w:tc>
          <w:tcPr>
            <w:tcW w:w="7328" w:type="dxa"/>
            <w:tcBorders>
              <w:top w:val="single" w:sz="8" w:space="0" w:color="000000"/>
            </w:tcBorders>
          </w:tcPr>
          <w:p>
            <w:pPr>
              <w:pStyle w:val="TableParagraph"/>
              <w:spacing w:line="266" w:lineRule="auto" w:before="138"/>
              <w:ind w:left="71" w:right="-15"/>
              <w:rPr>
                <w:sz w:val="21"/>
              </w:rPr>
            </w:pPr>
            <w:r>
              <w:rPr>
                <w:spacing w:val="-3"/>
                <w:sz w:val="21"/>
              </w:rPr>
              <w:t>本合同是投保人与我们约定保险权利义务关系的协议，包括本保险条款、保险单或其他有效的保险凭证、投保单、与保险合同有关的投保文件、合法有效的</w:t>
            </w:r>
            <w:r>
              <w:rPr>
                <w:spacing w:val="-10"/>
                <w:sz w:val="21"/>
              </w:rPr>
              <w:t>声明、批注、批单及其他约定投保人和我们之间权利义务关系的</w:t>
            </w:r>
            <w:r>
              <w:rPr>
                <w:b/>
                <w:spacing w:val="-17"/>
                <w:sz w:val="21"/>
              </w:rPr>
              <w:t>书面</w:t>
            </w:r>
            <w:r>
              <w:rPr>
                <w:spacing w:val="-3"/>
                <w:sz w:val="21"/>
              </w:rPr>
              <w:t>（</w:t>
            </w:r>
            <w:r>
              <w:rPr>
                <w:spacing w:val="-16"/>
                <w:sz w:val="21"/>
              </w:rPr>
              <w:t>见 </w:t>
            </w:r>
            <w:r>
              <w:rPr>
                <w:rFonts w:ascii="Times New Roman" w:eastAsia="Times New Roman"/>
                <w:sz w:val="21"/>
              </w:rPr>
              <w:t>10.1</w:t>
            </w:r>
            <w:r>
              <w:rPr>
                <w:sz w:val="21"/>
              </w:rPr>
              <w:t>） </w:t>
            </w:r>
            <w:r>
              <w:rPr>
                <w:spacing w:val="-1"/>
                <w:sz w:val="21"/>
              </w:rPr>
              <w:t>文件。</w:t>
            </w:r>
            <w:r>
              <w:rPr>
                <w:sz w:val="21"/>
              </w:rPr>
              <w:t> </w:t>
            </w:r>
          </w:p>
          <w:p>
            <w:pPr>
              <w:pStyle w:val="TableParagraph"/>
              <w:spacing w:before="105"/>
              <w:ind w:left="71"/>
              <w:rPr>
                <w:sz w:val="21"/>
              </w:rPr>
            </w:pPr>
            <w:r>
              <w:rPr>
                <w:sz w:val="21"/>
              </w:rPr>
              <w:t>阅读指引和条款目录仅供辅助理解使用，不构成保险合同的组成部分。 </w:t>
            </w:r>
          </w:p>
        </w:tc>
      </w:tr>
      <w:tr>
        <w:trPr>
          <w:trHeight w:val="316" w:hRule="atLeast"/>
        </w:trPr>
        <w:tc>
          <w:tcPr>
            <w:tcW w:w="687" w:type="dxa"/>
          </w:tcPr>
          <w:p>
            <w:pPr>
              <w:pStyle w:val="TableParagraph"/>
              <w:spacing w:line="232" w:lineRule="exact" w:before="64"/>
              <w:ind w:left="108"/>
              <w:rPr>
                <w:sz w:val="21"/>
              </w:rPr>
            </w:pPr>
            <w:r>
              <w:rPr>
                <w:color w:val="FF0000"/>
                <w:w w:val="100"/>
                <w:sz w:val="21"/>
              </w:rPr>
              <w:t> </w:t>
            </w:r>
          </w:p>
        </w:tc>
        <w:tc>
          <w:tcPr>
            <w:tcW w:w="1654" w:type="dxa"/>
          </w:tcPr>
          <w:p>
            <w:pPr>
              <w:pStyle w:val="TableParagraph"/>
              <w:spacing w:line="232" w:lineRule="exact" w:before="64"/>
              <w:ind w:left="211"/>
              <w:rPr>
                <w:sz w:val="21"/>
              </w:rPr>
            </w:pPr>
            <w:r>
              <w:rPr>
                <w:color w:val="FF0000"/>
                <w:w w:val="100"/>
                <w:sz w:val="21"/>
              </w:rPr>
              <w:t> </w:t>
            </w:r>
          </w:p>
        </w:tc>
        <w:tc>
          <w:tcPr>
            <w:tcW w:w="7328" w:type="dxa"/>
          </w:tcPr>
          <w:p>
            <w:pPr>
              <w:pStyle w:val="TableParagraph"/>
              <w:spacing w:line="232" w:lineRule="exact" w:before="64"/>
              <w:ind w:left="71"/>
              <w:rPr>
                <w:sz w:val="21"/>
              </w:rPr>
            </w:pPr>
            <w:r>
              <w:rPr>
                <w:color w:val="FF0000"/>
                <w:w w:val="100"/>
                <w:sz w:val="21"/>
              </w:rPr>
              <w:t> </w:t>
            </w:r>
          </w:p>
        </w:tc>
      </w:tr>
      <w:tr>
        <w:trPr>
          <w:trHeight w:val="1351" w:hRule="atLeast"/>
        </w:trPr>
        <w:tc>
          <w:tcPr>
            <w:tcW w:w="687" w:type="dxa"/>
          </w:tcPr>
          <w:p>
            <w:pPr>
              <w:pStyle w:val="TableParagraph"/>
              <w:spacing w:line="209" w:lineRule="exact"/>
              <w:ind w:left="108"/>
              <w:rPr>
                <w:b/>
                <w:sz w:val="21"/>
              </w:rPr>
            </w:pPr>
            <w:r>
              <w:rPr>
                <w:rFonts w:ascii="Times New Roman"/>
                <w:b/>
                <w:sz w:val="21"/>
              </w:rPr>
              <w:t>1.2</w:t>
            </w:r>
            <w:r>
              <w:rPr>
                <w:b/>
                <w:w w:val="99"/>
                <w:sz w:val="21"/>
              </w:rPr>
              <w:t> </w:t>
            </w:r>
          </w:p>
        </w:tc>
        <w:tc>
          <w:tcPr>
            <w:tcW w:w="1654" w:type="dxa"/>
          </w:tcPr>
          <w:p>
            <w:pPr>
              <w:pStyle w:val="TableParagraph"/>
              <w:spacing w:line="193" w:lineRule="exact"/>
              <w:ind w:left="211"/>
              <w:rPr>
                <w:b/>
                <w:sz w:val="21"/>
              </w:rPr>
            </w:pPr>
            <w:r>
              <w:rPr>
                <w:b/>
                <w:sz w:val="21"/>
              </w:rPr>
              <w:t>合同成立及生</w:t>
            </w:r>
          </w:p>
          <w:p>
            <w:pPr>
              <w:pStyle w:val="TableParagraph"/>
              <w:spacing w:before="37"/>
              <w:ind w:left="211"/>
              <w:rPr>
                <w:b/>
                <w:sz w:val="21"/>
              </w:rPr>
            </w:pPr>
            <w:r>
              <w:rPr>
                <w:b/>
                <w:sz w:val="21"/>
              </w:rPr>
              <w:t>效</w:t>
            </w:r>
            <w:r>
              <w:rPr>
                <w:b/>
                <w:w w:val="99"/>
                <w:sz w:val="21"/>
              </w:rPr>
              <w:t> </w:t>
            </w:r>
          </w:p>
        </w:tc>
        <w:tc>
          <w:tcPr>
            <w:tcW w:w="7328" w:type="dxa"/>
          </w:tcPr>
          <w:p>
            <w:pPr>
              <w:pStyle w:val="TableParagraph"/>
              <w:spacing w:line="193" w:lineRule="exact"/>
              <w:ind w:left="71"/>
              <w:rPr>
                <w:sz w:val="21"/>
              </w:rPr>
            </w:pPr>
            <w:r>
              <w:rPr>
                <w:sz w:val="21"/>
              </w:rPr>
              <w:t>投保人向我们提出保险申请，我们同意承保，本合同成立。 </w:t>
            </w:r>
          </w:p>
          <w:p>
            <w:pPr>
              <w:pStyle w:val="TableParagraph"/>
              <w:spacing w:line="273" w:lineRule="auto" w:before="130"/>
              <w:ind w:left="71" w:right="108"/>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 </w:t>
            </w:r>
          </w:p>
        </w:tc>
      </w:tr>
      <w:tr>
        <w:trPr>
          <w:trHeight w:val="316" w:hRule="atLeast"/>
        </w:trPr>
        <w:tc>
          <w:tcPr>
            <w:tcW w:w="687" w:type="dxa"/>
          </w:tcPr>
          <w:p>
            <w:pPr>
              <w:pStyle w:val="TableParagraph"/>
              <w:spacing w:line="232" w:lineRule="exact" w:before="64"/>
              <w:ind w:left="108"/>
              <w:rPr>
                <w:sz w:val="21"/>
              </w:rPr>
            </w:pPr>
            <w:r>
              <w:rPr>
                <w:color w:val="FF0000"/>
                <w:w w:val="100"/>
                <w:sz w:val="21"/>
              </w:rPr>
              <w:t> </w:t>
            </w:r>
          </w:p>
        </w:tc>
        <w:tc>
          <w:tcPr>
            <w:tcW w:w="1654" w:type="dxa"/>
          </w:tcPr>
          <w:p>
            <w:pPr>
              <w:pStyle w:val="TableParagraph"/>
              <w:spacing w:line="232" w:lineRule="exact" w:before="64"/>
              <w:ind w:left="211"/>
              <w:rPr>
                <w:sz w:val="21"/>
              </w:rPr>
            </w:pPr>
            <w:r>
              <w:rPr>
                <w:color w:val="FF0000"/>
                <w:w w:val="100"/>
                <w:sz w:val="21"/>
              </w:rPr>
              <w:t> </w:t>
            </w:r>
          </w:p>
        </w:tc>
        <w:tc>
          <w:tcPr>
            <w:tcW w:w="7328" w:type="dxa"/>
          </w:tcPr>
          <w:p>
            <w:pPr>
              <w:pStyle w:val="TableParagraph"/>
              <w:spacing w:line="232" w:lineRule="exact" w:before="64"/>
              <w:ind w:left="71"/>
              <w:rPr>
                <w:sz w:val="21"/>
              </w:rPr>
            </w:pPr>
            <w:r>
              <w:rPr>
                <w:color w:val="FF0000"/>
                <w:w w:val="100"/>
                <w:sz w:val="21"/>
              </w:rPr>
              <w:t> </w:t>
            </w:r>
          </w:p>
        </w:tc>
      </w:tr>
      <w:tr>
        <w:trPr>
          <w:trHeight w:val="1690" w:hRule="atLeast"/>
        </w:trPr>
        <w:tc>
          <w:tcPr>
            <w:tcW w:w="687" w:type="dxa"/>
          </w:tcPr>
          <w:p>
            <w:pPr>
              <w:pStyle w:val="TableParagraph"/>
              <w:spacing w:line="209" w:lineRule="exact"/>
              <w:ind w:left="108"/>
              <w:rPr>
                <w:b/>
                <w:sz w:val="21"/>
              </w:rPr>
            </w:pPr>
            <w:r>
              <w:rPr>
                <w:rFonts w:ascii="Times New Roman"/>
                <w:b/>
                <w:sz w:val="21"/>
              </w:rPr>
              <w:t>1.3</w:t>
            </w:r>
            <w:r>
              <w:rPr>
                <w:b/>
                <w:w w:val="99"/>
                <w:sz w:val="21"/>
              </w:rPr>
              <w:t> </w:t>
            </w:r>
          </w:p>
        </w:tc>
        <w:tc>
          <w:tcPr>
            <w:tcW w:w="1654" w:type="dxa"/>
          </w:tcPr>
          <w:p>
            <w:pPr>
              <w:pStyle w:val="TableParagraph"/>
              <w:spacing w:line="193" w:lineRule="exact"/>
              <w:ind w:left="211"/>
              <w:rPr>
                <w:b/>
                <w:sz w:val="21"/>
              </w:rPr>
            </w:pPr>
            <w:r>
              <w:rPr>
                <w:b/>
                <w:sz w:val="21"/>
              </w:rPr>
              <w:t>投保范围</w:t>
            </w:r>
            <w:r>
              <w:rPr>
                <w:b/>
                <w:w w:val="99"/>
                <w:sz w:val="21"/>
              </w:rPr>
              <w:t> </w:t>
            </w:r>
          </w:p>
        </w:tc>
        <w:tc>
          <w:tcPr>
            <w:tcW w:w="7328" w:type="dxa"/>
          </w:tcPr>
          <w:p>
            <w:pPr>
              <w:pStyle w:val="TableParagraph"/>
              <w:spacing w:line="193" w:lineRule="exact"/>
              <w:ind w:left="71"/>
              <w:rPr>
                <w:sz w:val="21"/>
              </w:rPr>
            </w:pPr>
            <w:r>
              <w:rPr>
                <w:sz w:val="21"/>
              </w:rPr>
              <w:t>投保人范围：</w:t>
            </w:r>
            <w:r>
              <w:rPr>
                <w:color w:val="0D0D0D"/>
                <w:sz w:val="21"/>
              </w:rPr>
              <w:t>机关、企业、事业单位和社会团体等可作为投保人，向我们投保</w:t>
            </w:r>
          </w:p>
          <w:p>
            <w:pPr>
              <w:pStyle w:val="TableParagraph"/>
              <w:spacing w:before="37"/>
              <w:ind w:left="71"/>
              <w:rPr>
                <w:sz w:val="21"/>
              </w:rPr>
            </w:pPr>
            <w:r>
              <w:rPr>
                <w:color w:val="0D0D0D"/>
                <w:sz w:val="21"/>
              </w:rPr>
              <w:t>本保险。投保人可以是特定团体中的自然人。</w:t>
            </w:r>
          </w:p>
          <w:p>
            <w:pPr>
              <w:pStyle w:val="TableParagraph"/>
              <w:spacing w:line="273" w:lineRule="auto" w:before="156"/>
              <w:ind w:left="71" w:right="107"/>
              <w:jc w:val="both"/>
              <w:rPr>
                <w:sz w:val="21"/>
              </w:rPr>
            </w:pPr>
            <w:r>
              <w:rPr>
                <w:sz w:val="21"/>
              </w:rPr>
              <w:t>被保险人范围：</w:t>
            </w:r>
            <w:r>
              <w:rPr>
                <w:color w:val="0D0D0D"/>
                <w:sz w:val="21"/>
              </w:rPr>
              <w:t>投保人可为其团体成员及成员父母、配偶和子女向我们投保本保险。投保时，参加本保险的团体成员及成员父母、配偶和子女须符合本公司当时规定的投保条件。另有约定的按约定内容执行。 </w:t>
            </w:r>
          </w:p>
        </w:tc>
      </w:tr>
      <w:tr>
        <w:trPr>
          <w:trHeight w:val="316" w:hRule="atLeast"/>
        </w:trPr>
        <w:tc>
          <w:tcPr>
            <w:tcW w:w="687" w:type="dxa"/>
          </w:tcPr>
          <w:p>
            <w:pPr>
              <w:pStyle w:val="TableParagraph"/>
              <w:spacing w:line="232" w:lineRule="exact" w:before="64"/>
              <w:ind w:left="108"/>
              <w:rPr>
                <w:sz w:val="21"/>
              </w:rPr>
            </w:pPr>
            <w:r>
              <w:rPr>
                <w:color w:val="FF0000"/>
                <w:w w:val="100"/>
                <w:sz w:val="21"/>
              </w:rPr>
              <w:t> </w:t>
            </w:r>
          </w:p>
        </w:tc>
        <w:tc>
          <w:tcPr>
            <w:tcW w:w="1654" w:type="dxa"/>
          </w:tcPr>
          <w:p>
            <w:pPr>
              <w:pStyle w:val="TableParagraph"/>
              <w:spacing w:line="232" w:lineRule="exact" w:before="64"/>
              <w:ind w:left="211"/>
              <w:rPr>
                <w:sz w:val="21"/>
              </w:rPr>
            </w:pPr>
            <w:r>
              <w:rPr>
                <w:color w:val="FF0000"/>
                <w:w w:val="100"/>
                <w:sz w:val="21"/>
              </w:rPr>
              <w:t> </w:t>
            </w:r>
          </w:p>
        </w:tc>
        <w:tc>
          <w:tcPr>
            <w:tcW w:w="7328" w:type="dxa"/>
          </w:tcPr>
          <w:p>
            <w:pPr>
              <w:pStyle w:val="TableParagraph"/>
              <w:spacing w:line="232" w:lineRule="exact" w:before="64"/>
              <w:ind w:left="71"/>
              <w:rPr>
                <w:sz w:val="21"/>
              </w:rPr>
            </w:pPr>
            <w:r>
              <w:rPr>
                <w:color w:val="FF0000"/>
                <w:w w:val="100"/>
                <w:sz w:val="21"/>
              </w:rPr>
              <w:t> </w:t>
            </w:r>
          </w:p>
        </w:tc>
      </w:tr>
      <w:tr>
        <w:trPr>
          <w:trHeight w:val="362" w:hRule="atLeast"/>
        </w:trPr>
        <w:tc>
          <w:tcPr>
            <w:tcW w:w="687" w:type="dxa"/>
          </w:tcPr>
          <w:p>
            <w:pPr>
              <w:pStyle w:val="TableParagraph"/>
              <w:spacing w:line="209" w:lineRule="exact"/>
              <w:ind w:left="108"/>
              <w:rPr>
                <w:b/>
                <w:sz w:val="21"/>
              </w:rPr>
            </w:pPr>
            <w:r>
              <w:rPr>
                <w:rFonts w:ascii="Times New Roman"/>
                <w:b/>
                <w:sz w:val="21"/>
              </w:rPr>
              <w:t>1.4</w:t>
            </w:r>
            <w:r>
              <w:rPr>
                <w:b/>
                <w:w w:val="99"/>
                <w:sz w:val="21"/>
              </w:rPr>
              <w:t> </w:t>
            </w:r>
          </w:p>
        </w:tc>
        <w:tc>
          <w:tcPr>
            <w:tcW w:w="1654" w:type="dxa"/>
          </w:tcPr>
          <w:p>
            <w:pPr>
              <w:pStyle w:val="TableParagraph"/>
              <w:spacing w:line="193" w:lineRule="exact"/>
              <w:ind w:left="211"/>
              <w:rPr>
                <w:b/>
                <w:sz w:val="21"/>
              </w:rPr>
            </w:pPr>
            <w:r>
              <w:rPr>
                <w:b/>
                <w:sz w:val="21"/>
              </w:rPr>
              <w:t>合同的签收</w:t>
            </w:r>
            <w:r>
              <w:rPr>
                <w:b/>
                <w:w w:val="99"/>
                <w:sz w:val="21"/>
              </w:rPr>
              <w:t> </w:t>
            </w:r>
          </w:p>
        </w:tc>
        <w:tc>
          <w:tcPr>
            <w:tcW w:w="7328" w:type="dxa"/>
          </w:tcPr>
          <w:p>
            <w:pPr>
              <w:pStyle w:val="TableParagraph"/>
              <w:spacing w:line="193" w:lineRule="exact"/>
              <w:ind w:left="71"/>
              <w:rPr>
                <w:sz w:val="21"/>
              </w:rPr>
            </w:pPr>
            <w:r>
              <w:rPr>
                <w:sz w:val="21"/>
              </w:rPr>
              <w:t>在投保人收到本合同时，投保人应当签署本合同的签收回执。 </w:t>
            </w:r>
          </w:p>
        </w:tc>
      </w:tr>
      <w:tr>
        <w:trPr>
          <w:trHeight w:val="358" w:hRule="atLeast"/>
        </w:trPr>
        <w:tc>
          <w:tcPr>
            <w:tcW w:w="687" w:type="dxa"/>
          </w:tcPr>
          <w:p>
            <w:pPr>
              <w:pStyle w:val="TableParagraph"/>
              <w:spacing w:line="250" w:lineRule="exact" w:before="89"/>
              <w:ind w:left="108"/>
              <w:rPr>
                <w:sz w:val="21"/>
              </w:rPr>
            </w:pPr>
            <w:r>
              <w:rPr>
                <w:w w:val="100"/>
                <w:sz w:val="21"/>
              </w:rPr>
              <w:t> </w:t>
            </w:r>
          </w:p>
        </w:tc>
        <w:tc>
          <w:tcPr>
            <w:tcW w:w="1654" w:type="dxa"/>
          </w:tcPr>
          <w:p>
            <w:pPr>
              <w:pStyle w:val="TableParagraph"/>
              <w:spacing w:line="250" w:lineRule="exact" w:before="89"/>
              <w:ind w:left="211"/>
              <w:rPr>
                <w:sz w:val="21"/>
              </w:rPr>
            </w:pPr>
            <w:r>
              <w:rPr>
                <w:w w:val="100"/>
                <w:sz w:val="21"/>
              </w:rPr>
              <w:t> </w:t>
            </w:r>
          </w:p>
        </w:tc>
        <w:tc>
          <w:tcPr>
            <w:tcW w:w="7328" w:type="dxa"/>
          </w:tcPr>
          <w:p>
            <w:pPr>
              <w:pStyle w:val="TableParagraph"/>
              <w:spacing w:line="250" w:lineRule="exact" w:before="89"/>
              <w:ind w:left="71"/>
              <w:rPr>
                <w:sz w:val="21"/>
              </w:rPr>
            </w:pPr>
            <w:r>
              <w:rPr>
                <w:w w:val="100"/>
                <w:sz w:val="21"/>
              </w:rPr>
              <w:t> </w:t>
            </w:r>
          </w:p>
        </w:tc>
      </w:tr>
      <w:tr>
        <w:trPr>
          <w:trHeight w:val="479" w:hRule="atLeast"/>
        </w:trPr>
        <w:tc>
          <w:tcPr>
            <w:tcW w:w="687" w:type="dxa"/>
            <w:tcBorders>
              <w:bottom w:val="single" w:sz="8" w:space="0" w:color="000000"/>
            </w:tcBorders>
          </w:tcPr>
          <w:p>
            <w:pPr>
              <w:pStyle w:val="TableParagraph"/>
              <w:spacing w:line="260" w:lineRule="exact"/>
              <w:ind w:left="108"/>
              <w:rPr>
                <w:b/>
                <w:sz w:val="24"/>
              </w:rPr>
            </w:pPr>
            <w:r>
              <w:rPr>
                <w:rFonts w:ascii="Times New Roman"/>
                <w:b/>
                <w:sz w:val="24"/>
              </w:rPr>
              <w:t>2.</w:t>
            </w:r>
            <w:r>
              <w:rPr>
                <w:b/>
                <w:w w:val="99"/>
                <w:sz w:val="24"/>
              </w:rPr>
              <w:t> </w:t>
            </w:r>
          </w:p>
        </w:tc>
        <w:tc>
          <w:tcPr>
            <w:tcW w:w="8982" w:type="dxa"/>
            <w:gridSpan w:val="2"/>
            <w:tcBorders>
              <w:bottom w:val="single" w:sz="8" w:space="0" w:color="000000"/>
            </w:tcBorders>
          </w:tcPr>
          <w:p>
            <w:pPr>
              <w:pStyle w:val="TableParagraph"/>
              <w:spacing w:line="237" w:lineRule="exact"/>
              <w:ind w:left="211"/>
              <w:rPr>
                <w:b/>
                <w:sz w:val="24"/>
              </w:rPr>
            </w:pPr>
            <w:r>
              <w:rPr>
                <w:b/>
                <w:sz w:val="24"/>
              </w:rPr>
              <w:t>我们提供的保障</w:t>
            </w:r>
            <w:r>
              <w:rPr>
                <w:b/>
                <w:w w:val="99"/>
                <w:sz w:val="24"/>
              </w:rPr>
              <w:t> </w:t>
            </w:r>
          </w:p>
        </w:tc>
      </w:tr>
      <w:tr>
        <w:trPr>
          <w:trHeight w:val="854" w:hRule="atLeast"/>
        </w:trPr>
        <w:tc>
          <w:tcPr>
            <w:tcW w:w="687" w:type="dxa"/>
            <w:tcBorders>
              <w:top w:val="single" w:sz="8" w:space="0" w:color="000000"/>
            </w:tcBorders>
          </w:tcPr>
          <w:p>
            <w:pPr>
              <w:pStyle w:val="TableParagraph"/>
              <w:spacing w:before="187"/>
              <w:ind w:left="108"/>
              <w:rPr>
                <w:b/>
                <w:sz w:val="21"/>
              </w:rPr>
            </w:pPr>
            <w:r>
              <w:rPr>
                <w:rFonts w:ascii="Times New Roman"/>
                <w:b/>
                <w:sz w:val="21"/>
              </w:rPr>
              <w:t>2.1</w:t>
            </w:r>
            <w:r>
              <w:rPr>
                <w:b/>
                <w:w w:val="99"/>
                <w:sz w:val="21"/>
              </w:rPr>
              <w:t> </w:t>
            </w:r>
          </w:p>
        </w:tc>
        <w:tc>
          <w:tcPr>
            <w:tcW w:w="1654" w:type="dxa"/>
            <w:tcBorders>
              <w:top w:val="single" w:sz="8" w:space="0" w:color="000000"/>
            </w:tcBorders>
          </w:tcPr>
          <w:p>
            <w:pPr>
              <w:pStyle w:val="TableParagraph"/>
              <w:spacing w:before="138"/>
              <w:ind w:left="211"/>
              <w:rPr>
                <w:b/>
                <w:sz w:val="21"/>
              </w:rPr>
            </w:pPr>
            <w:r>
              <w:rPr>
                <w:b/>
                <w:sz w:val="21"/>
              </w:rPr>
              <w:t>基本保险金额</w:t>
            </w:r>
            <w:r>
              <w:rPr>
                <w:b/>
                <w:w w:val="99"/>
                <w:sz w:val="21"/>
              </w:rPr>
              <w:t> </w:t>
            </w:r>
          </w:p>
        </w:tc>
        <w:tc>
          <w:tcPr>
            <w:tcW w:w="7328" w:type="dxa"/>
            <w:tcBorders>
              <w:top w:val="single" w:sz="8" w:space="0" w:color="000000"/>
            </w:tcBorders>
          </w:tcPr>
          <w:p>
            <w:pPr>
              <w:pStyle w:val="TableParagraph"/>
              <w:spacing w:line="273" w:lineRule="auto" w:before="138"/>
              <w:ind w:left="71" w:right="107"/>
              <w:rPr>
                <w:sz w:val="21"/>
              </w:rPr>
            </w:pPr>
            <w:r>
              <w:rPr>
                <w:sz w:val="21"/>
              </w:rPr>
              <w:t>本合同各被保险人名下的基本保险金额由投保人在投保时与我们约定，并在保险合同上载明。 </w:t>
            </w:r>
          </w:p>
        </w:tc>
      </w:tr>
      <w:tr>
        <w:trPr>
          <w:trHeight w:val="355" w:hRule="atLeast"/>
        </w:trPr>
        <w:tc>
          <w:tcPr>
            <w:tcW w:w="687" w:type="dxa"/>
          </w:tcPr>
          <w:p>
            <w:pPr>
              <w:pStyle w:val="TableParagraph"/>
              <w:rPr>
                <w:rFonts w:ascii="Times New Roman"/>
                <w:sz w:val="20"/>
              </w:rPr>
            </w:pPr>
          </w:p>
        </w:tc>
        <w:tc>
          <w:tcPr>
            <w:tcW w:w="1654" w:type="dxa"/>
          </w:tcPr>
          <w:p>
            <w:pPr>
              <w:pStyle w:val="TableParagraph"/>
              <w:spacing w:line="271" w:lineRule="exact" w:before="64"/>
              <w:ind w:left="211"/>
              <w:rPr>
                <w:b/>
                <w:sz w:val="21"/>
              </w:rPr>
            </w:pPr>
            <w:r>
              <w:rPr>
                <w:b/>
                <w:w w:val="99"/>
                <w:sz w:val="21"/>
              </w:rPr>
              <w:t> </w:t>
            </w:r>
          </w:p>
        </w:tc>
        <w:tc>
          <w:tcPr>
            <w:tcW w:w="7328" w:type="dxa"/>
          </w:tcPr>
          <w:p>
            <w:pPr>
              <w:pStyle w:val="TableParagraph"/>
              <w:spacing w:line="271" w:lineRule="exact" w:before="64"/>
              <w:ind w:left="71"/>
              <w:rPr>
                <w:sz w:val="21"/>
              </w:rPr>
            </w:pPr>
            <w:r>
              <w:rPr>
                <w:w w:val="100"/>
                <w:sz w:val="21"/>
              </w:rPr>
              <w:t> </w:t>
            </w:r>
          </w:p>
        </w:tc>
      </w:tr>
      <w:tr>
        <w:trPr>
          <w:trHeight w:val="986" w:hRule="atLeast"/>
        </w:trPr>
        <w:tc>
          <w:tcPr>
            <w:tcW w:w="687" w:type="dxa"/>
          </w:tcPr>
          <w:p>
            <w:pPr>
              <w:pStyle w:val="TableParagraph"/>
              <w:spacing w:before="8"/>
              <w:ind w:left="108"/>
              <w:rPr>
                <w:b/>
                <w:sz w:val="21"/>
              </w:rPr>
            </w:pPr>
            <w:r>
              <w:rPr>
                <w:rFonts w:ascii="Times New Roman"/>
                <w:b/>
                <w:sz w:val="21"/>
              </w:rPr>
              <w:t>2.2</w:t>
            </w:r>
            <w:r>
              <w:rPr>
                <w:b/>
                <w:w w:val="99"/>
                <w:sz w:val="21"/>
              </w:rPr>
              <w:t> </w:t>
            </w:r>
          </w:p>
        </w:tc>
        <w:tc>
          <w:tcPr>
            <w:tcW w:w="1654" w:type="dxa"/>
          </w:tcPr>
          <w:p>
            <w:pPr>
              <w:pStyle w:val="TableParagraph"/>
              <w:spacing w:line="234" w:lineRule="exact"/>
              <w:ind w:left="211"/>
              <w:rPr>
                <w:b/>
                <w:sz w:val="21"/>
              </w:rPr>
            </w:pPr>
            <w:r>
              <w:rPr>
                <w:b/>
                <w:sz w:val="21"/>
              </w:rPr>
              <w:t>保险期间</w:t>
            </w:r>
            <w:r>
              <w:rPr>
                <w:b/>
                <w:w w:val="99"/>
                <w:sz w:val="21"/>
              </w:rPr>
              <w:t> </w:t>
            </w:r>
          </w:p>
        </w:tc>
        <w:tc>
          <w:tcPr>
            <w:tcW w:w="7328" w:type="dxa"/>
          </w:tcPr>
          <w:p>
            <w:pPr>
              <w:pStyle w:val="TableParagraph"/>
              <w:spacing w:line="234" w:lineRule="exact"/>
              <w:ind w:left="71"/>
              <w:rPr>
                <w:sz w:val="21"/>
              </w:rPr>
            </w:pPr>
            <w:r>
              <w:rPr>
                <w:sz w:val="21"/>
              </w:rPr>
              <w:t>本合同的保险期间自本合同生效时起，至本合同项下所有被保险人的保险责任</w:t>
            </w:r>
          </w:p>
          <w:p>
            <w:pPr>
              <w:pStyle w:val="TableParagraph"/>
              <w:spacing w:line="273" w:lineRule="auto" w:before="37"/>
              <w:ind w:left="71" w:right="105"/>
              <w:rPr>
                <w:sz w:val="21"/>
              </w:rPr>
            </w:pPr>
            <w:r>
              <w:rPr>
                <w:spacing w:val="-12"/>
                <w:sz w:val="21"/>
              </w:rPr>
              <w:t>终止时止。本合同中各被保险人名下的保险期间由投保人与我们约定,最长不超</w:t>
            </w:r>
            <w:r>
              <w:rPr>
                <w:spacing w:val="-3"/>
                <w:sz w:val="21"/>
              </w:rPr>
              <w:t>过一年，并在保险合同上载明。</w:t>
            </w:r>
            <w:r>
              <w:rPr>
                <w:sz w:val="21"/>
              </w:rPr>
              <w:t> </w:t>
            </w:r>
          </w:p>
        </w:tc>
      </w:tr>
      <w:tr>
        <w:trPr>
          <w:trHeight w:val="305" w:hRule="atLeast"/>
        </w:trPr>
        <w:tc>
          <w:tcPr>
            <w:tcW w:w="687" w:type="dxa"/>
          </w:tcPr>
          <w:p>
            <w:pPr>
              <w:pStyle w:val="TableParagraph"/>
              <w:rPr>
                <w:rFonts w:ascii="Times New Roman"/>
                <w:sz w:val="20"/>
              </w:rPr>
            </w:pPr>
          </w:p>
        </w:tc>
        <w:tc>
          <w:tcPr>
            <w:tcW w:w="1654" w:type="dxa"/>
          </w:tcPr>
          <w:p>
            <w:pPr>
              <w:pStyle w:val="TableParagraph"/>
              <w:spacing w:line="221" w:lineRule="exact" w:before="64"/>
              <w:ind w:left="211"/>
              <w:rPr>
                <w:b/>
                <w:sz w:val="21"/>
              </w:rPr>
            </w:pPr>
            <w:r>
              <w:rPr>
                <w:b/>
                <w:w w:val="99"/>
                <w:sz w:val="21"/>
              </w:rPr>
              <w:t> </w:t>
            </w:r>
          </w:p>
        </w:tc>
        <w:tc>
          <w:tcPr>
            <w:tcW w:w="7328" w:type="dxa"/>
          </w:tcPr>
          <w:p>
            <w:pPr>
              <w:pStyle w:val="TableParagraph"/>
              <w:spacing w:line="221" w:lineRule="exact" w:before="64"/>
              <w:ind w:left="71"/>
              <w:rPr>
                <w:sz w:val="21"/>
              </w:rPr>
            </w:pPr>
            <w:r>
              <w:rPr>
                <w:w w:val="100"/>
                <w:sz w:val="21"/>
              </w:rPr>
              <w:t> </w:t>
            </w:r>
          </w:p>
        </w:tc>
      </w:tr>
      <w:tr>
        <w:trPr>
          <w:trHeight w:val="1249" w:hRule="atLeast"/>
        </w:trPr>
        <w:tc>
          <w:tcPr>
            <w:tcW w:w="687" w:type="dxa"/>
          </w:tcPr>
          <w:p>
            <w:pPr>
              <w:pStyle w:val="TableParagraph"/>
              <w:spacing w:line="220" w:lineRule="exact"/>
              <w:ind w:left="108"/>
              <w:rPr>
                <w:rFonts w:ascii="Times New Roman"/>
                <w:b/>
                <w:sz w:val="21"/>
              </w:rPr>
            </w:pPr>
            <w:r>
              <w:rPr>
                <w:rFonts w:ascii="Times New Roman"/>
                <w:b/>
                <w:sz w:val="21"/>
              </w:rPr>
              <w:t>2.3</w:t>
            </w:r>
          </w:p>
        </w:tc>
        <w:tc>
          <w:tcPr>
            <w:tcW w:w="1654" w:type="dxa"/>
          </w:tcPr>
          <w:p>
            <w:pPr>
              <w:pStyle w:val="TableParagraph"/>
              <w:spacing w:line="204" w:lineRule="exact"/>
              <w:ind w:left="211"/>
              <w:rPr>
                <w:b/>
                <w:sz w:val="21"/>
              </w:rPr>
            </w:pPr>
            <w:r>
              <w:rPr>
                <w:b/>
                <w:sz w:val="21"/>
              </w:rPr>
              <w:t>保险责任</w:t>
            </w:r>
          </w:p>
        </w:tc>
        <w:tc>
          <w:tcPr>
            <w:tcW w:w="7328" w:type="dxa"/>
          </w:tcPr>
          <w:p>
            <w:pPr>
              <w:pStyle w:val="TableParagraph"/>
              <w:spacing w:line="204" w:lineRule="exact"/>
              <w:ind w:left="71"/>
              <w:rPr>
                <w:sz w:val="21"/>
              </w:rPr>
            </w:pPr>
            <w:r>
              <w:rPr>
                <w:sz w:val="21"/>
              </w:rPr>
              <w:t>在本合同保险期间内，我们承担以下保险责任：</w:t>
            </w:r>
          </w:p>
          <w:p>
            <w:pPr>
              <w:pStyle w:val="TableParagraph"/>
              <w:spacing w:line="256" w:lineRule="auto" w:before="130"/>
              <w:ind w:left="71" w:right="108"/>
              <w:rPr>
                <w:sz w:val="21"/>
              </w:rPr>
            </w:pPr>
            <w:r>
              <w:rPr>
                <w:spacing w:val="-3"/>
                <w:sz w:val="21"/>
              </w:rPr>
              <w:t>若被保险人于本合同等待期后首次</w:t>
            </w:r>
            <w:r>
              <w:rPr>
                <w:b/>
                <w:sz w:val="21"/>
              </w:rPr>
              <w:t>发病</w:t>
            </w:r>
            <w:r>
              <w:rPr>
                <w:sz w:val="21"/>
              </w:rPr>
              <w:t>（</w:t>
            </w:r>
            <w:r>
              <w:rPr>
                <w:spacing w:val="-22"/>
                <w:sz w:val="21"/>
              </w:rPr>
              <w:t>见 </w:t>
            </w:r>
            <w:r>
              <w:rPr>
                <w:rFonts w:ascii="Times New Roman" w:eastAsia="Times New Roman"/>
                <w:sz w:val="21"/>
              </w:rPr>
              <w:t>10.2</w:t>
            </w:r>
            <w:r>
              <w:rPr>
                <w:sz w:val="21"/>
              </w:rPr>
              <w:t>）</w:t>
            </w:r>
            <w:r>
              <w:rPr>
                <w:spacing w:val="-2"/>
                <w:sz w:val="21"/>
              </w:rPr>
              <w:t>并经</w:t>
            </w:r>
            <w:r>
              <w:rPr>
                <w:b/>
                <w:sz w:val="21"/>
              </w:rPr>
              <w:t>医院</w:t>
            </w:r>
            <w:r>
              <w:rPr>
                <w:sz w:val="21"/>
              </w:rPr>
              <w:t>（</w:t>
            </w:r>
            <w:r>
              <w:rPr>
                <w:spacing w:val="-22"/>
                <w:sz w:val="21"/>
              </w:rPr>
              <w:t>见 </w:t>
            </w:r>
            <w:r>
              <w:rPr>
                <w:rFonts w:ascii="Times New Roman" w:eastAsia="Times New Roman"/>
                <w:sz w:val="21"/>
              </w:rPr>
              <w:t>10.3</w:t>
            </w:r>
            <w:r>
              <w:rPr>
                <w:sz w:val="21"/>
              </w:rPr>
              <w:t>）</w:t>
            </w:r>
            <w:r>
              <w:rPr>
                <w:spacing w:val="-3"/>
                <w:sz w:val="21"/>
              </w:rPr>
              <w:t>确诊患</w:t>
            </w:r>
            <w:r>
              <w:rPr>
                <w:spacing w:val="-8"/>
                <w:sz w:val="21"/>
              </w:rPr>
              <w:t>本合同所定义的第 </w:t>
            </w:r>
            <w:r>
              <w:rPr>
                <w:rFonts w:ascii="Times New Roman" w:eastAsia="Times New Roman"/>
                <w:sz w:val="21"/>
              </w:rPr>
              <w:t>1 </w:t>
            </w:r>
            <w:r>
              <w:rPr>
                <w:spacing w:val="-17"/>
                <w:sz w:val="21"/>
              </w:rPr>
              <w:t>至第 </w:t>
            </w:r>
            <w:r>
              <w:rPr>
                <w:rFonts w:ascii="Times New Roman" w:eastAsia="Times New Roman"/>
                <w:sz w:val="21"/>
              </w:rPr>
              <w:t>50 </w:t>
            </w:r>
            <w:r>
              <w:rPr>
                <w:spacing w:val="-10"/>
                <w:sz w:val="21"/>
              </w:rPr>
              <w:t>种重大疾病</w:t>
            </w:r>
            <w:r>
              <w:rPr>
                <w:sz w:val="21"/>
              </w:rPr>
              <w:t>（</w:t>
            </w:r>
            <w:r>
              <w:rPr>
                <w:spacing w:val="-3"/>
                <w:sz w:val="21"/>
              </w:rPr>
              <w:t>无论一种或多种</w:t>
            </w:r>
            <w:r>
              <w:rPr>
                <w:spacing w:val="-35"/>
                <w:sz w:val="21"/>
              </w:rPr>
              <w:t>）</w:t>
            </w:r>
            <w:r>
              <w:rPr>
                <w:spacing w:val="-7"/>
                <w:sz w:val="21"/>
              </w:rPr>
              <w:t>，我们按该被保险</w:t>
            </w:r>
          </w:p>
          <w:p>
            <w:pPr>
              <w:pStyle w:val="TableParagraph"/>
              <w:spacing w:line="271" w:lineRule="exact" w:before="4"/>
              <w:ind w:left="71"/>
              <w:rPr>
                <w:b/>
                <w:sz w:val="21"/>
              </w:rPr>
            </w:pPr>
            <w:r>
              <w:rPr>
                <w:sz w:val="21"/>
              </w:rPr>
              <w:t>人名下的基本保险金额给付第 </w:t>
            </w:r>
            <w:r>
              <w:rPr>
                <w:rFonts w:ascii="Times New Roman" w:eastAsia="Times New Roman"/>
                <w:sz w:val="21"/>
              </w:rPr>
              <w:t>1 </w:t>
            </w:r>
            <w:r>
              <w:rPr>
                <w:sz w:val="21"/>
              </w:rPr>
              <w:t>至第 </w:t>
            </w:r>
            <w:r>
              <w:rPr>
                <w:rFonts w:ascii="Times New Roman" w:eastAsia="Times New Roman"/>
                <w:sz w:val="21"/>
              </w:rPr>
              <w:t>50 </w:t>
            </w:r>
            <w:r>
              <w:rPr>
                <w:sz w:val="21"/>
              </w:rPr>
              <w:t>种重大疾病保险金，</w:t>
            </w:r>
            <w:r>
              <w:rPr>
                <w:b/>
                <w:sz w:val="21"/>
              </w:rPr>
              <w:t>我们对该被保险</w:t>
            </w:r>
          </w:p>
        </w:tc>
      </w:tr>
    </w:tbl>
    <w:p>
      <w:pPr>
        <w:spacing w:after="0" w:line="271" w:lineRule="exact"/>
        <w:rPr>
          <w:sz w:val="21"/>
        </w:rPr>
        <w:sectPr>
          <w:pgSz w:w="11910" w:h="16840"/>
          <w:pgMar w:header="0" w:footer="924" w:top="1220" w:bottom="1200" w:left="920" w:right="1100"/>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26"/>
        <w:gridCol w:w="7304"/>
      </w:tblGrid>
      <w:tr>
        <w:trPr>
          <w:trHeight w:val="276"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34" w:lineRule="exact"/>
              <w:rPr>
                <w:sz w:val="21"/>
              </w:rPr>
            </w:pPr>
            <w:r>
              <w:rPr>
                <w:b/>
                <w:sz w:val="21"/>
              </w:rPr>
              <w:t>人的保险责任终止</w:t>
            </w:r>
            <w:r>
              <w:rPr>
                <w:sz w:val="21"/>
              </w:rPr>
              <w:t>。续保或因本合同有效期内发生的</w:t>
            </w:r>
            <w:r>
              <w:rPr>
                <w:b/>
                <w:sz w:val="21"/>
              </w:rPr>
              <w:t>意外伤害</w:t>
            </w:r>
            <w:r>
              <w:rPr>
                <w:sz w:val="21"/>
              </w:rPr>
              <w:t>（见 </w:t>
            </w:r>
            <w:r>
              <w:rPr>
                <w:rFonts w:ascii="Times New Roman" w:eastAsia="Times New Roman"/>
                <w:sz w:val="21"/>
              </w:rPr>
              <w:t>10.4</w:t>
            </w:r>
            <w:r>
              <w:rPr>
                <w:sz w:val="21"/>
              </w:rPr>
              <w:t>）导致</w:t>
            </w:r>
          </w:p>
        </w:tc>
      </w:tr>
      <w:tr>
        <w:trPr>
          <w:trHeight w:val="351"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54" w:lineRule="exact"/>
              <w:rPr>
                <w:sz w:val="21"/>
              </w:rPr>
            </w:pPr>
            <w:r>
              <w:rPr>
                <w:sz w:val="21"/>
              </w:rPr>
              <w:t>重大疾病不受等待期的限制。</w:t>
            </w:r>
          </w:p>
        </w:tc>
      </w:tr>
      <w:tr>
        <w:trPr>
          <w:trHeight w:val="358"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before="33"/>
              <w:rPr>
                <w:sz w:val="21"/>
              </w:rPr>
            </w:pPr>
            <w:r>
              <w:rPr>
                <w:sz w:val="21"/>
              </w:rPr>
              <w:t>如被保险人首次发病并经医院确诊患有本合同定义的两种或两种以上重大疾</w:t>
            </w:r>
          </w:p>
        </w:tc>
      </w:tr>
      <w:tr>
        <w:trPr>
          <w:trHeight w:val="358"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pacing w:val="-33"/>
                <w:sz w:val="21"/>
              </w:rPr>
              <w:t>病，</w:t>
            </w:r>
            <w:r>
              <w:rPr>
                <w:b/>
                <w:spacing w:val="-6"/>
                <w:sz w:val="21"/>
              </w:rPr>
              <w:t>我们仅对一种重大疾病承担给付责任，我们对该被保险人的保险责任终止</w:t>
            </w:r>
            <w:r>
              <w:rPr>
                <w:sz w:val="21"/>
              </w:rPr>
              <w:t>。</w:t>
            </w:r>
          </w:p>
        </w:tc>
      </w:tr>
      <w:tr>
        <w:trPr>
          <w:trHeight w:val="358"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before="33"/>
              <w:rPr>
                <w:sz w:val="21"/>
              </w:rPr>
            </w:pPr>
            <w:r>
              <w:rPr>
                <w:b/>
                <w:sz w:val="21"/>
              </w:rPr>
              <w:t>等待期</w:t>
            </w:r>
            <w:r>
              <w:rPr>
                <w:sz w:val="21"/>
              </w:rPr>
              <w:t>指本合同生效后我们不承担保险责任的一段期间，由投保人在投保时与</w:t>
            </w:r>
          </w:p>
        </w:tc>
      </w:tr>
      <w:tr>
        <w:trPr>
          <w:trHeight w:val="312"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z w:val="21"/>
              </w:rPr>
              <w:t>我们约定并在保险合同上载明。等待期自本合同生效之日开始起算，合同生效</w:t>
            </w:r>
          </w:p>
        </w:tc>
      </w:tr>
      <w:tr>
        <w:trPr>
          <w:trHeight w:val="312"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z w:val="21"/>
              </w:rPr>
              <w:t>后增加的被保险人的等待期自我们对该新增被保险人开始承担保险责任之日开</w:t>
            </w:r>
          </w:p>
        </w:tc>
      </w:tr>
      <w:tr>
        <w:trPr>
          <w:trHeight w:val="311"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z w:val="21"/>
              </w:rPr>
              <w:t>始起算。</w:t>
            </w:r>
            <w:r>
              <w:rPr>
                <w:sz w:val="21"/>
                <w:shd w:fill="C0C0C0" w:color="auto" w:val="clear"/>
              </w:rPr>
              <w:t>被保险人在等待期内发病并经医院确诊患本合同所定义的重大疾病，</w:t>
            </w:r>
          </w:p>
        </w:tc>
      </w:tr>
      <w:tr>
        <w:trPr>
          <w:trHeight w:val="312"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z w:val="21"/>
                <w:shd w:fill="C0C0C0" w:color="auto" w:val="clear"/>
              </w:rPr>
              <w:t>我们不承担保险责任，但无息退还该被保险人的保险费，我们对该被保险人的</w:t>
            </w:r>
          </w:p>
        </w:tc>
      </w:tr>
      <w:tr>
        <w:trPr>
          <w:trHeight w:val="358"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61" w:lineRule="exact"/>
              <w:rPr>
                <w:sz w:val="21"/>
              </w:rPr>
            </w:pPr>
            <w:r>
              <w:rPr>
                <w:sz w:val="21"/>
                <w:shd w:fill="C0C0C0" w:color="auto" w:val="clear"/>
              </w:rPr>
              <w:t>保险责任终止。</w:t>
            </w:r>
            <w:r>
              <w:rPr>
                <w:sz w:val="21"/>
              </w:rPr>
              <w:t>投保人为被保险人连续续保的，则不受等待期的限制。</w:t>
            </w:r>
          </w:p>
        </w:tc>
      </w:tr>
      <w:tr>
        <w:trPr>
          <w:trHeight w:val="357" w:hRule="atLeast"/>
        </w:trPr>
        <w:tc>
          <w:tcPr>
            <w:tcW w:w="628" w:type="dxa"/>
          </w:tcPr>
          <w:p>
            <w:pPr>
              <w:pStyle w:val="TableParagraph"/>
              <w:spacing w:before="33"/>
              <w:ind w:left="50"/>
              <w:rPr>
                <w:sz w:val="21"/>
              </w:rPr>
            </w:pPr>
            <w:r>
              <w:rPr>
                <w:color w:val="FF0000"/>
                <w:w w:val="100"/>
                <w:sz w:val="21"/>
              </w:rPr>
              <w:t> </w:t>
            </w:r>
          </w:p>
        </w:tc>
        <w:tc>
          <w:tcPr>
            <w:tcW w:w="1726" w:type="dxa"/>
          </w:tcPr>
          <w:p>
            <w:pPr>
              <w:pStyle w:val="TableParagraph"/>
              <w:spacing w:before="33"/>
              <w:ind w:left="211"/>
              <w:rPr>
                <w:sz w:val="21"/>
              </w:rPr>
            </w:pPr>
            <w:r>
              <w:rPr>
                <w:color w:val="FF0000"/>
                <w:w w:val="100"/>
                <w:sz w:val="21"/>
              </w:rPr>
              <w:t> </w:t>
            </w:r>
          </w:p>
        </w:tc>
        <w:tc>
          <w:tcPr>
            <w:tcW w:w="7304" w:type="dxa"/>
          </w:tcPr>
          <w:p>
            <w:pPr>
              <w:pStyle w:val="TableParagraph"/>
              <w:spacing w:before="33"/>
              <w:rPr>
                <w:sz w:val="21"/>
              </w:rPr>
            </w:pPr>
            <w:r>
              <w:rPr>
                <w:color w:val="FF0000"/>
                <w:w w:val="100"/>
                <w:sz w:val="21"/>
              </w:rPr>
              <w:t> </w:t>
            </w:r>
          </w:p>
        </w:tc>
      </w:tr>
      <w:tr>
        <w:trPr>
          <w:trHeight w:val="326" w:hRule="atLeast"/>
        </w:trPr>
        <w:tc>
          <w:tcPr>
            <w:tcW w:w="628" w:type="dxa"/>
          </w:tcPr>
          <w:p>
            <w:pPr>
              <w:pStyle w:val="TableParagraph"/>
              <w:spacing w:before="41"/>
              <w:ind w:left="50"/>
              <w:rPr>
                <w:b/>
                <w:sz w:val="21"/>
              </w:rPr>
            </w:pPr>
            <w:r>
              <w:rPr>
                <w:rFonts w:ascii="Times New Roman"/>
                <w:b/>
                <w:sz w:val="21"/>
              </w:rPr>
              <w:t>2.4</w:t>
            </w:r>
            <w:r>
              <w:rPr>
                <w:b/>
                <w:w w:val="99"/>
                <w:sz w:val="21"/>
              </w:rPr>
              <w:t> </w:t>
            </w:r>
          </w:p>
        </w:tc>
        <w:tc>
          <w:tcPr>
            <w:tcW w:w="1726" w:type="dxa"/>
          </w:tcPr>
          <w:p>
            <w:pPr>
              <w:pStyle w:val="TableParagraph"/>
              <w:spacing w:line="267" w:lineRule="exact"/>
              <w:ind w:left="211"/>
              <w:rPr>
                <w:b/>
                <w:sz w:val="21"/>
              </w:rPr>
            </w:pPr>
            <w:r>
              <w:rPr>
                <w:b/>
                <w:sz w:val="21"/>
              </w:rPr>
              <w:t>责任免除</w:t>
            </w:r>
            <w:r>
              <w:rPr>
                <w:b/>
                <w:w w:val="99"/>
                <w:sz w:val="21"/>
              </w:rPr>
              <w:t> </w:t>
            </w:r>
          </w:p>
        </w:tc>
        <w:tc>
          <w:tcPr>
            <w:tcW w:w="7304" w:type="dxa"/>
          </w:tcPr>
          <w:p>
            <w:pPr>
              <w:pStyle w:val="TableParagraph"/>
              <w:spacing w:line="267" w:lineRule="exact"/>
              <w:rPr>
                <w:sz w:val="21"/>
              </w:rPr>
            </w:pPr>
            <w:r>
              <w:rPr>
                <w:sz w:val="21"/>
                <w:shd w:fill="C0C0C0" w:color="auto" w:val="clear"/>
              </w:rPr>
              <w:t>因下列情形之一导致被保险人首次发生重大疾病的，我们不承担给付保险金的</w:t>
            </w:r>
          </w:p>
        </w:tc>
      </w:tr>
      <w:tr>
        <w:trPr>
          <w:trHeight w:val="347"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54" w:lineRule="exact"/>
              <w:rPr>
                <w:sz w:val="21"/>
              </w:rPr>
            </w:pPr>
            <w:r>
              <w:rPr>
                <w:sz w:val="21"/>
                <w:shd w:fill="C0C0C0" w:color="auto" w:val="clear"/>
              </w:rPr>
              <w:t>责任：</w:t>
            </w:r>
            <w:r>
              <w:rPr>
                <w:sz w:val="21"/>
              </w:rPr>
              <w:t> </w:t>
            </w:r>
          </w:p>
        </w:tc>
      </w:tr>
      <w:tr>
        <w:trPr>
          <w:trHeight w:val="1294"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before="36"/>
              <w:rPr>
                <w:sz w:val="21"/>
              </w:rPr>
            </w:pPr>
            <w:r>
              <w:rPr>
                <w:rFonts w:ascii="Times New Roman" w:eastAsia="Times New Roman"/>
                <w:sz w:val="21"/>
                <w:shd w:fill="C0C0C0" w:color="auto" w:val="clear"/>
              </w:rPr>
              <w:t>1.</w:t>
            </w:r>
            <w:r>
              <w:rPr>
                <w:sz w:val="21"/>
                <w:shd w:fill="C0C0C0" w:color="auto" w:val="clear"/>
              </w:rPr>
              <w:t>投保人对被保险人的故意杀害、故意伤害；</w:t>
            </w:r>
            <w:r>
              <w:rPr>
                <w:sz w:val="21"/>
              </w:rPr>
              <w:t> </w:t>
            </w:r>
          </w:p>
          <w:p>
            <w:pPr>
              <w:pStyle w:val="TableParagraph"/>
              <w:spacing w:before="20"/>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r>
              <w:rPr>
                <w:sz w:val="21"/>
              </w:rPr>
              <w:t> </w:t>
            </w:r>
          </w:p>
          <w:p>
            <w:pPr>
              <w:pStyle w:val="TableParagraph"/>
              <w:spacing w:line="256" w:lineRule="auto" w:before="20"/>
              <w:ind w:right="208"/>
              <w:rPr>
                <w:sz w:val="21"/>
              </w:rPr>
            </w:pPr>
            <w:r>
              <w:rPr>
                <w:rFonts w:ascii="Times New Roman" w:eastAsia="Times New Roman"/>
                <w:sz w:val="21"/>
                <w:shd w:fill="C0C0C0" w:color="auto" w:val="clear"/>
              </w:rPr>
              <w:t>3.</w:t>
            </w:r>
            <w:r>
              <w:rPr>
                <w:spacing w:val="-5"/>
                <w:sz w:val="21"/>
                <w:shd w:fill="C0C0C0" w:color="auto" w:val="clear"/>
              </w:rPr>
              <w:t>被保险人自伤, 或自本合同成立或者合同效力恢复之日起 </w:t>
            </w:r>
            <w:r>
              <w:rPr>
                <w:rFonts w:ascii="Times New Roman" w:eastAsia="Times New Roman"/>
                <w:sz w:val="21"/>
                <w:shd w:fill="C0C0C0" w:color="auto" w:val="clear"/>
              </w:rPr>
              <w:t>2 </w:t>
            </w:r>
            <w:r>
              <w:rPr>
                <w:spacing w:val="-3"/>
                <w:sz w:val="21"/>
                <w:shd w:fill="C0C0C0" w:color="auto" w:val="clear"/>
              </w:rPr>
              <w:t>年内自杀</w:t>
            </w:r>
            <w:r>
              <w:rPr>
                <w:sz w:val="21"/>
              </w:rPr>
              <w:t>（</w:t>
            </w:r>
            <w:r>
              <w:rPr>
                <w:spacing w:val="-2"/>
                <w:sz w:val="21"/>
              </w:rPr>
              <w:t>但被</w:t>
            </w:r>
            <w:r>
              <w:rPr>
                <w:spacing w:val="-3"/>
                <w:w w:val="100"/>
                <w:sz w:val="21"/>
              </w:rPr>
              <w:t>保险人自杀时为无民事行为能力人的除外</w:t>
            </w:r>
            <w:r>
              <w:rPr>
                <w:spacing w:val="-106"/>
                <w:w w:val="100"/>
                <w:sz w:val="21"/>
              </w:rPr>
              <w:t>）</w:t>
            </w:r>
            <w:r>
              <w:rPr>
                <w:spacing w:val="-3"/>
                <w:w w:val="100"/>
                <w:sz w:val="21"/>
              </w:rPr>
              <w:t>；</w:t>
            </w:r>
            <w:r>
              <w:rPr>
                <w:w w:val="100"/>
                <w:sz w:val="21"/>
              </w:rPr>
              <w:t> </w:t>
            </w:r>
          </w:p>
        </w:tc>
      </w:tr>
      <w:tr>
        <w:trPr>
          <w:trHeight w:val="1560"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81" w:lineRule="exact"/>
              <w:rPr>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0</w:t>
            </w:r>
            <w:r>
              <w:rPr>
                <w:rFonts w:ascii="Times New Roman" w:eastAsia="Times New Roman"/>
                <w:w w:val="100"/>
                <w:sz w:val="21"/>
                <w:shd w:fill="C0C0C0" w:color="auto" w:val="clear"/>
              </w:rPr>
              <w:t>.5</w:t>
            </w:r>
            <w:r>
              <w:rPr>
                <w:spacing w:val="-108"/>
                <w:w w:val="100"/>
                <w:sz w:val="21"/>
                <w:shd w:fill="C0C0C0" w:color="auto" w:val="clear"/>
              </w:rPr>
              <w:t>）</w:t>
            </w:r>
            <w:r>
              <w:rPr>
                <w:b/>
                <w:w w:val="100"/>
                <w:sz w:val="21"/>
                <w:shd w:fill="C0C0C0" w:color="auto" w:val="clear"/>
              </w:rPr>
              <w:t>；</w:t>
            </w:r>
            <w:r>
              <w:rPr>
                <w:b/>
                <w:w w:val="99"/>
                <w:sz w:val="21"/>
              </w:rPr>
              <w:t> </w:t>
            </w:r>
          </w:p>
          <w:p>
            <w:pPr>
              <w:pStyle w:val="TableParagraph"/>
              <w:spacing w:line="256" w:lineRule="auto" w:before="21"/>
              <w:ind w:right="198"/>
              <w:rPr>
                <w:b/>
                <w:sz w:val="21"/>
              </w:rPr>
            </w:pPr>
            <w:r>
              <w:rPr>
                <w:rFonts w:ascii="Times New Roman" w:eastAsia="Times New Roman"/>
                <w:w w:val="100"/>
                <w:sz w:val="21"/>
                <w:shd w:fill="C0C0C0" w:color="auto" w:val="clear"/>
              </w:rPr>
              <w:t>5.</w:t>
            </w:r>
            <w:r>
              <w:rPr>
                <w:spacing w:val="-3"/>
                <w:w w:val="100"/>
                <w:sz w:val="21"/>
                <w:shd w:fill="C0C0C0" w:color="auto" w:val="clear"/>
              </w:rPr>
              <w:t>被保险人</w:t>
            </w:r>
            <w:r>
              <w:rPr>
                <w:b/>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2"/>
                <w:sz w:val="21"/>
                <w:shd w:fill="C0C0C0" w:color="auto" w:val="clear"/>
              </w:rPr>
              <w:t> </w:t>
            </w:r>
            <w:r>
              <w:rPr>
                <w:rFonts w:ascii="Times New Roman" w:eastAsia="Times New Roman"/>
                <w:spacing w:val="-3"/>
                <w:w w:val="100"/>
                <w:sz w:val="21"/>
                <w:shd w:fill="C0C0C0" w:color="auto" w:val="clear"/>
              </w:rPr>
              <w:t>1</w:t>
            </w:r>
            <w:r>
              <w:rPr>
                <w:rFonts w:ascii="Times New Roman" w:eastAsia="Times New Roman"/>
                <w:w w:val="100"/>
                <w:sz w:val="21"/>
                <w:shd w:fill="C0C0C0" w:color="auto" w:val="clear"/>
              </w:rPr>
              <w:t>0.6</w:t>
            </w:r>
            <w:r>
              <w:rPr>
                <w:spacing w:val="-106"/>
                <w:w w:val="100"/>
                <w:sz w:val="21"/>
                <w:shd w:fill="C0C0C0" w:color="auto" w:val="clear"/>
              </w:rPr>
              <w:t>）</w:t>
            </w:r>
            <w:r>
              <w:rPr>
                <w:spacing w:val="-3"/>
                <w:w w:val="100"/>
                <w:sz w:val="21"/>
                <w:shd w:fill="C0C0C0" w:color="auto" w:val="clear"/>
              </w:rPr>
              <w:t>，</w:t>
            </w:r>
            <w:r>
              <w:rPr>
                <w:b/>
                <w:spacing w:val="-2"/>
                <w:w w:val="100"/>
                <w:sz w:val="21"/>
                <w:shd w:fill="C0C0C0" w:color="auto" w:val="clear"/>
              </w:rPr>
              <w:t>无合法有效驾驶证驾驶</w:t>
            </w:r>
            <w:r>
              <w:rPr>
                <w:w w:val="100"/>
                <w:sz w:val="21"/>
                <w:shd w:fill="C0C0C0" w:color="auto" w:val="clear"/>
              </w:rPr>
              <w:t>（见</w:t>
            </w:r>
            <w:r>
              <w:rPr>
                <w:spacing w:val="-55"/>
                <w:sz w:val="21"/>
                <w:shd w:fill="C0C0C0" w:color="auto" w:val="clear"/>
              </w:rPr>
              <w:t> </w:t>
            </w:r>
            <w:r>
              <w:rPr>
                <w:rFonts w:ascii="Times New Roman" w:eastAsia="Times New Roman"/>
                <w:w w:val="100"/>
                <w:sz w:val="21"/>
                <w:shd w:fill="C0C0C0" w:color="auto" w:val="clear"/>
              </w:rPr>
              <w:t>10.</w:t>
            </w:r>
            <w:r>
              <w:rPr>
                <w:rFonts w:ascii="Times New Roman" w:eastAsia="Times New Roman"/>
                <w:spacing w:val="-3"/>
                <w:w w:val="100"/>
                <w:sz w:val="21"/>
                <w:shd w:fill="C0C0C0" w:color="auto" w:val="clear"/>
              </w:rPr>
              <w:t>7</w:t>
            </w:r>
            <w:r>
              <w:rPr>
                <w:spacing w:val="-106"/>
                <w:w w:val="100"/>
                <w:sz w:val="21"/>
                <w:shd w:fill="C0C0C0" w:color="auto" w:val="clear"/>
              </w:rPr>
              <w:t>）</w:t>
            </w:r>
            <w:r>
              <w:rPr>
                <w:spacing w:val="-3"/>
                <w:w w:val="100"/>
                <w:sz w:val="21"/>
                <w:shd w:fill="C0C0C0" w:color="auto" w:val="clear"/>
              </w:rPr>
              <w:t>，或驾驶</w:t>
            </w:r>
            <w:r>
              <w:rPr>
                <w:b/>
                <w:w w:val="100"/>
                <w:sz w:val="21"/>
                <w:shd w:fill="C0C0C0" w:color="auto" w:val="clear"/>
              </w:rPr>
              <w:t>无有效行驶证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15"/>
                <w:w w:val="100"/>
                <w:sz w:val="21"/>
                <w:shd w:fill="C0C0C0" w:color="auto" w:val="clear"/>
              </w:rPr>
              <w:t>10</w:t>
            </w:r>
            <w:r>
              <w:rPr>
                <w:rFonts w:ascii="Times New Roman" w:eastAsia="Times New Roman"/>
                <w:spacing w:val="-118"/>
                <w:w w:val="100"/>
                <w:sz w:val="21"/>
                <w:shd w:fill="C0C0C0" w:color="auto" w:val="clear"/>
              </w:rPr>
              <w:t>.</w:t>
            </w:r>
            <w:r>
              <w:rPr>
                <w:rFonts w:ascii="Times New Roman" w:eastAsia="Times New Roman"/>
                <w:spacing w:val="-115"/>
                <w:w w:val="100"/>
                <w:sz w:val="21"/>
                <w:shd w:fill="C0C0C0" w:color="auto" w:val="clear"/>
              </w:rPr>
              <w:t>8</w:t>
            </w:r>
            <w:r>
              <w:rPr>
                <w:spacing w:val="-118"/>
                <w:w w:val="100"/>
                <w:sz w:val="21"/>
                <w:shd w:fill="C0C0C0" w:color="auto" w:val="clear"/>
              </w:rPr>
              <w:t>）</w:t>
            </w:r>
            <w:r>
              <w:rPr>
                <w:spacing w:val="-2"/>
                <w:w w:val="100"/>
                <w:sz w:val="21"/>
                <w:shd w:fill="C0C0C0" w:color="auto" w:val="clear"/>
              </w:rPr>
              <w:t>的</w:t>
            </w:r>
            <w:r>
              <w:rPr>
                <w:b/>
                <w:w w:val="100"/>
                <w:sz w:val="21"/>
                <w:shd w:fill="C0C0C0" w:color="auto" w:val="clear"/>
              </w:rPr>
              <w:t>机动车</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10.</w:t>
            </w:r>
            <w:r>
              <w:rPr>
                <w:rFonts w:ascii="Times New Roman" w:eastAsia="Times New Roman"/>
                <w:spacing w:val="-3"/>
                <w:w w:val="100"/>
                <w:sz w:val="21"/>
                <w:shd w:fill="C0C0C0" w:color="auto" w:val="clear"/>
              </w:rPr>
              <w:t>9</w:t>
            </w:r>
            <w:r>
              <w:rPr>
                <w:spacing w:val="-108"/>
                <w:w w:val="100"/>
                <w:sz w:val="21"/>
                <w:shd w:fill="C0C0C0" w:color="auto" w:val="clear"/>
              </w:rPr>
              <w:t>）</w:t>
            </w:r>
            <w:r>
              <w:rPr>
                <w:b/>
                <w:w w:val="100"/>
                <w:sz w:val="21"/>
                <w:shd w:fill="C0C0C0" w:color="auto" w:val="clear"/>
              </w:rPr>
              <w:t>；</w:t>
            </w:r>
            <w:r>
              <w:rPr>
                <w:b/>
                <w:w w:val="99"/>
                <w:sz w:val="21"/>
              </w:rPr>
              <w:t> </w:t>
            </w:r>
          </w:p>
          <w:p>
            <w:pPr>
              <w:pStyle w:val="TableParagraph"/>
              <w:spacing w:line="256" w:lineRule="auto" w:before="4"/>
              <w:ind w:right="251"/>
              <w:rPr>
                <w:sz w:val="21"/>
              </w:rPr>
            </w:pPr>
            <w:r>
              <w:rPr>
                <w:rFonts w:ascii="Times New Roman" w:hAnsi="Times New Roman" w:eastAsia="Times New Roman"/>
                <w:w w:val="100"/>
                <w:sz w:val="21"/>
                <w:shd w:fill="C0C0C0" w:color="auto" w:val="clear"/>
              </w:rPr>
              <w:t>6.</w:t>
            </w:r>
            <w:r>
              <w:rPr>
                <w:spacing w:val="-3"/>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3"/>
                <w:w w:val="100"/>
                <w:sz w:val="21"/>
                <w:shd w:fill="C0C0C0" w:color="auto" w:val="clear"/>
              </w:rPr>
              <w:t>1</w:t>
            </w:r>
            <w:r>
              <w:rPr>
                <w:rFonts w:ascii="Times New Roman" w:hAnsi="Times New Roman" w:eastAsia="Times New Roman"/>
                <w:w w:val="100"/>
                <w:sz w:val="21"/>
                <w:shd w:fill="C0C0C0" w:color="auto" w:val="clear"/>
              </w:rPr>
              <w:t>0.10</w:t>
            </w:r>
            <w:r>
              <w:rPr>
                <w:spacing w:val="-108"/>
                <w:w w:val="100"/>
                <w:sz w:val="21"/>
                <w:shd w:fill="C0C0C0" w:color="auto" w:val="clear"/>
              </w:rPr>
              <w:t>）</w:t>
            </w:r>
            <w:r>
              <w:rPr>
                <w:w w:val="100"/>
                <w:sz w:val="21"/>
              </w:rPr>
              <w:t>（</w:t>
            </w:r>
            <w:r>
              <w:rPr>
                <w:spacing w:val="-3"/>
                <w:w w:val="100"/>
                <w:sz w:val="21"/>
              </w:rPr>
              <w:t>不包括“</w:t>
            </w:r>
            <w:r>
              <w:rPr>
                <w:rFonts w:ascii="Times New Roman" w:hAnsi="Times New Roman" w:eastAsia="Times New Roman"/>
                <w:w w:val="100"/>
                <w:sz w:val="21"/>
              </w:rPr>
              <w:t>9.</w:t>
            </w:r>
            <w:r>
              <w:rPr>
                <w:spacing w:val="-3"/>
                <w:w w:val="100"/>
                <w:sz w:val="21"/>
              </w:rPr>
              <w:t>疾病定义”中列明的疾病</w:t>
            </w:r>
            <w:r>
              <w:rPr>
                <w:spacing w:val="-106"/>
                <w:w w:val="100"/>
                <w:sz w:val="21"/>
              </w:rPr>
              <w:t>）</w:t>
            </w:r>
            <w:r>
              <w:rPr>
                <w:spacing w:val="-3"/>
                <w:w w:val="100"/>
                <w:sz w:val="21"/>
              </w:rPr>
              <w:t>；</w:t>
            </w:r>
            <w:r>
              <w:rPr>
                <w:w w:val="100"/>
                <w:sz w:val="21"/>
              </w:rPr>
              <w:t> </w:t>
            </w:r>
          </w:p>
        </w:tc>
      </w:tr>
      <w:tr>
        <w:trPr>
          <w:trHeight w:val="1303"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81" w:lineRule="exact"/>
              <w:rPr>
                <w:sz w:val="21"/>
              </w:rPr>
            </w:pPr>
            <w:r>
              <w:rPr>
                <w:rFonts w:ascii="Times New Roman" w:eastAsia="Times New Roman"/>
                <w:sz w:val="21"/>
                <w:shd w:fill="C0C0C0" w:color="auto" w:val="clear"/>
              </w:rPr>
              <w:t>7.</w:t>
            </w:r>
            <w:r>
              <w:rPr>
                <w:sz w:val="21"/>
                <w:shd w:fill="C0C0C0" w:color="auto" w:val="clear"/>
              </w:rPr>
              <w:t>战争、军事冲突、暴乱或武装叛乱；</w:t>
            </w:r>
            <w:r>
              <w:rPr>
                <w:sz w:val="21"/>
              </w:rPr>
              <w:t> </w:t>
            </w:r>
          </w:p>
          <w:p>
            <w:pPr>
              <w:pStyle w:val="TableParagraph"/>
              <w:spacing w:before="21"/>
              <w:rPr>
                <w:sz w:val="21"/>
              </w:rPr>
            </w:pPr>
            <w:r>
              <w:rPr>
                <w:rFonts w:ascii="Times New Roman" w:eastAsia="Times New Roman"/>
                <w:sz w:val="21"/>
                <w:shd w:fill="C0C0C0" w:color="auto" w:val="clear"/>
              </w:rPr>
              <w:t>8.</w:t>
            </w:r>
            <w:r>
              <w:rPr>
                <w:sz w:val="21"/>
                <w:shd w:fill="C0C0C0" w:color="auto" w:val="clear"/>
              </w:rPr>
              <w:t>核爆炸、核辐射或核污染；</w:t>
            </w:r>
            <w:r>
              <w:rPr>
                <w:sz w:val="21"/>
              </w:rPr>
              <w:t> </w:t>
            </w:r>
          </w:p>
          <w:p>
            <w:pPr>
              <w:pStyle w:val="TableParagraph"/>
              <w:spacing w:line="256" w:lineRule="auto" w:before="20"/>
              <w:ind w:right="203"/>
              <w:rPr>
                <w:sz w:val="22"/>
              </w:rPr>
            </w:pP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b/>
                <w:w w:val="100"/>
                <w:sz w:val="21"/>
                <w:shd w:fill="C0C0C0" w:color="auto" w:val="clear"/>
              </w:rPr>
              <w:t>遗传性疾病</w:t>
            </w:r>
            <w:r>
              <w:rPr>
                <w:w w:val="100"/>
                <w:sz w:val="21"/>
                <w:shd w:fill="C0C0C0" w:color="auto" w:val="clear"/>
              </w:rPr>
              <w:t>（见</w:t>
            </w:r>
            <w:r>
              <w:rPr>
                <w:spacing w:val="-53"/>
                <w:sz w:val="21"/>
                <w:shd w:fill="C0C0C0" w:color="auto" w:val="clear"/>
              </w:rPr>
              <w:t> </w:t>
            </w:r>
            <w:r>
              <w:rPr>
                <w:rFonts w:ascii="Times New Roman" w:hAnsi="Times New Roman" w:eastAsia="Times New Roman"/>
                <w:spacing w:val="-3"/>
                <w:w w:val="100"/>
                <w:sz w:val="21"/>
                <w:shd w:fill="C0C0C0" w:color="auto" w:val="clear"/>
              </w:rPr>
              <w:t>1</w:t>
            </w:r>
            <w:r>
              <w:rPr>
                <w:rFonts w:ascii="Times New Roman" w:hAnsi="Times New Roman" w:eastAsia="Times New Roman"/>
                <w:w w:val="100"/>
                <w:sz w:val="21"/>
                <w:shd w:fill="C0C0C0" w:color="auto" w:val="clear"/>
              </w:rPr>
              <w:t>0.</w:t>
            </w:r>
            <w:r>
              <w:rPr>
                <w:rFonts w:ascii="Times New Roman" w:hAnsi="Times New Roman" w:eastAsia="Times New Roman"/>
                <w:spacing w:val="-10"/>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spacing w:val="-2"/>
                <w:w w:val="100"/>
                <w:sz w:val="21"/>
                <w:shd w:fill="C0C0C0" w:color="auto" w:val="clear"/>
              </w:rPr>
              <w:t>、</w:t>
            </w:r>
            <w:r>
              <w:rPr>
                <w:b/>
                <w:spacing w:val="-1"/>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w w:val="100"/>
                <w:sz w:val="21"/>
                <w:shd w:fill="C0C0C0" w:color="auto" w:val="clear"/>
              </w:rPr>
              <w:t>10</w:t>
            </w:r>
            <w:r>
              <w:rPr>
                <w:rFonts w:ascii="Times New Roman" w:hAnsi="Times New Roman" w:eastAsia="Times New Roman"/>
                <w:spacing w:val="-3"/>
                <w:w w:val="100"/>
                <w:sz w:val="21"/>
                <w:shd w:fill="C0C0C0" w:color="auto" w:val="clear"/>
              </w:rPr>
              <w:t>.</w:t>
            </w:r>
            <w:r>
              <w:rPr>
                <w:rFonts w:ascii="Times New Roman" w:hAnsi="Times New Roman" w:eastAsia="Times New Roman"/>
                <w:w w:val="100"/>
                <w:sz w:val="21"/>
                <w:shd w:fill="C0C0C0" w:color="auto" w:val="clear"/>
              </w:rPr>
              <w:t>12</w:t>
            </w:r>
            <w:r>
              <w:rPr>
                <w:spacing w:val="-108"/>
                <w:w w:val="100"/>
                <w:sz w:val="21"/>
                <w:shd w:fill="C0C0C0" w:color="auto" w:val="clear"/>
              </w:rPr>
              <w:t>）</w:t>
            </w:r>
            <w:r>
              <w:rPr>
                <w:w w:val="100"/>
                <w:sz w:val="21"/>
              </w:rPr>
              <w:t>（</w:t>
            </w:r>
            <w:r>
              <w:rPr>
                <w:spacing w:val="-2"/>
                <w:w w:val="100"/>
                <w:sz w:val="21"/>
              </w:rPr>
              <w:t>不包</w:t>
            </w:r>
            <w:r>
              <w:rPr>
                <w:spacing w:val="-1"/>
                <w:sz w:val="21"/>
              </w:rPr>
              <w:t>括“</w:t>
            </w:r>
            <w:r>
              <w:rPr>
                <w:rFonts w:ascii="Times New Roman" w:hAnsi="Times New Roman" w:eastAsia="Times New Roman"/>
                <w:spacing w:val="-1"/>
                <w:sz w:val="21"/>
              </w:rPr>
              <w:t>9.</w:t>
            </w:r>
            <w:r>
              <w:rPr>
                <w:spacing w:val="-3"/>
                <w:sz w:val="21"/>
              </w:rPr>
              <w:t>疾病定义”中列明的疾病</w:t>
            </w:r>
            <w:r>
              <w:rPr>
                <w:spacing w:val="-106"/>
                <w:sz w:val="21"/>
              </w:rPr>
              <w:t>）</w:t>
            </w:r>
            <w:r>
              <w:rPr>
                <w:sz w:val="21"/>
              </w:rPr>
              <w:t>。</w:t>
            </w:r>
            <w:r>
              <w:rPr>
                <w:spacing w:val="-3"/>
                <w:sz w:val="21"/>
              </w:rPr>
              <w:t> </w:t>
            </w:r>
            <w:r>
              <w:rPr>
                <w:w w:val="100"/>
                <w:sz w:val="22"/>
              </w:rPr>
              <w:t> </w:t>
            </w:r>
          </w:p>
        </w:tc>
      </w:tr>
      <w:tr>
        <w:trPr>
          <w:trHeight w:val="662"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56" w:lineRule="auto" w:before="28"/>
              <w:ind w:right="90"/>
              <w:rPr>
                <w:b/>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项情形导致被保险人患重大疾病的，我们对该被保险人的保险责任终止，我们向该被保险人退还保险事故日该被保险人名下的</w:t>
            </w:r>
            <w:r>
              <w:rPr>
                <w:b/>
                <w:sz w:val="21"/>
                <w:shd w:fill="C0C0C0" w:color="auto" w:val="clear"/>
              </w:rPr>
              <w:t>未到期净保费</w:t>
            </w:r>
          </w:p>
        </w:tc>
      </w:tr>
      <w:tr>
        <w:trPr>
          <w:trHeight w:val="350"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tcPr>
          <w:p>
            <w:pPr>
              <w:pStyle w:val="TableParagraph"/>
              <w:spacing w:line="281" w:lineRule="exact"/>
              <w:rPr>
                <w:sz w:val="21"/>
              </w:rPr>
            </w:pPr>
            <w:r>
              <w:rPr>
                <w:w w:val="100"/>
                <w:sz w:val="21"/>
                <w:shd w:fill="C0C0C0" w:color="auto" w:val="clear"/>
              </w:rPr>
              <w:t>（见</w:t>
            </w:r>
            <w:r>
              <w:rPr>
                <w:spacing w:val="-53"/>
                <w:sz w:val="21"/>
                <w:shd w:fill="C0C0C0" w:color="auto" w:val="clear"/>
              </w:rPr>
              <w:t> </w:t>
            </w:r>
            <w:r>
              <w:rPr>
                <w:rFonts w:ascii="Times New Roman" w:eastAsia="Times New Roman"/>
                <w:spacing w:val="-3"/>
                <w:w w:val="100"/>
                <w:sz w:val="21"/>
                <w:shd w:fill="C0C0C0" w:color="auto" w:val="clear"/>
              </w:rPr>
              <w:t>1</w:t>
            </w:r>
            <w:r>
              <w:rPr>
                <w:rFonts w:ascii="Times New Roman" w:eastAsia="Times New Roman"/>
                <w:w w:val="100"/>
                <w:sz w:val="21"/>
                <w:shd w:fill="C0C0C0" w:color="auto" w:val="clear"/>
              </w:rPr>
              <w:t>0.13</w:t>
            </w:r>
            <w:r>
              <w:rPr>
                <w:spacing w:val="-108"/>
                <w:w w:val="100"/>
                <w:sz w:val="21"/>
                <w:shd w:fill="C0C0C0" w:color="auto" w:val="clear"/>
              </w:rPr>
              <w:t>）</w:t>
            </w:r>
            <w:r>
              <w:rPr>
                <w:spacing w:val="-3"/>
                <w:w w:val="100"/>
                <w:sz w:val="21"/>
                <w:shd w:fill="C0C0C0" w:color="auto" w:val="clear"/>
              </w:rPr>
              <w:t>。</w:t>
            </w:r>
          </w:p>
        </w:tc>
      </w:tr>
      <w:tr>
        <w:trPr>
          <w:trHeight w:val="368"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shd w:val="clear" w:color="auto" w:fill="C0C0C0"/>
          </w:tcPr>
          <w:p>
            <w:pPr>
              <w:pStyle w:val="TableParagraph"/>
              <w:spacing w:before="42"/>
              <w:rPr>
                <w:sz w:val="21"/>
              </w:rPr>
            </w:pPr>
            <w:r>
              <w:rPr>
                <w:sz w:val="21"/>
              </w:rPr>
              <w:t>发生上述其他情形导致被保险人患重大疾病的，我们对该被保险人的保险责任</w:t>
            </w:r>
          </w:p>
        </w:tc>
      </w:tr>
      <w:tr>
        <w:trPr>
          <w:trHeight w:val="294" w:hRule="atLeast"/>
        </w:trPr>
        <w:tc>
          <w:tcPr>
            <w:tcW w:w="628" w:type="dxa"/>
          </w:tcPr>
          <w:p>
            <w:pPr>
              <w:pStyle w:val="TableParagraph"/>
              <w:rPr>
                <w:rFonts w:ascii="Times New Roman"/>
                <w:sz w:val="20"/>
              </w:rPr>
            </w:pPr>
          </w:p>
        </w:tc>
        <w:tc>
          <w:tcPr>
            <w:tcW w:w="1726" w:type="dxa"/>
          </w:tcPr>
          <w:p>
            <w:pPr>
              <w:pStyle w:val="TableParagraph"/>
              <w:rPr>
                <w:rFonts w:ascii="Times New Roman"/>
                <w:sz w:val="20"/>
              </w:rPr>
            </w:pPr>
          </w:p>
        </w:tc>
        <w:tc>
          <w:tcPr>
            <w:tcW w:w="7304" w:type="dxa"/>
            <w:shd w:val="clear" w:color="auto" w:fill="C0C0C0"/>
          </w:tcPr>
          <w:p>
            <w:pPr>
              <w:pStyle w:val="TableParagraph"/>
              <w:spacing w:line="261" w:lineRule="exact"/>
              <w:rPr>
                <w:b/>
                <w:sz w:val="21"/>
              </w:rPr>
            </w:pPr>
            <w:r>
              <w:rPr>
                <w:sz w:val="21"/>
              </w:rPr>
              <w:t>终止，我们向投保人退还保险事故日该被保险人名下的未到期净保费。</w:t>
            </w:r>
            <w:r>
              <w:rPr>
                <w:b/>
                <w:w w:val="99"/>
                <w:sz w:val="21"/>
              </w:rPr>
              <w:t> </w:t>
            </w:r>
          </w:p>
        </w:tc>
      </w:tr>
    </w:tbl>
    <w:p>
      <w:pPr>
        <w:pStyle w:val="BodyText"/>
        <w:spacing w:before="5"/>
        <w:ind w:left="0"/>
        <w:rPr>
          <w:sz w:val="9"/>
        </w:rPr>
      </w:pPr>
    </w:p>
    <w:p>
      <w:pPr>
        <w:tabs>
          <w:tab w:pos="2517" w:val="left" w:leader="none"/>
        </w:tabs>
        <w:spacing w:line="223" w:lineRule="exact" w:before="36"/>
        <w:ind w:left="1002" w:right="0" w:firstLine="0"/>
        <w:jc w:val="left"/>
        <w:rPr>
          <w:sz w:val="21"/>
        </w:rPr>
      </w:pPr>
      <w:r>
        <w:rPr/>
        <w:pict>
          <v:shape style="position:absolute;margin-left:171.890015pt;margin-top:-36.57634pt;width:357.35pt;height:30.4pt;mso-position-horizontal-relative:page;mso-position-vertical-relative:paragraph;z-index:-39256" coordorigin="3438,-732" coordsize="7147,608" path="m9952,-420l3438,-420,3438,-124,9952,-124,9952,-420m10584,-732l3438,-732,3438,-436,10584,-436,10584,-732e" filled="true" fillcolor="#c0c0c0" stroked="false">
            <v:path arrowok="t"/>
            <v:fill type="solid"/>
            <w10:wrap type="none"/>
          </v:shape>
        </w:pict>
      </w:r>
      <w:r>
        <w:rPr>
          <w:b/>
          <w:w w:val="99"/>
          <w:sz w:val="21"/>
        </w:rPr>
        <w:t> </w:t>
      </w:r>
      <w:r>
        <w:rPr>
          <w:b/>
          <w:sz w:val="21"/>
        </w:rPr>
        <w:tab/>
      </w:r>
      <w:r>
        <w:rPr>
          <w:w w:val="100"/>
          <w:sz w:val="21"/>
        </w:rPr>
        <w:t> </w:t>
      </w:r>
    </w:p>
    <w:p>
      <w:pPr>
        <w:tabs>
          <w:tab w:pos="1002" w:val="left" w:leader="none"/>
        </w:tabs>
        <w:spacing w:line="238" w:lineRule="exact" w:before="0"/>
        <w:ind w:left="213" w:right="0" w:firstLine="0"/>
        <w:jc w:val="left"/>
        <w:rPr>
          <w:sz w:val="21"/>
        </w:rPr>
      </w:pPr>
      <w:r>
        <w:rPr>
          <w:rFonts w:ascii="Times New Roman" w:hAnsi="Times New Roman" w:eastAsia="Times New Roman"/>
          <w:b/>
          <w:sz w:val="21"/>
        </w:rPr>
        <w:t>2.5</w:t>
        <w:tab/>
      </w:r>
      <w:r>
        <w:rPr>
          <w:b/>
          <w:spacing w:val="5"/>
          <w:sz w:val="21"/>
        </w:rPr>
        <w:t>其他免责条款  </w:t>
      </w:r>
      <w:r>
        <w:rPr>
          <w:sz w:val="21"/>
        </w:rPr>
        <w:t>除“</w:t>
      </w:r>
      <w:r>
        <w:rPr>
          <w:rFonts w:ascii="Times New Roman" w:hAnsi="Times New Roman" w:eastAsia="Times New Roman"/>
          <w:sz w:val="21"/>
        </w:rPr>
        <w:t>2.4</w:t>
      </w:r>
      <w:r>
        <w:rPr>
          <w:rFonts w:ascii="Times New Roman" w:hAnsi="Times New Roman" w:eastAsia="Times New Roman"/>
          <w:spacing w:val="2"/>
          <w:sz w:val="21"/>
        </w:rPr>
        <w:t>  </w:t>
      </w:r>
      <w:r>
        <w:rPr>
          <w:spacing w:val="-5"/>
          <w:sz w:val="21"/>
        </w:rPr>
        <w:t>责任免除”外，本合同中还有一些免除本公司责任的条款，详见 </w:t>
      </w:r>
      <w:r>
        <w:rPr>
          <w:rFonts w:ascii="Times New Roman" w:hAnsi="Times New Roman" w:eastAsia="Times New Roman"/>
          <w:sz w:val="21"/>
        </w:rPr>
        <w:t>2.3</w:t>
      </w:r>
      <w:r>
        <w:rPr>
          <w:sz w:val="21"/>
        </w:rPr>
        <w:t>、</w:t>
      </w:r>
    </w:p>
    <w:p>
      <w:pPr>
        <w:pStyle w:val="BodyText"/>
        <w:spacing w:before="22"/>
        <w:ind w:left="2517"/>
      </w:pPr>
      <w:r>
        <w:rPr>
          <w:rFonts w:ascii="Times New Roman" w:eastAsia="Times New Roman"/>
        </w:rPr>
        <w:t>3.2</w:t>
      </w:r>
      <w:r>
        <w:rPr/>
        <w:t>、</w:t>
      </w:r>
      <w:r>
        <w:rPr>
          <w:rFonts w:ascii="Times New Roman" w:eastAsia="Times New Roman"/>
        </w:rPr>
        <w:t>5.1</w:t>
      </w:r>
      <w:r>
        <w:rPr/>
        <w:t>、</w:t>
      </w:r>
      <w:r>
        <w:rPr>
          <w:rFonts w:ascii="Times New Roman" w:eastAsia="Times New Roman"/>
        </w:rPr>
        <w:t>7.1</w:t>
      </w:r>
      <w:r>
        <w:rPr/>
        <w:t>、</w:t>
      </w:r>
      <w:r>
        <w:rPr>
          <w:rFonts w:ascii="Times New Roman" w:eastAsia="Times New Roman"/>
        </w:rPr>
        <w:t>8.1</w:t>
      </w:r>
      <w:r>
        <w:rPr/>
        <w:t>、</w:t>
      </w:r>
      <w:r>
        <w:rPr>
          <w:rFonts w:ascii="Times New Roman" w:eastAsia="Times New Roman"/>
        </w:rPr>
        <w:t>9 </w:t>
      </w:r>
      <w:r>
        <w:rPr/>
        <w:t>和 </w:t>
      </w:r>
      <w:r>
        <w:rPr>
          <w:rFonts w:ascii="Times New Roman" w:eastAsia="Times New Roman"/>
        </w:rPr>
        <w:t>10.3 </w:t>
      </w:r>
      <w:r>
        <w:rPr/>
        <w:t>中</w:t>
      </w:r>
      <w:r>
        <w:rPr>
          <w:shd w:fill="C0C0C0" w:color="auto" w:val="clear"/>
        </w:rPr>
        <w:t>灰色底纹背景字体</w:t>
      </w:r>
      <w:r>
        <w:rPr/>
        <w:t>的内容。 </w:t>
      </w:r>
    </w:p>
    <w:p>
      <w:pPr>
        <w:pStyle w:val="BodyText"/>
        <w:tabs>
          <w:tab w:pos="1002" w:val="left" w:leader="none"/>
          <w:tab w:pos="2517" w:val="left" w:leader="none"/>
        </w:tabs>
        <w:spacing w:line="236" w:lineRule="exact" w:before="177"/>
        <w:ind w:left="213"/>
      </w:pPr>
      <w:r>
        <w:rPr>
          <w:color w:val="FF0000"/>
          <w:w w:val="100"/>
        </w:rPr>
        <w:t> </w:t>
      </w:r>
      <w:r>
        <w:rPr>
          <w:color w:val="FF0000"/>
        </w:rPr>
        <w:tab/>
      </w:r>
      <w:r>
        <w:rPr>
          <w:color w:val="FF0000"/>
          <w:w w:val="100"/>
        </w:rPr>
        <w:t> </w:t>
      </w:r>
      <w:r>
        <w:rPr>
          <w:color w:val="FF0000"/>
        </w:rPr>
        <w:tab/>
      </w:r>
      <w:r>
        <w:rPr>
          <w:color w:val="FF0000"/>
          <w:w w:val="100"/>
        </w:rPr>
        <w:t> </w:t>
      </w:r>
    </w:p>
    <w:p>
      <w:pPr>
        <w:tabs>
          <w:tab w:pos="1002" w:val="left" w:leader="none"/>
        </w:tabs>
        <w:spacing w:line="294" w:lineRule="exact" w:before="0"/>
        <w:ind w:left="213" w:right="0" w:firstLine="0"/>
        <w:jc w:val="left"/>
        <w:rPr>
          <w:b/>
          <w:sz w:val="24"/>
        </w:rPr>
      </w:pPr>
      <w:r>
        <w:rPr>
          <w:rFonts w:ascii="Times New Roman" w:eastAsia="Times New Roman"/>
          <w:b/>
          <w:sz w:val="24"/>
        </w:rPr>
        <w:t>3.</w:t>
        <w:tab/>
      </w:r>
      <w:r>
        <w:rPr>
          <w:b/>
          <w:w w:val="95"/>
          <w:sz w:val="24"/>
        </w:rPr>
        <w:t>保险金的申请</w:t>
      </w:r>
      <w:r>
        <w:rPr>
          <w:b/>
          <w:w w:val="99"/>
          <w:sz w:val="24"/>
        </w:rPr>
        <w:t> </w:t>
      </w:r>
    </w:p>
    <w:p>
      <w:pPr>
        <w:pStyle w:val="BodyText"/>
        <w:spacing w:before="9"/>
        <w:ind w:left="0"/>
        <w:rPr>
          <w:b/>
          <w:sz w:val="13"/>
        </w:rPr>
      </w:pPr>
      <w:r>
        <w:rPr/>
        <w:pict>
          <v:group style="position:absolute;margin-left:51.240002pt;margin-top:10.956797pt;width:483.4pt;height:1pt;mso-position-horizontal-relative:page;mso-position-vertical-relative:paragraph;z-index:1072;mso-wrap-distance-left:0;mso-wrap-distance-right:0" coordorigin="1025,219" coordsize="9668,20">
            <v:line style="position:absolute" from="1025,229" to="1812,229" stroked="true" strokeweight=".96002pt" strokecolor="#000000">
              <v:stroke dashstyle="solid"/>
            </v:line>
            <v:rect style="position:absolute;left:1812;top:219;width:20;height:20" filled="true" fillcolor="#000000" stroked="false">
              <v:fill type="solid"/>
            </v:rect>
            <v:line style="position:absolute" from="1832,229" to="3329,229" stroked="true" strokeweight=".96002pt" strokecolor="#000000">
              <v:stroke dashstyle="solid"/>
            </v:line>
            <v:rect style="position:absolute;left:3329;top:219;width:20;height:20" filled="true" fillcolor="#000000" stroked="false">
              <v:fill type="solid"/>
            </v:rect>
            <v:line style="position:absolute" from="3348,229" to="10692,229" stroked="true" strokeweight=".96002pt" strokecolor="#000000">
              <v:stroke dashstyle="solid"/>
            </v:line>
            <w10:wrap type="topAndBottom"/>
          </v:group>
        </w:pict>
      </w:r>
    </w:p>
    <w:p>
      <w:pPr>
        <w:pStyle w:val="ListParagraph"/>
        <w:numPr>
          <w:ilvl w:val="1"/>
          <w:numId w:val="3"/>
        </w:numPr>
        <w:tabs>
          <w:tab w:pos="479" w:val="left" w:leader="none"/>
          <w:tab w:pos="1002" w:val="left" w:leader="none"/>
          <w:tab w:pos="2517" w:val="left" w:leader="none"/>
        </w:tabs>
        <w:spacing w:line="240" w:lineRule="auto" w:before="109" w:after="0"/>
        <w:ind w:left="478" w:right="0" w:hanging="265"/>
        <w:jc w:val="left"/>
        <w:rPr>
          <w:sz w:val="21"/>
        </w:rPr>
      </w:pPr>
      <w:r>
        <w:rPr>
          <w:b/>
          <w:sz w:val="21"/>
        </w:rPr>
        <w:t>受益人</w:t>
        <w:tab/>
      </w:r>
      <w:r>
        <w:rPr>
          <w:spacing w:val="-1"/>
          <w:sz w:val="21"/>
        </w:rPr>
        <w:t>本合</w:t>
      </w:r>
      <w:r>
        <w:rPr>
          <w:spacing w:val="-3"/>
          <w:sz w:val="21"/>
        </w:rPr>
        <w:t>同</w:t>
      </w:r>
      <w:r>
        <w:rPr>
          <w:sz w:val="21"/>
        </w:rPr>
        <w:t>的</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受益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spacing w:val="-3"/>
          <w:sz w:val="21"/>
        </w:rPr>
        <w:t>。</w:t>
      </w:r>
      <w:r>
        <w:rPr>
          <w:color w:val="FF0000"/>
          <w:sz w:val="21"/>
        </w:rPr>
        <w:t> </w:t>
      </w:r>
    </w:p>
    <w:p>
      <w:pPr>
        <w:pStyle w:val="BodyText"/>
        <w:tabs>
          <w:tab w:pos="1002" w:val="left" w:leader="none"/>
          <w:tab w:pos="2517" w:val="left" w:leader="none"/>
        </w:tabs>
        <w:spacing w:line="217" w:lineRule="exact" w:before="177"/>
        <w:ind w:left="213"/>
      </w:pPr>
      <w:r>
        <w:rPr>
          <w:color w:val="FF0000"/>
          <w:w w:val="100"/>
        </w:rPr>
        <w:t> </w:t>
      </w:r>
      <w:r>
        <w:rPr>
          <w:color w:val="FF0000"/>
        </w:rPr>
        <w:tab/>
      </w:r>
      <w:r>
        <w:rPr>
          <w:color w:val="FF0000"/>
          <w:w w:val="100"/>
        </w:rPr>
        <w:t> </w:t>
      </w:r>
      <w:r>
        <w:rPr>
          <w:color w:val="FF0000"/>
        </w:rPr>
        <w:tab/>
      </w:r>
      <w:r>
        <w:rPr>
          <w:color w:val="FF0000"/>
          <w:w w:val="100"/>
        </w:rPr>
        <w:t> </w:t>
      </w:r>
    </w:p>
    <w:p>
      <w:pPr>
        <w:pStyle w:val="ListParagraph"/>
        <w:numPr>
          <w:ilvl w:val="1"/>
          <w:numId w:val="3"/>
        </w:numPr>
        <w:tabs>
          <w:tab w:pos="479" w:val="left" w:leader="none"/>
          <w:tab w:pos="1002" w:val="left" w:leader="none"/>
        </w:tabs>
        <w:spacing w:line="244" w:lineRule="exact" w:before="0" w:after="0"/>
        <w:ind w:left="478" w:right="0" w:hanging="265"/>
        <w:jc w:val="left"/>
        <w:rPr>
          <w:sz w:val="21"/>
        </w:rPr>
      </w:pPr>
      <w:r>
        <w:rPr>
          <w:b/>
          <w:spacing w:val="5"/>
          <w:sz w:val="21"/>
        </w:rPr>
        <w:t>保险事故通知  </w:t>
      </w:r>
      <w:r>
        <w:rPr>
          <w:spacing w:val="-6"/>
          <w:sz w:val="21"/>
        </w:rPr>
        <w:t>投保人、被保险人或受益人知道保险事故后应当在 </w:t>
      </w:r>
      <w:r>
        <w:rPr>
          <w:rFonts w:ascii="Times New Roman" w:eastAsia="Times New Roman"/>
          <w:sz w:val="21"/>
        </w:rPr>
        <w:t>10</w:t>
      </w:r>
      <w:r>
        <w:rPr>
          <w:rFonts w:ascii="Times New Roman" w:eastAsia="Times New Roman"/>
          <w:spacing w:val="3"/>
          <w:sz w:val="21"/>
        </w:rPr>
        <w:t> </w:t>
      </w:r>
      <w:r>
        <w:rPr>
          <w:spacing w:val="-3"/>
          <w:sz w:val="21"/>
        </w:rPr>
        <w:t>日内通知我们</w:t>
      </w:r>
      <w:r>
        <w:rPr>
          <w:i/>
          <w:spacing w:val="-3"/>
          <w:sz w:val="22"/>
        </w:rPr>
        <w:t>。</w:t>
      </w:r>
      <w:r>
        <w:rPr>
          <w:w w:val="100"/>
          <w:sz w:val="21"/>
        </w:rPr>
        <w:t> </w:t>
      </w:r>
    </w:p>
    <w:p>
      <w:pPr>
        <w:pStyle w:val="BodyText"/>
        <w:spacing w:line="273" w:lineRule="auto" w:before="115"/>
        <w:ind w:left="2517" w:right="260"/>
        <w:jc w:val="both"/>
      </w:pPr>
      <w:r>
        <w:rPr>
          <w:spacing w:val="-3"/>
          <w:shd w:fill="C0C0C0" w:color="auto" w:val="clear"/>
        </w:rPr>
        <w:t>如果投保人、被保险人或受益人故意或者因重大过失未及时通知，致使保险事</w:t>
      </w:r>
      <w:r>
        <w:rPr>
          <w:spacing w:val="-208"/>
          <w:shd w:fill="C0C0C0" w:color="auto" w:val="clear"/>
        </w:rPr>
        <w:t>故</w:t>
      </w:r>
      <w:r>
        <w:rPr>
          <w:spacing w:val="-3"/>
          <w:shd w:fill="C0C0C0" w:color="auto" w:val="clear"/>
        </w:rPr>
        <w:t>的性质、原因、损失程度等难以确定的，我们对无法确定的部分，不承担给付保险金的责任，</w:t>
      </w:r>
      <w:r>
        <w:rPr>
          <w:spacing w:val="-3"/>
        </w:rPr>
        <w:t>但我们通过其他途径已经及时知道或者应当及时知道保险事</w:t>
      </w:r>
    </w:p>
    <w:p>
      <w:pPr>
        <w:spacing w:after="0" w:line="273" w:lineRule="auto"/>
        <w:jc w:val="both"/>
        <w:sectPr>
          <w:pgSz w:w="11910" w:h="16840"/>
          <w:pgMar w:header="0" w:footer="924" w:top="1160" w:bottom="1200" w:left="920" w:right="10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54"/>
        <w:gridCol w:w="7327"/>
      </w:tblGrid>
      <w:tr>
        <w:trPr>
          <w:trHeight w:val="652" w:hRule="atLeast"/>
        </w:trPr>
        <w:tc>
          <w:tcPr>
            <w:tcW w:w="687" w:type="dxa"/>
          </w:tcPr>
          <w:p>
            <w:pPr>
              <w:pStyle w:val="TableParagraph"/>
              <w:rPr>
                <w:rFonts w:ascii="Times New Roman"/>
                <w:sz w:val="20"/>
              </w:rPr>
            </w:pPr>
          </w:p>
        </w:tc>
        <w:tc>
          <w:tcPr>
            <w:tcW w:w="1654" w:type="dxa"/>
          </w:tcPr>
          <w:p>
            <w:pPr>
              <w:pStyle w:val="TableParagraph"/>
              <w:rPr>
                <w:rFonts w:ascii="Times New Roman"/>
                <w:sz w:val="20"/>
              </w:rPr>
            </w:pPr>
          </w:p>
        </w:tc>
        <w:tc>
          <w:tcPr>
            <w:tcW w:w="7327" w:type="dxa"/>
          </w:tcPr>
          <w:p>
            <w:pPr>
              <w:pStyle w:val="TableParagraph"/>
              <w:spacing w:line="211" w:lineRule="exact"/>
              <w:ind w:left="71"/>
              <w:rPr>
                <w:sz w:val="21"/>
              </w:rPr>
            </w:pPr>
            <w:r>
              <w:rPr>
                <w:sz w:val="21"/>
              </w:rPr>
              <w:t>故发生或者虽未及时通知但不影响我们确定保险事故的性质、原因、损失程度</w:t>
            </w:r>
          </w:p>
          <w:p>
            <w:pPr>
              <w:pStyle w:val="TableParagraph"/>
              <w:spacing w:before="37"/>
              <w:ind w:left="71"/>
              <w:rPr>
                <w:sz w:val="21"/>
              </w:rPr>
            </w:pPr>
            <w:r>
              <w:rPr>
                <w:sz w:val="21"/>
              </w:rPr>
              <w:t>的除外。</w:t>
            </w:r>
            <w:r>
              <w:rPr>
                <w:color w:val="FF0000"/>
                <w:sz w:val="21"/>
              </w:rPr>
              <w:t> </w:t>
            </w:r>
          </w:p>
        </w:tc>
      </w:tr>
      <w:tr>
        <w:trPr>
          <w:trHeight w:val="316" w:hRule="atLeast"/>
        </w:trPr>
        <w:tc>
          <w:tcPr>
            <w:tcW w:w="687" w:type="dxa"/>
          </w:tcPr>
          <w:p>
            <w:pPr>
              <w:pStyle w:val="TableParagraph"/>
              <w:spacing w:line="232" w:lineRule="exact" w:before="64"/>
              <w:ind w:left="108"/>
              <w:rPr>
                <w:sz w:val="21"/>
              </w:rPr>
            </w:pPr>
            <w:r>
              <w:rPr>
                <w:w w:val="100"/>
                <w:sz w:val="21"/>
              </w:rPr>
              <w:t> </w:t>
            </w:r>
          </w:p>
        </w:tc>
        <w:tc>
          <w:tcPr>
            <w:tcW w:w="1654" w:type="dxa"/>
          </w:tcPr>
          <w:p>
            <w:pPr>
              <w:pStyle w:val="TableParagraph"/>
              <w:spacing w:line="232" w:lineRule="exact" w:before="64"/>
              <w:ind w:left="211"/>
              <w:rPr>
                <w:sz w:val="21"/>
              </w:rPr>
            </w:pPr>
            <w:r>
              <w:rPr>
                <w:w w:val="100"/>
                <w:sz w:val="21"/>
              </w:rPr>
              <w:t> </w:t>
            </w:r>
          </w:p>
        </w:tc>
        <w:tc>
          <w:tcPr>
            <w:tcW w:w="7327" w:type="dxa"/>
          </w:tcPr>
          <w:p>
            <w:pPr>
              <w:pStyle w:val="TableParagraph"/>
              <w:spacing w:line="232" w:lineRule="exact" w:before="64"/>
              <w:ind w:left="71"/>
              <w:rPr>
                <w:sz w:val="21"/>
              </w:rPr>
            </w:pPr>
            <w:r>
              <w:rPr>
                <w:color w:val="FF0000"/>
                <w:w w:val="100"/>
                <w:sz w:val="21"/>
              </w:rPr>
              <w:t> </w:t>
            </w:r>
          </w:p>
        </w:tc>
      </w:tr>
      <w:tr>
        <w:trPr>
          <w:trHeight w:val="3814" w:hRule="atLeast"/>
        </w:trPr>
        <w:tc>
          <w:tcPr>
            <w:tcW w:w="687" w:type="dxa"/>
          </w:tcPr>
          <w:p>
            <w:pPr>
              <w:pStyle w:val="TableParagraph"/>
              <w:spacing w:line="209" w:lineRule="exact"/>
              <w:ind w:left="108"/>
              <w:rPr>
                <w:b/>
                <w:sz w:val="21"/>
              </w:rPr>
            </w:pPr>
            <w:r>
              <w:rPr>
                <w:rFonts w:ascii="Times New Roman"/>
                <w:b/>
                <w:sz w:val="21"/>
              </w:rPr>
              <w:t>3.3</w:t>
            </w:r>
            <w:r>
              <w:rPr>
                <w:b/>
                <w:w w:val="99"/>
                <w:sz w:val="21"/>
              </w:rPr>
              <w:t> </w:t>
            </w:r>
          </w:p>
        </w:tc>
        <w:tc>
          <w:tcPr>
            <w:tcW w:w="1654" w:type="dxa"/>
          </w:tcPr>
          <w:p>
            <w:pPr>
              <w:pStyle w:val="TableParagraph"/>
              <w:spacing w:line="193" w:lineRule="exact"/>
              <w:ind w:left="211"/>
              <w:rPr>
                <w:b/>
                <w:sz w:val="21"/>
              </w:rPr>
            </w:pPr>
            <w:r>
              <w:rPr>
                <w:b/>
                <w:sz w:val="21"/>
              </w:rPr>
              <w:t>保险金申请</w:t>
            </w:r>
            <w:r>
              <w:rPr>
                <w:b/>
                <w:w w:val="99"/>
                <w:sz w:val="21"/>
              </w:rPr>
              <w:t> </w:t>
            </w:r>
          </w:p>
        </w:tc>
        <w:tc>
          <w:tcPr>
            <w:tcW w:w="7327" w:type="dxa"/>
          </w:tcPr>
          <w:p>
            <w:pPr>
              <w:pStyle w:val="TableParagraph"/>
              <w:spacing w:line="193" w:lineRule="exact"/>
              <w:ind w:left="71"/>
              <w:rPr>
                <w:sz w:val="21"/>
              </w:rPr>
            </w:pPr>
            <w:r>
              <w:rPr>
                <w:sz w:val="21"/>
              </w:rPr>
              <w:t>在申请重大疾病保险金时，受益人须填写保险金给付申请书，并须提供下列证</w:t>
            </w:r>
          </w:p>
          <w:p>
            <w:pPr>
              <w:pStyle w:val="TableParagraph"/>
              <w:spacing w:before="37"/>
              <w:ind w:left="71"/>
              <w:rPr>
                <w:sz w:val="21"/>
              </w:rPr>
            </w:pPr>
            <w:r>
              <w:rPr>
                <w:sz w:val="21"/>
              </w:rPr>
              <w:t>明和资料： </w:t>
            </w:r>
          </w:p>
          <w:p>
            <w:pPr>
              <w:pStyle w:val="TableParagraph"/>
              <w:spacing w:before="130"/>
              <w:ind w:left="71"/>
              <w:rPr>
                <w:sz w:val="21"/>
              </w:rPr>
            </w:pPr>
            <w:r>
              <w:rPr>
                <w:rFonts w:ascii="Times New Roman" w:eastAsia="Times New Roman"/>
                <w:sz w:val="21"/>
              </w:rPr>
              <w:t>1.</w:t>
            </w:r>
            <w:r>
              <w:rPr>
                <w:sz w:val="21"/>
              </w:rPr>
              <w:t>保险合同或其他有效的保险凭证； </w:t>
            </w:r>
          </w:p>
          <w:p>
            <w:pPr>
              <w:pStyle w:val="TableParagraph"/>
              <w:spacing w:before="20"/>
              <w:ind w:left="71"/>
              <w:rPr>
                <w:sz w:val="21"/>
              </w:rPr>
            </w:pPr>
            <w:r>
              <w:rPr>
                <w:rFonts w:ascii="Times New Roman" w:eastAsia="Times New Roman"/>
                <w:w w:val="100"/>
                <w:sz w:val="21"/>
              </w:rPr>
              <w:t>2.</w:t>
            </w:r>
            <w:r>
              <w:rPr>
                <w:spacing w:val="-3"/>
                <w:w w:val="100"/>
                <w:sz w:val="21"/>
              </w:rPr>
              <w:t>受益人的</w:t>
            </w:r>
            <w:r>
              <w:rPr>
                <w:b/>
                <w:spacing w:val="-1"/>
                <w:w w:val="100"/>
                <w:sz w:val="21"/>
              </w:rPr>
              <w:t>有效身份证件</w:t>
            </w:r>
            <w:r>
              <w:rPr>
                <w:w w:val="100"/>
                <w:sz w:val="21"/>
              </w:rPr>
              <w:t>（见</w:t>
            </w:r>
            <w:r>
              <w:rPr>
                <w:spacing w:val="-53"/>
                <w:sz w:val="21"/>
              </w:rPr>
              <w:t> </w:t>
            </w:r>
            <w:r>
              <w:rPr>
                <w:rFonts w:ascii="Times New Roman" w:eastAsia="Times New Roman"/>
                <w:spacing w:val="-3"/>
                <w:w w:val="100"/>
                <w:sz w:val="21"/>
              </w:rPr>
              <w:t>1</w:t>
            </w:r>
            <w:r>
              <w:rPr>
                <w:rFonts w:ascii="Times New Roman" w:eastAsia="Times New Roman"/>
                <w:w w:val="100"/>
                <w:sz w:val="21"/>
              </w:rPr>
              <w:t>0.14</w:t>
            </w:r>
            <w:r>
              <w:rPr>
                <w:spacing w:val="-108"/>
                <w:w w:val="100"/>
                <w:sz w:val="21"/>
              </w:rPr>
              <w:t>）</w:t>
            </w:r>
            <w:r>
              <w:rPr>
                <w:spacing w:val="-3"/>
                <w:w w:val="100"/>
                <w:sz w:val="21"/>
              </w:rPr>
              <w:t>；</w:t>
            </w:r>
            <w:r>
              <w:rPr>
                <w:w w:val="100"/>
                <w:sz w:val="21"/>
              </w:rPr>
              <w:t> </w:t>
            </w:r>
          </w:p>
          <w:p>
            <w:pPr>
              <w:pStyle w:val="TableParagraph"/>
              <w:spacing w:line="256" w:lineRule="auto" w:before="20"/>
              <w:ind w:left="71" w:right="159"/>
              <w:rPr>
                <w:sz w:val="21"/>
              </w:rPr>
            </w:pPr>
            <w:r>
              <w:rPr>
                <w:rFonts w:ascii="Times New Roman" w:eastAsia="Times New Roman"/>
                <w:sz w:val="21"/>
              </w:rPr>
              <w:t>3.</w:t>
            </w:r>
            <w:r>
              <w:rPr>
                <w:sz w:val="21"/>
              </w:rPr>
              <w:t>就诊医院出具的诊断证明、完整的门诊及住院病历、出院小结、检查检验报告等完整的就诊资料； </w:t>
            </w:r>
          </w:p>
          <w:p>
            <w:pPr>
              <w:pStyle w:val="TableParagraph"/>
              <w:spacing w:before="22"/>
              <w:ind w:left="71"/>
              <w:rPr>
                <w:sz w:val="21"/>
              </w:rPr>
            </w:pPr>
            <w:r>
              <w:rPr>
                <w:rFonts w:ascii="Times New Roman" w:eastAsia="Times New Roman"/>
                <w:sz w:val="21"/>
              </w:rPr>
              <w:t>4.</w:t>
            </w:r>
            <w:r>
              <w:rPr>
                <w:sz w:val="21"/>
              </w:rPr>
              <w:t>与确认保险事故的性质、原因等有关的其他证明和资料。 </w:t>
            </w:r>
          </w:p>
          <w:p>
            <w:pPr>
              <w:pStyle w:val="TableParagraph"/>
              <w:spacing w:line="355" w:lineRule="auto" w:before="115"/>
              <w:ind w:left="71" w:right="1"/>
              <w:rPr>
                <w:sz w:val="21"/>
              </w:rPr>
            </w:pPr>
            <w:r>
              <w:rPr>
                <w:spacing w:val="-3"/>
                <w:sz w:val="21"/>
              </w:rPr>
              <w:t>保险金作为被保险人遗产时，必须提供可证明合法继承权的相关权利文件。  若委托他人办理申请保险金，还须提供授权委托书及受托人身份证件等材料。 </w:t>
            </w:r>
          </w:p>
          <w:p>
            <w:pPr>
              <w:pStyle w:val="TableParagraph"/>
              <w:spacing w:line="273" w:lineRule="auto" w:before="28"/>
              <w:ind w:left="71" w:right="107"/>
              <w:rPr>
                <w:sz w:val="21"/>
              </w:rPr>
            </w:pPr>
            <w:r>
              <w:rPr>
                <w:sz w:val="21"/>
              </w:rPr>
              <w:t>以上证明和资料不完整的，我们将及时一次性通知受益人补充提供有关证明和资料。</w:t>
            </w:r>
            <w:r>
              <w:rPr>
                <w:color w:val="FF0000"/>
                <w:sz w:val="21"/>
              </w:rPr>
              <w:t> </w:t>
            </w:r>
          </w:p>
        </w:tc>
      </w:tr>
      <w:tr>
        <w:trPr>
          <w:trHeight w:val="316" w:hRule="atLeast"/>
        </w:trPr>
        <w:tc>
          <w:tcPr>
            <w:tcW w:w="687" w:type="dxa"/>
          </w:tcPr>
          <w:p>
            <w:pPr>
              <w:pStyle w:val="TableParagraph"/>
              <w:spacing w:line="232" w:lineRule="exact" w:before="64"/>
              <w:ind w:left="108"/>
              <w:rPr>
                <w:sz w:val="21"/>
              </w:rPr>
            </w:pPr>
            <w:r>
              <w:rPr>
                <w:color w:val="FF0000"/>
                <w:w w:val="100"/>
                <w:sz w:val="21"/>
              </w:rPr>
              <w:t> </w:t>
            </w:r>
          </w:p>
        </w:tc>
        <w:tc>
          <w:tcPr>
            <w:tcW w:w="1654" w:type="dxa"/>
          </w:tcPr>
          <w:p>
            <w:pPr>
              <w:pStyle w:val="TableParagraph"/>
              <w:spacing w:line="232" w:lineRule="exact" w:before="64"/>
              <w:ind w:left="211"/>
              <w:rPr>
                <w:sz w:val="21"/>
              </w:rPr>
            </w:pPr>
            <w:r>
              <w:rPr>
                <w:color w:val="FF0000"/>
                <w:w w:val="100"/>
                <w:sz w:val="21"/>
              </w:rPr>
              <w:t> </w:t>
            </w:r>
          </w:p>
        </w:tc>
        <w:tc>
          <w:tcPr>
            <w:tcW w:w="7327" w:type="dxa"/>
          </w:tcPr>
          <w:p>
            <w:pPr>
              <w:pStyle w:val="TableParagraph"/>
              <w:spacing w:line="232" w:lineRule="exact" w:before="64"/>
              <w:ind w:left="71"/>
              <w:rPr>
                <w:sz w:val="21"/>
              </w:rPr>
            </w:pPr>
            <w:r>
              <w:rPr>
                <w:color w:val="FF0000"/>
                <w:w w:val="100"/>
                <w:sz w:val="21"/>
              </w:rPr>
              <w:t> </w:t>
            </w:r>
          </w:p>
        </w:tc>
      </w:tr>
      <w:tr>
        <w:trPr>
          <w:trHeight w:val="2693" w:hRule="atLeast"/>
        </w:trPr>
        <w:tc>
          <w:tcPr>
            <w:tcW w:w="687" w:type="dxa"/>
          </w:tcPr>
          <w:p>
            <w:pPr>
              <w:pStyle w:val="TableParagraph"/>
              <w:spacing w:line="209" w:lineRule="exact"/>
              <w:ind w:left="108"/>
              <w:rPr>
                <w:b/>
                <w:sz w:val="21"/>
              </w:rPr>
            </w:pPr>
            <w:r>
              <w:rPr>
                <w:rFonts w:ascii="Times New Roman"/>
                <w:b/>
                <w:sz w:val="21"/>
              </w:rPr>
              <w:t>3.4</w:t>
            </w:r>
            <w:r>
              <w:rPr>
                <w:b/>
                <w:w w:val="99"/>
                <w:sz w:val="21"/>
              </w:rPr>
              <w:t> </w:t>
            </w:r>
          </w:p>
        </w:tc>
        <w:tc>
          <w:tcPr>
            <w:tcW w:w="1654" w:type="dxa"/>
          </w:tcPr>
          <w:p>
            <w:pPr>
              <w:pStyle w:val="TableParagraph"/>
              <w:spacing w:line="193" w:lineRule="exact"/>
              <w:ind w:left="211"/>
              <w:rPr>
                <w:b/>
                <w:sz w:val="21"/>
              </w:rPr>
            </w:pPr>
            <w:r>
              <w:rPr>
                <w:b/>
                <w:sz w:val="21"/>
              </w:rPr>
              <w:t>保险金给付</w:t>
            </w:r>
            <w:r>
              <w:rPr>
                <w:b/>
                <w:w w:val="99"/>
                <w:sz w:val="21"/>
              </w:rPr>
              <w:t> </w:t>
            </w:r>
          </w:p>
        </w:tc>
        <w:tc>
          <w:tcPr>
            <w:tcW w:w="7327" w:type="dxa"/>
          </w:tcPr>
          <w:p>
            <w:pPr>
              <w:pStyle w:val="TableParagraph"/>
              <w:spacing w:line="209" w:lineRule="exact"/>
              <w:ind w:left="7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71"/>
              <w:rPr>
                <w:sz w:val="21"/>
              </w:rPr>
            </w:pPr>
            <w:r>
              <w:rPr>
                <w:spacing w:val="-12"/>
                <w:sz w:val="21"/>
              </w:rPr>
              <w:t>定；情形复杂的，在 </w:t>
            </w:r>
            <w:r>
              <w:rPr>
                <w:rFonts w:ascii="Times New Roman" w:eastAsia="Times New Roman"/>
                <w:sz w:val="21"/>
              </w:rPr>
              <w:t>30 </w:t>
            </w:r>
            <w:r>
              <w:rPr>
                <w:spacing w:val="-9"/>
                <w:sz w:val="21"/>
              </w:rPr>
              <w:t>日内作出核定。对属于保险责任的，我们在与受益人达</w:t>
            </w:r>
          </w:p>
          <w:p>
            <w:pPr>
              <w:pStyle w:val="TableParagraph"/>
              <w:spacing w:before="21"/>
              <w:ind w:left="7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56" w:lineRule="auto" w:before="115"/>
              <w:ind w:left="71" w:right="44"/>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6"/>
              <w:ind w:left="71" w:right="104"/>
              <w:jc w:val="both"/>
              <w:rPr>
                <w:sz w:val="21"/>
              </w:rPr>
            </w:pPr>
            <w:r>
              <w:rPr>
                <w:spacing w:val="-5"/>
                <w:sz w:val="21"/>
              </w:rPr>
              <w:t>我们在收到保险金给付申请书及有关证明和资料之日起 </w:t>
            </w:r>
            <w:r>
              <w:rPr>
                <w:rFonts w:ascii="Times New Roman" w:eastAsia="Times New Roman"/>
                <w:sz w:val="21"/>
              </w:rPr>
              <w:t>60 </w:t>
            </w:r>
            <w:r>
              <w:rPr>
                <w:spacing w:val="-16"/>
                <w:sz w:val="21"/>
              </w:rPr>
              <w:t>日内，对给付保险金</w:t>
            </w:r>
            <w:r>
              <w:rPr>
                <w:spacing w:val="-7"/>
                <w:sz w:val="21"/>
              </w:rPr>
              <w:t>的数额不能确定的，根据已有证明和资料可以确定的数额先予支付；我们最终</w:t>
            </w:r>
            <w:r>
              <w:rPr>
                <w:spacing w:val="-5"/>
                <w:sz w:val="21"/>
              </w:rPr>
              <w:t>确定给付保险金的数额后，将支付相应的差额。</w:t>
            </w:r>
            <w:r>
              <w:rPr>
                <w:sz w:val="21"/>
              </w:rPr>
              <w:t> </w:t>
            </w:r>
          </w:p>
        </w:tc>
      </w:tr>
      <w:tr>
        <w:trPr>
          <w:trHeight w:val="315" w:hRule="atLeast"/>
        </w:trPr>
        <w:tc>
          <w:tcPr>
            <w:tcW w:w="687" w:type="dxa"/>
          </w:tcPr>
          <w:p>
            <w:pPr>
              <w:pStyle w:val="TableParagraph"/>
              <w:spacing w:line="231" w:lineRule="exact" w:before="64"/>
              <w:ind w:left="108"/>
              <w:rPr>
                <w:sz w:val="21"/>
              </w:rPr>
            </w:pPr>
            <w:r>
              <w:rPr>
                <w:color w:val="FF0000"/>
                <w:w w:val="100"/>
                <w:sz w:val="21"/>
              </w:rPr>
              <w:t> </w:t>
            </w:r>
          </w:p>
        </w:tc>
        <w:tc>
          <w:tcPr>
            <w:tcW w:w="1654" w:type="dxa"/>
          </w:tcPr>
          <w:p>
            <w:pPr>
              <w:pStyle w:val="TableParagraph"/>
              <w:spacing w:line="231" w:lineRule="exact" w:before="64"/>
              <w:ind w:left="211"/>
              <w:rPr>
                <w:sz w:val="21"/>
              </w:rPr>
            </w:pPr>
            <w:r>
              <w:rPr>
                <w:color w:val="FF0000"/>
                <w:w w:val="100"/>
                <w:sz w:val="21"/>
              </w:rPr>
              <w:t> </w:t>
            </w:r>
          </w:p>
        </w:tc>
        <w:tc>
          <w:tcPr>
            <w:tcW w:w="7327" w:type="dxa"/>
          </w:tcPr>
          <w:p>
            <w:pPr>
              <w:pStyle w:val="TableParagraph"/>
              <w:spacing w:line="231" w:lineRule="exact" w:before="64"/>
              <w:ind w:left="71"/>
              <w:rPr>
                <w:sz w:val="21"/>
              </w:rPr>
            </w:pPr>
            <w:r>
              <w:rPr>
                <w:color w:val="FF0000"/>
                <w:w w:val="100"/>
                <w:sz w:val="21"/>
              </w:rPr>
              <w:t> </w:t>
            </w:r>
          </w:p>
        </w:tc>
      </w:tr>
      <w:tr>
        <w:trPr>
          <w:trHeight w:val="632" w:hRule="atLeast"/>
        </w:trPr>
        <w:tc>
          <w:tcPr>
            <w:tcW w:w="687" w:type="dxa"/>
          </w:tcPr>
          <w:p>
            <w:pPr>
              <w:pStyle w:val="TableParagraph"/>
              <w:spacing w:line="208" w:lineRule="exact"/>
              <w:ind w:left="108"/>
              <w:rPr>
                <w:b/>
                <w:sz w:val="21"/>
              </w:rPr>
            </w:pPr>
            <w:r>
              <w:rPr>
                <w:rFonts w:ascii="Times New Roman"/>
                <w:b/>
                <w:sz w:val="21"/>
              </w:rPr>
              <w:t>3.5</w:t>
            </w:r>
            <w:r>
              <w:rPr>
                <w:b/>
                <w:w w:val="99"/>
                <w:sz w:val="21"/>
              </w:rPr>
              <w:t> </w:t>
            </w:r>
          </w:p>
        </w:tc>
        <w:tc>
          <w:tcPr>
            <w:tcW w:w="1654" w:type="dxa"/>
          </w:tcPr>
          <w:p>
            <w:pPr>
              <w:pStyle w:val="TableParagraph"/>
              <w:spacing w:line="192" w:lineRule="exact"/>
              <w:ind w:left="211"/>
              <w:rPr>
                <w:b/>
                <w:sz w:val="21"/>
              </w:rPr>
            </w:pPr>
            <w:r>
              <w:rPr>
                <w:b/>
                <w:sz w:val="21"/>
              </w:rPr>
              <w:t>诉讼时效</w:t>
            </w:r>
            <w:r>
              <w:rPr>
                <w:b/>
                <w:w w:val="99"/>
                <w:sz w:val="21"/>
              </w:rPr>
              <w:t> </w:t>
            </w:r>
          </w:p>
        </w:tc>
        <w:tc>
          <w:tcPr>
            <w:tcW w:w="7327" w:type="dxa"/>
          </w:tcPr>
          <w:p>
            <w:pPr>
              <w:pStyle w:val="TableParagraph"/>
              <w:spacing w:line="208" w:lineRule="exact"/>
              <w:ind w:left="71"/>
              <w:rPr>
                <w:sz w:val="21"/>
              </w:rPr>
            </w:pPr>
            <w:r>
              <w:rPr>
                <w:sz w:val="21"/>
              </w:rPr>
              <w:t>受益人向我们申请给付重大疾病保险金的诉讼时效期间为 </w:t>
            </w:r>
            <w:r>
              <w:rPr>
                <w:rFonts w:ascii="Times New Roman" w:eastAsia="Times New Roman"/>
                <w:sz w:val="21"/>
              </w:rPr>
              <w:t>2 </w:t>
            </w:r>
            <w:r>
              <w:rPr>
                <w:sz w:val="21"/>
              </w:rPr>
              <w:t>年，自其知道或者</w:t>
            </w:r>
          </w:p>
          <w:p>
            <w:pPr>
              <w:pStyle w:val="TableParagraph"/>
              <w:spacing w:before="21"/>
              <w:ind w:left="71"/>
              <w:rPr>
                <w:sz w:val="21"/>
              </w:rPr>
            </w:pPr>
            <w:r>
              <w:rPr>
                <w:sz w:val="21"/>
              </w:rPr>
              <w:t>应当知道保险事故发生之日起计算。</w:t>
            </w:r>
          </w:p>
        </w:tc>
      </w:tr>
      <w:tr>
        <w:trPr>
          <w:trHeight w:val="334" w:hRule="atLeast"/>
        </w:trPr>
        <w:tc>
          <w:tcPr>
            <w:tcW w:w="687" w:type="dxa"/>
          </w:tcPr>
          <w:p>
            <w:pPr>
              <w:pStyle w:val="TableParagraph"/>
              <w:spacing w:line="250" w:lineRule="exact" w:before="64"/>
              <w:ind w:left="108"/>
              <w:rPr>
                <w:sz w:val="21"/>
              </w:rPr>
            </w:pPr>
            <w:r>
              <w:rPr>
                <w:color w:val="FF0000"/>
                <w:w w:val="100"/>
                <w:sz w:val="21"/>
              </w:rPr>
              <w:t> </w:t>
            </w:r>
          </w:p>
        </w:tc>
        <w:tc>
          <w:tcPr>
            <w:tcW w:w="1654" w:type="dxa"/>
          </w:tcPr>
          <w:p>
            <w:pPr>
              <w:pStyle w:val="TableParagraph"/>
              <w:spacing w:line="250" w:lineRule="exact" w:before="64"/>
              <w:ind w:left="211"/>
              <w:rPr>
                <w:sz w:val="21"/>
              </w:rPr>
            </w:pPr>
            <w:r>
              <w:rPr>
                <w:color w:val="FF0000"/>
                <w:w w:val="100"/>
                <w:sz w:val="21"/>
              </w:rPr>
              <w:t> </w:t>
            </w:r>
          </w:p>
        </w:tc>
        <w:tc>
          <w:tcPr>
            <w:tcW w:w="7327" w:type="dxa"/>
          </w:tcPr>
          <w:p>
            <w:pPr>
              <w:pStyle w:val="TableParagraph"/>
              <w:spacing w:line="250" w:lineRule="exact" w:before="64"/>
              <w:ind w:left="71"/>
              <w:rPr>
                <w:sz w:val="21"/>
              </w:rPr>
            </w:pPr>
            <w:r>
              <w:rPr>
                <w:color w:val="FF0000"/>
                <w:w w:val="100"/>
                <w:sz w:val="21"/>
              </w:rPr>
              <w:t> </w:t>
            </w:r>
          </w:p>
        </w:tc>
      </w:tr>
      <w:tr>
        <w:trPr>
          <w:trHeight w:val="481" w:hRule="atLeast"/>
        </w:trPr>
        <w:tc>
          <w:tcPr>
            <w:tcW w:w="687" w:type="dxa"/>
            <w:tcBorders>
              <w:bottom w:val="single" w:sz="8" w:space="0" w:color="000000"/>
            </w:tcBorders>
          </w:tcPr>
          <w:p>
            <w:pPr>
              <w:pStyle w:val="TableParagraph"/>
              <w:spacing w:line="260" w:lineRule="exact"/>
              <w:ind w:left="108"/>
              <w:rPr>
                <w:b/>
                <w:sz w:val="24"/>
              </w:rPr>
            </w:pPr>
            <w:r>
              <w:rPr>
                <w:rFonts w:ascii="Times New Roman"/>
                <w:b/>
                <w:sz w:val="24"/>
              </w:rPr>
              <w:t>4.</w:t>
            </w:r>
            <w:r>
              <w:rPr>
                <w:b/>
                <w:w w:val="99"/>
                <w:sz w:val="24"/>
              </w:rPr>
              <w:t> </w:t>
            </w:r>
          </w:p>
        </w:tc>
        <w:tc>
          <w:tcPr>
            <w:tcW w:w="8981" w:type="dxa"/>
            <w:gridSpan w:val="2"/>
            <w:tcBorders>
              <w:bottom w:val="single" w:sz="8" w:space="0" w:color="000000"/>
            </w:tcBorders>
          </w:tcPr>
          <w:p>
            <w:pPr>
              <w:pStyle w:val="TableParagraph"/>
              <w:spacing w:line="237" w:lineRule="exact"/>
              <w:ind w:left="211"/>
              <w:rPr>
                <w:b/>
                <w:sz w:val="24"/>
              </w:rPr>
            </w:pPr>
            <w:r>
              <w:rPr>
                <w:b/>
                <w:w w:val="95"/>
                <w:sz w:val="24"/>
              </w:rPr>
              <w:t>保险费的交纳</w:t>
            </w:r>
            <w:r>
              <w:rPr>
                <w:b/>
                <w:w w:val="99"/>
                <w:sz w:val="24"/>
              </w:rPr>
              <w:t> </w:t>
            </w:r>
          </w:p>
        </w:tc>
      </w:tr>
      <w:tr>
        <w:trPr>
          <w:trHeight w:val="2599" w:hRule="atLeast"/>
        </w:trPr>
        <w:tc>
          <w:tcPr>
            <w:tcW w:w="687" w:type="dxa"/>
            <w:tcBorders>
              <w:top w:val="single" w:sz="8" w:space="0" w:color="000000"/>
            </w:tcBorders>
          </w:tcPr>
          <w:p>
            <w:pPr>
              <w:pStyle w:val="TableParagraph"/>
              <w:spacing w:before="185"/>
              <w:ind w:left="108"/>
              <w:rPr>
                <w:b/>
                <w:sz w:val="21"/>
              </w:rPr>
            </w:pPr>
            <w:r>
              <w:rPr>
                <w:rFonts w:ascii="Times New Roman"/>
                <w:b/>
                <w:sz w:val="21"/>
              </w:rPr>
              <w:t>4.1</w:t>
            </w:r>
            <w:r>
              <w:rPr>
                <w:b/>
                <w:w w:val="99"/>
                <w:sz w:val="21"/>
              </w:rPr>
              <w:t> </w:t>
            </w:r>
          </w:p>
        </w:tc>
        <w:tc>
          <w:tcPr>
            <w:tcW w:w="1654" w:type="dxa"/>
            <w:tcBorders>
              <w:top w:val="single" w:sz="8" w:space="0" w:color="000000"/>
            </w:tcBorders>
          </w:tcPr>
          <w:p>
            <w:pPr>
              <w:pStyle w:val="TableParagraph"/>
              <w:spacing w:before="136"/>
              <w:ind w:left="211"/>
              <w:rPr>
                <w:b/>
                <w:sz w:val="21"/>
              </w:rPr>
            </w:pPr>
            <w:r>
              <w:rPr>
                <w:b/>
                <w:sz w:val="21"/>
              </w:rPr>
              <w:t>保险费的交纳</w:t>
            </w:r>
            <w:r>
              <w:rPr>
                <w:b/>
                <w:w w:val="99"/>
                <w:sz w:val="21"/>
              </w:rPr>
              <w:t> </w:t>
            </w:r>
          </w:p>
        </w:tc>
        <w:tc>
          <w:tcPr>
            <w:tcW w:w="7327" w:type="dxa"/>
            <w:tcBorders>
              <w:top w:val="single" w:sz="8" w:space="0" w:color="000000"/>
            </w:tcBorders>
          </w:tcPr>
          <w:p>
            <w:pPr>
              <w:pStyle w:val="TableParagraph"/>
              <w:spacing w:line="273" w:lineRule="auto" w:before="136"/>
              <w:ind w:left="71" w:right="107"/>
              <w:jc w:val="both"/>
              <w:rPr>
                <w:sz w:val="21"/>
              </w:rPr>
            </w:pPr>
            <w:r>
              <w:rPr>
                <w:color w:val="0D0D0D"/>
                <w:sz w:val="21"/>
              </w:rPr>
              <w:t>本合同有效期内，投保人或被保险人均可交纳保险费。被保险人可以选择由投保人代扣代交保险费，或者以其他约定的方式向本公司交纳保险费。 </w:t>
            </w:r>
          </w:p>
          <w:p>
            <w:pPr>
              <w:pStyle w:val="TableParagraph"/>
              <w:spacing w:line="273" w:lineRule="auto" w:before="101"/>
              <w:ind w:left="71" w:right="106"/>
              <w:jc w:val="both"/>
              <w:rPr>
                <w:sz w:val="21"/>
              </w:rPr>
            </w:pPr>
            <w:r>
              <w:rPr>
                <w:sz w:val="21"/>
              </w:rPr>
              <w:t>本合同的交费方式和交费期间由投保人和我们约定并在保险合同上载明。被保险人的保险费金额根据投保时被保险人年龄、性别、保险金额、健康状况、职业工种、等待期、保险费交费方式等因素确定。 </w:t>
            </w:r>
            <w:r>
              <w:rPr>
                <w:w w:val="100"/>
                <w:sz w:val="21"/>
              </w:rPr>
              <w:t> </w:t>
            </w:r>
          </w:p>
          <w:p>
            <w:pPr>
              <w:pStyle w:val="TableParagraph"/>
              <w:spacing w:line="273" w:lineRule="auto" w:before="101"/>
              <w:ind w:left="71" w:right="107"/>
              <w:jc w:val="both"/>
              <w:rPr>
                <w:sz w:val="21"/>
              </w:rPr>
            </w:pPr>
            <w:r>
              <w:rPr>
                <w:sz w:val="21"/>
              </w:rPr>
              <w:t>分期支付保险费的，投保人或被保险人在交纳首期保险费后，应按照保险费约定交纳日交纳其余各期的保险费。 </w:t>
            </w:r>
          </w:p>
        </w:tc>
      </w:tr>
      <w:tr>
        <w:trPr>
          <w:trHeight w:val="316" w:hRule="atLeast"/>
        </w:trPr>
        <w:tc>
          <w:tcPr>
            <w:tcW w:w="687" w:type="dxa"/>
          </w:tcPr>
          <w:p>
            <w:pPr>
              <w:pStyle w:val="TableParagraph"/>
              <w:spacing w:line="232" w:lineRule="exact" w:before="64"/>
              <w:ind w:left="108"/>
              <w:rPr>
                <w:sz w:val="21"/>
              </w:rPr>
            </w:pPr>
            <w:r>
              <w:rPr>
                <w:w w:val="100"/>
                <w:sz w:val="21"/>
              </w:rPr>
              <w:t> </w:t>
            </w:r>
          </w:p>
        </w:tc>
        <w:tc>
          <w:tcPr>
            <w:tcW w:w="1654" w:type="dxa"/>
          </w:tcPr>
          <w:p>
            <w:pPr>
              <w:pStyle w:val="TableParagraph"/>
              <w:spacing w:line="232" w:lineRule="exact" w:before="64"/>
              <w:ind w:left="211"/>
              <w:rPr>
                <w:sz w:val="21"/>
              </w:rPr>
            </w:pPr>
            <w:r>
              <w:rPr>
                <w:w w:val="100"/>
                <w:sz w:val="21"/>
              </w:rPr>
              <w:t> </w:t>
            </w:r>
          </w:p>
        </w:tc>
        <w:tc>
          <w:tcPr>
            <w:tcW w:w="7327" w:type="dxa"/>
          </w:tcPr>
          <w:p>
            <w:pPr>
              <w:pStyle w:val="TableParagraph"/>
              <w:spacing w:line="232" w:lineRule="exact" w:before="64"/>
              <w:ind w:left="71"/>
              <w:rPr>
                <w:sz w:val="21"/>
              </w:rPr>
            </w:pPr>
            <w:r>
              <w:rPr>
                <w:color w:val="FF0000"/>
                <w:w w:val="100"/>
                <w:sz w:val="21"/>
              </w:rPr>
              <w:t> </w:t>
            </w:r>
          </w:p>
        </w:tc>
      </w:tr>
      <w:tr>
        <w:trPr>
          <w:trHeight w:val="1769" w:hRule="atLeast"/>
        </w:trPr>
        <w:tc>
          <w:tcPr>
            <w:tcW w:w="687" w:type="dxa"/>
          </w:tcPr>
          <w:p>
            <w:pPr>
              <w:pStyle w:val="TableParagraph"/>
              <w:spacing w:line="209" w:lineRule="exact"/>
              <w:ind w:left="108"/>
              <w:rPr>
                <w:b/>
                <w:sz w:val="21"/>
              </w:rPr>
            </w:pPr>
            <w:r>
              <w:rPr>
                <w:rFonts w:ascii="Times New Roman"/>
                <w:b/>
                <w:sz w:val="21"/>
              </w:rPr>
              <w:t>4.2</w:t>
            </w:r>
            <w:r>
              <w:rPr>
                <w:b/>
                <w:w w:val="99"/>
                <w:sz w:val="21"/>
              </w:rPr>
              <w:t> </w:t>
            </w:r>
          </w:p>
        </w:tc>
        <w:tc>
          <w:tcPr>
            <w:tcW w:w="1654" w:type="dxa"/>
          </w:tcPr>
          <w:p>
            <w:pPr>
              <w:pStyle w:val="TableParagraph"/>
              <w:spacing w:line="193" w:lineRule="exact"/>
              <w:ind w:left="211"/>
              <w:rPr>
                <w:b/>
                <w:sz w:val="21"/>
              </w:rPr>
            </w:pPr>
            <w:r>
              <w:rPr>
                <w:b/>
                <w:sz w:val="21"/>
              </w:rPr>
              <w:t>宽限期</w:t>
            </w:r>
            <w:r>
              <w:rPr>
                <w:b/>
                <w:w w:val="99"/>
                <w:sz w:val="21"/>
              </w:rPr>
              <w:t> </w:t>
            </w:r>
          </w:p>
        </w:tc>
        <w:tc>
          <w:tcPr>
            <w:tcW w:w="7327" w:type="dxa"/>
          </w:tcPr>
          <w:p>
            <w:pPr>
              <w:pStyle w:val="TableParagraph"/>
              <w:spacing w:line="193" w:lineRule="exact"/>
              <w:ind w:left="71"/>
              <w:rPr>
                <w:b/>
                <w:sz w:val="21"/>
              </w:rPr>
            </w:pPr>
            <w:r>
              <w:rPr>
                <w:b/>
                <w:sz w:val="21"/>
              </w:rPr>
              <w:t>分期支付保险费的，投保人或被保险人在交纳首期保险费后，除本合同另有约</w:t>
            </w:r>
          </w:p>
          <w:p>
            <w:pPr>
              <w:pStyle w:val="TableParagraph"/>
              <w:spacing w:line="266" w:lineRule="auto" w:before="37"/>
              <w:ind w:left="71" w:right="109"/>
              <w:rPr>
                <w:sz w:val="21"/>
              </w:rPr>
            </w:pPr>
            <w:r>
              <w:rPr>
                <w:b/>
                <w:spacing w:val="-5"/>
                <w:sz w:val="21"/>
              </w:rPr>
              <w:t>定外，如果投保人或被保险人到期未支付保险费，自保险费约定交纳日的次日</w:t>
            </w:r>
            <w:r>
              <w:rPr>
                <w:b/>
                <w:spacing w:val="-17"/>
                <w:sz w:val="21"/>
              </w:rPr>
              <w:t>零时起 </w:t>
            </w:r>
            <w:r>
              <w:rPr>
                <w:rFonts w:ascii="Times New Roman" w:eastAsia="Times New Roman"/>
                <w:b/>
                <w:sz w:val="21"/>
              </w:rPr>
              <w:t>10 </w:t>
            </w:r>
            <w:r>
              <w:rPr>
                <w:b/>
                <w:spacing w:val="-3"/>
                <w:sz w:val="21"/>
              </w:rPr>
              <w:t>日为宽限期。宽限期内发生的保险事故，我们仍会承担保险责任， </w:t>
            </w:r>
            <w:r>
              <w:rPr>
                <w:b/>
                <w:spacing w:val="-4"/>
                <w:sz w:val="21"/>
              </w:rPr>
              <w:t>但在给付保险金时会扣减投保人或被保险人欠交的保险费。如果投保人宽限期结束之后仍未支付保险费，则本合同自宽限期满的次日零时起效力中止</w:t>
            </w:r>
            <w:r>
              <w:rPr>
                <w:spacing w:val="-3"/>
                <w:sz w:val="21"/>
              </w:rPr>
              <w:t>（见</w:t>
            </w:r>
          </w:p>
          <w:p>
            <w:pPr>
              <w:pStyle w:val="TableParagraph"/>
              <w:spacing w:line="271" w:lineRule="exact" w:before="14"/>
              <w:ind w:left="71"/>
              <w:rPr>
                <w:b/>
                <w:sz w:val="21"/>
              </w:rPr>
            </w:pPr>
            <w:r>
              <w:rPr>
                <w:rFonts w:ascii="Times New Roman" w:eastAsia="Times New Roman"/>
                <w:w w:val="100"/>
                <w:sz w:val="21"/>
              </w:rPr>
              <w:t>5.1</w:t>
            </w:r>
            <w:r>
              <w:rPr>
                <w:spacing w:val="-106"/>
                <w:w w:val="100"/>
                <w:sz w:val="21"/>
              </w:rPr>
              <w:t>）</w:t>
            </w:r>
            <w:r>
              <w:rPr>
                <w:spacing w:val="-3"/>
                <w:w w:val="100"/>
                <w:sz w:val="21"/>
              </w:rPr>
              <w:t>；</w:t>
            </w:r>
            <w:r>
              <w:rPr>
                <w:b/>
                <w:spacing w:val="-3"/>
                <w:w w:val="100"/>
                <w:sz w:val="21"/>
              </w:rPr>
              <w:t>如果被保险人宽限期结束之后仍未支付保险费，则自宽限期满的次日零</w:t>
            </w:r>
          </w:p>
        </w:tc>
      </w:tr>
    </w:tbl>
    <w:p>
      <w:pPr>
        <w:spacing w:after="0" w:line="271" w:lineRule="exact"/>
        <w:rPr>
          <w:sz w:val="21"/>
        </w:rPr>
        <w:sectPr>
          <w:pgSz w:w="11910" w:h="16840"/>
          <w:pgMar w:header="0" w:footer="924" w:top="1160" w:bottom="1120" w:left="9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26"/>
        <w:gridCol w:w="7254"/>
      </w:tblGrid>
      <w:tr>
        <w:trPr>
          <w:trHeight w:val="339" w:hRule="atLeast"/>
        </w:trPr>
        <w:tc>
          <w:tcPr>
            <w:tcW w:w="687" w:type="dxa"/>
          </w:tcPr>
          <w:p>
            <w:pPr>
              <w:pStyle w:val="TableParagraph"/>
              <w:rPr>
                <w:rFonts w:ascii="Times New Roman"/>
                <w:sz w:val="20"/>
              </w:rPr>
            </w:pPr>
          </w:p>
        </w:tc>
        <w:tc>
          <w:tcPr>
            <w:tcW w:w="1726" w:type="dxa"/>
          </w:tcPr>
          <w:p>
            <w:pPr>
              <w:pStyle w:val="TableParagraph"/>
              <w:rPr>
                <w:rFonts w:ascii="Times New Roman"/>
                <w:sz w:val="20"/>
              </w:rPr>
            </w:pPr>
          </w:p>
        </w:tc>
        <w:tc>
          <w:tcPr>
            <w:tcW w:w="7254" w:type="dxa"/>
          </w:tcPr>
          <w:p>
            <w:pPr>
              <w:pStyle w:val="TableParagraph"/>
              <w:spacing w:line="211" w:lineRule="exact"/>
              <w:rPr>
                <w:sz w:val="21"/>
              </w:rPr>
            </w:pPr>
            <w:r>
              <w:rPr>
                <w:b/>
                <w:sz w:val="21"/>
              </w:rPr>
              <w:t>时起，我们对该被保险人的保险责任效力中止，</w:t>
            </w:r>
            <w:r>
              <w:rPr>
                <w:sz w:val="21"/>
              </w:rPr>
              <w:t>但本合同另有约定的除外。 </w:t>
            </w:r>
            <w:r>
              <w:rPr>
                <w:color w:val="FF0000"/>
                <w:w w:val="100"/>
                <w:sz w:val="21"/>
              </w:rPr>
              <w:t> </w:t>
            </w:r>
          </w:p>
        </w:tc>
      </w:tr>
      <w:tr>
        <w:trPr>
          <w:trHeight w:val="334" w:hRule="atLeast"/>
        </w:trPr>
        <w:tc>
          <w:tcPr>
            <w:tcW w:w="687" w:type="dxa"/>
          </w:tcPr>
          <w:p>
            <w:pPr>
              <w:pStyle w:val="TableParagraph"/>
              <w:spacing w:line="250" w:lineRule="exact" w:before="65"/>
              <w:ind w:left="108"/>
              <w:rPr>
                <w:sz w:val="21"/>
              </w:rPr>
            </w:pPr>
            <w:r>
              <w:rPr>
                <w:color w:val="FF0000"/>
                <w:w w:val="100"/>
                <w:sz w:val="21"/>
              </w:rPr>
              <w:t> </w:t>
            </w:r>
          </w:p>
        </w:tc>
        <w:tc>
          <w:tcPr>
            <w:tcW w:w="1726" w:type="dxa"/>
          </w:tcPr>
          <w:p>
            <w:pPr>
              <w:pStyle w:val="TableParagraph"/>
              <w:spacing w:line="250" w:lineRule="exact" w:before="65"/>
              <w:ind w:left="211"/>
              <w:rPr>
                <w:sz w:val="21"/>
              </w:rPr>
            </w:pPr>
            <w:r>
              <w:rPr>
                <w:color w:val="FF0000"/>
                <w:w w:val="100"/>
                <w:sz w:val="21"/>
              </w:rPr>
              <w:t> </w:t>
            </w:r>
          </w:p>
        </w:tc>
        <w:tc>
          <w:tcPr>
            <w:tcW w:w="7254" w:type="dxa"/>
          </w:tcPr>
          <w:p>
            <w:pPr>
              <w:pStyle w:val="TableParagraph"/>
              <w:spacing w:line="250" w:lineRule="exact" w:before="65"/>
              <w:rPr>
                <w:sz w:val="21"/>
              </w:rPr>
            </w:pPr>
            <w:r>
              <w:rPr>
                <w:color w:val="FF0000"/>
                <w:w w:val="100"/>
                <w:sz w:val="21"/>
              </w:rPr>
              <w:t> </w:t>
            </w:r>
          </w:p>
        </w:tc>
      </w:tr>
      <w:tr>
        <w:trPr>
          <w:trHeight w:val="481" w:hRule="atLeast"/>
        </w:trPr>
        <w:tc>
          <w:tcPr>
            <w:tcW w:w="687" w:type="dxa"/>
            <w:tcBorders>
              <w:bottom w:val="single" w:sz="8" w:space="0" w:color="000000"/>
            </w:tcBorders>
          </w:tcPr>
          <w:p>
            <w:pPr>
              <w:pStyle w:val="TableParagraph"/>
              <w:spacing w:line="260" w:lineRule="exact"/>
              <w:ind w:left="108"/>
              <w:rPr>
                <w:b/>
                <w:sz w:val="24"/>
              </w:rPr>
            </w:pPr>
            <w:r>
              <w:rPr>
                <w:rFonts w:ascii="Times New Roman"/>
                <w:b/>
                <w:sz w:val="24"/>
              </w:rPr>
              <w:t>5.</w:t>
            </w:r>
            <w:r>
              <w:rPr>
                <w:b/>
                <w:w w:val="99"/>
                <w:sz w:val="24"/>
              </w:rPr>
              <w:t> </w:t>
            </w:r>
          </w:p>
        </w:tc>
        <w:tc>
          <w:tcPr>
            <w:tcW w:w="8980" w:type="dxa"/>
            <w:gridSpan w:val="2"/>
            <w:tcBorders>
              <w:bottom w:val="single" w:sz="8" w:space="0" w:color="000000"/>
            </w:tcBorders>
          </w:tcPr>
          <w:p>
            <w:pPr>
              <w:pStyle w:val="TableParagraph"/>
              <w:spacing w:line="237" w:lineRule="exact"/>
              <w:ind w:left="211"/>
              <w:rPr>
                <w:b/>
                <w:sz w:val="24"/>
              </w:rPr>
            </w:pPr>
            <w:r>
              <w:rPr>
                <w:b/>
                <w:w w:val="95"/>
                <w:sz w:val="24"/>
              </w:rPr>
              <w:t>合同效力的中止及恢复</w:t>
            </w:r>
            <w:r>
              <w:rPr>
                <w:b/>
                <w:w w:val="99"/>
                <w:sz w:val="24"/>
              </w:rPr>
              <w:t> </w:t>
            </w:r>
          </w:p>
        </w:tc>
      </w:tr>
      <w:tr>
        <w:trPr>
          <w:trHeight w:val="703" w:hRule="atLeast"/>
        </w:trPr>
        <w:tc>
          <w:tcPr>
            <w:tcW w:w="687" w:type="dxa"/>
            <w:tcBorders>
              <w:top w:val="single" w:sz="8" w:space="0" w:color="000000"/>
            </w:tcBorders>
          </w:tcPr>
          <w:p>
            <w:pPr>
              <w:pStyle w:val="TableParagraph"/>
              <w:spacing w:before="185"/>
              <w:ind w:left="108"/>
              <w:rPr>
                <w:b/>
                <w:sz w:val="21"/>
              </w:rPr>
            </w:pPr>
            <w:r>
              <w:rPr>
                <w:rFonts w:ascii="Times New Roman"/>
                <w:b/>
                <w:sz w:val="21"/>
              </w:rPr>
              <w:t>5.1</w:t>
            </w:r>
            <w:r>
              <w:rPr>
                <w:b/>
                <w:w w:val="99"/>
                <w:sz w:val="21"/>
              </w:rPr>
              <w:t> </w:t>
            </w:r>
          </w:p>
        </w:tc>
        <w:tc>
          <w:tcPr>
            <w:tcW w:w="1726" w:type="dxa"/>
            <w:tcBorders>
              <w:top w:val="single" w:sz="8" w:space="0" w:color="000000"/>
            </w:tcBorders>
          </w:tcPr>
          <w:p>
            <w:pPr>
              <w:pStyle w:val="TableParagraph"/>
              <w:spacing w:before="136"/>
              <w:ind w:left="211"/>
              <w:rPr>
                <w:b/>
                <w:sz w:val="21"/>
              </w:rPr>
            </w:pPr>
            <w:r>
              <w:rPr>
                <w:b/>
                <w:sz w:val="21"/>
              </w:rPr>
              <w:t>效力中止</w:t>
            </w:r>
            <w:r>
              <w:rPr>
                <w:b/>
                <w:w w:val="99"/>
                <w:sz w:val="21"/>
              </w:rPr>
              <w:t> </w:t>
            </w:r>
          </w:p>
        </w:tc>
        <w:tc>
          <w:tcPr>
            <w:tcW w:w="7254" w:type="dxa"/>
            <w:tcBorders>
              <w:top w:val="single" w:sz="8" w:space="0" w:color="000000"/>
            </w:tcBorders>
          </w:tcPr>
          <w:p>
            <w:pPr>
              <w:pStyle w:val="TableParagraph"/>
              <w:spacing w:line="310" w:lineRule="atLeast" w:before="100"/>
              <w:ind w:right="106"/>
              <w:rPr>
                <w:sz w:val="21"/>
              </w:rPr>
            </w:pPr>
            <w:r>
              <w:rPr>
                <w:sz w:val="21"/>
                <w:shd w:fill="C0C0C0" w:color="auto" w:val="clear"/>
              </w:rPr>
              <w:t>在本合同效力中止期间，我们不承担保险责任。在被保险人的保险责任效力中止期间，我们对该被保险人不承担保险责任。</w:t>
            </w:r>
            <w:r>
              <w:rPr>
                <w:sz w:val="21"/>
              </w:rPr>
              <w:t> </w:t>
            </w:r>
          </w:p>
        </w:tc>
      </w:tr>
      <w:tr>
        <w:trPr>
          <w:trHeight w:val="444" w:hRule="atLeast"/>
        </w:trPr>
        <w:tc>
          <w:tcPr>
            <w:tcW w:w="687" w:type="dxa"/>
          </w:tcPr>
          <w:p>
            <w:pPr>
              <w:pStyle w:val="TableParagraph"/>
              <w:spacing w:before="9"/>
              <w:rPr>
                <w:sz w:val="14"/>
              </w:rPr>
            </w:pPr>
          </w:p>
          <w:p>
            <w:pPr>
              <w:pStyle w:val="TableParagraph"/>
              <w:spacing w:line="232" w:lineRule="exact"/>
              <w:ind w:left="108"/>
              <w:rPr>
                <w:sz w:val="21"/>
              </w:rPr>
            </w:pPr>
            <w:r>
              <w:rPr>
                <w:w w:val="100"/>
                <w:sz w:val="21"/>
              </w:rPr>
              <w:t> </w:t>
            </w:r>
          </w:p>
        </w:tc>
        <w:tc>
          <w:tcPr>
            <w:tcW w:w="1726" w:type="dxa"/>
          </w:tcPr>
          <w:p>
            <w:pPr>
              <w:pStyle w:val="TableParagraph"/>
              <w:spacing w:before="9"/>
              <w:rPr>
                <w:sz w:val="14"/>
              </w:rPr>
            </w:pPr>
          </w:p>
          <w:p>
            <w:pPr>
              <w:pStyle w:val="TableParagraph"/>
              <w:spacing w:line="232" w:lineRule="exact"/>
              <w:ind w:left="211"/>
              <w:rPr>
                <w:sz w:val="21"/>
              </w:rPr>
            </w:pPr>
            <w:r>
              <w:rPr>
                <w:w w:val="100"/>
                <w:sz w:val="21"/>
              </w:rPr>
              <w:t> </w:t>
            </w:r>
          </w:p>
        </w:tc>
        <w:tc>
          <w:tcPr>
            <w:tcW w:w="7254" w:type="dxa"/>
          </w:tcPr>
          <w:p>
            <w:pPr>
              <w:pStyle w:val="TableParagraph"/>
              <w:spacing w:before="9"/>
              <w:rPr>
                <w:sz w:val="14"/>
              </w:rPr>
            </w:pPr>
          </w:p>
          <w:p>
            <w:pPr>
              <w:pStyle w:val="TableParagraph"/>
              <w:spacing w:line="232" w:lineRule="exact"/>
              <w:rPr>
                <w:sz w:val="21"/>
              </w:rPr>
            </w:pPr>
            <w:r>
              <w:rPr>
                <w:color w:val="FF0000"/>
                <w:w w:val="100"/>
                <w:sz w:val="21"/>
              </w:rPr>
              <w:t> </w:t>
            </w:r>
          </w:p>
        </w:tc>
      </w:tr>
      <w:tr>
        <w:trPr>
          <w:trHeight w:val="1320" w:hRule="atLeast"/>
        </w:trPr>
        <w:tc>
          <w:tcPr>
            <w:tcW w:w="687" w:type="dxa"/>
          </w:tcPr>
          <w:p>
            <w:pPr>
              <w:pStyle w:val="TableParagraph"/>
              <w:spacing w:line="209" w:lineRule="exact"/>
              <w:ind w:left="108"/>
              <w:rPr>
                <w:b/>
                <w:sz w:val="21"/>
              </w:rPr>
            </w:pPr>
            <w:r>
              <w:rPr>
                <w:rFonts w:ascii="Times New Roman"/>
                <w:b/>
                <w:sz w:val="21"/>
              </w:rPr>
              <w:t>5.2</w:t>
            </w:r>
            <w:r>
              <w:rPr>
                <w:b/>
                <w:w w:val="99"/>
                <w:sz w:val="21"/>
              </w:rPr>
              <w:t> </w:t>
            </w:r>
          </w:p>
        </w:tc>
        <w:tc>
          <w:tcPr>
            <w:tcW w:w="1726" w:type="dxa"/>
          </w:tcPr>
          <w:p>
            <w:pPr>
              <w:pStyle w:val="TableParagraph"/>
              <w:spacing w:line="193" w:lineRule="exact"/>
              <w:ind w:left="211"/>
              <w:rPr>
                <w:b/>
                <w:sz w:val="21"/>
              </w:rPr>
            </w:pPr>
            <w:r>
              <w:rPr>
                <w:b/>
                <w:sz w:val="21"/>
              </w:rPr>
              <w:t>效力恢复</w:t>
            </w:r>
            <w:r>
              <w:rPr>
                <w:b/>
                <w:w w:val="99"/>
                <w:sz w:val="21"/>
              </w:rPr>
              <w:t> </w:t>
            </w:r>
          </w:p>
        </w:tc>
        <w:tc>
          <w:tcPr>
            <w:tcW w:w="7254" w:type="dxa"/>
          </w:tcPr>
          <w:p>
            <w:pPr>
              <w:pStyle w:val="TableParagraph"/>
              <w:spacing w:line="193" w:lineRule="exact"/>
              <w:rPr>
                <w:sz w:val="21"/>
              </w:rPr>
            </w:pPr>
            <w:r>
              <w:rPr>
                <w:sz w:val="21"/>
              </w:rPr>
              <w:t>本合同效力中止之日起至合同期满日，投保人可以申请恢复合同效力。经我们</w:t>
            </w:r>
          </w:p>
          <w:p>
            <w:pPr>
              <w:pStyle w:val="TableParagraph"/>
              <w:spacing w:before="37"/>
              <w:rPr>
                <w:sz w:val="21"/>
              </w:rPr>
            </w:pPr>
            <w:r>
              <w:rPr>
                <w:spacing w:val="-12"/>
                <w:sz w:val="21"/>
              </w:rPr>
              <w:t>与投保人协商并达成协议，自投保人补交保险费及利息之日起，合同效力恢复。</w:t>
            </w:r>
            <w:r>
              <w:rPr>
                <w:sz w:val="21"/>
              </w:rPr>
              <w:t> </w:t>
            </w:r>
          </w:p>
          <w:p>
            <w:pPr>
              <w:pStyle w:val="TableParagraph"/>
              <w:spacing w:line="273" w:lineRule="auto" w:before="130"/>
              <w:rPr>
                <w:sz w:val="21"/>
              </w:rPr>
            </w:pPr>
            <w:r>
              <w:rPr>
                <w:spacing w:val="-3"/>
                <w:sz w:val="21"/>
              </w:rPr>
              <w:t>投保人和本公司未就合同效力恢复达成一致的，我们有权解除合同。我们解除合同并退还合同效力中止时未发生保险事故的被保险人名下的未到期净保费。 </w:t>
            </w:r>
          </w:p>
        </w:tc>
      </w:tr>
      <w:tr>
        <w:trPr>
          <w:trHeight w:val="302" w:hRule="atLeast"/>
        </w:trPr>
        <w:tc>
          <w:tcPr>
            <w:tcW w:w="687" w:type="dxa"/>
          </w:tcPr>
          <w:p>
            <w:pPr>
              <w:pStyle w:val="TableParagraph"/>
              <w:spacing w:line="249" w:lineRule="exact" w:before="33"/>
              <w:ind w:left="108"/>
              <w:rPr>
                <w:sz w:val="21"/>
              </w:rPr>
            </w:pPr>
            <w:r>
              <w:rPr>
                <w:color w:val="FF0000"/>
                <w:w w:val="100"/>
                <w:sz w:val="21"/>
              </w:rPr>
              <w:t> </w:t>
            </w:r>
          </w:p>
        </w:tc>
        <w:tc>
          <w:tcPr>
            <w:tcW w:w="1726" w:type="dxa"/>
          </w:tcPr>
          <w:p>
            <w:pPr>
              <w:pStyle w:val="TableParagraph"/>
              <w:spacing w:line="249" w:lineRule="exact" w:before="33"/>
              <w:ind w:left="211"/>
              <w:rPr>
                <w:sz w:val="21"/>
              </w:rPr>
            </w:pPr>
            <w:r>
              <w:rPr>
                <w:color w:val="FF0000"/>
                <w:w w:val="100"/>
                <w:sz w:val="21"/>
              </w:rPr>
              <w:t> </w:t>
            </w:r>
          </w:p>
        </w:tc>
        <w:tc>
          <w:tcPr>
            <w:tcW w:w="7254" w:type="dxa"/>
          </w:tcPr>
          <w:p>
            <w:pPr>
              <w:pStyle w:val="TableParagraph"/>
              <w:spacing w:line="249" w:lineRule="exact" w:before="33"/>
              <w:rPr>
                <w:sz w:val="21"/>
              </w:rPr>
            </w:pPr>
            <w:r>
              <w:rPr>
                <w:color w:val="FF0000"/>
                <w:w w:val="100"/>
                <w:sz w:val="21"/>
              </w:rPr>
              <w:t> </w:t>
            </w:r>
          </w:p>
        </w:tc>
      </w:tr>
      <w:tr>
        <w:trPr>
          <w:trHeight w:val="480" w:hRule="atLeast"/>
        </w:trPr>
        <w:tc>
          <w:tcPr>
            <w:tcW w:w="687" w:type="dxa"/>
            <w:tcBorders>
              <w:bottom w:val="single" w:sz="8" w:space="0" w:color="000000"/>
            </w:tcBorders>
          </w:tcPr>
          <w:p>
            <w:pPr>
              <w:pStyle w:val="TableParagraph"/>
              <w:spacing w:line="259" w:lineRule="exact"/>
              <w:ind w:left="108"/>
              <w:rPr>
                <w:b/>
                <w:sz w:val="24"/>
              </w:rPr>
            </w:pPr>
            <w:r>
              <w:rPr>
                <w:rFonts w:ascii="Times New Roman"/>
                <w:b/>
                <w:sz w:val="24"/>
              </w:rPr>
              <w:t>6.</w:t>
            </w:r>
            <w:r>
              <w:rPr>
                <w:b/>
                <w:w w:val="99"/>
                <w:sz w:val="24"/>
              </w:rPr>
              <w:t> </w:t>
            </w:r>
          </w:p>
        </w:tc>
        <w:tc>
          <w:tcPr>
            <w:tcW w:w="1726" w:type="dxa"/>
            <w:tcBorders>
              <w:bottom w:val="single" w:sz="8" w:space="0" w:color="000000"/>
            </w:tcBorders>
          </w:tcPr>
          <w:p>
            <w:pPr>
              <w:pStyle w:val="TableParagraph"/>
              <w:spacing w:line="237" w:lineRule="exact"/>
              <w:ind w:left="211"/>
              <w:rPr>
                <w:b/>
                <w:sz w:val="24"/>
              </w:rPr>
            </w:pPr>
            <w:r>
              <w:rPr>
                <w:b/>
                <w:sz w:val="24"/>
              </w:rPr>
              <w:t>合同解除</w:t>
            </w:r>
            <w:r>
              <w:rPr>
                <w:b/>
                <w:w w:val="99"/>
                <w:sz w:val="24"/>
              </w:rPr>
              <w:t> </w:t>
            </w:r>
          </w:p>
        </w:tc>
        <w:tc>
          <w:tcPr>
            <w:tcW w:w="7254" w:type="dxa"/>
            <w:tcBorders>
              <w:bottom w:val="single" w:sz="8" w:space="0" w:color="000000"/>
            </w:tcBorders>
          </w:tcPr>
          <w:p>
            <w:pPr>
              <w:pStyle w:val="TableParagraph"/>
              <w:rPr>
                <w:rFonts w:ascii="Times New Roman"/>
                <w:sz w:val="20"/>
              </w:rPr>
            </w:pPr>
          </w:p>
        </w:tc>
      </w:tr>
      <w:tr>
        <w:trPr>
          <w:trHeight w:val="3246" w:hRule="atLeast"/>
        </w:trPr>
        <w:tc>
          <w:tcPr>
            <w:tcW w:w="687" w:type="dxa"/>
            <w:tcBorders>
              <w:top w:val="single" w:sz="8" w:space="0" w:color="000000"/>
            </w:tcBorders>
          </w:tcPr>
          <w:p>
            <w:pPr>
              <w:pStyle w:val="TableParagraph"/>
              <w:spacing w:before="187"/>
              <w:ind w:left="108"/>
              <w:rPr>
                <w:b/>
                <w:sz w:val="21"/>
              </w:rPr>
            </w:pPr>
            <w:r>
              <w:rPr>
                <w:rFonts w:ascii="Times New Roman"/>
                <w:b/>
                <w:sz w:val="21"/>
              </w:rPr>
              <w:t>6.1</w:t>
            </w:r>
            <w:r>
              <w:rPr>
                <w:b/>
                <w:w w:val="99"/>
                <w:sz w:val="21"/>
              </w:rPr>
              <w:t> </w:t>
            </w:r>
          </w:p>
        </w:tc>
        <w:tc>
          <w:tcPr>
            <w:tcW w:w="1726" w:type="dxa"/>
            <w:tcBorders>
              <w:top w:val="single" w:sz="8" w:space="0" w:color="000000"/>
            </w:tcBorders>
          </w:tcPr>
          <w:p>
            <w:pPr>
              <w:pStyle w:val="TableParagraph"/>
              <w:spacing w:line="273" w:lineRule="auto" w:before="138"/>
              <w:ind w:left="211" w:right="245"/>
              <w:jc w:val="both"/>
              <w:rPr>
                <w:b/>
                <w:sz w:val="21"/>
              </w:rPr>
            </w:pPr>
            <w:r>
              <w:rPr>
                <w:b/>
                <w:sz w:val="21"/>
              </w:rPr>
              <w:t>投保人解除合同的手续及风险</w:t>
            </w:r>
            <w:r>
              <w:rPr>
                <w:b/>
                <w:color w:val="FF0000"/>
                <w:w w:val="99"/>
                <w:sz w:val="21"/>
              </w:rPr>
              <w:t> </w:t>
            </w:r>
          </w:p>
        </w:tc>
        <w:tc>
          <w:tcPr>
            <w:tcW w:w="7254" w:type="dxa"/>
            <w:tcBorders>
              <w:top w:val="single" w:sz="8" w:space="0" w:color="000000"/>
            </w:tcBorders>
          </w:tcPr>
          <w:p>
            <w:pPr>
              <w:pStyle w:val="TableParagraph"/>
              <w:spacing w:line="273" w:lineRule="auto" w:before="138"/>
              <w:ind w:right="105"/>
              <w:jc w:val="both"/>
              <w:rPr>
                <w:sz w:val="21"/>
              </w:rPr>
            </w:pPr>
            <w:r>
              <w:rPr>
                <w:sz w:val="21"/>
              </w:rPr>
              <w:t>在本合同保险期间内，除本合同另有约定外，投保人可以以书面或双方认可的其他方式通知要求解除保险合同。投保人要求解除本合同时，请填写解除合同申请并向我们提供下列资料： </w:t>
            </w:r>
          </w:p>
          <w:p>
            <w:pPr>
              <w:pStyle w:val="TableParagraph"/>
              <w:spacing w:before="7"/>
              <w:rPr>
                <w:sz w:val="21"/>
              </w:rPr>
            </w:pPr>
            <w:r>
              <w:rPr>
                <w:rFonts w:ascii="Times New Roman" w:eastAsia="Times New Roman"/>
                <w:sz w:val="21"/>
              </w:rPr>
              <w:t>1.</w:t>
            </w:r>
            <w:r>
              <w:rPr>
                <w:sz w:val="21"/>
              </w:rPr>
              <w:t>保险合同或其他有效的保险凭证； </w:t>
            </w:r>
          </w:p>
          <w:p>
            <w:pPr>
              <w:pStyle w:val="TableParagraph"/>
              <w:spacing w:before="21"/>
              <w:rPr>
                <w:sz w:val="21"/>
              </w:rPr>
            </w:pPr>
            <w:r>
              <w:rPr>
                <w:rFonts w:ascii="Times New Roman" w:eastAsia="Times New Roman"/>
                <w:sz w:val="21"/>
              </w:rPr>
              <w:t>2.</w:t>
            </w:r>
            <w:r>
              <w:rPr>
                <w:rFonts w:ascii="Times New Roman" w:eastAsia="Times New Roman"/>
                <w:color w:val="0D0D0D"/>
                <w:sz w:val="21"/>
              </w:rPr>
              <w:t>  </w:t>
            </w:r>
            <w:r>
              <w:rPr>
                <w:color w:val="0D0D0D"/>
                <w:sz w:val="21"/>
              </w:rPr>
              <w:t>投保人提供的表明被保险人知悉解除合同事宜的有效证明</w:t>
            </w:r>
            <w:r>
              <w:rPr>
                <w:sz w:val="21"/>
              </w:rPr>
              <w:t>。</w:t>
            </w:r>
            <w:r>
              <w:rPr>
                <w:color w:val="0D0D0D"/>
                <w:sz w:val="21"/>
              </w:rPr>
              <w:t> </w:t>
            </w:r>
          </w:p>
          <w:p>
            <w:pPr>
              <w:pStyle w:val="TableParagraph"/>
              <w:spacing w:line="264" w:lineRule="auto" w:before="112"/>
              <w:ind w:right="94"/>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30 </w:t>
            </w:r>
            <w:r>
              <w:rPr>
                <w:sz w:val="21"/>
              </w:rPr>
              <w:t>日内退还本合同终止时未发生保险事故的被保险人名下的未到期净保费。 </w:t>
            </w:r>
          </w:p>
          <w:p>
            <w:pPr>
              <w:pStyle w:val="TableParagraph"/>
              <w:spacing w:before="109"/>
              <w:rPr>
                <w:b/>
                <w:sz w:val="21"/>
              </w:rPr>
            </w:pPr>
            <w:r>
              <w:rPr>
                <w:b/>
                <w:sz w:val="21"/>
              </w:rPr>
              <w:t>若解除保险合同投保人或被保险人可能会遭受一定损失。</w:t>
            </w:r>
            <w:r>
              <w:rPr>
                <w:b/>
                <w:w w:val="99"/>
                <w:sz w:val="21"/>
              </w:rPr>
              <w:t> </w:t>
            </w:r>
          </w:p>
        </w:tc>
      </w:tr>
      <w:tr>
        <w:trPr>
          <w:trHeight w:val="274" w:hRule="atLeast"/>
        </w:trPr>
        <w:tc>
          <w:tcPr>
            <w:tcW w:w="687" w:type="dxa"/>
          </w:tcPr>
          <w:p>
            <w:pPr>
              <w:pStyle w:val="TableParagraph"/>
              <w:spacing w:before="3"/>
              <w:rPr>
                <w:sz w:val="9"/>
              </w:rPr>
            </w:pPr>
          </w:p>
          <w:p>
            <w:pPr>
              <w:pStyle w:val="TableParagraph"/>
              <w:spacing w:before="1"/>
              <w:ind w:left="108"/>
              <w:rPr>
                <w:sz w:val="10"/>
              </w:rPr>
            </w:pPr>
            <w:r>
              <w:rPr>
                <w:color w:val="FF0000"/>
                <w:w w:val="100"/>
                <w:sz w:val="10"/>
              </w:rPr>
              <w:t> </w:t>
            </w:r>
          </w:p>
        </w:tc>
        <w:tc>
          <w:tcPr>
            <w:tcW w:w="1726" w:type="dxa"/>
          </w:tcPr>
          <w:p>
            <w:pPr>
              <w:pStyle w:val="TableParagraph"/>
              <w:spacing w:before="3"/>
              <w:rPr>
                <w:sz w:val="9"/>
              </w:rPr>
            </w:pPr>
          </w:p>
          <w:p>
            <w:pPr>
              <w:pStyle w:val="TableParagraph"/>
              <w:spacing w:before="1"/>
              <w:ind w:left="211"/>
              <w:rPr>
                <w:sz w:val="10"/>
              </w:rPr>
            </w:pPr>
            <w:r>
              <w:rPr>
                <w:color w:val="FF0000"/>
                <w:w w:val="100"/>
                <w:sz w:val="10"/>
              </w:rPr>
              <w:t> </w:t>
            </w:r>
          </w:p>
        </w:tc>
        <w:tc>
          <w:tcPr>
            <w:tcW w:w="7254" w:type="dxa"/>
          </w:tcPr>
          <w:p>
            <w:pPr>
              <w:pStyle w:val="TableParagraph"/>
              <w:spacing w:before="3"/>
              <w:rPr>
                <w:sz w:val="9"/>
              </w:rPr>
            </w:pPr>
          </w:p>
          <w:p>
            <w:pPr>
              <w:pStyle w:val="TableParagraph"/>
              <w:spacing w:before="1"/>
              <w:rPr>
                <w:sz w:val="10"/>
              </w:rPr>
            </w:pPr>
            <w:r>
              <w:rPr>
                <w:color w:val="FF0000"/>
                <w:w w:val="100"/>
                <w:sz w:val="10"/>
              </w:rPr>
              <w:t> </w:t>
            </w:r>
          </w:p>
        </w:tc>
      </w:tr>
      <w:tr>
        <w:trPr>
          <w:trHeight w:val="501" w:hRule="atLeast"/>
        </w:trPr>
        <w:tc>
          <w:tcPr>
            <w:tcW w:w="687" w:type="dxa"/>
            <w:tcBorders>
              <w:bottom w:val="single" w:sz="8" w:space="0" w:color="000000"/>
            </w:tcBorders>
          </w:tcPr>
          <w:p>
            <w:pPr>
              <w:pStyle w:val="TableParagraph"/>
              <w:spacing w:before="11"/>
              <w:ind w:left="108"/>
              <w:rPr>
                <w:b/>
                <w:sz w:val="24"/>
              </w:rPr>
            </w:pPr>
            <w:r>
              <w:rPr>
                <w:rFonts w:ascii="Times New Roman"/>
                <w:b/>
                <w:sz w:val="24"/>
              </w:rPr>
              <w:t>7.</w:t>
            </w:r>
            <w:r>
              <w:rPr>
                <w:b/>
                <w:w w:val="99"/>
                <w:sz w:val="24"/>
              </w:rPr>
              <w:t> </w:t>
            </w:r>
          </w:p>
        </w:tc>
        <w:tc>
          <w:tcPr>
            <w:tcW w:w="1726" w:type="dxa"/>
            <w:tcBorders>
              <w:bottom w:val="single" w:sz="8" w:space="0" w:color="000000"/>
            </w:tcBorders>
          </w:tcPr>
          <w:p>
            <w:pPr>
              <w:pStyle w:val="TableParagraph"/>
              <w:spacing w:line="264" w:lineRule="exact"/>
              <w:ind w:left="211"/>
              <w:rPr>
                <w:b/>
                <w:sz w:val="24"/>
              </w:rPr>
            </w:pPr>
            <w:r>
              <w:rPr>
                <w:b/>
                <w:sz w:val="24"/>
              </w:rPr>
              <w:t>如实告知</w:t>
            </w:r>
            <w:r>
              <w:rPr>
                <w:b/>
                <w:w w:val="99"/>
                <w:sz w:val="24"/>
              </w:rPr>
              <w:t> </w:t>
            </w:r>
          </w:p>
        </w:tc>
        <w:tc>
          <w:tcPr>
            <w:tcW w:w="7254" w:type="dxa"/>
            <w:tcBorders>
              <w:bottom w:val="single" w:sz="8" w:space="0" w:color="000000"/>
            </w:tcBorders>
          </w:tcPr>
          <w:p>
            <w:pPr>
              <w:pStyle w:val="TableParagraph"/>
              <w:rPr>
                <w:rFonts w:ascii="Times New Roman"/>
                <w:sz w:val="20"/>
              </w:rPr>
            </w:pPr>
          </w:p>
        </w:tc>
      </w:tr>
      <w:tr>
        <w:trPr>
          <w:trHeight w:val="5650" w:hRule="atLeast"/>
        </w:trPr>
        <w:tc>
          <w:tcPr>
            <w:tcW w:w="687" w:type="dxa"/>
            <w:tcBorders>
              <w:top w:val="single" w:sz="8" w:space="0" w:color="000000"/>
            </w:tcBorders>
          </w:tcPr>
          <w:p>
            <w:pPr>
              <w:pStyle w:val="TableParagraph"/>
              <w:spacing w:before="185"/>
              <w:ind w:left="108"/>
              <w:rPr>
                <w:sz w:val="21"/>
              </w:rPr>
            </w:pPr>
            <w:r>
              <w:rPr>
                <w:rFonts w:ascii="Times New Roman"/>
                <w:b/>
                <w:sz w:val="21"/>
              </w:rPr>
              <w:t>7.1</w:t>
            </w:r>
            <w:r>
              <w:rPr>
                <w:sz w:val="21"/>
              </w:rPr>
              <w:t> </w:t>
            </w:r>
          </w:p>
        </w:tc>
        <w:tc>
          <w:tcPr>
            <w:tcW w:w="1726" w:type="dxa"/>
            <w:tcBorders>
              <w:top w:val="single" w:sz="8" w:space="0" w:color="000000"/>
            </w:tcBorders>
          </w:tcPr>
          <w:p>
            <w:pPr>
              <w:pStyle w:val="TableParagraph"/>
              <w:spacing w:line="273" w:lineRule="auto" w:before="136"/>
              <w:ind w:left="211" w:right="245"/>
              <w:rPr>
                <w:sz w:val="21"/>
              </w:rPr>
            </w:pPr>
            <w:r>
              <w:rPr>
                <w:b/>
                <w:sz w:val="21"/>
              </w:rPr>
              <w:t>明确说明与如实告知</w:t>
            </w:r>
            <w:r>
              <w:rPr>
                <w:w w:val="100"/>
                <w:sz w:val="21"/>
              </w:rPr>
              <w:t> </w:t>
            </w:r>
          </w:p>
        </w:tc>
        <w:tc>
          <w:tcPr>
            <w:tcW w:w="7254" w:type="dxa"/>
            <w:tcBorders>
              <w:top w:val="single" w:sz="8" w:space="0" w:color="000000"/>
            </w:tcBorders>
          </w:tcPr>
          <w:p>
            <w:pPr>
              <w:pStyle w:val="TableParagraph"/>
              <w:spacing w:before="136"/>
              <w:rPr>
                <w:sz w:val="21"/>
              </w:rPr>
            </w:pPr>
            <w:r>
              <w:rPr>
                <w:sz w:val="21"/>
              </w:rPr>
              <w:t>订立本合同时，我们应向投保人说明本合同的内容。</w:t>
            </w:r>
          </w:p>
          <w:p>
            <w:pPr>
              <w:pStyle w:val="TableParagraph"/>
              <w:spacing w:line="273" w:lineRule="auto" w:before="131"/>
              <w:ind w:right="106"/>
              <w:jc w:val="both"/>
              <w:rPr>
                <w:sz w:val="21"/>
              </w:rPr>
            </w:pPr>
            <w:r>
              <w:rPr>
                <w:sz w:val="21"/>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TableParagraph"/>
              <w:spacing w:before="101"/>
              <w:rPr>
                <w:sz w:val="21"/>
              </w:rPr>
            </w:pPr>
            <w:r>
              <w:rPr>
                <w:sz w:val="21"/>
              </w:rPr>
              <w:t>我们就投保人和被保险人的有关情况提出询问，投保人应当如实告知。</w:t>
            </w:r>
          </w:p>
          <w:p>
            <w:pPr>
              <w:pStyle w:val="TableParagraph"/>
              <w:spacing w:line="273" w:lineRule="auto" w:before="131"/>
              <w:ind w:right="57"/>
              <w:rPr>
                <w:b/>
                <w:sz w:val="21"/>
              </w:rPr>
            </w:pPr>
            <w:r>
              <w:rPr>
                <w:b/>
                <w:sz w:val="21"/>
              </w:rPr>
              <w:t>如果投保人故意或者因重大过失未履行前款规定的如实告知义务，足以影响我们决定是否同意承保或者提高保险费率的，我们有权解除本合同。</w:t>
            </w:r>
          </w:p>
          <w:p>
            <w:pPr>
              <w:pStyle w:val="TableParagraph"/>
              <w:spacing w:line="273" w:lineRule="auto" w:before="99"/>
              <w:ind w:right="105"/>
              <w:jc w:val="both"/>
              <w:rPr>
                <w:sz w:val="21"/>
              </w:rPr>
            </w:pPr>
            <w:r>
              <w:rPr>
                <w:spacing w:val="-3"/>
                <w:sz w:val="21"/>
                <w:shd w:fill="C0C0C0" w:color="auto" w:val="clear"/>
              </w:rPr>
              <w:t>如果投保人故意不履行如实告知义务，对于本合同解除前发生的保险事故，我们对本</w:t>
            </w:r>
            <w:r>
              <w:rPr>
                <w:spacing w:val="-17"/>
                <w:sz w:val="21"/>
                <w:shd w:fill="C0C0C0" w:color="auto" w:val="clear"/>
              </w:rPr>
              <w:t>合同解除或者部分解除所涉及的全部或者部分被保险人不承担给付保险金</w:t>
            </w:r>
            <w:r>
              <w:rPr>
                <w:spacing w:val="-3"/>
                <w:sz w:val="21"/>
                <w:shd w:fill="C0C0C0" w:color="auto" w:val="clear"/>
              </w:rPr>
              <w:t>的责任，并不退还保险费。</w:t>
            </w:r>
          </w:p>
          <w:p>
            <w:pPr>
              <w:pStyle w:val="TableParagraph"/>
              <w:spacing w:line="273" w:lineRule="auto" w:before="101"/>
              <w:rPr>
                <w:sz w:val="21"/>
              </w:rPr>
            </w:pPr>
            <w:r>
              <w:rPr>
                <w:spacing w:val="-8"/>
                <w:sz w:val="21"/>
              </w:rPr>
              <w:t>如果投保人因重大过失未履行如实告知义务，对保险事故的发生有严重影响的， </w:t>
            </w:r>
            <w:r>
              <w:rPr>
                <w:spacing w:val="-5"/>
                <w:sz w:val="21"/>
              </w:rPr>
              <w:t>对于本合同解除前发生的保险事故，我们对本合同解除或者部分解除所涉及的</w:t>
            </w:r>
            <w:r>
              <w:rPr>
                <w:spacing w:val="-3"/>
                <w:sz w:val="21"/>
              </w:rPr>
              <w:t>全部或者部分被保险人不承担给付保险金的责任，但应当退还保险费。</w:t>
            </w:r>
            <w:r>
              <w:rPr>
                <w:sz w:val="21"/>
              </w:rPr>
              <w:t> </w:t>
            </w:r>
          </w:p>
          <w:p>
            <w:pPr>
              <w:pStyle w:val="TableParagraph"/>
              <w:spacing w:line="310" w:lineRule="atLeast" w:before="66"/>
              <w:ind w:right="106"/>
              <w:rPr>
                <w:sz w:val="21"/>
              </w:rPr>
            </w:pPr>
            <w:r>
              <w:rPr>
                <w:sz w:val="21"/>
              </w:rPr>
              <w:t>我们在合同订立时已经知道投保人未如实告知的情况的，我们不得解除合同； 发生保险事故的，我们承担给付保险金的责任。 </w:t>
            </w:r>
          </w:p>
        </w:tc>
      </w:tr>
    </w:tbl>
    <w:p>
      <w:pPr>
        <w:rPr>
          <w:sz w:val="2"/>
          <w:szCs w:val="2"/>
        </w:rPr>
      </w:pPr>
      <w:r>
        <w:rPr/>
        <w:pict>
          <v:shape style="position:absolute;margin-left:171.890015pt;margin-top:686.97998pt;width:357.35pt;height:46pt;mso-position-horizontal-relative:page;mso-position-vertical-relative:page;z-index:-39232" coordorigin="3438,13740" coordsize="7147,920" path="m9952,14364l3438,14364,3438,14659,9952,14659,9952,14364m10584,14052l3438,14052,3438,14347,10584,14347,10584,14052m10584,13740l3438,13740,3438,14035,10584,14035,10584,13740e" filled="true" fillcolor="#c0c0c0" stroked="false">
            <v:path arrowok="t"/>
            <v:fill type="solid"/>
            <w10:wrap type="none"/>
          </v:shape>
        </w:pict>
      </w:r>
    </w:p>
    <w:p>
      <w:pPr>
        <w:spacing w:after="0"/>
        <w:rPr>
          <w:sz w:val="2"/>
          <w:szCs w:val="2"/>
        </w:rPr>
        <w:sectPr>
          <w:pgSz w:w="11910" w:h="16840"/>
          <w:pgMar w:header="0" w:footer="924" w:top="1160" w:bottom="1120" w:left="920" w:right="1100"/>
        </w:sectPr>
      </w:pPr>
    </w:p>
    <w:p>
      <w:pPr>
        <w:pStyle w:val="Heading4"/>
        <w:tabs>
          <w:tab w:pos="1002" w:val="left" w:leader="none"/>
        </w:tabs>
        <w:spacing w:line="256" w:lineRule="auto" w:before="32"/>
        <w:ind w:left="1002" w:hanging="790"/>
      </w:pPr>
      <w:r>
        <w:rPr>
          <w:rFonts w:ascii="Times New Roman" w:eastAsia="Times New Roman"/>
        </w:rPr>
        <w:t>7.2</w:t>
        <w:tab/>
      </w:r>
      <w:r>
        <w:rPr/>
        <w:t>本公司合同解 </w:t>
      </w:r>
      <w:r>
        <w:rPr>
          <w:spacing w:val="-1"/>
        </w:rPr>
        <w:t>除权的限制</w:t>
      </w:r>
      <w:r>
        <w:rPr>
          <w:w w:val="99"/>
        </w:rPr>
        <w:t> </w:t>
      </w:r>
    </w:p>
    <w:p>
      <w:pPr>
        <w:pStyle w:val="BodyText"/>
        <w:spacing w:line="256" w:lineRule="auto" w:before="32"/>
        <w:ind w:left="207" w:right="218"/>
        <w:rPr>
          <w:b/>
        </w:rPr>
      </w:pPr>
      <w:r>
        <w:rPr/>
        <w:br w:type="column"/>
      </w:r>
      <w:r>
        <w:rPr>
          <w:spacing w:val="-11"/>
        </w:rPr>
        <w:t>前条规定的合同解除权，自我们知道有解除事由之日起，超过 </w:t>
      </w:r>
      <w:r>
        <w:rPr>
          <w:rFonts w:ascii="Times New Roman" w:eastAsia="Times New Roman"/>
        </w:rPr>
        <w:t>30 </w:t>
      </w:r>
      <w:r>
        <w:rPr>
          <w:spacing w:val="-3"/>
        </w:rPr>
        <w:t>日不行使而消灭。</w:t>
      </w:r>
      <w:r>
        <w:rPr>
          <w:b/>
          <w:color w:val="FF0000"/>
          <w:w w:val="99"/>
        </w:rPr>
        <w:t> </w:t>
      </w:r>
    </w:p>
    <w:p>
      <w:pPr>
        <w:spacing w:after="0" w:line="256" w:lineRule="auto"/>
        <w:sectPr>
          <w:pgSz w:w="11910" w:h="16840"/>
          <w:pgMar w:header="0" w:footer="924" w:top="1240" w:bottom="1120" w:left="920" w:right="1100"/>
          <w:cols w:num="2" w:equalWidth="0">
            <w:col w:w="2271" w:space="40"/>
            <w:col w:w="7579"/>
          </w:cols>
        </w:sectPr>
      </w:pPr>
    </w:p>
    <w:p>
      <w:pPr>
        <w:pStyle w:val="BodyText"/>
        <w:spacing w:before="2"/>
        <w:ind w:left="0"/>
        <w:rPr>
          <w:b/>
          <w:sz w:val="16"/>
        </w:rPr>
      </w:pPr>
    </w:p>
    <w:p>
      <w:pPr>
        <w:pStyle w:val="BodyText"/>
        <w:tabs>
          <w:tab w:pos="1002" w:val="left" w:leader="none"/>
          <w:tab w:pos="2517" w:val="left" w:leader="none"/>
        </w:tabs>
        <w:spacing w:line="236" w:lineRule="exact" w:before="36"/>
        <w:ind w:left="213"/>
      </w:pPr>
      <w:r>
        <w:rPr>
          <w:color w:val="FF0000"/>
          <w:w w:val="100"/>
        </w:rPr>
        <w:t> </w:t>
      </w:r>
      <w:r>
        <w:rPr>
          <w:color w:val="FF0000"/>
        </w:rPr>
        <w:tab/>
      </w:r>
      <w:r>
        <w:rPr>
          <w:color w:val="FF0000"/>
          <w:w w:val="100"/>
        </w:rPr>
        <w:t> </w:t>
      </w:r>
      <w:r>
        <w:rPr>
          <w:color w:val="FF0000"/>
        </w:rPr>
        <w:tab/>
      </w:r>
      <w:r>
        <w:rPr>
          <w:color w:val="FF0000"/>
          <w:w w:val="100"/>
        </w:rPr>
        <w:t> </w:t>
      </w:r>
    </w:p>
    <w:p>
      <w:pPr>
        <w:pStyle w:val="Heading3"/>
        <w:tabs>
          <w:tab w:pos="1002" w:val="left" w:leader="none"/>
        </w:tabs>
      </w:pPr>
      <w:r>
        <w:rPr>
          <w:rFonts w:ascii="Times New Roman" w:eastAsia="Times New Roman"/>
        </w:rPr>
        <w:t>8.</w:t>
        <w:tab/>
      </w:r>
      <w:r>
        <w:rPr/>
        <w:t>其他需要关注的事项</w:t>
      </w:r>
      <w:r>
        <w:rPr>
          <w:w w:val="99"/>
        </w:rPr>
        <w:t> </w:t>
      </w:r>
    </w:p>
    <w:p>
      <w:pPr>
        <w:pStyle w:val="BodyText"/>
        <w:spacing w:before="12"/>
        <w:ind w:left="0"/>
        <w:rPr>
          <w:b/>
          <w:sz w:val="13"/>
        </w:rPr>
      </w:pPr>
      <w:r>
        <w:rPr/>
        <w:pict>
          <v:group style="position:absolute;margin-left:51.240002pt;margin-top:11.103975pt;width:483.4pt;height:1pt;mso-position-horizontal-relative:page;mso-position-vertical-relative:paragraph;z-index:1144;mso-wrap-distance-left:0;mso-wrap-distance-right:0" coordorigin="1025,222" coordsize="9668,20">
            <v:line style="position:absolute" from="1025,232" to="1812,232" stroked="true" strokeweight=".95999pt" strokecolor="#000000">
              <v:stroke dashstyle="solid"/>
            </v:line>
            <v:rect style="position:absolute;left:1812;top:222;width:20;height:20" filled="true" fillcolor="#000000" stroked="false">
              <v:fill type="solid"/>
            </v:rect>
            <v:line style="position:absolute" from="1832,232" to="3329,232" stroked="true" strokeweight=".95999pt" strokecolor="#000000">
              <v:stroke dashstyle="solid"/>
            </v:line>
            <v:rect style="position:absolute;left:3329;top:222;width:20;height:20" filled="true" fillcolor="#000000" stroked="false">
              <v:fill type="solid"/>
            </v:rect>
            <v:line style="position:absolute" from="3348,232" to="10692,232" stroked="true" strokeweight=".95999pt" strokecolor="#000000">
              <v:stroke dashstyle="solid"/>
            </v:line>
            <w10:wrap type="topAndBottom"/>
          </v:group>
        </w:pict>
      </w:r>
    </w:p>
    <w:p>
      <w:pPr>
        <w:pStyle w:val="ListParagraph"/>
        <w:numPr>
          <w:ilvl w:val="1"/>
          <w:numId w:val="4"/>
        </w:numPr>
        <w:tabs>
          <w:tab w:pos="479" w:val="left" w:leader="none"/>
          <w:tab w:pos="1002" w:val="left" w:leader="none"/>
          <w:tab w:pos="2517" w:val="left" w:leader="none"/>
        </w:tabs>
        <w:spacing w:line="256" w:lineRule="auto" w:before="107" w:after="0"/>
        <w:ind w:left="2517" w:right="220" w:hanging="2304"/>
        <w:jc w:val="left"/>
        <w:rPr>
          <w:sz w:val="21"/>
        </w:rPr>
      </w:pPr>
      <w:r>
        <w:rPr>
          <w:b/>
          <w:sz w:val="21"/>
        </w:rPr>
        <w:t>年龄错</w:t>
      </w:r>
      <w:r>
        <w:rPr>
          <w:b/>
          <w:spacing w:val="-3"/>
          <w:sz w:val="21"/>
        </w:rPr>
        <w:t>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保时</w:t>
      </w:r>
      <w:r>
        <w:rPr>
          <w:spacing w:val="-3"/>
          <w:sz w:val="21"/>
        </w:rPr>
        <w:t>，应</w:t>
      </w:r>
      <w:r>
        <w:rPr>
          <w:sz w:val="21"/>
        </w:rPr>
        <w:t>填明</w:t>
      </w:r>
      <w:r>
        <w:rPr>
          <w:spacing w:val="-3"/>
          <w:sz w:val="21"/>
        </w:rPr>
        <w:t>与</w:t>
      </w:r>
      <w:r>
        <w:rPr>
          <w:sz w:val="21"/>
        </w:rPr>
        <w:t>有</w:t>
      </w:r>
      <w:r>
        <w:rPr>
          <w:spacing w:val="-3"/>
          <w:sz w:val="21"/>
        </w:rPr>
        <w:t>效</w:t>
      </w:r>
      <w:r>
        <w:rPr>
          <w:sz w:val="21"/>
        </w:rPr>
        <w:t>身</w:t>
      </w:r>
      <w:r>
        <w:rPr>
          <w:spacing w:val="-3"/>
          <w:sz w:val="21"/>
        </w:rPr>
        <w:t>份</w:t>
      </w:r>
      <w:r>
        <w:rPr>
          <w:sz w:val="21"/>
        </w:rPr>
        <w:t>证件</w:t>
      </w:r>
      <w:r>
        <w:rPr>
          <w:spacing w:val="-3"/>
          <w:sz w:val="21"/>
        </w:rPr>
        <w:t>相符</w:t>
      </w:r>
      <w:r>
        <w:rPr>
          <w:sz w:val="21"/>
        </w:rPr>
        <w:t>的被</w:t>
      </w:r>
      <w:r>
        <w:rPr>
          <w:spacing w:val="-3"/>
          <w:sz w:val="21"/>
        </w:rPr>
        <w:t>保</w:t>
      </w:r>
      <w:r>
        <w:rPr>
          <w:sz w:val="21"/>
        </w:rPr>
        <w:t>险</w:t>
      </w:r>
      <w:r>
        <w:rPr>
          <w:spacing w:val="-3"/>
          <w:sz w:val="21"/>
        </w:rPr>
        <w:t>人</w:t>
      </w:r>
      <w:r>
        <w:rPr>
          <w:sz w:val="21"/>
        </w:rPr>
        <w:t>的</w:t>
      </w:r>
      <w:r>
        <w:rPr>
          <w:spacing w:val="-3"/>
          <w:sz w:val="21"/>
        </w:rPr>
        <w:t>出</w:t>
      </w:r>
      <w:r>
        <w:rPr>
          <w:sz w:val="21"/>
        </w:rPr>
        <w:t>生日</w:t>
      </w:r>
      <w:r>
        <w:rPr>
          <w:spacing w:val="-3"/>
          <w:sz w:val="21"/>
        </w:rPr>
        <w:t>期，</w:t>
      </w:r>
      <w:r>
        <w:rPr>
          <w:sz w:val="21"/>
        </w:rPr>
        <w:t>如 果发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w:t>
      </w:r>
      <w:r>
        <w:rPr>
          <w:spacing w:val="-3"/>
          <w:sz w:val="21"/>
        </w:rPr>
        <w:t>式</w:t>
      </w:r>
      <w:r>
        <w:rPr>
          <w:sz w:val="21"/>
        </w:rPr>
        <w:t>办理：</w:t>
      </w:r>
    </w:p>
    <w:p>
      <w:pPr>
        <w:pStyle w:val="BodyText"/>
        <w:spacing w:line="268" w:lineRule="auto" w:before="116"/>
        <w:ind w:left="2503" w:right="235" w:firstLine="14"/>
        <w:jc w:val="both"/>
      </w:pPr>
      <w:r>
        <w:rPr>
          <w:rFonts w:ascii="Times New Roman" w:hAnsi="Times New Roman" w:eastAsia="Times New Roman"/>
          <w:shd w:fill="C0C0C0" w:color="auto" w:val="clear"/>
        </w:rPr>
        <w:t>1.</w:t>
      </w:r>
      <w:r>
        <w:rPr>
          <w:spacing w:val="-3"/>
          <w:shd w:fill="C0C0C0" w:color="auto" w:val="clear"/>
        </w:rPr>
        <w:t>投保人申报的被保险人年龄不真实，并且其真实年龄不符合本合同约定投保</w:t>
      </w:r>
      <w:r>
        <w:rPr>
          <w:spacing w:val="-169"/>
          <w:shd w:fill="C0C0C0" w:color="auto" w:val="clear"/>
        </w:rPr>
        <w:t>年</w:t>
      </w:r>
      <w:r>
        <w:rPr>
          <w:spacing w:val="-3"/>
          <w:shd w:fill="C0C0C0" w:color="auto" w:val="clear"/>
        </w:rPr>
        <w:t>龄限制的，我们有权终止对该被保险人的保险责任，但退还保险责任终止时该被保险人名下的未到期净保费，对于该被保险人的保险责任终止前发生的保险事故，本公司不承担给付保险金的责任。</w:t>
      </w:r>
      <w:r>
        <w:rPr>
          <w:spacing w:val="-3"/>
        </w:rPr>
        <w:t>对前述被保险人的保险责任终止权适用“本公司合同解除权的限制”的规定。</w:t>
      </w:r>
      <w:r>
        <w:rPr>
          <w:spacing w:val="-2"/>
        </w:rPr>
        <w:t> </w:t>
      </w:r>
      <w:r>
        <w:rPr>
          <w:w w:val="100"/>
        </w:rPr>
        <w:t> </w:t>
      </w:r>
    </w:p>
    <w:p>
      <w:pPr>
        <w:spacing w:line="266" w:lineRule="auto" w:before="105"/>
        <w:ind w:left="2515" w:right="223" w:hanging="15"/>
        <w:jc w:val="both"/>
        <w:rPr>
          <w:sz w:val="21"/>
        </w:rPr>
      </w:pPr>
      <w:r>
        <w:rPr>
          <w:rFonts w:ascii="Times New Roman" w:eastAsia="Times New Roman"/>
          <w:sz w:val="21"/>
        </w:rPr>
        <w:t>2.</w:t>
      </w:r>
      <w:r>
        <w:rPr>
          <w:spacing w:val="-3"/>
          <w:sz w:val="21"/>
        </w:rPr>
        <w:t>投保人申报的被保险人年龄不真实，致使投保人或被保险人实付保险费少于应付保险费的，我们有权更正并要求投保人或被保险人补交该被保险人名下的</w:t>
      </w:r>
      <w:r>
        <w:rPr>
          <w:spacing w:val="-4"/>
          <w:sz w:val="21"/>
        </w:rPr>
        <w:t>保险费。</w:t>
      </w:r>
      <w:r>
        <w:rPr>
          <w:b/>
          <w:spacing w:val="-3"/>
          <w:sz w:val="21"/>
        </w:rPr>
        <w:t>若已经发生保险事故，在给付保险金时按实付保险费和应付保险费的比例给付</w:t>
      </w:r>
      <w:r>
        <w:rPr>
          <w:spacing w:val="-3"/>
          <w:sz w:val="21"/>
        </w:rPr>
        <w:t>。</w:t>
      </w:r>
      <w:r>
        <w:rPr>
          <w:sz w:val="21"/>
        </w:rPr>
        <w:t> </w:t>
      </w:r>
    </w:p>
    <w:p>
      <w:pPr>
        <w:pStyle w:val="BodyText"/>
        <w:spacing w:line="256" w:lineRule="auto" w:before="107"/>
        <w:ind w:left="2517" w:right="273"/>
        <w:jc w:val="both"/>
      </w:pPr>
      <w:r>
        <w:rPr>
          <w:rFonts w:ascii="Times New Roman" w:eastAsia="Times New Roman"/>
        </w:rPr>
        <w:t>3.</w:t>
      </w:r>
      <w:r>
        <w:rPr/>
        <w:t>投保人申报的被保险人年龄不真实，致使投保人或被保险人实付保险费多于应付保险费的，我们会无息退还该被保险人名下多收的保险费。</w:t>
      </w:r>
      <w:r>
        <w:rPr>
          <w:color w:val="FF0000"/>
        </w:rPr>
        <w:t> </w:t>
      </w:r>
    </w:p>
    <w:p>
      <w:pPr>
        <w:pStyle w:val="BodyText"/>
        <w:tabs>
          <w:tab w:pos="1002" w:val="left" w:leader="none"/>
          <w:tab w:pos="2517" w:val="left" w:leader="none"/>
        </w:tabs>
        <w:spacing w:line="221" w:lineRule="exact" w:before="178"/>
        <w:ind w:left="213"/>
      </w:pPr>
      <w:r>
        <w:rPr>
          <w:color w:val="FF0000"/>
          <w:w w:val="100"/>
        </w:rPr>
        <w:t> </w:t>
      </w:r>
      <w:r>
        <w:rPr>
          <w:color w:val="FF0000"/>
        </w:rPr>
        <w:tab/>
      </w:r>
      <w:r>
        <w:rPr>
          <w:color w:val="FF0000"/>
          <w:w w:val="100"/>
        </w:rPr>
        <w:t> </w:t>
      </w:r>
      <w:r>
        <w:rPr>
          <w:color w:val="FF0000"/>
        </w:rPr>
        <w:tab/>
      </w:r>
      <w:r>
        <w:rPr>
          <w:color w:val="FF0000"/>
          <w:w w:val="100"/>
        </w:rPr>
        <w:t> </w:t>
      </w:r>
    </w:p>
    <w:p>
      <w:pPr>
        <w:pStyle w:val="ListParagraph"/>
        <w:numPr>
          <w:ilvl w:val="1"/>
          <w:numId w:val="4"/>
        </w:numPr>
        <w:tabs>
          <w:tab w:pos="1002" w:val="left" w:leader="none"/>
          <w:tab w:pos="1003" w:val="left" w:leader="none"/>
        </w:tabs>
        <w:spacing w:line="237" w:lineRule="exact" w:before="0" w:after="0"/>
        <w:ind w:left="1002" w:right="0" w:hanging="789"/>
        <w:jc w:val="left"/>
        <w:rPr>
          <w:sz w:val="21"/>
        </w:rPr>
      </w:pPr>
      <w:r>
        <w:rPr>
          <w:b/>
          <w:spacing w:val="7"/>
          <w:sz w:val="21"/>
        </w:rPr>
        <w:t>被保险人变动  </w:t>
      </w:r>
      <w:r>
        <w:rPr>
          <w:spacing w:val="-3"/>
          <w:sz w:val="21"/>
        </w:rPr>
        <w:t>投保人发生被保险人变动时，应书面通知本公司，并提供相应的证明文件。 </w:t>
      </w:r>
      <w:r>
        <w:rPr>
          <w:sz w:val="21"/>
        </w:rPr>
        <w:t> </w:t>
      </w:r>
    </w:p>
    <w:p>
      <w:pPr>
        <w:pStyle w:val="BodyText"/>
        <w:spacing w:line="273" w:lineRule="auto" w:before="177"/>
        <w:ind w:left="2517" w:right="220"/>
        <w:jc w:val="both"/>
      </w:pPr>
      <w:r>
        <w:rPr/>
        <w:t>新增人员时，经投保人申请、本公司审核同意后收取相应保险费。本公司对该新增加的被保险人承担的保险责任的起始时间在本合同上载明。 </w:t>
      </w:r>
    </w:p>
    <w:p>
      <w:pPr>
        <w:pStyle w:val="BodyText"/>
        <w:spacing w:line="273" w:lineRule="auto" w:before="163"/>
        <w:ind w:left="2517" w:right="223"/>
        <w:jc w:val="both"/>
      </w:pPr>
      <w:r>
        <w:rPr/>
        <w:t>被保险人与投保人解除劳动关系或其他成员关系的，本公司对该被保险人按以下情况进行处理： </w:t>
      </w:r>
    </w:p>
    <w:p>
      <w:pPr>
        <w:pStyle w:val="Heading4"/>
        <w:spacing w:line="264" w:lineRule="auto" w:before="101"/>
        <w:ind w:left="2517" w:right="221"/>
        <w:jc w:val="both"/>
      </w:pPr>
      <w:r>
        <w:rPr>
          <w:rFonts w:ascii="Times New Roman" w:eastAsia="Times New Roman"/>
        </w:rPr>
        <w:t>1.</w:t>
      </w:r>
      <w:r>
        <w:rPr/>
        <w:t>如投保人申请本公司依本合同的约定对该被保险人继续履行保险责任并且被</w:t>
      </w:r>
      <w:r>
        <w:rPr>
          <w:spacing w:val="-5"/>
        </w:rPr>
        <w:t>保险人同意，需由投保人提供书面申请，并经本公司审核同意，本公司对该被保险人的保险责任继续有效；</w:t>
      </w:r>
    </w:p>
    <w:p>
      <w:pPr>
        <w:spacing w:line="268" w:lineRule="auto" w:before="109"/>
        <w:ind w:left="2517" w:right="223" w:firstLine="0"/>
        <w:jc w:val="both"/>
        <w:rPr>
          <w:b/>
          <w:sz w:val="21"/>
        </w:rPr>
      </w:pPr>
      <w:r>
        <w:rPr>
          <w:rFonts w:ascii="Times New Roman" w:eastAsia="Times New Roman"/>
          <w:b/>
          <w:sz w:val="21"/>
        </w:rPr>
        <w:t>2.</w:t>
      </w:r>
      <w:r>
        <w:rPr>
          <w:b/>
          <w:sz w:val="21"/>
        </w:rPr>
        <w:t>如投保人申请本公司终止对该被保险人的保险责任，本公司对该被保险人的</w:t>
      </w:r>
      <w:r>
        <w:rPr>
          <w:b/>
          <w:spacing w:val="-4"/>
          <w:sz w:val="21"/>
        </w:rPr>
        <w:t>保险责任自投保人书面通知到达时起终止。投保人在通知书中载明的变更被保</w:t>
      </w:r>
      <w:r>
        <w:rPr>
          <w:b/>
          <w:spacing w:val="-6"/>
          <w:sz w:val="21"/>
        </w:rPr>
        <w:t>险人日期如果晚于通知书送达本公司的日期，则本公司对该被保险人的保险责</w:t>
      </w:r>
      <w:r>
        <w:rPr>
          <w:b/>
          <w:spacing w:val="-7"/>
          <w:sz w:val="21"/>
        </w:rPr>
        <w:t>任自通知书中载明的变更被保险人日期的零时起终止。</w:t>
      </w:r>
      <w:r>
        <w:rPr>
          <w:b/>
          <w:color w:val="111111"/>
          <w:spacing w:val="-2"/>
          <w:sz w:val="21"/>
        </w:rPr>
        <w:t>如果减少的被保险人未</w:t>
      </w:r>
      <w:r>
        <w:rPr>
          <w:b/>
          <w:color w:val="111111"/>
          <w:spacing w:val="-6"/>
          <w:sz w:val="21"/>
        </w:rPr>
        <w:t>发生保险事故，本公司退还</w:t>
      </w:r>
      <w:r>
        <w:rPr>
          <w:b/>
          <w:spacing w:val="-2"/>
          <w:sz w:val="21"/>
        </w:rPr>
        <w:t>保险责任终止时本合同项下</w:t>
      </w:r>
      <w:r>
        <w:rPr>
          <w:b/>
          <w:color w:val="111111"/>
          <w:spacing w:val="-3"/>
          <w:sz w:val="21"/>
        </w:rPr>
        <w:t>该被保险人对应的未到</w:t>
      </w:r>
      <w:r>
        <w:rPr>
          <w:b/>
          <w:color w:val="111111"/>
          <w:sz w:val="21"/>
        </w:rPr>
        <w:t>期净保费；如果减</w:t>
      </w:r>
      <w:r>
        <w:rPr>
          <w:b/>
          <w:spacing w:val="-3"/>
          <w:sz w:val="21"/>
        </w:rPr>
        <w:t>少的被保险人发生过保险事故，本公司无资金退还。</w:t>
      </w:r>
    </w:p>
    <w:p>
      <w:pPr>
        <w:pStyle w:val="BodyText"/>
        <w:spacing w:before="105"/>
        <w:ind w:left="2517"/>
        <w:jc w:val="both"/>
      </w:pPr>
      <w:r>
        <w:rPr/>
        <w:t>若投保人与本公司有产品转换或者其它约定的，均按约定内容执行。</w:t>
      </w:r>
    </w:p>
    <w:p>
      <w:pPr>
        <w:pStyle w:val="BodyText"/>
        <w:spacing w:before="10"/>
        <w:ind w:left="0"/>
        <w:rPr>
          <w:sz w:val="14"/>
        </w:rPr>
      </w:pPr>
    </w:p>
    <w:p>
      <w:pPr>
        <w:pStyle w:val="BodyText"/>
        <w:tabs>
          <w:tab w:pos="1002" w:val="left" w:leader="none"/>
          <w:tab w:pos="2517" w:val="left" w:leader="none"/>
        </w:tabs>
        <w:spacing w:line="223" w:lineRule="exact"/>
        <w:ind w:left="213"/>
      </w:pPr>
      <w:r>
        <w:rPr>
          <w:color w:val="FF0000"/>
          <w:w w:val="100"/>
        </w:rPr>
        <w:t> </w:t>
      </w:r>
      <w:r>
        <w:rPr>
          <w:color w:val="FF0000"/>
        </w:rPr>
        <w:tab/>
      </w:r>
      <w:r>
        <w:rPr>
          <w:color w:val="FF0000"/>
          <w:w w:val="100"/>
        </w:rPr>
        <w:t> </w:t>
      </w:r>
      <w:r>
        <w:rPr>
          <w:color w:val="FF0000"/>
        </w:rPr>
        <w:tab/>
      </w:r>
      <w:r>
        <w:rPr>
          <w:color w:val="FF0000"/>
          <w:w w:val="100"/>
        </w:rPr>
        <w:t> </w:t>
      </w:r>
    </w:p>
    <w:p>
      <w:pPr>
        <w:pStyle w:val="ListParagraph"/>
        <w:numPr>
          <w:ilvl w:val="1"/>
          <w:numId w:val="4"/>
        </w:numPr>
        <w:tabs>
          <w:tab w:pos="1002" w:val="left" w:leader="none"/>
          <w:tab w:pos="1003" w:val="left" w:leader="none"/>
          <w:tab w:pos="2517" w:val="left" w:leader="none"/>
        </w:tabs>
        <w:spacing w:line="238" w:lineRule="exact" w:before="0" w:after="0"/>
        <w:ind w:left="1002" w:right="0" w:hanging="789"/>
        <w:jc w:val="left"/>
        <w:rPr>
          <w:sz w:val="21"/>
        </w:rPr>
      </w:pPr>
      <w:r>
        <w:rPr>
          <w:b/>
          <w:sz w:val="21"/>
        </w:rPr>
        <w:t>转账规</w:t>
      </w:r>
      <w:r>
        <w:rPr>
          <w:b/>
          <w:spacing w:val="-3"/>
          <w:sz w:val="21"/>
        </w:rPr>
        <w:t>定</w:t>
        <w:tab/>
      </w:r>
      <w:r>
        <w:rPr>
          <w:spacing w:val="-1"/>
          <w:sz w:val="21"/>
        </w:rPr>
        <w:t>本合</w:t>
      </w:r>
      <w:r>
        <w:rPr>
          <w:spacing w:val="-3"/>
          <w:sz w:val="21"/>
        </w:rPr>
        <w:t>同</w:t>
      </w:r>
      <w:r>
        <w:rPr>
          <w:sz w:val="21"/>
        </w:rPr>
        <w:t>中</w:t>
      </w:r>
      <w:r>
        <w:rPr>
          <w:spacing w:val="-3"/>
          <w:sz w:val="21"/>
        </w:rPr>
        <w:t>涉</w:t>
      </w:r>
      <w:r>
        <w:rPr>
          <w:sz w:val="21"/>
        </w:rPr>
        <w:t>及</w:t>
      </w:r>
      <w:r>
        <w:rPr>
          <w:spacing w:val="-3"/>
          <w:sz w:val="21"/>
        </w:rPr>
        <w:t>到</w:t>
      </w:r>
      <w:r>
        <w:rPr>
          <w:sz w:val="21"/>
        </w:rPr>
        <w:t>本</w:t>
      </w:r>
      <w:r>
        <w:rPr>
          <w:spacing w:val="-3"/>
          <w:sz w:val="21"/>
        </w:rPr>
        <w:t>公</w:t>
      </w:r>
      <w:r>
        <w:rPr>
          <w:sz w:val="21"/>
        </w:rPr>
        <w:t>司</w:t>
      </w:r>
      <w:r>
        <w:rPr>
          <w:spacing w:val="-3"/>
          <w:sz w:val="21"/>
        </w:rPr>
        <w:t>退</w:t>
      </w:r>
      <w:r>
        <w:rPr>
          <w:sz w:val="21"/>
        </w:rPr>
        <w:t>还保</w:t>
      </w:r>
      <w:r>
        <w:rPr>
          <w:spacing w:val="-3"/>
          <w:sz w:val="21"/>
        </w:rPr>
        <w:t>险</w:t>
      </w:r>
      <w:r>
        <w:rPr>
          <w:sz w:val="21"/>
        </w:rPr>
        <w:t>费</w:t>
      </w:r>
      <w:r>
        <w:rPr>
          <w:spacing w:val="-3"/>
          <w:sz w:val="21"/>
        </w:rPr>
        <w:t>、</w:t>
      </w:r>
      <w:r>
        <w:rPr>
          <w:sz w:val="21"/>
        </w:rPr>
        <w:t>未</w:t>
      </w:r>
      <w:r>
        <w:rPr>
          <w:spacing w:val="-3"/>
          <w:sz w:val="21"/>
        </w:rPr>
        <w:t>到</w:t>
      </w:r>
      <w:r>
        <w:rPr>
          <w:sz w:val="21"/>
        </w:rPr>
        <w:t>期</w:t>
      </w:r>
      <w:r>
        <w:rPr>
          <w:spacing w:val="-3"/>
          <w:sz w:val="21"/>
        </w:rPr>
        <w:t>净</w:t>
      </w:r>
      <w:r>
        <w:rPr>
          <w:sz w:val="21"/>
        </w:rPr>
        <w:t>保费时，</w:t>
      </w:r>
      <w:r>
        <w:rPr>
          <w:spacing w:val="-3"/>
          <w:sz w:val="21"/>
        </w:rPr>
        <w:t>本</w:t>
      </w:r>
      <w:r>
        <w:rPr>
          <w:sz w:val="21"/>
        </w:rPr>
        <w:t>公</w:t>
      </w:r>
      <w:r>
        <w:rPr>
          <w:spacing w:val="-3"/>
          <w:sz w:val="21"/>
        </w:rPr>
        <w:t>司</w:t>
      </w:r>
      <w:r>
        <w:rPr>
          <w:sz w:val="21"/>
        </w:rPr>
        <w:t>均</w:t>
      </w:r>
      <w:r>
        <w:rPr>
          <w:spacing w:val="-3"/>
          <w:sz w:val="21"/>
        </w:rPr>
        <w:t>以</w:t>
      </w:r>
      <w:r>
        <w:rPr>
          <w:sz w:val="21"/>
        </w:rPr>
        <w:t>银</w:t>
      </w:r>
      <w:r>
        <w:rPr>
          <w:spacing w:val="-3"/>
          <w:sz w:val="21"/>
        </w:rPr>
        <w:t>行</w:t>
      </w:r>
      <w:r>
        <w:rPr>
          <w:sz w:val="21"/>
        </w:rPr>
        <w:t>转</w:t>
      </w:r>
      <w:r>
        <w:rPr>
          <w:spacing w:val="-3"/>
          <w:sz w:val="21"/>
        </w:rPr>
        <w:t>账</w:t>
      </w:r>
      <w:r>
        <w:rPr>
          <w:sz w:val="21"/>
        </w:rPr>
        <w:t>方</w:t>
      </w:r>
    </w:p>
    <w:p>
      <w:pPr>
        <w:pStyle w:val="BodyText"/>
        <w:spacing w:before="21"/>
        <w:ind w:left="2517"/>
        <w:jc w:val="both"/>
        <w:rPr>
          <w:sz w:val="24"/>
        </w:rPr>
      </w:pPr>
      <w:r>
        <w:rPr/>
        <w:t>式将相应金额退至投保时交纳保险费的账户。 </w:t>
      </w:r>
      <w:r>
        <w:rPr>
          <w:sz w:val="24"/>
        </w:rPr>
        <w:t> </w:t>
      </w:r>
    </w:p>
    <w:p>
      <w:pPr>
        <w:pStyle w:val="Heading4"/>
        <w:spacing w:line="255" w:lineRule="exact" w:before="37"/>
        <w:ind w:left="1002"/>
      </w:pPr>
      <w:r>
        <w:rPr>
          <w:w w:val="99"/>
        </w:rPr>
        <w:t> </w:t>
      </w:r>
    </w:p>
    <w:p>
      <w:pPr>
        <w:pStyle w:val="ListParagraph"/>
        <w:numPr>
          <w:ilvl w:val="1"/>
          <w:numId w:val="4"/>
        </w:numPr>
        <w:tabs>
          <w:tab w:pos="479" w:val="left" w:leader="none"/>
          <w:tab w:pos="1002" w:val="left" w:leader="none"/>
        </w:tabs>
        <w:spacing w:line="271" w:lineRule="exact" w:before="0" w:after="0"/>
        <w:ind w:left="2517" w:right="0" w:hanging="2304"/>
        <w:jc w:val="left"/>
        <w:rPr>
          <w:sz w:val="21"/>
        </w:rPr>
      </w:pPr>
      <w:r>
        <w:rPr>
          <w:b/>
          <w:spacing w:val="7"/>
          <w:sz w:val="21"/>
        </w:rPr>
        <w:t>合同内容变更  </w:t>
      </w:r>
      <w:r>
        <w:rPr>
          <w:spacing w:val="-3"/>
          <w:sz w:val="21"/>
        </w:rPr>
        <w:t>在本合同有效期间内，除本合同另有约定外，经投保人与我们协商一致，可以</w:t>
      </w:r>
    </w:p>
    <w:p>
      <w:pPr>
        <w:pStyle w:val="BodyText"/>
        <w:spacing w:line="273" w:lineRule="auto" w:before="21"/>
        <w:ind w:left="2517" w:right="220"/>
        <w:jc w:val="both"/>
      </w:pPr>
      <w:r>
        <w:rPr/>
        <w:t>变更本合同的有关内容。投保人提出变更申请后，应当由我们在原保险单或者其他有效的保险凭证上批注或者附贴批单，或由投保人与我们订立书面的变更协议后，该变更生效。 </w:t>
      </w:r>
    </w:p>
    <w:p>
      <w:pPr>
        <w:spacing w:after="0" w:line="273" w:lineRule="auto"/>
        <w:jc w:val="both"/>
        <w:sectPr>
          <w:type w:val="continuous"/>
          <w:pgSz w:w="11910" w:h="16840"/>
          <w:pgMar w:top="1100" w:bottom="112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602"/>
        <w:gridCol w:w="7578"/>
      </w:tblGrid>
      <w:tr>
        <w:trPr>
          <w:trHeight w:val="188" w:hRule="atLeast"/>
        </w:trPr>
        <w:tc>
          <w:tcPr>
            <w:tcW w:w="778" w:type="dxa"/>
          </w:tcPr>
          <w:p>
            <w:pPr>
              <w:pStyle w:val="TableParagraph"/>
              <w:spacing w:line="168" w:lineRule="exact"/>
              <w:ind w:left="200"/>
              <w:rPr>
                <w:sz w:val="21"/>
              </w:rPr>
            </w:pPr>
            <w:r>
              <w:rPr>
                <w:w w:val="100"/>
                <w:sz w:val="21"/>
              </w:rPr>
              <w:t> </w:t>
            </w:r>
          </w:p>
        </w:tc>
        <w:tc>
          <w:tcPr>
            <w:tcW w:w="1602" w:type="dxa"/>
          </w:tcPr>
          <w:p>
            <w:pPr>
              <w:pStyle w:val="TableParagraph"/>
              <w:spacing w:line="168" w:lineRule="exact"/>
              <w:ind w:left="211"/>
              <w:rPr>
                <w:sz w:val="21"/>
              </w:rPr>
            </w:pPr>
            <w:r>
              <w:rPr>
                <w:w w:val="100"/>
                <w:sz w:val="21"/>
              </w:rPr>
              <w:t> </w:t>
            </w:r>
          </w:p>
        </w:tc>
        <w:tc>
          <w:tcPr>
            <w:tcW w:w="7578" w:type="dxa"/>
          </w:tcPr>
          <w:p>
            <w:pPr>
              <w:pStyle w:val="TableParagraph"/>
              <w:spacing w:line="168" w:lineRule="exact"/>
              <w:ind w:left="124"/>
              <w:rPr>
                <w:sz w:val="21"/>
              </w:rPr>
            </w:pPr>
            <w:r>
              <w:rPr>
                <w:w w:val="100"/>
                <w:sz w:val="21"/>
              </w:rPr>
              <w:t> </w:t>
            </w:r>
          </w:p>
        </w:tc>
      </w:tr>
      <w:tr>
        <w:trPr>
          <w:trHeight w:val="1258" w:hRule="atLeast"/>
        </w:trPr>
        <w:tc>
          <w:tcPr>
            <w:tcW w:w="778" w:type="dxa"/>
          </w:tcPr>
          <w:p>
            <w:pPr>
              <w:pStyle w:val="TableParagraph"/>
              <w:spacing w:line="209" w:lineRule="exact"/>
              <w:ind w:left="200"/>
              <w:rPr>
                <w:b/>
                <w:sz w:val="21"/>
              </w:rPr>
            </w:pPr>
            <w:r>
              <w:rPr>
                <w:rFonts w:ascii="Times New Roman"/>
                <w:b/>
                <w:sz w:val="21"/>
              </w:rPr>
              <w:t>8.5</w:t>
            </w:r>
            <w:r>
              <w:rPr>
                <w:b/>
                <w:w w:val="99"/>
                <w:sz w:val="21"/>
              </w:rPr>
              <w:t> </w:t>
            </w:r>
          </w:p>
        </w:tc>
        <w:tc>
          <w:tcPr>
            <w:tcW w:w="1602" w:type="dxa"/>
          </w:tcPr>
          <w:p>
            <w:pPr>
              <w:pStyle w:val="TableParagraph"/>
              <w:spacing w:line="193" w:lineRule="exact"/>
              <w:ind w:left="211"/>
              <w:rPr>
                <w:b/>
                <w:sz w:val="21"/>
              </w:rPr>
            </w:pPr>
            <w:r>
              <w:rPr>
                <w:b/>
                <w:sz w:val="21"/>
              </w:rPr>
              <w:t>通讯方式变更</w:t>
            </w:r>
          </w:p>
          <w:p>
            <w:pPr>
              <w:pStyle w:val="TableParagraph"/>
              <w:spacing w:before="37"/>
              <w:ind w:left="211"/>
              <w:rPr>
                <w:b/>
                <w:sz w:val="21"/>
              </w:rPr>
            </w:pPr>
            <w:r>
              <w:rPr>
                <w:b/>
                <w:sz w:val="21"/>
              </w:rPr>
              <w:t>的通知</w:t>
            </w:r>
            <w:r>
              <w:rPr>
                <w:b/>
                <w:w w:val="99"/>
                <w:sz w:val="21"/>
              </w:rPr>
              <w:t> </w:t>
            </w:r>
          </w:p>
        </w:tc>
        <w:tc>
          <w:tcPr>
            <w:tcW w:w="7578" w:type="dxa"/>
          </w:tcPr>
          <w:p>
            <w:pPr>
              <w:pStyle w:val="TableParagraph"/>
              <w:spacing w:line="193" w:lineRule="exact"/>
              <w:ind w:left="124"/>
              <w:rPr>
                <w:sz w:val="21"/>
              </w:rPr>
            </w:pPr>
            <w:r>
              <w:rPr>
                <w:sz w:val="21"/>
              </w:rPr>
              <w:t>为了保障投保人的合法权益，投保人的住所、通讯地址或电话等联系方式变更</w:t>
            </w:r>
          </w:p>
          <w:p>
            <w:pPr>
              <w:pStyle w:val="TableParagraph"/>
              <w:spacing w:line="273" w:lineRule="auto" w:before="37"/>
              <w:ind w:left="124" w:right="305"/>
              <w:jc w:val="both"/>
              <w:rPr>
                <w:sz w:val="21"/>
              </w:rPr>
            </w:pPr>
            <w:r>
              <w:rPr>
                <w:sz w:val="21"/>
              </w:rPr>
              <w:t>时，请及时以书面或双方认可的其他方式通知我们。若投保人未以书面或双方认可的其他方式通知我们，我们按本合同载明的最后住所、通讯地址或电话、手机短信等联系方式所发送的有关通知，均视为已送达给投保人。 </w:t>
            </w:r>
          </w:p>
        </w:tc>
      </w:tr>
      <w:tr>
        <w:trPr>
          <w:trHeight w:val="316" w:hRule="atLeast"/>
        </w:trPr>
        <w:tc>
          <w:tcPr>
            <w:tcW w:w="778" w:type="dxa"/>
          </w:tcPr>
          <w:p>
            <w:pPr>
              <w:pStyle w:val="TableParagraph"/>
              <w:spacing w:line="232" w:lineRule="exact" w:before="64"/>
              <w:ind w:left="200"/>
              <w:rPr>
                <w:sz w:val="21"/>
              </w:rPr>
            </w:pPr>
            <w:r>
              <w:rPr>
                <w:w w:val="100"/>
                <w:sz w:val="21"/>
              </w:rPr>
              <w:t> </w:t>
            </w:r>
          </w:p>
        </w:tc>
        <w:tc>
          <w:tcPr>
            <w:tcW w:w="1602" w:type="dxa"/>
          </w:tcPr>
          <w:p>
            <w:pPr>
              <w:pStyle w:val="TableParagraph"/>
              <w:spacing w:line="232" w:lineRule="exact" w:before="64"/>
              <w:ind w:left="211"/>
              <w:rPr>
                <w:sz w:val="21"/>
              </w:rPr>
            </w:pPr>
            <w:r>
              <w:rPr>
                <w:w w:val="100"/>
                <w:sz w:val="21"/>
              </w:rPr>
              <w:t> </w:t>
            </w:r>
          </w:p>
        </w:tc>
        <w:tc>
          <w:tcPr>
            <w:tcW w:w="7578" w:type="dxa"/>
          </w:tcPr>
          <w:p>
            <w:pPr>
              <w:pStyle w:val="TableParagraph"/>
              <w:spacing w:line="232" w:lineRule="exact" w:before="64"/>
              <w:ind w:left="124"/>
              <w:rPr>
                <w:sz w:val="21"/>
              </w:rPr>
            </w:pPr>
            <w:r>
              <w:rPr>
                <w:w w:val="100"/>
                <w:sz w:val="21"/>
              </w:rPr>
              <w:t> </w:t>
            </w:r>
          </w:p>
        </w:tc>
      </w:tr>
      <w:tr>
        <w:trPr>
          <w:trHeight w:val="1265" w:hRule="atLeast"/>
        </w:trPr>
        <w:tc>
          <w:tcPr>
            <w:tcW w:w="778" w:type="dxa"/>
          </w:tcPr>
          <w:p>
            <w:pPr>
              <w:pStyle w:val="TableParagraph"/>
              <w:spacing w:line="209" w:lineRule="exact"/>
              <w:ind w:left="200"/>
              <w:rPr>
                <w:b/>
                <w:sz w:val="21"/>
              </w:rPr>
            </w:pPr>
            <w:r>
              <w:rPr>
                <w:rFonts w:ascii="Times New Roman"/>
                <w:b/>
                <w:sz w:val="21"/>
              </w:rPr>
              <w:t>8.6</w:t>
            </w:r>
            <w:r>
              <w:rPr>
                <w:b/>
                <w:w w:val="99"/>
                <w:sz w:val="21"/>
              </w:rPr>
              <w:t> </w:t>
            </w:r>
          </w:p>
        </w:tc>
        <w:tc>
          <w:tcPr>
            <w:tcW w:w="1602" w:type="dxa"/>
          </w:tcPr>
          <w:p>
            <w:pPr>
              <w:pStyle w:val="TableParagraph"/>
              <w:spacing w:line="193" w:lineRule="exact"/>
              <w:ind w:left="211"/>
              <w:rPr>
                <w:b/>
                <w:sz w:val="21"/>
              </w:rPr>
            </w:pPr>
            <w:r>
              <w:rPr>
                <w:b/>
                <w:sz w:val="21"/>
              </w:rPr>
              <w:t>争议处理</w:t>
            </w:r>
            <w:r>
              <w:rPr>
                <w:b/>
                <w:w w:val="99"/>
                <w:sz w:val="21"/>
              </w:rPr>
              <w:t> </w:t>
            </w:r>
          </w:p>
        </w:tc>
        <w:tc>
          <w:tcPr>
            <w:tcW w:w="7578" w:type="dxa"/>
          </w:tcPr>
          <w:p>
            <w:pPr>
              <w:pStyle w:val="TableParagraph"/>
              <w:spacing w:line="193" w:lineRule="exact"/>
              <w:ind w:left="124"/>
              <w:rPr>
                <w:sz w:val="21"/>
              </w:rPr>
            </w:pPr>
            <w:r>
              <w:rPr>
                <w:sz w:val="21"/>
              </w:rPr>
              <w:t>本合同履行过程中，双方发生争议时，应当协商解决，协商不成的，由当事人</w:t>
            </w:r>
          </w:p>
          <w:p>
            <w:pPr>
              <w:pStyle w:val="TableParagraph"/>
              <w:spacing w:before="37"/>
              <w:ind w:left="124"/>
              <w:rPr>
                <w:sz w:val="21"/>
              </w:rPr>
            </w:pPr>
            <w:r>
              <w:rPr>
                <w:sz w:val="21"/>
              </w:rPr>
              <w:t>约定从下列两种方式中选择一种： </w:t>
            </w:r>
          </w:p>
          <w:p>
            <w:pPr>
              <w:pStyle w:val="TableParagraph"/>
              <w:spacing w:before="37"/>
              <w:ind w:left="124"/>
              <w:rPr>
                <w:sz w:val="21"/>
              </w:rPr>
            </w:pPr>
            <w:r>
              <w:rPr>
                <w:rFonts w:ascii="Times New Roman" w:eastAsia="Times New Roman"/>
                <w:sz w:val="21"/>
              </w:rPr>
              <w:t>1.</w:t>
            </w:r>
            <w:r>
              <w:rPr>
                <w:sz w:val="21"/>
              </w:rPr>
              <w:t>提交双方共同选择的仲裁委员会仲裁； </w:t>
            </w:r>
          </w:p>
          <w:p>
            <w:pPr>
              <w:pStyle w:val="TableParagraph"/>
              <w:spacing w:before="21"/>
              <w:ind w:left="124"/>
              <w:rPr>
                <w:sz w:val="21"/>
              </w:rPr>
            </w:pPr>
            <w:r>
              <w:rPr>
                <w:rFonts w:ascii="Times New Roman" w:eastAsia="Times New Roman"/>
                <w:sz w:val="21"/>
              </w:rPr>
              <w:t>2.</w:t>
            </w:r>
            <w:r>
              <w:rPr>
                <w:sz w:val="21"/>
              </w:rPr>
              <w:t>依法向人民法院起诉。 </w:t>
            </w:r>
          </w:p>
        </w:tc>
      </w:tr>
      <w:tr>
        <w:trPr>
          <w:trHeight w:val="308" w:hRule="atLeast"/>
        </w:trPr>
        <w:tc>
          <w:tcPr>
            <w:tcW w:w="778" w:type="dxa"/>
          </w:tcPr>
          <w:p>
            <w:pPr>
              <w:pStyle w:val="TableParagraph"/>
              <w:spacing w:line="232" w:lineRule="exact" w:before="56"/>
              <w:ind w:left="200"/>
              <w:rPr>
                <w:sz w:val="21"/>
              </w:rPr>
            </w:pPr>
            <w:r>
              <w:rPr>
                <w:w w:val="100"/>
                <w:sz w:val="21"/>
              </w:rPr>
              <w:t> </w:t>
            </w:r>
          </w:p>
        </w:tc>
        <w:tc>
          <w:tcPr>
            <w:tcW w:w="1602" w:type="dxa"/>
          </w:tcPr>
          <w:p>
            <w:pPr>
              <w:pStyle w:val="TableParagraph"/>
              <w:spacing w:line="232" w:lineRule="exact" w:before="56"/>
              <w:ind w:left="211"/>
              <w:rPr>
                <w:sz w:val="21"/>
              </w:rPr>
            </w:pPr>
            <w:r>
              <w:rPr>
                <w:w w:val="100"/>
                <w:sz w:val="21"/>
              </w:rPr>
              <w:t> </w:t>
            </w:r>
          </w:p>
        </w:tc>
        <w:tc>
          <w:tcPr>
            <w:tcW w:w="7578" w:type="dxa"/>
          </w:tcPr>
          <w:p>
            <w:pPr>
              <w:pStyle w:val="TableParagraph"/>
              <w:spacing w:line="232" w:lineRule="exact" w:before="56"/>
              <w:ind w:left="124"/>
              <w:rPr>
                <w:sz w:val="21"/>
              </w:rPr>
            </w:pPr>
            <w:r>
              <w:rPr>
                <w:w w:val="100"/>
                <w:sz w:val="21"/>
              </w:rPr>
              <w:t> </w:t>
            </w:r>
          </w:p>
        </w:tc>
      </w:tr>
      <w:tr>
        <w:trPr>
          <w:trHeight w:val="1570" w:hRule="atLeast"/>
        </w:trPr>
        <w:tc>
          <w:tcPr>
            <w:tcW w:w="778" w:type="dxa"/>
          </w:tcPr>
          <w:p>
            <w:pPr>
              <w:pStyle w:val="TableParagraph"/>
              <w:spacing w:line="209" w:lineRule="exact"/>
              <w:ind w:left="200"/>
              <w:rPr>
                <w:b/>
                <w:sz w:val="21"/>
              </w:rPr>
            </w:pPr>
            <w:r>
              <w:rPr>
                <w:rFonts w:ascii="Times New Roman"/>
                <w:b/>
                <w:sz w:val="21"/>
              </w:rPr>
              <w:t>8.7</w:t>
            </w:r>
            <w:r>
              <w:rPr>
                <w:b/>
                <w:w w:val="99"/>
                <w:sz w:val="21"/>
              </w:rPr>
              <w:t> </w:t>
            </w:r>
          </w:p>
        </w:tc>
        <w:tc>
          <w:tcPr>
            <w:tcW w:w="1602" w:type="dxa"/>
          </w:tcPr>
          <w:p>
            <w:pPr>
              <w:pStyle w:val="TableParagraph"/>
              <w:spacing w:line="193" w:lineRule="exact"/>
              <w:ind w:left="211"/>
              <w:rPr>
                <w:b/>
                <w:sz w:val="21"/>
              </w:rPr>
            </w:pPr>
            <w:r>
              <w:rPr>
                <w:b/>
                <w:sz w:val="21"/>
              </w:rPr>
              <w:t>身体检查与司</w:t>
            </w:r>
          </w:p>
          <w:p>
            <w:pPr>
              <w:pStyle w:val="TableParagraph"/>
              <w:spacing w:before="37"/>
              <w:ind w:left="211"/>
              <w:rPr>
                <w:b/>
                <w:sz w:val="21"/>
              </w:rPr>
            </w:pPr>
            <w:r>
              <w:rPr>
                <w:b/>
                <w:sz w:val="21"/>
              </w:rPr>
              <w:t>法鉴定</w:t>
            </w:r>
            <w:r>
              <w:rPr>
                <w:b/>
                <w:w w:val="99"/>
                <w:sz w:val="21"/>
              </w:rPr>
              <w:t> </w:t>
            </w:r>
          </w:p>
        </w:tc>
        <w:tc>
          <w:tcPr>
            <w:tcW w:w="7578" w:type="dxa"/>
          </w:tcPr>
          <w:p>
            <w:pPr>
              <w:pStyle w:val="TableParagraph"/>
              <w:spacing w:line="193" w:lineRule="exact"/>
              <w:ind w:left="124"/>
              <w:rPr>
                <w:sz w:val="21"/>
              </w:rPr>
            </w:pPr>
            <w:r>
              <w:rPr>
                <w:sz w:val="21"/>
              </w:rPr>
              <w:t>保险金受益人申请本合同保险金时，我们有权要求尸检或要求被保险人做身体</w:t>
            </w:r>
          </w:p>
          <w:p>
            <w:pPr>
              <w:pStyle w:val="TableParagraph"/>
              <w:spacing w:line="266" w:lineRule="auto" w:before="37"/>
              <w:ind w:left="124" w:right="305"/>
              <w:rPr>
                <w:sz w:val="21"/>
              </w:rPr>
            </w:pPr>
            <w:r>
              <w:rPr>
                <w:sz w:val="21"/>
              </w:rPr>
              <w:t>检查或提供有关的检验报告，费用由我们承担。若本合同任何一方对伤残程度的认定有异议，则以双方认可的</w:t>
            </w:r>
            <w:r>
              <w:rPr>
                <w:b/>
                <w:sz w:val="21"/>
              </w:rPr>
              <w:t>司法鉴定机构</w:t>
            </w:r>
            <w:r>
              <w:rPr>
                <w:sz w:val="21"/>
              </w:rPr>
              <w:t>（见 </w:t>
            </w:r>
            <w:r>
              <w:rPr>
                <w:rFonts w:ascii="Times New Roman" w:eastAsia="Times New Roman"/>
                <w:sz w:val="21"/>
              </w:rPr>
              <w:t>10.15</w:t>
            </w:r>
            <w:r>
              <w:rPr>
                <w:sz w:val="21"/>
              </w:rPr>
              <w:t>）的鉴定结果为准。发生保险事故的，投保人和我们均可以委托保险公估机构等依法设立的独立评估机构或者具有相关专业知识的人员，对保险事故进行评估和鉴定。 </w:t>
            </w:r>
          </w:p>
        </w:tc>
      </w:tr>
      <w:tr>
        <w:trPr>
          <w:trHeight w:val="316" w:hRule="atLeast"/>
        </w:trPr>
        <w:tc>
          <w:tcPr>
            <w:tcW w:w="778" w:type="dxa"/>
          </w:tcPr>
          <w:p>
            <w:pPr>
              <w:pStyle w:val="TableParagraph"/>
              <w:spacing w:line="232" w:lineRule="exact" w:before="64"/>
              <w:ind w:left="200"/>
              <w:rPr>
                <w:sz w:val="21"/>
              </w:rPr>
            </w:pPr>
            <w:r>
              <w:rPr>
                <w:color w:val="FF0000"/>
                <w:w w:val="100"/>
                <w:sz w:val="21"/>
              </w:rPr>
              <w:t> </w:t>
            </w:r>
          </w:p>
        </w:tc>
        <w:tc>
          <w:tcPr>
            <w:tcW w:w="1602" w:type="dxa"/>
          </w:tcPr>
          <w:p>
            <w:pPr>
              <w:pStyle w:val="TableParagraph"/>
              <w:spacing w:line="232" w:lineRule="exact" w:before="64"/>
              <w:ind w:left="211"/>
              <w:rPr>
                <w:sz w:val="21"/>
              </w:rPr>
            </w:pPr>
            <w:r>
              <w:rPr>
                <w:color w:val="FF0000"/>
                <w:w w:val="100"/>
                <w:sz w:val="21"/>
              </w:rPr>
              <w:t> </w:t>
            </w:r>
          </w:p>
        </w:tc>
        <w:tc>
          <w:tcPr>
            <w:tcW w:w="7578" w:type="dxa"/>
          </w:tcPr>
          <w:p>
            <w:pPr>
              <w:pStyle w:val="TableParagraph"/>
              <w:spacing w:line="232" w:lineRule="exact" w:before="64"/>
              <w:ind w:left="124"/>
              <w:rPr>
                <w:sz w:val="21"/>
              </w:rPr>
            </w:pPr>
            <w:r>
              <w:rPr>
                <w:color w:val="FF0000"/>
                <w:w w:val="100"/>
                <w:sz w:val="21"/>
              </w:rPr>
              <w:t> </w:t>
            </w:r>
          </w:p>
        </w:tc>
      </w:tr>
      <w:tr>
        <w:trPr>
          <w:trHeight w:val="335" w:hRule="atLeast"/>
        </w:trPr>
        <w:tc>
          <w:tcPr>
            <w:tcW w:w="778" w:type="dxa"/>
          </w:tcPr>
          <w:p>
            <w:pPr>
              <w:pStyle w:val="TableParagraph"/>
              <w:spacing w:line="227" w:lineRule="exact"/>
              <w:ind w:left="200"/>
              <w:rPr>
                <w:rFonts w:ascii="Times New Roman"/>
                <w:b/>
                <w:sz w:val="24"/>
              </w:rPr>
            </w:pPr>
            <w:r>
              <w:rPr>
                <w:rFonts w:ascii="Times New Roman"/>
                <w:b/>
                <w:sz w:val="24"/>
              </w:rPr>
              <w:t>9.</w:t>
            </w:r>
          </w:p>
        </w:tc>
        <w:tc>
          <w:tcPr>
            <w:tcW w:w="1602" w:type="dxa"/>
          </w:tcPr>
          <w:p>
            <w:pPr>
              <w:pStyle w:val="TableParagraph"/>
              <w:spacing w:line="204" w:lineRule="exact"/>
              <w:ind w:left="211"/>
              <w:rPr>
                <w:b/>
                <w:sz w:val="21"/>
              </w:rPr>
            </w:pPr>
            <w:r>
              <w:rPr>
                <w:b/>
                <w:sz w:val="24"/>
              </w:rPr>
              <w:t>疾病定义</w:t>
            </w:r>
            <w:r>
              <w:rPr>
                <w:b/>
                <w:w w:val="99"/>
                <w:sz w:val="21"/>
              </w:rPr>
              <w:t> </w:t>
            </w:r>
          </w:p>
        </w:tc>
        <w:tc>
          <w:tcPr>
            <w:tcW w:w="7578" w:type="dxa"/>
          </w:tcPr>
          <w:p>
            <w:pPr>
              <w:pStyle w:val="TableParagraph"/>
              <w:rPr>
                <w:rFonts w:ascii="Times New Roman"/>
                <w:sz w:val="20"/>
              </w:rPr>
            </w:pPr>
          </w:p>
        </w:tc>
      </w:tr>
      <w:tr>
        <w:trPr>
          <w:trHeight w:val="8236" w:hRule="atLeast"/>
        </w:trPr>
        <w:tc>
          <w:tcPr>
            <w:tcW w:w="778" w:type="dxa"/>
          </w:tcPr>
          <w:p>
            <w:pPr>
              <w:pStyle w:val="TableParagraph"/>
              <w:spacing w:before="100"/>
              <w:ind w:left="200"/>
              <w:rPr>
                <w:rFonts w:ascii="Times New Roman"/>
                <w:b/>
                <w:sz w:val="21"/>
              </w:rPr>
            </w:pPr>
            <w:r>
              <w:rPr>
                <w:rFonts w:ascii="Times New Roman"/>
                <w:b/>
                <w:sz w:val="21"/>
              </w:rPr>
              <w:t>9.1</w:t>
            </w:r>
          </w:p>
        </w:tc>
        <w:tc>
          <w:tcPr>
            <w:tcW w:w="1602" w:type="dxa"/>
          </w:tcPr>
          <w:p>
            <w:pPr>
              <w:pStyle w:val="TableParagraph"/>
              <w:spacing w:before="51"/>
              <w:ind w:left="211"/>
              <w:rPr>
                <w:b/>
                <w:sz w:val="21"/>
              </w:rPr>
            </w:pPr>
            <w:r>
              <w:rPr>
                <w:b/>
                <w:sz w:val="21"/>
              </w:rPr>
              <w:t>重大疾病</w:t>
            </w:r>
            <w:r>
              <w:rPr>
                <w:b/>
                <w:w w:val="99"/>
                <w:sz w:val="21"/>
              </w:rPr>
              <w:t> </w:t>
            </w:r>
          </w:p>
        </w:tc>
        <w:tc>
          <w:tcPr>
            <w:tcW w:w="7578" w:type="dxa"/>
          </w:tcPr>
          <w:p>
            <w:pPr>
              <w:pStyle w:val="TableParagraph"/>
              <w:spacing w:line="273" w:lineRule="auto" w:before="51"/>
              <w:ind w:left="124" w:right="302"/>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10.16</w:t>
            </w:r>
            <w:r>
              <w:rPr>
                <w:sz w:val="21"/>
              </w:rPr>
              <w:t>）明确诊断。 </w:t>
            </w:r>
          </w:p>
          <w:p>
            <w:pPr>
              <w:pStyle w:val="TableParagraph"/>
              <w:spacing w:line="256" w:lineRule="auto" w:before="82"/>
              <w:ind w:left="124" w:right="341"/>
              <w:rPr>
                <w:sz w:val="21"/>
              </w:rPr>
            </w:pPr>
            <w:r>
              <w:rPr>
                <w:spacing w:val="-7"/>
                <w:sz w:val="21"/>
              </w:rPr>
              <w:t>本合同所保障的重大疾病共 </w:t>
            </w:r>
            <w:r>
              <w:rPr>
                <w:rFonts w:ascii="Times New Roman" w:eastAsia="Times New Roman"/>
                <w:sz w:val="21"/>
              </w:rPr>
              <w:t>50 </w:t>
            </w:r>
            <w:r>
              <w:rPr>
                <w:spacing w:val="-11"/>
                <w:sz w:val="21"/>
              </w:rPr>
              <w:t>种，其中 </w:t>
            </w:r>
            <w:r>
              <w:rPr>
                <w:rFonts w:ascii="Times New Roman" w:eastAsia="Times New Roman"/>
                <w:sz w:val="21"/>
              </w:rPr>
              <w:t>1-25 </w:t>
            </w:r>
            <w:r>
              <w:rPr>
                <w:spacing w:val="-3"/>
                <w:sz w:val="21"/>
              </w:rPr>
              <w:t>种重大疾病定义采用中国保险行业协会颁布的《重大疾病保险的疾病定义使用规范》中的疾病定义。</w:t>
            </w:r>
          </w:p>
          <w:p>
            <w:pPr>
              <w:pStyle w:val="TableParagraph"/>
              <w:tabs>
                <w:tab w:pos="544" w:val="left" w:leader="none"/>
              </w:tabs>
              <w:spacing w:before="22"/>
              <w:ind w:left="124"/>
              <w:rPr>
                <w:sz w:val="21"/>
              </w:rPr>
            </w:pPr>
            <w:r>
              <w:rPr>
                <w:rFonts w:ascii="Times New Roman" w:eastAsia="Times New Roman"/>
                <w:sz w:val="21"/>
              </w:rPr>
              <w:t>1.</w:t>
              <w:tab/>
              <w:t>25</w:t>
            </w:r>
            <w:r>
              <w:rPr>
                <w:rFonts w:ascii="Times New Roman" w:eastAsia="Times New Roman"/>
                <w:spacing w:val="32"/>
                <w:sz w:val="21"/>
              </w:rPr>
              <w:t> </w:t>
            </w:r>
            <w:r>
              <w:rPr>
                <w:spacing w:val="-3"/>
                <w:sz w:val="21"/>
              </w:rPr>
              <w:t>种由中国保险行业协会推荐的疾病是指符合下列条件的疾病：</w:t>
            </w:r>
          </w:p>
          <w:p>
            <w:pPr>
              <w:pStyle w:val="TableParagraph"/>
              <w:spacing w:before="6"/>
              <w:rPr>
                <w:sz w:val="25"/>
              </w:rPr>
            </w:pPr>
          </w:p>
          <w:p>
            <w:pPr>
              <w:pStyle w:val="TableParagraph"/>
              <w:ind w:left="124"/>
              <w:rPr>
                <w:sz w:val="21"/>
              </w:rPr>
            </w:pPr>
            <w:r>
              <w:rPr>
                <w:rFonts w:ascii="Times New Roman" w:eastAsia="Times New Roman"/>
                <w:sz w:val="21"/>
              </w:rPr>
              <w:t>(1)   </w:t>
            </w:r>
            <w:r>
              <w:rPr>
                <w:sz w:val="21"/>
              </w:rPr>
              <w:t>恶性肿瘤</w:t>
            </w:r>
          </w:p>
          <w:p>
            <w:pPr>
              <w:pStyle w:val="TableParagraph"/>
              <w:spacing w:line="273" w:lineRule="auto" w:before="20"/>
              <w:ind w:left="124" w:right="30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56" w:lineRule="auto" w:before="7"/>
              <w:ind w:left="124" w:right="4707"/>
              <w:rPr>
                <w:sz w:val="21"/>
              </w:rPr>
            </w:pPr>
            <w:r>
              <w:rPr>
                <w:sz w:val="21"/>
              </w:rPr>
              <w:t>（</w:t>
            </w:r>
            <w:r>
              <w:rPr>
                <w:rFonts w:ascii="Times New Roman" w:eastAsia="Times New Roman"/>
                <w:sz w:val="21"/>
              </w:rPr>
              <w:t>ICD-10</w:t>
            </w:r>
            <w:r>
              <w:rPr>
                <w:sz w:val="21"/>
              </w:rPr>
              <w:t>）的恶性肿瘤范畴。</w:t>
            </w:r>
            <w:r>
              <w:rPr>
                <w:sz w:val="21"/>
                <w:shd w:fill="C0C0C0" w:color="auto" w:val="clear"/>
              </w:rPr>
              <w:t>下列疾病不在保障范围内：</w:t>
            </w:r>
          </w:p>
          <w:p>
            <w:pPr>
              <w:pStyle w:val="TableParagraph"/>
              <w:spacing w:before="22"/>
              <w:ind w:left="124"/>
              <w:jc w:val="both"/>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24"/>
              <w:jc w:val="both"/>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p>
            <w:pPr>
              <w:pStyle w:val="TableParagraph"/>
              <w:spacing w:before="21"/>
              <w:ind w:left="124"/>
              <w:jc w:val="both"/>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p>
            <w:pPr>
              <w:pStyle w:val="TableParagraph"/>
              <w:spacing w:before="21"/>
              <w:ind w:left="124"/>
              <w:jc w:val="both"/>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p>
            <w:pPr>
              <w:pStyle w:val="TableParagraph"/>
              <w:spacing w:before="21"/>
              <w:ind w:left="124"/>
              <w:jc w:val="both"/>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p>
            <w:pPr>
              <w:pStyle w:val="TableParagraph"/>
              <w:spacing w:before="21"/>
              <w:ind w:left="124"/>
              <w:jc w:val="both"/>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p>
            <w:pPr>
              <w:pStyle w:val="TableParagraph"/>
              <w:spacing w:before="5"/>
              <w:rPr>
                <w:sz w:val="25"/>
              </w:rPr>
            </w:pPr>
          </w:p>
          <w:p>
            <w:pPr>
              <w:pStyle w:val="TableParagraph"/>
              <w:ind w:left="124"/>
              <w:jc w:val="both"/>
              <w:rPr>
                <w:sz w:val="21"/>
              </w:rPr>
            </w:pPr>
            <w:r>
              <w:rPr>
                <w:rFonts w:ascii="Times New Roman" w:eastAsia="Times New Roman"/>
                <w:sz w:val="21"/>
              </w:rPr>
              <w:t>(2)   </w:t>
            </w:r>
            <w:r>
              <w:rPr>
                <w:sz w:val="21"/>
              </w:rPr>
              <w:t>急性心肌梗塞</w:t>
            </w:r>
          </w:p>
          <w:p>
            <w:pPr>
              <w:pStyle w:val="TableParagraph"/>
              <w:spacing w:line="273" w:lineRule="auto" w:before="20"/>
              <w:ind w:left="124" w:right="305"/>
              <w:rPr>
                <w:sz w:val="21"/>
              </w:rPr>
            </w:pPr>
            <w:r>
              <w:rPr>
                <w:sz w:val="21"/>
              </w:rPr>
              <w:t>指因冠状动脉阻塞导致的相应区域供血不足造成部分心肌坏死。须满足下列至少三项条件：</w:t>
            </w:r>
          </w:p>
          <w:p>
            <w:pPr>
              <w:pStyle w:val="TableParagraph"/>
              <w:spacing w:before="7"/>
              <w:ind w:left="124"/>
              <w:jc w:val="both"/>
              <w:rPr>
                <w:sz w:val="21"/>
              </w:rPr>
            </w:pPr>
            <w:r>
              <w:rPr>
                <w:rFonts w:ascii="Times New Roman" w:eastAsia="Times New Roman"/>
                <w:sz w:val="21"/>
              </w:rPr>
              <w:t>1.</w:t>
            </w:r>
            <w:r>
              <w:rPr>
                <w:sz w:val="21"/>
              </w:rPr>
              <w:t>典型临床表现，例如急性胸痛等；</w:t>
            </w:r>
          </w:p>
          <w:p>
            <w:pPr>
              <w:pStyle w:val="TableParagraph"/>
              <w:spacing w:before="21"/>
              <w:ind w:left="124"/>
              <w:jc w:val="both"/>
              <w:rPr>
                <w:sz w:val="21"/>
              </w:rPr>
            </w:pPr>
            <w:r>
              <w:rPr>
                <w:rFonts w:ascii="Times New Roman" w:eastAsia="Times New Roman"/>
                <w:sz w:val="21"/>
              </w:rPr>
              <w:t>2.</w:t>
            </w:r>
            <w:r>
              <w:rPr>
                <w:sz w:val="21"/>
              </w:rPr>
              <w:t>新近的心电图改变提示急性心肌梗塞；</w:t>
            </w:r>
          </w:p>
          <w:p>
            <w:pPr>
              <w:pStyle w:val="TableParagraph"/>
              <w:spacing w:before="21"/>
              <w:ind w:left="124"/>
              <w:jc w:val="both"/>
              <w:rPr>
                <w:sz w:val="21"/>
              </w:rPr>
            </w:pPr>
            <w:r>
              <w:rPr>
                <w:rFonts w:ascii="Times New Roman" w:eastAsia="Times New Roman"/>
                <w:sz w:val="21"/>
              </w:rPr>
              <w:t>3.</w:t>
            </w:r>
            <w:r>
              <w:rPr>
                <w:sz w:val="21"/>
              </w:rPr>
              <w:t>心肌酶或肌钙蛋白有诊断意义的升高，或呈符合急性心肌梗塞的动态性变化；</w:t>
            </w:r>
          </w:p>
          <w:p>
            <w:pPr>
              <w:pStyle w:val="TableParagraph"/>
              <w:spacing w:line="271" w:lineRule="exact" w:before="21"/>
              <w:ind w:left="124"/>
              <w:jc w:val="both"/>
              <w:rPr>
                <w:sz w:val="21"/>
              </w:rPr>
            </w:pP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bl>
    <w:p>
      <w:pPr>
        <w:spacing w:after="0" w:line="271" w:lineRule="exact"/>
        <w:jc w:val="both"/>
        <w:rPr>
          <w:sz w:val="21"/>
        </w:rPr>
        <w:sectPr>
          <w:pgSz w:w="11910" w:h="16840"/>
          <w:pgMar w:header="0" w:footer="924" w:top="1160" w:bottom="1120" w:left="820" w:right="900"/>
        </w:sectPr>
      </w:pPr>
    </w:p>
    <w:p>
      <w:pPr>
        <w:pStyle w:val="ListParagraph"/>
        <w:numPr>
          <w:ilvl w:val="2"/>
          <w:numId w:val="4"/>
        </w:numPr>
        <w:tabs>
          <w:tab w:pos="2178" w:val="left" w:leader="none"/>
        </w:tabs>
        <w:spacing w:line="240" w:lineRule="auto" w:before="22" w:after="0"/>
        <w:ind w:left="2177" w:right="0" w:hanging="420"/>
        <w:jc w:val="left"/>
        <w:rPr>
          <w:sz w:val="21"/>
        </w:rPr>
      </w:pPr>
      <w:r>
        <w:rPr>
          <w:spacing w:val="-2"/>
          <w:sz w:val="21"/>
        </w:rPr>
        <w:t>脑中风后遗症</w:t>
      </w:r>
    </w:p>
    <w:p>
      <w:pPr>
        <w:pStyle w:val="BodyText"/>
        <w:spacing w:line="264" w:lineRule="auto" w:before="21"/>
        <w:ind w:right="220"/>
        <w:jc w:val="both"/>
      </w:pPr>
      <w:r>
        <w:rPr>
          <w:spacing w:val="-3"/>
        </w:rPr>
        <w:t>指因脑血管的突发病变引起脑血管出血、栓塞或梗塞，并导致神经系统永久性</w:t>
      </w:r>
      <w:r>
        <w:rPr>
          <w:spacing w:val="-5"/>
        </w:rPr>
        <w:t>的功能障碍。神经系统永久性的功能障碍，指疾病确诊 </w:t>
      </w:r>
      <w:r>
        <w:rPr>
          <w:rFonts w:ascii="Times New Roman" w:eastAsia="Times New Roman"/>
        </w:rPr>
        <w:t>180 </w:t>
      </w:r>
      <w:r>
        <w:rPr>
          <w:spacing w:val="-3"/>
        </w:rPr>
        <w:t>日后，仍遗留下列一种或一种以上障碍：</w:t>
      </w:r>
    </w:p>
    <w:p>
      <w:pPr>
        <w:spacing w:before="15"/>
        <w:ind w:left="1757" w:right="0" w:firstLine="0"/>
        <w:jc w:val="left"/>
        <w:rPr>
          <w:sz w:val="21"/>
        </w:rPr>
      </w:pPr>
      <w:r>
        <w:rPr>
          <w:rFonts w:ascii="Times New Roman" w:eastAsia="Times New Roman"/>
          <w:sz w:val="21"/>
        </w:rPr>
        <w:t>1.</w:t>
      </w:r>
      <w:r>
        <w:rPr>
          <w:sz w:val="21"/>
        </w:rPr>
        <w:t>一肢或一肢以上</w:t>
      </w:r>
      <w:r>
        <w:rPr>
          <w:b/>
          <w:sz w:val="21"/>
        </w:rPr>
        <w:t>肢体机能完全丧失</w:t>
      </w:r>
      <w:r>
        <w:rPr>
          <w:sz w:val="21"/>
        </w:rPr>
        <w:t>（见 </w:t>
      </w:r>
      <w:r>
        <w:rPr>
          <w:rFonts w:ascii="Times New Roman" w:eastAsia="Times New Roman"/>
          <w:sz w:val="21"/>
        </w:rPr>
        <w:t>10.17</w:t>
      </w:r>
      <w:r>
        <w:rPr>
          <w:sz w:val="21"/>
        </w:rPr>
        <w:t>）；</w:t>
      </w:r>
    </w:p>
    <w:p>
      <w:pPr>
        <w:spacing w:before="21"/>
        <w:ind w:left="1757" w:right="0" w:firstLine="0"/>
        <w:jc w:val="left"/>
        <w:rPr>
          <w:sz w:val="21"/>
        </w:rPr>
      </w:pPr>
      <w:r>
        <w:rPr>
          <w:rFonts w:ascii="Times New Roman" w:eastAsia="Times New Roman"/>
          <w:sz w:val="21"/>
        </w:rPr>
        <w:t>2.</w:t>
      </w:r>
      <w:r>
        <w:rPr>
          <w:b/>
          <w:sz w:val="21"/>
        </w:rPr>
        <w:t>语言能力或咀嚼吞咽能力完全丧失</w:t>
      </w:r>
      <w:r>
        <w:rPr>
          <w:sz w:val="21"/>
        </w:rPr>
        <w:t>（见 </w:t>
      </w:r>
      <w:r>
        <w:rPr>
          <w:rFonts w:ascii="Times New Roman" w:eastAsia="Times New Roman"/>
          <w:sz w:val="21"/>
        </w:rPr>
        <w:t>10.18</w:t>
      </w:r>
      <w:r>
        <w:rPr>
          <w:sz w:val="21"/>
        </w:rPr>
        <w:t>）；</w:t>
      </w:r>
    </w:p>
    <w:p>
      <w:pPr>
        <w:spacing w:line="256" w:lineRule="auto" w:before="21"/>
        <w:ind w:left="1757" w:right="220" w:firstLine="0"/>
        <w:jc w:val="left"/>
        <w:rPr>
          <w:sz w:val="21"/>
        </w:rPr>
      </w:pPr>
      <w:r>
        <w:rPr>
          <w:rFonts w:ascii="Times New Roman" w:eastAsia="Times New Roman"/>
          <w:sz w:val="21"/>
        </w:rPr>
        <w:t>3.</w:t>
      </w:r>
      <w:r>
        <w:rPr>
          <w:spacing w:val="-5"/>
          <w:sz w:val="21"/>
        </w:rPr>
        <w:t>自主生活能力完全丧失，无法独立完成</w:t>
      </w:r>
      <w:r>
        <w:rPr>
          <w:b/>
          <w:spacing w:val="-3"/>
          <w:sz w:val="21"/>
        </w:rPr>
        <w:t>六项基本日常生活活动</w:t>
      </w:r>
      <w:r>
        <w:rPr>
          <w:spacing w:val="-3"/>
          <w:sz w:val="21"/>
        </w:rPr>
        <w:t>（</w:t>
      </w:r>
      <w:r>
        <w:rPr>
          <w:spacing w:val="-13"/>
          <w:sz w:val="21"/>
        </w:rPr>
        <w:t>见 </w:t>
      </w:r>
      <w:r>
        <w:rPr>
          <w:rFonts w:ascii="Times New Roman" w:eastAsia="Times New Roman"/>
          <w:spacing w:val="-5"/>
          <w:sz w:val="21"/>
        </w:rPr>
        <w:t>10.19</w:t>
      </w:r>
      <w:r>
        <w:rPr>
          <w:spacing w:val="-5"/>
          <w:sz w:val="21"/>
        </w:rPr>
        <w:t>）</w:t>
      </w:r>
      <w:r>
        <w:rPr>
          <w:sz w:val="21"/>
        </w:rPr>
        <w:t>中</w:t>
      </w:r>
      <w:r>
        <w:rPr>
          <w:spacing w:val="-3"/>
          <w:sz w:val="21"/>
        </w:rPr>
        <w:t>的三项或三项以上。</w:t>
      </w:r>
    </w:p>
    <w:p>
      <w:pPr>
        <w:pStyle w:val="BodyText"/>
        <w:spacing w:before="6"/>
        <w:ind w:left="0"/>
        <w:rPr>
          <w:sz w:val="25"/>
        </w:rPr>
      </w:pPr>
    </w:p>
    <w:p>
      <w:pPr>
        <w:pStyle w:val="ListParagraph"/>
        <w:numPr>
          <w:ilvl w:val="2"/>
          <w:numId w:val="4"/>
        </w:numPr>
        <w:tabs>
          <w:tab w:pos="2178" w:val="left" w:leader="none"/>
        </w:tabs>
        <w:spacing w:line="240" w:lineRule="auto" w:before="1" w:after="0"/>
        <w:ind w:left="2177" w:right="0" w:hanging="420"/>
        <w:jc w:val="left"/>
        <w:rPr>
          <w:sz w:val="21"/>
        </w:rPr>
      </w:pPr>
      <w:r>
        <w:rPr>
          <w:spacing w:val="-3"/>
          <w:sz w:val="21"/>
        </w:rPr>
        <w:t>重大器官移植术或造血干细胞移植术</w:t>
      </w:r>
    </w:p>
    <w:p>
      <w:pPr>
        <w:pStyle w:val="BodyText"/>
        <w:spacing w:line="273" w:lineRule="auto" w:before="21"/>
        <w:ind w:right="2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ListParagraph"/>
        <w:numPr>
          <w:ilvl w:val="2"/>
          <w:numId w:val="4"/>
        </w:numPr>
        <w:tabs>
          <w:tab w:pos="2178" w:val="left" w:leader="none"/>
        </w:tabs>
        <w:spacing w:line="240" w:lineRule="auto" w:before="0" w:after="0"/>
        <w:ind w:left="2177" w:right="0" w:hanging="420"/>
        <w:jc w:val="left"/>
        <w:rPr>
          <w:sz w:val="21"/>
        </w:rPr>
      </w:pPr>
      <w:r>
        <w:rPr>
          <w:spacing w:val="-2"/>
          <w:sz w:val="21"/>
        </w:rPr>
        <w:t>冠状动脉搭桥术</w:t>
      </w:r>
    </w:p>
    <w:p>
      <w:pPr>
        <w:pStyle w:val="BodyText"/>
        <w:spacing w:line="273" w:lineRule="auto" w:before="21"/>
        <w:ind w:right="112"/>
      </w:pPr>
      <w:r>
        <w:rPr>
          <w:spacing w:val="-12"/>
        </w:rPr>
        <w:t>指为治疗严重的冠心病，实际实施了开胸进行的冠状动脉血管旁路移植的手术。</w:t>
      </w:r>
      <w:r>
        <w:rPr>
          <w:spacing w:val="-6"/>
          <w:shd w:fill="C0C0C0" w:color="auto" w:val="clear"/>
        </w:rPr>
        <w:t>冠状动脉支架植入术、心导管球囊扩张术、激光射频技术及其它非开胸的介入</w:t>
      </w:r>
      <w:r>
        <w:rPr>
          <w:spacing w:val="-4"/>
          <w:shd w:fill="C0C0C0" w:color="auto" w:val="clear"/>
        </w:rPr>
        <w:t>手术、腔镜手术不在保障范围内。</w:t>
      </w:r>
    </w:p>
    <w:p>
      <w:pPr>
        <w:pStyle w:val="BodyText"/>
        <w:spacing w:before="5"/>
        <w:ind w:left="0"/>
        <w:rPr>
          <w:sz w:val="24"/>
        </w:rPr>
      </w:pPr>
    </w:p>
    <w:p>
      <w:pPr>
        <w:pStyle w:val="ListParagraph"/>
        <w:numPr>
          <w:ilvl w:val="2"/>
          <w:numId w:val="4"/>
        </w:numPr>
        <w:tabs>
          <w:tab w:pos="2178" w:val="left" w:leader="none"/>
        </w:tabs>
        <w:spacing w:line="240" w:lineRule="auto" w:before="0" w:after="0"/>
        <w:ind w:left="2177" w:right="0" w:hanging="420"/>
        <w:jc w:val="left"/>
        <w:rPr>
          <w:sz w:val="21"/>
        </w:rPr>
      </w:pPr>
      <w:r>
        <w:rPr>
          <w:spacing w:val="-1"/>
          <w:sz w:val="21"/>
        </w:rPr>
        <w:t>终末期肾病</w:t>
      </w:r>
    </w:p>
    <w:p>
      <w:pPr>
        <w:pStyle w:val="BodyText"/>
        <w:spacing w:before="20"/>
        <w:rPr>
          <w:rFonts w:ascii="Times New Roman" w:eastAsia="Times New Roman"/>
        </w:rPr>
      </w:pPr>
      <w:r>
        <w:rPr/>
        <w:t>指双肾功能慢性不可逆性衰竭，达到尿毒症期，经诊断后已经进行了至少 </w:t>
      </w:r>
      <w:r>
        <w:rPr>
          <w:rFonts w:ascii="Times New Roman" w:eastAsia="Times New Roman"/>
        </w:rPr>
        <w:t>90</w:t>
      </w:r>
    </w:p>
    <w:p>
      <w:pPr>
        <w:pStyle w:val="BodyText"/>
        <w:spacing w:before="20"/>
      </w:pPr>
      <w:r>
        <w:rPr/>
        <w:t>日的规律性透析治疗或实施了肾脏移植手术。</w:t>
      </w:r>
    </w:p>
    <w:p>
      <w:pPr>
        <w:pStyle w:val="BodyText"/>
        <w:spacing w:before="8"/>
        <w:ind w:left="0"/>
        <w:rPr>
          <w:sz w:val="26"/>
        </w:rPr>
      </w:pPr>
    </w:p>
    <w:p>
      <w:pPr>
        <w:pStyle w:val="ListParagraph"/>
        <w:numPr>
          <w:ilvl w:val="2"/>
          <w:numId w:val="4"/>
        </w:numPr>
        <w:tabs>
          <w:tab w:pos="2178" w:val="left" w:leader="none"/>
        </w:tabs>
        <w:spacing w:line="240" w:lineRule="auto" w:before="0" w:after="0"/>
        <w:ind w:left="2177" w:right="0" w:hanging="420"/>
        <w:jc w:val="left"/>
        <w:rPr>
          <w:sz w:val="21"/>
        </w:rPr>
      </w:pPr>
      <w:r>
        <w:rPr>
          <w:spacing w:val="-2"/>
          <w:sz w:val="21"/>
        </w:rPr>
        <w:t>多个肢体缺失</w:t>
      </w:r>
    </w:p>
    <w:p>
      <w:pPr>
        <w:pStyle w:val="BodyText"/>
        <w:spacing w:line="273" w:lineRule="auto" w:before="20"/>
        <w:ind w:right="220"/>
      </w:pPr>
      <w:r>
        <w:rPr/>
        <w:t>指因疾病或意外伤害导致两个或两个以上肢体自腕关节或踝关节近端（靠近躯干端）以上完全性断离。</w:t>
      </w:r>
    </w:p>
    <w:p>
      <w:pPr>
        <w:pStyle w:val="BodyText"/>
        <w:spacing w:before="5"/>
        <w:ind w:left="0"/>
        <w:rPr>
          <w:sz w:val="24"/>
        </w:rPr>
      </w:pPr>
    </w:p>
    <w:p>
      <w:pPr>
        <w:pStyle w:val="ListParagraph"/>
        <w:numPr>
          <w:ilvl w:val="2"/>
          <w:numId w:val="4"/>
        </w:numPr>
        <w:tabs>
          <w:tab w:pos="2178" w:val="left" w:leader="none"/>
        </w:tabs>
        <w:spacing w:line="240" w:lineRule="auto" w:before="0" w:after="0"/>
        <w:ind w:left="2177" w:right="0" w:hanging="420"/>
        <w:jc w:val="left"/>
        <w:rPr>
          <w:sz w:val="21"/>
        </w:rPr>
      </w:pPr>
      <w:r>
        <w:rPr>
          <w:spacing w:val="-3"/>
          <w:sz w:val="21"/>
        </w:rPr>
        <w:t>急性或亚急性重症肝炎</w:t>
      </w:r>
    </w:p>
    <w:p>
      <w:pPr>
        <w:pStyle w:val="BodyText"/>
        <w:spacing w:line="273" w:lineRule="auto" w:before="21"/>
        <w:ind w:right="220"/>
      </w:pPr>
      <w:r>
        <w:rPr/>
        <w:t>指因肝炎病毒感染引起肝脏组织弥漫性坏死，导致急性肝功能衰竭，且经血清学或病毒学检查证实，</w:t>
      </w:r>
      <w:r>
        <w:rPr>
          <w:b/>
        </w:rPr>
        <w:t>并须满足下列全部条件</w:t>
      </w:r>
      <w:r>
        <w:rPr/>
        <w:t>：</w:t>
      </w:r>
    </w:p>
    <w:p>
      <w:pPr>
        <w:pStyle w:val="BodyText"/>
        <w:spacing w:before="7"/>
      </w:pPr>
      <w:r>
        <w:rPr>
          <w:rFonts w:ascii="Times New Roman" w:eastAsia="Times New Roman"/>
        </w:rPr>
        <w:t>1.</w:t>
      </w:r>
      <w:r>
        <w:rPr/>
        <w:t>重度黄疸或黄疸迅速加重；</w:t>
      </w:r>
    </w:p>
    <w:p>
      <w:pPr>
        <w:pStyle w:val="BodyText"/>
        <w:spacing w:before="21"/>
      </w:pPr>
      <w:r>
        <w:rPr>
          <w:rFonts w:ascii="Times New Roman" w:eastAsia="Times New Roman"/>
        </w:rPr>
        <w:t>2.</w:t>
      </w:r>
      <w:r>
        <w:rPr/>
        <w:t>肝性脑病；</w:t>
      </w:r>
    </w:p>
    <w:p>
      <w:pPr>
        <w:pStyle w:val="BodyText"/>
        <w:spacing w:before="21"/>
      </w:pPr>
      <w:r>
        <w:rPr>
          <w:rFonts w:ascii="Times New Roman" w:eastAsia="Times New Roman"/>
        </w:rPr>
        <w:t>3.B </w:t>
      </w:r>
      <w:r>
        <w:rPr/>
        <w:t>超或其它影像学检查显示肝脏体积急速萎缩；</w:t>
      </w:r>
    </w:p>
    <w:p>
      <w:pPr>
        <w:pStyle w:val="BodyText"/>
        <w:spacing w:before="21"/>
      </w:pPr>
      <w:r>
        <w:rPr>
          <w:rFonts w:ascii="Times New Roman" w:eastAsia="Times New Roman"/>
        </w:rPr>
        <w:t>4.</w:t>
      </w:r>
      <w:r>
        <w:rPr/>
        <w:t>肝功能指标进行性恶化。</w:t>
      </w:r>
    </w:p>
    <w:p>
      <w:pPr>
        <w:pStyle w:val="BodyText"/>
        <w:spacing w:before="6"/>
        <w:ind w:left="0"/>
        <w:rPr>
          <w:sz w:val="25"/>
        </w:rPr>
      </w:pPr>
    </w:p>
    <w:p>
      <w:pPr>
        <w:pStyle w:val="ListParagraph"/>
        <w:numPr>
          <w:ilvl w:val="2"/>
          <w:numId w:val="4"/>
        </w:numPr>
        <w:tabs>
          <w:tab w:pos="2178" w:val="left" w:leader="none"/>
        </w:tabs>
        <w:spacing w:line="240" w:lineRule="auto" w:before="1" w:after="0"/>
        <w:ind w:left="2177" w:right="0" w:hanging="420"/>
        <w:jc w:val="left"/>
        <w:rPr>
          <w:sz w:val="21"/>
        </w:rPr>
      </w:pPr>
      <w:r>
        <w:rPr>
          <w:spacing w:val="-1"/>
          <w:sz w:val="21"/>
        </w:rPr>
        <w:t>良性脑肿瘤</w:t>
      </w:r>
    </w:p>
    <w:p>
      <w:pPr>
        <w:pStyle w:val="BodyText"/>
        <w:spacing w:line="261" w:lineRule="auto" w:before="21"/>
        <w:ind w:right="220"/>
        <w:jc w:val="both"/>
      </w:pPr>
      <w:r>
        <w:rPr>
          <w:spacing w:val="-3"/>
        </w:rPr>
        <w:t>指脑的良性肿瘤，已经引起颅内压增高，临床表现为视神经乳头水肿、精神症</w:t>
      </w:r>
      <w:r>
        <w:rPr>
          <w:spacing w:val="-3"/>
          <w:w w:val="100"/>
        </w:rPr>
        <w:t>状、癫痫及运动感觉障碍等，并危及生命。须由头颅断层扫描（</w:t>
      </w:r>
      <w:r>
        <w:rPr>
          <w:rFonts w:ascii="Times New Roman" w:eastAsia="Times New Roman"/>
          <w:w w:val="100"/>
        </w:rPr>
        <w:t>CT</w:t>
      </w:r>
      <w:r>
        <w:rPr>
          <w:spacing w:val="-108"/>
          <w:w w:val="100"/>
        </w:rPr>
        <w:t>）</w:t>
      </w:r>
      <w:r>
        <w:rPr>
          <w:spacing w:val="-3"/>
          <w:w w:val="100"/>
        </w:rPr>
        <w:t>、核磁共</w:t>
      </w:r>
      <w:r>
        <w:rPr>
          <w:spacing w:val="-3"/>
        </w:rPr>
        <w:t>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w:t>
      </w:r>
      <w:r>
        <w:rPr>
          <w:spacing w:val="-3"/>
        </w:rPr>
        <w:t>等影像学检查证实，</w:t>
      </w:r>
      <w:r>
        <w:rPr>
          <w:b/>
        </w:rPr>
        <w:t>并须满足下列至少一项条件</w:t>
      </w:r>
      <w:r>
        <w:rPr/>
        <w:t>：</w:t>
      </w:r>
    </w:p>
    <w:p>
      <w:pPr>
        <w:pStyle w:val="BodyText"/>
        <w:spacing w:before="18"/>
      </w:pPr>
      <w:r>
        <w:rPr>
          <w:rFonts w:ascii="Times New Roman" w:eastAsia="Times New Roman"/>
        </w:rPr>
        <w:t>1.</w:t>
      </w:r>
      <w:r>
        <w:rPr/>
        <w:t>实际实施了开颅进行的脑肿瘤完全切除或部分切除的手术；</w:t>
      </w:r>
    </w:p>
    <w:p>
      <w:pPr>
        <w:pStyle w:val="BodyText"/>
        <w:spacing w:before="21"/>
      </w:pPr>
      <w:r>
        <w:rPr>
          <w:rFonts w:ascii="Times New Roman" w:eastAsia="Times New Roman"/>
        </w:rPr>
        <w:t>2.</w:t>
      </w:r>
      <w:r>
        <w:rPr/>
        <w:t>实际实施了对脑肿瘤进行的放射治疗。</w:t>
      </w:r>
    </w:p>
    <w:p>
      <w:pPr>
        <w:pStyle w:val="BodyText"/>
        <w:spacing w:before="21"/>
      </w:pPr>
      <w:r>
        <w:rPr>
          <w:shd w:fill="C0C0C0" w:color="auto" w:val="clear"/>
        </w:rPr>
        <w:t>脑垂体瘤、脑囊肿、脑血管性疾病不在保障范围内。</w:t>
      </w:r>
    </w:p>
    <w:p>
      <w:pPr>
        <w:pStyle w:val="BodyText"/>
        <w:spacing w:before="8"/>
        <w:ind w:left="0"/>
        <w:rPr>
          <w:sz w:val="26"/>
        </w:rPr>
      </w:pPr>
    </w:p>
    <w:p>
      <w:pPr>
        <w:pStyle w:val="ListParagraph"/>
        <w:numPr>
          <w:ilvl w:val="2"/>
          <w:numId w:val="4"/>
        </w:numPr>
        <w:tabs>
          <w:tab w:pos="2284" w:val="left" w:leader="none"/>
        </w:tabs>
        <w:spacing w:line="240" w:lineRule="auto" w:before="1" w:after="0"/>
        <w:ind w:left="2283" w:right="0" w:hanging="526"/>
        <w:jc w:val="left"/>
        <w:rPr>
          <w:sz w:val="21"/>
        </w:rPr>
      </w:pPr>
      <w:r>
        <w:rPr>
          <w:spacing w:val="-3"/>
          <w:sz w:val="21"/>
        </w:rPr>
        <w:t>慢性肝功能衰竭失代偿期</w:t>
      </w:r>
    </w:p>
    <w:p>
      <w:pPr>
        <w:spacing w:after="0" w:line="240" w:lineRule="auto"/>
        <w:jc w:val="left"/>
        <w:rPr>
          <w:sz w:val="21"/>
        </w:rPr>
        <w:sectPr>
          <w:pgSz w:w="11910" w:h="16840"/>
          <w:pgMar w:header="0" w:footer="924" w:top="1080" w:bottom="1120" w:left="1680" w:right="1100"/>
        </w:sectPr>
      </w:pPr>
    </w:p>
    <w:p>
      <w:pPr>
        <w:pStyle w:val="BodyText"/>
        <w:spacing w:before="22"/>
      </w:pPr>
      <w:r>
        <w:rPr/>
        <w:t>指因慢性肝脏疾病导致肝功能衰竭。须满足下列全部条件：</w:t>
      </w:r>
    </w:p>
    <w:p>
      <w:pPr>
        <w:pStyle w:val="BodyText"/>
        <w:spacing w:before="37"/>
      </w:pPr>
      <w:r>
        <w:rPr>
          <w:rFonts w:ascii="Times New Roman" w:eastAsia="Times New Roman"/>
        </w:rPr>
        <w:t>1.</w:t>
      </w:r>
      <w:r>
        <w:rPr/>
        <w:t>持续性黄疸；</w:t>
      </w:r>
    </w:p>
    <w:p>
      <w:pPr>
        <w:pStyle w:val="BodyText"/>
        <w:spacing w:before="20"/>
      </w:pPr>
      <w:r>
        <w:rPr>
          <w:rFonts w:ascii="Times New Roman" w:eastAsia="Times New Roman"/>
        </w:rPr>
        <w:t>2.</w:t>
      </w:r>
      <w:r>
        <w:rPr/>
        <w:t>腹水；</w:t>
      </w:r>
    </w:p>
    <w:p>
      <w:pPr>
        <w:pStyle w:val="BodyText"/>
        <w:spacing w:before="20"/>
      </w:pPr>
      <w:r>
        <w:rPr>
          <w:rFonts w:ascii="Times New Roman" w:eastAsia="Times New Roman"/>
        </w:rPr>
        <w:t>3.</w:t>
      </w:r>
      <w:r>
        <w:rPr/>
        <w:t>肝性脑病；</w:t>
      </w:r>
    </w:p>
    <w:p>
      <w:pPr>
        <w:pStyle w:val="BodyText"/>
        <w:spacing w:line="256" w:lineRule="auto" w:before="20"/>
        <w:ind w:right="2260"/>
      </w:pPr>
      <w:r>
        <w:rPr>
          <w:rFonts w:ascii="Times New Roman" w:eastAsia="Times New Roman"/>
        </w:rPr>
        <w:t>4.</w:t>
      </w:r>
      <w:r>
        <w:rPr/>
        <w:t>充血性脾肿大伴脾功能亢进或食管胃底静脉曲张。</w:t>
      </w:r>
      <w:r>
        <w:rPr>
          <w:shd w:fill="C0C0C0" w:color="auto" w:val="clear"/>
        </w:rPr>
        <w:t> 因酗酒或药物滥用导致的肝功能衰竭不在保障范围内。</w:t>
      </w:r>
    </w:p>
    <w:p>
      <w:pPr>
        <w:pStyle w:val="BodyText"/>
        <w:spacing w:before="6"/>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脑炎后遗症或脑膜炎后遗症</w:t>
      </w:r>
    </w:p>
    <w:p>
      <w:pPr>
        <w:spacing w:line="273" w:lineRule="auto" w:before="20"/>
        <w:ind w:left="1757" w:right="220" w:firstLine="0"/>
        <w:jc w:val="left"/>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w:t>
      </w:r>
      <w:r>
        <w:rPr>
          <w:b/>
          <w:sz w:val="21"/>
        </w:rPr>
        <w:t>仍遗留下列一种或一种以上障碍</w:t>
      </w:r>
      <w:r>
        <w:rPr>
          <w:sz w:val="21"/>
        </w:rPr>
        <w:t>：</w:t>
      </w:r>
    </w:p>
    <w:p>
      <w:pPr>
        <w:pStyle w:val="BodyText"/>
        <w:spacing w:line="279" w:lineRule="exact"/>
      </w:pPr>
      <w:r>
        <w:rPr>
          <w:rFonts w:ascii="Times New Roman" w:eastAsia="Times New Roman"/>
        </w:rPr>
        <w:t>1.</w:t>
      </w:r>
      <w:r>
        <w:rPr/>
        <w:t>一肢或一肢以上肢体机能完全丧失；</w:t>
      </w:r>
    </w:p>
    <w:p>
      <w:pPr>
        <w:pStyle w:val="BodyText"/>
        <w:spacing w:before="22"/>
      </w:pPr>
      <w:r>
        <w:rPr>
          <w:rFonts w:ascii="Times New Roman" w:eastAsia="Times New Roman"/>
        </w:rPr>
        <w:t>2.</w:t>
      </w:r>
      <w:r>
        <w:rPr/>
        <w:t>语言能力或咀嚼吞咽能力完全丧失；</w:t>
      </w:r>
    </w:p>
    <w:p>
      <w:pPr>
        <w:pStyle w:val="BodyText"/>
        <w:spacing w:line="259" w:lineRule="auto" w:before="21"/>
        <w:ind w:right="273"/>
      </w:pPr>
      <w:r>
        <w:rPr>
          <w:rFonts w:ascii="Times New Roman" w:eastAsia="Times New Roman"/>
        </w:rPr>
        <w:t>3.</w:t>
      </w:r>
      <w:r>
        <w:rPr/>
        <w:t>自主生活能力完全丧失，无法独立完成六项基本日常生活活动中的三项或三项以上。</w:t>
      </w:r>
    </w:p>
    <w:p>
      <w:pPr>
        <w:pStyle w:val="BodyText"/>
        <w:spacing w:before="4"/>
        <w:ind w:left="0"/>
        <w:rPr>
          <w:sz w:val="25"/>
        </w:rPr>
      </w:pPr>
    </w:p>
    <w:p>
      <w:pPr>
        <w:pStyle w:val="ListParagraph"/>
        <w:numPr>
          <w:ilvl w:val="2"/>
          <w:numId w:val="4"/>
        </w:numPr>
        <w:tabs>
          <w:tab w:pos="2284" w:val="left" w:leader="none"/>
        </w:tabs>
        <w:spacing w:line="240" w:lineRule="auto" w:before="1" w:after="0"/>
        <w:ind w:left="2283" w:right="0" w:hanging="526"/>
        <w:jc w:val="left"/>
        <w:rPr>
          <w:sz w:val="21"/>
        </w:rPr>
      </w:pPr>
      <w:r>
        <w:rPr>
          <w:spacing w:val="-2"/>
          <w:sz w:val="21"/>
        </w:rPr>
        <w:t>深度昏迷</w:t>
      </w:r>
    </w:p>
    <w:p>
      <w:pPr>
        <w:pStyle w:val="BodyText"/>
        <w:spacing w:line="256" w:lineRule="auto" w:before="21"/>
        <w:ind w:right="218"/>
      </w:pPr>
      <w:r>
        <w:rPr>
          <w:spacing w:val="-3"/>
        </w:rPr>
        <w:t>指因疾病或意外伤害导致意识丧失</w:t>
      </w:r>
      <w:r>
        <w:rPr>
          <w:rFonts w:ascii="Times New Roman" w:eastAsia="Times New Roman"/>
          <w:spacing w:val="-3"/>
        </w:rPr>
        <w:t>,</w:t>
      </w:r>
      <w:r>
        <w:rPr>
          <w:spacing w:val="-3"/>
        </w:rPr>
        <w:t>对外界刺激和体内需求均无反应</w:t>
      </w:r>
      <w:r>
        <w:rPr>
          <w:rFonts w:ascii="Times New Roman" w:eastAsia="Times New Roman"/>
        </w:rPr>
        <w:t>,</w:t>
      </w:r>
      <w:r>
        <w:rPr>
          <w:spacing w:val="-3"/>
        </w:rPr>
        <w:t>昏迷程度</w:t>
      </w:r>
      <w:r>
        <w:rPr>
          <w:spacing w:val="-5"/>
        </w:rPr>
        <w:t>按照格拉斯哥昏迷分级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w:t>
      </w:r>
      <w:r>
        <w:rPr>
          <w:spacing w:val="-7"/>
        </w:rPr>
        <w:t>持续使用呼吸机及其它生命维持系统 </w:t>
      </w:r>
      <w:r>
        <w:rPr>
          <w:rFonts w:ascii="Times New Roman" w:eastAsia="Times New Roman"/>
        </w:rPr>
        <w:t>96 </w:t>
      </w:r>
      <w:r>
        <w:rPr>
          <w:spacing w:val="-3"/>
        </w:rPr>
        <w:t>小时以上。</w:t>
      </w:r>
    </w:p>
    <w:p>
      <w:pPr>
        <w:pStyle w:val="BodyText"/>
        <w:spacing w:before="4"/>
      </w:pPr>
      <w:r>
        <w:rPr>
          <w:shd w:fill="C0C0C0" w:color="auto" w:val="clear"/>
        </w:rPr>
        <w:t>因酗酒或药物滥用导致的深度昏迷不在保障范围内。</w:t>
      </w:r>
    </w:p>
    <w:p>
      <w:pPr>
        <w:pStyle w:val="BodyText"/>
        <w:spacing w:before="8"/>
        <w:ind w:left="0"/>
        <w:rPr>
          <w:sz w:val="26"/>
        </w:rPr>
      </w:pPr>
    </w:p>
    <w:p>
      <w:pPr>
        <w:pStyle w:val="ListParagraph"/>
        <w:numPr>
          <w:ilvl w:val="2"/>
          <w:numId w:val="4"/>
        </w:numPr>
        <w:tabs>
          <w:tab w:pos="2284" w:val="left" w:leader="none"/>
        </w:tabs>
        <w:spacing w:line="240" w:lineRule="auto" w:before="0" w:after="0"/>
        <w:ind w:left="2283" w:right="0" w:hanging="526"/>
        <w:jc w:val="left"/>
        <w:rPr>
          <w:sz w:val="21"/>
        </w:rPr>
      </w:pPr>
      <w:r>
        <w:rPr>
          <w:spacing w:val="-2"/>
          <w:sz w:val="21"/>
        </w:rPr>
        <w:t>双耳失聪</w:t>
      </w:r>
    </w:p>
    <w:p>
      <w:pPr>
        <w:pStyle w:val="BodyText"/>
        <w:spacing w:line="256" w:lineRule="auto" w:before="21"/>
        <w:ind w:right="218"/>
      </w:pPr>
      <w:r>
        <w:rPr>
          <w:spacing w:val="-3"/>
        </w:rPr>
        <w:t>指因疾病或意外伤害导致双耳听力</w:t>
      </w:r>
      <w:r>
        <w:rPr>
          <w:b/>
        </w:rPr>
        <w:t>永久不可逆</w:t>
      </w:r>
      <w:r>
        <w:rPr>
          <w:spacing w:val="-3"/>
        </w:rPr>
        <w:t>（</w:t>
      </w:r>
      <w:r>
        <w:rPr>
          <w:spacing w:val="-25"/>
        </w:rPr>
        <w:t>见 </w:t>
      </w:r>
      <w:r>
        <w:rPr>
          <w:rFonts w:ascii="Times New Roman" w:eastAsia="Times New Roman"/>
        </w:rPr>
        <w:t>10.20</w:t>
      </w:r>
      <w:r>
        <w:rPr/>
        <w:t>）</w:t>
      </w:r>
      <w:r>
        <w:rPr>
          <w:spacing w:val="-11"/>
        </w:rPr>
        <w:t>性丧失，在 </w:t>
      </w:r>
      <w:r>
        <w:rPr>
          <w:rFonts w:ascii="Times New Roman" w:eastAsia="Times New Roman"/>
        </w:rPr>
        <w:t>500 </w:t>
      </w:r>
      <w:r>
        <w:rPr/>
        <w:t>赫</w:t>
      </w:r>
      <w:r>
        <w:rPr>
          <w:spacing w:val="-9"/>
        </w:rPr>
        <w:t>兹、</w:t>
      </w:r>
      <w:r>
        <w:rPr>
          <w:rFonts w:ascii="Times New Roman" w:eastAsia="Times New Roman"/>
        </w:rPr>
        <w:t>1000 </w:t>
      </w:r>
      <w:r>
        <w:rPr>
          <w:spacing w:val="-14"/>
        </w:rPr>
        <w:t>赫兹和 </w:t>
      </w:r>
      <w:r>
        <w:rPr>
          <w:rFonts w:ascii="Times New Roman" w:eastAsia="Times New Roman"/>
        </w:rPr>
        <w:t>2000 </w:t>
      </w:r>
      <w:r>
        <w:rPr>
          <w:spacing w:val="-8"/>
        </w:rPr>
        <w:t>赫兹语音频率下，平均听阈大于 </w:t>
      </w:r>
      <w:r>
        <w:rPr>
          <w:rFonts w:ascii="Times New Roman" w:eastAsia="Times New Roman"/>
        </w:rPr>
        <w:t>90 </w:t>
      </w:r>
      <w:r>
        <w:rPr>
          <w:spacing w:val="-5"/>
        </w:rPr>
        <w:t>分贝，且经纯音听力</w:t>
      </w:r>
      <w:r>
        <w:rPr>
          <w:spacing w:val="-4"/>
        </w:rPr>
        <w:t>测试、声导抗检测或听觉诱发电位检测等证实。</w:t>
      </w:r>
    </w:p>
    <w:p>
      <w:pPr>
        <w:pStyle w:val="BodyText"/>
        <w:spacing w:before="7"/>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2"/>
          <w:sz w:val="21"/>
        </w:rPr>
        <w:t>双目失明</w:t>
      </w:r>
    </w:p>
    <w:p>
      <w:pPr>
        <w:pStyle w:val="BodyText"/>
        <w:spacing w:line="273" w:lineRule="auto" w:before="21"/>
        <w:ind w:right="218" w:firstLine="105"/>
      </w:pPr>
      <w:r>
        <w:rPr>
          <w:spacing w:val="-8"/>
        </w:rPr>
        <w:t>指因疾病或意外伤害导致双眼视力永久不可逆性丧失，双眼中较好眼须满足下</w:t>
      </w:r>
      <w:r>
        <w:rPr>
          <w:spacing w:val="-5"/>
        </w:rPr>
        <w:t>列至少一项条件：</w:t>
      </w:r>
    </w:p>
    <w:p>
      <w:pPr>
        <w:pStyle w:val="BodyText"/>
        <w:spacing w:before="8"/>
      </w:pPr>
      <w:r>
        <w:rPr>
          <w:rFonts w:ascii="Times New Roman" w:eastAsia="Times New Roman"/>
        </w:rPr>
        <w:t>1.</w:t>
      </w:r>
      <w:r>
        <w:rPr/>
        <w:t>眼球缺失或摘除；</w:t>
      </w:r>
    </w:p>
    <w:p>
      <w:pPr>
        <w:pStyle w:val="BodyText"/>
        <w:spacing w:before="21"/>
      </w:pP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80"/>
          <w:w w:val="100"/>
        </w:rPr>
        <w:t>2</w:t>
      </w:r>
      <w:r>
        <w:rPr>
          <w:w w:val="100"/>
        </w:rPr>
        <w:t>（</w:t>
      </w:r>
      <w:r>
        <w:rPr>
          <w:spacing w:val="-11"/>
          <w:w w:val="100"/>
        </w:rPr>
        <w:t>采用国际标准视力表，如果使用其它视力表应进行换算</w:t>
      </w:r>
      <w:r>
        <w:rPr>
          <w:spacing w:val="-106"/>
          <w:w w:val="100"/>
        </w:rPr>
        <w:t>）</w:t>
      </w:r>
      <w:r>
        <w:rPr>
          <w:w w:val="100"/>
        </w:rPr>
        <w:t>；</w:t>
      </w:r>
    </w:p>
    <w:p>
      <w:pPr>
        <w:pStyle w:val="BodyText"/>
        <w:spacing w:before="21"/>
      </w:pPr>
      <w:r>
        <w:rPr>
          <w:rFonts w:ascii="Times New Roman" w:eastAsia="Times New Roman"/>
        </w:rPr>
        <w:t>3.</w:t>
      </w:r>
      <w:r>
        <w:rPr/>
        <w:t>视野半径小于 </w:t>
      </w:r>
      <w:r>
        <w:rPr>
          <w:rFonts w:ascii="Times New Roman" w:eastAsia="Times New Roman"/>
        </w:rPr>
        <w:t>5 </w:t>
      </w:r>
      <w:r>
        <w:rPr/>
        <w:t>度。</w:t>
      </w:r>
    </w:p>
    <w:p>
      <w:pPr>
        <w:pStyle w:val="BodyText"/>
        <w:spacing w:before="6"/>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z w:val="21"/>
        </w:rPr>
        <w:t>瘫痪</w:t>
      </w:r>
    </w:p>
    <w:p>
      <w:pPr>
        <w:pStyle w:val="BodyText"/>
        <w:spacing w:line="264" w:lineRule="auto" w:before="21"/>
        <w:ind w:right="220"/>
        <w:jc w:val="both"/>
      </w:pPr>
      <w:r>
        <w:rPr>
          <w:spacing w:val="-3"/>
        </w:rPr>
        <w:t>指因疾病或意外伤害导致两肢或两肢以上肢体机能永久完全丧失。肢体机能永</w:t>
      </w:r>
      <w:r>
        <w:rPr>
          <w:spacing w:val="-7"/>
        </w:rPr>
        <w:t>久完全丧失，指疾病确诊 </w:t>
      </w:r>
      <w:r>
        <w:rPr>
          <w:rFonts w:ascii="Times New Roman" w:eastAsia="Times New Roman"/>
        </w:rPr>
        <w:t>180 </w:t>
      </w:r>
      <w:r>
        <w:rPr>
          <w:spacing w:val="-8"/>
        </w:rPr>
        <w:t>日后或意外伤害发生 </w:t>
      </w:r>
      <w:r>
        <w:rPr>
          <w:rFonts w:ascii="Times New Roman" w:eastAsia="Times New Roman"/>
        </w:rPr>
        <w:t>180 </w:t>
      </w:r>
      <w:r>
        <w:rPr>
          <w:spacing w:val="-3"/>
        </w:rPr>
        <w:t>日后，每肢三大关节中的两大关节仍然完全僵硬，或不能随意识活动。</w:t>
      </w:r>
    </w:p>
    <w:p>
      <w:pPr>
        <w:pStyle w:val="BodyText"/>
        <w:ind w:left="0"/>
        <w:rPr>
          <w:sz w:val="25"/>
        </w:rPr>
      </w:pPr>
    </w:p>
    <w:p>
      <w:pPr>
        <w:pStyle w:val="ListParagraph"/>
        <w:numPr>
          <w:ilvl w:val="2"/>
          <w:numId w:val="4"/>
        </w:numPr>
        <w:tabs>
          <w:tab w:pos="2284" w:val="left" w:leader="none"/>
        </w:tabs>
        <w:spacing w:line="240" w:lineRule="auto" w:before="1" w:after="0"/>
        <w:ind w:left="2283" w:right="0" w:hanging="526"/>
        <w:jc w:val="left"/>
        <w:rPr>
          <w:sz w:val="21"/>
        </w:rPr>
      </w:pPr>
      <w:r>
        <w:rPr>
          <w:spacing w:val="-3"/>
          <w:sz w:val="21"/>
        </w:rPr>
        <w:t>心脏瓣膜手术</w:t>
      </w:r>
    </w:p>
    <w:p>
      <w:pPr>
        <w:pStyle w:val="BodyText"/>
        <w:spacing w:before="21"/>
      </w:pPr>
      <w:r>
        <w:rPr/>
        <w:t>指为治疗心脏瓣膜疾病，实际实施了开胸进行的心脏瓣膜置换或修复的手术。</w:t>
      </w:r>
    </w:p>
    <w:p>
      <w:pPr>
        <w:pStyle w:val="BodyText"/>
        <w:spacing w:before="8"/>
        <w:ind w:left="0"/>
        <w:rPr>
          <w:sz w:val="26"/>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严重阿尔茨海默病</w:t>
      </w:r>
    </w:p>
    <w:p>
      <w:pPr>
        <w:pStyle w:val="BodyText"/>
        <w:spacing w:line="266" w:lineRule="auto" w:before="20"/>
        <w:ind w:right="110"/>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11"/>
          <w:w w:val="100"/>
        </w:rPr>
        <w:t>须由头颅断层扫描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14"/>
          <w:w w:val="100"/>
        </w:rPr>
        <w:t>、核磁共振检查</w:t>
      </w:r>
      <w:r>
        <w:rPr>
          <w:w w:val="100"/>
        </w:rPr>
        <w:t>（</w:t>
      </w:r>
      <w:r>
        <w:rPr>
          <w:rFonts w:ascii="Times New Roman" w:eastAsia="Times New Roman"/>
          <w:w w:val="100"/>
        </w:rPr>
        <w:t>MR</w:t>
      </w:r>
      <w:r>
        <w:rPr>
          <w:rFonts w:ascii="Times New Roman" w:eastAsia="Times New Roman"/>
          <w:spacing w:val="-3"/>
          <w:w w:val="100"/>
        </w:rPr>
        <w:t>I</w:t>
      </w:r>
      <w:r>
        <w:rPr>
          <w:spacing w:val="-41"/>
          <w:w w:val="100"/>
        </w:rPr>
        <w:t>）</w:t>
      </w:r>
      <w:r>
        <w:rPr>
          <w:spacing w:val="-7"/>
          <w:w w:val="100"/>
        </w:rPr>
        <w:t>或正电子发射断层扫描</w:t>
      </w:r>
      <w:r>
        <w:rPr>
          <w:spacing w:val="-3"/>
          <w:w w:val="100"/>
        </w:rPr>
        <w:t>（</w:t>
      </w:r>
      <w:r>
        <w:rPr>
          <w:rFonts w:ascii="Times New Roman" w:eastAsia="Times New Roman"/>
          <w:w w:val="100"/>
        </w:rPr>
        <w:t>PE</w:t>
      </w:r>
      <w:r>
        <w:rPr>
          <w:rFonts w:ascii="Times New Roman" w:eastAsia="Times New Roman"/>
          <w:spacing w:val="0"/>
          <w:w w:val="100"/>
        </w:rPr>
        <w:t>T</w:t>
      </w:r>
      <w:r>
        <w:rPr>
          <w:w w:val="100"/>
        </w:rPr>
        <w:t>）</w:t>
      </w:r>
      <w:r>
        <w:rPr>
          <w:spacing w:val="-3"/>
        </w:rPr>
        <w:t>等影像学检查证实，且自主生活能力完全丧失，无法独立完成六项基本日常生</w:t>
      </w:r>
    </w:p>
    <w:p>
      <w:pPr>
        <w:spacing w:after="0" w:line="266" w:lineRule="auto"/>
        <w:sectPr>
          <w:pgSz w:w="11910" w:h="16840"/>
          <w:pgMar w:header="0" w:footer="924" w:top="1080" w:bottom="1200" w:left="1680" w:right="1100"/>
        </w:sectPr>
      </w:pPr>
    </w:p>
    <w:p>
      <w:pPr>
        <w:pStyle w:val="BodyText"/>
        <w:spacing w:before="22"/>
      </w:pPr>
      <w:r>
        <w:rPr/>
        <w:t>活活动中的三项或三项以上。</w:t>
      </w:r>
    </w:p>
    <w:p>
      <w:pPr>
        <w:pStyle w:val="BodyText"/>
        <w:spacing w:before="37"/>
      </w:pPr>
      <w:r>
        <w:rPr>
          <w:shd w:fill="C0C0C0" w:color="auto" w:val="clear"/>
        </w:rPr>
        <w:t>神经官能症和精神疾病不在保障范围内。</w:t>
      </w:r>
    </w:p>
    <w:p>
      <w:pPr>
        <w:pStyle w:val="BodyText"/>
        <w:spacing w:before="8"/>
        <w:ind w:left="0"/>
        <w:rPr>
          <w:sz w:val="26"/>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严重脑损伤</w:t>
      </w:r>
    </w:p>
    <w:p>
      <w:pPr>
        <w:pStyle w:val="BodyText"/>
        <w:spacing w:line="261" w:lineRule="auto" w:before="21"/>
        <w:ind w:right="220"/>
        <w:jc w:val="both"/>
      </w:pPr>
      <w:r>
        <w:rPr>
          <w:spacing w:val="-3"/>
        </w:rPr>
        <w:t>指因头部遭受机械性外力，引起脑重要部位损伤，导致神经系统永久性的功能</w:t>
      </w:r>
      <w:r>
        <w:rPr>
          <w:spacing w:val="-3"/>
          <w:w w:val="100"/>
        </w:rPr>
        <w:t>障碍。须由头颅断层扫描</w:t>
      </w:r>
      <w:r>
        <w:rPr>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w w:val="100"/>
        </w:rPr>
        <w:t>或正电子发射断层扫</w:t>
      </w:r>
      <w:r>
        <w:rPr>
          <w:spacing w:val="-3"/>
        </w:rPr>
        <w:t>描（</w:t>
      </w:r>
      <w:r>
        <w:rPr>
          <w:rFonts w:ascii="Times New Roman" w:eastAsia="Times New Roman"/>
          <w:spacing w:val="-3"/>
        </w:rPr>
        <w:t>PET</w:t>
      </w:r>
      <w:r>
        <w:rPr>
          <w:spacing w:val="-3"/>
        </w:rPr>
        <w:t>）</w:t>
      </w:r>
      <w:r>
        <w:rPr>
          <w:spacing w:val="-5"/>
        </w:rPr>
        <w:t>等影像学检查证实。神经系统永久性的功能障碍，指脑损伤 </w:t>
      </w:r>
      <w:r>
        <w:rPr>
          <w:rFonts w:ascii="Times New Roman" w:eastAsia="Times New Roman"/>
        </w:rPr>
        <w:t>180 </w:t>
      </w:r>
      <w:r>
        <w:rPr/>
        <w:t>日</w:t>
      </w:r>
      <w:r>
        <w:rPr>
          <w:spacing w:val="-2"/>
        </w:rPr>
        <w:t>后，</w:t>
      </w:r>
      <w:r>
        <w:rPr>
          <w:b/>
          <w:spacing w:val="-1"/>
        </w:rPr>
        <w:t>仍遗留下列一种或一种以上障碍</w:t>
      </w:r>
      <w:r>
        <w:rPr/>
        <w:t>：</w:t>
      </w:r>
    </w:p>
    <w:p>
      <w:pPr>
        <w:pStyle w:val="BodyText"/>
        <w:spacing w:before="18"/>
      </w:pPr>
      <w:r>
        <w:rPr>
          <w:rFonts w:ascii="Times New Roman" w:eastAsia="Times New Roman"/>
        </w:rPr>
        <w:t>1.</w:t>
      </w:r>
      <w:r>
        <w:rPr/>
        <w:t>一肢或一肢以上肢体机能完全丧失；</w:t>
      </w:r>
    </w:p>
    <w:p>
      <w:pPr>
        <w:pStyle w:val="BodyText"/>
        <w:spacing w:before="21"/>
      </w:pPr>
      <w:r>
        <w:rPr>
          <w:rFonts w:ascii="Times New Roman" w:eastAsia="Times New Roman"/>
        </w:rPr>
        <w:t>2.</w:t>
      </w:r>
      <w:r>
        <w:rPr/>
        <w:t>语言能力或咀嚼吞咽能力完全丧失；</w:t>
      </w:r>
    </w:p>
    <w:p>
      <w:pPr>
        <w:pStyle w:val="BodyText"/>
        <w:spacing w:line="256" w:lineRule="auto" w:before="21"/>
        <w:ind w:right="273"/>
      </w:pPr>
      <w:r>
        <w:rPr>
          <w:rFonts w:ascii="Times New Roman" w:eastAsia="Times New Roman"/>
        </w:rPr>
        <w:t>3.</w:t>
      </w:r>
      <w:r>
        <w:rPr/>
        <w:t>自主生活能力完全丧失，无法独立完成六项基本日常生活活动中的三项或三项以上。</w:t>
      </w:r>
    </w:p>
    <w:p>
      <w:pPr>
        <w:pStyle w:val="BodyText"/>
        <w:spacing w:before="7"/>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严重帕金森病</w:t>
      </w:r>
    </w:p>
    <w:p>
      <w:pPr>
        <w:spacing w:line="273" w:lineRule="auto" w:before="20"/>
        <w:ind w:left="1757" w:right="220" w:firstLine="0"/>
        <w:jc w:val="left"/>
        <w:rPr>
          <w:sz w:val="21"/>
        </w:rPr>
      </w:pPr>
      <w:r>
        <w:rPr>
          <w:sz w:val="21"/>
        </w:rPr>
        <w:t>是指一种中枢神经系统的退行性疾病，临床表现为震颤麻痹、共济失调等。</w:t>
      </w:r>
      <w:r>
        <w:rPr>
          <w:b/>
          <w:sz w:val="21"/>
        </w:rPr>
        <w:t>须满足下列全部条件</w:t>
      </w:r>
      <w:r>
        <w:rPr>
          <w:sz w:val="21"/>
        </w:rPr>
        <w:t>：</w:t>
      </w:r>
    </w:p>
    <w:p>
      <w:pPr>
        <w:pStyle w:val="BodyText"/>
        <w:spacing w:before="7"/>
      </w:pPr>
      <w:r>
        <w:rPr>
          <w:rFonts w:ascii="Times New Roman" w:eastAsia="Times New Roman"/>
        </w:rPr>
        <w:t>1.</w:t>
      </w:r>
      <w:r>
        <w:rPr/>
        <w:t>药物治疗无法控制病情；</w:t>
      </w:r>
    </w:p>
    <w:p>
      <w:pPr>
        <w:pStyle w:val="BodyText"/>
        <w:spacing w:line="256" w:lineRule="auto" w:before="21"/>
        <w:ind w:right="273"/>
      </w:pPr>
      <w:r>
        <w:rPr>
          <w:rFonts w:ascii="Times New Roman" w:eastAsia="Times New Roman"/>
        </w:rPr>
        <w:t>2.</w:t>
      </w:r>
      <w:r>
        <w:rPr/>
        <w:t>自主生活能力完全丧失，无法独立完成六项基本日常生活活动中的三项或三项以上。</w:t>
      </w:r>
    </w:p>
    <w:p>
      <w:pPr>
        <w:pStyle w:val="BodyText"/>
        <w:spacing w:before="22"/>
      </w:pPr>
      <w:r>
        <w:rPr>
          <w:shd w:fill="C0C0C0" w:color="auto" w:val="clear"/>
        </w:rPr>
        <w:t>继发性帕金森综合征不在保障范围内。</w:t>
      </w:r>
    </w:p>
    <w:p>
      <w:pPr>
        <w:pStyle w:val="BodyText"/>
        <w:spacing w:before="8"/>
        <w:ind w:left="0"/>
        <w:rPr>
          <w:sz w:val="26"/>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严重Ⅲ度烧伤</w:t>
      </w:r>
    </w:p>
    <w:p>
      <w:pPr>
        <w:pStyle w:val="BodyText"/>
        <w:spacing w:line="256" w:lineRule="auto" w:before="20"/>
        <w:ind w:right="117"/>
      </w:pPr>
      <w:r>
        <w:rPr>
          <w:spacing w:val="-5"/>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3"/>
        </w:rPr>
        <w:t>％以上。体表面积根据《中国新九分法》计算。</w:t>
      </w:r>
    </w:p>
    <w:p>
      <w:pPr>
        <w:pStyle w:val="BodyText"/>
        <w:spacing w:before="7"/>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严重原发性肺动脉高压</w:t>
      </w:r>
    </w:p>
    <w:p>
      <w:pPr>
        <w:pStyle w:val="BodyText"/>
        <w:spacing w:line="273" w:lineRule="auto" w:before="21"/>
        <w:ind w:right="220"/>
        <w:jc w:val="both"/>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before="12"/>
        <w:ind w:left="0"/>
        <w:rPr>
          <w:sz w:val="22"/>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严重运动神经元病</w:t>
      </w:r>
    </w:p>
    <w:p>
      <w:pPr>
        <w:pStyle w:val="BodyText"/>
        <w:spacing w:line="273" w:lineRule="auto" w:before="20"/>
        <w:ind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语言能力丧失</w:t>
      </w:r>
    </w:p>
    <w:p>
      <w:pPr>
        <w:pStyle w:val="BodyText"/>
        <w:spacing w:line="256" w:lineRule="auto" w:before="20"/>
        <w:ind w:right="218"/>
      </w:pPr>
      <w:r>
        <w:rPr>
          <w:spacing w:val="-8"/>
        </w:rPr>
        <w:t>指因疾病或意外伤害导致完全丧失语言能力，经过积极治疗至少 </w:t>
      </w:r>
      <w:r>
        <w:rPr>
          <w:rFonts w:ascii="Times New Roman" w:eastAsia="Times New Roman"/>
        </w:rPr>
        <w:t>12 </w:t>
      </w:r>
      <w:r>
        <w:rPr>
          <w:spacing w:val="-27"/>
        </w:rPr>
        <w:t>个月</w:t>
      </w:r>
      <w:r>
        <w:rPr>
          <w:spacing w:val="-3"/>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before="22"/>
      </w:pPr>
      <w:r>
        <w:rPr>
          <w:shd w:fill="C0C0C0" w:color="auto" w:val="clear"/>
        </w:rPr>
        <w:t>精神心理因素所致的语言能力丧失不在保障范围内。</w:t>
      </w:r>
    </w:p>
    <w:p>
      <w:pPr>
        <w:pStyle w:val="BodyText"/>
        <w:spacing w:before="9"/>
        <w:ind w:left="0"/>
        <w:rPr>
          <w:sz w:val="26"/>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重型再生障碍性贫血</w:t>
      </w:r>
    </w:p>
    <w:p>
      <w:pPr>
        <w:pStyle w:val="BodyText"/>
        <w:spacing w:line="273" w:lineRule="auto" w:before="21"/>
        <w:ind w:right="112"/>
      </w:pPr>
      <w:r>
        <w:rPr>
          <w:spacing w:val="-8"/>
        </w:rPr>
        <w:t>指因骨髓造血功能慢性持续性衰竭导致的贫血、中性粒细胞减少及血小板减少。</w:t>
      </w:r>
      <w:r>
        <w:rPr>
          <w:spacing w:val="-5"/>
        </w:rPr>
        <w:t>须满足下列全部条件：</w:t>
      </w:r>
    </w:p>
    <w:p>
      <w:pPr>
        <w:pStyle w:val="BodyText"/>
        <w:spacing w:before="7"/>
      </w:pPr>
      <w:r>
        <w:rPr>
          <w:rFonts w:ascii="Times New Roman" w:eastAsia="Times New Roman"/>
        </w:rPr>
        <w:t>1.</w:t>
      </w:r>
      <w:r>
        <w:rPr/>
        <w:t>骨髓穿刺检查或骨髓活检结果支持诊断；</w:t>
      </w:r>
    </w:p>
    <w:p>
      <w:pPr>
        <w:pStyle w:val="BodyText"/>
        <w:spacing w:before="20"/>
      </w:pPr>
      <w:r>
        <w:rPr>
          <w:rFonts w:ascii="Times New Roman" w:eastAsia="Times New Roman"/>
        </w:rPr>
        <w:t>2.</w:t>
      </w:r>
      <w:r>
        <w:rPr/>
        <w:t>外周血象须具备以下三项条件：</w:t>
      </w:r>
    </w:p>
    <w:p>
      <w:pPr>
        <w:spacing w:after="0"/>
        <w:sectPr>
          <w:pgSz w:w="11910" w:h="16840"/>
          <w:pgMar w:header="0" w:footer="924" w:top="1080" w:bottom="1200" w:left="1680" w:right="1100"/>
        </w:sectPr>
      </w:pPr>
    </w:p>
    <w:p>
      <w:pPr>
        <w:pStyle w:val="BodyText"/>
        <w:spacing w:before="22"/>
        <w:ind w:left="2005" w:right="3684"/>
        <w:jc w:val="center"/>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position w:val="7"/>
          <w:sz w:val="14"/>
        </w:rPr>
        <w:t>9</w:t>
      </w:r>
      <w:r>
        <w:rPr/>
        <w:t>/</w:t>
      </w:r>
      <w:r>
        <w:rPr>
          <w:rFonts w:ascii="Times New Roman" w:hAnsi="Times New Roman" w:eastAsia="Times New Roman"/>
        </w:rPr>
        <w:t>L  </w:t>
      </w:r>
      <w:r>
        <w:rPr/>
        <w:t>； </w:t>
      </w:r>
    </w:p>
    <w:p>
      <w:pPr>
        <w:pStyle w:val="BodyText"/>
        <w:spacing w:before="21"/>
        <w:ind w:left="1968"/>
      </w:pPr>
      <w:r>
        <w:rPr/>
        <w:t>②网织红细胞＜</w:t>
      </w:r>
      <w:r>
        <w:rPr>
          <w:rFonts w:ascii="Times New Roman" w:hAnsi="Times New Roman" w:eastAsia="Times New Roman"/>
        </w:rPr>
        <w:t>1%</w:t>
      </w:r>
      <w:r>
        <w:rPr/>
        <w:t>； </w:t>
      </w:r>
    </w:p>
    <w:p>
      <w:pPr>
        <w:pStyle w:val="BodyText"/>
        <w:spacing w:before="20"/>
        <w:ind w:left="1968"/>
      </w:pPr>
      <w:r>
        <w:rPr/>
        <w:t>③血小板绝对值≤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5"/>
        <w:ind w:left="0"/>
        <w:rPr>
          <w:sz w:val="25"/>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主动脉手术</w:t>
      </w:r>
    </w:p>
    <w:p>
      <w:pPr>
        <w:pStyle w:val="BodyText"/>
        <w:spacing w:line="273" w:lineRule="auto" w:before="20"/>
        <w:ind w:right="220"/>
        <w:jc w:val="both"/>
      </w:pPr>
      <w:r>
        <w:rPr>
          <w:spacing w:val="-3"/>
        </w:rPr>
        <w:t>指为治疗主动脉疾病，实际实施了开胸或开腹进行的切除、置换、修补病损主动脉血管的手术。主动脉指胸主动脉和腹主动脉，</w:t>
      </w:r>
      <w:r>
        <w:rPr>
          <w:spacing w:val="-3"/>
          <w:shd w:fill="C0C0C0" w:color="auto" w:val="clear"/>
        </w:rPr>
        <w:t>胸主动脉和腹主动脉的分支</w:t>
      </w:r>
      <w:r>
        <w:rPr>
          <w:spacing w:val="-208"/>
          <w:shd w:fill="C0C0C0" w:color="auto" w:val="clear"/>
        </w:rPr>
        <w:t>血</w:t>
      </w:r>
      <w:r>
        <w:rPr>
          <w:spacing w:val="-3"/>
          <w:shd w:fill="C0C0C0" w:color="auto" w:val="clear"/>
        </w:rPr>
        <w:t>管不在保障范围内。</w:t>
      </w:r>
    </w:p>
    <w:p>
      <w:pPr>
        <w:pStyle w:val="BodyText"/>
        <w:spacing w:before="7"/>
      </w:pPr>
      <w:r>
        <w:rPr>
          <w:shd w:fill="C0C0C0" w:color="auto" w:val="clear"/>
        </w:rPr>
        <w:t>动脉内血管成形术不在保障范围内。</w:t>
      </w:r>
    </w:p>
    <w:p>
      <w:pPr>
        <w:pStyle w:val="BodyText"/>
        <w:spacing w:before="8"/>
        <w:ind w:left="0"/>
        <w:rPr>
          <w:sz w:val="26"/>
        </w:rPr>
      </w:pPr>
    </w:p>
    <w:p>
      <w:pPr>
        <w:pStyle w:val="BodyText"/>
        <w:spacing w:before="1"/>
        <w:jc w:val="both"/>
      </w:pPr>
      <w:r>
        <w:rPr>
          <w:rFonts w:ascii="Times New Roman" w:eastAsia="Times New Roman"/>
        </w:rPr>
        <w:t>2.     25 </w:t>
      </w:r>
      <w:r>
        <w:rPr/>
        <w:t>种中国保险行业协会推荐范围以外的疾病是指符合下列条件的疾病：</w:t>
      </w:r>
    </w:p>
    <w:p>
      <w:pPr>
        <w:pStyle w:val="BodyText"/>
        <w:spacing w:before="6"/>
        <w:ind w:left="0"/>
        <w:rPr>
          <w:sz w:val="25"/>
        </w:rPr>
      </w:pPr>
    </w:p>
    <w:p>
      <w:pPr>
        <w:pStyle w:val="ListParagraph"/>
        <w:numPr>
          <w:ilvl w:val="2"/>
          <w:numId w:val="4"/>
        </w:numPr>
        <w:tabs>
          <w:tab w:pos="2178" w:val="left" w:leader="none"/>
        </w:tabs>
        <w:spacing w:line="240" w:lineRule="auto" w:before="0" w:after="0"/>
        <w:ind w:left="2177" w:right="0" w:hanging="420"/>
        <w:jc w:val="both"/>
        <w:rPr>
          <w:sz w:val="21"/>
        </w:rPr>
      </w:pPr>
      <w:r>
        <w:rPr>
          <w:spacing w:val="-3"/>
          <w:sz w:val="21"/>
        </w:rPr>
        <w:t>持续植物人状态</w:t>
      </w:r>
    </w:p>
    <w:p>
      <w:pPr>
        <w:pStyle w:val="BodyText"/>
        <w:spacing w:line="273" w:lineRule="auto" w:before="21"/>
        <w:ind w:right="220"/>
        <w:jc w:val="both"/>
      </w:pP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 </w:t>
      </w:r>
      <w:r>
        <w:rPr>
          <w:rFonts w:ascii="Times New Roman" w:eastAsia="Times New Roman"/>
        </w:rPr>
        <w:t>180 </w:t>
      </w:r>
      <w:r>
        <w:rPr/>
        <w:t>日以上方可申请理赔。</w:t>
      </w:r>
    </w:p>
    <w:p>
      <w:pPr>
        <w:pStyle w:val="BodyText"/>
        <w:spacing w:before="12"/>
        <w:ind w:left="0"/>
        <w:rPr>
          <w:sz w:val="22"/>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系统性红斑狼疮—</w:t>
      </w:r>
      <w:r>
        <w:rPr>
          <w:rFonts w:ascii="Times New Roman" w:hAnsi="Times New Roman" w:eastAsia="Times New Roman"/>
          <w:sz w:val="21"/>
        </w:rPr>
        <w:t>III</w:t>
      </w:r>
      <w:r>
        <w:rPr>
          <w:rFonts w:ascii="Times New Roman" w:hAnsi="Times New Roman" w:eastAsia="Times New Roman"/>
          <w:spacing w:val="13"/>
          <w:sz w:val="21"/>
        </w:rPr>
        <w:t> </w:t>
      </w:r>
      <w:r>
        <w:rPr>
          <w:spacing w:val="-3"/>
          <w:sz w:val="21"/>
        </w:rPr>
        <w:t>型或以上狼疮性肾炎</w:t>
      </w:r>
    </w:p>
    <w:p>
      <w:pPr>
        <w:pStyle w:val="BodyText"/>
        <w:spacing w:line="266" w:lineRule="auto" w:before="21"/>
        <w:ind w:right="220"/>
        <w:jc w:val="both"/>
      </w:pPr>
      <w:r>
        <w:rPr>
          <w:spacing w:val="-3"/>
        </w:rPr>
        <w:t>是由多种因素引起，累及多系统的自身免疫性疾病。多侵犯育龄女性。其特点是生成自身抗体对抗多种自身抗原。本合同所指的系统性红斑狼疮仅限于累及</w:t>
      </w:r>
      <w:r>
        <w:rPr>
          <w:spacing w:val="-22"/>
        </w:rPr>
        <w:t>肾脏</w:t>
      </w:r>
      <w:r>
        <w:rPr/>
        <w:t>（</w:t>
      </w:r>
      <w:r>
        <w:rPr>
          <w:spacing w:val="-6"/>
        </w:rPr>
        <w:t>经肾脏病理检查或临床确诊，并符合下列世界卫生组织(</w:t>
      </w:r>
      <w:r>
        <w:rPr>
          <w:rFonts w:ascii="Times New Roman" w:hAnsi="Times New Roman" w:eastAsia="Times New Roman"/>
        </w:rPr>
        <w:t>WHO</w:t>
      </w:r>
      <w:r>
        <w:rPr>
          <w:spacing w:val="-3"/>
        </w:rPr>
        <w:t>)诊断标准定义Ⅲ型至Ⅴ型狼疮性肾炎</w:t>
      </w:r>
      <w:r>
        <w:rPr/>
        <w:t>）</w:t>
      </w:r>
      <w:r>
        <w:rPr>
          <w:spacing w:val="-3"/>
        </w:rPr>
        <w:t>的系统性红斑狼疮。</w:t>
      </w:r>
      <w:r>
        <w:rPr/>
        <w:t> </w:t>
      </w:r>
    </w:p>
    <w:p>
      <w:pPr>
        <w:pStyle w:val="BodyText"/>
        <w:spacing w:line="273" w:lineRule="auto" w:before="107"/>
        <w:ind w:right="220"/>
      </w:pPr>
      <w:r>
        <w:rPr>
          <w:spacing w:val="-3"/>
          <w:shd w:fill="C0C0C0" w:color="auto" w:val="clear"/>
        </w:rPr>
        <w:t>其他类型的红斑性狼疮，如盘状狼疮，仅累及血液及关节等其他系统的系统性</w:t>
      </w:r>
      <w:r>
        <w:rPr>
          <w:spacing w:val="-208"/>
          <w:shd w:fill="C0C0C0" w:color="auto" w:val="clear"/>
        </w:rPr>
        <w:t>红</w:t>
      </w:r>
      <w:r>
        <w:rPr>
          <w:spacing w:val="-3"/>
          <w:shd w:fill="C0C0C0" w:color="auto" w:val="clear"/>
        </w:rPr>
        <w:t>斑狼疮不在保障范围内。</w:t>
      </w:r>
      <w:r>
        <w:rPr>
          <w:spacing w:val="-3"/>
        </w:rPr>
        <w:t> </w:t>
      </w:r>
    </w:p>
    <w:p>
      <w:pPr>
        <w:pStyle w:val="BodyText"/>
        <w:spacing w:before="100"/>
        <w:jc w:val="both"/>
      </w:pPr>
      <w:r>
        <w:rPr/>
        <w:t>世界卫生组织(</w:t>
      </w:r>
      <w:r>
        <w:rPr>
          <w:rFonts w:ascii="Times New Roman" w:eastAsia="Times New Roman"/>
        </w:rPr>
        <w:t>WHO</w:t>
      </w:r>
      <w:r>
        <w:rPr/>
        <w:t>)狼疮性肾炎分型： </w:t>
      </w:r>
    </w:p>
    <w:p>
      <w:pPr>
        <w:pStyle w:val="BodyText"/>
        <w:spacing w:before="20"/>
        <w:jc w:val="both"/>
      </w:pPr>
      <w:r>
        <w:rPr/>
        <w:t>Ⅰ型（微小病变型）镜下阴性，尿液正常； </w:t>
      </w:r>
    </w:p>
    <w:p>
      <w:pPr>
        <w:pStyle w:val="BodyText"/>
        <w:spacing w:before="36"/>
        <w:jc w:val="both"/>
      </w:pPr>
      <w:r>
        <w:rPr/>
        <w:t>Ⅱ型（系膜病变型）中度蛋白尿，偶有尿沉渣改变； </w:t>
      </w:r>
    </w:p>
    <w:p>
      <w:pPr>
        <w:pStyle w:val="BodyText"/>
        <w:spacing w:before="36"/>
        <w:jc w:val="both"/>
      </w:pPr>
      <w:r>
        <w:rPr/>
        <w:t>Ⅲ型（局灶及节段增生型）蛋白尿，尿沉渣改变； </w:t>
      </w:r>
    </w:p>
    <w:p>
      <w:pPr>
        <w:pStyle w:val="BodyText"/>
        <w:spacing w:before="36"/>
        <w:jc w:val="both"/>
      </w:pPr>
      <w:r>
        <w:rPr/>
        <w:t>Ⅳ型（弥漫增生型）急性肾炎伴有尿沉渣改变及/或肾病综合征； </w:t>
      </w:r>
    </w:p>
    <w:p>
      <w:pPr>
        <w:pStyle w:val="BodyText"/>
        <w:spacing w:before="36"/>
        <w:jc w:val="both"/>
      </w:pPr>
      <w:r>
        <w:rPr/>
        <w:t>Ⅴ型（膜型）肾病综合征或重度蛋白尿。</w:t>
      </w:r>
    </w:p>
    <w:p>
      <w:pPr>
        <w:pStyle w:val="BodyText"/>
        <w:spacing w:before="8"/>
        <w:ind w:left="0"/>
        <w:rPr>
          <w:sz w:val="26"/>
        </w:rPr>
      </w:pPr>
    </w:p>
    <w:p>
      <w:pPr>
        <w:pStyle w:val="ListParagraph"/>
        <w:numPr>
          <w:ilvl w:val="2"/>
          <w:numId w:val="4"/>
        </w:numPr>
        <w:tabs>
          <w:tab w:pos="2178" w:val="left" w:leader="none"/>
        </w:tabs>
        <w:spacing w:line="240" w:lineRule="auto" w:before="0" w:after="0"/>
        <w:ind w:left="2177" w:right="0" w:hanging="420"/>
        <w:jc w:val="both"/>
        <w:rPr>
          <w:sz w:val="21"/>
        </w:rPr>
      </w:pPr>
      <w:r>
        <w:rPr>
          <w:spacing w:val="-3"/>
          <w:sz w:val="21"/>
        </w:rPr>
        <w:t>严重肌营养不良症</w:t>
      </w:r>
      <w:r>
        <w:rPr>
          <w:sz w:val="21"/>
        </w:rPr>
        <w:t> </w:t>
      </w:r>
    </w:p>
    <w:p>
      <w:pPr>
        <w:pStyle w:val="BodyText"/>
        <w:spacing w:line="273" w:lineRule="auto" w:before="21"/>
        <w:ind w:right="114"/>
      </w:pPr>
      <w:r>
        <w:rPr>
          <w:spacing w:val="-3"/>
        </w:rPr>
        <w:t>是一组原发于肌肉的遗传性的肌肉病变。主要临床特征为受累骨骼肌肉的无力</w:t>
      </w:r>
      <w:r>
        <w:rPr>
          <w:spacing w:val="-16"/>
        </w:rPr>
        <w:t>和肌肉萎缩。经我们认可的神经专科医生确认符合以下四项诊断指标中的三项：</w:t>
      </w:r>
      <w:r>
        <w:rPr/>
        <w:t> </w:t>
      </w:r>
    </w:p>
    <w:p>
      <w:pPr>
        <w:pStyle w:val="BodyText"/>
        <w:spacing w:before="8"/>
        <w:jc w:val="both"/>
      </w:pPr>
      <w:r>
        <w:rPr/>
        <w:t>1.家族史中有其他成员患相同疾病； </w:t>
      </w:r>
    </w:p>
    <w:p>
      <w:pPr>
        <w:pStyle w:val="BodyText"/>
        <w:spacing w:before="37"/>
        <w:jc w:val="both"/>
      </w:pPr>
      <w:r>
        <w:rPr/>
        <w:t>2.临床表现包括：无感觉神经紊乱，正常脑脊液及轻微腱反射的减退； </w:t>
      </w:r>
    </w:p>
    <w:p>
      <w:pPr>
        <w:pStyle w:val="BodyText"/>
        <w:spacing w:before="37"/>
        <w:jc w:val="both"/>
      </w:pPr>
      <w:r>
        <w:rPr/>
        <w:t>3.典型的肌电图； </w:t>
      </w:r>
    </w:p>
    <w:p>
      <w:pPr>
        <w:pStyle w:val="BodyText"/>
        <w:spacing w:before="37"/>
        <w:jc w:val="both"/>
      </w:pPr>
      <w:r>
        <w:rPr/>
        <w:t>4.临床推测必须有肌肉或组织检查加以证实。 </w:t>
      </w:r>
    </w:p>
    <w:p>
      <w:pPr>
        <w:pStyle w:val="BodyText"/>
        <w:spacing w:before="8"/>
        <w:ind w:left="0"/>
        <w:rPr>
          <w:sz w:val="26"/>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严重多发性硬化</w:t>
      </w:r>
    </w:p>
    <w:p>
      <w:pPr>
        <w:pStyle w:val="BodyText"/>
        <w:spacing w:line="261" w:lineRule="auto" w:before="20"/>
        <w:ind w:right="218"/>
        <w:jc w:val="both"/>
      </w:pPr>
      <w:r>
        <w:rPr>
          <w:spacing w:val="-3"/>
        </w:rPr>
        <w:t>多发性硬化为中枢神经系统白质多灶性脱髓鞘病变，病变有时累及灰质。多发性硬化必须明确诊断并由核磁共振(</w:t>
      </w:r>
      <w:r>
        <w:rPr>
          <w:rFonts w:ascii="Times New Roman" w:eastAsia="Times New Roman"/>
        </w:rPr>
        <w:t>MRI</w:t>
      </w:r>
      <w:r>
        <w:rPr>
          <w:spacing w:val="-3"/>
        </w:rPr>
        <w:t>)等影像学检验证实，而且已经造成永</w:t>
      </w:r>
      <w:r>
        <w:rPr>
          <w:spacing w:val="-12"/>
        </w:rPr>
        <w:t>久的神经系统功能损害，导致被保险人持续</w:t>
      </w:r>
      <w:r>
        <w:rPr>
          <w:rFonts w:ascii="Times New Roman" w:eastAsia="Times New Roman"/>
        </w:rPr>
        <w:t>180</w:t>
      </w:r>
      <w:r>
        <w:rPr>
          <w:spacing w:val="-3"/>
        </w:rPr>
        <w:t>日无法独立完成下列基本日常生活活动：</w:t>
      </w:r>
      <w:r>
        <w:rPr/>
        <w:t> </w:t>
      </w:r>
    </w:p>
    <w:p>
      <w:pPr>
        <w:spacing w:after="0" w:line="261" w:lineRule="auto"/>
        <w:jc w:val="both"/>
        <w:sectPr>
          <w:pgSz w:w="11910" w:h="16840"/>
          <w:pgMar w:header="0" w:footer="924" w:top="1080" w:bottom="1200" w:left="1680" w:right="1100"/>
        </w:sectPr>
      </w:pPr>
    </w:p>
    <w:p>
      <w:pPr>
        <w:pStyle w:val="BodyText"/>
        <w:spacing w:before="22"/>
      </w:pPr>
      <w:r>
        <w:rPr>
          <w:rFonts w:ascii="Times New Roman" w:eastAsia="Times New Roman"/>
        </w:rPr>
        <w:t>1.</w:t>
      </w:r>
      <w:r>
        <w:rPr/>
        <w:t>移动：自己从一个房间到另一个房间；  </w:t>
      </w:r>
    </w:p>
    <w:p>
      <w:pPr>
        <w:pStyle w:val="BodyText"/>
        <w:spacing w:before="21"/>
      </w:pPr>
      <w:r>
        <w:rPr>
          <w:rFonts w:ascii="Times New Roman" w:eastAsia="Times New Roman"/>
        </w:rPr>
        <w:t>2.</w:t>
      </w:r>
      <w:r>
        <w:rPr/>
        <w:t>进食：自己从已准备好的碗或碟中取食物放入口中。</w:t>
      </w:r>
    </w:p>
    <w:p>
      <w:pPr>
        <w:pStyle w:val="BodyText"/>
        <w:spacing w:before="5"/>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严重类风湿性关节炎</w:t>
      </w:r>
    </w:p>
    <w:p>
      <w:pPr>
        <w:pStyle w:val="BodyText"/>
        <w:spacing w:line="266" w:lineRule="auto" w:before="21"/>
        <w:ind w:right="110"/>
      </w:pPr>
      <w:r>
        <w:rPr>
          <w:spacing w:val="-7"/>
        </w:rPr>
        <w:t>严重类风湿性关节炎为广泛分布的慢性进行性多关节病变，伴有关节严重变形， 侵犯至少三个主要关节</w:t>
      </w:r>
      <w:r>
        <w:rPr>
          <w:spacing w:val="-3"/>
        </w:rPr>
        <w:t>（</w:t>
      </w:r>
      <w:r>
        <w:rPr>
          <w:spacing w:val="-10"/>
        </w:rPr>
        <w:t>腕关节、肘关节、肩关节、踝关节、膝关节、髋关节</w:t>
      </w:r>
      <w:r>
        <w:rPr/>
        <w:t>） </w:t>
      </w:r>
      <w:r>
        <w:rPr>
          <w:spacing w:val="-6"/>
          <w:w w:val="100"/>
        </w:rPr>
        <w:t>或关节组</w:t>
      </w:r>
      <w:r>
        <w:rPr>
          <w:spacing w:val="-3"/>
          <w:w w:val="100"/>
        </w:rPr>
        <w:t>（</w:t>
      </w:r>
      <w:r>
        <w:rPr>
          <w:spacing w:val="-9"/>
          <w:w w:val="100"/>
        </w:rPr>
        <w:t>如手的多个指间、掌指关节，足的多个足趾、跖趾关节</w:t>
      </w:r>
      <w:r>
        <w:rPr>
          <w:spacing w:val="-106"/>
          <w:w w:val="100"/>
        </w:rPr>
        <w:t>）</w:t>
      </w:r>
      <w:r>
        <w:rPr>
          <w:spacing w:val="-22"/>
          <w:w w:val="100"/>
        </w:rPr>
        <w:t>，</w:t>
      </w:r>
      <w:r>
        <w:rPr>
          <w:rFonts w:ascii="Times New Roman" w:eastAsia="Times New Roman"/>
          <w:w w:val="100"/>
        </w:rPr>
        <w:t>X</w:t>
      </w:r>
      <w:r>
        <w:rPr>
          <w:rFonts w:ascii="Times New Roman" w:eastAsia="Times New Roman"/>
          <w:spacing w:val="0"/>
        </w:rPr>
        <w:t> </w:t>
      </w:r>
      <w:r>
        <w:rPr>
          <w:spacing w:val="-3"/>
          <w:w w:val="100"/>
        </w:rPr>
        <w:t>线显示</w:t>
      </w:r>
      <w:r>
        <w:rPr>
          <w:spacing w:val="-2"/>
        </w:rPr>
        <w:t>严重的关节</w:t>
      </w:r>
      <w:r>
        <w:rPr/>
        <w:t>（</w:t>
      </w:r>
      <w:r>
        <w:rPr>
          <w:spacing w:val="-3"/>
        </w:rPr>
        <w:t>软骨和骨）破坏和关节畸形，并已达到类风湿性关节炎功能分级</w:t>
      </w:r>
    </w:p>
    <w:p>
      <w:pPr>
        <w:pStyle w:val="BodyText"/>
        <w:spacing w:line="256" w:lineRule="auto" w:before="14"/>
        <w:ind w:right="153"/>
      </w:pPr>
      <w:r>
        <w:rPr>
          <w:rFonts w:ascii="Times New Roman" w:eastAsia="Times New Roman"/>
        </w:rPr>
        <w:t>IV </w:t>
      </w:r>
      <w:r>
        <w:rPr/>
        <w:t>级的永久不可逆性关节功能障碍，致使被保险人完全丧失工作能力，生活不能自理，无法独立完成六项基本日常生活活动中的三项或三项以上。</w:t>
      </w:r>
    </w:p>
    <w:p>
      <w:pPr>
        <w:pStyle w:val="BodyText"/>
        <w:spacing w:before="7"/>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全身性重症肌无力</w:t>
      </w:r>
    </w:p>
    <w:p>
      <w:pPr>
        <w:pStyle w:val="BodyText"/>
        <w:spacing w:line="273" w:lineRule="auto" w:before="21"/>
        <w:ind w:right="220"/>
        <w:jc w:val="both"/>
      </w:pPr>
      <w:r>
        <w:rPr/>
        <w:t>重症肌无力是一种神经肌肉接头传递障碍所致的疾病，表现为局部或全身骨骼肌（特别是眼外肌）极易疲劳。疾病可以累及呼吸肌、上肢或下肢的近端肌群或全身肌肉，必须满足下列全部条件： </w:t>
      </w:r>
    </w:p>
    <w:p>
      <w:pPr>
        <w:pStyle w:val="BodyText"/>
        <w:spacing w:before="7"/>
      </w:pPr>
      <w:r>
        <w:rPr>
          <w:rFonts w:ascii="Times New Roman" w:eastAsia="Times New Roman"/>
        </w:rPr>
        <w:t>1.</w:t>
      </w:r>
      <w:r>
        <w:rPr/>
        <w:t>经药物治疗和胸腺切除治疗一年以上仍无法控制病情； </w:t>
      </w:r>
    </w:p>
    <w:p>
      <w:pPr>
        <w:pStyle w:val="BodyText"/>
        <w:spacing w:line="256" w:lineRule="auto" w:before="20"/>
        <w:ind w:right="273"/>
      </w:pPr>
      <w:r>
        <w:rPr>
          <w:rFonts w:ascii="Times New Roman" w:eastAsia="Times New Roman"/>
        </w:rPr>
        <w:t>2.</w:t>
      </w:r>
      <w:r>
        <w:rPr/>
        <w:t>自主生活能力完全丧失，无法独立完成六项基本日常生活活动中的三项或三项以上。</w:t>
      </w:r>
    </w:p>
    <w:p>
      <w:pPr>
        <w:pStyle w:val="BodyText"/>
        <w:spacing w:before="6"/>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严重川崎病</w:t>
      </w:r>
    </w:p>
    <w:p>
      <w:pPr>
        <w:pStyle w:val="BodyText"/>
        <w:spacing w:before="20"/>
      </w:pPr>
      <w:r>
        <w:rPr/>
        <w:t>是指原因不明的系统性血管炎,并须满足下列全部条件:  </w:t>
      </w:r>
    </w:p>
    <w:p>
      <w:pPr>
        <w:pStyle w:val="BodyText"/>
        <w:spacing w:before="36"/>
      </w:pPr>
      <w:r>
        <w:rPr>
          <w:rFonts w:ascii="Times New Roman" w:eastAsia="Times New Roman"/>
        </w:rPr>
        <w:t>1.</w:t>
      </w:r>
      <w:r>
        <w:rPr/>
        <w:t>超声心动图显示川崎病并发冠状动脉瘤或其他心血管异常; </w:t>
      </w:r>
    </w:p>
    <w:p>
      <w:pPr>
        <w:pStyle w:val="BodyText"/>
        <w:spacing w:before="20"/>
      </w:pPr>
      <w:r>
        <w:rPr>
          <w:rFonts w:ascii="Times New Roman" w:eastAsia="Times New Roman"/>
        </w:rPr>
        <w:t>2.</w:t>
      </w:r>
      <w:r>
        <w:rPr/>
        <w:t>已接受了针对川崎病并发冠状动脉瘤或其他心血管异常所进行的手术治疗。</w:t>
      </w:r>
    </w:p>
    <w:p>
      <w:pPr>
        <w:pStyle w:val="BodyText"/>
        <w:spacing w:before="5"/>
        <w:ind w:left="0"/>
        <w:rPr>
          <w:sz w:val="25"/>
        </w:rPr>
      </w:pPr>
    </w:p>
    <w:p>
      <w:pPr>
        <w:pStyle w:val="ListParagraph"/>
        <w:numPr>
          <w:ilvl w:val="2"/>
          <w:numId w:val="4"/>
        </w:numPr>
        <w:tabs>
          <w:tab w:pos="2284" w:val="left" w:leader="none"/>
        </w:tabs>
        <w:spacing w:line="240" w:lineRule="auto" w:before="1" w:after="0"/>
        <w:ind w:left="2283" w:right="0" w:hanging="526"/>
        <w:jc w:val="left"/>
        <w:rPr>
          <w:sz w:val="21"/>
        </w:rPr>
      </w:pPr>
      <w:r>
        <w:rPr>
          <w:spacing w:val="-3"/>
          <w:sz w:val="21"/>
        </w:rPr>
        <w:t>严重心肌炎</w:t>
      </w:r>
    </w:p>
    <w:p>
      <w:pPr>
        <w:pStyle w:val="BodyText"/>
        <w:spacing w:line="273" w:lineRule="auto" w:before="21"/>
        <w:ind w:right="220"/>
      </w:pP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180 </w:t>
      </w:r>
      <w:r>
        <w:rPr/>
        <w:t>日。</w:t>
      </w:r>
    </w:p>
    <w:p>
      <w:pPr>
        <w:pStyle w:val="BodyText"/>
        <w:spacing w:before="12"/>
        <w:ind w:left="0"/>
        <w:rPr>
          <w:sz w:val="22"/>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急性脊髓灰质炎</w:t>
      </w:r>
    </w:p>
    <w:p>
      <w:pPr>
        <w:pStyle w:val="BodyText"/>
        <w:spacing w:line="268" w:lineRule="auto" w:before="21"/>
        <w:ind w:right="220"/>
        <w:jc w:val="both"/>
      </w:pP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5"/>
        </w:rPr>
        <w:t>予以理赔。肢体机能永久完全丧失，指疾病确诊 </w:t>
      </w:r>
      <w:r>
        <w:rPr>
          <w:rFonts w:ascii="Times New Roman" w:eastAsia="Times New Roman"/>
        </w:rPr>
        <w:t>180 </w:t>
      </w:r>
      <w:r>
        <w:rPr>
          <w:spacing w:val="-3"/>
        </w:rPr>
        <w:t>日后，每肢三大关节中的两大关节仍然完全僵硬，或不能随意识活动。</w:t>
      </w:r>
    </w:p>
    <w:p>
      <w:pPr>
        <w:pStyle w:val="BodyText"/>
        <w:spacing w:before="10"/>
        <w:ind w:left="0"/>
        <w:rPr>
          <w:sz w:val="24"/>
        </w:rPr>
      </w:pPr>
    </w:p>
    <w:p>
      <w:pPr>
        <w:pStyle w:val="ListParagraph"/>
        <w:numPr>
          <w:ilvl w:val="2"/>
          <w:numId w:val="4"/>
        </w:numPr>
        <w:tabs>
          <w:tab w:pos="2178" w:val="left" w:leader="none"/>
        </w:tabs>
        <w:spacing w:line="240" w:lineRule="auto" w:before="0" w:after="0"/>
        <w:ind w:left="2177" w:right="0" w:hanging="420"/>
        <w:jc w:val="left"/>
        <w:rPr>
          <w:sz w:val="21"/>
        </w:rPr>
      </w:pPr>
      <w:r>
        <w:rPr>
          <w:spacing w:val="-3"/>
          <w:sz w:val="21"/>
        </w:rPr>
        <w:t>重症急性胰腺炎-不包括酒精作用所致</w:t>
      </w:r>
    </w:p>
    <w:p>
      <w:pPr>
        <w:pStyle w:val="BodyText"/>
        <w:spacing w:line="273" w:lineRule="auto" w:before="20"/>
        <w:ind w:right="220"/>
        <w:rPr>
          <w:b/>
        </w:rPr>
      </w:pPr>
      <w:r>
        <w:rPr/>
        <w:t>指被保险人因为急性出血坏死性胰腺炎已经接受了外科开腹手术治疗，以进行坏死组织清除、坏死病灶切除或胰腺切除。</w:t>
      </w:r>
      <w:r>
        <w:rPr>
          <w:b/>
          <w:w w:val="99"/>
        </w:rPr>
        <w:t> </w:t>
      </w:r>
    </w:p>
    <w:p>
      <w:pPr>
        <w:pStyle w:val="BodyText"/>
        <w:spacing w:line="273" w:lineRule="auto" w:before="7"/>
        <w:ind w:right="220"/>
      </w:pPr>
      <w:r>
        <w:rPr>
          <w:shd w:fill="C0C0C0" w:color="auto" w:val="clear"/>
        </w:rPr>
        <w:t>因饮酒所致的急性出血坏死性胰腺炎或经腹腔镜手术进行的治疗不在保障范围内。</w:t>
      </w:r>
    </w:p>
    <w:p>
      <w:pPr>
        <w:pStyle w:val="BodyText"/>
        <w:spacing w:before="5"/>
        <w:ind w:left="0"/>
        <w:rPr>
          <w:sz w:val="24"/>
        </w:rPr>
      </w:pPr>
    </w:p>
    <w:p>
      <w:pPr>
        <w:pStyle w:val="ListParagraph"/>
        <w:numPr>
          <w:ilvl w:val="2"/>
          <w:numId w:val="4"/>
        </w:numPr>
        <w:tabs>
          <w:tab w:pos="2284" w:val="left" w:leader="none"/>
        </w:tabs>
        <w:spacing w:line="291" w:lineRule="exact" w:before="0" w:after="0"/>
        <w:ind w:left="2283" w:right="0" w:hanging="526"/>
        <w:jc w:val="left"/>
        <w:rPr>
          <w:sz w:val="21"/>
        </w:rPr>
      </w:pPr>
      <w:r>
        <w:rPr>
          <w:spacing w:val="-3"/>
          <w:sz w:val="21"/>
        </w:rPr>
        <w:t>经输血导致的艾滋病病毒感染</w:t>
      </w:r>
    </w:p>
    <w:p>
      <w:pPr>
        <w:pStyle w:val="BodyText"/>
      </w:pPr>
      <w:r>
        <w:rPr/>
        <w:t>被保险人因输血而感染上人类免疫缺陷病毒(</w:t>
      </w:r>
      <w:r>
        <w:rPr>
          <w:rFonts w:ascii="Times New Roman" w:eastAsia="Times New Roman"/>
        </w:rPr>
        <w:t>HIV</w:t>
      </w:r>
      <w:r>
        <w:rPr/>
        <w:t>)必须满足以下的条件： </w:t>
      </w:r>
    </w:p>
    <w:p>
      <w:pPr>
        <w:pStyle w:val="BodyText"/>
        <w:spacing w:before="5"/>
        <w:ind w:right="1687"/>
      </w:pPr>
      <w:r>
        <w:rPr>
          <w:rFonts w:ascii="Times New Roman" w:eastAsia="Times New Roman"/>
        </w:rPr>
        <w:t>1.</w:t>
      </w:r>
      <w:r>
        <w:rPr/>
        <w:t>在保障起始日或复效日之后，被保险人因输血而感染</w:t>
      </w:r>
      <w:r>
        <w:rPr>
          <w:rFonts w:ascii="Times New Roman" w:eastAsia="Times New Roman"/>
        </w:rPr>
        <w:t>HIV</w:t>
      </w:r>
      <w:r>
        <w:rPr/>
        <w:t>； 以及下列条件 </w:t>
      </w:r>
      <w:r>
        <w:rPr>
          <w:rFonts w:ascii="Times New Roman" w:eastAsia="Times New Roman"/>
        </w:rPr>
        <w:t>2 </w:t>
      </w:r>
      <w:r>
        <w:rPr/>
        <w:t>或 </w:t>
      </w:r>
      <w:r>
        <w:rPr>
          <w:rFonts w:ascii="Times New Roman" w:eastAsia="Times New Roman"/>
        </w:rPr>
        <w:t>3 </w:t>
      </w:r>
      <w:r>
        <w:rPr/>
        <w:t>中的任意一条： </w:t>
      </w:r>
    </w:p>
    <w:p>
      <w:pPr>
        <w:pStyle w:val="BodyText"/>
        <w:spacing w:before="2"/>
      </w:pPr>
      <w:r>
        <w:rPr>
          <w:rFonts w:ascii="Times New Roman" w:eastAsia="Times New Roman"/>
        </w:rPr>
        <w:t>2.</w:t>
      </w:r>
      <w:r>
        <w:rPr/>
        <w:t>提供输血治疗的输血中心或医院承认该项输血感染责任的证明； </w:t>
      </w:r>
    </w:p>
    <w:p>
      <w:pPr>
        <w:spacing w:after="0"/>
        <w:sectPr>
          <w:pgSz w:w="11910" w:h="16840"/>
          <w:pgMar w:header="0" w:footer="924" w:top="1080" w:bottom="1200" w:left="1680" w:right="1100"/>
        </w:sectPr>
      </w:pPr>
    </w:p>
    <w:p>
      <w:pPr>
        <w:pStyle w:val="BodyText"/>
        <w:spacing w:before="22"/>
      </w:pPr>
      <w:r>
        <w:rPr>
          <w:rFonts w:ascii="Times New Roman" w:eastAsia="Times New Roman"/>
        </w:rPr>
        <w:t>3.</w:t>
      </w:r>
      <w:r>
        <w:rPr/>
        <w:t>提供输血前一个月内</w:t>
      </w:r>
      <w:r>
        <w:rPr>
          <w:rFonts w:ascii="Times New Roman" w:eastAsia="Times New Roman"/>
        </w:rPr>
        <w:t>HIV</w:t>
      </w:r>
      <w:r>
        <w:rPr/>
        <w:t>检查阴性的报告、输血血液来源的证明以及输血后</w:t>
      </w:r>
    </w:p>
    <w:p>
      <w:pPr>
        <w:pStyle w:val="BodyText"/>
        <w:spacing w:before="21"/>
      </w:pPr>
      <w:r>
        <w:rPr>
          <w:rFonts w:ascii="Times New Roman" w:eastAsia="Times New Roman"/>
        </w:rPr>
        <w:t>HIV</w:t>
      </w:r>
      <w:r>
        <w:rPr/>
        <w:t>检查阳性的报告。 </w:t>
      </w:r>
    </w:p>
    <w:p>
      <w:pPr>
        <w:pStyle w:val="BodyText"/>
        <w:spacing w:line="256" w:lineRule="auto" w:before="20"/>
        <w:ind w:right="100"/>
      </w:pPr>
      <w:r>
        <w:rPr>
          <w:spacing w:val="-5"/>
          <w:shd w:fill="C0C0C0" w:color="auto" w:val="clear"/>
        </w:rPr>
        <w:t>任何因其他传播方式</w:t>
      </w:r>
      <w:r>
        <w:rPr>
          <w:spacing w:val="-3"/>
          <w:shd w:fill="C0C0C0" w:color="auto" w:val="clear"/>
        </w:rPr>
        <w:t>（</w:t>
      </w:r>
      <w:r>
        <w:rPr>
          <w:spacing w:val="-5"/>
          <w:shd w:fill="C0C0C0" w:color="auto" w:val="clear"/>
        </w:rPr>
        <w:t>包括：性传播或静脉注射毒品</w:t>
      </w:r>
      <w:r>
        <w:rPr>
          <w:spacing w:val="-20"/>
          <w:shd w:fill="C0C0C0" w:color="auto" w:val="clear"/>
        </w:rPr>
        <w:t>）</w:t>
      </w:r>
      <w:r>
        <w:rPr>
          <w:spacing w:val="-12"/>
          <w:shd w:fill="C0C0C0" w:color="auto" w:val="clear"/>
        </w:rPr>
        <w:t>导致的 </w:t>
      </w:r>
      <w:r>
        <w:rPr>
          <w:rFonts w:ascii="Times New Roman" w:eastAsia="Times New Roman"/>
          <w:shd w:fill="C0C0C0" w:color="auto" w:val="clear"/>
        </w:rPr>
        <w:t>HIV </w:t>
      </w:r>
      <w:r>
        <w:rPr>
          <w:spacing w:val="-3"/>
          <w:shd w:fill="C0C0C0" w:color="auto" w:val="clear"/>
        </w:rPr>
        <w:t>感染不在保障范</w:t>
      </w:r>
      <w:r>
        <w:rPr>
          <w:spacing w:val="-68"/>
          <w:shd w:fill="C0C0C0" w:color="auto" w:val="clear"/>
        </w:rPr>
        <w:t>围内。</w:t>
      </w:r>
    </w:p>
    <w:p>
      <w:pPr>
        <w:pStyle w:val="BodyText"/>
        <w:spacing w:before="6"/>
        <w:ind w:left="0"/>
        <w:rPr>
          <w:sz w:val="25"/>
        </w:rPr>
      </w:pPr>
    </w:p>
    <w:p>
      <w:pPr>
        <w:pStyle w:val="ListParagraph"/>
        <w:numPr>
          <w:ilvl w:val="2"/>
          <w:numId w:val="4"/>
        </w:numPr>
        <w:tabs>
          <w:tab w:pos="2284" w:val="left" w:leader="none"/>
        </w:tabs>
        <w:spacing w:line="240" w:lineRule="auto" w:before="1" w:after="0"/>
        <w:ind w:left="2283" w:right="0" w:hanging="526"/>
        <w:jc w:val="left"/>
        <w:rPr>
          <w:sz w:val="21"/>
        </w:rPr>
      </w:pPr>
      <w:r>
        <w:rPr>
          <w:spacing w:val="-3"/>
          <w:sz w:val="21"/>
        </w:rPr>
        <w:t>严重慢性呼吸功能衰竭</w:t>
      </w:r>
    </w:p>
    <w:p>
      <w:pPr>
        <w:pStyle w:val="BodyText"/>
        <w:spacing w:line="273" w:lineRule="auto" w:before="21"/>
        <w:ind w:right="100"/>
      </w:pPr>
      <w:r>
        <w:rPr/>
        <w:t>慢性肺部疾病导致永久不可逆性的慢性呼吸功能衰竭，必须由呼吸专科医师确认并符合下列所有条件： </w:t>
      </w:r>
    </w:p>
    <w:p>
      <w:pPr>
        <w:pStyle w:val="BodyText"/>
        <w:spacing w:before="7"/>
        <w:jc w:val="both"/>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 </w:t>
      </w:r>
    </w:p>
    <w:p>
      <w:pPr>
        <w:pStyle w:val="BodyText"/>
        <w:spacing w:before="21"/>
        <w:jc w:val="both"/>
      </w:pPr>
      <w:r>
        <w:rPr>
          <w:rFonts w:ascii="Times New Roman" w:eastAsia="Times New Roman"/>
        </w:rPr>
        <w:t>2.</w:t>
      </w:r>
      <w:r>
        <w:rPr/>
        <w:t>病人缺氧必须广泛而持续地进行输氧治疗； </w:t>
      </w:r>
    </w:p>
    <w:p>
      <w:pPr>
        <w:pStyle w:val="BodyText"/>
        <w:spacing w:before="21"/>
        <w:jc w:val="both"/>
      </w:pPr>
      <w:r>
        <w:rPr>
          <w:rFonts w:ascii="Times New Roman" w:eastAsia="Times New Roman"/>
        </w:rPr>
        <w:t>3.</w:t>
      </w:r>
      <w:r>
        <w:rPr/>
        <w:t>动脉血气分析氧分压低于 </w:t>
      </w:r>
      <w:r>
        <w:rPr>
          <w:rFonts w:ascii="Times New Roman" w:eastAsia="Times New Roman"/>
        </w:rPr>
        <w:t>55mmHg</w:t>
      </w:r>
      <w:r>
        <w:rPr/>
        <w:t>。</w:t>
      </w:r>
    </w:p>
    <w:p>
      <w:pPr>
        <w:pStyle w:val="BodyText"/>
        <w:spacing w:before="5"/>
        <w:ind w:left="0"/>
        <w:rPr>
          <w:sz w:val="25"/>
        </w:rPr>
      </w:pPr>
    </w:p>
    <w:p>
      <w:pPr>
        <w:pStyle w:val="ListParagraph"/>
        <w:numPr>
          <w:ilvl w:val="2"/>
          <w:numId w:val="4"/>
        </w:numPr>
        <w:tabs>
          <w:tab w:pos="2284" w:val="left" w:leader="none"/>
        </w:tabs>
        <w:spacing w:line="240" w:lineRule="auto" w:before="1" w:after="0"/>
        <w:ind w:left="2283" w:right="0" w:hanging="526"/>
        <w:jc w:val="both"/>
        <w:rPr>
          <w:sz w:val="21"/>
        </w:rPr>
      </w:pPr>
      <w:r>
        <w:rPr>
          <w:spacing w:val="-3"/>
          <w:sz w:val="21"/>
        </w:rPr>
        <w:t>严重胃肠炎</w:t>
      </w:r>
    </w:p>
    <w:p>
      <w:pPr>
        <w:pStyle w:val="BodyText"/>
        <w:spacing w:line="273" w:lineRule="auto" w:before="22"/>
        <w:ind w:right="100"/>
        <w:jc w:val="both"/>
      </w:pPr>
      <w:r>
        <w:rPr/>
        <w:t>是指以严重的腹泻、便血和肠段坏死为特征的胃肠道严重感染疾病，并已经实施大肠或小肠的一处或多处经手术切除。须经本公司认可的专科医生确诊且经病理检查证实存在严重感染和坏死。</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侵蚀性葡萄胎</w:t>
      </w:r>
      <w:r>
        <w:rPr>
          <w:sz w:val="21"/>
        </w:rPr>
        <w:t>（</w:t>
      </w:r>
      <w:r>
        <w:rPr>
          <w:spacing w:val="-3"/>
          <w:sz w:val="21"/>
        </w:rPr>
        <w:t>或称恶性葡萄胎</w:t>
      </w:r>
      <w:r>
        <w:rPr>
          <w:sz w:val="21"/>
        </w:rPr>
        <w:t>）</w:t>
      </w:r>
    </w:p>
    <w:p>
      <w:pPr>
        <w:pStyle w:val="BodyText"/>
        <w:spacing w:line="273" w:lineRule="auto" w:before="20"/>
        <w:ind w:right="100"/>
      </w:pPr>
      <w:r>
        <w:rPr/>
        <w:t>该类疾病是指异常增生的绒毛组织浸润性生长侵入子宫肌层或转移至其他器官或组织的葡萄胎，并已经进行化疗或手术治疗的。</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严重克隆病</w:t>
      </w:r>
    </w:p>
    <w:p>
      <w:pPr>
        <w:pStyle w:val="BodyText"/>
        <w:spacing w:line="273" w:lineRule="auto" w:before="21"/>
        <w:ind w:right="100"/>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主动脉夹层瘤</w:t>
      </w:r>
    </w:p>
    <w:p>
      <w:pPr>
        <w:pStyle w:val="BodyText"/>
        <w:spacing w:line="266" w:lineRule="auto" w:before="20"/>
        <w:ind w:right="98"/>
        <w:jc w:val="both"/>
      </w:pPr>
      <w:r>
        <w:rPr>
          <w:spacing w:val="-3"/>
        </w:rPr>
        <w:t>指主动脉壁在收到某些病理因素的破坏后，高速、高压的主动脉血流将其内膜撕裂，以致主动脉腔内的血流通过主动脉内膜的破裂口进入主动脉内壁而形成</w:t>
      </w:r>
      <w:r>
        <w:rPr>
          <w:spacing w:val="-7"/>
        </w:rPr>
        <w:t>血肿。被保险人需通过电脑断层扫描</w:t>
      </w:r>
      <w:r>
        <w:rPr>
          <w:rFonts w:ascii="Times New Roman" w:eastAsia="Times New Roman"/>
        </w:rPr>
        <w:t>(CT)</w:t>
      </w:r>
      <w:r>
        <w:rPr>
          <w:spacing w:val="-8"/>
        </w:rPr>
        <w:t>、磁共振扫描</w:t>
      </w:r>
      <w:r>
        <w:rPr>
          <w:rFonts w:ascii="Times New Roman" w:eastAsia="Times New Roman"/>
        </w:rPr>
        <w:t>(MRI)</w:t>
      </w:r>
      <w:r>
        <w:rPr>
          <w:spacing w:val="-7"/>
        </w:rPr>
        <w:t>、磁共振血管检验法</w:t>
      </w:r>
      <w:r>
        <w:rPr>
          <w:rFonts w:ascii="Times New Roman" w:eastAsia="Times New Roman"/>
          <w:spacing w:val="-7"/>
        </w:rPr>
        <w:t>(MRA)</w:t>
      </w:r>
      <w:r>
        <w:rPr>
          <w:spacing w:val="-3"/>
        </w:rPr>
        <w:t>或血管扫描等检查， 并须经专科医生确诊。</w:t>
      </w:r>
    </w:p>
    <w:p>
      <w:pPr>
        <w:pStyle w:val="BodyText"/>
        <w:spacing w:before="5"/>
        <w:ind w:left="0"/>
        <w:rPr>
          <w:sz w:val="23"/>
        </w:rPr>
      </w:pPr>
    </w:p>
    <w:p>
      <w:pPr>
        <w:pStyle w:val="ListParagraph"/>
        <w:numPr>
          <w:ilvl w:val="2"/>
          <w:numId w:val="4"/>
        </w:numPr>
        <w:tabs>
          <w:tab w:pos="2284" w:val="left" w:leader="none"/>
        </w:tabs>
        <w:spacing w:line="240" w:lineRule="auto" w:before="1" w:after="0"/>
        <w:ind w:left="2283" w:right="0" w:hanging="526"/>
        <w:jc w:val="both"/>
        <w:rPr>
          <w:sz w:val="21"/>
        </w:rPr>
      </w:pPr>
      <w:r>
        <w:rPr>
          <w:spacing w:val="-3"/>
          <w:sz w:val="21"/>
        </w:rPr>
        <w:t>坏死性筋膜炎</w:t>
      </w:r>
    </w:p>
    <w:p>
      <w:pPr>
        <w:pStyle w:val="BodyText"/>
        <w:spacing w:before="21"/>
        <w:jc w:val="both"/>
      </w:pPr>
      <w:r>
        <w:rPr/>
        <w:t>死性筋膜炎的诊断须同时符合下列要求： </w:t>
      </w:r>
    </w:p>
    <w:p>
      <w:pPr>
        <w:pStyle w:val="BodyText"/>
        <w:spacing w:before="37"/>
        <w:jc w:val="both"/>
      </w:pPr>
      <w:r>
        <w:rPr>
          <w:rFonts w:ascii="Times New Roman" w:eastAsia="Times New Roman"/>
        </w:rPr>
        <w:t>1.</w:t>
      </w:r>
      <w:r>
        <w:rPr/>
        <w:t>符合坏死性筋膜炎的一般临床表现； </w:t>
      </w:r>
    </w:p>
    <w:p>
      <w:pPr>
        <w:pStyle w:val="BodyText"/>
        <w:spacing w:before="22"/>
        <w:jc w:val="both"/>
      </w:pPr>
      <w:r>
        <w:rPr>
          <w:rFonts w:ascii="Times New Roman" w:eastAsia="Times New Roman"/>
        </w:rPr>
        <w:t>2.</w:t>
      </w:r>
      <w:r>
        <w:rPr/>
        <w:t>细菌培养检出致病菌； </w:t>
      </w:r>
    </w:p>
    <w:p>
      <w:pPr>
        <w:pStyle w:val="BodyText"/>
        <w:spacing w:line="256" w:lineRule="auto" w:before="21"/>
        <w:ind w:right="153"/>
      </w:pP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7"/>
        <w:ind w:left="0"/>
        <w:rPr>
          <w:sz w:val="25"/>
        </w:rPr>
      </w:pPr>
    </w:p>
    <w:p>
      <w:pPr>
        <w:pStyle w:val="ListParagraph"/>
        <w:numPr>
          <w:ilvl w:val="2"/>
          <w:numId w:val="4"/>
        </w:numPr>
        <w:tabs>
          <w:tab w:pos="2284" w:val="left" w:leader="none"/>
        </w:tabs>
        <w:spacing w:line="240" w:lineRule="auto" w:before="0" w:after="0"/>
        <w:ind w:left="2283" w:right="0" w:hanging="526"/>
        <w:jc w:val="left"/>
        <w:rPr>
          <w:sz w:val="21"/>
        </w:rPr>
      </w:pPr>
      <w:r>
        <w:rPr>
          <w:spacing w:val="-3"/>
          <w:sz w:val="21"/>
        </w:rPr>
        <w:t>慢性肾上腺皮质功能衰竭</w:t>
      </w:r>
    </w:p>
    <w:p>
      <w:pPr>
        <w:pStyle w:val="BodyText"/>
        <w:spacing w:line="273" w:lineRule="auto" w:before="21"/>
        <w:ind w:right="100"/>
        <w:jc w:val="both"/>
      </w:pPr>
      <w:r>
        <w:rPr/>
        <w:t>因为自身免疫功能紊乱，使肾上腺组织逐渐受损，而需要长期接受糖皮质激素及肾上腺皮质激素替代疗法。该病必须经内分泌专科医生确诊，并有以下报告作为证据： </w:t>
      </w:r>
    </w:p>
    <w:p>
      <w:pPr>
        <w:pStyle w:val="BodyText"/>
        <w:spacing w:before="7"/>
        <w:jc w:val="both"/>
      </w:pPr>
      <w:r>
        <w:rPr>
          <w:rFonts w:ascii="Times New Roman" w:eastAsia="Times New Roman"/>
        </w:rPr>
        <w:t>1.</w:t>
      </w:r>
      <w:r>
        <w:rPr/>
        <w:t>促肾上腺皮质激素(</w:t>
      </w:r>
      <w:r>
        <w:rPr>
          <w:rFonts w:ascii="Times New Roman" w:eastAsia="Times New Roman"/>
        </w:rPr>
        <w:t>ACTH</w:t>
      </w:r>
      <w:r>
        <w:rPr/>
        <w:t>)刺激试验； </w:t>
      </w:r>
    </w:p>
    <w:p>
      <w:pPr>
        <w:pStyle w:val="BodyText"/>
        <w:spacing w:before="20"/>
        <w:jc w:val="both"/>
      </w:pPr>
      <w:r>
        <w:rPr>
          <w:rFonts w:ascii="Times New Roman" w:eastAsia="Times New Roman"/>
        </w:rPr>
        <w:t>2.</w:t>
      </w:r>
      <w:r>
        <w:rPr/>
        <w:t>胰岛素血糖减少测试； </w:t>
      </w:r>
    </w:p>
    <w:p>
      <w:pPr>
        <w:pStyle w:val="BodyText"/>
        <w:spacing w:before="20"/>
        <w:jc w:val="both"/>
      </w:pPr>
      <w:r>
        <w:rPr>
          <w:rFonts w:ascii="Times New Roman" w:eastAsia="Times New Roman"/>
        </w:rPr>
        <w:t>3.</w:t>
      </w:r>
      <w:r>
        <w:rPr/>
        <w:t>血浆促肾上腺皮质激素(</w:t>
      </w:r>
      <w:r>
        <w:rPr>
          <w:rFonts w:ascii="Times New Roman" w:eastAsia="Times New Roman"/>
        </w:rPr>
        <w:t>ACTH</w:t>
      </w:r>
      <w:r>
        <w:rPr/>
        <w:t>)水平测定； </w:t>
      </w:r>
    </w:p>
    <w:p>
      <w:pPr>
        <w:spacing w:after="0"/>
        <w:jc w:val="both"/>
        <w:sectPr>
          <w:footerReference w:type="default" r:id="rId7"/>
          <w:pgSz w:w="11910" w:h="16840"/>
          <w:pgMar w:footer="924" w:header="0" w:top="1080" w:bottom="1120" w:left="1680" w:right="1220"/>
          <w:pgNumType w:start="14"/>
        </w:sectPr>
      </w:pPr>
    </w:p>
    <w:p>
      <w:pPr>
        <w:pStyle w:val="BodyText"/>
        <w:spacing w:before="22"/>
        <w:jc w:val="both"/>
      </w:pPr>
      <w:r>
        <w:rPr>
          <w:rFonts w:ascii="Times New Roman" w:eastAsia="Times New Roman"/>
        </w:rPr>
        <w:t>4.</w:t>
      </w:r>
      <w:r>
        <w:rPr/>
        <w:t>血浆肾素活性(</w:t>
      </w:r>
      <w:r>
        <w:rPr>
          <w:rFonts w:ascii="Times New Roman" w:eastAsia="Times New Roman"/>
        </w:rPr>
        <w:t>PRA</w:t>
      </w:r>
      <w:r>
        <w:rPr/>
        <w:t>)测定。 </w:t>
      </w:r>
    </w:p>
    <w:p>
      <w:pPr>
        <w:pStyle w:val="BodyText"/>
        <w:spacing w:line="273" w:lineRule="auto" w:before="115"/>
        <w:ind w:right="100"/>
      </w:pPr>
      <w:r>
        <w:rPr>
          <w:spacing w:val="-3"/>
          <w:shd w:fill="C0C0C0" w:color="auto" w:val="clear"/>
        </w:rPr>
        <w:t>慢性肾上腺皮质功能衰竭只对由自身免疫功能紊乱引起的承担保险责任，其他</w:t>
      </w:r>
      <w:r>
        <w:rPr>
          <w:spacing w:val="-208"/>
          <w:shd w:fill="C0C0C0" w:color="auto" w:val="clear"/>
        </w:rPr>
        <w:t>原</w:t>
      </w:r>
      <w:r>
        <w:rPr>
          <w:spacing w:val="-3"/>
          <w:shd w:fill="C0C0C0" w:color="auto" w:val="clear"/>
        </w:rPr>
        <w:t>因引起的不在保障范围内。</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进行性系统性硬化</w:t>
      </w:r>
    </w:p>
    <w:p>
      <w:pPr>
        <w:pStyle w:val="BodyText"/>
        <w:spacing w:line="273" w:lineRule="auto" w:before="21"/>
        <w:ind w:right="98"/>
        <w:jc w:val="both"/>
      </w:pPr>
      <w:r>
        <w:rPr>
          <w:spacing w:val="-3"/>
        </w:rPr>
        <w:t>指一种以皮肤、血管和内脏器官出现异常纤维化为特征的系统性结缔组织病， 表现为进行性的皮肤和内脏器官的胶原化和纤维化，以及伴有皮肤和器官损害</w:t>
      </w:r>
      <w:r>
        <w:rPr>
          <w:spacing w:val="-11"/>
        </w:rPr>
        <w:t>的阻塞性血管病</w:t>
      </w:r>
      <w:r>
        <w:rPr/>
        <w:t>（</w:t>
      </w:r>
      <w:r>
        <w:rPr>
          <w:spacing w:val="-3"/>
        </w:rPr>
        <w:t>血管栓塞</w:t>
      </w:r>
      <w:r>
        <w:rPr>
          <w:spacing w:val="-106"/>
        </w:rPr>
        <w:t>）</w:t>
      </w:r>
      <w:r>
        <w:rPr>
          <w:spacing w:val="-9"/>
        </w:rPr>
        <w:t>。须经本公司认可的专科主任级医生确诊且需提供</w:t>
      </w:r>
      <w:r>
        <w:rPr>
          <w:spacing w:val="-5"/>
        </w:rPr>
        <w:t>下列一项或一项以上内脏器官受累的检查报告及诊疗记录：</w:t>
      </w:r>
    </w:p>
    <w:p>
      <w:pPr>
        <w:pStyle w:val="BodyText"/>
        <w:spacing w:before="8"/>
        <w:jc w:val="both"/>
      </w:pPr>
      <w:r>
        <w:rPr>
          <w:rFonts w:ascii="Times New Roman" w:eastAsia="Times New Roman"/>
        </w:rPr>
        <w:t>1.</w:t>
      </w:r>
      <w:r>
        <w:rPr/>
        <w:t>肺脏：肺部病变进而发展为肺动脉高压、肺心病；</w:t>
      </w:r>
    </w:p>
    <w:p>
      <w:pPr>
        <w:pStyle w:val="BodyText"/>
        <w:spacing w:before="21"/>
        <w:jc w:val="both"/>
        <w:rPr>
          <w:rFonts w:ascii="Times New Roman" w:eastAsia="Times New Roman"/>
        </w:rPr>
      </w:pPr>
      <w:r>
        <w:rPr>
          <w:rFonts w:ascii="Times New Roman" w:eastAsia="Times New Roman"/>
        </w:rPr>
        <w:t>2.</w:t>
      </w:r>
      <w:r>
        <w:rPr/>
        <w:t>心脏：心室功能受损至少达到投保当时纽约心脏协会对心脏损害分类的第 </w:t>
      </w:r>
      <w:r>
        <w:rPr>
          <w:rFonts w:ascii="Times New Roman" w:eastAsia="Times New Roman"/>
        </w:rPr>
        <w:t>3</w:t>
      </w:r>
    </w:p>
    <w:p>
      <w:pPr>
        <w:pStyle w:val="BodyText"/>
        <w:spacing w:before="21"/>
        <w:jc w:val="both"/>
      </w:pPr>
      <w:r>
        <w:rPr/>
        <w:t>级；</w:t>
      </w:r>
    </w:p>
    <w:p>
      <w:pPr>
        <w:pStyle w:val="BodyText"/>
        <w:spacing w:before="38"/>
        <w:jc w:val="both"/>
      </w:pPr>
      <w:r>
        <w:rPr>
          <w:rFonts w:ascii="Times New Roman" w:eastAsia="Times New Roman"/>
        </w:rPr>
        <w:t>3.</w:t>
      </w:r>
      <w:r>
        <w:rPr/>
        <w:t>肾脏：肾脏受损导致出现肾功能不全。</w:t>
      </w:r>
    </w:p>
    <w:p>
      <w:pPr>
        <w:pStyle w:val="BodyText"/>
        <w:spacing w:before="6"/>
        <w:ind w:left="0"/>
        <w:rPr>
          <w:sz w:val="25"/>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肝豆状核变性</w:t>
      </w:r>
    </w:p>
    <w:p>
      <w:pPr>
        <w:pStyle w:val="BodyText"/>
        <w:spacing w:line="273" w:lineRule="auto" w:before="21"/>
        <w:ind w:right="100"/>
      </w:pPr>
      <w:r>
        <w:rPr/>
        <w:t>指一种常染色体隐性遗传的铜代谢缺陷病，以不同程度的肝细胞损害、脑退行性病变和角膜边缘有铜盐沉着环为其临床特征，并须满足下列全部条件： </w:t>
      </w:r>
    </w:p>
    <w:p>
      <w:pPr>
        <w:pStyle w:val="BodyText"/>
        <w:spacing w:before="7"/>
        <w:jc w:val="both"/>
      </w:pPr>
      <w:r>
        <w:rPr>
          <w:rFonts w:ascii="Times New Roman" w:eastAsia="Times New Roman"/>
        </w:rPr>
        <w:t>1.</w:t>
      </w:r>
      <w:r>
        <w:rPr/>
        <w:t>典型症状； </w:t>
      </w:r>
    </w:p>
    <w:p>
      <w:pPr>
        <w:pStyle w:val="BodyText"/>
        <w:spacing w:before="20"/>
        <w:jc w:val="both"/>
      </w:pPr>
      <w:r>
        <w:rPr>
          <w:rFonts w:ascii="Times New Roman" w:eastAsia="Times New Roman"/>
        </w:rPr>
        <w:t>2.</w:t>
      </w:r>
      <w:r>
        <w:rPr/>
        <w:t>角膜色素环（</w:t>
      </w:r>
      <w:r>
        <w:rPr>
          <w:rFonts w:ascii="Times New Roman" w:eastAsia="Times New Roman"/>
        </w:rPr>
        <w:t>K</w:t>
      </w:r>
      <w:r>
        <w:rPr/>
        <w:t>-</w:t>
      </w:r>
      <w:r>
        <w:rPr>
          <w:rFonts w:ascii="Times New Roman" w:eastAsia="Times New Roman"/>
        </w:rPr>
        <w:t>F </w:t>
      </w:r>
      <w:r>
        <w:rPr/>
        <w:t>环）； </w:t>
      </w:r>
    </w:p>
    <w:p>
      <w:pPr>
        <w:pStyle w:val="BodyText"/>
        <w:spacing w:before="20"/>
        <w:jc w:val="both"/>
      </w:pPr>
      <w:r>
        <w:rPr>
          <w:rFonts w:ascii="Times New Roman" w:eastAsia="Times New Roman"/>
        </w:rPr>
        <w:t>3.</w:t>
      </w:r>
      <w:r>
        <w:rPr/>
        <w:t>血清铜和血清铜蓝蛋白降低，尿铜增加； </w:t>
      </w:r>
    </w:p>
    <w:p>
      <w:pPr>
        <w:pStyle w:val="BodyText"/>
        <w:spacing w:before="20"/>
        <w:jc w:val="both"/>
      </w:pPr>
      <w:r>
        <w:rPr>
          <w:rFonts w:ascii="Times New Roman" w:eastAsia="Times New Roman"/>
        </w:rPr>
        <w:t>4.</w:t>
      </w:r>
      <w:r>
        <w:rPr/>
        <w:t>经皮做肝脏活检来定量分析肝脏铜的含量。</w:t>
      </w:r>
    </w:p>
    <w:p>
      <w:pPr>
        <w:pStyle w:val="BodyText"/>
        <w:spacing w:before="5"/>
        <w:ind w:left="0"/>
        <w:rPr>
          <w:sz w:val="25"/>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原发性硬化性胆管炎</w:t>
      </w:r>
    </w:p>
    <w:p>
      <w:pPr>
        <w:pStyle w:val="BodyText"/>
        <w:spacing w:line="273" w:lineRule="auto" w:before="20"/>
        <w:ind w:right="100"/>
        <w:jc w:val="both"/>
      </w:pPr>
      <w:r>
        <w:rPr/>
        <w:t>指一种胆汁淤积综合征，其特征是肝内、肝外胆道因纤维化性炎症逐渐狭窄， 并最终导致完全阻塞而发展为肝硬化。本病须经内镜逆行胰胆管造影等影像学检查证实，并须满足下列全部条件：  </w:t>
      </w:r>
    </w:p>
    <w:p>
      <w:pPr>
        <w:pStyle w:val="BodyText"/>
        <w:spacing w:before="7"/>
        <w:jc w:val="both"/>
      </w:pPr>
      <w:r>
        <w:rPr>
          <w:rFonts w:ascii="Times New Roman" w:eastAsia="Times New Roman"/>
        </w:rPr>
        <w:t>1.</w:t>
      </w:r>
      <w:r>
        <w:rPr/>
        <w:t>总胆红素和直接胆红素同时升高，血清 </w:t>
      </w:r>
      <w:r>
        <w:rPr>
          <w:rFonts w:ascii="Times New Roman" w:eastAsia="Times New Roman"/>
        </w:rPr>
        <w:t>ALP</w:t>
      </w:r>
      <w:r>
        <w:rPr/>
        <w:t>&gt;</w:t>
      </w:r>
      <w:r>
        <w:rPr>
          <w:rFonts w:ascii="Times New Roman" w:eastAsia="Times New Roman"/>
        </w:rPr>
        <w:t>200U</w:t>
      </w:r>
      <w:r>
        <w:rPr/>
        <w:t>/</w:t>
      </w:r>
      <w:r>
        <w:rPr>
          <w:rFonts w:ascii="Times New Roman" w:eastAsia="Times New Roman"/>
        </w:rPr>
        <w:t>L</w:t>
      </w:r>
      <w:r>
        <w:rPr/>
        <w:t>；  </w:t>
      </w:r>
    </w:p>
    <w:p>
      <w:pPr>
        <w:pStyle w:val="BodyText"/>
        <w:spacing w:before="21"/>
        <w:jc w:val="both"/>
      </w:pPr>
      <w:r>
        <w:rPr>
          <w:rFonts w:ascii="Times New Roman" w:eastAsia="Times New Roman"/>
        </w:rPr>
        <w:t>2.</w:t>
      </w:r>
      <w:r>
        <w:rPr/>
        <w:t>持续性黄疸病史； </w:t>
      </w:r>
    </w:p>
    <w:p>
      <w:pPr>
        <w:pStyle w:val="BodyText"/>
        <w:spacing w:before="21"/>
        <w:jc w:val="both"/>
      </w:pPr>
      <w:r>
        <w:rPr>
          <w:rFonts w:ascii="Times New Roman" w:eastAsia="Times New Roman"/>
        </w:rPr>
        <w:t>3.</w:t>
      </w:r>
      <w:r>
        <w:rPr/>
        <w:t>出现胆汁性肝硬化或门脉高压。  </w:t>
      </w:r>
    </w:p>
    <w:p>
      <w:pPr>
        <w:pStyle w:val="BodyText"/>
        <w:spacing w:before="115"/>
        <w:jc w:val="both"/>
      </w:pPr>
      <w:r>
        <w:rPr>
          <w:shd w:fill="C0C0C0" w:color="auto" w:val="clear"/>
        </w:rPr>
        <w:t>因肿瘤或胆管损伤等继发性的硬化性胆管炎不在保障范围内。</w:t>
      </w:r>
    </w:p>
    <w:p>
      <w:pPr>
        <w:pStyle w:val="BodyText"/>
        <w:spacing w:before="9"/>
        <w:ind w:left="0"/>
        <w:rPr>
          <w:sz w:val="26"/>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严重溃疡性结肠炎</w:t>
      </w:r>
    </w:p>
    <w:p>
      <w:pPr>
        <w:pStyle w:val="BodyText"/>
        <w:spacing w:line="273" w:lineRule="auto" w:before="21"/>
        <w:ind w:right="10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5"/>
        <w:ind w:left="0"/>
        <w:rPr>
          <w:sz w:val="24"/>
        </w:rPr>
      </w:pPr>
    </w:p>
    <w:p>
      <w:pPr>
        <w:pStyle w:val="ListParagraph"/>
        <w:numPr>
          <w:ilvl w:val="2"/>
          <w:numId w:val="4"/>
        </w:numPr>
        <w:tabs>
          <w:tab w:pos="2284" w:val="left" w:leader="none"/>
        </w:tabs>
        <w:spacing w:line="240" w:lineRule="auto" w:before="0" w:after="0"/>
        <w:ind w:left="2283" w:right="0" w:hanging="526"/>
        <w:jc w:val="both"/>
        <w:rPr>
          <w:sz w:val="21"/>
        </w:rPr>
      </w:pPr>
      <w:r>
        <w:rPr>
          <w:spacing w:val="-3"/>
          <w:sz w:val="21"/>
        </w:rPr>
        <w:t>非阿尔茨海默病所致严重痴呆</w:t>
      </w:r>
    </w:p>
    <w:p>
      <w:pPr>
        <w:pStyle w:val="BodyText"/>
        <w:spacing w:line="273" w:lineRule="auto" w:before="20"/>
        <w:ind w:right="10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 </w:t>
      </w:r>
    </w:p>
    <w:p>
      <w:pPr>
        <w:pStyle w:val="BodyText"/>
        <w:spacing w:before="7"/>
        <w:jc w:val="both"/>
      </w:pPr>
      <w:r>
        <w:rPr>
          <w:shd w:fill="C0C0C0" w:color="auto" w:val="clear"/>
        </w:rPr>
        <w:t>神经官能症，精神疾病及酒精中毒所致脑损害不在保障范围内。</w:t>
      </w:r>
      <w:r>
        <w:rPr/>
        <w:t> </w:t>
      </w:r>
    </w:p>
    <w:p>
      <w:pPr>
        <w:spacing w:after="0"/>
        <w:jc w:val="both"/>
        <w:sectPr>
          <w:pgSz w:w="11910" w:h="16840"/>
          <w:pgMar w:header="0" w:footer="924" w:top="1080" w:bottom="1200" w:left="1680" w:right="12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550"/>
        <w:gridCol w:w="7379"/>
      </w:tblGrid>
      <w:tr>
        <w:trPr>
          <w:trHeight w:val="3084" w:hRule="atLeast"/>
        </w:trPr>
        <w:tc>
          <w:tcPr>
            <w:tcW w:w="740" w:type="dxa"/>
          </w:tcPr>
          <w:p>
            <w:pPr>
              <w:pStyle w:val="TableParagraph"/>
              <w:rPr>
                <w:rFonts w:ascii="Times New Roman"/>
                <w:sz w:val="20"/>
              </w:rPr>
            </w:pPr>
          </w:p>
        </w:tc>
        <w:tc>
          <w:tcPr>
            <w:tcW w:w="1550" w:type="dxa"/>
          </w:tcPr>
          <w:p>
            <w:pPr>
              <w:pStyle w:val="TableParagraph"/>
              <w:rPr>
                <w:rFonts w:ascii="Times New Roman"/>
                <w:sz w:val="20"/>
              </w:rPr>
            </w:pPr>
          </w:p>
        </w:tc>
        <w:tc>
          <w:tcPr>
            <w:tcW w:w="7379" w:type="dxa"/>
          </w:tcPr>
          <w:p>
            <w:pPr>
              <w:pStyle w:val="TableParagraph"/>
              <w:numPr>
                <w:ilvl w:val="0"/>
                <w:numId w:val="5"/>
              </w:numPr>
              <w:tabs>
                <w:tab w:pos="649" w:val="left" w:leader="none"/>
              </w:tabs>
              <w:spacing w:line="234" w:lineRule="exact" w:before="0" w:after="0"/>
              <w:ind w:left="648" w:right="0" w:hanging="525"/>
              <w:jc w:val="left"/>
              <w:rPr>
                <w:sz w:val="21"/>
              </w:rPr>
            </w:pPr>
            <w:r>
              <w:rPr>
                <w:spacing w:val="-3"/>
                <w:sz w:val="21"/>
              </w:rPr>
              <w:t>慢性复发性胰腺炎</w:t>
            </w:r>
          </w:p>
          <w:p>
            <w:pPr>
              <w:pStyle w:val="TableParagraph"/>
              <w:spacing w:line="273" w:lineRule="auto" w:before="21"/>
              <w:ind w:left="122" w:right="2"/>
              <w:rPr>
                <w:sz w:val="21"/>
              </w:rPr>
            </w:pPr>
            <w:r>
              <w:rPr>
                <w:spacing w:val="-3"/>
                <w:sz w:val="21"/>
              </w:rPr>
              <w:t>胰腺炎反复发作超过三次以上并导致胰腺功能紊乱和营养不良，需要接受酶替</w:t>
            </w:r>
            <w:r>
              <w:rPr>
                <w:spacing w:val="-16"/>
                <w:sz w:val="21"/>
              </w:rPr>
              <w:t>代治疗。诊断必须有消化科专科医生确认并且有内窥镜逆行胰胆管造影所证实。</w:t>
            </w:r>
            <w:r>
              <w:rPr>
                <w:spacing w:val="-3"/>
                <w:sz w:val="21"/>
                <w:shd w:fill="C0C0C0" w:color="auto" w:val="clear"/>
              </w:rPr>
              <w:t>因酒精所致的慢性复发性胰腺炎不在保障范围内。</w:t>
            </w:r>
          </w:p>
          <w:p>
            <w:pPr>
              <w:pStyle w:val="TableParagraph"/>
              <w:spacing w:before="5"/>
              <w:rPr>
                <w:sz w:val="24"/>
              </w:rPr>
            </w:pPr>
          </w:p>
          <w:p>
            <w:pPr>
              <w:pStyle w:val="TableParagraph"/>
              <w:numPr>
                <w:ilvl w:val="0"/>
                <w:numId w:val="5"/>
              </w:numPr>
              <w:tabs>
                <w:tab w:pos="649" w:val="left" w:leader="none"/>
              </w:tabs>
              <w:spacing w:line="240" w:lineRule="auto" w:before="0" w:after="0"/>
              <w:ind w:left="648" w:right="0" w:hanging="525"/>
              <w:jc w:val="left"/>
              <w:rPr>
                <w:sz w:val="21"/>
              </w:rPr>
            </w:pPr>
            <w:r>
              <w:rPr>
                <w:spacing w:val="-3"/>
                <w:sz w:val="21"/>
              </w:rPr>
              <w:t>肾髓质囊性病</w:t>
            </w:r>
          </w:p>
          <w:p>
            <w:pPr>
              <w:pStyle w:val="TableParagraph"/>
              <w:spacing w:before="21"/>
              <w:ind w:left="122"/>
              <w:rPr>
                <w:sz w:val="21"/>
              </w:rPr>
            </w:pPr>
            <w:r>
              <w:rPr>
                <w:sz w:val="21"/>
              </w:rPr>
              <w:t>肾髓质囊性病的诊断须同时符合下列要求： </w:t>
            </w:r>
          </w:p>
          <w:p>
            <w:pPr>
              <w:pStyle w:val="TableParagraph"/>
              <w:spacing w:before="37"/>
              <w:ind w:left="122"/>
              <w:rPr>
                <w:sz w:val="21"/>
              </w:rPr>
            </w:pPr>
            <w:r>
              <w:rPr>
                <w:rFonts w:ascii="Times New Roman" w:eastAsia="Times New Roman"/>
                <w:sz w:val="21"/>
              </w:rPr>
              <w:t>1.</w:t>
            </w:r>
            <w:r>
              <w:rPr>
                <w:sz w:val="21"/>
              </w:rPr>
              <w:t>肾髓质有囊肿、肾小管萎缩及间质纤维化等病理改变； </w:t>
            </w:r>
          </w:p>
          <w:p>
            <w:pPr>
              <w:pStyle w:val="TableParagraph"/>
              <w:spacing w:before="21"/>
              <w:ind w:left="122"/>
              <w:rPr>
                <w:sz w:val="21"/>
              </w:rPr>
            </w:pPr>
            <w:r>
              <w:rPr>
                <w:rFonts w:ascii="Times New Roman" w:eastAsia="Times New Roman"/>
                <w:sz w:val="21"/>
              </w:rPr>
              <w:t>2.</w:t>
            </w:r>
            <w:r>
              <w:rPr>
                <w:sz w:val="21"/>
              </w:rPr>
              <w:t>贫血、多尿及肾功能衰竭等临床表现； </w:t>
            </w:r>
          </w:p>
          <w:p>
            <w:pPr>
              <w:pStyle w:val="TableParagraph"/>
              <w:spacing w:before="21"/>
              <w:ind w:left="122"/>
              <w:rPr>
                <w:sz w:val="21"/>
              </w:rPr>
            </w:pPr>
            <w:r>
              <w:rPr>
                <w:rFonts w:ascii="Times New Roman" w:eastAsia="Times New Roman"/>
                <w:sz w:val="21"/>
              </w:rPr>
              <w:t>3.</w:t>
            </w:r>
            <w:r>
              <w:rPr>
                <w:sz w:val="21"/>
              </w:rPr>
              <w:t>诊断须由肾组织活检确定。</w:t>
            </w:r>
          </w:p>
        </w:tc>
      </w:tr>
      <w:tr>
        <w:trPr>
          <w:trHeight w:val="248" w:hRule="atLeast"/>
        </w:trPr>
        <w:tc>
          <w:tcPr>
            <w:tcW w:w="740" w:type="dxa"/>
          </w:tcPr>
          <w:p>
            <w:pPr>
              <w:pStyle w:val="TableParagraph"/>
              <w:spacing w:line="228" w:lineRule="exact"/>
              <w:ind w:left="108"/>
              <w:rPr>
                <w:sz w:val="21"/>
              </w:rPr>
            </w:pPr>
            <w:r>
              <w:rPr>
                <w:color w:val="FF0000"/>
                <w:w w:val="100"/>
                <w:sz w:val="21"/>
              </w:rPr>
              <w:t> </w:t>
            </w:r>
          </w:p>
        </w:tc>
        <w:tc>
          <w:tcPr>
            <w:tcW w:w="1550" w:type="dxa"/>
          </w:tcPr>
          <w:p>
            <w:pPr>
              <w:pStyle w:val="TableParagraph"/>
              <w:spacing w:line="228" w:lineRule="exact"/>
              <w:ind w:left="158"/>
              <w:rPr>
                <w:sz w:val="21"/>
              </w:rPr>
            </w:pPr>
            <w:r>
              <w:rPr>
                <w:color w:val="FF0000"/>
                <w:w w:val="100"/>
                <w:sz w:val="21"/>
              </w:rPr>
              <w:t> </w:t>
            </w:r>
          </w:p>
        </w:tc>
        <w:tc>
          <w:tcPr>
            <w:tcW w:w="7379" w:type="dxa"/>
          </w:tcPr>
          <w:p>
            <w:pPr>
              <w:pStyle w:val="TableParagraph"/>
              <w:spacing w:line="228" w:lineRule="exact"/>
              <w:ind w:left="122"/>
              <w:rPr>
                <w:sz w:val="21"/>
              </w:rPr>
            </w:pPr>
            <w:r>
              <w:rPr>
                <w:color w:val="FF0000"/>
                <w:w w:val="100"/>
                <w:sz w:val="21"/>
              </w:rPr>
              <w:t> </w:t>
            </w:r>
          </w:p>
        </w:tc>
      </w:tr>
      <w:tr>
        <w:trPr>
          <w:trHeight w:val="481" w:hRule="atLeast"/>
        </w:trPr>
        <w:tc>
          <w:tcPr>
            <w:tcW w:w="740" w:type="dxa"/>
            <w:tcBorders>
              <w:bottom w:val="single" w:sz="8" w:space="0" w:color="000000"/>
            </w:tcBorders>
          </w:tcPr>
          <w:p>
            <w:pPr>
              <w:pStyle w:val="TableParagraph"/>
              <w:spacing w:line="260" w:lineRule="exact"/>
              <w:ind w:left="108"/>
              <w:rPr>
                <w:b/>
                <w:sz w:val="24"/>
              </w:rPr>
            </w:pPr>
            <w:r>
              <w:rPr>
                <w:rFonts w:ascii="Times New Roman"/>
                <w:b/>
                <w:sz w:val="24"/>
              </w:rPr>
              <w:t>10.</w:t>
            </w:r>
            <w:r>
              <w:rPr>
                <w:b/>
                <w:w w:val="99"/>
                <w:sz w:val="24"/>
              </w:rPr>
              <w:t> </w:t>
            </w:r>
          </w:p>
        </w:tc>
        <w:tc>
          <w:tcPr>
            <w:tcW w:w="1550" w:type="dxa"/>
            <w:tcBorders>
              <w:bottom w:val="single" w:sz="8" w:space="0" w:color="000000"/>
            </w:tcBorders>
          </w:tcPr>
          <w:p>
            <w:pPr>
              <w:pStyle w:val="TableParagraph"/>
              <w:spacing w:line="237" w:lineRule="exact"/>
              <w:ind w:left="158"/>
              <w:rPr>
                <w:b/>
                <w:sz w:val="24"/>
              </w:rPr>
            </w:pPr>
            <w:r>
              <w:rPr>
                <w:b/>
                <w:w w:val="95"/>
                <w:sz w:val="24"/>
              </w:rPr>
              <w:t>释义</w:t>
            </w:r>
            <w:r>
              <w:rPr>
                <w:b/>
                <w:w w:val="99"/>
                <w:sz w:val="24"/>
              </w:rPr>
              <w:t> </w:t>
            </w:r>
          </w:p>
        </w:tc>
        <w:tc>
          <w:tcPr>
            <w:tcW w:w="7379" w:type="dxa"/>
            <w:tcBorders>
              <w:bottom w:val="single" w:sz="8" w:space="0" w:color="000000"/>
            </w:tcBorders>
          </w:tcPr>
          <w:p>
            <w:pPr>
              <w:pStyle w:val="TableParagraph"/>
              <w:rPr>
                <w:rFonts w:ascii="Times New Roman"/>
                <w:sz w:val="20"/>
              </w:rPr>
            </w:pPr>
          </w:p>
        </w:tc>
      </w:tr>
      <w:tr>
        <w:trPr>
          <w:trHeight w:val="1163" w:hRule="atLeast"/>
        </w:trPr>
        <w:tc>
          <w:tcPr>
            <w:tcW w:w="740" w:type="dxa"/>
            <w:tcBorders>
              <w:top w:val="single" w:sz="8" w:space="0" w:color="000000"/>
            </w:tcBorders>
          </w:tcPr>
          <w:p>
            <w:pPr>
              <w:pStyle w:val="TableParagraph"/>
              <w:spacing w:before="185"/>
              <w:ind w:left="108"/>
              <w:rPr>
                <w:b/>
                <w:sz w:val="21"/>
              </w:rPr>
            </w:pPr>
            <w:r>
              <w:rPr>
                <w:rFonts w:ascii="Times New Roman"/>
                <w:b/>
                <w:sz w:val="21"/>
              </w:rPr>
              <w:t>10.1</w:t>
            </w:r>
            <w:r>
              <w:rPr>
                <w:b/>
                <w:w w:val="99"/>
                <w:sz w:val="21"/>
              </w:rPr>
              <w:t> </w:t>
            </w:r>
          </w:p>
        </w:tc>
        <w:tc>
          <w:tcPr>
            <w:tcW w:w="1550" w:type="dxa"/>
            <w:tcBorders>
              <w:top w:val="single" w:sz="8" w:space="0" w:color="000000"/>
            </w:tcBorders>
          </w:tcPr>
          <w:p>
            <w:pPr>
              <w:pStyle w:val="TableParagraph"/>
              <w:spacing w:before="136"/>
              <w:ind w:left="158"/>
              <w:rPr>
                <w:b/>
                <w:sz w:val="21"/>
              </w:rPr>
            </w:pPr>
            <w:r>
              <w:rPr>
                <w:b/>
                <w:sz w:val="21"/>
              </w:rPr>
              <w:t>书面</w:t>
            </w:r>
            <w:r>
              <w:rPr>
                <w:b/>
                <w:w w:val="99"/>
                <w:sz w:val="21"/>
              </w:rPr>
              <w:t> </w:t>
            </w:r>
          </w:p>
        </w:tc>
        <w:tc>
          <w:tcPr>
            <w:tcW w:w="7379" w:type="dxa"/>
            <w:tcBorders>
              <w:top w:val="single" w:sz="8" w:space="0" w:color="000000"/>
            </w:tcBorders>
          </w:tcPr>
          <w:p>
            <w:pPr>
              <w:pStyle w:val="TableParagraph"/>
              <w:spacing w:line="273" w:lineRule="auto" w:before="136"/>
              <w:ind w:left="122" w:right="108"/>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 </w:t>
            </w:r>
          </w:p>
        </w:tc>
      </w:tr>
      <w:tr>
        <w:trPr>
          <w:trHeight w:val="305" w:hRule="atLeast"/>
        </w:trPr>
        <w:tc>
          <w:tcPr>
            <w:tcW w:w="740" w:type="dxa"/>
          </w:tcPr>
          <w:p>
            <w:pPr>
              <w:pStyle w:val="TableParagraph"/>
              <w:rPr>
                <w:rFonts w:ascii="Times New Roman"/>
                <w:sz w:val="20"/>
              </w:rPr>
            </w:pPr>
          </w:p>
        </w:tc>
        <w:tc>
          <w:tcPr>
            <w:tcW w:w="1550" w:type="dxa"/>
          </w:tcPr>
          <w:p>
            <w:pPr>
              <w:pStyle w:val="TableParagraph"/>
              <w:spacing w:line="221" w:lineRule="exact" w:before="64"/>
              <w:ind w:left="158"/>
              <w:rPr>
                <w:b/>
                <w:sz w:val="21"/>
              </w:rPr>
            </w:pPr>
            <w:r>
              <w:rPr>
                <w:b/>
                <w:w w:val="99"/>
                <w:sz w:val="21"/>
              </w:rPr>
              <w:t> </w:t>
            </w:r>
          </w:p>
        </w:tc>
        <w:tc>
          <w:tcPr>
            <w:tcW w:w="7379" w:type="dxa"/>
          </w:tcPr>
          <w:p>
            <w:pPr>
              <w:pStyle w:val="TableParagraph"/>
              <w:spacing w:line="221" w:lineRule="exact" w:before="64"/>
              <w:ind w:left="122"/>
              <w:rPr>
                <w:sz w:val="21"/>
              </w:rPr>
            </w:pPr>
            <w:r>
              <w:rPr>
                <w:w w:val="100"/>
                <w:sz w:val="21"/>
              </w:rPr>
              <w:t> </w:t>
            </w:r>
          </w:p>
        </w:tc>
      </w:tr>
      <w:tr>
        <w:trPr>
          <w:trHeight w:val="956" w:hRule="atLeast"/>
        </w:trPr>
        <w:tc>
          <w:tcPr>
            <w:tcW w:w="740" w:type="dxa"/>
          </w:tcPr>
          <w:p>
            <w:pPr>
              <w:pStyle w:val="TableParagraph"/>
              <w:spacing w:line="220" w:lineRule="exact"/>
              <w:ind w:left="108"/>
              <w:rPr>
                <w:rFonts w:ascii="Times New Roman"/>
                <w:b/>
                <w:sz w:val="21"/>
              </w:rPr>
            </w:pPr>
            <w:r>
              <w:rPr>
                <w:rFonts w:ascii="Times New Roman"/>
                <w:b/>
                <w:sz w:val="21"/>
              </w:rPr>
              <w:t>10.2</w:t>
            </w:r>
          </w:p>
        </w:tc>
        <w:tc>
          <w:tcPr>
            <w:tcW w:w="1550" w:type="dxa"/>
          </w:tcPr>
          <w:p>
            <w:pPr>
              <w:pStyle w:val="TableParagraph"/>
              <w:spacing w:line="204" w:lineRule="exact"/>
              <w:ind w:left="158"/>
              <w:rPr>
                <w:b/>
                <w:sz w:val="21"/>
              </w:rPr>
            </w:pPr>
            <w:r>
              <w:rPr>
                <w:b/>
                <w:sz w:val="21"/>
              </w:rPr>
              <w:t>发病</w:t>
            </w:r>
            <w:r>
              <w:rPr>
                <w:b/>
                <w:w w:val="99"/>
                <w:sz w:val="21"/>
              </w:rPr>
              <w:t> </w:t>
            </w:r>
          </w:p>
        </w:tc>
        <w:tc>
          <w:tcPr>
            <w:tcW w:w="7379" w:type="dxa"/>
          </w:tcPr>
          <w:p>
            <w:pPr>
              <w:pStyle w:val="TableParagraph"/>
              <w:spacing w:line="204" w:lineRule="exact"/>
              <w:ind w:left="122"/>
              <w:rPr>
                <w:sz w:val="21"/>
              </w:rPr>
            </w:pPr>
            <w:r>
              <w:rPr>
                <w:sz w:val="21"/>
              </w:rPr>
              <w:t>指被保险人出现本合同第 9 条疾病定义中约定疾病的前兆或异常的身体状况，</w:t>
            </w:r>
          </w:p>
          <w:p>
            <w:pPr>
              <w:pStyle w:val="TableParagraph"/>
              <w:spacing w:line="273" w:lineRule="auto" w:before="37"/>
              <w:ind w:left="122" w:right="108"/>
              <w:rPr>
                <w:sz w:val="21"/>
              </w:rPr>
            </w:pPr>
            <w:r>
              <w:rPr>
                <w:sz w:val="21"/>
              </w:rPr>
              <w:t>该疾病前兆或异常身体状况按常识足以引起或应当引起被保险人或被保险人的监护人注意并寻求检查、诊断、治疗或护理。 </w:t>
            </w:r>
          </w:p>
        </w:tc>
      </w:tr>
      <w:tr>
        <w:trPr>
          <w:trHeight w:val="305" w:hRule="atLeast"/>
        </w:trPr>
        <w:tc>
          <w:tcPr>
            <w:tcW w:w="740" w:type="dxa"/>
          </w:tcPr>
          <w:p>
            <w:pPr>
              <w:pStyle w:val="TableParagraph"/>
              <w:rPr>
                <w:rFonts w:ascii="Times New Roman"/>
                <w:sz w:val="20"/>
              </w:rPr>
            </w:pPr>
          </w:p>
        </w:tc>
        <w:tc>
          <w:tcPr>
            <w:tcW w:w="1550" w:type="dxa"/>
          </w:tcPr>
          <w:p>
            <w:pPr>
              <w:pStyle w:val="TableParagraph"/>
              <w:spacing w:line="221" w:lineRule="exact" w:before="64"/>
              <w:ind w:left="158"/>
              <w:rPr>
                <w:b/>
                <w:sz w:val="21"/>
              </w:rPr>
            </w:pPr>
            <w:r>
              <w:rPr>
                <w:b/>
                <w:w w:val="99"/>
                <w:sz w:val="21"/>
              </w:rPr>
              <w:t> </w:t>
            </w:r>
          </w:p>
        </w:tc>
        <w:tc>
          <w:tcPr>
            <w:tcW w:w="7379" w:type="dxa"/>
          </w:tcPr>
          <w:p>
            <w:pPr>
              <w:pStyle w:val="TableParagraph"/>
              <w:spacing w:line="221" w:lineRule="exact" w:before="64"/>
              <w:ind w:left="122"/>
              <w:rPr>
                <w:sz w:val="21"/>
              </w:rPr>
            </w:pPr>
            <w:r>
              <w:rPr>
                <w:w w:val="100"/>
                <w:sz w:val="21"/>
              </w:rPr>
              <w:t> </w:t>
            </w:r>
          </w:p>
        </w:tc>
      </w:tr>
      <w:tr>
        <w:trPr>
          <w:trHeight w:val="2205" w:hRule="atLeast"/>
        </w:trPr>
        <w:tc>
          <w:tcPr>
            <w:tcW w:w="740" w:type="dxa"/>
          </w:tcPr>
          <w:p>
            <w:pPr>
              <w:pStyle w:val="TableParagraph"/>
              <w:spacing w:line="220" w:lineRule="exact"/>
              <w:ind w:left="108"/>
              <w:rPr>
                <w:b/>
                <w:sz w:val="21"/>
              </w:rPr>
            </w:pPr>
            <w:r>
              <w:rPr>
                <w:rFonts w:ascii="Times New Roman"/>
                <w:b/>
                <w:sz w:val="21"/>
              </w:rPr>
              <w:t>10.3</w:t>
            </w:r>
            <w:r>
              <w:rPr>
                <w:b/>
                <w:w w:val="99"/>
                <w:sz w:val="21"/>
              </w:rPr>
              <w:t> </w:t>
            </w:r>
          </w:p>
        </w:tc>
        <w:tc>
          <w:tcPr>
            <w:tcW w:w="1550" w:type="dxa"/>
          </w:tcPr>
          <w:p>
            <w:pPr>
              <w:pStyle w:val="TableParagraph"/>
              <w:spacing w:line="204" w:lineRule="exact"/>
              <w:ind w:left="158"/>
              <w:rPr>
                <w:b/>
                <w:sz w:val="21"/>
              </w:rPr>
            </w:pPr>
            <w:r>
              <w:rPr>
                <w:b/>
                <w:sz w:val="21"/>
              </w:rPr>
              <w:t>医院</w:t>
            </w:r>
            <w:r>
              <w:rPr>
                <w:b/>
                <w:w w:val="99"/>
                <w:sz w:val="21"/>
              </w:rPr>
              <w:t> </w:t>
            </w:r>
          </w:p>
        </w:tc>
        <w:tc>
          <w:tcPr>
            <w:tcW w:w="7379" w:type="dxa"/>
          </w:tcPr>
          <w:p>
            <w:pPr>
              <w:pStyle w:val="TableParagraph"/>
              <w:spacing w:line="204" w:lineRule="exact"/>
              <w:ind w:left="122"/>
              <w:rPr>
                <w:sz w:val="21"/>
              </w:rPr>
            </w:pPr>
            <w:r>
              <w:rPr>
                <w:sz w:val="21"/>
              </w:rPr>
              <w:t>本合同所称医院指我们指定医院或经中华人民共和国卫生部门评审确定的二级</w:t>
            </w:r>
          </w:p>
          <w:p>
            <w:pPr>
              <w:pStyle w:val="TableParagraph"/>
              <w:spacing w:line="268" w:lineRule="auto" w:before="37"/>
              <w:ind w:left="122" w:right="105"/>
              <w:jc w:val="both"/>
              <w:rPr>
                <w:sz w:val="21"/>
              </w:rPr>
            </w:pPr>
            <w:r>
              <w:rPr>
                <w:spacing w:val="-3"/>
                <w:sz w:val="21"/>
              </w:rPr>
              <w:t>或以上之社保定点医院，</w:t>
            </w:r>
            <w:r>
              <w:rPr>
                <w:spacing w:val="-3"/>
                <w:sz w:val="21"/>
                <w:shd w:fill="C0C0C0" w:color="auto" w:val="clear"/>
              </w:rPr>
              <w:t>但不包括精神病院及专供康复、护理、疗养、戒酒、戒毒、养老等非以直接</w:t>
            </w:r>
            <w:r>
              <w:rPr>
                <w:spacing w:val="-21"/>
                <w:sz w:val="21"/>
                <w:shd w:fill="C0C0C0" w:color="auto" w:val="clear"/>
              </w:rPr>
              <w:t>诊治病人为目的之医疗机构。</w:t>
            </w:r>
            <w:r>
              <w:rPr>
                <w:spacing w:val="-3"/>
                <w:sz w:val="21"/>
              </w:rPr>
              <w:t>该医院必须具有符合国家有</w:t>
            </w:r>
            <w:r>
              <w:rPr>
                <w:spacing w:val="-11"/>
                <w:sz w:val="21"/>
              </w:rPr>
              <w:t>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小时有合格的医生和护士驻院提供医疗和护理服务。当被保险人因遭受意外伤害事故须急救时不受此限，但经急救处理伤情稳定后，必须转入本合同所指医院治疗</w:t>
            </w:r>
            <w:r>
              <w:rPr>
                <w:sz w:val="21"/>
                <w:shd w:fill="C0C0C0" w:color="auto" w:val="clear"/>
              </w:rPr>
              <w:t>（</w:t>
            </w:r>
            <w:r>
              <w:rPr>
                <w:spacing w:val="-3"/>
                <w:sz w:val="21"/>
                <w:shd w:fill="C0C0C0" w:color="auto" w:val="clear"/>
              </w:rPr>
              <w:t>急救情况不适用于私</w:t>
            </w:r>
            <w:r>
              <w:rPr>
                <w:spacing w:val="-2"/>
                <w:sz w:val="21"/>
                <w:shd w:fill="C0C0C0" w:color="auto" w:val="clear"/>
              </w:rPr>
              <w:t>人诊所</w:t>
            </w:r>
            <w:r>
              <w:rPr>
                <w:spacing w:val="-108"/>
                <w:sz w:val="21"/>
                <w:shd w:fill="C0C0C0" w:color="auto" w:val="clear"/>
              </w:rPr>
              <w:t>）</w:t>
            </w:r>
            <w:r>
              <w:rPr>
                <w:sz w:val="21"/>
              </w:rPr>
              <w:t>。</w:t>
            </w:r>
          </w:p>
        </w:tc>
      </w:tr>
      <w:tr>
        <w:trPr>
          <w:trHeight w:val="305" w:hRule="atLeast"/>
        </w:trPr>
        <w:tc>
          <w:tcPr>
            <w:tcW w:w="740" w:type="dxa"/>
          </w:tcPr>
          <w:p>
            <w:pPr>
              <w:pStyle w:val="TableParagraph"/>
              <w:rPr>
                <w:rFonts w:ascii="Times New Roman"/>
                <w:sz w:val="20"/>
              </w:rPr>
            </w:pPr>
          </w:p>
        </w:tc>
        <w:tc>
          <w:tcPr>
            <w:tcW w:w="1550" w:type="dxa"/>
          </w:tcPr>
          <w:p>
            <w:pPr>
              <w:pStyle w:val="TableParagraph"/>
              <w:spacing w:line="221" w:lineRule="exact" w:before="64"/>
              <w:ind w:left="158"/>
              <w:rPr>
                <w:b/>
                <w:sz w:val="21"/>
              </w:rPr>
            </w:pPr>
            <w:r>
              <w:rPr>
                <w:b/>
                <w:w w:val="99"/>
                <w:sz w:val="21"/>
              </w:rPr>
              <w:t> </w:t>
            </w:r>
          </w:p>
        </w:tc>
        <w:tc>
          <w:tcPr>
            <w:tcW w:w="7379" w:type="dxa"/>
          </w:tcPr>
          <w:p>
            <w:pPr>
              <w:pStyle w:val="TableParagraph"/>
              <w:spacing w:line="221" w:lineRule="exact" w:before="64"/>
              <w:ind w:left="122"/>
              <w:rPr>
                <w:sz w:val="21"/>
              </w:rPr>
            </w:pPr>
            <w:r>
              <w:rPr>
                <w:w w:val="100"/>
                <w:sz w:val="21"/>
              </w:rPr>
              <w:t> </w:t>
            </w:r>
          </w:p>
        </w:tc>
      </w:tr>
      <w:tr>
        <w:trPr>
          <w:trHeight w:val="644" w:hRule="atLeast"/>
        </w:trPr>
        <w:tc>
          <w:tcPr>
            <w:tcW w:w="740" w:type="dxa"/>
          </w:tcPr>
          <w:p>
            <w:pPr>
              <w:pStyle w:val="TableParagraph"/>
              <w:spacing w:line="220" w:lineRule="exact"/>
              <w:ind w:left="108"/>
              <w:rPr>
                <w:rFonts w:ascii="Times New Roman"/>
                <w:b/>
                <w:sz w:val="21"/>
              </w:rPr>
            </w:pPr>
            <w:r>
              <w:rPr>
                <w:rFonts w:ascii="Times New Roman"/>
                <w:b/>
                <w:sz w:val="21"/>
              </w:rPr>
              <w:t>10.4</w:t>
            </w:r>
          </w:p>
        </w:tc>
        <w:tc>
          <w:tcPr>
            <w:tcW w:w="1550" w:type="dxa"/>
          </w:tcPr>
          <w:p>
            <w:pPr>
              <w:pStyle w:val="TableParagraph"/>
              <w:spacing w:line="204" w:lineRule="exact"/>
              <w:ind w:left="158"/>
              <w:rPr>
                <w:b/>
                <w:sz w:val="21"/>
              </w:rPr>
            </w:pPr>
            <w:r>
              <w:rPr>
                <w:b/>
                <w:sz w:val="21"/>
              </w:rPr>
              <w:t>意外伤害</w:t>
            </w:r>
            <w:r>
              <w:rPr>
                <w:b/>
                <w:w w:val="99"/>
                <w:sz w:val="21"/>
              </w:rPr>
              <w:t> </w:t>
            </w:r>
          </w:p>
        </w:tc>
        <w:tc>
          <w:tcPr>
            <w:tcW w:w="7379" w:type="dxa"/>
          </w:tcPr>
          <w:p>
            <w:pPr>
              <w:pStyle w:val="TableParagraph"/>
              <w:spacing w:line="204" w:lineRule="exact"/>
              <w:ind w:left="122"/>
              <w:rPr>
                <w:sz w:val="21"/>
              </w:rPr>
            </w:pPr>
            <w:r>
              <w:rPr>
                <w:sz w:val="21"/>
              </w:rPr>
              <w:t>指遭受外来的、突发的、非本意的、非由疾病引起的使身体受到伤害的客观事</w:t>
            </w:r>
          </w:p>
          <w:p>
            <w:pPr>
              <w:pStyle w:val="TableParagraph"/>
              <w:spacing w:before="37"/>
              <w:ind w:left="122"/>
              <w:rPr>
                <w:sz w:val="21"/>
              </w:rPr>
            </w:pPr>
            <w:r>
              <w:rPr>
                <w:sz w:val="21"/>
              </w:rPr>
              <w:t>件。</w:t>
            </w:r>
          </w:p>
        </w:tc>
      </w:tr>
      <w:tr>
        <w:trPr>
          <w:trHeight w:val="316" w:hRule="atLeast"/>
        </w:trPr>
        <w:tc>
          <w:tcPr>
            <w:tcW w:w="740" w:type="dxa"/>
          </w:tcPr>
          <w:p>
            <w:pPr>
              <w:pStyle w:val="TableParagraph"/>
              <w:spacing w:line="232" w:lineRule="exact" w:before="64"/>
              <w:ind w:left="108"/>
              <w:rPr>
                <w:sz w:val="21"/>
              </w:rPr>
            </w:pPr>
            <w:r>
              <w:rPr>
                <w:color w:val="FF0000"/>
                <w:w w:val="100"/>
                <w:sz w:val="21"/>
              </w:rPr>
              <w:t> </w:t>
            </w:r>
          </w:p>
        </w:tc>
        <w:tc>
          <w:tcPr>
            <w:tcW w:w="1550" w:type="dxa"/>
          </w:tcPr>
          <w:p>
            <w:pPr>
              <w:pStyle w:val="TableParagraph"/>
              <w:spacing w:line="232" w:lineRule="exact" w:before="64"/>
              <w:ind w:left="158"/>
              <w:rPr>
                <w:sz w:val="21"/>
              </w:rPr>
            </w:pPr>
            <w:r>
              <w:rPr>
                <w:color w:val="FF0000"/>
                <w:w w:val="100"/>
                <w:sz w:val="21"/>
              </w:rPr>
              <w:t> </w:t>
            </w:r>
          </w:p>
        </w:tc>
        <w:tc>
          <w:tcPr>
            <w:tcW w:w="7379" w:type="dxa"/>
          </w:tcPr>
          <w:p>
            <w:pPr>
              <w:pStyle w:val="TableParagraph"/>
              <w:spacing w:line="232" w:lineRule="exact" w:before="64"/>
              <w:ind w:left="122"/>
              <w:rPr>
                <w:sz w:val="21"/>
              </w:rPr>
            </w:pPr>
            <w:r>
              <w:rPr>
                <w:w w:val="100"/>
                <w:sz w:val="21"/>
              </w:rPr>
              <w:t> </w:t>
            </w:r>
          </w:p>
        </w:tc>
      </w:tr>
      <w:tr>
        <w:trPr>
          <w:trHeight w:val="1258" w:hRule="atLeast"/>
        </w:trPr>
        <w:tc>
          <w:tcPr>
            <w:tcW w:w="740" w:type="dxa"/>
          </w:tcPr>
          <w:p>
            <w:pPr>
              <w:pStyle w:val="TableParagraph"/>
              <w:spacing w:line="209" w:lineRule="exact"/>
              <w:ind w:left="108"/>
              <w:rPr>
                <w:sz w:val="21"/>
              </w:rPr>
            </w:pPr>
            <w:r>
              <w:rPr>
                <w:rFonts w:ascii="Times New Roman"/>
                <w:b/>
                <w:sz w:val="21"/>
              </w:rPr>
              <w:t>10.5</w:t>
            </w:r>
            <w:r>
              <w:rPr>
                <w:sz w:val="21"/>
              </w:rPr>
              <w:t> </w:t>
            </w:r>
          </w:p>
        </w:tc>
        <w:tc>
          <w:tcPr>
            <w:tcW w:w="1550" w:type="dxa"/>
          </w:tcPr>
          <w:p>
            <w:pPr>
              <w:pStyle w:val="TableParagraph"/>
              <w:spacing w:line="193" w:lineRule="exact"/>
              <w:ind w:left="158"/>
              <w:rPr>
                <w:sz w:val="21"/>
              </w:rPr>
            </w:pPr>
            <w:r>
              <w:rPr>
                <w:b/>
                <w:sz w:val="21"/>
              </w:rPr>
              <w:t>毒品</w:t>
            </w:r>
            <w:r>
              <w:rPr>
                <w:w w:val="100"/>
                <w:sz w:val="21"/>
              </w:rPr>
              <w:t> </w:t>
            </w:r>
          </w:p>
        </w:tc>
        <w:tc>
          <w:tcPr>
            <w:tcW w:w="7379" w:type="dxa"/>
          </w:tcPr>
          <w:p>
            <w:pPr>
              <w:pStyle w:val="TableParagraph"/>
              <w:spacing w:line="193" w:lineRule="exact"/>
              <w:ind w:left="12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w:t>
            </w:r>
          </w:p>
          <w:p>
            <w:pPr>
              <w:pStyle w:val="TableParagraph"/>
              <w:spacing w:line="273" w:lineRule="auto" w:before="37"/>
              <w:ind w:left="122" w:right="107"/>
              <w:jc w:val="both"/>
              <w:rPr>
                <w:sz w:val="21"/>
              </w:rPr>
            </w:pPr>
            <w:r>
              <w:rPr>
                <w:sz w:val="21"/>
              </w:rPr>
              <w:t>大麻、可卡因以及国家规定管制的其他能够使人形成瘾癖的麻醉药品和精神药品，但不包括由医生开具并遵医嘱使用的用于治疗疾病但含有毒品成分的处方药品。 </w:t>
            </w:r>
          </w:p>
        </w:tc>
      </w:tr>
      <w:tr>
        <w:trPr>
          <w:trHeight w:val="316" w:hRule="atLeast"/>
        </w:trPr>
        <w:tc>
          <w:tcPr>
            <w:tcW w:w="740" w:type="dxa"/>
          </w:tcPr>
          <w:p>
            <w:pPr>
              <w:pStyle w:val="TableParagraph"/>
              <w:spacing w:line="232" w:lineRule="exact" w:before="64"/>
              <w:ind w:left="108"/>
              <w:rPr>
                <w:sz w:val="21"/>
              </w:rPr>
            </w:pPr>
            <w:r>
              <w:rPr>
                <w:w w:val="100"/>
                <w:sz w:val="21"/>
              </w:rPr>
              <w:t> </w:t>
            </w:r>
          </w:p>
        </w:tc>
        <w:tc>
          <w:tcPr>
            <w:tcW w:w="1550" w:type="dxa"/>
          </w:tcPr>
          <w:p>
            <w:pPr>
              <w:pStyle w:val="TableParagraph"/>
              <w:spacing w:line="232" w:lineRule="exact" w:before="64"/>
              <w:ind w:left="158"/>
              <w:rPr>
                <w:sz w:val="21"/>
              </w:rPr>
            </w:pPr>
            <w:r>
              <w:rPr>
                <w:w w:val="100"/>
                <w:sz w:val="21"/>
              </w:rPr>
              <w:t> </w:t>
            </w:r>
          </w:p>
        </w:tc>
        <w:tc>
          <w:tcPr>
            <w:tcW w:w="7379" w:type="dxa"/>
          </w:tcPr>
          <w:p>
            <w:pPr>
              <w:pStyle w:val="TableParagraph"/>
              <w:spacing w:line="232" w:lineRule="exact" w:before="64"/>
              <w:ind w:left="122"/>
              <w:rPr>
                <w:sz w:val="21"/>
              </w:rPr>
            </w:pPr>
            <w:r>
              <w:rPr>
                <w:w w:val="100"/>
                <w:sz w:val="21"/>
              </w:rPr>
              <w:t> </w:t>
            </w:r>
          </w:p>
        </w:tc>
      </w:tr>
      <w:tr>
        <w:trPr>
          <w:trHeight w:val="933" w:hRule="atLeast"/>
        </w:trPr>
        <w:tc>
          <w:tcPr>
            <w:tcW w:w="740" w:type="dxa"/>
          </w:tcPr>
          <w:p>
            <w:pPr>
              <w:pStyle w:val="TableParagraph"/>
              <w:spacing w:line="209" w:lineRule="exact"/>
              <w:ind w:left="108"/>
              <w:rPr>
                <w:sz w:val="21"/>
              </w:rPr>
            </w:pPr>
            <w:r>
              <w:rPr>
                <w:rFonts w:ascii="Times New Roman"/>
                <w:b/>
                <w:sz w:val="21"/>
              </w:rPr>
              <w:t>10.6</w:t>
            </w:r>
            <w:r>
              <w:rPr>
                <w:sz w:val="21"/>
              </w:rPr>
              <w:t> </w:t>
            </w:r>
          </w:p>
        </w:tc>
        <w:tc>
          <w:tcPr>
            <w:tcW w:w="1550" w:type="dxa"/>
          </w:tcPr>
          <w:p>
            <w:pPr>
              <w:pStyle w:val="TableParagraph"/>
              <w:spacing w:line="193" w:lineRule="exact"/>
              <w:ind w:left="158"/>
              <w:rPr>
                <w:sz w:val="21"/>
              </w:rPr>
            </w:pPr>
            <w:r>
              <w:rPr>
                <w:b/>
                <w:sz w:val="21"/>
              </w:rPr>
              <w:t>酒后驾驶</w:t>
            </w:r>
            <w:r>
              <w:rPr>
                <w:w w:val="100"/>
                <w:sz w:val="21"/>
              </w:rPr>
              <w:t> </w:t>
            </w:r>
          </w:p>
        </w:tc>
        <w:tc>
          <w:tcPr>
            <w:tcW w:w="7379" w:type="dxa"/>
          </w:tcPr>
          <w:p>
            <w:pPr>
              <w:pStyle w:val="TableParagraph"/>
              <w:spacing w:line="193" w:lineRule="exact"/>
              <w:ind w:left="122"/>
              <w:rPr>
                <w:sz w:val="21"/>
              </w:rPr>
            </w:pPr>
            <w:r>
              <w:rPr>
                <w:sz w:val="21"/>
              </w:rPr>
              <w:t>指经检测或鉴定，发生事故时车辆驾驶人员每百毫升血液中的酒精含量达到或</w:t>
            </w:r>
          </w:p>
          <w:p>
            <w:pPr>
              <w:pStyle w:val="TableParagraph"/>
              <w:spacing w:line="273" w:lineRule="auto" w:before="37"/>
              <w:ind w:left="122" w:right="108"/>
              <w:rPr>
                <w:sz w:val="21"/>
              </w:rPr>
            </w:pPr>
            <w:r>
              <w:rPr>
                <w:sz w:val="21"/>
              </w:rPr>
              <w:t>超过一定的标准，公安机关交通管理部门依据《中华人民共和国道路交通安全法》的规定认定为饮酒后驾驶或醉酒后驾驶。 </w:t>
            </w:r>
          </w:p>
        </w:tc>
      </w:tr>
      <w:tr>
        <w:trPr>
          <w:trHeight w:val="303" w:hRule="atLeast"/>
        </w:trPr>
        <w:tc>
          <w:tcPr>
            <w:tcW w:w="740" w:type="dxa"/>
          </w:tcPr>
          <w:p>
            <w:pPr>
              <w:pStyle w:val="TableParagraph"/>
              <w:spacing w:line="231" w:lineRule="exact" w:before="52"/>
              <w:ind w:left="108"/>
              <w:rPr>
                <w:sz w:val="21"/>
              </w:rPr>
            </w:pPr>
            <w:r>
              <w:rPr>
                <w:w w:val="100"/>
                <w:sz w:val="21"/>
              </w:rPr>
              <w:t> </w:t>
            </w:r>
          </w:p>
        </w:tc>
        <w:tc>
          <w:tcPr>
            <w:tcW w:w="1550" w:type="dxa"/>
          </w:tcPr>
          <w:p>
            <w:pPr>
              <w:pStyle w:val="TableParagraph"/>
              <w:spacing w:line="231" w:lineRule="exact" w:before="52"/>
              <w:ind w:left="158"/>
              <w:rPr>
                <w:sz w:val="21"/>
              </w:rPr>
            </w:pPr>
            <w:r>
              <w:rPr>
                <w:w w:val="100"/>
                <w:sz w:val="21"/>
              </w:rPr>
              <w:t> </w:t>
            </w:r>
          </w:p>
        </w:tc>
        <w:tc>
          <w:tcPr>
            <w:tcW w:w="7379" w:type="dxa"/>
          </w:tcPr>
          <w:p>
            <w:pPr>
              <w:pStyle w:val="TableParagraph"/>
              <w:spacing w:line="231" w:lineRule="exact" w:before="52"/>
              <w:ind w:left="122"/>
              <w:rPr>
                <w:sz w:val="21"/>
              </w:rPr>
            </w:pPr>
            <w:r>
              <w:rPr>
                <w:w w:val="100"/>
                <w:sz w:val="21"/>
              </w:rPr>
              <w:t> </w:t>
            </w:r>
          </w:p>
        </w:tc>
      </w:tr>
      <w:tr>
        <w:trPr>
          <w:trHeight w:val="1456" w:hRule="atLeast"/>
        </w:trPr>
        <w:tc>
          <w:tcPr>
            <w:tcW w:w="740" w:type="dxa"/>
          </w:tcPr>
          <w:p>
            <w:pPr>
              <w:pStyle w:val="TableParagraph"/>
              <w:spacing w:line="208" w:lineRule="exact"/>
              <w:ind w:left="108"/>
              <w:rPr>
                <w:sz w:val="21"/>
              </w:rPr>
            </w:pPr>
            <w:r>
              <w:rPr>
                <w:rFonts w:ascii="Times New Roman"/>
                <w:b/>
                <w:sz w:val="21"/>
              </w:rPr>
              <w:t>10.7</w:t>
            </w:r>
            <w:r>
              <w:rPr>
                <w:sz w:val="21"/>
              </w:rPr>
              <w:t> </w:t>
            </w:r>
          </w:p>
        </w:tc>
        <w:tc>
          <w:tcPr>
            <w:tcW w:w="1550" w:type="dxa"/>
          </w:tcPr>
          <w:p>
            <w:pPr>
              <w:pStyle w:val="TableParagraph"/>
              <w:spacing w:line="192" w:lineRule="exact"/>
              <w:ind w:left="158"/>
              <w:rPr>
                <w:b/>
                <w:sz w:val="21"/>
              </w:rPr>
            </w:pPr>
            <w:r>
              <w:rPr>
                <w:b/>
                <w:sz w:val="21"/>
              </w:rPr>
              <w:t>无合法有效驾</w:t>
            </w:r>
          </w:p>
          <w:p>
            <w:pPr>
              <w:pStyle w:val="TableParagraph"/>
              <w:spacing w:before="37"/>
              <w:ind w:left="158"/>
              <w:rPr>
                <w:sz w:val="21"/>
              </w:rPr>
            </w:pPr>
            <w:r>
              <w:rPr>
                <w:b/>
                <w:sz w:val="21"/>
              </w:rPr>
              <w:t>驶证驾驶</w:t>
            </w:r>
            <w:r>
              <w:rPr>
                <w:w w:val="100"/>
                <w:sz w:val="21"/>
              </w:rPr>
              <w:t> </w:t>
            </w:r>
          </w:p>
        </w:tc>
        <w:tc>
          <w:tcPr>
            <w:tcW w:w="7379" w:type="dxa"/>
          </w:tcPr>
          <w:p>
            <w:pPr>
              <w:pStyle w:val="TableParagraph"/>
              <w:spacing w:line="192" w:lineRule="exact"/>
              <w:ind w:left="122"/>
              <w:rPr>
                <w:sz w:val="21"/>
              </w:rPr>
            </w:pPr>
            <w:r>
              <w:rPr>
                <w:sz w:val="21"/>
              </w:rPr>
              <w:t>指下列情形之一： </w:t>
            </w:r>
          </w:p>
          <w:p>
            <w:pPr>
              <w:pStyle w:val="TableParagraph"/>
              <w:spacing w:before="37"/>
              <w:ind w:left="122"/>
              <w:rPr>
                <w:sz w:val="21"/>
              </w:rPr>
            </w:pPr>
            <w:r>
              <w:rPr>
                <w:rFonts w:ascii="Times New Roman" w:eastAsia="Times New Roman"/>
                <w:sz w:val="21"/>
              </w:rPr>
              <w:t>1.</w:t>
            </w:r>
            <w:r>
              <w:rPr>
                <w:sz w:val="21"/>
              </w:rPr>
              <w:t>没有取得驾驶资格； </w:t>
            </w:r>
          </w:p>
          <w:p>
            <w:pPr>
              <w:pStyle w:val="TableParagraph"/>
              <w:spacing w:before="21"/>
              <w:ind w:left="122"/>
              <w:rPr>
                <w:sz w:val="21"/>
              </w:rPr>
            </w:pPr>
            <w:r>
              <w:rPr>
                <w:rFonts w:ascii="Times New Roman" w:eastAsia="Times New Roman"/>
                <w:sz w:val="21"/>
              </w:rPr>
              <w:t>2.</w:t>
            </w:r>
            <w:r>
              <w:rPr>
                <w:sz w:val="21"/>
              </w:rPr>
              <w:t>驾驶与驾驶证准驾车型不相符合的车辆； </w:t>
            </w:r>
          </w:p>
          <w:p>
            <w:pPr>
              <w:pStyle w:val="TableParagraph"/>
              <w:spacing w:before="21"/>
              <w:ind w:left="122"/>
              <w:rPr>
                <w:sz w:val="21"/>
              </w:rPr>
            </w:pPr>
            <w:r>
              <w:rPr>
                <w:rFonts w:ascii="Times New Roman" w:eastAsia="Times New Roman"/>
                <w:sz w:val="21"/>
              </w:rPr>
              <w:t>3.</w:t>
            </w:r>
            <w:r>
              <w:rPr>
                <w:sz w:val="21"/>
              </w:rPr>
              <w:t>持审验不合格的驾驶证驾驶； </w:t>
            </w:r>
          </w:p>
          <w:p>
            <w:pPr>
              <w:pStyle w:val="TableParagraph"/>
              <w:spacing w:line="271" w:lineRule="exact" w:before="21"/>
              <w:ind w:left="122"/>
              <w:rPr>
                <w:sz w:val="21"/>
              </w:rPr>
            </w:pPr>
            <w:r>
              <w:rPr>
                <w:rFonts w:ascii="Times New Roman" w:eastAsia="Times New Roman"/>
                <w:sz w:val="21"/>
              </w:rPr>
              <w:t>4.</w:t>
            </w:r>
            <w:r>
              <w:rPr>
                <w:sz w:val="21"/>
              </w:rPr>
              <w:t>持学习驾驶证学习驾车时，无教练员随车指导，或不按指定时间、路线学习</w:t>
            </w:r>
          </w:p>
        </w:tc>
      </w:tr>
    </w:tbl>
    <w:p>
      <w:pPr>
        <w:spacing w:after="0" w:line="271" w:lineRule="exact"/>
        <w:rPr>
          <w:sz w:val="21"/>
        </w:rPr>
        <w:sectPr>
          <w:pgSz w:w="11910" w:h="16840"/>
          <w:pgMar w:header="0" w:footer="924" w:top="1160" w:bottom="112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548"/>
        <w:gridCol w:w="7526"/>
      </w:tblGrid>
      <w:tr>
        <w:trPr>
          <w:trHeight w:val="339" w:hRule="atLeast"/>
        </w:trPr>
        <w:tc>
          <w:tcPr>
            <w:tcW w:w="884" w:type="dxa"/>
          </w:tcPr>
          <w:p>
            <w:pPr>
              <w:pStyle w:val="TableParagraph"/>
              <w:rPr>
                <w:rFonts w:ascii="Times New Roman"/>
                <w:sz w:val="20"/>
              </w:rPr>
            </w:pPr>
          </w:p>
        </w:tc>
        <w:tc>
          <w:tcPr>
            <w:tcW w:w="1548" w:type="dxa"/>
          </w:tcPr>
          <w:p>
            <w:pPr>
              <w:pStyle w:val="TableParagraph"/>
              <w:rPr>
                <w:rFonts w:ascii="Times New Roman"/>
                <w:sz w:val="20"/>
              </w:rPr>
            </w:pPr>
          </w:p>
        </w:tc>
        <w:tc>
          <w:tcPr>
            <w:tcW w:w="7526" w:type="dxa"/>
          </w:tcPr>
          <w:p>
            <w:pPr>
              <w:pStyle w:val="TableParagraph"/>
              <w:spacing w:line="211" w:lineRule="exact"/>
              <w:ind w:left="72"/>
              <w:rPr>
                <w:sz w:val="21"/>
              </w:rPr>
            </w:pPr>
            <w:r>
              <w:rPr>
                <w:sz w:val="21"/>
              </w:rPr>
              <w:t>驾车。 </w:t>
            </w:r>
          </w:p>
        </w:tc>
      </w:tr>
      <w:tr>
        <w:trPr>
          <w:trHeight w:val="316" w:hRule="atLeast"/>
        </w:trPr>
        <w:tc>
          <w:tcPr>
            <w:tcW w:w="884" w:type="dxa"/>
          </w:tcPr>
          <w:p>
            <w:pPr>
              <w:pStyle w:val="TableParagraph"/>
              <w:spacing w:line="232" w:lineRule="exact" w:before="65"/>
              <w:ind w:left="200"/>
              <w:rPr>
                <w:sz w:val="21"/>
              </w:rPr>
            </w:pPr>
            <w:r>
              <w:rPr>
                <w:w w:val="100"/>
                <w:sz w:val="21"/>
              </w:rPr>
              <w:t> </w:t>
            </w:r>
          </w:p>
        </w:tc>
        <w:tc>
          <w:tcPr>
            <w:tcW w:w="1548" w:type="dxa"/>
          </w:tcPr>
          <w:p>
            <w:pPr>
              <w:pStyle w:val="TableParagraph"/>
              <w:spacing w:line="232" w:lineRule="exact" w:before="65"/>
              <w:ind w:left="105"/>
              <w:rPr>
                <w:sz w:val="21"/>
              </w:rPr>
            </w:pPr>
            <w:r>
              <w:rPr>
                <w:w w:val="100"/>
                <w:sz w:val="21"/>
              </w:rPr>
              <w:t> </w:t>
            </w:r>
          </w:p>
        </w:tc>
        <w:tc>
          <w:tcPr>
            <w:tcW w:w="7526" w:type="dxa"/>
          </w:tcPr>
          <w:p>
            <w:pPr>
              <w:pStyle w:val="TableParagraph"/>
              <w:spacing w:line="232" w:lineRule="exact" w:before="65"/>
              <w:ind w:left="72"/>
              <w:rPr>
                <w:sz w:val="21"/>
              </w:rPr>
            </w:pPr>
            <w:r>
              <w:rPr>
                <w:w w:val="100"/>
                <w:sz w:val="21"/>
              </w:rPr>
              <w:t> </w:t>
            </w:r>
          </w:p>
        </w:tc>
      </w:tr>
      <w:tr>
        <w:trPr>
          <w:trHeight w:val="953" w:hRule="atLeast"/>
        </w:trPr>
        <w:tc>
          <w:tcPr>
            <w:tcW w:w="884" w:type="dxa"/>
          </w:tcPr>
          <w:p>
            <w:pPr>
              <w:pStyle w:val="TableParagraph"/>
              <w:spacing w:line="209" w:lineRule="exact"/>
              <w:ind w:left="200"/>
              <w:rPr>
                <w:sz w:val="21"/>
              </w:rPr>
            </w:pPr>
            <w:r>
              <w:rPr>
                <w:rFonts w:ascii="Times New Roman"/>
                <w:b/>
                <w:sz w:val="21"/>
              </w:rPr>
              <w:t>10.8</w:t>
            </w:r>
            <w:r>
              <w:rPr>
                <w:sz w:val="21"/>
              </w:rPr>
              <w:t> </w:t>
            </w:r>
          </w:p>
        </w:tc>
        <w:tc>
          <w:tcPr>
            <w:tcW w:w="1548" w:type="dxa"/>
          </w:tcPr>
          <w:p>
            <w:pPr>
              <w:pStyle w:val="TableParagraph"/>
              <w:spacing w:line="193" w:lineRule="exact"/>
              <w:ind w:left="105"/>
              <w:rPr>
                <w:sz w:val="21"/>
              </w:rPr>
            </w:pPr>
            <w:r>
              <w:rPr>
                <w:b/>
                <w:sz w:val="21"/>
              </w:rPr>
              <w:t>无有效行驶证</w:t>
            </w:r>
            <w:r>
              <w:rPr>
                <w:w w:val="100"/>
                <w:sz w:val="21"/>
              </w:rPr>
              <w:t> </w:t>
            </w:r>
          </w:p>
        </w:tc>
        <w:tc>
          <w:tcPr>
            <w:tcW w:w="7526" w:type="dxa"/>
          </w:tcPr>
          <w:p>
            <w:pPr>
              <w:pStyle w:val="TableParagraph"/>
              <w:spacing w:line="193" w:lineRule="exact"/>
              <w:ind w:left="72"/>
              <w:rPr>
                <w:sz w:val="21"/>
              </w:rPr>
            </w:pPr>
            <w:r>
              <w:rPr>
                <w:sz w:val="21"/>
              </w:rPr>
              <w:t>指下列情形之一： </w:t>
            </w:r>
          </w:p>
          <w:p>
            <w:pPr>
              <w:pStyle w:val="TableParagraph"/>
              <w:spacing w:before="37"/>
              <w:ind w:left="72"/>
              <w:rPr>
                <w:sz w:val="21"/>
              </w:rPr>
            </w:pPr>
            <w:r>
              <w:rPr>
                <w:rFonts w:ascii="Times New Roman" w:eastAsia="Times New Roman"/>
                <w:sz w:val="21"/>
              </w:rPr>
              <w:t>1.</w:t>
            </w:r>
            <w:r>
              <w:rPr>
                <w:sz w:val="21"/>
              </w:rPr>
              <w:t>机动车被依法注销登记的； </w:t>
            </w:r>
          </w:p>
          <w:p>
            <w:pPr>
              <w:pStyle w:val="TableParagraph"/>
              <w:spacing w:before="21"/>
              <w:ind w:left="72"/>
              <w:rPr>
                <w:sz w:val="21"/>
              </w:rPr>
            </w:pPr>
            <w:r>
              <w:rPr>
                <w:rFonts w:ascii="Times New Roman" w:eastAsia="Times New Roman"/>
                <w:sz w:val="21"/>
              </w:rPr>
              <w:t>2.</w:t>
            </w:r>
            <w:r>
              <w:rPr>
                <w:sz w:val="21"/>
              </w:rPr>
              <w:t>未依法按时进行或通过机动车安全技术检验。 </w:t>
            </w:r>
          </w:p>
        </w:tc>
      </w:tr>
      <w:tr>
        <w:trPr>
          <w:trHeight w:val="308" w:hRule="atLeast"/>
        </w:trPr>
        <w:tc>
          <w:tcPr>
            <w:tcW w:w="884" w:type="dxa"/>
          </w:tcPr>
          <w:p>
            <w:pPr>
              <w:pStyle w:val="TableParagraph"/>
              <w:spacing w:line="232" w:lineRule="exact" w:before="56"/>
              <w:ind w:left="200"/>
              <w:rPr>
                <w:sz w:val="21"/>
              </w:rPr>
            </w:pPr>
            <w:r>
              <w:rPr>
                <w:w w:val="100"/>
                <w:sz w:val="21"/>
              </w:rPr>
              <w:t> </w:t>
            </w:r>
          </w:p>
        </w:tc>
        <w:tc>
          <w:tcPr>
            <w:tcW w:w="1548" w:type="dxa"/>
          </w:tcPr>
          <w:p>
            <w:pPr>
              <w:pStyle w:val="TableParagraph"/>
              <w:spacing w:line="232" w:lineRule="exact" w:before="56"/>
              <w:ind w:left="105"/>
              <w:rPr>
                <w:sz w:val="21"/>
              </w:rPr>
            </w:pPr>
            <w:r>
              <w:rPr>
                <w:w w:val="100"/>
                <w:sz w:val="21"/>
              </w:rPr>
              <w:t> </w:t>
            </w:r>
          </w:p>
        </w:tc>
        <w:tc>
          <w:tcPr>
            <w:tcW w:w="7526" w:type="dxa"/>
          </w:tcPr>
          <w:p>
            <w:pPr>
              <w:pStyle w:val="TableParagraph"/>
              <w:spacing w:line="232" w:lineRule="exact" w:before="56"/>
              <w:ind w:left="72"/>
              <w:rPr>
                <w:sz w:val="21"/>
              </w:rPr>
            </w:pPr>
            <w:r>
              <w:rPr>
                <w:w w:val="100"/>
                <w:sz w:val="21"/>
              </w:rPr>
              <w:t> </w:t>
            </w:r>
          </w:p>
        </w:tc>
      </w:tr>
      <w:tr>
        <w:trPr>
          <w:trHeight w:val="633" w:hRule="atLeast"/>
        </w:trPr>
        <w:tc>
          <w:tcPr>
            <w:tcW w:w="884" w:type="dxa"/>
          </w:tcPr>
          <w:p>
            <w:pPr>
              <w:pStyle w:val="TableParagraph"/>
              <w:spacing w:line="209" w:lineRule="exact"/>
              <w:ind w:left="200"/>
              <w:rPr>
                <w:sz w:val="21"/>
              </w:rPr>
            </w:pPr>
            <w:r>
              <w:rPr>
                <w:rFonts w:ascii="Times New Roman"/>
                <w:b/>
                <w:sz w:val="21"/>
              </w:rPr>
              <w:t>10.9</w:t>
            </w:r>
            <w:r>
              <w:rPr>
                <w:sz w:val="21"/>
              </w:rPr>
              <w:t> </w:t>
            </w:r>
          </w:p>
        </w:tc>
        <w:tc>
          <w:tcPr>
            <w:tcW w:w="1548" w:type="dxa"/>
          </w:tcPr>
          <w:p>
            <w:pPr>
              <w:pStyle w:val="TableParagraph"/>
              <w:spacing w:line="193" w:lineRule="exact"/>
              <w:ind w:left="105"/>
              <w:rPr>
                <w:sz w:val="21"/>
              </w:rPr>
            </w:pPr>
            <w:r>
              <w:rPr>
                <w:b/>
                <w:sz w:val="21"/>
              </w:rPr>
              <w:t>机动车</w:t>
            </w:r>
            <w:r>
              <w:rPr>
                <w:w w:val="100"/>
                <w:sz w:val="21"/>
              </w:rPr>
              <w:t> </w:t>
            </w:r>
          </w:p>
        </w:tc>
        <w:tc>
          <w:tcPr>
            <w:tcW w:w="7526" w:type="dxa"/>
          </w:tcPr>
          <w:p>
            <w:pPr>
              <w:pStyle w:val="TableParagraph"/>
              <w:spacing w:line="193" w:lineRule="exact"/>
              <w:ind w:left="72"/>
              <w:rPr>
                <w:sz w:val="21"/>
              </w:rPr>
            </w:pPr>
            <w:r>
              <w:rPr>
                <w:sz w:val="21"/>
              </w:rPr>
              <w:t>指以动力装置驱动或者牵引，上道路行驶的供人员乘用或者用于运送物品以及</w:t>
            </w:r>
          </w:p>
          <w:p>
            <w:pPr>
              <w:pStyle w:val="TableParagraph"/>
              <w:spacing w:before="37"/>
              <w:ind w:left="72"/>
              <w:rPr>
                <w:sz w:val="21"/>
              </w:rPr>
            </w:pPr>
            <w:r>
              <w:rPr>
                <w:sz w:val="21"/>
              </w:rPr>
              <w:t>进行工程专项作业的轮式车辆。 </w:t>
            </w:r>
          </w:p>
        </w:tc>
      </w:tr>
      <w:tr>
        <w:trPr>
          <w:trHeight w:val="304" w:hRule="atLeast"/>
        </w:trPr>
        <w:tc>
          <w:tcPr>
            <w:tcW w:w="884" w:type="dxa"/>
          </w:tcPr>
          <w:p>
            <w:pPr>
              <w:pStyle w:val="TableParagraph"/>
              <w:rPr>
                <w:rFonts w:ascii="Times New Roman"/>
                <w:sz w:val="20"/>
              </w:rPr>
            </w:pPr>
          </w:p>
        </w:tc>
        <w:tc>
          <w:tcPr>
            <w:tcW w:w="1548" w:type="dxa"/>
          </w:tcPr>
          <w:p>
            <w:pPr>
              <w:pStyle w:val="TableParagraph"/>
              <w:spacing w:line="220" w:lineRule="exact" w:before="64"/>
              <w:ind w:left="105"/>
              <w:rPr>
                <w:b/>
                <w:sz w:val="21"/>
              </w:rPr>
            </w:pPr>
            <w:r>
              <w:rPr>
                <w:b/>
                <w:w w:val="99"/>
                <w:sz w:val="21"/>
              </w:rPr>
              <w:t> </w:t>
            </w:r>
          </w:p>
        </w:tc>
        <w:tc>
          <w:tcPr>
            <w:tcW w:w="7526" w:type="dxa"/>
          </w:tcPr>
          <w:p>
            <w:pPr>
              <w:pStyle w:val="TableParagraph"/>
              <w:spacing w:line="220" w:lineRule="exact" w:before="64"/>
              <w:ind w:left="72"/>
              <w:rPr>
                <w:sz w:val="21"/>
              </w:rPr>
            </w:pPr>
            <w:r>
              <w:rPr>
                <w:w w:val="100"/>
                <w:sz w:val="21"/>
              </w:rPr>
              <w:t> </w:t>
            </w:r>
          </w:p>
        </w:tc>
      </w:tr>
      <w:tr>
        <w:trPr>
          <w:trHeight w:val="1675" w:hRule="atLeast"/>
        </w:trPr>
        <w:tc>
          <w:tcPr>
            <w:tcW w:w="884" w:type="dxa"/>
          </w:tcPr>
          <w:p>
            <w:pPr>
              <w:pStyle w:val="TableParagraph"/>
              <w:spacing w:line="221" w:lineRule="exact"/>
              <w:ind w:left="200"/>
              <w:rPr>
                <w:rFonts w:ascii="Times New Roman"/>
                <w:b/>
                <w:sz w:val="21"/>
              </w:rPr>
            </w:pPr>
            <w:r>
              <w:rPr>
                <w:rFonts w:ascii="Times New Roman"/>
                <w:b/>
                <w:sz w:val="21"/>
              </w:rPr>
              <w:t>10.10</w:t>
            </w:r>
          </w:p>
        </w:tc>
        <w:tc>
          <w:tcPr>
            <w:tcW w:w="1548" w:type="dxa"/>
          </w:tcPr>
          <w:p>
            <w:pPr>
              <w:pStyle w:val="TableParagraph"/>
              <w:spacing w:line="205" w:lineRule="exact"/>
              <w:ind w:left="105"/>
              <w:rPr>
                <w:b/>
                <w:sz w:val="21"/>
              </w:rPr>
            </w:pPr>
            <w:r>
              <w:rPr>
                <w:b/>
                <w:sz w:val="21"/>
              </w:rPr>
              <w:t>感染艾滋病病</w:t>
            </w:r>
          </w:p>
          <w:p>
            <w:pPr>
              <w:pStyle w:val="TableParagraph"/>
              <w:spacing w:before="37"/>
              <w:ind w:left="105"/>
              <w:rPr>
                <w:b/>
                <w:sz w:val="21"/>
              </w:rPr>
            </w:pPr>
            <w:r>
              <w:rPr>
                <w:b/>
                <w:sz w:val="21"/>
              </w:rPr>
              <w:t>毒或患艾滋病</w:t>
            </w:r>
            <w:r>
              <w:rPr>
                <w:b/>
                <w:w w:val="99"/>
                <w:sz w:val="21"/>
              </w:rPr>
              <w:t> </w:t>
            </w:r>
          </w:p>
        </w:tc>
        <w:tc>
          <w:tcPr>
            <w:tcW w:w="7526" w:type="dxa"/>
          </w:tcPr>
          <w:p>
            <w:pPr>
              <w:pStyle w:val="TableParagraph"/>
              <w:spacing w:line="221" w:lineRule="exact"/>
              <w:ind w:left="72"/>
              <w:rPr>
                <w:sz w:val="21"/>
              </w:rPr>
            </w:pPr>
            <w:r>
              <w:rPr>
                <w:sz w:val="21"/>
              </w:rPr>
              <w:t>艾滋病病毒指人类免疫缺陷病毒，英文缩写为 </w:t>
            </w:r>
            <w:r>
              <w:rPr>
                <w:rFonts w:ascii="Times New Roman" w:eastAsia="Times New Roman"/>
                <w:sz w:val="21"/>
              </w:rPr>
              <w:t>HIV</w:t>
            </w:r>
            <w:r>
              <w:rPr>
                <w:sz w:val="21"/>
              </w:rPr>
              <w:t>。艾滋病指人类免疫缺陷病</w:t>
            </w:r>
          </w:p>
          <w:p>
            <w:pPr>
              <w:pStyle w:val="TableParagraph"/>
              <w:spacing w:before="21"/>
              <w:ind w:left="72"/>
              <w:rPr>
                <w:sz w:val="21"/>
              </w:rPr>
            </w:pPr>
            <w:r>
              <w:rPr>
                <w:sz w:val="21"/>
              </w:rPr>
              <w:t>毒引起的获得性免疫缺陷综合征，英文缩写为 </w:t>
            </w:r>
            <w:r>
              <w:rPr>
                <w:rFonts w:ascii="Times New Roman" w:eastAsia="Times New Roman"/>
                <w:sz w:val="21"/>
              </w:rPr>
              <w:t>AIDS</w:t>
            </w:r>
            <w:r>
              <w:rPr>
                <w:sz w:val="21"/>
              </w:rPr>
              <w:t>。 </w:t>
            </w:r>
          </w:p>
          <w:p>
            <w:pPr>
              <w:pStyle w:val="TableParagraph"/>
              <w:spacing w:line="273" w:lineRule="auto" w:before="114"/>
              <w:ind w:left="72" w:right="305"/>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05" w:hRule="atLeast"/>
        </w:trPr>
        <w:tc>
          <w:tcPr>
            <w:tcW w:w="884" w:type="dxa"/>
          </w:tcPr>
          <w:p>
            <w:pPr>
              <w:pStyle w:val="TableParagraph"/>
              <w:rPr>
                <w:rFonts w:ascii="Times New Roman"/>
                <w:sz w:val="20"/>
              </w:rPr>
            </w:pPr>
          </w:p>
        </w:tc>
        <w:tc>
          <w:tcPr>
            <w:tcW w:w="1548" w:type="dxa"/>
          </w:tcPr>
          <w:p>
            <w:pPr>
              <w:pStyle w:val="TableParagraph"/>
              <w:spacing w:line="221" w:lineRule="exact" w:before="64"/>
              <w:ind w:left="105"/>
              <w:rPr>
                <w:b/>
                <w:sz w:val="21"/>
              </w:rPr>
            </w:pPr>
            <w:r>
              <w:rPr>
                <w:b/>
                <w:w w:val="99"/>
                <w:sz w:val="21"/>
              </w:rPr>
              <w:t> </w:t>
            </w:r>
          </w:p>
        </w:tc>
        <w:tc>
          <w:tcPr>
            <w:tcW w:w="7526" w:type="dxa"/>
          </w:tcPr>
          <w:p>
            <w:pPr>
              <w:pStyle w:val="TableParagraph"/>
              <w:spacing w:line="221" w:lineRule="exact" w:before="64"/>
              <w:ind w:left="72"/>
              <w:rPr>
                <w:sz w:val="21"/>
              </w:rPr>
            </w:pPr>
            <w:r>
              <w:rPr>
                <w:w w:val="100"/>
                <w:sz w:val="21"/>
              </w:rPr>
              <w:t> </w:t>
            </w:r>
          </w:p>
        </w:tc>
      </w:tr>
      <w:tr>
        <w:trPr>
          <w:trHeight w:val="644" w:hRule="atLeast"/>
        </w:trPr>
        <w:tc>
          <w:tcPr>
            <w:tcW w:w="884" w:type="dxa"/>
          </w:tcPr>
          <w:p>
            <w:pPr>
              <w:pStyle w:val="TableParagraph"/>
              <w:spacing w:line="220" w:lineRule="exact"/>
              <w:ind w:left="200"/>
              <w:rPr>
                <w:rFonts w:ascii="Times New Roman"/>
                <w:b/>
                <w:sz w:val="21"/>
              </w:rPr>
            </w:pPr>
            <w:r>
              <w:rPr>
                <w:rFonts w:ascii="Times New Roman"/>
                <w:b/>
                <w:sz w:val="21"/>
              </w:rPr>
              <w:t>10.11</w:t>
            </w:r>
          </w:p>
        </w:tc>
        <w:tc>
          <w:tcPr>
            <w:tcW w:w="1548" w:type="dxa"/>
          </w:tcPr>
          <w:p>
            <w:pPr>
              <w:pStyle w:val="TableParagraph"/>
              <w:spacing w:line="204" w:lineRule="exact"/>
              <w:ind w:left="105"/>
              <w:rPr>
                <w:b/>
                <w:sz w:val="21"/>
              </w:rPr>
            </w:pPr>
            <w:r>
              <w:rPr>
                <w:b/>
                <w:sz w:val="21"/>
              </w:rPr>
              <w:t>遗传性疾病</w:t>
            </w:r>
            <w:r>
              <w:rPr>
                <w:b/>
                <w:w w:val="99"/>
                <w:sz w:val="21"/>
              </w:rPr>
              <w:t> </w:t>
            </w:r>
          </w:p>
        </w:tc>
        <w:tc>
          <w:tcPr>
            <w:tcW w:w="7526" w:type="dxa"/>
          </w:tcPr>
          <w:p>
            <w:pPr>
              <w:pStyle w:val="TableParagraph"/>
              <w:spacing w:line="204" w:lineRule="exact"/>
              <w:ind w:left="72"/>
              <w:rPr>
                <w:sz w:val="21"/>
              </w:rPr>
            </w:pPr>
            <w:r>
              <w:rPr>
                <w:sz w:val="21"/>
              </w:rPr>
              <w:t>指生殖细胞或受精卵的遗传物质（染色体和基因）发生突变或畸变所引起的疾</w:t>
            </w:r>
          </w:p>
          <w:p>
            <w:pPr>
              <w:pStyle w:val="TableParagraph"/>
              <w:spacing w:before="37"/>
              <w:ind w:left="72"/>
              <w:rPr>
                <w:sz w:val="21"/>
              </w:rPr>
            </w:pPr>
            <w:r>
              <w:rPr>
                <w:sz w:val="21"/>
              </w:rPr>
              <w:t>病，通常具有亲代传至后代的垂直传递的特征。 </w:t>
            </w:r>
          </w:p>
        </w:tc>
      </w:tr>
      <w:tr>
        <w:trPr>
          <w:trHeight w:val="303" w:hRule="atLeast"/>
        </w:trPr>
        <w:tc>
          <w:tcPr>
            <w:tcW w:w="884" w:type="dxa"/>
          </w:tcPr>
          <w:p>
            <w:pPr>
              <w:pStyle w:val="TableParagraph"/>
              <w:rPr>
                <w:rFonts w:ascii="Times New Roman"/>
                <w:sz w:val="20"/>
              </w:rPr>
            </w:pPr>
          </w:p>
        </w:tc>
        <w:tc>
          <w:tcPr>
            <w:tcW w:w="1548" w:type="dxa"/>
          </w:tcPr>
          <w:p>
            <w:pPr>
              <w:pStyle w:val="TableParagraph"/>
              <w:spacing w:line="219" w:lineRule="exact" w:before="64"/>
              <w:ind w:left="105"/>
              <w:rPr>
                <w:b/>
                <w:sz w:val="21"/>
              </w:rPr>
            </w:pPr>
            <w:r>
              <w:rPr>
                <w:b/>
                <w:w w:val="99"/>
                <w:sz w:val="21"/>
              </w:rPr>
              <w:t> </w:t>
            </w:r>
          </w:p>
        </w:tc>
        <w:tc>
          <w:tcPr>
            <w:tcW w:w="7526" w:type="dxa"/>
          </w:tcPr>
          <w:p>
            <w:pPr>
              <w:pStyle w:val="TableParagraph"/>
              <w:spacing w:line="219" w:lineRule="exact" w:before="64"/>
              <w:ind w:left="72"/>
              <w:rPr>
                <w:sz w:val="21"/>
              </w:rPr>
            </w:pPr>
            <w:r>
              <w:rPr>
                <w:w w:val="100"/>
                <w:sz w:val="21"/>
              </w:rPr>
              <w:t> </w:t>
            </w:r>
          </w:p>
        </w:tc>
      </w:tr>
      <w:tr>
        <w:trPr>
          <w:trHeight w:val="956" w:hRule="atLeast"/>
        </w:trPr>
        <w:tc>
          <w:tcPr>
            <w:tcW w:w="884" w:type="dxa"/>
          </w:tcPr>
          <w:p>
            <w:pPr>
              <w:pStyle w:val="TableParagraph"/>
              <w:spacing w:line="219" w:lineRule="exact"/>
              <w:ind w:left="200"/>
              <w:rPr>
                <w:b/>
                <w:sz w:val="21"/>
              </w:rPr>
            </w:pPr>
            <w:r>
              <w:rPr>
                <w:rFonts w:ascii="Times New Roman"/>
                <w:b/>
                <w:sz w:val="21"/>
              </w:rPr>
              <w:t>10.12</w:t>
            </w:r>
            <w:r>
              <w:rPr>
                <w:b/>
                <w:w w:val="99"/>
                <w:sz w:val="21"/>
              </w:rPr>
              <w:t> </w:t>
            </w:r>
          </w:p>
        </w:tc>
        <w:tc>
          <w:tcPr>
            <w:tcW w:w="1548" w:type="dxa"/>
          </w:tcPr>
          <w:p>
            <w:pPr>
              <w:pStyle w:val="TableParagraph"/>
              <w:spacing w:line="204" w:lineRule="exact"/>
              <w:ind w:left="105"/>
              <w:rPr>
                <w:b/>
                <w:sz w:val="21"/>
              </w:rPr>
            </w:pPr>
            <w:r>
              <w:rPr>
                <w:b/>
                <w:sz w:val="21"/>
              </w:rPr>
              <w:t>先天畸形、变</w:t>
            </w:r>
          </w:p>
          <w:p>
            <w:pPr>
              <w:pStyle w:val="TableParagraph"/>
              <w:spacing w:line="273" w:lineRule="auto" w:before="37"/>
              <w:ind w:left="105" w:right="173"/>
              <w:rPr>
                <w:b/>
                <w:sz w:val="21"/>
              </w:rPr>
            </w:pPr>
            <w:r>
              <w:rPr>
                <w:b/>
                <w:sz w:val="21"/>
              </w:rPr>
              <w:t>形或染色体异常</w:t>
            </w:r>
            <w:r>
              <w:rPr>
                <w:b/>
                <w:w w:val="99"/>
                <w:sz w:val="21"/>
              </w:rPr>
              <w:t> </w:t>
            </w:r>
          </w:p>
        </w:tc>
        <w:tc>
          <w:tcPr>
            <w:tcW w:w="7526" w:type="dxa"/>
          </w:tcPr>
          <w:p>
            <w:pPr>
              <w:pStyle w:val="TableParagraph"/>
              <w:spacing w:line="204" w:lineRule="exact"/>
              <w:ind w:left="72"/>
              <w:rPr>
                <w:sz w:val="21"/>
              </w:rPr>
            </w:pPr>
            <w:r>
              <w:rPr>
                <w:sz w:val="21"/>
              </w:rPr>
              <w:t>指被保险人出生时就具有的畸形、变形或染色体异常。先天性畸形、变形和染</w:t>
            </w:r>
          </w:p>
          <w:p>
            <w:pPr>
              <w:pStyle w:val="TableParagraph"/>
              <w:spacing w:line="256" w:lineRule="auto" w:before="37"/>
              <w:ind w:left="72" w:right="197"/>
              <w:rPr>
                <w:sz w:val="21"/>
              </w:rPr>
            </w:pPr>
            <w:r>
              <w:rPr>
                <w:spacing w:val="-5"/>
                <w:sz w:val="21"/>
              </w:rPr>
              <w:t>色体异常依照世界卫生组织《疾病和有关健康问题的国际统计分类</w:t>
            </w:r>
            <w:r>
              <w:rPr>
                <w:spacing w:val="-128"/>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w:t>
            </w:r>
            <w:r>
              <w:rPr>
                <w:spacing w:val="-1"/>
                <w:sz w:val="21"/>
              </w:rPr>
              <w:t>确定。</w:t>
            </w:r>
            <w:r>
              <w:rPr>
                <w:sz w:val="21"/>
              </w:rPr>
              <w:t> </w:t>
            </w:r>
          </w:p>
        </w:tc>
      </w:tr>
      <w:tr>
        <w:trPr>
          <w:trHeight w:val="304" w:hRule="atLeast"/>
        </w:trPr>
        <w:tc>
          <w:tcPr>
            <w:tcW w:w="884" w:type="dxa"/>
          </w:tcPr>
          <w:p>
            <w:pPr>
              <w:pStyle w:val="TableParagraph"/>
              <w:rPr>
                <w:rFonts w:ascii="Times New Roman"/>
                <w:sz w:val="20"/>
              </w:rPr>
            </w:pPr>
          </w:p>
        </w:tc>
        <w:tc>
          <w:tcPr>
            <w:tcW w:w="1548" w:type="dxa"/>
          </w:tcPr>
          <w:p>
            <w:pPr>
              <w:pStyle w:val="TableParagraph"/>
              <w:spacing w:line="220" w:lineRule="exact" w:before="64"/>
              <w:ind w:left="105"/>
              <w:rPr>
                <w:b/>
                <w:sz w:val="21"/>
              </w:rPr>
            </w:pPr>
            <w:r>
              <w:rPr>
                <w:b/>
                <w:w w:val="99"/>
                <w:sz w:val="21"/>
              </w:rPr>
              <w:t> </w:t>
            </w:r>
          </w:p>
        </w:tc>
        <w:tc>
          <w:tcPr>
            <w:tcW w:w="7526" w:type="dxa"/>
          </w:tcPr>
          <w:p>
            <w:pPr>
              <w:pStyle w:val="TableParagraph"/>
              <w:spacing w:line="220" w:lineRule="exact" w:before="64"/>
              <w:ind w:left="72"/>
              <w:rPr>
                <w:sz w:val="21"/>
              </w:rPr>
            </w:pPr>
            <w:r>
              <w:rPr>
                <w:w w:val="100"/>
                <w:sz w:val="21"/>
              </w:rPr>
              <w:t> </w:t>
            </w:r>
          </w:p>
        </w:tc>
      </w:tr>
      <w:tr>
        <w:trPr>
          <w:trHeight w:val="1757" w:hRule="atLeast"/>
        </w:trPr>
        <w:tc>
          <w:tcPr>
            <w:tcW w:w="884" w:type="dxa"/>
          </w:tcPr>
          <w:p>
            <w:pPr>
              <w:pStyle w:val="TableParagraph"/>
              <w:spacing w:line="221" w:lineRule="exact"/>
              <w:ind w:left="200"/>
              <w:rPr>
                <w:rFonts w:ascii="Times New Roman"/>
                <w:b/>
                <w:sz w:val="21"/>
              </w:rPr>
            </w:pPr>
            <w:r>
              <w:rPr>
                <w:rFonts w:ascii="Times New Roman"/>
                <w:b/>
                <w:sz w:val="21"/>
              </w:rPr>
              <w:t>10.13</w:t>
            </w:r>
          </w:p>
        </w:tc>
        <w:tc>
          <w:tcPr>
            <w:tcW w:w="1548" w:type="dxa"/>
          </w:tcPr>
          <w:p>
            <w:pPr>
              <w:pStyle w:val="TableParagraph"/>
              <w:spacing w:line="205" w:lineRule="exact"/>
              <w:ind w:left="105"/>
              <w:rPr>
                <w:b/>
                <w:sz w:val="21"/>
              </w:rPr>
            </w:pPr>
            <w:r>
              <w:rPr>
                <w:b/>
                <w:sz w:val="21"/>
              </w:rPr>
              <w:t>未到期净保费</w:t>
            </w:r>
            <w:r>
              <w:rPr>
                <w:b/>
                <w:w w:val="99"/>
                <w:sz w:val="21"/>
              </w:rPr>
              <w:t> </w:t>
            </w:r>
          </w:p>
        </w:tc>
        <w:tc>
          <w:tcPr>
            <w:tcW w:w="7526" w:type="dxa"/>
          </w:tcPr>
          <w:p>
            <w:pPr>
              <w:pStyle w:val="TableParagraph"/>
              <w:spacing w:line="221" w:lineRule="exact"/>
              <w:ind w:left="72"/>
              <w:rPr>
                <w:sz w:val="21"/>
              </w:rPr>
            </w:pPr>
            <w:r>
              <w:rPr>
                <w:sz w:val="21"/>
              </w:rPr>
              <w:t>未到期净保费</w:t>
            </w:r>
            <w:r>
              <w:rPr>
                <w:rFonts w:ascii="Times New Roman" w:hAnsi="Times New Roman" w:eastAsia="Times New Roman"/>
                <w:sz w:val="21"/>
              </w:rPr>
              <w:t>=</w:t>
            </w:r>
            <w:r>
              <w:rPr>
                <w:sz w:val="21"/>
              </w:rPr>
              <w:t>保险费</w:t>
            </w:r>
            <w:r>
              <w:rPr>
                <w:rFonts w:ascii="Times New Roman" w:hAnsi="Times New Roman" w:eastAsia="Times New Roman"/>
                <w:sz w:val="21"/>
              </w:rPr>
              <w:t>×</w:t>
            </w:r>
            <w:r>
              <w:rPr>
                <w:sz w:val="21"/>
              </w:rPr>
              <w:t>（</w:t>
            </w:r>
            <w:r>
              <w:rPr>
                <w:rFonts w:ascii="Times New Roman" w:hAnsi="Times New Roman" w:eastAsia="Times New Roman"/>
                <w:sz w:val="21"/>
              </w:rPr>
              <w:t>1-25%</w:t>
            </w:r>
            <w:r>
              <w:rPr>
                <w:sz w:val="21"/>
              </w:rPr>
              <w:t>）</w:t>
            </w:r>
            <w:r>
              <w:rPr>
                <w:rFonts w:ascii="Times New Roman" w:hAnsi="Times New Roman" w:eastAsia="Times New Roman"/>
                <w:sz w:val="21"/>
              </w:rPr>
              <w:t>×</w:t>
            </w:r>
            <w:r>
              <w:rPr>
                <w:sz w:val="21"/>
              </w:rPr>
              <w:t>（</w:t>
            </w:r>
            <w:r>
              <w:rPr>
                <w:rFonts w:ascii="Times New Roman" w:hAnsi="Times New Roman" w:eastAsia="Times New Roman"/>
                <w:sz w:val="21"/>
              </w:rPr>
              <w:t>1-</w:t>
            </w:r>
            <w:r>
              <w:rPr>
                <w:sz w:val="21"/>
              </w:rPr>
              <w:t>经过天数/本合同保险期间内所包含的</w:t>
            </w:r>
          </w:p>
          <w:p>
            <w:pPr>
              <w:pStyle w:val="TableParagraph"/>
              <w:spacing w:before="21"/>
              <w:ind w:left="72"/>
              <w:rPr>
                <w:sz w:val="21"/>
              </w:rPr>
            </w:pPr>
            <w:r>
              <w:rPr>
                <w:w w:val="100"/>
                <w:sz w:val="21"/>
              </w:rPr>
              <w:t>天数</w:t>
            </w:r>
            <w:r>
              <w:rPr>
                <w:spacing w:val="-108"/>
                <w:w w:val="100"/>
                <w:sz w:val="21"/>
              </w:rPr>
              <w:t>）</w:t>
            </w:r>
            <w:r>
              <w:rPr>
                <w:spacing w:val="-3"/>
                <w:w w:val="100"/>
                <w:sz w:val="21"/>
              </w:rPr>
              <w:t>，经过天数指从合同生效之日起至终止之日实际经过的天数。</w:t>
            </w:r>
          </w:p>
          <w:p>
            <w:pPr>
              <w:pStyle w:val="TableParagraph"/>
              <w:spacing w:line="264" w:lineRule="auto" w:before="130"/>
              <w:ind w:left="72" w:right="302"/>
              <w:jc w:val="both"/>
              <w:rPr>
                <w:sz w:val="21"/>
              </w:rPr>
            </w:pPr>
            <w:r>
              <w:rPr>
                <w:spacing w:val="-4"/>
                <w:sz w:val="21"/>
              </w:rPr>
              <w:t>本合同的未到期净保费为扣除手续费</w:t>
            </w:r>
            <w:r>
              <w:rPr>
                <w:sz w:val="21"/>
              </w:rPr>
              <w:t>（</w:t>
            </w:r>
            <w:r>
              <w:rPr>
                <w:spacing w:val="-6"/>
                <w:sz w:val="21"/>
              </w:rPr>
              <w:t>手续费为保费的 </w:t>
            </w:r>
            <w:r>
              <w:rPr>
                <w:rFonts w:ascii="Times New Roman" w:eastAsia="Times New Roman"/>
                <w:spacing w:val="-3"/>
                <w:sz w:val="21"/>
              </w:rPr>
              <w:t>25%</w:t>
            </w:r>
            <w:r>
              <w:rPr>
                <w:spacing w:val="-3"/>
                <w:sz w:val="21"/>
              </w:rPr>
              <w:t>）后的未到期保险费，其中手续费为我们对本合同已承担的保险责任所收取的费用及每张保险合同平均承担的营业费用、佣金的总和。</w:t>
            </w:r>
            <w:r>
              <w:rPr>
                <w:sz w:val="21"/>
              </w:rPr>
              <w:t> </w:t>
            </w:r>
          </w:p>
        </w:tc>
      </w:tr>
      <w:tr>
        <w:trPr>
          <w:trHeight w:val="869" w:hRule="atLeast"/>
        </w:trPr>
        <w:tc>
          <w:tcPr>
            <w:tcW w:w="884" w:type="dxa"/>
          </w:tcPr>
          <w:p>
            <w:pPr>
              <w:pStyle w:val="TableParagraph"/>
              <w:spacing w:before="6"/>
              <w:rPr>
                <w:sz w:val="15"/>
              </w:rPr>
            </w:pPr>
          </w:p>
          <w:p>
            <w:pPr>
              <w:pStyle w:val="TableParagraph"/>
              <w:ind w:left="200"/>
              <w:rPr>
                <w:rFonts w:ascii="Times New Roman"/>
                <w:b/>
                <w:sz w:val="21"/>
              </w:rPr>
            </w:pPr>
            <w:r>
              <w:rPr>
                <w:rFonts w:ascii="Times New Roman"/>
                <w:b/>
                <w:sz w:val="21"/>
              </w:rPr>
              <w:t>10.14</w:t>
            </w:r>
          </w:p>
        </w:tc>
        <w:tc>
          <w:tcPr>
            <w:tcW w:w="1548" w:type="dxa"/>
          </w:tcPr>
          <w:p>
            <w:pPr>
              <w:pStyle w:val="TableParagraph"/>
              <w:spacing w:before="153"/>
              <w:ind w:left="105"/>
              <w:rPr>
                <w:b/>
                <w:sz w:val="21"/>
              </w:rPr>
            </w:pPr>
            <w:r>
              <w:rPr>
                <w:b/>
                <w:sz w:val="21"/>
              </w:rPr>
              <w:t>有效身份证件</w:t>
            </w:r>
            <w:r>
              <w:rPr>
                <w:b/>
                <w:w w:val="99"/>
                <w:sz w:val="21"/>
              </w:rPr>
              <w:t> </w:t>
            </w:r>
          </w:p>
        </w:tc>
        <w:tc>
          <w:tcPr>
            <w:tcW w:w="7526" w:type="dxa"/>
          </w:tcPr>
          <w:p>
            <w:pPr>
              <w:pStyle w:val="TableParagraph"/>
              <w:spacing w:line="273" w:lineRule="auto" w:before="153"/>
              <w:ind w:left="72" w:right="305"/>
              <w:rPr>
                <w:sz w:val="21"/>
              </w:rPr>
            </w:pPr>
            <w:r>
              <w:rPr>
                <w:sz w:val="21"/>
              </w:rPr>
              <w:t>指由政府主管部门规定的证明其身份的证件，如：居民身份证、按规定可使用的有效护照、军官证、警官证、士兵证、户口簿等证件。 </w:t>
            </w:r>
          </w:p>
        </w:tc>
      </w:tr>
      <w:tr>
        <w:trPr>
          <w:trHeight w:val="319" w:hRule="atLeast"/>
        </w:trPr>
        <w:tc>
          <w:tcPr>
            <w:tcW w:w="884" w:type="dxa"/>
          </w:tcPr>
          <w:p>
            <w:pPr>
              <w:pStyle w:val="TableParagraph"/>
              <w:rPr>
                <w:rFonts w:ascii="Times New Roman"/>
                <w:sz w:val="20"/>
              </w:rPr>
            </w:pPr>
          </w:p>
        </w:tc>
        <w:tc>
          <w:tcPr>
            <w:tcW w:w="1548" w:type="dxa"/>
          </w:tcPr>
          <w:p>
            <w:pPr>
              <w:pStyle w:val="TableParagraph"/>
              <w:spacing w:line="233" w:lineRule="exact" w:before="66"/>
              <w:ind w:left="105"/>
              <w:rPr>
                <w:b/>
                <w:sz w:val="21"/>
              </w:rPr>
            </w:pPr>
            <w:r>
              <w:rPr>
                <w:b/>
                <w:w w:val="99"/>
                <w:sz w:val="21"/>
              </w:rPr>
              <w:t> </w:t>
            </w:r>
          </w:p>
        </w:tc>
        <w:tc>
          <w:tcPr>
            <w:tcW w:w="7526" w:type="dxa"/>
          </w:tcPr>
          <w:p>
            <w:pPr>
              <w:pStyle w:val="TableParagraph"/>
              <w:spacing w:line="233" w:lineRule="exact" w:before="66"/>
              <w:ind w:left="72"/>
              <w:rPr>
                <w:sz w:val="21"/>
              </w:rPr>
            </w:pPr>
            <w:r>
              <w:rPr>
                <w:w w:val="100"/>
                <w:sz w:val="21"/>
              </w:rPr>
              <w:t> </w:t>
            </w:r>
          </w:p>
        </w:tc>
      </w:tr>
      <w:tr>
        <w:trPr>
          <w:trHeight w:val="155" w:hRule="atLeast"/>
        </w:trPr>
        <w:tc>
          <w:tcPr>
            <w:tcW w:w="884" w:type="dxa"/>
          </w:tcPr>
          <w:p>
            <w:pPr>
              <w:pStyle w:val="TableParagraph"/>
              <w:rPr>
                <w:rFonts w:ascii="Times New Roman"/>
                <w:sz w:val="10"/>
              </w:rPr>
            </w:pPr>
          </w:p>
        </w:tc>
        <w:tc>
          <w:tcPr>
            <w:tcW w:w="1548" w:type="dxa"/>
          </w:tcPr>
          <w:p>
            <w:pPr>
              <w:pStyle w:val="TableParagraph"/>
              <w:spacing w:line="136" w:lineRule="exact"/>
              <w:ind w:left="105"/>
              <w:rPr>
                <w:b/>
                <w:sz w:val="21"/>
              </w:rPr>
            </w:pPr>
            <w:r>
              <w:rPr>
                <w:b/>
                <w:w w:val="99"/>
                <w:sz w:val="21"/>
              </w:rPr>
              <w:t> </w:t>
            </w:r>
          </w:p>
        </w:tc>
        <w:tc>
          <w:tcPr>
            <w:tcW w:w="7526" w:type="dxa"/>
          </w:tcPr>
          <w:p>
            <w:pPr>
              <w:pStyle w:val="TableParagraph"/>
              <w:spacing w:line="136" w:lineRule="exact"/>
              <w:ind w:left="72"/>
              <w:rPr>
                <w:sz w:val="21"/>
              </w:rPr>
            </w:pPr>
            <w:r>
              <w:rPr>
                <w:w w:val="100"/>
                <w:sz w:val="21"/>
              </w:rPr>
              <w:t> </w:t>
            </w:r>
          </w:p>
        </w:tc>
      </w:tr>
      <w:tr>
        <w:trPr>
          <w:trHeight w:val="645" w:hRule="atLeast"/>
        </w:trPr>
        <w:tc>
          <w:tcPr>
            <w:tcW w:w="884" w:type="dxa"/>
          </w:tcPr>
          <w:p>
            <w:pPr>
              <w:pStyle w:val="TableParagraph"/>
              <w:spacing w:line="220" w:lineRule="exact"/>
              <w:ind w:left="200"/>
              <w:rPr>
                <w:b/>
                <w:sz w:val="21"/>
              </w:rPr>
            </w:pPr>
            <w:r>
              <w:rPr>
                <w:rFonts w:ascii="Times New Roman"/>
                <w:b/>
                <w:sz w:val="21"/>
              </w:rPr>
              <w:t>10.15</w:t>
            </w:r>
            <w:r>
              <w:rPr>
                <w:b/>
                <w:w w:val="99"/>
                <w:sz w:val="21"/>
              </w:rPr>
              <w:t> </w:t>
            </w:r>
          </w:p>
        </w:tc>
        <w:tc>
          <w:tcPr>
            <w:tcW w:w="1548" w:type="dxa"/>
          </w:tcPr>
          <w:p>
            <w:pPr>
              <w:pStyle w:val="TableParagraph"/>
              <w:spacing w:line="204" w:lineRule="exact"/>
              <w:ind w:left="105"/>
              <w:rPr>
                <w:b/>
                <w:sz w:val="21"/>
              </w:rPr>
            </w:pPr>
            <w:r>
              <w:rPr>
                <w:b/>
                <w:sz w:val="21"/>
              </w:rPr>
              <w:t>司法鉴定机构</w:t>
            </w:r>
            <w:r>
              <w:rPr>
                <w:b/>
                <w:w w:val="99"/>
                <w:sz w:val="21"/>
              </w:rPr>
              <w:t> </w:t>
            </w:r>
          </w:p>
        </w:tc>
        <w:tc>
          <w:tcPr>
            <w:tcW w:w="7526" w:type="dxa"/>
          </w:tcPr>
          <w:p>
            <w:pPr>
              <w:pStyle w:val="TableParagraph"/>
              <w:spacing w:line="204" w:lineRule="exact"/>
              <w:ind w:left="72"/>
              <w:rPr>
                <w:sz w:val="21"/>
              </w:rPr>
            </w:pPr>
            <w:r>
              <w:rPr>
                <w:sz w:val="21"/>
              </w:rPr>
              <w:t>指经中华人民共和国司法行政机关审核登记，依法取得《司法鉴定许可证》且</w:t>
            </w:r>
          </w:p>
          <w:p>
            <w:pPr>
              <w:pStyle w:val="TableParagraph"/>
              <w:spacing w:before="37"/>
              <w:ind w:left="72"/>
              <w:rPr>
                <w:sz w:val="21"/>
              </w:rPr>
            </w:pPr>
            <w:r>
              <w:rPr>
                <w:sz w:val="21"/>
              </w:rPr>
              <w:t>鉴定业务范围包含法医临床鉴定的司法鉴定机构。 </w:t>
            </w:r>
          </w:p>
        </w:tc>
      </w:tr>
      <w:tr>
        <w:trPr>
          <w:trHeight w:val="305" w:hRule="atLeast"/>
        </w:trPr>
        <w:tc>
          <w:tcPr>
            <w:tcW w:w="884" w:type="dxa"/>
          </w:tcPr>
          <w:p>
            <w:pPr>
              <w:pStyle w:val="TableParagraph"/>
              <w:rPr>
                <w:rFonts w:ascii="Times New Roman"/>
                <w:sz w:val="20"/>
              </w:rPr>
            </w:pPr>
          </w:p>
        </w:tc>
        <w:tc>
          <w:tcPr>
            <w:tcW w:w="1548" w:type="dxa"/>
          </w:tcPr>
          <w:p>
            <w:pPr>
              <w:pStyle w:val="TableParagraph"/>
              <w:spacing w:line="221" w:lineRule="exact" w:before="65"/>
              <w:ind w:left="105"/>
              <w:rPr>
                <w:b/>
                <w:sz w:val="21"/>
              </w:rPr>
            </w:pPr>
            <w:r>
              <w:rPr>
                <w:b/>
                <w:w w:val="99"/>
                <w:sz w:val="21"/>
              </w:rPr>
              <w:t> </w:t>
            </w:r>
          </w:p>
        </w:tc>
        <w:tc>
          <w:tcPr>
            <w:tcW w:w="7526" w:type="dxa"/>
          </w:tcPr>
          <w:p>
            <w:pPr>
              <w:pStyle w:val="TableParagraph"/>
              <w:spacing w:line="221" w:lineRule="exact" w:before="65"/>
              <w:ind w:left="72"/>
              <w:rPr>
                <w:sz w:val="21"/>
              </w:rPr>
            </w:pPr>
            <w:r>
              <w:rPr>
                <w:w w:val="100"/>
                <w:sz w:val="21"/>
              </w:rPr>
              <w:t> </w:t>
            </w:r>
          </w:p>
        </w:tc>
      </w:tr>
      <w:tr>
        <w:trPr>
          <w:trHeight w:val="1900" w:hRule="atLeast"/>
        </w:trPr>
        <w:tc>
          <w:tcPr>
            <w:tcW w:w="884" w:type="dxa"/>
          </w:tcPr>
          <w:p>
            <w:pPr>
              <w:pStyle w:val="TableParagraph"/>
              <w:spacing w:line="220" w:lineRule="exact"/>
              <w:ind w:left="200"/>
              <w:rPr>
                <w:rFonts w:ascii="Times New Roman"/>
                <w:b/>
                <w:sz w:val="21"/>
              </w:rPr>
            </w:pPr>
            <w:r>
              <w:rPr>
                <w:rFonts w:ascii="Times New Roman"/>
                <w:b/>
                <w:sz w:val="21"/>
              </w:rPr>
              <w:t>10.16</w:t>
            </w:r>
          </w:p>
        </w:tc>
        <w:tc>
          <w:tcPr>
            <w:tcW w:w="1548" w:type="dxa"/>
          </w:tcPr>
          <w:p>
            <w:pPr>
              <w:pStyle w:val="TableParagraph"/>
              <w:spacing w:line="204" w:lineRule="exact"/>
              <w:ind w:left="105"/>
              <w:rPr>
                <w:b/>
                <w:sz w:val="21"/>
              </w:rPr>
            </w:pPr>
            <w:r>
              <w:rPr>
                <w:b/>
                <w:sz w:val="21"/>
              </w:rPr>
              <w:t>专科医生</w:t>
            </w:r>
            <w:r>
              <w:rPr>
                <w:b/>
                <w:w w:val="99"/>
                <w:sz w:val="21"/>
              </w:rPr>
              <w:t> </w:t>
            </w:r>
          </w:p>
        </w:tc>
        <w:tc>
          <w:tcPr>
            <w:tcW w:w="7526" w:type="dxa"/>
          </w:tcPr>
          <w:p>
            <w:pPr>
              <w:pStyle w:val="TableParagraph"/>
              <w:spacing w:line="204" w:lineRule="exact"/>
              <w:ind w:left="72"/>
              <w:rPr>
                <w:sz w:val="21"/>
              </w:rPr>
            </w:pPr>
            <w:r>
              <w:rPr>
                <w:sz w:val="21"/>
              </w:rPr>
              <w:t>专科医生应当同时满足以下四项资格条件： </w:t>
            </w:r>
          </w:p>
          <w:p>
            <w:pPr>
              <w:pStyle w:val="TableParagraph"/>
              <w:spacing w:before="37"/>
              <w:ind w:left="72"/>
              <w:rPr>
                <w:sz w:val="21"/>
              </w:rPr>
            </w:pPr>
            <w:r>
              <w:rPr>
                <w:rFonts w:ascii="Times New Roman" w:eastAsia="Times New Roman"/>
                <w:sz w:val="21"/>
              </w:rPr>
              <w:t>1.</w:t>
            </w:r>
            <w:r>
              <w:rPr>
                <w:sz w:val="21"/>
              </w:rPr>
              <w:t>具有有效的中华人民共和国《医师资格证书》； </w:t>
            </w:r>
          </w:p>
          <w:p>
            <w:pPr>
              <w:pStyle w:val="TableParagraph"/>
              <w:spacing w:before="21"/>
              <w:ind w:left="72"/>
              <w:rPr>
                <w:sz w:val="21"/>
              </w:rPr>
            </w:pPr>
            <w:r>
              <w:rPr>
                <w:rFonts w:ascii="Times New Roman" w:eastAsia="Times New Roman"/>
                <w:sz w:val="21"/>
              </w:rPr>
              <w:t>2.</w:t>
            </w:r>
            <w:r>
              <w:rPr>
                <w:sz w:val="21"/>
              </w:rPr>
              <w:t>具有有效的中华人民共和国《医师执业证书》，并按期到相关部门登记注册； </w:t>
            </w:r>
          </w:p>
          <w:p>
            <w:pPr>
              <w:pStyle w:val="TableParagraph"/>
              <w:spacing w:line="256" w:lineRule="auto" w:before="21"/>
              <w:ind w:left="72" w:right="567"/>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2"/>
              <w:ind w:left="72"/>
              <w:rPr>
                <w:sz w:val="21"/>
              </w:rPr>
            </w:pPr>
            <w:r>
              <w:rPr>
                <w:rFonts w:ascii="Times New Roman" w:eastAsia="Times New Roman"/>
                <w:sz w:val="21"/>
              </w:rPr>
              <w:t>4.</w:t>
            </w:r>
            <w:r>
              <w:rPr>
                <w:sz w:val="21"/>
              </w:rPr>
              <w:t>在二级或二级以上医院的相应科室从事临床工作三年以上。</w:t>
            </w:r>
          </w:p>
        </w:tc>
      </w:tr>
      <w:tr>
        <w:trPr>
          <w:trHeight w:val="297" w:hRule="atLeast"/>
        </w:trPr>
        <w:tc>
          <w:tcPr>
            <w:tcW w:w="884" w:type="dxa"/>
          </w:tcPr>
          <w:p>
            <w:pPr>
              <w:pStyle w:val="TableParagraph"/>
              <w:rPr>
                <w:rFonts w:ascii="Times New Roman"/>
                <w:sz w:val="20"/>
              </w:rPr>
            </w:pPr>
          </w:p>
        </w:tc>
        <w:tc>
          <w:tcPr>
            <w:tcW w:w="1548" w:type="dxa"/>
          </w:tcPr>
          <w:p>
            <w:pPr>
              <w:pStyle w:val="TableParagraph"/>
              <w:spacing w:line="221" w:lineRule="exact" w:before="56"/>
              <w:ind w:left="105"/>
              <w:rPr>
                <w:b/>
                <w:sz w:val="21"/>
              </w:rPr>
            </w:pPr>
            <w:r>
              <w:rPr>
                <w:b/>
                <w:w w:val="99"/>
                <w:sz w:val="21"/>
              </w:rPr>
              <w:t> </w:t>
            </w:r>
          </w:p>
        </w:tc>
        <w:tc>
          <w:tcPr>
            <w:tcW w:w="7526" w:type="dxa"/>
          </w:tcPr>
          <w:p>
            <w:pPr>
              <w:pStyle w:val="TableParagraph"/>
              <w:spacing w:line="221" w:lineRule="exact" w:before="56"/>
              <w:ind w:left="72"/>
              <w:rPr>
                <w:sz w:val="21"/>
              </w:rPr>
            </w:pPr>
            <w:r>
              <w:rPr>
                <w:w w:val="100"/>
                <w:sz w:val="21"/>
              </w:rPr>
              <w:t> </w:t>
            </w:r>
          </w:p>
        </w:tc>
      </w:tr>
      <w:tr>
        <w:trPr>
          <w:trHeight w:val="644" w:hRule="atLeast"/>
        </w:trPr>
        <w:tc>
          <w:tcPr>
            <w:tcW w:w="884" w:type="dxa"/>
          </w:tcPr>
          <w:p>
            <w:pPr>
              <w:pStyle w:val="TableParagraph"/>
              <w:spacing w:line="220" w:lineRule="exact"/>
              <w:ind w:left="200"/>
              <w:rPr>
                <w:rFonts w:ascii="Times New Roman"/>
                <w:b/>
                <w:sz w:val="21"/>
              </w:rPr>
            </w:pPr>
            <w:r>
              <w:rPr>
                <w:rFonts w:ascii="Times New Roman"/>
                <w:b/>
                <w:sz w:val="21"/>
              </w:rPr>
              <w:t>10.17</w:t>
            </w:r>
          </w:p>
        </w:tc>
        <w:tc>
          <w:tcPr>
            <w:tcW w:w="1548" w:type="dxa"/>
          </w:tcPr>
          <w:p>
            <w:pPr>
              <w:pStyle w:val="TableParagraph"/>
              <w:spacing w:line="204" w:lineRule="exact"/>
              <w:ind w:left="105"/>
              <w:rPr>
                <w:b/>
                <w:sz w:val="21"/>
              </w:rPr>
            </w:pPr>
            <w:r>
              <w:rPr>
                <w:b/>
                <w:sz w:val="21"/>
              </w:rPr>
              <w:t>肢体机能完全</w:t>
            </w:r>
          </w:p>
          <w:p>
            <w:pPr>
              <w:pStyle w:val="TableParagraph"/>
              <w:spacing w:before="37"/>
              <w:ind w:left="105"/>
              <w:rPr>
                <w:b/>
                <w:sz w:val="21"/>
              </w:rPr>
            </w:pPr>
            <w:r>
              <w:rPr>
                <w:b/>
                <w:sz w:val="21"/>
              </w:rPr>
              <w:t>丧失</w:t>
            </w:r>
            <w:r>
              <w:rPr>
                <w:b/>
                <w:w w:val="99"/>
                <w:sz w:val="21"/>
              </w:rPr>
              <w:t> </w:t>
            </w:r>
          </w:p>
        </w:tc>
        <w:tc>
          <w:tcPr>
            <w:tcW w:w="7526" w:type="dxa"/>
          </w:tcPr>
          <w:p>
            <w:pPr>
              <w:pStyle w:val="TableParagraph"/>
              <w:spacing w:line="204" w:lineRule="exact"/>
              <w:ind w:left="72"/>
              <w:rPr>
                <w:sz w:val="21"/>
              </w:rPr>
            </w:pPr>
            <w:r>
              <w:rPr>
                <w:sz w:val="21"/>
              </w:rPr>
              <w:t>指肢体的三大关节中的两大关节僵硬，或不能随意识活动。肢体是指包括肩关</w:t>
            </w:r>
          </w:p>
          <w:p>
            <w:pPr>
              <w:pStyle w:val="TableParagraph"/>
              <w:spacing w:before="37"/>
              <w:ind w:left="72"/>
              <w:rPr>
                <w:sz w:val="21"/>
              </w:rPr>
            </w:pPr>
            <w:r>
              <w:rPr>
                <w:sz w:val="21"/>
              </w:rPr>
              <w:t>节的整个上肢或包括髋关节的整个下肢。</w:t>
            </w:r>
          </w:p>
        </w:tc>
      </w:tr>
      <w:tr>
        <w:trPr>
          <w:trHeight w:val="339" w:hRule="atLeast"/>
        </w:trPr>
        <w:tc>
          <w:tcPr>
            <w:tcW w:w="884" w:type="dxa"/>
          </w:tcPr>
          <w:p>
            <w:pPr>
              <w:pStyle w:val="TableParagraph"/>
              <w:rPr>
                <w:rFonts w:ascii="Times New Roman"/>
                <w:sz w:val="20"/>
              </w:rPr>
            </w:pPr>
          </w:p>
        </w:tc>
        <w:tc>
          <w:tcPr>
            <w:tcW w:w="1548" w:type="dxa"/>
          </w:tcPr>
          <w:p>
            <w:pPr>
              <w:pStyle w:val="TableParagraph"/>
              <w:spacing w:line="255" w:lineRule="exact" w:before="64"/>
              <w:ind w:left="105"/>
              <w:rPr>
                <w:b/>
                <w:sz w:val="21"/>
              </w:rPr>
            </w:pPr>
            <w:r>
              <w:rPr>
                <w:b/>
                <w:w w:val="99"/>
                <w:sz w:val="21"/>
              </w:rPr>
              <w:t> </w:t>
            </w:r>
          </w:p>
        </w:tc>
        <w:tc>
          <w:tcPr>
            <w:tcW w:w="7526" w:type="dxa"/>
          </w:tcPr>
          <w:p>
            <w:pPr>
              <w:pStyle w:val="TableParagraph"/>
              <w:spacing w:line="255" w:lineRule="exact" w:before="64"/>
              <w:ind w:left="72"/>
              <w:rPr>
                <w:sz w:val="21"/>
              </w:rPr>
            </w:pPr>
            <w:r>
              <w:rPr>
                <w:w w:val="100"/>
                <w:sz w:val="21"/>
              </w:rPr>
              <w:t> </w:t>
            </w:r>
          </w:p>
        </w:tc>
      </w:tr>
    </w:tbl>
    <w:p>
      <w:pPr>
        <w:spacing w:after="0" w:line="255" w:lineRule="exact"/>
        <w:rPr>
          <w:sz w:val="21"/>
        </w:rPr>
        <w:sectPr>
          <w:pgSz w:w="11910" w:h="16840"/>
          <w:pgMar w:header="0" w:footer="924" w:top="1160" w:bottom="112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497"/>
        <w:gridCol w:w="7578"/>
      </w:tblGrid>
      <w:tr>
        <w:trPr>
          <w:trHeight w:val="1282" w:hRule="atLeast"/>
        </w:trPr>
        <w:tc>
          <w:tcPr>
            <w:tcW w:w="884" w:type="dxa"/>
          </w:tcPr>
          <w:p>
            <w:pPr>
              <w:pStyle w:val="TableParagraph"/>
              <w:spacing w:line="234" w:lineRule="exact"/>
              <w:ind w:left="182" w:right="88"/>
              <w:jc w:val="center"/>
              <w:rPr>
                <w:b/>
                <w:sz w:val="21"/>
              </w:rPr>
            </w:pPr>
            <w:r>
              <w:rPr>
                <w:rFonts w:ascii="Times New Roman"/>
                <w:b/>
                <w:sz w:val="21"/>
              </w:rPr>
              <w:t>10.18</w:t>
            </w:r>
            <w:r>
              <w:rPr>
                <w:b/>
                <w:w w:val="99"/>
                <w:sz w:val="21"/>
              </w:rPr>
              <w:t> </w:t>
            </w:r>
          </w:p>
        </w:tc>
        <w:tc>
          <w:tcPr>
            <w:tcW w:w="1497" w:type="dxa"/>
          </w:tcPr>
          <w:p>
            <w:pPr>
              <w:pStyle w:val="TableParagraph"/>
              <w:spacing w:line="218" w:lineRule="exact"/>
              <w:ind w:left="105"/>
              <w:rPr>
                <w:b/>
                <w:sz w:val="21"/>
              </w:rPr>
            </w:pPr>
            <w:r>
              <w:rPr>
                <w:b/>
                <w:sz w:val="21"/>
              </w:rPr>
              <w:t>语言能力或咀</w:t>
            </w:r>
          </w:p>
          <w:p>
            <w:pPr>
              <w:pStyle w:val="TableParagraph"/>
              <w:spacing w:line="273" w:lineRule="auto" w:before="37"/>
              <w:ind w:left="105" w:right="122"/>
              <w:rPr>
                <w:b/>
                <w:sz w:val="21"/>
              </w:rPr>
            </w:pPr>
            <w:r>
              <w:rPr>
                <w:b/>
                <w:sz w:val="21"/>
              </w:rPr>
              <w:t>嚼吞咽能力完全丧失</w:t>
            </w:r>
            <w:r>
              <w:rPr>
                <w:b/>
                <w:w w:val="99"/>
                <w:sz w:val="21"/>
              </w:rPr>
              <w:t> </w:t>
            </w:r>
          </w:p>
        </w:tc>
        <w:tc>
          <w:tcPr>
            <w:tcW w:w="7578" w:type="dxa"/>
          </w:tcPr>
          <w:p>
            <w:pPr>
              <w:pStyle w:val="TableParagraph"/>
              <w:spacing w:line="218" w:lineRule="exact"/>
              <w:ind w:left="123"/>
              <w:rPr>
                <w:sz w:val="21"/>
              </w:rPr>
            </w:pPr>
            <w:r>
              <w:rPr>
                <w:sz w:val="21"/>
              </w:rPr>
              <w:t>语言能力完全丧失，指无法发出四种语音（包括口唇音、齿舌音、口盖音和喉</w:t>
            </w:r>
          </w:p>
          <w:p>
            <w:pPr>
              <w:pStyle w:val="TableParagraph"/>
              <w:spacing w:line="273" w:lineRule="auto" w:before="37"/>
              <w:ind w:left="123" w:right="198"/>
              <w:rPr>
                <w:sz w:val="21"/>
              </w:rPr>
            </w:pPr>
            <w:r>
              <w:rPr>
                <w:spacing w:val="-2"/>
                <w:sz w:val="21"/>
              </w:rPr>
              <w:t>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r>
              <w:rPr>
                <w:sz w:val="21"/>
              </w:rPr>
              <w:t> </w:t>
            </w:r>
          </w:p>
        </w:tc>
      </w:tr>
      <w:tr>
        <w:trPr>
          <w:trHeight w:val="304" w:hRule="atLeast"/>
        </w:trPr>
        <w:tc>
          <w:tcPr>
            <w:tcW w:w="884" w:type="dxa"/>
          </w:tcPr>
          <w:p>
            <w:pPr>
              <w:pStyle w:val="TableParagraph"/>
              <w:rPr>
                <w:rFonts w:ascii="Times New Roman"/>
                <w:sz w:val="20"/>
              </w:rPr>
            </w:pPr>
          </w:p>
        </w:tc>
        <w:tc>
          <w:tcPr>
            <w:tcW w:w="1497" w:type="dxa"/>
          </w:tcPr>
          <w:p>
            <w:pPr>
              <w:pStyle w:val="TableParagraph"/>
              <w:spacing w:line="220" w:lineRule="exact" w:before="64"/>
              <w:ind w:left="105"/>
              <w:rPr>
                <w:b/>
                <w:sz w:val="21"/>
              </w:rPr>
            </w:pPr>
            <w:r>
              <w:rPr>
                <w:b/>
                <w:w w:val="99"/>
                <w:sz w:val="21"/>
              </w:rPr>
              <w:t> </w:t>
            </w:r>
          </w:p>
        </w:tc>
        <w:tc>
          <w:tcPr>
            <w:tcW w:w="7578" w:type="dxa"/>
          </w:tcPr>
          <w:p>
            <w:pPr>
              <w:pStyle w:val="TableParagraph"/>
              <w:spacing w:line="220" w:lineRule="exact" w:before="64"/>
              <w:ind w:left="123"/>
              <w:rPr>
                <w:sz w:val="21"/>
              </w:rPr>
            </w:pPr>
            <w:r>
              <w:rPr>
                <w:w w:val="100"/>
                <w:sz w:val="21"/>
              </w:rPr>
              <w:t> </w:t>
            </w:r>
          </w:p>
        </w:tc>
      </w:tr>
      <w:tr>
        <w:trPr>
          <w:trHeight w:val="1901" w:hRule="atLeast"/>
        </w:trPr>
        <w:tc>
          <w:tcPr>
            <w:tcW w:w="884" w:type="dxa"/>
          </w:tcPr>
          <w:p>
            <w:pPr>
              <w:pStyle w:val="TableParagraph"/>
              <w:spacing w:line="221" w:lineRule="exact"/>
              <w:ind w:left="132" w:right="138"/>
              <w:jc w:val="center"/>
              <w:rPr>
                <w:rFonts w:ascii="Times New Roman"/>
                <w:b/>
                <w:sz w:val="21"/>
              </w:rPr>
            </w:pPr>
            <w:r>
              <w:rPr>
                <w:rFonts w:ascii="Times New Roman"/>
                <w:b/>
                <w:sz w:val="21"/>
              </w:rPr>
              <w:t>10.19</w:t>
            </w:r>
          </w:p>
        </w:tc>
        <w:tc>
          <w:tcPr>
            <w:tcW w:w="1497" w:type="dxa"/>
          </w:tcPr>
          <w:p>
            <w:pPr>
              <w:pStyle w:val="TableParagraph"/>
              <w:spacing w:line="205" w:lineRule="exact"/>
              <w:ind w:left="105"/>
              <w:rPr>
                <w:b/>
                <w:sz w:val="21"/>
              </w:rPr>
            </w:pPr>
            <w:r>
              <w:rPr>
                <w:b/>
                <w:sz w:val="21"/>
              </w:rPr>
              <w:t>六项基本日常</w:t>
            </w:r>
          </w:p>
          <w:p>
            <w:pPr>
              <w:pStyle w:val="TableParagraph"/>
              <w:spacing w:before="37"/>
              <w:ind w:left="105"/>
              <w:rPr>
                <w:b/>
                <w:sz w:val="21"/>
              </w:rPr>
            </w:pPr>
            <w:r>
              <w:rPr>
                <w:b/>
                <w:sz w:val="21"/>
              </w:rPr>
              <w:t>生活活动</w:t>
            </w:r>
            <w:r>
              <w:rPr>
                <w:b/>
                <w:w w:val="99"/>
                <w:sz w:val="21"/>
              </w:rPr>
              <w:t> </w:t>
            </w:r>
          </w:p>
        </w:tc>
        <w:tc>
          <w:tcPr>
            <w:tcW w:w="7578" w:type="dxa"/>
          </w:tcPr>
          <w:p>
            <w:pPr>
              <w:pStyle w:val="TableParagraph"/>
              <w:spacing w:line="221" w:lineRule="exact"/>
              <w:ind w:left="123"/>
              <w:rPr>
                <w:sz w:val="21"/>
              </w:rPr>
            </w:pPr>
            <w:r>
              <w:rPr>
                <w:rFonts w:ascii="Times New Roman" w:eastAsia="Times New Roman"/>
                <w:sz w:val="21"/>
              </w:rPr>
              <w:t>1.</w:t>
            </w:r>
            <w:r>
              <w:rPr>
                <w:sz w:val="21"/>
              </w:rPr>
              <w:t>穿衣：自己能够穿衣及脱衣； </w:t>
            </w:r>
          </w:p>
          <w:p>
            <w:pPr>
              <w:pStyle w:val="TableParagraph"/>
              <w:spacing w:before="21"/>
              <w:ind w:left="123"/>
              <w:rPr>
                <w:sz w:val="21"/>
              </w:rPr>
            </w:pPr>
            <w:r>
              <w:rPr>
                <w:rFonts w:ascii="Times New Roman" w:eastAsia="Times New Roman"/>
                <w:sz w:val="21"/>
              </w:rPr>
              <w:t>2.</w:t>
            </w:r>
            <w:r>
              <w:rPr>
                <w:sz w:val="21"/>
              </w:rPr>
              <w:t>移动：自己从一个房间到另一个房间； </w:t>
            </w:r>
          </w:p>
          <w:p>
            <w:pPr>
              <w:pStyle w:val="TableParagraph"/>
              <w:spacing w:before="21"/>
              <w:ind w:left="123"/>
              <w:rPr>
                <w:sz w:val="21"/>
              </w:rPr>
            </w:pPr>
            <w:r>
              <w:rPr>
                <w:rFonts w:ascii="Times New Roman" w:eastAsia="Times New Roman"/>
                <w:sz w:val="21"/>
              </w:rPr>
              <w:t>3.</w:t>
            </w:r>
            <w:r>
              <w:rPr>
                <w:sz w:val="21"/>
              </w:rPr>
              <w:t>行动：自己上下床或上下轮椅； </w:t>
            </w:r>
          </w:p>
          <w:p>
            <w:pPr>
              <w:pStyle w:val="TableParagraph"/>
              <w:spacing w:before="21"/>
              <w:ind w:left="123"/>
              <w:rPr>
                <w:sz w:val="21"/>
              </w:rPr>
            </w:pPr>
            <w:r>
              <w:rPr>
                <w:rFonts w:ascii="Times New Roman" w:eastAsia="Times New Roman"/>
                <w:sz w:val="21"/>
              </w:rPr>
              <w:t>4.</w:t>
            </w:r>
            <w:r>
              <w:rPr>
                <w:sz w:val="21"/>
              </w:rPr>
              <w:t>如厕：自己控制进行大小便； </w:t>
            </w:r>
          </w:p>
          <w:p>
            <w:pPr>
              <w:pStyle w:val="TableParagraph"/>
              <w:spacing w:before="21"/>
              <w:ind w:left="123"/>
              <w:rPr>
                <w:sz w:val="21"/>
              </w:rPr>
            </w:pPr>
            <w:r>
              <w:rPr>
                <w:rFonts w:ascii="Times New Roman" w:eastAsia="Times New Roman"/>
                <w:sz w:val="21"/>
              </w:rPr>
              <w:t>5.</w:t>
            </w:r>
            <w:r>
              <w:rPr>
                <w:sz w:val="21"/>
              </w:rPr>
              <w:t>进食：自己从已准备好的碗或碟中取食物放入口中； </w:t>
            </w:r>
          </w:p>
          <w:p>
            <w:pPr>
              <w:pStyle w:val="TableParagraph"/>
              <w:spacing w:before="21"/>
              <w:ind w:left="123"/>
              <w:rPr>
                <w:sz w:val="21"/>
              </w:rPr>
            </w:pPr>
            <w:r>
              <w:rPr>
                <w:rFonts w:ascii="Times New Roman" w:eastAsia="Times New Roman"/>
                <w:sz w:val="21"/>
              </w:rPr>
              <w:t>6.</w:t>
            </w:r>
            <w:r>
              <w:rPr>
                <w:sz w:val="21"/>
              </w:rPr>
              <w:t>洗澡：自己进行淋浴或盆浴。 </w:t>
            </w:r>
          </w:p>
        </w:tc>
      </w:tr>
      <w:tr>
        <w:trPr>
          <w:trHeight w:val="296" w:hRule="atLeast"/>
        </w:trPr>
        <w:tc>
          <w:tcPr>
            <w:tcW w:w="884" w:type="dxa"/>
          </w:tcPr>
          <w:p>
            <w:pPr>
              <w:pStyle w:val="TableParagraph"/>
              <w:rPr>
                <w:rFonts w:ascii="Times New Roman"/>
                <w:sz w:val="20"/>
              </w:rPr>
            </w:pPr>
          </w:p>
        </w:tc>
        <w:tc>
          <w:tcPr>
            <w:tcW w:w="1497" w:type="dxa"/>
          </w:tcPr>
          <w:p>
            <w:pPr>
              <w:pStyle w:val="TableParagraph"/>
              <w:spacing w:line="220" w:lineRule="exact" w:before="56"/>
              <w:ind w:left="105"/>
              <w:rPr>
                <w:b/>
                <w:sz w:val="21"/>
              </w:rPr>
            </w:pPr>
            <w:r>
              <w:rPr>
                <w:b/>
                <w:w w:val="99"/>
                <w:sz w:val="21"/>
              </w:rPr>
              <w:t> </w:t>
            </w:r>
          </w:p>
        </w:tc>
        <w:tc>
          <w:tcPr>
            <w:tcW w:w="7578" w:type="dxa"/>
          </w:tcPr>
          <w:p>
            <w:pPr>
              <w:pStyle w:val="TableParagraph"/>
              <w:spacing w:line="220" w:lineRule="exact" w:before="56"/>
              <w:ind w:left="123"/>
              <w:rPr>
                <w:sz w:val="21"/>
              </w:rPr>
            </w:pPr>
            <w:r>
              <w:rPr>
                <w:w w:val="100"/>
                <w:sz w:val="21"/>
              </w:rPr>
              <w:t> </w:t>
            </w:r>
          </w:p>
        </w:tc>
      </w:tr>
      <w:tr>
        <w:trPr>
          <w:trHeight w:val="517" w:hRule="atLeast"/>
        </w:trPr>
        <w:tc>
          <w:tcPr>
            <w:tcW w:w="884" w:type="dxa"/>
          </w:tcPr>
          <w:p>
            <w:pPr>
              <w:pStyle w:val="TableParagraph"/>
              <w:spacing w:line="221" w:lineRule="exact"/>
              <w:ind w:left="132" w:right="138"/>
              <w:jc w:val="center"/>
              <w:rPr>
                <w:rFonts w:ascii="Times New Roman"/>
                <w:b/>
                <w:sz w:val="21"/>
              </w:rPr>
            </w:pPr>
            <w:r>
              <w:rPr>
                <w:rFonts w:ascii="Times New Roman"/>
                <w:b/>
                <w:sz w:val="21"/>
              </w:rPr>
              <w:t>10.20</w:t>
            </w:r>
          </w:p>
        </w:tc>
        <w:tc>
          <w:tcPr>
            <w:tcW w:w="1497" w:type="dxa"/>
          </w:tcPr>
          <w:p>
            <w:pPr>
              <w:pStyle w:val="TableParagraph"/>
              <w:spacing w:line="205" w:lineRule="exact"/>
              <w:ind w:left="105"/>
              <w:rPr>
                <w:b/>
                <w:sz w:val="21"/>
              </w:rPr>
            </w:pPr>
            <w:r>
              <w:rPr>
                <w:b/>
                <w:sz w:val="21"/>
              </w:rPr>
              <w:t>永久不可逆</w:t>
            </w:r>
            <w:r>
              <w:rPr>
                <w:b/>
                <w:w w:val="99"/>
                <w:sz w:val="21"/>
              </w:rPr>
              <w:t> </w:t>
            </w:r>
          </w:p>
        </w:tc>
        <w:tc>
          <w:tcPr>
            <w:tcW w:w="7578" w:type="dxa"/>
          </w:tcPr>
          <w:p>
            <w:pPr>
              <w:pStyle w:val="TableParagraph"/>
              <w:spacing w:line="221" w:lineRule="exact"/>
              <w:ind w:left="123"/>
              <w:rPr>
                <w:sz w:val="21"/>
              </w:rPr>
            </w:pPr>
            <w:r>
              <w:rPr>
                <w:sz w:val="21"/>
              </w:rPr>
              <w:t>指自疾病确诊或意外伤害发生之日起，经过积极治疗 </w:t>
            </w:r>
            <w:r>
              <w:rPr>
                <w:rFonts w:ascii="Times New Roman" w:eastAsia="Times New Roman"/>
                <w:sz w:val="21"/>
              </w:rPr>
              <w:t>180 </w:t>
            </w:r>
            <w:r>
              <w:rPr>
                <w:sz w:val="21"/>
              </w:rPr>
              <w:t>日后，仍无法通过现</w:t>
            </w:r>
          </w:p>
          <w:p>
            <w:pPr>
              <w:pStyle w:val="TableParagraph"/>
              <w:spacing w:line="255" w:lineRule="exact" w:before="22"/>
              <w:ind w:left="123"/>
              <w:rPr>
                <w:sz w:val="21"/>
              </w:rPr>
            </w:pPr>
            <w:r>
              <w:rPr>
                <w:sz w:val="21"/>
              </w:rPr>
              <w:t>有医疗手段恢复。 </w:t>
            </w:r>
          </w:p>
        </w:tc>
      </w:tr>
    </w:tbl>
    <w:p>
      <w:pPr>
        <w:pStyle w:val="BodyText"/>
        <w:ind w:left="0"/>
        <w:rPr>
          <w:sz w:val="20"/>
        </w:rPr>
      </w:pPr>
    </w:p>
    <w:p>
      <w:pPr>
        <w:pStyle w:val="BodyText"/>
        <w:ind w:left="0"/>
        <w:rPr>
          <w:sz w:val="20"/>
        </w:rPr>
      </w:pPr>
    </w:p>
    <w:p>
      <w:pPr>
        <w:pStyle w:val="BodyText"/>
        <w:spacing w:before="7"/>
        <w:ind w:left="0"/>
        <w:rPr>
          <w:sz w:val="24"/>
        </w:rPr>
      </w:pPr>
    </w:p>
    <w:p>
      <w:pPr>
        <w:pStyle w:val="BodyText"/>
        <w:spacing w:before="36"/>
        <w:ind w:left="4024" w:right="4025"/>
        <w:jc w:val="center"/>
      </w:pPr>
      <w:r>
        <w:rPr/>
        <w:t>（保险条款内容结束）</w:t>
      </w:r>
    </w:p>
    <w:sectPr>
      <w:pgSz w:w="11910" w:h="16840"/>
      <w:pgMar w:header="0" w:footer="924" w:top="1160" w:bottom="1120" w:left="8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393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58.369995pt;margin-top:780.699951pt;width:78.7pt;height:12pt;mso-position-horizontal-relative:page;mso-position-vertical-relative:page;z-index:-393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16</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9"/>
      <w:numFmt w:val="decimal"/>
      <w:lvlText w:val="(%1)"/>
      <w:lvlJc w:val="left"/>
      <w:pPr>
        <w:ind w:left="648" w:hanging="52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13" w:hanging="526"/>
      </w:pPr>
      <w:rPr>
        <w:rFonts w:hint="default"/>
      </w:rPr>
    </w:lvl>
    <w:lvl w:ilvl="2">
      <w:start w:val="0"/>
      <w:numFmt w:val="bullet"/>
      <w:lvlText w:val="•"/>
      <w:lvlJc w:val="left"/>
      <w:pPr>
        <w:ind w:left="1987" w:hanging="526"/>
      </w:pPr>
      <w:rPr>
        <w:rFonts w:hint="default"/>
      </w:rPr>
    </w:lvl>
    <w:lvl w:ilvl="3">
      <w:start w:val="0"/>
      <w:numFmt w:val="bullet"/>
      <w:lvlText w:val="•"/>
      <w:lvlJc w:val="left"/>
      <w:pPr>
        <w:ind w:left="2661" w:hanging="526"/>
      </w:pPr>
      <w:rPr>
        <w:rFonts w:hint="default"/>
      </w:rPr>
    </w:lvl>
    <w:lvl w:ilvl="4">
      <w:start w:val="0"/>
      <w:numFmt w:val="bullet"/>
      <w:lvlText w:val="•"/>
      <w:lvlJc w:val="left"/>
      <w:pPr>
        <w:ind w:left="3335" w:hanging="526"/>
      </w:pPr>
      <w:rPr>
        <w:rFonts w:hint="default"/>
      </w:rPr>
    </w:lvl>
    <w:lvl w:ilvl="5">
      <w:start w:val="0"/>
      <w:numFmt w:val="bullet"/>
      <w:lvlText w:val="•"/>
      <w:lvlJc w:val="left"/>
      <w:pPr>
        <w:ind w:left="4009" w:hanging="526"/>
      </w:pPr>
      <w:rPr>
        <w:rFonts w:hint="default"/>
      </w:rPr>
    </w:lvl>
    <w:lvl w:ilvl="6">
      <w:start w:val="0"/>
      <w:numFmt w:val="bullet"/>
      <w:lvlText w:val="•"/>
      <w:lvlJc w:val="left"/>
      <w:pPr>
        <w:ind w:left="4683" w:hanging="526"/>
      </w:pPr>
      <w:rPr>
        <w:rFonts w:hint="default"/>
      </w:rPr>
    </w:lvl>
    <w:lvl w:ilvl="7">
      <w:start w:val="0"/>
      <w:numFmt w:val="bullet"/>
      <w:lvlText w:val="•"/>
      <w:lvlJc w:val="left"/>
      <w:pPr>
        <w:ind w:left="5357" w:hanging="526"/>
      </w:pPr>
      <w:rPr>
        <w:rFonts w:hint="default"/>
      </w:rPr>
    </w:lvl>
    <w:lvl w:ilvl="8">
      <w:start w:val="0"/>
      <w:numFmt w:val="bullet"/>
      <w:lvlText w:val="•"/>
      <w:lvlJc w:val="left"/>
      <w:pPr>
        <w:ind w:left="6031" w:hanging="526"/>
      </w:pPr>
      <w:rPr>
        <w:rFonts w:hint="default"/>
      </w:rPr>
    </w:lvl>
  </w:abstractNum>
  <w:abstractNum w:abstractNumId="3">
    <w:multiLevelType w:val="hybridMultilevel"/>
    <w:lvl w:ilvl="0">
      <w:start w:val="8"/>
      <w:numFmt w:val="decimal"/>
      <w:lvlText w:val="%1"/>
      <w:lvlJc w:val="left"/>
      <w:pPr>
        <w:ind w:left="2517" w:hanging="265"/>
        <w:jc w:val="left"/>
      </w:pPr>
      <w:rPr>
        <w:rFonts w:hint="default"/>
      </w:rPr>
    </w:lvl>
    <w:lvl w:ilvl="1">
      <w:start w:val="1"/>
      <w:numFmt w:val="decimal"/>
      <w:lvlText w:val="%1.%2"/>
      <w:lvlJc w:val="left"/>
      <w:pPr>
        <w:ind w:left="2517" w:hanging="265"/>
        <w:jc w:val="left"/>
      </w:pPr>
      <w:rPr>
        <w:rFonts w:hint="default" w:ascii="Times New Roman" w:hAnsi="Times New Roman" w:eastAsia="Times New Roman" w:cs="Times New Roman"/>
        <w:b/>
        <w:bCs/>
        <w:spacing w:val="-3"/>
        <w:w w:val="100"/>
        <w:sz w:val="19"/>
        <w:szCs w:val="19"/>
      </w:rPr>
    </w:lvl>
    <w:lvl w:ilvl="2">
      <w:start w:val="3"/>
      <w:numFmt w:val="decimal"/>
      <w:lvlText w:val="(%3)"/>
      <w:lvlJc w:val="left"/>
      <w:pPr>
        <w:ind w:left="2177" w:hanging="420"/>
        <w:jc w:val="left"/>
      </w:pPr>
      <w:rPr>
        <w:rFonts w:hint="default" w:ascii="Times New Roman" w:hAnsi="Times New Roman" w:eastAsia="Times New Roman" w:cs="Times New Roman"/>
        <w:spacing w:val="-1"/>
        <w:w w:val="100"/>
        <w:sz w:val="21"/>
        <w:szCs w:val="21"/>
      </w:rPr>
    </w:lvl>
    <w:lvl w:ilvl="3">
      <w:start w:val="0"/>
      <w:numFmt w:val="bullet"/>
      <w:lvlText w:val="•"/>
      <w:lvlJc w:val="left"/>
      <w:pPr>
        <w:ind w:left="3988" w:hanging="420"/>
      </w:pPr>
      <w:rPr>
        <w:rFonts w:hint="default"/>
      </w:rPr>
    </w:lvl>
    <w:lvl w:ilvl="4">
      <w:start w:val="0"/>
      <w:numFmt w:val="bullet"/>
      <w:lvlText w:val="•"/>
      <w:lvlJc w:val="left"/>
      <w:pPr>
        <w:ind w:left="4722" w:hanging="420"/>
      </w:pPr>
      <w:rPr>
        <w:rFonts w:hint="default"/>
      </w:rPr>
    </w:lvl>
    <w:lvl w:ilvl="5">
      <w:start w:val="0"/>
      <w:numFmt w:val="bullet"/>
      <w:lvlText w:val="•"/>
      <w:lvlJc w:val="left"/>
      <w:pPr>
        <w:ind w:left="5456" w:hanging="420"/>
      </w:pPr>
      <w:rPr>
        <w:rFonts w:hint="default"/>
      </w:rPr>
    </w:lvl>
    <w:lvl w:ilvl="6">
      <w:start w:val="0"/>
      <w:numFmt w:val="bullet"/>
      <w:lvlText w:val="•"/>
      <w:lvlJc w:val="left"/>
      <w:pPr>
        <w:ind w:left="6190"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658" w:hanging="420"/>
      </w:pPr>
      <w:rPr>
        <w:rFonts w:hint="default"/>
      </w:rPr>
    </w:lvl>
  </w:abstractNum>
  <w:abstractNum w:abstractNumId="2">
    <w:multiLevelType w:val="hybridMultilevel"/>
    <w:lvl w:ilvl="0">
      <w:start w:val="3"/>
      <w:numFmt w:val="decimal"/>
      <w:lvlText w:val="%1"/>
      <w:lvlJc w:val="left"/>
      <w:pPr>
        <w:ind w:left="478" w:hanging="265"/>
        <w:jc w:val="left"/>
      </w:pPr>
      <w:rPr>
        <w:rFonts w:hint="default"/>
      </w:rPr>
    </w:lvl>
    <w:lvl w:ilvl="1">
      <w:start w:val="1"/>
      <w:numFmt w:val="decimal"/>
      <w:lvlText w:val="%1.%2"/>
      <w:lvlJc w:val="left"/>
      <w:pPr>
        <w:ind w:left="478" w:hanging="265"/>
        <w:jc w:val="left"/>
      </w:pPr>
      <w:rPr>
        <w:rFonts w:hint="default" w:ascii="Times New Roman" w:hAnsi="Times New Roman" w:eastAsia="Times New Roman" w:cs="Times New Roman"/>
        <w:b/>
        <w:bCs/>
        <w:spacing w:val="-3"/>
        <w:w w:val="100"/>
        <w:sz w:val="19"/>
        <w:szCs w:val="19"/>
      </w:rPr>
    </w:lvl>
    <w:lvl w:ilvl="2">
      <w:start w:val="0"/>
      <w:numFmt w:val="bullet"/>
      <w:lvlText w:val="•"/>
      <w:lvlJc w:val="left"/>
      <w:pPr>
        <w:ind w:left="2369" w:hanging="265"/>
      </w:pPr>
      <w:rPr>
        <w:rFonts w:hint="default"/>
      </w:rPr>
    </w:lvl>
    <w:lvl w:ilvl="3">
      <w:start w:val="0"/>
      <w:numFmt w:val="bullet"/>
      <w:lvlText w:val="•"/>
      <w:lvlJc w:val="left"/>
      <w:pPr>
        <w:ind w:left="3313" w:hanging="265"/>
      </w:pPr>
      <w:rPr>
        <w:rFonts w:hint="default"/>
      </w:rPr>
    </w:lvl>
    <w:lvl w:ilvl="4">
      <w:start w:val="0"/>
      <w:numFmt w:val="bullet"/>
      <w:lvlText w:val="•"/>
      <w:lvlJc w:val="left"/>
      <w:pPr>
        <w:ind w:left="4258" w:hanging="265"/>
      </w:pPr>
      <w:rPr>
        <w:rFonts w:hint="default"/>
      </w:rPr>
    </w:lvl>
    <w:lvl w:ilvl="5">
      <w:start w:val="0"/>
      <w:numFmt w:val="bullet"/>
      <w:lvlText w:val="•"/>
      <w:lvlJc w:val="left"/>
      <w:pPr>
        <w:ind w:left="5203" w:hanging="265"/>
      </w:pPr>
      <w:rPr>
        <w:rFonts w:hint="default"/>
      </w:rPr>
    </w:lvl>
    <w:lvl w:ilvl="6">
      <w:start w:val="0"/>
      <w:numFmt w:val="bullet"/>
      <w:lvlText w:val="•"/>
      <w:lvlJc w:val="left"/>
      <w:pPr>
        <w:ind w:left="6147" w:hanging="265"/>
      </w:pPr>
      <w:rPr>
        <w:rFonts w:hint="default"/>
      </w:rPr>
    </w:lvl>
    <w:lvl w:ilvl="7">
      <w:start w:val="0"/>
      <w:numFmt w:val="bullet"/>
      <w:lvlText w:val="•"/>
      <w:lvlJc w:val="left"/>
      <w:pPr>
        <w:ind w:left="7092" w:hanging="265"/>
      </w:pPr>
      <w:rPr>
        <w:rFonts w:hint="default"/>
      </w:rPr>
    </w:lvl>
    <w:lvl w:ilvl="8">
      <w:start w:val="0"/>
      <w:numFmt w:val="bullet"/>
      <w:lvlText w:val="•"/>
      <w:lvlJc w:val="left"/>
      <w:pPr>
        <w:ind w:left="8037" w:hanging="265"/>
      </w:pPr>
      <w:rPr>
        <w:rFonts w:hint="default"/>
      </w:rPr>
    </w:lvl>
  </w:abstractNum>
  <w:abstractNum w:abstractNumId="1">
    <w:multiLevelType w:val="hybridMultilevel"/>
    <w:lvl w:ilvl="0">
      <w:start w:val="7"/>
      <w:numFmt w:val="decimal"/>
      <w:lvlText w:val="%1."/>
      <w:lvlJc w:val="left"/>
      <w:pPr>
        <w:ind w:left="930" w:hanging="262"/>
        <w:jc w:val="left"/>
      </w:pPr>
      <w:rPr>
        <w:rFonts w:hint="default" w:ascii="Times New Roman" w:hAnsi="Times New Roman" w:eastAsia="Times New Roman" w:cs="Times New Roman"/>
        <w:b/>
        <w:bCs/>
        <w:w w:val="100"/>
        <w:sz w:val="21"/>
        <w:szCs w:val="21"/>
      </w:rPr>
    </w:lvl>
    <w:lvl w:ilvl="1">
      <w:start w:val="1"/>
      <w:numFmt w:val="decimal"/>
      <w:lvlText w:val="%1.%2"/>
      <w:lvlJc w:val="left"/>
      <w:pPr>
        <w:ind w:left="1039" w:hanging="265"/>
        <w:jc w:val="left"/>
      </w:pPr>
      <w:rPr>
        <w:rFonts w:hint="default" w:ascii="Times New Roman" w:hAnsi="Times New Roman" w:eastAsia="Times New Roman" w:cs="Times New Roman"/>
        <w:w w:val="100"/>
        <w:sz w:val="19"/>
        <w:szCs w:val="19"/>
      </w:rPr>
    </w:lvl>
    <w:lvl w:ilvl="2">
      <w:start w:val="0"/>
      <w:numFmt w:val="bullet"/>
      <w:lvlText w:val="•"/>
      <w:lvlJc w:val="left"/>
      <w:pPr>
        <w:ind w:left="1387" w:hanging="265"/>
      </w:pPr>
      <w:rPr>
        <w:rFonts w:hint="default"/>
      </w:rPr>
    </w:lvl>
    <w:lvl w:ilvl="3">
      <w:start w:val="0"/>
      <w:numFmt w:val="bullet"/>
      <w:lvlText w:val="•"/>
      <w:lvlJc w:val="left"/>
      <w:pPr>
        <w:ind w:left="1734" w:hanging="265"/>
      </w:pPr>
      <w:rPr>
        <w:rFonts w:hint="default"/>
      </w:rPr>
    </w:lvl>
    <w:lvl w:ilvl="4">
      <w:start w:val="0"/>
      <w:numFmt w:val="bullet"/>
      <w:lvlText w:val="•"/>
      <w:lvlJc w:val="left"/>
      <w:pPr>
        <w:ind w:left="2081" w:hanging="265"/>
      </w:pPr>
      <w:rPr>
        <w:rFonts w:hint="default"/>
      </w:rPr>
    </w:lvl>
    <w:lvl w:ilvl="5">
      <w:start w:val="0"/>
      <w:numFmt w:val="bullet"/>
      <w:lvlText w:val="•"/>
      <w:lvlJc w:val="left"/>
      <w:pPr>
        <w:ind w:left="2428" w:hanging="265"/>
      </w:pPr>
      <w:rPr>
        <w:rFonts w:hint="default"/>
      </w:rPr>
    </w:lvl>
    <w:lvl w:ilvl="6">
      <w:start w:val="0"/>
      <w:numFmt w:val="bullet"/>
      <w:lvlText w:val="•"/>
      <w:lvlJc w:val="left"/>
      <w:pPr>
        <w:ind w:left="2775" w:hanging="265"/>
      </w:pPr>
      <w:rPr>
        <w:rFonts w:hint="default"/>
      </w:rPr>
    </w:lvl>
    <w:lvl w:ilvl="7">
      <w:start w:val="0"/>
      <w:numFmt w:val="bullet"/>
      <w:lvlText w:val="•"/>
      <w:lvlJc w:val="left"/>
      <w:pPr>
        <w:ind w:left="3122" w:hanging="265"/>
      </w:pPr>
      <w:rPr>
        <w:rFonts w:hint="default"/>
      </w:rPr>
    </w:lvl>
    <w:lvl w:ilvl="8">
      <w:start w:val="0"/>
      <w:numFmt w:val="bullet"/>
      <w:lvlText w:val="•"/>
      <w:lvlJc w:val="left"/>
      <w:pPr>
        <w:ind w:left="3469" w:hanging="265"/>
      </w:pPr>
      <w:rPr>
        <w:rFonts w:hint="default"/>
      </w:rPr>
    </w:lvl>
  </w:abstractNum>
  <w:abstractNum w:abstractNumId="0">
    <w:multiLevelType w:val="hybridMultilevel"/>
    <w:lvl w:ilvl="0">
      <w:start w:val="3"/>
      <w:numFmt w:val="decimal"/>
      <w:lvlText w:val="%1"/>
      <w:lvlJc w:val="left"/>
      <w:pPr>
        <w:ind w:left="570" w:hanging="265"/>
        <w:jc w:val="left"/>
      </w:pPr>
      <w:rPr>
        <w:rFonts w:hint="default"/>
      </w:rPr>
    </w:lvl>
    <w:lvl w:ilvl="1">
      <w:start w:val="2"/>
      <w:numFmt w:val="decimal"/>
      <w:lvlText w:val="%1.%2"/>
      <w:lvlJc w:val="left"/>
      <w:pPr>
        <w:ind w:left="570" w:hanging="265"/>
        <w:jc w:val="left"/>
      </w:pPr>
      <w:rPr>
        <w:rFonts w:hint="default" w:ascii="Times New Roman" w:hAnsi="Times New Roman" w:eastAsia="Times New Roman" w:cs="Times New Roman"/>
        <w:w w:val="100"/>
        <w:sz w:val="19"/>
        <w:szCs w:val="19"/>
      </w:rPr>
    </w:lvl>
    <w:lvl w:ilvl="2">
      <w:start w:val="0"/>
      <w:numFmt w:val="bullet"/>
      <w:lvlText w:val="•"/>
      <w:lvlJc w:val="left"/>
      <w:pPr>
        <w:ind w:left="1175" w:hanging="265"/>
      </w:pPr>
      <w:rPr>
        <w:rFonts w:hint="default"/>
      </w:rPr>
    </w:lvl>
    <w:lvl w:ilvl="3">
      <w:start w:val="0"/>
      <w:numFmt w:val="bullet"/>
      <w:lvlText w:val="•"/>
      <w:lvlJc w:val="left"/>
      <w:pPr>
        <w:ind w:left="1473" w:hanging="265"/>
      </w:pPr>
      <w:rPr>
        <w:rFonts w:hint="default"/>
      </w:rPr>
    </w:lvl>
    <w:lvl w:ilvl="4">
      <w:start w:val="0"/>
      <w:numFmt w:val="bullet"/>
      <w:lvlText w:val="•"/>
      <w:lvlJc w:val="left"/>
      <w:pPr>
        <w:ind w:left="1770" w:hanging="265"/>
      </w:pPr>
      <w:rPr>
        <w:rFonts w:hint="default"/>
      </w:rPr>
    </w:lvl>
    <w:lvl w:ilvl="5">
      <w:start w:val="0"/>
      <w:numFmt w:val="bullet"/>
      <w:lvlText w:val="•"/>
      <w:lvlJc w:val="left"/>
      <w:pPr>
        <w:ind w:left="2068" w:hanging="265"/>
      </w:pPr>
      <w:rPr>
        <w:rFonts w:hint="default"/>
      </w:rPr>
    </w:lvl>
    <w:lvl w:ilvl="6">
      <w:start w:val="0"/>
      <w:numFmt w:val="bullet"/>
      <w:lvlText w:val="•"/>
      <w:lvlJc w:val="left"/>
      <w:pPr>
        <w:ind w:left="2366" w:hanging="265"/>
      </w:pPr>
      <w:rPr>
        <w:rFonts w:hint="default"/>
      </w:rPr>
    </w:lvl>
    <w:lvl w:ilvl="7">
      <w:start w:val="0"/>
      <w:numFmt w:val="bullet"/>
      <w:lvlText w:val="•"/>
      <w:lvlJc w:val="left"/>
      <w:pPr>
        <w:ind w:left="2663" w:hanging="265"/>
      </w:pPr>
      <w:rPr>
        <w:rFonts w:hint="default"/>
      </w:rPr>
    </w:lvl>
    <w:lvl w:ilvl="8">
      <w:start w:val="0"/>
      <w:numFmt w:val="bullet"/>
      <w:lvlText w:val="•"/>
      <w:lvlJc w:val="left"/>
      <w:pPr>
        <w:ind w:left="2961" w:hanging="26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757"/>
    </w:pPr>
    <w:rPr>
      <w:rFonts w:ascii="宋体" w:hAnsi="宋体" w:eastAsia="宋体" w:cs="宋体"/>
      <w:sz w:val="21"/>
      <w:szCs w:val="21"/>
    </w:rPr>
  </w:style>
  <w:style w:styleId="Heading1" w:type="paragraph">
    <w:name w:val="Heading 1"/>
    <w:basedOn w:val="Normal"/>
    <w:uiPriority w:val="1"/>
    <w:qFormat/>
    <w:pPr>
      <w:ind w:left="2697"/>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spacing w:line="294" w:lineRule="exact"/>
      <w:ind w:left="213"/>
      <w:outlineLvl w:val="3"/>
    </w:pPr>
    <w:rPr>
      <w:rFonts w:ascii="宋体" w:hAnsi="宋体" w:eastAsia="宋体" w:cs="宋体"/>
      <w:b/>
      <w:bCs/>
      <w:sz w:val="24"/>
      <w:szCs w:val="24"/>
    </w:rPr>
  </w:style>
  <w:style w:styleId="Heading4" w:type="paragraph">
    <w:name w:val="Heading 4"/>
    <w:basedOn w:val="Normal"/>
    <w:uiPriority w:val="1"/>
    <w:qFormat/>
    <w:pPr>
      <w:spacing w:before="21"/>
      <w:ind w:left="955"/>
      <w:outlineLvl w:val="4"/>
    </w:pPr>
    <w:rPr>
      <w:rFonts w:ascii="宋体" w:hAnsi="宋体" w:eastAsia="宋体" w:cs="宋体"/>
      <w:b/>
      <w:bCs/>
      <w:sz w:val="21"/>
      <w:szCs w:val="21"/>
    </w:rPr>
  </w:style>
  <w:style w:styleId="ListParagraph" w:type="paragraph">
    <w:name w:val="List Paragraph"/>
    <w:basedOn w:val="Normal"/>
    <w:uiPriority w:val="1"/>
    <w:qFormat/>
    <w:pPr>
      <w:ind w:left="2283" w:hanging="5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2018-10-20T03:04:57Z</dcterms:created>
  <dcterms:modified xsi:type="dcterms:W3CDTF">2018-10-20T03:04:57Z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Microsoft® Word 2013</vt:lpwstr>
  </property>
  <property fmtid="{D5CDD505-2E9C-101B-9397-08002B2CF9AE}" pid="4" name="LastSaved">
    <vt:filetime>2018-10-19T00:00:00Z</vt:filetime>
  </property>
</Properties>
</file>